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14AAD" w14:textId="006D4CBD" w:rsidR="00AE1E5C" w:rsidRPr="00A214B2" w:rsidRDefault="00A214B2" w:rsidP="00AE1E5C">
      <w:pPr>
        <w:jc w:val="right"/>
        <w:rPr>
          <w:rFonts w:ascii="IBM Plex Sans SemiBold" w:hAnsi="IBM Plex Sans SemiBold"/>
          <w:color w:val="000000" w:themeColor="text1"/>
          <w:sz w:val="20"/>
          <w:szCs w:val="20"/>
        </w:rPr>
      </w:pPr>
      <w:r w:rsidRPr="00A214B2">
        <w:rPr>
          <w:rFonts w:ascii="IBM Plex Sans SemiBold" w:hAnsi="IBM Plex Sans SemiBold"/>
          <w:color w:val="000000" w:themeColor="text1"/>
          <w:sz w:val="20"/>
          <w:szCs w:val="20"/>
        </w:rPr>
        <w:t>29 February 2024</w:t>
      </w:r>
    </w:p>
    <w:p w14:paraId="707A8E02" w14:textId="16926468" w:rsidR="00AE1E5C" w:rsidRPr="004552BA" w:rsidRDefault="00AE1E5C" w:rsidP="00AE1E5C">
      <w:pPr>
        <w:jc w:val="right"/>
        <w:rPr>
          <w:rFonts w:ascii="IBM Plex Sans SemiBold" w:hAnsi="IBM Plex Sans SemiBold"/>
          <w:color w:val="3D7FE0" w:themeColor="accent1"/>
          <w:sz w:val="20"/>
          <w:szCs w:val="20"/>
        </w:rPr>
      </w:pPr>
      <w:r w:rsidRPr="00091C6D">
        <w:rPr>
          <w:rFonts w:ascii="IBM Plex Sans SemiBold" w:hAnsi="IBM Plex Sans SemiBold"/>
          <w:color w:val="3D7FE0" w:themeColor="accent1"/>
          <w:sz w:val="24"/>
        </w:rPr>
        <w:t xml:space="preserve">     </w:t>
      </w:r>
      <w:r w:rsidRPr="004552BA">
        <w:rPr>
          <w:rFonts w:ascii="IBM Plex Sans SemiBold" w:hAnsi="IBM Plex Sans SemiBold"/>
          <w:color w:val="3D7FE0" w:themeColor="accent1"/>
          <w:sz w:val="20"/>
          <w:szCs w:val="20"/>
        </w:rPr>
        <w:t xml:space="preserve">                                  </w:t>
      </w:r>
    </w:p>
    <w:p w14:paraId="28A6E7A7" w14:textId="77777777" w:rsidR="00AE1E5C" w:rsidRPr="004552BA" w:rsidRDefault="00AE1E5C" w:rsidP="00AE1E5C">
      <w:pPr>
        <w:spacing w:after="0" w:line="240" w:lineRule="auto"/>
        <w:rPr>
          <w:rFonts w:ascii="IBM Plex Sans SemiBold" w:eastAsia="Calibri" w:hAnsi="IBM Plex Sans SemiBold" w:cs="Calibri"/>
          <w:spacing w:val="0"/>
          <w:szCs w:val="17"/>
          <w:highlight w:val="yellow"/>
          <w:lang w:eastAsia="en-US"/>
        </w:rPr>
      </w:pPr>
    </w:p>
    <w:p w14:paraId="2611AE23" w14:textId="77777777" w:rsidR="00AE1E5C" w:rsidRPr="004552BA" w:rsidRDefault="00AE1E5C" w:rsidP="00AE1E5C">
      <w:pPr>
        <w:keepNext/>
        <w:tabs>
          <w:tab w:val="left" w:pos="397"/>
        </w:tabs>
        <w:spacing w:before="110" w:line="260" w:lineRule="exact"/>
        <w:outlineLvl w:val="0"/>
        <w:rPr>
          <w:rFonts w:ascii="IBM Plex Sans Light" w:hAnsi="IBM Plex Sans Light"/>
          <w:szCs w:val="18"/>
        </w:rPr>
      </w:pPr>
    </w:p>
    <w:p w14:paraId="0F523E99" w14:textId="77777777" w:rsidR="00AE1E5C" w:rsidRPr="004552BA" w:rsidRDefault="00AE1E5C" w:rsidP="00AE1E5C">
      <w:pPr>
        <w:keepNext/>
        <w:tabs>
          <w:tab w:val="left" w:pos="397"/>
        </w:tabs>
        <w:spacing w:before="110" w:line="260" w:lineRule="exact"/>
        <w:jc w:val="center"/>
        <w:outlineLvl w:val="0"/>
        <w:rPr>
          <w:rFonts w:ascii="IBM Plex Sans SemiBold" w:hAnsi="IBM Plex Sans SemiBold"/>
          <w:b/>
          <w:color w:val="3D7FE0" w:themeColor="accent1"/>
          <w:sz w:val="22"/>
          <w:szCs w:val="22"/>
        </w:rPr>
      </w:pPr>
      <w:r w:rsidRPr="004552BA">
        <w:rPr>
          <w:rFonts w:ascii="IBM Plex Sans SemiBold" w:hAnsi="IBM Plex Sans SemiBold"/>
          <w:b/>
          <w:color w:val="3D7FE0" w:themeColor="accent1"/>
          <w:sz w:val="22"/>
          <w:szCs w:val="22"/>
        </w:rPr>
        <w:t xml:space="preserve">HAMMERSON plc – </w:t>
      </w:r>
      <w:r>
        <w:rPr>
          <w:rFonts w:ascii="IBM Plex Sans SemiBold" w:hAnsi="IBM Plex Sans SemiBold"/>
          <w:b/>
          <w:color w:val="3D7FE0" w:themeColor="accent1"/>
          <w:sz w:val="22"/>
          <w:szCs w:val="22"/>
        </w:rPr>
        <w:t xml:space="preserve">FULL YEAR </w:t>
      </w:r>
      <w:r w:rsidRPr="004552BA">
        <w:rPr>
          <w:rFonts w:ascii="IBM Plex Sans SemiBold" w:hAnsi="IBM Plex Sans SemiBold"/>
          <w:b/>
          <w:color w:val="3D7FE0" w:themeColor="accent1"/>
          <w:sz w:val="22"/>
          <w:szCs w:val="22"/>
        </w:rPr>
        <w:t>202</w:t>
      </w:r>
      <w:r>
        <w:rPr>
          <w:rFonts w:ascii="IBM Plex Sans SemiBold" w:hAnsi="IBM Plex Sans SemiBold"/>
          <w:b/>
          <w:color w:val="3D7FE0" w:themeColor="accent1"/>
          <w:sz w:val="22"/>
          <w:szCs w:val="22"/>
        </w:rPr>
        <w:t>3</w:t>
      </w:r>
      <w:r w:rsidRPr="004552BA">
        <w:rPr>
          <w:rFonts w:ascii="IBM Plex Sans SemiBold" w:hAnsi="IBM Plex Sans SemiBold"/>
          <w:b/>
          <w:color w:val="3D7FE0" w:themeColor="accent1"/>
          <w:sz w:val="22"/>
          <w:szCs w:val="22"/>
        </w:rPr>
        <w:t xml:space="preserve"> RESULTS</w:t>
      </w:r>
    </w:p>
    <w:p w14:paraId="61382ACD" w14:textId="77777777" w:rsidR="00AE1E5C" w:rsidRDefault="00AE1E5C" w:rsidP="00AE1E5C">
      <w:pPr>
        <w:pStyle w:val="Heading2"/>
        <w:spacing w:after="0" w:line="240" w:lineRule="auto"/>
        <w:ind w:right="28"/>
        <w:jc w:val="center"/>
        <w:rPr>
          <w:rFonts w:ascii="IBM Plex Sans Medium" w:hAnsi="IBM Plex Sans Medium"/>
          <w:color w:val="3D7FE0" w:themeColor="accent1"/>
          <w:sz w:val="20"/>
          <w:szCs w:val="18"/>
        </w:rPr>
      </w:pPr>
      <w:r>
        <w:rPr>
          <w:rFonts w:ascii="IBM Plex Sans Medium" w:hAnsi="IBM Plex Sans Medium"/>
          <w:color w:val="3D7FE0" w:themeColor="accent1"/>
          <w:sz w:val="20"/>
          <w:szCs w:val="18"/>
        </w:rPr>
        <w:t xml:space="preserve">Strong 2023: rental growth and earnings up, more to come </w:t>
      </w:r>
    </w:p>
    <w:p w14:paraId="42CEF5A8" w14:textId="77777777" w:rsidR="00AE1E5C" w:rsidRDefault="00AE1E5C" w:rsidP="00AE1E5C">
      <w:pPr>
        <w:pStyle w:val="PlainText"/>
      </w:pPr>
    </w:p>
    <w:p w14:paraId="18B2F930" w14:textId="77777777" w:rsidR="00AE1E5C" w:rsidRPr="004552BA" w:rsidRDefault="00AE1E5C" w:rsidP="00AE1E5C">
      <w:pPr>
        <w:pStyle w:val="Heading2"/>
        <w:spacing w:before="0" w:after="0" w:line="240" w:lineRule="auto"/>
        <w:ind w:right="28"/>
        <w:rPr>
          <w:rFonts w:ascii="IBM Plex Sans Medium" w:hAnsi="IBM Plex Sans Medium"/>
          <w:color w:val="3D7FE0" w:themeColor="accent1"/>
          <w:sz w:val="20"/>
          <w:szCs w:val="18"/>
        </w:rPr>
      </w:pPr>
      <w:r w:rsidRPr="004552BA">
        <w:rPr>
          <w:rFonts w:ascii="IBM Plex Sans Medium" w:hAnsi="IBM Plex Sans Medium"/>
          <w:color w:val="3D7FE0" w:themeColor="accent1"/>
          <w:sz w:val="20"/>
          <w:szCs w:val="18"/>
        </w:rPr>
        <w:t xml:space="preserve">Rita-Rose Gagné, Chief Executive of Hammerson, said: </w:t>
      </w:r>
    </w:p>
    <w:p w14:paraId="250E6109" w14:textId="77777777" w:rsidR="00AE1E5C" w:rsidRDefault="00AE1E5C" w:rsidP="00AE1E5C">
      <w:pPr>
        <w:spacing w:after="120" w:line="276" w:lineRule="auto"/>
        <w:ind w:right="-142"/>
        <w:rPr>
          <w:rFonts w:ascii="IBM Plex Sans Light" w:hAnsi="IBM Plex Sans Light"/>
          <w:i/>
        </w:rPr>
      </w:pPr>
      <w:r>
        <w:rPr>
          <w:rFonts w:ascii="IBM Plex Sans Light" w:hAnsi="IBM Plex Sans Light"/>
          <w:i/>
        </w:rPr>
        <w:t xml:space="preserve">“Our city centre destinations are in high demand.  This year we delivered a positive performance across our key strategic, operational and financial metrics.  Like-for-like gross rental income was up 6%, following another record year of leasing.  Occupancy remains strong and footfall and sales were up again.  We’ve strengthened our operational platform, whilst reducing costs by 14%.  As a result, adjusted earnings rose 11% to £116m, whilst net debt was down 23%, with ample liquidity. </w:t>
      </w:r>
    </w:p>
    <w:p w14:paraId="33AD4B65" w14:textId="37DB6AEF" w:rsidR="00AE1E5C" w:rsidRDefault="00AE1E5C" w:rsidP="00AE1E5C">
      <w:pPr>
        <w:spacing w:before="120" w:after="120" w:line="276" w:lineRule="auto"/>
        <w:ind w:right="-142"/>
        <w:rPr>
          <w:rFonts w:ascii="IBM Plex Sans Light" w:hAnsi="IBM Plex Sans Light"/>
          <w:i/>
        </w:rPr>
      </w:pPr>
      <w:r>
        <w:rPr>
          <w:rFonts w:ascii="IBM Plex Sans Light" w:hAnsi="IBM Plex Sans Light"/>
          <w:i/>
        </w:rPr>
        <w:t>Over the last three years, we have delivered against all strategic milestones.  We now have a core portfolio focused on urban locations which are evolving into</w:t>
      </w:r>
      <w:r w:rsidR="00423A44">
        <w:rPr>
          <w:rFonts w:ascii="IBM Plex Sans Light" w:hAnsi="IBM Plex Sans Light"/>
          <w:i/>
        </w:rPr>
        <w:t xml:space="preserve"> my vision:</w:t>
      </w:r>
      <w:r>
        <w:rPr>
          <w:rFonts w:ascii="IBM Plex Sans Light" w:hAnsi="IBM Plex Sans Light"/>
          <w:i/>
        </w:rPr>
        <w:t xml:space="preserve"> vibrant, 24/7 multi-use estates.  These destinations are fast growing, and part of the fabric and infrastructure of the cities in which we operate.</w:t>
      </w:r>
    </w:p>
    <w:p w14:paraId="1A323337" w14:textId="77777777" w:rsidR="00AE1E5C" w:rsidRDefault="00AE1E5C" w:rsidP="00AE1E5C">
      <w:pPr>
        <w:spacing w:before="120" w:after="120" w:line="276" w:lineRule="auto"/>
        <w:ind w:right="-142"/>
        <w:rPr>
          <w:rFonts w:ascii="IBM Plex Sans Light" w:hAnsi="IBM Plex Sans Light"/>
          <w:i/>
        </w:rPr>
      </w:pPr>
      <w:r>
        <w:rPr>
          <w:rFonts w:ascii="IBM Plex Sans Light" w:hAnsi="IBM Plex Sans Light"/>
          <w:i/>
        </w:rPr>
        <w:t>Whilst our eyes are open to the current macro-economic environment, our occupiers are thriving and our visitor numbers are on the rise in our realigned portfolio. We are reaping the rewards of the investments we are making in our core portfolio alongside best-in-class occupiers, which underpins the high levels of demand for our space.  We expect this trajectory to continue in the year ahead.  We have a strong pipeline of leasing and repurposing opportunities.  There is still more for us to do, but we are now entering a time where having the capability to invest and operate with discipline and conviction will be rewarded.”</w:t>
      </w:r>
    </w:p>
    <w:p w14:paraId="12E39070" w14:textId="77777777" w:rsidR="00AE1E5C" w:rsidRPr="0011460D" w:rsidRDefault="00AE1E5C" w:rsidP="00AE1E5C">
      <w:pPr>
        <w:pStyle w:val="Heading2"/>
        <w:spacing w:after="0" w:line="240" w:lineRule="auto"/>
        <w:ind w:right="28"/>
      </w:pPr>
      <w:r>
        <w:rPr>
          <w:rFonts w:ascii="IBM Plex Sans Medium" w:hAnsi="IBM Plex Sans Medium"/>
          <w:color w:val="3D7FE0" w:themeColor="accent1"/>
          <w:sz w:val="20"/>
          <w:szCs w:val="18"/>
        </w:rPr>
        <w:t>P</w:t>
      </w:r>
      <w:r w:rsidRPr="0076160D">
        <w:rPr>
          <w:rFonts w:ascii="IBM Plex Sans Medium" w:hAnsi="IBM Plex Sans Medium"/>
          <w:color w:val="3D7FE0" w:themeColor="accent1"/>
          <w:sz w:val="20"/>
          <w:szCs w:val="18"/>
        </w:rPr>
        <w:t>ositive performance across our key</w:t>
      </w:r>
      <w:r>
        <w:rPr>
          <w:rFonts w:ascii="IBM Plex Sans Medium" w:hAnsi="IBM Plex Sans Medium"/>
          <w:color w:val="3D7FE0" w:themeColor="accent1"/>
          <w:sz w:val="20"/>
          <w:szCs w:val="18"/>
        </w:rPr>
        <w:t xml:space="preserve"> operational and</w:t>
      </w:r>
      <w:r w:rsidRPr="0076160D">
        <w:rPr>
          <w:rFonts w:ascii="IBM Plex Sans Medium" w:hAnsi="IBM Plex Sans Medium"/>
          <w:color w:val="3D7FE0" w:themeColor="accent1"/>
          <w:sz w:val="20"/>
          <w:szCs w:val="18"/>
        </w:rPr>
        <w:t xml:space="preserve"> financial metrics</w:t>
      </w:r>
      <w:r>
        <w:rPr>
          <w:rFonts w:ascii="IBM Plex Sans Medium" w:hAnsi="IBM Plex Sans Medium"/>
          <w:color w:val="3D7FE0" w:themeColor="accent1"/>
          <w:sz w:val="20"/>
          <w:szCs w:val="18"/>
        </w:rPr>
        <w:t>:</w:t>
      </w:r>
    </w:p>
    <w:p w14:paraId="3F28C8CB" w14:textId="77777777" w:rsidR="00AE1E5C" w:rsidRDefault="00AE1E5C" w:rsidP="006B43AF">
      <w:pPr>
        <w:pStyle w:val="ListParagraph"/>
        <w:numPr>
          <w:ilvl w:val="0"/>
          <w:numId w:val="29"/>
        </w:numPr>
        <w:spacing w:after="60"/>
        <w:ind w:left="284" w:right="28" w:hanging="284"/>
        <w:rPr>
          <w:rFonts w:ascii="IBM Plex Sans Light" w:hAnsi="IBM Plex Sans Light"/>
          <w:sz w:val="18"/>
          <w:szCs w:val="18"/>
        </w:rPr>
      </w:pPr>
      <w:r>
        <w:rPr>
          <w:rFonts w:ascii="IBM Plex Sans Light" w:hAnsi="IBM Plex Sans Light"/>
          <w:sz w:val="18"/>
          <w:szCs w:val="18"/>
        </w:rPr>
        <w:t>Another record year of leasing with 306 deals, representing £46m of headline rent, £29m at our share, up +23% LFL</w:t>
      </w:r>
    </w:p>
    <w:p w14:paraId="1AABDEC0" w14:textId="77777777" w:rsidR="00AE1E5C" w:rsidRDefault="00AE1E5C" w:rsidP="006B43AF">
      <w:pPr>
        <w:pStyle w:val="ListParagraph"/>
        <w:numPr>
          <w:ilvl w:val="0"/>
          <w:numId w:val="29"/>
        </w:numPr>
        <w:spacing w:after="60"/>
        <w:ind w:left="284" w:right="28" w:hanging="284"/>
        <w:rPr>
          <w:rFonts w:ascii="IBM Plex Sans Light" w:hAnsi="IBM Plex Sans Light"/>
          <w:sz w:val="18"/>
          <w:szCs w:val="18"/>
        </w:rPr>
      </w:pPr>
      <w:r>
        <w:rPr>
          <w:rFonts w:ascii="IBM Plex Sans Light" w:hAnsi="IBM Plex Sans Light"/>
          <w:sz w:val="18"/>
          <w:szCs w:val="18"/>
        </w:rPr>
        <w:t>Permanent deals signed +37% vs previous passing; net effective rent +12% vs ERV</w:t>
      </w:r>
    </w:p>
    <w:p w14:paraId="4E8D3EC5" w14:textId="77777777" w:rsidR="00AE1E5C" w:rsidRPr="00965044" w:rsidRDefault="00AE1E5C" w:rsidP="006B43AF">
      <w:pPr>
        <w:pStyle w:val="ListParagraph"/>
        <w:numPr>
          <w:ilvl w:val="0"/>
          <w:numId w:val="29"/>
        </w:numPr>
        <w:spacing w:after="60"/>
        <w:ind w:left="284" w:right="28" w:hanging="284"/>
        <w:rPr>
          <w:rFonts w:ascii="IBM Plex Sans Light" w:hAnsi="IBM Plex Sans Light"/>
          <w:sz w:val="18"/>
          <w:szCs w:val="18"/>
        </w:rPr>
      </w:pPr>
      <w:r>
        <w:rPr>
          <w:rFonts w:ascii="IBM Plex Sans Light" w:hAnsi="IBM Plex Sans Light"/>
          <w:sz w:val="18"/>
          <w:szCs w:val="18"/>
        </w:rPr>
        <w:t>Footfall up +3% year-on-year; dwell time +5</w:t>
      </w:r>
      <w:r w:rsidRPr="00965044">
        <w:rPr>
          <w:rFonts w:ascii="IBM Plex Sans Light" w:hAnsi="IBM Plex Sans Light"/>
          <w:sz w:val="18"/>
          <w:szCs w:val="18"/>
        </w:rPr>
        <w:t>%; LFL sales +1% UK, +3% France</w:t>
      </w:r>
    </w:p>
    <w:p w14:paraId="1BADEF4C" w14:textId="77777777" w:rsidR="00AE1E5C" w:rsidRPr="00B33A8F" w:rsidRDefault="00AE1E5C" w:rsidP="006B43AF">
      <w:pPr>
        <w:pStyle w:val="ListParagraph"/>
        <w:numPr>
          <w:ilvl w:val="0"/>
          <w:numId w:val="29"/>
        </w:numPr>
        <w:spacing w:after="60"/>
        <w:ind w:left="284" w:right="28" w:hanging="284"/>
        <w:rPr>
          <w:rFonts w:ascii="IBM Plex Sans Light" w:hAnsi="IBM Plex Sans Light"/>
          <w:sz w:val="18"/>
          <w:szCs w:val="18"/>
        </w:rPr>
      </w:pPr>
      <w:r w:rsidRPr="00B33A8F">
        <w:rPr>
          <w:rFonts w:ascii="IBM Plex Sans Light" w:hAnsi="IBM Plex Sans Light"/>
          <w:sz w:val="18"/>
          <w:szCs w:val="18"/>
        </w:rPr>
        <w:t>Adjust</w:t>
      </w:r>
      <w:r>
        <w:rPr>
          <w:rFonts w:ascii="IBM Plex Sans Light" w:hAnsi="IBM Plex Sans Light"/>
          <w:sz w:val="18"/>
          <w:szCs w:val="18"/>
        </w:rPr>
        <w:t>ed</w:t>
      </w:r>
      <w:r w:rsidRPr="00B33A8F">
        <w:rPr>
          <w:rFonts w:ascii="IBM Plex Sans Light" w:hAnsi="IBM Plex Sans Light"/>
          <w:sz w:val="18"/>
          <w:szCs w:val="18"/>
        </w:rPr>
        <w:t xml:space="preserve"> earnings growth of +11% to £116m, or 2.</w:t>
      </w:r>
      <w:r>
        <w:rPr>
          <w:rFonts w:ascii="IBM Plex Sans Light" w:hAnsi="IBM Plex Sans Light"/>
          <w:sz w:val="18"/>
          <w:szCs w:val="18"/>
        </w:rPr>
        <w:t>3</w:t>
      </w:r>
      <w:r w:rsidRPr="00B33A8F">
        <w:rPr>
          <w:rFonts w:ascii="IBM Plex Sans Light" w:hAnsi="IBM Plex Sans Light"/>
          <w:sz w:val="18"/>
          <w:szCs w:val="18"/>
        </w:rPr>
        <w:t>p per share</w:t>
      </w:r>
      <w:r>
        <w:rPr>
          <w:rFonts w:ascii="IBM Plex Sans Light" w:hAnsi="IBM Plex Sans Light"/>
          <w:sz w:val="18"/>
          <w:szCs w:val="18"/>
        </w:rPr>
        <w:t xml:space="preserve"> (+10%)</w:t>
      </w:r>
      <w:r w:rsidRPr="00B33A8F">
        <w:rPr>
          <w:rFonts w:ascii="IBM Plex Sans Light" w:hAnsi="IBM Plex Sans Light"/>
          <w:sz w:val="18"/>
          <w:szCs w:val="18"/>
        </w:rPr>
        <w:t xml:space="preserve">, </w:t>
      </w:r>
      <w:r>
        <w:rPr>
          <w:rFonts w:ascii="IBM Plex Sans Light" w:hAnsi="IBM Plex Sans Light"/>
          <w:sz w:val="18"/>
          <w:szCs w:val="18"/>
        </w:rPr>
        <w:t>driven by</w:t>
      </w:r>
      <w:r w:rsidRPr="00B33A8F">
        <w:rPr>
          <w:rFonts w:ascii="IBM Plex Sans Light" w:hAnsi="IBM Plex Sans Light"/>
          <w:sz w:val="18"/>
          <w:szCs w:val="18"/>
        </w:rPr>
        <w:t xml:space="preserve"> like-for-like GRI up +</w:t>
      </w:r>
      <w:r>
        <w:rPr>
          <w:rFonts w:ascii="IBM Plex Sans Light" w:hAnsi="IBM Plex Sans Light"/>
          <w:sz w:val="18"/>
          <w:szCs w:val="18"/>
        </w:rPr>
        <w:t>6</w:t>
      </w:r>
      <w:r w:rsidRPr="00B33A8F">
        <w:rPr>
          <w:rFonts w:ascii="IBM Plex Sans Light" w:hAnsi="IBM Plex Sans Light"/>
          <w:sz w:val="18"/>
          <w:szCs w:val="18"/>
        </w:rPr>
        <w:t>%</w:t>
      </w:r>
      <w:r>
        <w:rPr>
          <w:rFonts w:ascii="IBM Plex Sans Light" w:hAnsi="IBM Plex Sans Light"/>
          <w:sz w:val="18"/>
          <w:szCs w:val="18"/>
        </w:rPr>
        <w:t>, NRI +4%</w:t>
      </w:r>
    </w:p>
    <w:p w14:paraId="7AC20761" w14:textId="77777777" w:rsidR="00AE1E5C" w:rsidRPr="005F50B7" w:rsidRDefault="00AE1E5C" w:rsidP="006B43AF">
      <w:pPr>
        <w:pStyle w:val="ListParagraph"/>
        <w:numPr>
          <w:ilvl w:val="0"/>
          <w:numId w:val="29"/>
        </w:numPr>
        <w:spacing w:after="60"/>
        <w:ind w:left="284" w:right="28" w:hanging="284"/>
        <w:rPr>
          <w:rFonts w:ascii="IBM Plex Sans Medium" w:hAnsi="IBM Plex Sans Medium"/>
          <w:sz w:val="20"/>
          <w:szCs w:val="18"/>
        </w:rPr>
      </w:pPr>
      <w:r w:rsidRPr="00B33A8F">
        <w:rPr>
          <w:rFonts w:ascii="IBM Plex Sans Light" w:hAnsi="IBM Plex Sans Light"/>
          <w:sz w:val="18"/>
          <w:szCs w:val="18"/>
        </w:rPr>
        <w:t xml:space="preserve">Continued cost </w:t>
      </w:r>
      <w:r>
        <w:rPr>
          <w:rFonts w:ascii="IBM Plex Sans Light" w:hAnsi="IBM Plex Sans Light"/>
          <w:sz w:val="18"/>
          <w:szCs w:val="18"/>
        </w:rPr>
        <w:t xml:space="preserve">reduction </w:t>
      </w:r>
      <w:r w:rsidRPr="00B33A8F">
        <w:rPr>
          <w:rFonts w:ascii="IBM Plex Sans Light" w:hAnsi="IBM Plex Sans Light"/>
          <w:sz w:val="18"/>
          <w:szCs w:val="18"/>
        </w:rPr>
        <w:t>outperformance: gross admin</w:t>
      </w:r>
      <w:r>
        <w:rPr>
          <w:rFonts w:ascii="IBM Plex Sans Light" w:hAnsi="IBM Plex Sans Light"/>
          <w:sz w:val="18"/>
          <w:szCs w:val="18"/>
        </w:rPr>
        <w:t>istration</w:t>
      </w:r>
      <w:r w:rsidRPr="00B33A8F">
        <w:rPr>
          <w:rFonts w:ascii="IBM Plex Sans Light" w:hAnsi="IBM Plex Sans Light"/>
          <w:sz w:val="18"/>
          <w:szCs w:val="18"/>
        </w:rPr>
        <w:t xml:space="preserve"> cost -14% year-on-year</w:t>
      </w:r>
      <w:r>
        <w:rPr>
          <w:rFonts w:ascii="IBM Plex Sans Light" w:hAnsi="IBM Plex Sans Light"/>
          <w:sz w:val="18"/>
          <w:szCs w:val="18"/>
        </w:rPr>
        <w:t xml:space="preserve"> bringing total cost reduction since FY 20 to -24%; guiding to a further -10% cost reduction in 2024</w:t>
      </w:r>
    </w:p>
    <w:p w14:paraId="00A20D1A" w14:textId="77777777" w:rsidR="00AE1E5C" w:rsidRPr="00463DF6" w:rsidRDefault="00AE1E5C" w:rsidP="006B43AF">
      <w:pPr>
        <w:pStyle w:val="ListParagraph"/>
        <w:numPr>
          <w:ilvl w:val="0"/>
          <w:numId w:val="29"/>
        </w:numPr>
        <w:spacing w:after="60"/>
        <w:ind w:left="284" w:right="29" w:hanging="284"/>
        <w:rPr>
          <w:rFonts w:ascii="IBM Plex Sans Light" w:hAnsi="IBM Plex Sans Light"/>
          <w:sz w:val="18"/>
          <w:szCs w:val="18"/>
        </w:rPr>
      </w:pPr>
      <w:r w:rsidRPr="00463DF6">
        <w:rPr>
          <w:rFonts w:ascii="IBM Plex Sans Light" w:hAnsi="IBM Plex Sans Light"/>
          <w:sz w:val="18"/>
          <w:szCs w:val="18"/>
        </w:rPr>
        <w:t>Value Retail adjusted earnings of £32m (FY 22: £27m), and £7</w:t>
      </w:r>
      <w:r>
        <w:rPr>
          <w:rFonts w:ascii="IBM Plex Sans Light" w:hAnsi="IBM Plex Sans Light"/>
          <w:sz w:val="18"/>
          <w:szCs w:val="18"/>
        </w:rPr>
        <w:t>4</w:t>
      </w:r>
      <w:r w:rsidRPr="00463DF6">
        <w:rPr>
          <w:rFonts w:ascii="IBM Plex Sans Light" w:hAnsi="IBM Plex Sans Light"/>
          <w:sz w:val="18"/>
          <w:szCs w:val="18"/>
        </w:rPr>
        <w:t>m of catch-up cash distributions received</w:t>
      </w:r>
    </w:p>
    <w:p w14:paraId="63DD5178" w14:textId="77777777" w:rsidR="00AE1E5C" w:rsidRPr="00E01F5F" w:rsidRDefault="00AE1E5C" w:rsidP="006B43AF">
      <w:pPr>
        <w:pStyle w:val="ListParagraph"/>
        <w:numPr>
          <w:ilvl w:val="0"/>
          <w:numId w:val="29"/>
        </w:numPr>
        <w:spacing w:after="60"/>
        <w:ind w:left="284" w:right="29" w:hanging="284"/>
        <w:rPr>
          <w:rFonts w:ascii="IBM Plex Sans Light" w:hAnsi="IBM Plex Sans Light"/>
          <w:sz w:val="18"/>
          <w:szCs w:val="18"/>
        </w:rPr>
      </w:pPr>
      <w:r w:rsidRPr="00E01F5F">
        <w:rPr>
          <w:rFonts w:ascii="IBM Plex Sans Light" w:hAnsi="IBM Plex Sans Light"/>
          <w:sz w:val="18"/>
          <w:szCs w:val="18"/>
        </w:rPr>
        <w:t xml:space="preserve">Group portfolio </w:t>
      </w:r>
      <w:r>
        <w:rPr>
          <w:rFonts w:ascii="IBM Plex Sans Light" w:hAnsi="IBM Plex Sans Light"/>
          <w:sz w:val="18"/>
          <w:szCs w:val="18"/>
        </w:rPr>
        <w:t>value of</w:t>
      </w:r>
      <w:r w:rsidRPr="00E01F5F">
        <w:rPr>
          <w:rFonts w:ascii="IBM Plex Sans Light" w:hAnsi="IBM Plex Sans Light"/>
          <w:sz w:val="18"/>
          <w:szCs w:val="18"/>
        </w:rPr>
        <w:t xml:space="preserve"> £4.7bn (FY 22: £5.1bn), </w:t>
      </w:r>
      <w:r>
        <w:rPr>
          <w:rFonts w:ascii="IBM Plex Sans Light" w:hAnsi="IBM Plex Sans Light"/>
          <w:sz w:val="18"/>
          <w:szCs w:val="18"/>
        </w:rPr>
        <w:t>mainly</w:t>
      </w:r>
      <w:r w:rsidRPr="00E01F5F">
        <w:rPr>
          <w:rFonts w:ascii="IBM Plex Sans Light" w:hAnsi="IBM Plex Sans Light"/>
          <w:sz w:val="18"/>
          <w:szCs w:val="18"/>
        </w:rPr>
        <w:t xml:space="preserve"> due to disposals</w:t>
      </w:r>
      <w:r>
        <w:rPr>
          <w:rFonts w:ascii="IBM Plex Sans Light" w:hAnsi="IBM Plex Sans Light"/>
          <w:sz w:val="18"/>
          <w:szCs w:val="18"/>
        </w:rPr>
        <w:t xml:space="preserve"> and derecognitions; capital return -2.6%</w:t>
      </w:r>
    </w:p>
    <w:p w14:paraId="3C8B5D2F" w14:textId="77777777" w:rsidR="00AE1E5C" w:rsidRPr="00E01F5F" w:rsidRDefault="00AE1E5C" w:rsidP="006B43AF">
      <w:pPr>
        <w:pStyle w:val="ListParagraph"/>
        <w:numPr>
          <w:ilvl w:val="0"/>
          <w:numId w:val="29"/>
        </w:numPr>
        <w:spacing w:after="60"/>
        <w:ind w:left="284" w:right="28" w:hanging="284"/>
        <w:rPr>
          <w:rFonts w:ascii="IBM Plex Sans Light" w:hAnsi="IBM Plex Sans Light"/>
          <w:sz w:val="18"/>
          <w:szCs w:val="18"/>
        </w:rPr>
      </w:pPr>
      <w:r w:rsidRPr="00E01F5F">
        <w:rPr>
          <w:rFonts w:ascii="IBM Plex Sans Light" w:hAnsi="IBM Plex Sans Light"/>
          <w:sz w:val="18"/>
          <w:szCs w:val="18"/>
        </w:rPr>
        <w:t>IFRS loss of £51m (FY 22: £164m loss), basic loss per share of -1.0p (FY 22: -3.3p)</w:t>
      </w:r>
    </w:p>
    <w:p w14:paraId="4982AB4A" w14:textId="77777777" w:rsidR="00AE1E5C" w:rsidRPr="003B1F03" w:rsidRDefault="00AE1E5C" w:rsidP="006B43AF">
      <w:pPr>
        <w:pStyle w:val="ListParagraph"/>
        <w:numPr>
          <w:ilvl w:val="0"/>
          <w:numId w:val="29"/>
        </w:numPr>
        <w:spacing w:after="60"/>
        <w:ind w:left="284" w:right="29" w:hanging="284"/>
        <w:rPr>
          <w:rFonts w:ascii="IBM Plex Sans Light" w:hAnsi="IBM Plex Sans Light"/>
          <w:sz w:val="18"/>
          <w:szCs w:val="18"/>
        </w:rPr>
      </w:pPr>
      <w:r w:rsidRPr="003B1F03">
        <w:rPr>
          <w:rFonts w:ascii="IBM Plex Sans Light" w:hAnsi="IBM Plex Sans Light"/>
          <w:sz w:val="18"/>
          <w:szCs w:val="18"/>
        </w:rPr>
        <w:t>EPRA NTA per share 51p (FY 22: 53p)</w:t>
      </w:r>
    </w:p>
    <w:p w14:paraId="34F22035" w14:textId="77777777" w:rsidR="00AE1E5C" w:rsidRDefault="00AE1E5C" w:rsidP="006B43AF">
      <w:pPr>
        <w:pStyle w:val="ListParagraph"/>
        <w:numPr>
          <w:ilvl w:val="0"/>
          <w:numId w:val="29"/>
        </w:numPr>
        <w:spacing w:after="40"/>
        <w:ind w:left="284" w:right="28" w:hanging="284"/>
        <w:rPr>
          <w:rFonts w:ascii="IBM Plex Sans Light" w:hAnsi="IBM Plex Sans Light"/>
          <w:sz w:val="18"/>
          <w:szCs w:val="18"/>
        </w:rPr>
      </w:pPr>
      <w:r>
        <w:rPr>
          <w:rFonts w:ascii="IBM Plex Sans Light" w:hAnsi="IBM Plex Sans Light"/>
          <w:sz w:val="18"/>
          <w:szCs w:val="18"/>
        </w:rPr>
        <w:t xml:space="preserve">Execution of disposal programme has strengthened balance sheet: net debt down 23% to </w:t>
      </w:r>
      <w:r w:rsidRPr="002E3B44">
        <w:rPr>
          <w:rFonts w:ascii="IBM Plex Sans Light" w:hAnsi="IBM Plex Sans Light"/>
          <w:sz w:val="18"/>
          <w:szCs w:val="18"/>
        </w:rPr>
        <w:t>£1,32</w:t>
      </w:r>
      <w:r>
        <w:rPr>
          <w:rFonts w:ascii="IBM Plex Sans Light" w:hAnsi="IBM Plex Sans Light"/>
          <w:sz w:val="18"/>
          <w:szCs w:val="18"/>
        </w:rPr>
        <w:t>6</w:t>
      </w:r>
      <w:r w:rsidRPr="002E3B44">
        <w:rPr>
          <w:rFonts w:ascii="IBM Plex Sans Light" w:hAnsi="IBM Plex Sans Light"/>
          <w:sz w:val="18"/>
          <w:szCs w:val="18"/>
        </w:rPr>
        <w:t>m</w:t>
      </w:r>
      <w:r>
        <w:rPr>
          <w:rFonts w:ascii="IBM Plex Sans Light" w:hAnsi="IBM Plex Sans Light"/>
          <w:sz w:val="18"/>
          <w:szCs w:val="18"/>
        </w:rPr>
        <w:t xml:space="preserve">; </w:t>
      </w:r>
      <w:r w:rsidRPr="00505006">
        <w:rPr>
          <w:rFonts w:ascii="IBM Plex Sans Light" w:hAnsi="IBM Plex Sans Light"/>
          <w:sz w:val="18"/>
          <w:szCs w:val="18"/>
        </w:rPr>
        <w:t xml:space="preserve">LTV 34% (FY 22: 39%), FPC LTV 44% (FY 22: 47%); </w:t>
      </w:r>
      <w:r w:rsidRPr="00753A7B">
        <w:rPr>
          <w:rFonts w:ascii="IBM Plex Sans Light" w:hAnsi="IBM Plex Sans Light"/>
          <w:sz w:val="18"/>
          <w:szCs w:val="18"/>
        </w:rPr>
        <w:t>Net debt to EBITDA of 8.0x (FY 22: 10.4x); liquidity of £1.2bn</w:t>
      </w:r>
      <w:r>
        <w:rPr>
          <w:rFonts w:ascii="IBM Plex Sans Light" w:hAnsi="IBM Plex Sans Light"/>
          <w:sz w:val="18"/>
          <w:szCs w:val="18"/>
        </w:rPr>
        <w:t xml:space="preserve"> (FY 22: £1.0bn)</w:t>
      </w:r>
    </w:p>
    <w:p w14:paraId="47CA616D" w14:textId="3ADAD2C0" w:rsidR="00AE1E5C" w:rsidRPr="00AF0D30" w:rsidRDefault="00AE1E5C" w:rsidP="006B43AF">
      <w:pPr>
        <w:pStyle w:val="ListParagraph"/>
        <w:numPr>
          <w:ilvl w:val="0"/>
          <w:numId w:val="29"/>
        </w:numPr>
        <w:spacing w:after="40"/>
        <w:ind w:left="284" w:right="28" w:hanging="284"/>
        <w:rPr>
          <w:rFonts w:ascii="IBM Plex Sans Light" w:hAnsi="IBM Plex Sans Light"/>
          <w:sz w:val="18"/>
          <w:szCs w:val="18"/>
        </w:rPr>
      </w:pPr>
      <w:r>
        <w:rPr>
          <w:rFonts w:ascii="IBM Plex Sans Light" w:hAnsi="IBM Plex Sans Light"/>
          <w:sz w:val="18"/>
          <w:szCs w:val="18"/>
        </w:rPr>
        <w:t>Balance sheet further strengthened since the year-end with the exchange for the sale of USQ for £111m</w:t>
      </w:r>
    </w:p>
    <w:p w14:paraId="3A087A13" w14:textId="77777777" w:rsidR="00AE1E5C" w:rsidRDefault="00AE1E5C" w:rsidP="00AE1E5C">
      <w:pPr>
        <w:spacing w:after="0" w:line="240" w:lineRule="auto"/>
        <w:rPr>
          <w:rFonts w:ascii="IBM Plex Sans Medium" w:hAnsi="IBM Plex Sans Medium"/>
          <w:b/>
          <w:color w:val="3D7FE0" w:themeColor="accent1"/>
          <w:sz w:val="20"/>
          <w:szCs w:val="18"/>
        </w:rPr>
      </w:pPr>
    </w:p>
    <w:p w14:paraId="723FFED2" w14:textId="77777777" w:rsidR="00AE1E5C" w:rsidRPr="003B1F03" w:rsidRDefault="00AE1E5C" w:rsidP="00AE1E5C">
      <w:pPr>
        <w:spacing w:after="0" w:line="240" w:lineRule="auto"/>
        <w:rPr>
          <w:rFonts w:ascii="IBM Plex Sans Medium" w:hAnsi="IBM Plex Sans Medium"/>
          <w:b/>
          <w:color w:val="3D7FE0" w:themeColor="accent1"/>
          <w:sz w:val="20"/>
          <w:szCs w:val="18"/>
        </w:rPr>
      </w:pPr>
      <w:r w:rsidRPr="003B1F03">
        <w:rPr>
          <w:rFonts w:ascii="IBM Plex Sans Medium" w:hAnsi="IBM Plex Sans Medium"/>
          <w:b/>
          <w:color w:val="3D7FE0" w:themeColor="accent1"/>
          <w:sz w:val="20"/>
          <w:szCs w:val="18"/>
        </w:rPr>
        <w:t>Dividend</w:t>
      </w:r>
    </w:p>
    <w:p w14:paraId="1C1FA8EA" w14:textId="77777777" w:rsidR="00AE1E5C" w:rsidRDefault="00AE1E5C" w:rsidP="006B43AF">
      <w:pPr>
        <w:pStyle w:val="ListParagraph"/>
        <w:numPr>
          <w:ilvl w:val="0"/>
          <w:numId w:val="30"/>
        </w:numPr>
        <w:spacing w:after="60"/>
        <w:ind w:left="284" w:right="28" w:hanging="284"/>
        <w:rPr>
          <w:rFonts w:ascii="IBM Plex Sans Light" w:hAnsi="IBM Plex Sans Light"/>
          <w:sz w:val="18"/>
          <w:szCs w:val="18"/>
        </w:rPr>
      </w:pPr>
      <w:r>
        <w:rPr>
          <w:rFonts w:ascii="IBM Plex Sans Light" w:hAnsi="IBM Plex Sans Light"/>
          <w:sz w:val="18"/>
          <w:szCs w:val="18"/>
        </w:rPr>
        <w:t>In July 2023, t</w:t>
      </w:r>
      <w:r w:rsidRPr="00A20C4C">
        <w:rPr>
          <w:rFonts w:ascii="IBM Plex Sans Light" w:hAnsi="IBM Plex Sans Light"/>
          <w:sz w:val="18"/>
          <w:szCs w:val="18"/>
        </w:rPr>
        <w:t xml:space="preserve">he Board </w:t>
      </w:r>
      <w:r>
        <w:rPr>
          <w:rFonts w:ascii="IBM Plex Sans Light" w:hAnsi="IBM Plex Sans Light"/>
          <w:sz w:val="18"/>
          <w:szCs w:val="18"/>
        </w:rPr>
        <w:t xml:space="preserve">reinstated a cash dividend as guided and </w:t>
      </w:r>
      <w:r w:rsidRPr="00A20C4C">
        <w:rPr>
          <w:rFonts w:ascii="IBM Plex Sans Light" w:hAnsi="IBM Plex Sans Light"/>
          <w:sz w:val="18"/>
          <w:szCs w:val="18"/>
        </w:rPr>
        <w:t>announce</w:t>
      </w:r>
      <w:r>
        <w:rPr>
          <w:rFonts w:ascii="IBM Plex Sans Light" w:hAnsi="IBM Plex Sans Light"/>
          <w:sz w:val="18"/>
          <w:szCs w:val="18"/>
        </w:rPr>
        <w:t>d</w:t>
      </w:r>
      <w:r w:rsidRPr="00A20C4C">
        <w:rPr>
          <w:rFonts w:ascii="IBM Plex Sans Light" w:hAnsi="IBM Plex Sans Light"/>
          <w:sz w:val="18"/>
          <w:szCs w:val="18"/>
        </w:rPr>
        <w:t xml:space="preserve"> a new dividend policy of 60-70% of annual adjusted earnings</w:t>
      </w:r>
      <w:r>
        <w:rPr>
          <w:rFonts w:ascii="IBM Plex Sans Light" w:hAnsi="IBM Plex Sans Light"/>
          <w:sz w:val="18"/>
          <w:szCs w:val="18"/>
        </w:rPr>
        <w:t xml:space="preserve">, balancing distributions to shareholders with our focus on reinvesting in our core portfolio to deliver further growth and value. </w:t>
      </w:r>
    </w:p>
    <w:p w14:paraId="059FDEC5" w14:textId="4D95480F" w:rsidR="00AE1E5C" w:rsidRPr="00551659" w:rsidRDefault="00AE1E5C" w:rsidP="00551659">
      <w:pPr>
        <w:pStyle w:val="ListParagraph"/>
        <w:numPr>
          <w:ilvl w:val="0"/>
          <w:numId w:val="30"/>
        </w:numPr>
        <w:spacing w:after="60"/>
        <w:ind w:left="284" w:right="28" w:hanging="284"/>
        <w:rPr>
          <w:rFonts w:ascii="IBM Plex Sans Light" w:hAnsi="IBM Plex Sans Light"/>
          <w:szCs w:val="18"/>
        </w:rPr>
      </w:pPr>
      <w:r>
        <w:rPr>
          <w:rFonts w:ascii="IBM Plex Sans Light" w:hAnsi="IBM Plex Sans Light"/>
          <w:sz w:val="18"/>
          <w:szCs w:val="18"/>
        </w:rPr>
        <w:t>Today, t</w:t>
      </w:r>
      <w:r w:rsidRPr="00A20C4C">
        <w:rPr>
          <w:rFonts w:ascii="IBM Plex Sans Light" w:hAnsi="IBM Plex Sans Light"/>
          <w:sz w:val="18"/>
          <w:szCs w:val="18"/>
        </w:rPr>
        <w:t xml:space="preserve">he Board </w:t>
      </w:r>
      <w:r>
        <w:rPr>
          <w:rFonts w:ascii="IBM Plex Sans Light" w:hAnsi="IBM Plex Sans Light"/>
          <w:sz w:val="18"/>
          <w:szCs w:val="18"/>
        </w:rPr>
        <w:t>has</w:t>
      </w:r>
      <w:r w:rsidRPr="00A20C4C">
        <w:rPr>
          <w:rFonts w:ascii="IBM Plex Sans Light" w:hAnsi="IBM Plex Sans Light"/>
          <w:sz w:val="18"/>
          <w:szCs w:val="18"/>
        </w:rPr>
        <w:t xml:space="preserve"> </w:t>
      </w:r>
      <w:r>
        <w:rPr>
          <w:rFonts w:ascii="IBM Plex Sans Light" w:hAnsi="IBM Plex Sans Light"/>
          <w:sz w:val="18"/>
          <w:szCs w:val="18"/>
        </w:rPr>
        <w:t>recommended a final cash dividend of 0.78p per share</w:t>
      </w:r>
      <w:r w:rsidRPr="00A20C4C">
        <w:rPr>
          <w:rFonts w:ascii="IBM Plex Sans Light" w:hAnsi="IBM Plex Sans Light"/>
          <w:sz w:val="18"/>
          <w:szCs w:val="18"/>
        </w:rPr>
        <w:t xml:space="preserve"> </w:t>
      </w:r>
      <w:r w:rsidRPr="00325672">
        <w:rPr>
          <w:rFonts w:ascii="IBM Plex Sans Light" w:hAnsi="IBM Plex Sans Light"/>
          <w:sz w:val="18"/>
          <w:szCs w:val="18"/>
        </w:rPr>
        <w:t>subject to shareholder approval</w:t>
      </w:r>
      <w:r>
        <w:rPr>
          <w:rFonts w:ascii="IBM Plex Sans Light" w:hAnsi="IBM Plex Sans Light"/>
          <w:sz w:val="18"/>
          <w:szCs w:val="18"/>
        </w:rPr>
        <w:t xml:space="preserve">, </w:t>
      </w:r>
      <w:r w:rsidRPr="005F50B7">
        <w:rPr>
          <w:rFonts w:ascii="IBM Plex Sans Light" w:hAnsi="IBM Plex Sans Light"/>
          <w:sz w:val="18"/>
          <w:szCs w:val="18"/>
        </w:rPr>
        <w:t xml:space="preserve">which will be paid </w:t>
      </w:r>
      <w:r>
        <w:rPr>
          <w:rFonts w:ascii="IBM Plex Sans Light" w:hAnsi="IBM Plex Sans Light"/>
          <w:sz w:val="18"/>
          <w:szCs w:val="18"/>
        </w:rPr>
        <w:t>as an ordinary dividend, bringing the full year cash dividend to 1.50p per share, representing a 64% payout, commensurate with the half year payment.</w:t>
      </w:r>
      <w:r w:rsidR="00551659">
        <w:rPr>
          <w:rFonts w:ascii="IBM Plex Sans Light" w:hAnsi="IBM Plex Sans Light"/>
          <w:sz w:val="18"/>
          <w:szCs w:val="18"/>
        </w:rPr>
        <w:t xml:space="preserve"> The dividend declaration will be released as a separate announcement.</w:t>
      </w:r>
    </w:p>
    <w:p w14:paraId="6131E329" w14:textId="77777777" w:rsidR="00AE1E5C" w:rsidRDefault="00AE1E5C" w:rsidP="00AE1E5C">
      <w:pPr>
        <w:spacing w:after="60"/>
        <w:ind w:right="28"/>
        <w:rPr>
          <w:rFonts w:ascii="IBM Plex Sans Medium" w:hAnsi="IBM Plex Sans Medium"/>
          <w:b/>
          <w:color w:val="3D7FE0" w:themeColor="accent1"/>
          <w:sz w:val="20"/>
          <w:szCs w:val="18"/>
        </w:rPr>
      </w:pPr>
    </w:p>
    <w:p w14:paraId="51E4938E" w14:textId="77777777" w:rsidR="00AE1E5C" w:rsidRPr="00830B5D" w:rsidRDefault="00AE1E5C" w:rsidP="00AE1E5C">
      <w:pPr>
        <w:spacing w:after="60"/>
        <w:ind w:right="28"/>
        <w:rPr>
          <w:rFonts w:ascii="IBM Plex Sans Medium" w:hAnsi="IBM Plex Sans Medium"/>
          <w:b/>
          <w:color w:val="3D7FE0" w:themeColor="accent1"/>
          <w:sz w:val="20"/>
          <w:szCs w:val="18"/>
        </w:rPr>
      </w:pPr>
      <w:r w:rsidRPr="00830B5D">
        <w:rPr>
          <w:rFonts w:ascii="IBM Plex Sans Medium" w:hAnsi="IBM Plex Sans Medium"/>
          <w:b/>
          <w:color w:val="3D7FE0" w:themeColor="accent1"/>
          <w:sz w:val="20"/>
          <w:szCs w:val="18"/>
        </w:rPr>
        <w:t>Outlook</w:t>
      </w:r>
    </w:p>
    <w:p w14:paraId="48FD8B7F" w14:textId="77777777" w:rsidR="00AE1E5C" w:rsidRDefault="00AE1E5C" w:rsidP="00AE1E5C">
      <w:pPr>
        <w:spacing w:after="60" w:line="240" w:lineRule="exact"/>
        <w:ind w:right="28"/>
        <w:rPr>
          <w:rFonts w:ascii="IBM Plex Sans Light" w:hAnsi="IBM Plex Sans Light"/>
          <w:szCs w:val="18"/>
        </w:rPr>
      </w:pPr>
      <w:r>
        <w:rPr>
          <w:rFonts w:ascii="IBM Plex Sans Light" w:hAnsi="IBM Plex Sans Light"/>
          <w:szCs w:val="18"/>
        </w:rPr>
        <w:t>We had a strong 2023.  City centres remain the dominant locations for commerce and lifestyle.  Our destinations</w:t>
      </w:r>
      <w:r w:rsidRPr="00A21A96">
        <w:rPr>
          <w:rFonts w:ascii="IBM Plex Sans Light" w:hAnsi="IBM Plex Sans Light"/>
          <w:szCs w:val="18"/>
        </w:rPr>
        <w:t xml:space="preserve"> are in high demand by occupiers and visitors</w:t>
      </w:r>
      <w:r>
        <w:rPr>
          <w:rFonts w:ascii="IBM Plex Sans Light" w:hAnsi="IBM Plex Sans Light"/>
          <w:szCs w:val="18"/>
        </w:rPr>
        <w:t>. T</w:t>
      </w:r>
      <w:r w:rsidRPr="00A21A96">
        <w:rPr>
          <w:rFonts w:ascii="IBM Plex Sans Light" w:hAnsi="IBM Plex Sans Light"/>
          <w:szCs w:val="18"/>
        </w:rPr>
        <w:t xml:space="preserve">he importance of </w:t>
      </w:r>
      <w:r>
        <w:rPr>
          <w:rFonts w:ascii="IBM Plex Sans Light" w:hAnsi="IBM Plex Sans Light"/>
          <w:szCs w:val="18"/>
        </w:rPr>
        <w:t>a</w:t>
      </w:r>
      <w:r w:rsidRPr="00A21A96">
        <w:rPr>
          <w:rFonts w:ascii="IBM Plex Sans Light" w:hAnsi="IBM Plex Sans Light"/>
          <w:szCs w:val="18"/>
        </w:rPr>
        <w:t xml:space="preserve"> </w:t>
      </w:r>
      <w:r>
        <w:rPr>
          <w:rFonts w:ascii="IBM Plex Sans Light" w:hAnsi="IBM Plex Sans Light"/>
          <w:szCs w:val="18"/>
        </w:rPr>
        <w:t>physical</w:t>
      </w:r>
      <w:r w:rsidRPr="00A21A96">
        <w:rPr>
          <w:rFonts w:ascii="IBM Plex Sans Light" w:hAnsi="IBM Plex Sans Light"/>
          <w:szCs w:val="18"/>
        </w:rPr>
        <w:t xml:space="preserve"> presence</w:t>
      </w:r>
      <w:r>
        <w:rPr>
          <w:rFonts w:ascii="IBM Plex Sans Light" w:hAnsi="IBM Plex Sans Light"/>
          <w:szCs w:val="18"/>
        </w:rPr>
        <w:t xml:space="preserve"> in a digitally-integrated strategy for best-in-class operators</w:t>
      </w:r>
      <w:r w:rsidRPr="00A21A96">
        <w:rPr>
          <w:rFonts w:ascii="IBM Plex Sans Light" w:hAnsi="IBM Plex Sans Light"/>
          <w:szCs w:val="18"/>
        </w:rPr>
        <w:t xml:space="preserve"> </w:t>
      </w:r>
      <w:r>
        <w:rPr>
          <w:rFonts w:ascii="IBM Plex Sans Light" w:hAnsi="IBM Plex Sans Light"/>
          <w:szCs w:val="18"/>
        </w:rPr>
        <w:t>is undeniable</w:t>
      </w:r>
      <w:r w:rsidRPr="00A21A96">
        <w:rPr>
          <w:rFonts w:ascii="IBM Plex Sans Light" w:hAnsi="IBM Plex Sans Light"/>
          <w:szCs w:val="18"/>
        </w:rPr>
        <w:t>.</w:t>
      </w:r>
      <w:r>
        <w:rPr>
          <w:rFonts w:ascii="IBM Plex Sans Light" w:hAnsi="IBM Plex Sans Light"/>
          <w:szCs w:val="18"/>
        </w:rPr>
        <w:t xml:space="preserve">  Over time, we have a unique opportunity to complement our retail core with a broader mix of uses by repurposing existing space and unlocking value on adjacent land.</w:t>
      </w:r>
    </w:p>
    <w:p w14:paraId="41DD69F8" w14:textId="74F2848F" w:rsidR="00AE1E5C" w:rsidRDefault="00AE1E5C" w:rsidP="00AE1E5C">
      <w:pPr>
        <w:spacing w:after="60" w:line="240" w:lineRule="exact"/>
        <w:ind w:right="28"/>
        <w:rPr>
          <w:rFonts w:ascii="IBM Plex Sans Light" w:hAnsi="IBM Plex Sans Light"/>
          <w:b/>
          <w:szCs w:val="18"/>
        </w:rPr>
      </w:pPr>
      <w:r>
        <w:rPr>
          <w:rFonts w:ascii="IBM Plex Sans Light" w:hAnsi="IBM Plex Sans Light"/>
          <w:szCs w:val="18"/>
        </w:rPr>
        <w:t>We have a strong platform with long term visibility of income. We remain operationally disciplined and expect further cost reductions in 2024. We are confident in our ability to grow top line and earnings off a new base, and therefore create value for shareholders.</w:t>
      </w:r>
    </w:p>
    <w:p w14:paraId="663718F9" w14:textId="77777777" w:rsidR="00AE1E5C" w:rsidRPr="002B1994" w:rsidRDefault="00AE1E5C" w:rsidP="00AE1E5C">
      <w:pPr>
        <w:pStyle w:val="Heading2"/>
        <w:spacing w:after="0" w:line="240" w:lineRule="auto"/>
        <w:ind w:right="28"/>
        <w:rPr>
          <w:rFonts w:ascii="IBM Plex Sans Medium" w:hAnsi="IBM Plex Sans Medium"/>
          <w:color w:val="3D7FE0" w:themeColor="accent1"/>
          <w:sz w:val="20"/>
          <w:szCs w:val="18"/>
        </w:rPr>
      </w:pPr>
      <w:r w:rsidRPr="002B1994">
        <w:rPr>
          <w:rFonts w:ascii="IBM Plex Sans Medium" w:hAnsi="IBM Plex Sans Medium"/>
          <w:color w:val="3D7FE0" w:themeColor="accent1"/>
          <w:sz w:val="20"/>
          <w:szCs w:val="18"/>
        </w:rPr>
        <w:lastRenderedPageBreak/>
        <w:t xml:space="preserve">Results presentation today: </w:t>
      </w:r>
    </w:p>
    <w:p w14:paraId="6AC5E60A" w14:textId="77777777" w:rsidR="00AE1E5C" w:rsidRPr="002B1994" w:rsidRDefault="00AE1E5C" w:rsidP="00AE1E5C">
      <w:pPr>
        <w:ind w:right="-254"/>
        <w:rPr>
          <w:rFonts w:ascii="IBM Plex Sans Light" w:hAnsi="IBM Plex Sans Light"/>
        </w:rPr>
      </w:pPr>
      <w:r w:rsidRPr="002B1994">
        <w:rPr>
          <w:rFonts w:ascii="IBM Plex Sans Light" w:hAnsi="IBM Plex Sans Light"/>
        </w:rPr>
        <w:t>Hammerson will hold a presentation for analysts and investors at its Marble Arch House office to present its full year financial results for the 12 months ended 31 December 2023, followed by a Q&amp;A session.</w:t>
      </w:r>
    </w:p>
    <w:tbl>
      <w:tblPr>
        <w:tblStyle w:val="TableGrid"/>
        <w:tblW w:w="9923" w:type="dxa"/>
        <w:tblLook w:val="04A0" w:firstRow="1" w:lastRow="0" w:firstColumn="1" w:lastColumn="0" w:noHBand="0" w:noVBand="1"/>
      </w:tblPr>
      <w:tblGrid>
        <w:gridCol w:w="1843"/>
        <w:gridCol w:w="8080"/>
      </w:tblGrid>
      <w:tr w:rsidR="00AE1E5C" w:rsidRPr="00633190" w14:paraId="3E61B139" w14:textId="77777777" w:rsidTr="004203CD">
        <w:tc>
          <w:tcPr>
            <w:tcW w:w="1843" w:type="dxa"/>
          </w:tcPr>
          <w:p w14:paraId="451708D1" w14:textId="77777777" w:rsidR="00AE1E5C" w:rsidRPr="009B72BF" w:rsidRDefault="00AE1E5C" w:rsidP="004203CD">
            <w:pPr>
              <w:ind w:right="-254"/>
              <w:rPr>
                <w:rFonts w:ascii="IBM Plex Sans Light" w:hAnsi="IBM Plex Sans Light"/>
                <w:b/>
                <w:bCs/>
                <w:szCs w:val="18"/>
              </w:rPr>
            </w:pPr>
            <w:r w:rsidRPr="009B72BF">
              <w:rPr>
                <w:rFonts w:ascii="IBM Plex Sans Light" w:hAnsi="IBM Plex Sans Light"/>
                <w:b/>
                <w:bCs/>
                <w:szCs w:val="18"/>
              </w:rPr>
              <w:t xml:space="preserve">Date &amp; time: </w:t>
            </w:r>
          </w:p>
        </w:tc>
        <w:tc>
          <w:tcPr>
            <w:tcW w:w="8080" w:type="dxa"/>
          </w:tcPr>
          <w:p w14:paraId="1FBA0515" w14:textId="77777777" w:rsidR="00AE1E5C" w:rsidRPr="009B72BF" w:rsidRDefault="00AE1E5C" w:rsidP="004203CD">
            <w:pPr>
              <w:ind w:right="-254"/>
              <w:rPr>
                <w:rFonts w:ascii="IBM Plex Sans Light" w:hAnsi="IBM Plex Sans Light"/>
                <w:szCs w:val="18"/>
              </w:rPr>
            </w:pPr>
            <w:r w:rsidRPr="009B72BF">
              <w:rPr>
                <w:rFonts w:ascii="IBM Plex Sans Light" w:hAnsi="IBM Plex Sans Light"/>
                <w:szCs w:val="18"/>
              </w:rPr>
              <w:t>Thursday 29 February 2024 at 09.45 am (GMT)</w:t>
            </w:r>
          </w:p>
        </w:tc>
      </w:tr>
      <w:tr w:rsidR="00AE1E5C" w:rsidRPr="00633190" w14:paraId="0C8D6965" w14:textId="77777777" w:rsidTr="004203CD">
        <w:tc>
          <w:tcPr>
            <w:tcW w:w="1843" w:type="dxa"/>
          </w:tcPr>
          <w:p w14:paraId="44D8B332" w14:textId="77777777" w:rsidR="00AE1E5C" w:rsidRPr="00A14917" w:rsidRDefault="00AE1E5C" w:rsidP="004203CD">
            <w:pPr>
              <w:ind w:right="-254"/>
              <w:rPr>
                <w:rFonts w:ascii="IBM Plex Sans Light" w:hAnsi="IBM Plex Sans Light"/>
                <w:szCs w:val="18"/>
              </w:rPr>
            </w:pPr>
            <w:r w:rsidRPr="00A14917">
              <w:rPr>
                <w:rFonts w:ascii="IBM Plex Sans Light" w:hAnsi="IBM Plex Sans Light"/>
                <w:szCs w:val="18"/>
              </w:rPr>
              <w:t xml:space="preserve">Webcast link:  </w:t>
            </w:r>
          </w:p>
        </w:tc>
        <w:tc>
          <w:tcPr>
            <w:tcW w:w="8080" w:type="dxa"/>
          </w:tcPr>
          <w:p w14:paraId="485F56B0" w14:textId="01C2EDA3" w:rsidR="00AE1E5C" w:rsidRPr="009B72BF" w:rsidRDefault="008F2AF2" w:rsidP="004203CD">
            <w:pPr>
              <w:ind w:right="-254"/>
              <w:rPr>
                <w:rFonts w:ascii="IBM Plex Sans Light" w:hAnsi="IBM Plex Sans Light"/>
                <w:szCs w:val="18"/>
              </w:rPr>
            </w:pPr>
            <w:r w:rsidRPr="008F2AF2">
              <w:rPr>
                <w:rFonts w:ascii="IBM Plex Sans Light" w:hAnsi="IBM Plex Sans Light"/>
                <w:szCs w:val="18"/>
              </w:rPr>
              <w:t>https://hammerson-fy-results-2023.open-exchange.net/</w:t>
            </w:r>
          </w:p>
        </w:tc>
      </w:tr>
      <w:tr w:rsidR="00AE1E5C" w:rsidRPr="009B72BF" w14:paraId="2E4CE38F" w14:textId="77777777" w:rsidTr="004203CD">
        <w:tc>
          <w:tcPr>
            <w:tcW w:w="1843" w:type="dxa"/>
          </w:tcPr>
          <w:p w14:paraId="2810F7CC" w14:textId="77777777" w:rsidR="00AE1E5C" w:rsidRPr="00A14917" w:rsidRDefault="00AE1E5C" w:rsidP="004203CD">
            <w:pPr>
              <w:ind w:right="-254"/>
              <w:rPr>
                <w:rFonts w:ascii="IBM Plex Sans Light" w:hAnsi="IBM Plex Sans Light"/>
                <w:szCs w:val="18"/>
              </w:rPr>
            </w:pPr>
            <w:r w:rsidRPr="00A14917">
              <w:rPr>
                <w:rFonts w:ascii="IBM Plex Sans Light" w:hAnsi="IBM Plex Sans Light"/>
                <w:szCs w:val="18"/>
              </w:rPr>
              <w:t xml:space="preserve">Conference call: </w:t>
            </w:r>
          </w:p>
        </w:tc>
        <w:tc>
          <w:tcPr>
            <w:tcW w:w="8080" w:type="dxa"/>
          </w:tcPr>
          <w:p w14:paraId="2DFF181D" w14:textId="77777777" w:rsidR="00AE1E5C" w:rsidRPr="009B72BF" w:rsidRDefault="00AE1E5C" w:rsidP="004203CD">
            <w:pPr>
              <w:ind w:right="-254"/>
              <w:rPr>
                <w:rFonts w:ascii="IBM Plex Sans Light" w:hAnsi="IBM Plex Sans Light"/>
                <w:szCs w:val="18"/>
              </w:rPr>
            </w:pPr>
            <w:r w:rsidRPr="009B72BF">
              <w:rPr>
                <w:rFonts w:ascii="IBM Plex Sans Light" w:hAnsi="IBM Plex Sans Light"/>
                <w:szCs w:val="18"/>
              </w:rPr>
              <w:t>Quote Hammerson when prompted by the operator, access code 329183</w:t>
            </w:r>
          </w:p>
        </w:tc>
      </w:tr>
    </w:tbl>
    <w:p w14:paraId="56C2A250" w14:textId="77777777" w:rsidR="00AE1E5C" w:rsidRPr="009B72BF" w:rsidRDefault="00AE1E5C" w:rsidP="00AE1E5C">
      <w:pPr>
        <w:ind w:right="-254"/>
        <w:rPr>
          <w:rFonts w:ascii="IBM Plex Sans Light" w:hAnsi="IBM Plex Sans Light"/>
          <w:szCs w:val="18"/>
        </w:rPr>
      </w:pPr>
      <w:r w:rsidRPr="009B72BF">
        <w:rPr>
          <w:rFonts w:ascii="IBM Plex Sans Light" w:hAnsi="IBM Plex Sans Light"/>
          <w:szCs w:val="18"/>
        </w:rPr>
        <w:t>Please join the call 5 minutes before the booked start time to allow the operator to transfer you into the call by the scheduled start time</w:t>
      </w:r>
    </w:p>
    <w:tbl>
      <w:tblPr>
        <w:tblW w:w="9922" w:type="dxa"/>
        <w:tblCellMar>
          <w:left w:w="0" w:type="dxa"/>
          <w:right w:w="0" w:type="dxa"/>
        </w:tblCellMar>
        <w:tblLook w:val="00A0" w:firstRow="1" w:lastRow="0" w:firstColumn="1" w:lastColumn="0" w:noHBand="0" w:noVBand="0"/>
      </w:tblPr>
      <w:tblGrid>
        <w:gridCol w:w="1843"/>
        <w:gridCol w:w="5395"/>
        <w:gridCol w:w="2684"/>
      </w:tblGrid>
      <w:tr w:rsidR="00AE1E5C" w:rsidRPr="00633190" w14:paraId="2795A765" w14:textId="77777777" w:rsidTr="004203CD">
        <w:trPr>
          <w:trHeight w:hRule="exact" w:val="283"/>
        </w:trPr>
        <w:tc>
          <w:tcPr>
            <w:tcW w:w="1843" w:type="dxa"/>
            <w:vAlign w:val="center"/>
          </w:tcPr>
          <w:p w14:paraId="03D9CE34" w14:textId="77777777" w:rsidR="00AE1E5C" w:rsidRPr="00517631" w:rsidRDefault="00AE1E5C" w:rsidP="004203CD">
            <w:pPr>
              <w:pStyle w:val="Tabletext"/>
              <w:spacing w:before="20" w:line="240" w:lineRule="auto"/>
              <w:ind w:right="-2"/>
              <w:rPr>
                <w:rFonts w:ascii="IBM Plex Sans Light" w:hAnsi="IBM Plex Sans Light"/>
                <w:spacing w:val="-4"/>
                <w:sz w:val="18"/>
                <w:szCs w:val="18"/>
              </w:rPr>
            </w:pPr>
            <w:r w:rsidRPr="00517631">
              <w:rPr>
                <w:rFonts w:ascii="IBM Plex Sans Light" w:hAnsi="IBM Plex Sans Light"/>
                <w:spacing w:val="-4"/>
                <w:sz w:val="18"/>
                <w:szCs w:val="18"/>
              </w:rPr>
              <w:t>France:</w:t>
            </w:r>
          </w:p>
        </w:tc>
        <w:tc>
          <w:tcPr>
            <w:tcW w:w="5395" w:type="dxa"/>
            <w:vAlign w:val="center"/>
          </w:tcPr>
          <w:p w14:paraId="55C84D06" w14:textId="77777777" w:rsidR="00AE1E5C" w:rsidRPr="00517631" w:rsidRDefault="00AE1E5C" w:rsidP="004203CD">
            <w:pPr>
              <w:pStyle w:val="TableFigures"/>
              <w:spacing w:before="20" w:line="240" w:lineRule="auto"/>
              <w:jc w:val="left"/>
              <w:rPr>
                <w:rFonts w:ascii="IBM Plex Sans Light" w:hAnsi="IBM Plex Sans Light"/>
                <w:spacing w:val="-4"/>
                <w:sz w:val="18"/>
                <w:szCs w:val="18"/>
              </w:rPr>
            </w:pPr>
            <w:r w:rsidRPr="00517631">
              <w:rPr>
                <w:rFonts w:ascii="IBM Plex Sans Light" w:hAnsi="IBM Plex Sans Light"/>
                <w:spacing w:val="-4"/>
                <w:sz w:val="18"/>
                <w:szCs w:val="18"/>
              </w:rPr>
              <w:t>+33 9 7073 3958</w:t>
            </w:r>
          </w:p>
        </w:tc>
        <w:tc>
          <w:tcPr>
            <w:tcW w:w="2684" w:type="dxa"/>
            <w:vAlign w:val="center"/>
          </w:tcPr>
          <w:p w14:paraId="003FB880" w14:textId="77777777" w:rsidR="00AE1E5C" w:rsidRPr="00633190" w:rsidRDefault="00AE1E5C" w:rsidP="004203CD">
            <w:pPr>
              <w:pStyle w:val="TableFigures"/>
              <w:spacing w:before="20" w:line="240" w:lineRule="auto"/>
              <w:jc w:val="left"/>
              <w:rPr>
                <w:rFonts w:ascii="IBM Plex Sans Light" w:hAnsi="IBM Plex Sans Light"/>
                <w:spacing w:val="-4"/>
                <w:sz w:val="18"/>
                <w:szCs w:val="18"/>
                <w:highlight w:val="yellow"/>
              </w:rPr>
            </w:pPr>
          </w:p>
        </w:tc>
      </w:tr>
      <w:tr w:rsidR="00AE1E5C" w:rsidRPr="00633190" w14:paraId="24A3814C" w14:textId="77777777" w:rsidTr="004203CD">
        <w:trPr>
          <w:trHeight w:hRule="exact" w:val="283"/>
        </w:trPr>
        <w:tc>
          <w:tcPr>
            <w:tcW w:w="1843" w:type="dxa"/>
            <w:vAlign w:val="center"/>
          </w:tcPr>
          <w:p w14:paraId="33439D91" w14:textId="77777777" w:rsidR="00AE1E5C" w:rsidRPr="00517631" w:rsidRDefault="00AE1E5C" w:rsidP="004203CD">
            <w:pPr>
              <w:pStyle w:val="Tabletext"/>
              <w:spacing w:before="20" w:line="240" w:lineRule="auto"/>
              <w:ind w:right="-2"/>
              <w:rPr>
                <w:rFonts w:ascii="IBM Plex Sans Light" w:hAnsi="IBM Plex Sans Light"/>
                <w:spacing w:val="-4"/>
                <w:sz w:val="18"/>
                <w:szCs w:val="18"/>
              </w:rPr>
            </w:pPr>
            <w:r>
              <w:rPr>
                <w:rFonts w:ascii="IBM Plex Sans Light" w:hAnsi="IBM Plex Sans Light"/>
                <w:spacing w:val="-4"/>
                <w:sz w:val="18"/>
                <w:szCs w:val="18"/>
              </w:rPr>
              <w:t>Ireland:</w:t>
            </w:r>
          </w:p>
        </w:tc>
        <w:tc>
          <w:tcPr>
            <w:tcW w:w="5395" w:type="dxa"/>
            <w:vAlign w:val="center"/>
          </w:tcPr>
          <w:p w14:paraId="44009DAA" w14:textId="77777777" w:rsidR="00AE1E5C" w:rsidRPr="00517631" w:rsidRDefault="00AE1E5C" w:rsidP="004203CD">
            <w:pPr>
              <w:pStyle w:val="TableFigures"/>
              <w:spacing w:before="20" w:line="240" w:lineRule="auto"/>
              <w:jc w:val="left"/>
              <w:rPr>
                <w:rFonts w:ascii="IBM Plex Sans Light" w:hAnsi="IBM Plex Sans Light"/>
                <w:spacing w:val="-4"/>
                <w:sz w:val="18"/>
                <w:szCs w:val="18"/>
              </w:rPr>
            </w:pPr>
            <w:r>
              <w:rPr>
                <w:rFonts w:ascii="IBM Plex Sans Light" w:hAnsi="IBM Plex Sans Light"/>
                <w:spacing w:val="-4"/>
                <w:sz w:val="18"/>
                <w:szCs w:val="18"/>
              </w:rPr>
              <w:t xml:space="preserve">+353 1 </w:t>
            </w:r>
            <w:r w:rsidRPr="00517631">
              <w:rPr>
                <w:rFonts w:ascii="IBM Plex Sans Light" w:hAnsi="IBM Plex Sans Light"/>
                <w:spacing w:val="-4"/>
                <w:sz w:val="18"/>
                <w:szCs w:val="18"/>
              </w:rPr>
              <w:t>691 7842</w:t>
            </w:r>
          </w:p>
        </w:tc>
        <w:tc>
          <w:tcPr>
            <w:tcW w:w="2684" w:type="dxa"/>
            <w:vAlign w:val="center"/>
          </w:tcPr>
          <w:p w14:paraId="66AD625D" w14:textId="77777777" w:rsidR="00AE1E5C" w:rsidRPr="00633190" w:rsidRDefault="00AE1E5C" w:rsidP="004203CD">
            <w:pPr>
              <w:pStyle w:val="TableFigures"/>
              <w:spacing w:before="20" w:line="240" w:lineRule="auto"/>
              <w:jc w:val="left"/>
              <w:rPr>
                <w:rFonts w:ascii="IBM Plex Sans Light" w:hAnsi="IBM Plex Sans Light"/>
                <w:spacing w:val="-4"/>
                <w:sz w:val="18"/>
                <w:szCs w:val="18"/>
                <w:highlight w:val="yellow"/>
              </w:rPr>
            </w:pPr>
          </w:p>
        </w:tc>
      </w:tr>
      <w:tr w:rsidR="00AE1E5C" w:rsidRPr="00633190" w14:paraId="4B9B2A72" w14:textId="77777777" w:rsidTr="004203CD">
        <w:trPr>
          <w:trHeight w:hRule="exact" w:val="283"/>
        </w:trPr>
        <w:tc>
          <w:tcPr>
            <w:tcW w:w="1843" w:type="dxa"/>
            <w:vAlign w:val="center"/>
          </w:tcPr>
          <w:p w14:paraId="2FA40F96" w14:textId="77777777" w:rsidR="00AE1E5C" w:rsidRPr="003F7209" w:rsidRDefault="00AE1E5C" w:rsidP="004203CD">
            <w:pPr>
              <w:pStyle w:val="Tabletext"/>
              <w:spacing w:before="20" w:line="240" w:lineRule="auto"/>
              <w:ind w:right="-2"/>
              <w:rPr>
                <w:rFonts w:ascii="IBM Plex Sans Light" w:hAnsi="IBM Plex Sans Light"/>
                <w:spacing w:val="-4"/>
                <w:sz w:val="18"/>
                <w:szCs w:val="18"/>
              </w:rPr>
            </w:pPr>
            <w:r w:rsidRPr="003F7209">
              <w:rPr>
                <w:rFonts w:ascii="IBM Plex Sans Light" w:hAnsi="IBM Plex Sans Light"/>
                <w:spacing w:val="-4"/>
                <w:sz w:val="18"/>
                <w:szCs w:val="18"/>
              </w:rPr>
              <w:t>Netherlands:</w:t>
            </w:r>
          </w:p>
        </w:tc>
        <w:tc>
          <w:tcPr>
            <w:tcW w:w="5395" w:type="dxa"/>
            <w:vAlign w:val="center"/>
          </w:tcPr>
          <w:p w14:paraId="43F6B234" w14:textId="77777777" w:rsidR="00AE1E5C" w:rsidRPr="003F7209" w:rsidRDefault="00AE1E5C" w:rsidP="004203CD">
            <w:pPr>
              <w:pStyle w:val="TableFigures"/>
              <w:spacing w:before="20" w:line="240" w:lineRule="auto"/>
              <w:jc w:val="left"/>
              <w:rPr>
                <w:rFonts w:ascii="IBM Plex Sans Light" w:hAnsi="IBM Plex Sans Light"/>
                <w:spacing w:val="-4"/>
                <w:sz w:val="18"/>
                <w:szCs w:val="18"/>
              </w:rPr>
            </w:pPr>
            <w:r w:rsidRPr="003F7209">
              <w:rPr>
                <w:rFonts w:ascii="IBM Plex Sans Light" w:hAnsi="IBM Plex Sans Light"/>
                <w:spacing w:val="-4"/>
                <w:sz w:val="18"/>
                <w:szCs w:val="18"/>
              </w:rPr>
              <w:t>+31 85 888 7233</w:t>
            </w:r>
          </w:p>
        </w:tc>
        <w:tc>
          <w:tcPr>
            <w:tcW w:w="2684" w:type="dxa"/>
            <w:vAlign w:val="center"/>
          </w:tcPr>
          <w:p w14:paraId="6A1F3E05" w14:textId="77777777" w:rsidR="00AE1E5C" w:rsidRPr="00633190" w:rsidRDefault="00AE1E5C" w:rsidP="004203CD">
            <w:pPr>
              <w:pStyle w:val="TableFigures"/>
              <w:spacing w:before="20" w:line="240" w:lineRule="auto"/>
              <w:ind w:left="70"/>
              <w:jc w:val="left"/>
              <w:rPr>
                <w:rFonts w:ascii="IBM Plex Sans Light" w:hAnsi="IBM Plex Sans Light"/>
                <w:spacing w:val="-4"/>
                <w:sz w:val="18"/>
                <w:szCs w:val="18"/>
                <w:highlight w:val="yellow"/>
              </w:rPr>
            </w:pPr>
          </w:p>
        </w:tc>
      </w:tr>
      <w:tr w:rsidR="00AE1E5C" w:rsidRPr="00633190" w14:paraId="072EE3FE" w14:textId="77777777" w:rsidTr="004203CD">
        <w:trPr>
          <w:trHeight w:hRule="exact" w:val="283"/>
        </w:trPr>
        <w:tc>
          <w:tcPr>
            <w:tcW w:w="1843" w:type="dxa"/>
            <w:vAlign w:val="center"/>
          </w:tcPr>
          <w:p w14:paraId="1AB82F15" w14:textId="77777777" w:rsidR="00AE1E5C" w:rsidRPr="003F7209" w:rsidRDefault="00AE1E5C" w:rsidP="004203CD">
            <w:pPr>
              <w:pStyle w:val="Tabletext"/>
              <w:spacing w:before="20" w:line="240" w:lineRule="auto"/>
              <w:ind w:right="-2"/>
              <w:rPr>
                <w:rFonts w:ascii="IBM Plex Sans Light" w:hAnsi="IBM Plex Sans Light"/>
                <w:spacing w:val="-4"/>
                <w:sz w:val="18"/>
                <w:szCs w:val="18"/>
              </w:rPr>
            </w:pPr>
            <w:r>
              <w:rPr>
                <w:rFonts w:ascii="IBM Plex Sans Light" w:hAnsi="IBM Plex Sans Light"/>
                <w:spacing w:val="-4"/>
                <w:sz w:val="18"/>
                <w:szCs w:val="18"/>
              </w:rPr>
              <w:t>South Africa:</w:t>
            </w:r>
          </w:p>
        </w:tc>
        <w:tc>
          <w:tcPr>
            <w:tcW w:w="5395" w:type="dxa"/>
            <w:vAlign w:val="center"/>
          </w:tcPr>
          <w:p w14:paraId="26F3000A" w14:textId="77777777" w:rsidR="00AE1E5C" w:rsidRPr="003F7209" w:rsidRDefault="00AE1E5C" w:rsidP="004203CD">
            <w:pPr>
              <w:pStyle w:val="TableFigures"/>
              <w:spacing w:before="20" w:line="240" w:lineRule="auto"/>
              <w:jc w:val="left"/>
              <w:rPr>
                <w:rFonts w:ascii="IBM Plex Sans Light" w:hAnsi="IBM Plex Sans Light"/>
                <w:spacing w:val="-4"/>
                <w:sz w:val="18"/>
                <w:szCs w:val="18"/>
              </w:rPr>
            </w:pPr>
            <w:r>
              <w:rPr>
                <w:rFonts w:ascii="IBM Plex Sans Light" w:hAnsi="IBM Plex Sans Light"/>
                <w:spacing w:val="-4"/>
                <w:sz w:val="18"/>
                <w:szCs w:val="18"/>
              </w:rPr>
              <w:t>+27 87 550 8441</w:t>
            </w:r>
          </w:p>
        </w:tc>
        <w:tc>
          <w:tcPr>
            <w:tcW w:w="2684" w:type="dxa"/>
            <w:vAlign w:val="center"/>
          </w:tcPr>
          <w:p w14:paraId="53553714" w14:textId="77777777" w:rsidR="00AE1E5C" w:rsidRPr="00633190" w:rsidRDefault="00AE1E5C" w:rsidP="004203CD">
            <w:pPr>
              <w:pStyle w:val="TableFigures"/>
              <w:spacing w:before="20" w:line="240" w:lineRule="auto"/>
              <w:ind w:left="70"/>
              <w:jc w:val="left"/>
              <w:rPr>
                <w:rFonts w:ascii="IBM Plex Sans Light" w:hAnsi="IBM Plex Sans Light"/>
                <w:sz w:val="18"/>
                <w:szCs w:val="18"/>
                <w:highlight w:val="yellow"/>
              </w:rPr>
            </w:pPr>
          </w:p>
        </w:tc>
      </w:tr>
      <w:tr w:rsidR="00AE1E5C" w:rsidRPr="00633190" w14:paraId="6AF8AFF7" w14:textId="77777777" w:rsidTr="004203CD">
        <w:trPr>
          <w:trHeight w:hRule="exact" w:val="283"/>
        </w:trPr>
        <w:tc>
          <w:tcPr>
            <w:tcW w:w="1843" w:type="dxa"/>
            <w:vAlign w:val="center"/>
          </w:tcPr>
          <w:p w14:paraId="2CED4611" w14:textId="77777777" w:rsidR="00AE1E5C" w:rsidRPr="00784ED8" w:rsidRDefault="00AE1E5C" w:rsidP="004203CD">
            <w:pPr>
              <w:pStyle w:val="Tabletext"/>
              <w:spacing w:before="20" w:line="240" w:lineRule="auto"/>
              <w:ind w:right="-2"/>
              <w:rPr>
                <w:rFonts w:ascii="IBM Plex Sans Light" w:hAnsi="IBM Plex Sans Light"/>
                <w:spacing w:val="-4"/>
                <w:sz w:val="18"/>
                <w:szCs w:val="18"/>
              </w:rPr>
            </w:pPr>
            <w:r w:rsidRPr="00784ED8">
              <w:rPr>
                <w:rFonts w:ascii="IBM Plex Sans Light" w:hAnsi="IBM Plex Sans Light"/>
                <w:spacing w:val="-4"/>
                <w:sz w:val="18"/>
                <w:szCs w:val="18"/>
              </w:rPr>
              <w:t>UK:</w:t>
            </w:r>
          </w:p>
        </w:tc>
        <w:tc>
          <w:tcPr>
            <w:tcW w:w="5395" w:type="dxa"/>
            <w:vAlign w:val="center"/>
          </w:tcPr>
          <w:p w14:paraId="25A5B5E5" w14:textId="77777777" w:rsidR="00AE1E5C" w:rsidRPr="00784ED8" w:rsidRDefault="00AE1E5C" w:rsidP="004203CD">
            <w:pPr>
              <w:pStyle w:val="Tabletext"/>
              <w:spacing w:before="20" w:line="240" w:lineRule="auto"/>
              <w:rPr>
                <w:rFonts w:ascii="IBM Plex Sans Light" w:hAnsi="IBM Plex Sans Light"/>
                <w:spacing w:val="-4"/>
                <w:sz w:val="18"/>
                <w:szCs w:val="18"/>
              </w:rPr>
            </w:pPr>
            <w:r w:rsidRPr="00784ED8">
              <w:rPr>
                <w:rFonts w:ascii="IBM Plex Sans Light" w:hAnsi="IBM Plex Sans Light"/>
                <w:spacing w:val="-4"/>
                <w:sz w:val="18"/>
                <w:szCs w:val="18"/>
              </w:rPr>
              <w:t>+44 20 3936 2999</w:t>
            </w:r>
          </w:p>
        </w:tc>
        <w:tc>
          <w:tcPr>
            <w:tcW w:w="2684" w:type="dxa"/>
            <w:vAlign w:val="center"/>
          </w:tcPr>
          <w:p w14:paraId="613FE31D" w14:textId="77777777" w:rsidR="00AE1E5C" w:rsidRPr="00633190" w:rsidRDefault="00AE1E5C" w:rsidP="004203CD">
            <w:pPr>
              <w:pStyle w:val="TablesTableFigures"/>
              <w:spacing w:before="20" w:after="20"/>
              <w:ind w:left="144"/>
              <w:jc w:val="left"/>
              <w:rPr>
                <w:rFonts w:ascii="IBM Plex Sans Light" w:hAnsi="IBM Plex Sans Light"/>
                <w:sz w:val="18"/>
                <w:szCs w:val="18"/>
                <w:highlight w:val="yellow"/>
              </w:rPr>
            </w:pPr>
          </w:p>
        </w:tc>
      </w:tr>
      <w:tr w:rsidR="00AE1E5C" w:rsidRPr="00633190" w14:paraId="01531254" w14:textId="77777777" w:rsidTr="004203CD">
        <w:trPr>
          <w:trHeight w:hRule="exact" w:val="283"/>
        </w:trPr>
        <w:tc>
          <w:tcPr>
            <w:tcW w:w="1843" w:type="dxa"/>
            <w:vAlign w:val="center"/>
          </w:tcPr>
          <w:p w14:paraId="61838E2A" w14:textId="77777777" w:rsidR="00AE1E5C" w:rsidRPr="00784ED8" w:rsidRDefault="00AE1E5C" w:rsidP="004203CD">
            <w:pPr>
              <w:pStyle w:val="Tabletext"/>
              <w:spacing w:before="20" w:line="240" w:lineRule="auto"/>
              <w:ind w:right="-2"/>
              <w:rPr>
                <w:rFonts w:ascii="IBM Plex Sans Light" w:hAnsi="IBM Plex Sans Light"/>
                <w:spacing w:val="-4"/>
                <w:sz w:val="18"/>
                <w:szCs w:val="18"/>
              </w:rPr>
            </w:pPr>
            <w:r w:rsidRPr="00784ED8">
              <w:rPr>
                <w:rFonts w:ascii="IBM Plex Sans Light" w:hAnsi="IBM Plex Sans Light"/>
                <w:spacing w:val="-4"/>
                <w:sz w:val="18"/>
                <w:szCs w:val="18"/>
              </w:rPr>
              <w:t>USA:</w:t>
            </w:r>
          </w:p>
        </w:tc>
        <w:tc>
          <w:tcPr>
            <w:tcW w:w="5395" w:type="dxa"/>
            <w:vAlign w:val="center"/>
          </w:tcPr>
          <w:p w14:paraId="0EF1CFC8" w14:textId="77777777" w:rsidR="00AE1E5C" w:rsidRPr="00784ED8" w:rsidRDefault="00AE1E5C" w:rsidP="004203CD">
            <w:pPr>
              <w:pStyle w:val="Tabletext"/>
              <w:spacing w:before="20" w:line="240" w:lineRule="auto"/>
              <w:rPr>
                <w:rFonts w:ascii="IBM Plex Sans Light" w:hAnsi="IBM Plex Sans Light"/>
                <w:spacing w:val="-4"/>
                <w:sz w:val="18"/>
                <w:szCs w:val="18"/>
              </w:rPr>
            </w:pPr>
            <w:r w:rsidRPr="00784ED8">
              <w:rPr>
                <w:rFonts w:ascii="IBM Plex Sans Light" w:hAnsi="IBM Plex Sans Light"/>
                <w:spacing w:val="-4"/>
                <w:sz w:val="18"/>
                <w:szCs w:val="18"/>
              </w:rPr>
              <w:t>+1 646 787 9445</w:t>
            </w:r>
          </w:p>
        </w:tc>
        <w:tc>
          <w:tcPr>
            <w:tcW w:w="2684" w:type="dxa"/>
            <w:vAlign w:val="center"/>
          </w:tcPr>
          <w:p w14:paraId="6DBCDC0F" w14:textId="77777777" w:rsidR="00AE1E5C" w:rsidRPr="00633190" w:rsidRDefault="00AE1E5C" w:rsidP="004203CD">
            <w:pPr>
              <w:pStyle w:val="TablesTableFigures"/>
              <w:spacing w:before="20" w:after="20"/>
              <w:ind w:left="144"/>
              <w:jc w:val="left"/>
              <w:rPr>
                <w:rFonts w:ascii="IBM Plex Sans Light" w:hAnsi="IBM Plex Sans Light"/>
                <w:sz w:val="18"/>
                <w:szCs w:val="18"/>
                <w:highlight w:val="yellow"/>
              </w:rPr>
            </w:pPr>
          </w:p>
        </w:tc>
      </w:tr>
    </w:tbl>
    <w:p w14:paraId="6AF2E320" w14:textId="77777777" w:rsidR="00AE1E5C" w:rsidRPr="004552BA" w:rsidRDefault="00AE1E5C" w:rsidP="00AE1E5C">
      <w:pPr>
        <w:pStyle w:val="NormalWeb"/>
        <w:spacing w:before="120" w:after="180"/>
        <w:rPr>
          <w:rFonts w:ascii="IBM Plex Sans Light" w:hAnsi="IBM Plex Sans Light"/>
          <w:color w:val="000000"/>
          <w:spacing w:val="-4"/>
          <w:sz w:val="18"/>
          <w:szCs w:val="18"/>
        </w:rPr>
      </w:pPr>
      <w:r w:rsidRPr="00A14917">
        <w:rPr>
          <w:rFonts w:ascii="IBM Plex Sans Light" w:hAnsi="IBM Plex Sans Light"/>
          <w:color w:val="000000"/>
          <w:spacing w:val="-4"/>
          <w:sz w:val="18"/>
          <w:szCs w:val="18"/>
        </w:rPr>
        <w:t>The presentation and press release will be available at: https://www.hammerson.com/investors/reports-results-presentations </w:t>
      </w:r>
      <w:hyperlink r:id="rId8" w:history="1">
        <w:r w:rsidRPr="00A14917">
          <w:rPr>
            <w:rFonts w:ascii="IBM Plex Sans Light" w:hAnsi="IBM Plex Sans Light"/>
            <w:color w:val="000000"/>
            <w:spacing w:val="-4"/>
            <w:sz w:val="18"/>
            <w:szCs w:val="18"/>
          </w:rPr>
          <w:t>on the morning of results</w:t>
        </w:r>
      </w:hyperlink>
      <w:r w:rsidRPr="00A14917">
        <w:rPr>
          <w:rFonts w:ascii="IBM Plex Sans Light" w:hAnsi="IBM Plex Sans Light"/>
          <w:color w:val="000000"/>
          <w:spacing w:val="-4"/>
          <w:sz w:val="18"/>
          <w:szCs w:val="18"/>
        </w:rPr>
        <w:t>.</w:t>
      </w:r>
    </w:p>
    <w:p w14:paraId="03002ED4" w14:textId="77777777" w:rsidR="00AE1E5C" w:rsidRPr="00FF7403" w:rsidRDefault="00AE1E5C" w:rsidP="00AE1E5C">
      <w:pPr>
        <w:pStyle w:val="Heading2"/>
        <w:spacing w:after="0" w:line="240" w:lineRule="auto"/>
        <w:ind w:right="28"/>
        <w:rPr>
          <w:rFonts w:ascii="IBM Plex Sans Medium" w:hAnsi="IBM Plex Sans Medium"/>
          <w:color w:val="3D7FE0" w:themeColor="accent1"/>
          <w:sz w:val="20"/>
          <w:szCs w:val="18"/>
        </w:rPr>
      </w:pPr>
      <w:r w:rsidRPr="00FF7403">
        <w:rPr>
          <w:rFonts w:ascii="IBM Plex Sans Medium" w:hAnsi="IBM Plex Sans Medium"/>
          <w:color w:val="3D7FE0" w:themeColor="accent1"/>
          <w:sz w:val="20"/>
          <w:szCs w:val="18"/>
        </w:rPr>
        <w:t>Enquiries:</w:t>
      </w:r>
    </w:p>
    <w:tbl>
      <w:tblPr>
        <w:tblW w:w="9922" w:type="dxa"/>
        <w:tblCellMar>
          <w:left w:w="0" w:type="dxa"/>
          <w:right w:w="0" w:type="dxa"/>
        </w:tblCellMar>
        <w:tblLook w:val="00A0" w:firstRow="1" w:lastRow="0" w:firstColumn="1" w:lastColumn="0" w:noHBand="0" w:noVBand="0"/>
      </w:tblPr>
      <w:tblGrid>
        <w:gridCol w:w="4905"/>
        <w:gridCol w:w="2248"/>
        <w:gridCol w:w="2769"/>
      </w:tblGrid>
      <w:tr w:rsidR="00AE1E5C" w:rsidRPr="004552BA" w14:paraId="688841C6" w14:textId="77777777" w:rsidTr="004203CD">
        <w:trPr>
          <w:trHeight w:hRule="exact" w:val="340"/>
        </w:trPr>
        <w:tc>
          <w:tcPr>
            <w:tcW w:w="4962" w:type="dxa"/>
            <w:vAlign w:val="center"/>
          </w:tcPr>
          <w:p w14:paraId="39111EC2" w14:textId="77777777" w:rsidR="00AE1E5C" w:rsidRPr="004552BA" w:rsidRDefault="00AE1E5C" w:rsidP="004203CD">
            <w:pPr>
              <w:pStyle w:val="Tabletext"/>
              <w:spacing w:before="60" w:after="60" w:line="240" w:lineRule="auto"/>
              <w:ind w:right="-2"/>
              <w:rPr>
                <w:rFonts w:ascii="IBM Plex Sans Light" w:hAnsi="IBM Plex Sans Light"/>
                <w:spacing w:val="-4"/>
                <w:sz w:val="18"/>
                <w:szCs w:val="18"/>
              </w:rPr>
            </w:pPr>
            <w:r w:rsidRPr="004552BA">
              <w:rPr>
                <w:rFonts w:ascii="IBM Plex Sans Light" w:hAnsi="IBM Plex Sans Light"/>
                <w:spacing w:val="-4"/>
                <w:sz w:val="18"/>
                <w:szCs w:val="18"/>
              </w:rPr>
              <w:t>Rita-Rose Gagné, Chief Executive Officer</w:t>
            </w:r>
          </w:p>
        </w:tc>
        <w:tc>
          <w:tcPr>
            <w:tcW w:w="2276" w:type="dxa"/>
            <w:vAlign w:val="center"/>
          </w:tcPr>
          <w:p w14:paraId="60D5C49B" w14:textId="77777777" w:rsidR="00AE1E5C" w:rsidRPr="004552BA" w:rsidRDefault="00AE1E5C" w:rsidP="004203CD">
            <w:pPr>
              <w:pStyle w:val="TableFigures"/>
              <w:spacing w:before="60" w:after="60" w:line="240" w:lineRule="auto"/>
              <w:jc w:val="center"/>
              <w:rPr>
                <w:rFonts w:ascii="IBM Plex Sans Light" w:hAnsi="IBM Plex Sans Light"/>
                <w:spacing w:val="-4"/>
                <w:sz w:val="18"/>
                <w:szCs w:val="18"/>
              </w:rPr>
            </w:pPr>
            <w:r w:rsidRPr="004552BA">
              <w:rPr>
                <w:rFonts w:ascii="IBM Plex Sans Light" w:hAnsi="IBM Plex Sans Light"/>
                <w:spacing w:val="-4"/>
                <w:sz w:val="18"/>
                <w:szCs w:val="18"/>
              </w:rPr>
              <w:t>Tel: +44 (0)20 7887 1000</w:t>
            </w:r>
          </w:p>
        </w:tc>
        <w:tc>
          <w:tcPr>
            <w:tcW w:w="2684" w:type="dxa"/>
            <w:vAlign w:val="center"/>
          </w:tcPr>
          <w:p w14:paraId="03E44DC5" w14:textId="77777777" w:rsidR="00AE1E5C" w:rsidRPr="004552BA" w:rsidRDefault="00AE1E5C" w:rsidP="004203CD">
            <w:pPr>
              <w:pStyle w:val="TableFigures"/>
              <w:spacing w:before="60" w:after="60" w:line="240" w:lineRule="auto"/>
              <w:jc w:val="left"/>
              <w:rPr>
                <w:rFonts w:ascii="IBM Plex Sans Light" w:hAnsi="IBM Plex Sans Light"/>
                <w:spacing w:val="-4"/>
                <w:sz w:val="18"/>
                <w:szCs w:val="18"/>
              </w:rPr>
            </w:pPr>
          </w:p>
        </w:tc>
      </w:tr>
      <w:tr w:rsidR="00AE1E5C" w:rsidRPr="004552BA" w14:paraId="02784252" w14:textId="77777777" w:rsidTr="004203CD">
        <w:trPr>
          <w:trHeight w:hRule="exact" w:val="340"/>
        </w:trPr>
        <w:tc>
          <w:tcPr>
            <w:tcW w:w="4962" w:type="dxa"/>
            <w:vAlign w:val="center"/>
          </w:tcPr>
          <w:p w14:paraId="4E504682" w14:textId="77777777" w:rsidR="00AE1E5C" w:rsidRPr="004552BA" w:rsidRDefault="00AE1E5C" w:rsidP="004203CD">
            <w:pPr>
              <w:pStyle w:val="Tabletext"/>
              <w:spacing w:before="60" w:after="60" w:line="240" w:lineRule="auto"/>
              <w:ind w:right="-2"/>
              <w:rPr>
                <w:rFonts w:ascii="IBM Plex Sans Light" w:hAnsi="IBM Plex Sans Light"/>
                <w:spacing w:val="-4"/>
                <w:sz w:val="18"/>
                <w:szCs w:val="18"/>
              </w:rPr>
            </w:pPr>
            <w:r w:rsidRPr="004552BA">
              <w:rPr>
                <w:rFonts w:ascii="IBM Plex Sans Light" w:hAnsi="IBM Plex Sans Light"/>
                <w:spacing w:val="-4"/>
                <w:sz w:val="18"/>
                <w:szCs w:val="18"/>
              </w:rPr>
              <w:t xml:space="preserve">Himanshu Raja, Chief Financial Officer </w:t>
            </w:r>
          </w:p>
        </w:tc>
        <w:tc>
          <w:tcPr>
            <w:tcW w:w="2276" w:type="dxa"/>
            <w:vAlign w:val="center"/>
          </w:tcPr>
          <w:p w14:paraId="78ADD38C" w14:textId="77777777" w:rsidR="00AE1E5C" w:rsidRPr="004552BA" w:rsidRDefault="00AE1E5C" w:rsidP="004203CD">
            <w:pPr>
              <w:pStyle w:val="TableFigures"/>
              <w:spacing w:before="60" w:after="60" w:line="240" w:lineRule="auto"/>
              <w:jc w:val="center"/>
              <w:rPr>
                <w:rFonts w:ascii="IBM Plex Sans Light" w:hAnsi="IBM Plex Sans Light"/>
                <w:spacing w:val="-4"/>
                <w:sz w:val="18"/>
                <w:szCs w:val="18"/>
              </w:rPr>
            </w:pPr>
            <w:r w:rsidRPr="004552BA">
              <w:rPr>
                <w:rFonts w:ascii="IBM Plex Sans Light" w:hAnsi="IBM Plex Sans Light"/>
                <w:spacing w:val="-4"/>
                <w:sz w:val="18"/>
                <w:szCs w:val="18"/>
              </w:rPr>
              <w:t>Tel: +44 (0)20 7887 1000</w:t>
            </w:r>
          </w:p>
        </w:tc>
        <w:tc>
          <w:tcPr>
            <w:tcW w:w="2684" w:type="dxa"/>
            <w:vAlign w:val="center"/>
          </w:tcPr>
          <w:p w14:paraId="3F999865" w14:textId="77777777" w:rsidR="00AE1E5C" w:rsidRPr="004552BA" w:rsidRDefault="00AE1E5C" w:rsidP="004203CD">
            <w:pPr>
              <w:pStyle w:val="TableFigures"/>
              <w:spacing w:before="60" w:after="60" w:line="240" w:lineRule="auto"/>
              <w:jc w:val="left"/>
              <w:rPr>
                <w:rFonts w:ascii="IBM Plex Sans Light" w:hAnsi="IBM Plex Sans Light"/>
                <w:spacing w:val="-4"/>
                <w:sz w:val="18"/>
                <w:szCs w:val="18"/>
              </w:rPr>
            </w:pPr>
          </w:p>
        </w:tc>
      </w:tr>
      <w:tr w:rsidR="00AE1E5C" w:rsidRPr="004552BA" w14:paraId="5DA72DEB" w14:textId="77777777" w:rsidTr="004203CD">
        <w:trPr>
          <w:trHeight w:hRule="exact" w:val="340"/>
        </w:trPr>
        <w:tc>
          <w:tcPr>
            <w:tcW w:w="4962" w:type="dxa"/>
            <w:vAlign w:val="center"/>
          </w:tcPr>
          <w:p w14:paraId="5A94FF48" w14:textId="77777777" w:rsidR="00AE1E5C" w:rsidRPr="004552BA" w:rsidRDefault="00AE1E5C" w:rsidP="004203CD">
            <w:pPr>
              <w:pStyle w:val="Tabletext"/>
              <w:spacing w:before="60" w:after="60" w:line="240" w:lineRule="auto"/>
              <w:ind w:right="-2"/>
              <w:rPr>
                <w:rFonts w:ascii="IBM Plex Sans Light" w:hAnsi="IBM Plex Sans Light"/>
                <w:spacing w:val="-4"/>
                <w:sz w:val="18"/>
                <w:szCs w:val="18"/>
              </w:rPr>
            </w:pPr>
            <w:r w:rsidRPr="004552BA">
              <w:rPr>
                <w:rFonts w:ascii="IBM Plex Sans Light" w:hAnsi="IBM Plex Sans Light"/>
                <w:spacing w:val="-4"/>
                <w:sz w:val="18"/>
                <w:szCs w:val="18"/>
              </w:rPr>
              <w:t>Josh Warren, Director of Strategy</w:t>
            </w:r>
            <w:r>
              <w:rPr>
                <w:rFonts w:ascii="IBM Plex Sans Light" w:hAnsi="IBM Plex Sans Light"/>
                <w:spacing w:val="-4"/>
                <w:sz w:val="18"/>
                <w:szCs w:val="18"/>
              </w:rPr>
              <w:t>, Commercial Finance</w:t>
            </w:r>
            <w:r w:rsidRPr="004552BA">
              <w:rPr>
                <w:rFonts w:ascii="IBM Plex Sans Light" w:hAnsi="IBM Plex Sans Light"/>
                <w:spacing w:val="-4"/>
                <w:sz w:val="18"/>
                <w:szCs w:val="18"/>
              </w:rPr>
              <w:t xml:space="preserve"> and </w:t>
            </w:r>
            <w:r>
              <w:rPr>
                <w:rFonts w:ascii="IBM Plex Sans Light" w:hAnsi="IBM Plex Sans Light"/>
                <w:spacing w:val="-4"/>
                <w:sz w:val="18"/>
                <w:szCs w:val="18"/>
              </w:rPr>
              <w:t>IR</w:t>
            </w:r>
          </w:p>
        </w:tc>
        <w:tc>
          <w:tcPr>
            <w:tcW w:w="2276" w:type="dxa"/>
            <w:vAlign w:val="center"/>
          </w:tcPr>
          <w:p w14:paraId="21124F8B" w14:textId="77777777" w:rsidR="00AE1E5C" w:rsidRPr="004552BA" w:rsidRDefault="00AE1E5C" w:rsidP="004203CD">
            <w:pPr>
              <w:pStyle w:val="TableFigures"/>
              <w:spacing w:before="60" w:after="60" w:line="240" w:lineRule="auto"/>
              <w:jc w:val="center"/>
              <w:rPr>
                <w:rFonts w:ascii="IBM Plex Sans Light" w:hAnsi="IBM Plex Sans Light"/>
                <w:spacing w:val="-4"/>
                <w:sz w:val="18"/>
                <w:szCs w:val="18"/>
              </w:rPr>
            </w:pPr>
            <w:r w:rsidRPr="004552BA">
              <w:rPr>
                <w:rFonts w:ascii="IBM Plex Sans Light" w:hAnsi="IBM Plex Sans Light"/>
                <w:spacing w:val="-4"/>
                <w:sz w:val="18"/>
                <w:szCs w:val="18"/>
              </w:rPr>
              <w:t xml:space="preserve">Tel: +44 (0)20 7887 </w:t>
            </w:r>
            <w:r>
              <w:rPr>
                <w:rFonts w:ascii="IBM Plex Sans Light" w:hAnsi="IBM Plex Sans Light"/>
                <w:spacing w:val="-4"/>
                <w:sz w:val="18"/>
                <w:szCs w:val="18"/>
              </w:rPr>
              <w:t>1053</w:t>
            </w:r>
          </w:p>
        </w:tc>
        <w:tc>
          <w:tcPr>
            <w:tcW w:w="2684" w:type="dxa"/>
            <w:vAlign w:val="center"/>
          </w:tcPr>
          <w:p w14:paraId="56823E91" w14:textId="77777777" w:rsidR="00AE1E5C" w:rsidRPr="00DE34B7" w:rsidRDefault="00DB111D" w:rsidP="004203CD">
            <w:pPr>
              <w:pStyle w:val="TableFigures"/>
              <w:spacing w:before="60" w:after="60" w:line="240" w:lineRule="auto"/>
              <w:jc w:val="left"/>
              <w:rPr>
                <w:rFonts w:ascii="IBM Plex Sans Light" w:hAnsi="IBM Plex Sans Light"/>
                <w:color w:val="3D7FE0" w:themeColor="accent1"/>
                <w:spacing w:val="-4"/>
                <w:sz w:val="18"/>
                <w:szCs w:val="18"/>
              </w:rPr>
            </w:pPr>
            <w:hyperlink r:id="rId9" w:history="1">
              <w:r w:rsidR="00AE1E5C" w:rsidRPr="00DE34B7">
                <w:rPr>
                  <w:rStyle w:val="Hyperlink"/>
                  <w:rFonts w:ascii="IBM Plex Sans Light" w:hAnsi="IBM Plex Sans Light"/>
                  <w:color w:val="3D7FE0" w:themeColor="accent1"/>
                  <w:spacing w:val="-4"/>
                  <w:sz w:val="18"/>
                  <w:szCs w:val="18"/>
                </w:rPr>
                <w:t>josh.warren@hammerson.com</w:t>
              </w:r>
            </w:hyperlink>
          </w:p>
        </w:tc>
      </w:tr>
      <w:tr w:rsidR="00AE1E5C" w:rsidRPr="004552BA" w14:paraId="78A5F508" w14:textId="77777777" w:rsidTr="004203CD">
        <w:trPr>
          <w:trHeight w:hRule="exact" w:val="340"/>
        </w:trPr>
        <w:tc>
          <w:tcPr>
            <w:tcW w:w="4962" w:type="dxa"/>
            <w:vAlign w:val="center"/>
          </w:tcPr>
          <w:p w14:paraId="71998A20" w14:textId="77777777" w:rsidR="00AE1E5C" w:rsidRPr="004552BA" w:rsidRDefault="00AE1E5C" w:rsidP="004203CD">
            <w:pPr>
              <w:pStyle w:val="Tabletext"/>
              <w:spacing w:before="60" w:after="60" w:line="240" w:lineRule="auto"/>
              <w:ind w:right="-2"/>
              <w:rPr>
                <w:rFonts w:ascii="IBM Plex Sans Light" w:hAnsi="IBM Plex Sans Light"/>
                <w:sz w:val="18"/>
                <w:szCs w:val="18"/>
              </w:rPr>
            </w:pPr>
            <w:r w:rsidRPr="004552BA">
              <w:rPr>
                <w:rFonts w:ascii="IBM Plex Sans Light" w:hAnsi="IBM Plex Sans Light"/>
                <w:sz w:val="18"/>
                <w:szCs w:val="18"/>
              </w:rPr>
              <w:t xml:space="preserve">Natalie Gunson, </w:t>
            </w:r>
            <w:r>
              <w:rPr>
                <w:rFonts w:ascii="IBM Plex Sans Light" w:hAnsi="IBM Plex Sans Light"/>
                <w:sz w:val="18"/>
                <w:szCs w:val="18"/>
              </w:rPr>
              <w:t xml:space="preserve">Group Director of </w:t>
            </w:r>
            <w:r w:rsidRPr="004552BA">
              <w:rPr>
                <w:rFonts w:ascii="IBM Plex Sans Light" w:hAnsi="IBM Plex Sans Light"/>
                <w:sz w:val="18"/>
                <w:szCs w:val="18"/>
              </w:rPr>
              <w:t xml:space="preserve">Communications </w:t>
            </w:r>
          </w:p>
        </w:tc>
        <w:tc>
          <w:tcPr>
            <w:tcW w:w="2276" w:type="dxa"/>
            <w:vAlign w:val="center"/>
          </w:tcPr>
          <w:p w14:paraId="2A54F433" w14:textId="77777777" w:rsidR="00AE1E5C" w:rsidRPr="004552BA" w:rsidRDefault="00AE1E5C" w:rsidP="004203CD">
            <w:pPr>
              <w:pStyle w:val="TableFigures"/>
              <w:spacing w:before="60" w:after="60" w:line="240" w:lineRule="auto"/>
              <w:jc w:val="center"/>
              <w:rPr>
                <w:rFonts w:ascii="IBM Plex Sans Light" w:hAnsi="IBM Plex Sans Light"/>
                <w:spacing w:val="-4"/>
                <w:sz w:val="18"/>
                <w:szCs w:val="18"/>
              </w:rPr>
            </w:pPr>
            <w:r w:rsidRPr="004552BA">
              <w:rPr>
                <w:rFonts w:ascii="IBM Plex Sans Light" w:hAnsi="IBM Plex Sans Light"/>
                <w:spacing w:val="-4"/>
                <w:sz w:val="18"/>
                <w:szCs w:val="18"/>
              </w:rPr>
              <w:t xml:space="preserve">Tel: +44 (0)20 7887 </w:t>
            </w:r>
            <w:r>
              <w:rPr>
                <w:rFonts w:ascii="IBM Plex Sans Light" w:hAnsi="IBM Plex Sans Light"/>
                <w:spacing w:val="-4"/>
                <w:sz w:val="18"/>
                <w:szCs w:val="18"/>
              </w:rPr>
              <w:t>4672</w:t>
            </w:r>
          </w:p>
        </w:tc>
        <w:tc>
          <w:tcPr>
            <w:tcW w:w="2684" w:type="dxa"/>
            <w:vAlign w:val="center"/>
          </w:tcPr>
          <w:p w14:paraId="182904B3" w14:textId="77777777" w:rsidR="00AE1E5C" w:rsidRPr="00DE34B7" w:rsidRDefault="00DB111D" w:rsidP="004203CD">
            <w:pPr>
              <w:pStyle w:val="TableFigures"/>
              <w:spacing w:before="60" w:after="60" w:line="240" w:lineRule="auto"/>
              <w:jc w:val="left"/>
              <w:rPr>
                <w:rFonts w:ascii="IBM Plex Sans Light" w:hAnsi="IBM Plex Sans Light"/>
                <w:color w:val="3D7FE0" w:themeColor="accent1"/>
                <w:sz w:val="18"/>
                <w:szCs w:val="18"/>
              </w:rPr>
            </w:pPr>
            <w:hyperlink r:id="rId10" w:history="1">
              <w:r w:rsidR="00AE1E5C" w:rsidRPr="00DE34B7">
                <w:rPr>
                  <w:rStyle w:val="Hyperlink"/>
                  <w:rFonts w:ascii="IBM Plex Sans Light" w:hAnsi="IBM Plex Sans Light"/>
                  <w:color w:val="3D7FE0" w:themeColor="accent1"/>
                  <w:sz w:val="18"/>
                  <w:szCs w:val="18"/>
                </w:rPr>
                <w:t>natalie.gunson@hammerson.com</w:t>
              </w:r>
            </w:hyperlink>
          </w:p>
        </w:tc>
      </w:tr>
      <w:tr w:rsidR="00AE1E5C" w:rsidRPr="004552BA" w14:paraId="1AA8B8F9" w14:textId="77777777" w:rsidTr="004203CD">
        <w:trPr>
          <w:trHeight w:hRule="exact" w:val="340"/>
        </w:trPr>
        <w:tc>
          <w:tcPr>
            <w:tcW w:w="4962" w:type="dxa"/>
            <w:vAlign w:val="center"/>
          </w:tcPr>
          <w:p w14:paraId="11B621FB" w14:textId="77777777" w:rsidR="00AE1E5C" w:rsidRPr="00E74390" w:rsidRDefault="00AE1E5C" w:rsidP="004203CD">
            <w:pPr>
              <w:pStyle w:val="Tabletext"/>
              <w:spacing w:before="60" w:after="60" w:line="240" w:lineRule="auto"/>
              <w:ind w:right="-2"/>
              <w:rPr>
                <w:rFonts w:ascii="IBM Plex Sans Light" w:hAnsi="IBM Plex Sans Light"/>
                <w:sz w:val="18"/>
                <w:szCs w:val="18"/>
                <w:highlight w:val="yellow"/>
              </w:rPr>
            </w:pPr>
            <w:r w:rsidRPr="005151D6">
              <w:rPr>
                <w:rFonts w:ascii="IBM Plex Sans Light" w:hAnsi="IBM Plex Sans Light"/>
                <w:sz w:val="18"/>
                <w:szCs w:val="18"/>
              </w:rPr>
              <w:t>Oliver Hughes, Ollie Hoare and Charles Hirst</w:t>
            </w:r>
            <w:r>
              <w:rPr>
                <w:rFonts w:ascii="IBM Plex Sans Light" w:hAnsi="IBM Plex Sans Light"/>
                <w:sz w:val="18"/>
                <w:szCs w:val="18"/>
              </w:rPr>
              <w:t>, MHP</w:t>
            </w:r>
          </w:p>
        </w:tc>
        <w:tc>
          <w:tcPr>
            <w:tcW w:w="2276" w:type="dxa"/>
            <w:vAlign w:val="center"/>
          </w:tcPr>
          <w:p w14:paraId="13424738" w14:textId="77777777" w:rsidR="00AE1E5C" w:rsidRPr="00E74390" w:rsidRDefault="00AE1E5C" w:rsidP="004203CD">
            <w:pPr>
              <w:pStyle w:val="Tabletext"/>
              <w:spacing w:before="60" w:after="60" w:line="240" w:lineRule="auto"/>
              <w:jc w:val="center"/>
              <w:rPr>
                <w:rFonts w:ascii="IBM Plex Sans Light" w:hAnsi="IBM Plex Sans Light"/>
                <w:spacing w:val="-4"/>
                <w:sz w:val="18"/>
                <w:szCs w:val="18"/>
                <w:highlight w:val="yellow"/>
              </w:rPr>
            </w:pPr>
            <w:r w:rsidRPr="005151D6">
              <w:rPr>
                <w:rFonts w:ascii="IBM Plex Sans Light" w:hAnsi="IBM Plex Sans Light"/>
                <w:spacing w:val="-4"/>
                <w:sz w:val="18"/>
                <w:szCs w:val="18"/>
              </w:rPr>
              <w:t>Tel: +44 (0)20 3128 8100</w:t>
            </w:r>
          </w:p>
        </w:tc>
        <w:tc>
          <w:tcPr>
            <w:tcW w:w="2684" w:type="dxa"/>
            <w:vAlign w:val="center"/>
          </w:tcPr>
          <w:p w14:paraId="70B2E930" w14:textId="77777777" w:rsidR="00AE1E5C" w:rsidRPr="00DE34B7" w:rsidRDefault="00DB111D" w:rsidP="004203CD">
            <w:pPr>
              <w:pStyle w:val="TablesTableFigures"/>
              <w:spacing w:before="60" w:after="60"/>
              <w:jc w:val="left"/>
              <w:rPr>
                <w:rFonts w:ascii="IBM Plex Sans Light" w:hAnsi="IBM Plex Sans Light"/>
                <w:color w:val="3D7FE0" w:themeColor="accent1"/>
                <w:sz w:val="18"/>
                <w:szCs w:val="18"/>
                <w:highlight w:val="yellow"/>
              </w:rPr>
            </w:pPr>
            <w:hyperlink r:id="rId11" w:history="1">
              <w:r w:rsidR="00AE1E5C" w:rsidRPr="00DE34B7">
                <w:rPr>
                  <w:rStyle w:val="Hyperlink"/>
                  <w:rFonts w:ascii="IBM Plex Sans Light" w:hAnsi="IBM Plex Sans Light" w:cstheme="majorBidi"/>
                  <w:color w:val="3D7FE0" w:themeColor="accent1"/>
                  <w:sz w:val="18"/>
                  <w:szCs w:val="18"/>
                </w:rPr>
                <w:t>Hammerson@mhpgroup.com</w:t>
              </w:r>
            </w:hyperlink>
            <w:r w:rsidR="00AE1E5C" w:rsidRPr="00DE34B7">
              <w:rPr>
                <w:rFonts w:ascii="IBM Plex Sans Light" w:hAnsi="IBM Plex Sans Light"/>
                <w:color w:val="3D7FE0" w:themeColor="accent1"/>
                <w:sz w:val="18"/>
                <w:szCs w:val="18"/>
              </w:rPr>
              <w:t xml:space="preserve"> </w:t>
            </w:r>
          </w:p>
        </w:tc>
      </w:tr>
    </w:tbl>
    <w:p w14:paraId="55CCD689" w14:textId="77777777" w:rsidR="00AE1E5C" w:rsidRPr="004552BA" w:rsidRDefault="00AE1E5C" w:rsidP="00AE1E5C">
      <w:pPr>
        <w:spacing w:after="0" w:line="240" w:lineRule="auto"/>
        <w:rPr>
          <w:rFonts w:ascii="IBM Plex Sans Light" w:hAnsi="IBM Plex Sans Light"/>
          <w:color w:val="3D7FE0" w:themeColor="accent1"/>
          <w:szCs w:val="18"/>
        </w:rPr>
      </w:pPr>
    </w:p>
    <w:p w14:paraId="2E4F3ACF" w14:textId="77777777" w:rsidR="00AE1E5C" w:rsidRPr="004552BA" w:rsidRDefault="00AE1E5C" w:rsidP="00AE1E5C">
      <w:pPr>
        <w:spacing w:after="0" w:line="240" w:lineRule="auto"/>
        <w:rPr>
          <w:rFonts w:ascii="IBM Plex Sans Medium" w:hAnsi="IBM Plex Sans Medium"/>
          <w:color w:val="3D7FE0" w:themeColor="accent1"/>
          <w:sz w:val="20"/>
          <w:szCs w:val="18"/>
        </w:rPr>
      </w:pPr>
      <w:r w:rsidRPr="1A8AED0E">
        <w:rPr>
          <w:rFonts w:ascii="IBM Plex Sans Medium" w:hAnsi="IBM Plex Sans Medium"/>
          <w:color w:val="3D7FE0" w:themeColor="accent1"/>
          <w:sz w:val="20"/>
          <w:szCs w:val="20"/>
        </w:rPr>
        <w:t>Disclaimer</w:t>
      </w:r>
    </w:p>
    <w:p w14:paraId="308FE666" w14:textId="77777777" w:rsidR="00AE1E5C" w:rsidRDefault="00AE1E5C" w:rsidP="00AE1E5C">
      <w:pPr>
        <w:spacing w:line="240" w:lineRule="auto"/>
        <w:rPr>
          <w:rFonts w:ascii="IBM Plex Sans Light" w:hAnsi="IBM Plex Sans Light"/>
        </w:rPr>
      </w:pPr>
      <w:r w:rsidRPr="1A8AED0E">
        <w:rPr>
          <w:rFonts w:ascii="IBM Plex Sans Light" w:hAnsi="IBM Plex Sans Light"/>
        </w:rPr>
        <w:t>Certain statements made in this document are forward</w:t>
      </w:r>
      <w:r>
        <w:rPr>
          <w:rFonts w:ascii="IBM Plex Sans Light" w:hAnsi="IBM Plex Sans Light"/>
        </w:rPr>
        <w:t xml:space="preserve"> </w:t>
      </w:r>
      <w:r w:rsidRPr="1A8AED0E">
        <w:rPr>
          <w:rFonts w:ascii="IBM Plex Sans Light" w:hAnsi="IBM Plex Sans Light"/>
        </w:rPr>
        <w:t>looking and are based on current expectations concerning future events which are subject to a number of assumptions, risks and uncertainties. Many of these assumptions, risks and uncertainties relate to factors that are beyond the Group’s control and which could cause actual results to differ materially from any expected future events or results referred to or implied by these forward</w:t>
      </w:r>
      <w:r>
        <w:rPr>
          <w:rFonts w:ascii="IBM Plex Sans Light" w:hAnsi="IBM Plex Sans Light"/>
        </w:rPr>
        <w:t>-looking</w:t>
      </w:r>
      <w:r w:rsidRPr="1A8AED0E">
        <w:rPr>
          <w:rFonts w:ascii="IBM Plex Sans Light" w:hAnsi="IBM Plex Sans Light"/>
        </w:rPr>
        <w:t xml:space="preserve"> statements. Any forward</w:t>
      </w:r>
      <w:r>
        <w:rPr>
          <w:rFonts w:ascii="IBM Plex Sans Light" w:hAnsi="IBM Plex Sans Light"/>
        </w:rPr>
        <w:t>-looking</w:t>
      </w:r>
      <w:r w:rsidRPr="1A8AED0E">
        <w:rPr>
          <w:rFonts w:ascii="IBM Plex Sans Light" w:hAnsi="IBM Plex Sans Light"/>
        </w:rPr>
        <w:t xml:space="preserve"> statements made are based on the knowledge and information available to Directors on the date of publication of this </w:t>
      </w:r>
      <w:r>
        <w:rPr>
          <w:rFonts w:ascii="IBM Plex Sans Light" w:hAnsi="IBM Plex Sans Light"/>
        </w:rPr>
        <w:t>announcement</w:t>
      </w:r>
      <w:r w:rsidRPr="1A8AED0E">
        <w:rPr>
          <w:rFonts w:ascii="IBM Plex Sans Light" w:hAnsi="IBM Plex Sans Light"/>
        </w:rPr>
        <w:t>. Unless otherwise required by applicable laws, regulations or accounting standards, the Group does not undertake any obligation to update or revise any forward-looking statements, whether as a result of new information, future developments or otherwise. Accordingly, no assurance can be given that any particular expectation will be met, and reliance should not be placed on any forward</w:t>
      </w:r>
      <w:r>
        <w:rPr>
          <w:rFonts w:ascii="IBM Plex Sans Light" w:hAnsi="IBM Plex Sans Light"/>
        </w:rPr>
        <w:t>-</w:t>
      </w:r>
      <w:r w:rsidRPr="1A8AED0E">
        <w:rPr>
          <w:rFonts w:ascii="IBM Plex Sans Light" w:hAnsi="IBM Plex Sans Light"/>
        </w:rPr>
        <w:t xml:space="preserve">looking statement. Nothing in this </w:t>
      </w:r>
      <w:r>
        <w:rPr>
          <w:rFonts w:ascii="IBM Plex Sans Light" w:hAnsi="IBM Plex Sans Light"/>
        </w:rPr>
        <w:t>announcement</w:t>
      </w:r>
      <w:r w:rsidRPr="1A8AED0E">
        <w:rPr>
          <w:rFonts w:ascii="IBM Plex Sans Light" w:hAnsi="IBM Plex Sans Light"/>
        </w:rPr>
        <w:t xml:space="preserve"> should be regarded as a profit estimate or forecast.</w:t>
      </w:r>
    </w:p>
    <w:p w14:paraId="19347341" w14:textId="3C5FB917" w:rsidR="00AE1E5C" w:rsidRDefault="00AE1E5C" w:rsidP="00AE1E5C">
      <w:pPr>
        <w:spacing w:line="240" w:lineRule="auto"/>
        <w:rPr>
          <w:rFonts w:ascii="IBM Plex Sans Light" w:hAnsi="IBM Plex Sans Light"/>
          <w:spacing w:val="-5"/>
        </w:rPr>
      </w:pPr>
      <w:r w:rsidRPr="004552BA">
        <w:rPr>
          <w:rFonts w:ascii="IBM Plex Sans Light" w:hAnsi="IBM Plex Sans Light"/>
          <w:spacing w:val="-5"/>
        </w:rPr>
        <w:t>This announcement does not constitute or form part of any offer or invitation to sell, or any solicitation of any offer to subscribe for or purchase any shares or other securities in the Company or any of its group members, nor shall it or any part of it or the fact of its distribution form the basis of, or be relied on in connection with, any contract or commitment or investment decisions relating thereto, nor does it constitute a recommendation regarding the shares or other securities of the Company or any of its group members. Statements in this announcement reflect the knowledge and information available at the time of its preparation. Liability arising from anything in this announcement shall be governed by English law. Nothing in this announcement shall exclude any liability under applicable laws that cannot be excluded in accordance with such laws.</w:t>
      </w:r>
    </w:p>
    <w:p w14:paraId="0C364402" w14:textId="16D448AE" w:rsidR="00AE1E5C" w:rsidRDefault="00AE1E5C" w:rsidP="00AE1E5C">
      <w:pPr>
        <w:spacing w:after="0" w:line="240" w:lineRule="auto"/>
        <w:rPr>
          <w:rFonts w:ascii="IBM Plex Sans Medium" w:hAnsi="IBM Plex Sans Medium"/>
          <w:b/>
          <w:bCs/>
          <w:color w:val="3D7FE0" w:themeColor="accent1"/>
          <w:spacing w:val="-5"/>
        </w:rPr>
      </w:pPr>
    </w:p>
    <w:p w14:paraId="18DBA778" w14:textId="77777777" w:rsidR="00AE1E5C" w:rsidRPr="0011460D" w:rsidRDefault="00AE1E5C" w:rsidP="00AE1E5C">
      <w:pPr>
        <w:spacing w:line="240" w:lineRule="auto"/>
        <w:rPr>
          <w:rFonts w:ascii="IBM Plex Sans Medium" w:hAnsi="IBM Plex Sans Medium"/>
          <w:b/>
          <w:bCs/>
          <w:color w:val="3D7FE0" w:themeColor="accent1"/>
          <w:spacing w:val="-5"/>
        </w:rPr>
      </w:pPr>
      <w:r w:rsidRPr="0011460D">
        <w:rPr>
          <w:rFonts w:ascii="IBM Plex Sans Medium" w:hAnsi="IBM Plex Sans Medium"/>
          <w:b/>
          <w:bCs/>
          <w:color w:val="3D7FE0" w:themeColor="accent1"/>
          <w:spacing w:val="-5"/>
        </w:rPr>
        <w:t>Index to key data</w:t>
      </w:r>
    </w:p>
    <w:p w14:paraId="3DB4568C" w14:textId="77777777" w:rsidR="00AE1E5C" w:rsidRPr="0011460D" w:rsidRDefault="00AE1E5C" w:rsidP="00AE1E5C">
      <w:pPr>
        <w:spacing w:line="240" w:lineRule="auto"/>
        <w:rPr>
          <w:rFonts w:ascii="IBM Plex Sans Light" w:hAnsi="IBM Plex Sans Light"/>
          <w:spacing w:val="-5"/>
        </w:rPr>
      </w:pPr>
      <w:r w:rsidRPr="0011460D">
        <w:rPr>
          <w:rFonts w:ascii="IBM Plex Sans Light" w:hAnsi="IBM Plex Sans Light"/>
          <w:spacing w:val="-5"/>
        </w:rPr>
        <w:t>Unless otherwise stated, figures have been prepared on a proportionally consolidated basis, excluding Value Retail as outlined in the presentation of information section of the Financial Review.</w:t>
      </w:r>
    </w:p>
    <w:tbl>
      <w:tblPr>
        <w:tblStyle w:val="TableGrid"/>
        <w:tblW w:w="9700" w:type="dxa"/>
        <w:tblBorders>
          <w:bottom w:val="single" w:sz="4" w:space="0" w:color="3D7FE0" w:themeColor="accent1"/>
          <w:insideH w:val="single" w:sz="4" w:space="0" w:color="3D7FE0" w:themeColor="accent1"/>
        </w:tblBorders>
        <w:tblLook w:val="04A0" w:firstRow="1" w:lastRow="0" w:firstColumn="1" w:lastColumn="0" w:noHBand="0" w:noVBand="1"/>
      </w:tblPr>
      <w:tblGrid>
        <w:gridCol w:w="4525"/>
        <w:gridCol w:w="426"/>
        <w:gridCol w:w="425"/>
        <w:gridCol w:w="1417"/>
        <w:gridCol w:w="1418"/>
        <w:gridCol w:w="1489"/>
      </w:tblGrid>
      <w:tr w:rsidR="00AE1E5C" w:rsidRPr="00D34A36" w14:paraId="34A65FA6" w14:textId="77777777" w:rsidTr="004203CD">
        <w:trPr>
          <w:trHeight w:hRule="exact" w:val="266"/>
        </w:trPr>
        <w:tc>
          <w:tcPr>
            <w:tcW w:w="4525" w:type="dxa"/>
            <w:tcBorders>
              <w:top w:val="single" w:sz="4" w:space="0" w:color="3D7FE0" w:themeColor="accent1"/>
              <w:left w:val="single" w:sz="4" w:space="0" w:color="3D7FE0" w:themeColor="accent1"/>
            </w:tcBorders>
          </w:tcPr>
          <w:p w14:paraId="4A691C4A" w14:textId="77777777" w:rsidR="00AE1E5C" w:rsidRPr="0011460D" w:rsidRDefault="00AE1E5C" w:rsidP="004203CD">
            <w:pPr>
              <w:spacing w:line="240" w:lineRule="auto"/>
              <w:rPr>
                <w:rFonts w:ascii="IBM Plex Sans Light" w:hAnsi="IBM Plex Sans Light"/>
                <w:b/>
                <w:bCs/>
                <w:color w:val="4074B9"/>
              </w:rPr>
            </w:pPr>
            <w:r w:rsidRPr="0011460D">
              <w:rPr>
                <w:rFonts w:ascii="IBM Plex Sans Medium" w:hAnsi="IBM Plex Sans Medium"/>
                <w:b/>
                <w:bCs/>
                <w:color w:val="3D7FE0" w:themeColor="accent1"/>
              </w:rPr>
              <w:t>Year ended</w:t>
            </w:r>
          </w:p>
        </w:tc>
        <w:tc>
          <w:tcPr>
            <w:tcW w:w="426" w:type="dxa"/>
            <w:tcBorders>
              <w:top w:val="single" w:sz="4" w:space="0" w:color="3D7FE0" w:themeColor="accent1"/>
            </w:tcBorders>
          </w:tcPr>
          <w:p w14:paraId="3D6F1E25" w14:textId="77777777" w:rsidR="00AE1E5C" w:rsidRPr="00B84CE1" w:rsidRDefault="00AE1E5C" w:rsidP="004203CD">
            <w:pPr>
              <w:spacing w:line="240" w:lineRule="auto"/>
              <w:jc w:val="center"/>
              <w:rPr>
                <w:rFonts w:ascii="IBM Plex Sans Light" w:hAnsi="IBM Plex Sans Light"/>
                <w:bCs/>
                <w:color w:val="4074B9"/>
                <w:szCs w:val="18"/>
                <w:highlight w:val="yellow"/>
              </w:rPr>
            </w:pPr>
          </w:p>
        </w:tc>
        <w:tc>
          <w:tcPr>
            <w:tcW w:w="425" w:type="dxa"/>
            <w:tcBorders>
              <w:top w:val="single" w:sz="4" w:space="0" w:color="3D7FE0" w:themeColor="accent1"/>
            </w:tcBorders>
          </w:tcPr>
          <w:p w14:paraId="6AE4546B" w14:textId="77777777" w:rsidR="00AE1E5C" w:rsidRPr="00B84CE1" w:rsidRDefault="00AE1E5C" w:rsidP="004203CD">
            <w:pPr>
              <w:spacing w:line="240" w:lineRule="auto"/>
              <w:rPr>
                <w:rFonts w:ascii="IBM Plex Sans Light" w:hAnsi="IBM Plex Sans Light"/>
                <w:b/>
                <w:color w:val="4074B9"/>
                <w:szCs w:val="18"/>
                <w:highlight w:val="yellow"/>
              </w:rPr>
            </w:pPr>
          </w:p>
        </w:tc>
        <w:tc>
          <w:tcPr>
            <w:tcW w:w="1417" w:type="dxa"/>
            <w:tcBorders>
              <w:top w:val="single" w:sz="4" w:space="0" w:color="3D7FE0" w:themeColor="accent1"/>
            </w:tcBorders>
          </w:tcPr>
          <w:p w14:paraId="54878B0D" w14:textId="77777777" w:rsidR="00AE1E5C" w:rsidRPr="0011460D" w:rsidRDefault="00AE1E5C" w:rsidP="004203CD">
            <w:pPr>
              <w:spacing w:line="240" w:lineRule="auto"/>
              <w:ind w:right="142"/>
              <w:jc w:val="right"/>
              <w:rPr>
                <w:rFonts w:ascii="IBM Plex Sans Medium" w:hAnsi="IBM Plex Sans Medium"/>
                <w:b/>
                <w:bCs/>
                <w:color w:val="3D7FE0" w:themeColor="accent1"/>
                <w:sz w:val="14"/>
                <w:szCs w:val="14"/>
              </w:rPr>
            </w:pPr>
            <w:r w:rsidRPr="0011460D">
              <w:rPr>
                <w:rFonts w:ascii="IBM Plex Sans Light" w:hAnsi="IBM Plex Sans Light"/>
                <w:b/>
                <w:bCs/>
                <w:color w:val="3D7FE0" w:themeColor="accent1"/>
                <w:sz w:val="14"/>
                <w:szCs w:val="14"/>
              </w:rPr>
              <w:t>2023</w:t>
            </w:r>
          </w:p>
        </w:tc>
        <w:tc>
          <w:tcPr>
            <w:tcW w:w="1418" w:type="dxa"/>
            <w:tcBorders>
              <w:top w:val="single" w:sz="4" w:space="0" w:color="3D7FE0" w:themeColor="accent1"/>
            </w:tcBorders>
          </w:tcPr>
          <w:p w14:paraId="6EEE4710" w14:textId="77777777" w:rsidR="00AE1E5C" w:rsidRPr="0011460D" w:rsidRDefault="00AE1E5C" w:rsidP="004203CD">
            <w:pPr>
              <w:spacing w:line="240" w:lineRule="auto"/>
              <w:ind w:right="141"/>
              <w:jc w:val="right"/>
              <w:rPr>
                <w:rFonts w:ascii="IBM Plex Sans Light" w:hAnsi="IBM Plex Sans Light"/>
                <w:color w:val="000000" w:themeColor="text1"/>
                <w:sz w:val="14"/>
                <w:szCs w:val="14"/>
              </w:rPr>
            </w:pPr>
            <w:r w:rsidRPr="0011460D">
              <w:rPr>
                <w:rFonts w:ascii="IBM Plex Sans Light" w:hAnsi="IBM Plex Sans Light"/>
                <w:color w:val="000000" w:themeColor="text1"/>
                <w:sz w:val="14"/>
                <w:szCs w:val="14"/>
              </w:rPr>
              <w:t xml:space="preserve"> 2022</w:t>
            </w:r>
          </w:p>
        </w:tc>
        <w:tc>
          <w:tcPr>
            <w:tcW w:w="1489" w:type="dxa"/>
            <w:tcBorders>
              <w:top w:val="single" w:sz="4" w:space="0" w:color="3D7FE0" w:themeColor="accent1"/>
              <w:right w:val="single" w:sz="4" w:space="0" w:color="3D7FE0" w:themeColor="accent1"/>
            </w:tcBorders>
          </w:tcPr>
          <w:p w14:paraId="46292CBE" w14:textId="77777777" w:rsidR="00AE1E5C" w:rsidRPr="0011460D" w:rsidRDefault="00AE1E5C" w:rsidP="004203CD">
            <w:pPr>
              <w:spacing w:line="240" w:lineRule="auto"/>
              <w:ind w:right="113"/>
              <w:jc w:val="right"/>
              <w:rPr>
                <w:rFonts w:ascii="IBM Plex Sans Light" w:hAnsi="IBM Plex Sans Light"/>
                <w:b/>
                <w:bCs/>
                <w:color w:val="3D7FE0" w:themeColor="accent1"/>
              </w:rPr>
            </w:pPr>
            <w:r w:rsidRPr="0011460D">
              <w:rPr>
                <w:rFonts w:ascii="IBM Plex Sans Light" w:hAnsi="IBM Plex Sans Light"/>
                <w:b/>
                <w:bCs/>
                <w:color w:val="3D7FE0" w:themeColor="accent1"/>
                <w:sz w:val="14"/>
                <w:szCs w:val="14"/>
              </w:rPr>
              <w:t>Note/Ref</w:t>
            </w:r>
          </w:p>
        </w:tc>
      </w:tr>
      <w:tr w:rsidR="00AE1E5C" w:rsidRPr="00D34A36" w14:paraId="05C2FEAF" w14:textId="77777777" w:rsidTr="004203CD">
        <w:trPr>
          <w:trHeight w:hRule="exact" w:val="266"/>
        </w:trPr>
        <w:tc>
          <w:tcPr>
            <w:tcW w:w="4525" w:type="dxa"/>
            <w:tcBorders>
              <w:left w:val="single" w:sz="4" w:space="0" w:color="3D7FE0" w:themeColor="accent1"/>
            </w:tcBorders>
          </w:tcPr>
          <w:p w14:paraId="6DB028FC" w14:textId="77777777" w:rsidR="00AE1E5C" w:rsidRPr="0011460D" w:rsidRDefault="00AE1E5C" w:rsidP="004203CD">
            <w:pPr>
              <w:spacing w:line="240" w:lineRule="auto"/>
              <w:rPr>
                <w:rFonts w:ascii="IBM Plex Sans Medium" w:hAnsi="IBM Plex Sans Medium"/>
                <w:b/>
                <w:bCs/>
                <w:color w:val="000000" w:themeColor="text1"/>
              </w:rPr>
            </w:pPr>
            <w:r w:rsidRPr="0011460D">
              <w:rPr>
                <w:rFonts w:ascii="IBM Plex Sans Medium" w:hAnsi="IBM Plex Sans Medium"/>
                <w:b/>
                <w:bCs/>
                <w:color w:val="000000" w:themeColor="text1"/>
              </w:rPr>
              <w:t>Income</w:t>
            </w:r>
          </w:p>
        </w:tc>
        <w:tc>
          <w:tcPr>
            <w:tcW w:w="426" w:type="dxa"/>
          </w:tcPr>
          <w:p w14:paraId="1A2148E8"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09F69B6A" w14:textId="77777777" w:rsidR="00AE1E5C" w:rsidRPr="00B84CE1" w:rsidRDefault="00AE1E5C" w:rsidP="004203CD">
            <w:pPr>
              <w:spacing w:line="240" w:lineRule="auto"/>
              <w:rPr>
                <w:rFonts w:ascii="IBM Plex Sans Light" w:hAnsi="IBM Plex Sans Light"/>
                <w:b/>
                <w:color w:val="000000" w:themeColor="text1"/>
                <w:szCs w:val="18"/>
                <w:highlight w:val="yellow"/>
              </w:rPr>
            </w:pPr>
          </w:p>
        </w:tc>
        <w:tc>
          <w:tcPr>
            <w:tcW w:w="1417" w:type="dxa"/>
          </w:tcPr>
          <w:p w14:paraId="54B4EEA6" w14:textId="77777777" w:rsidR="00AE1E5C" w:rsidRPr="00B84CE1" w:rsidRDefault="00AE1E5C" w:rsidP="004203CD">
            <w:pPr>
              <w:spacing w:line="240" w:lineRule="auto"/>
              <w:ind w:right="142"/>
              <w:jc w:val="right"/>
              <w:rPr>
                <w:rFonts w:ascii="IBM Plex Sans Medium" w:hAnsi="IBM Plex Sans Medium"/>
                <w:b/>
                <w:color w:val="3D7FE0" w:themeColor="accent1"/>
                <w:szCs w:val="18"/>
                <w:highlight w:val="yellow"/>
              </w:rPr>
            </w:pPr>
          </w:p>
        </w:tc>
        <w:tc>
          <w:tcPr>
            <w:tcW w:w="1418" w:type="dxa"/>
          </w:tcPr>
          <w:p w14:paraId="3C343889" w14:textId="77777777" w:rsidR="00AE1E5C" w:rsidRPr="00B84CE1" w:rsidRDefault="00AE1E5C" w:rsidP="004203CD">
            <w:pPr>
              <w:spacing w:line="240" w:lineRule="auto"/>
              <w:ind w:right="141"/>
              <w:jc w:val="right"/>
              <w:rPr>
                <w:rFonts w:ascii="IBM Plex Sans Light" w:hAnsi="IBM Plex Sans Light"/>
                <w:bCs/>
                <w:color w:val="000000" w:themeColor="text1"/>
                <w:szCs w:val="18"/>
                <w:highlight w:val="yellow"/>
              </w:rPr>
            </w:pPr>
          </w:p>
        </w:tc>
        <w:tc>
          <w:tcPr>
            <w:tcW w:w="1489" w:type="dxa"/>
            <w:tcBorders>
              <w:right w:val="single" w:sz="4" w:space="0" w:color="3D7FE0" w:themeColor="accent1"/>
            </w:tcBorders>
          </w:tcPr>
          <w:p w14:paraId="3A69BEA1" w14:textId="77777777" w:rsidR="00AE1E5C" w:rsidRPr="00D34A36" w:rsidRDefault="00AE1E5C" w:rsidP="004203CD">
            <w:pPr>
              <w:spacing w:line="240" w:lineRule="auto"/>
              <w:ind w:right="113"/>
              <w:jc w:val="right"/>
              <w:rPr>
                <w:rFonts w:ascii="IBM Plex Sans Light" w:hAnsi="IBM Plex Sans Light"/>
                <w:b/>
                <w:color w:val="3D7FE0" w:themeColor="accent1"/>
                <w:szCs w:val="18"/>
                <w:highlight w:val="yellow"/>
              </w:rPr>
            </w:pPr>
          </w:p>
        </w:tc>
      </w:tr>
      <w:tr w:rsidR="00AE1E5C" w:rsidRPr="00D34A36" w14:paraId="2AB043FD" w14:textId="77777777" w:rsidTr="004203CD">
        <w:trPr>
          <w:trHeight w:hRule="exact" w:val="266"/>
        </w:trPr>
        <w:tc>
          <w:tcPr>
            <w:tcW w:w="4525" w:type="dxa"/>
            <w:tcBorders>
              <w:left w:val="single" w:sz="4" w:space="0" w:color="3D7FE0" w:themeColor="accent1"/>
            </w:tcBorders>
          </w:tcPr>
          <w:p w14:paraId="24B12B09"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Gross rental income</w:t>
            </w:r>
          </w:p>
        </w:tc>
        <w:tc>
          <w:tcPr>
            <w:tcW w:w="426" w:type="dxa"/>
          </w:tcPr>
          <w:p w14:paraId="3BCCB93C"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37EAF8C8"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4C56DD28"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£208m</w:t>
            </w:r>
          </w:p>
        </w:tc>
        <w:tc>
          <w:tcPr>
            <w:tcW w:w="1418" w:type="dxa"/>
          </w:tcPr>
          <w:p w14:paraId="3B6F32D4"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£215m</w:t>
            </w:r>
          </w:p>
        </w:tc>
        <w:tc>
          <w:tcPr>
            <w:tcW w:w="1489" w:type="dxa"/>
            <w:tcBorders>
              <w:right w:val="single" w:sz="4" w:space="0" w:color="3D7FE0" w:themeColor="accent1"/>
            </w:tcBorders>
          </w:tcPr>
          <w:p w14:paraId="33FDCD0D"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2</w:t>
            </w:r>
          </w:p>
        </w:tc>
      </w:tr>
      <w:tr w:rsidR="00AE1E5C" w:rsidRPr="00D34A36" w14:paraId="6F9422D5" w14:textId="77777777" w:rsidTr="004203CD">
        <w:trPr>
          <w:trHeight w:hRule="exact" w:val="266"/>
        </w:trPr>
        <w:tc>
          <w:tcPr>
            <w:tcW w:w="4525" w:type="dxa"/>
            <w:tcBorders>
              <w:left w:val="single" w:sz="4" w:space="0" w:color="3D7FE0" w:themeColor="accent1"/>
            </w:tcBorders>
          </w:tcPr>
          <w:p w14:paraId="472D19B3"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Adjusted earnings – Value Retail</w:t>
            </w:r>
          </w:p>
        </w:tc>
        <w:tc>
          <w:tcPr>
            <w:tcW w:w="426" w:type="dxa"/>
          </w:tcPr>
          <w:p w14:paraId="283FCB3C"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32648328"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a</w:t>
            </w:r>
          </w:p>
        </w:tc>
        <w:tc>
          <w:tcPr>
            <w:tcW w:w="1417" w:type="dxa"/>
          </w:tcPr>
          <w:p w14:paraId="55085E83"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£32m</w:t>
            </w:r>
          </w:p>
        </w:tc>
        <w:tc>
          <w:tcPr>
            <w:tcW w:w="1418" w:type="dxa"/>
          </w:tcPr>
          <w:p w14:paraId="3D1E9E48"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£27m</w:t>
            </w:r>
          </w:p>
        </w:tc>
        <w:tc>
          <w:tcPr>
            <w:tcW w:w="1489" w:type="dxa"/>
            <w:tcBorders>
              <w:right w:val="single" w:sz="4" w:space="0" w:color="3D7FE0" w:themeColor="accent1"/>
            </w:tcBorders>
          </w:tcPr>
          <w:p w14:paraId="5AAB1010"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2</w:t>
            </w:r>
          </w:p>
        </w:tc>
      </w:tr>
      <w:tr w:rsidR="00AE1E5C" w:rsidRPr="00D34A36" w14:paraId="6B7C11A3" w14:textId="77777777" w:rsidTr="004203CD">
        <w:trPr>
          <w:trHeight w:hRule="exact" w:val="266"/>
        </w:trPr>
        <w:tc>
          <w:tcPr>
            <w:tcW w:w="4525" w:type="dxa"/>
            <w:tcBorders>
              <w:left w:val="single" w:sz="4" w:space="0" w:color="3D7FE0" w:themeColor="accent1"/>
            </w:tcBorders>
          </w:tcPr>
          <w:p w14:paraId="21092A3C"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Adjusted finance costs</w:t>
            </w:r>
          </w:p>
        </w:tc>
        <w:tc>
          <w:tcPr>
            <w:tcW w:w="426" w:type="dxa"/>
          </w:tcPr>
          <w:p w14:paraId="77A60627"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3746F583"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a</w:t>
            </w:r>
          </w:p>
        </w:tc>
        <w:tc>
          <w:tcPr>
            <w:tcW w:w="1417" w:type="dxa"/>
          </w:tcPr>
          <w:p w14:paraId="3845796F"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£4</w:t>
            </w:r>
            <w:r>
              <w:rPr>
                <w:rFonts w:ascii="IBM Plex Sans Medium" w:hAnsi="IBM Plex Sans Medium"/>
                <w:bCs/>
                <w:color w:val="3D7FE0" w:themeColor="accent1"/>
              </w:rPr>
              <w:t>6</w:t>
            </w:r>
            <w:r w:rsidRPr="00463A07">
              <w:rPr>
                <w:rFonts w:ascii="IBM Plex Sans Medium" w:hAnsi="IBM Plex Sans Medium"/>
                <w:bCs/>
                <w:color w:val="3D7FE0" w:themeColor="accent1"/>
              </w:rPr>
              <w:t>m</w:t>
            </w:r>
          </w:p>
        </w:tc>
        <w:tc>
          <w:tcPr>
            <w:tcW w:w="1418" w:type="dxa"/>
          </w:tcPr>
          <w:p w14:paraId="5C505ECE"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£54m</w:t>
            </w:r>
          </w:p>
        </w:tc>
        <w:tc>
          <w:tcPr>
            <w:tcW w:w="1489" w:type="dxa"/>
            <w:tcBorders>
              <w:right w:val="single" w:sz="4" w:space="0" w:color="3D7FE0" w:themeColor="accent1"/>
            </w:tcBorders>
          </w:tcPr>
          <w:p w14:paraId="1251E99E" w14:textId="77777777" w:rsidR="00AE1E5C" w:rsidRPr="00E7619D" w:rsidRDefault="00AE1E5C" w:rsidP="004203CD">
            <w:pPr>
              <w:spacing w:line="240" w:lineRule="auto"/>
              <w:ind w:right="113"/>
              <w:jc w:val="right"/>
              <w:rPr>
                <w:rFonts w:ascii="IBM Plex Sans Medium" w:eastAsia="IBM Plex Sans Light" w:hAnsi="IBM Plex Sans Medium" w:cs="IBM Plex Sans Light"/>
                <w:color w:val="3D7FE0" w:themeColor="accent1"/>
                <w:szCs w:val="18"/>
              </w:rPr>
            </w:pPr>
            <w:r w:rsidRPr="00E7619D">
              <w:rPr>
                <w:rFonts w:ascii="IBM Plex Sans Medium" w:hAnsi="IBM Plex Sans Medium"/>
                <w:bCs/>
                <w:color w:val="3D7FE0" w:themeColor="accent1"/>
              </w:rPr>
              <w:t>2</w:t>
            </w:r>
          </w:p>
        </w:tc>
      </w:tr>
      <w:tr w:rsidR="00AE1E5C" w:rsidRPr="00D34A36" w14:paraId="11F0189E" w14:textId="77777777" w:rsidTr="004203CD">
        <w:trPr>
          <w:trHeight w:hRule="exact" w:val="266"/>
        </w:trPr>
        <w:tc>
          <w:tcPr>
            <w:tcW w:w="4525" w:type="dxa"/>
            <w:tcBorders>
              <w:left w:val="single" w:sz="4" w:space="0" w:color="3D7FE0" w:themeColor="accent1"/>
            </w:tcBorders>
          </w:tcPr>
          <w:p w14:paraId="11BD7FBF"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Adjusted earnings</w:t>
            </w:r>
          </w:p>
        </w:tc>
        <w:tc>
          <w:tcPr>
            <w:tcW w:w="426" w:type="dxa"/>
          </w:tcPr>
          <w:p w14:paraId="2DDA7AA9"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31A068AE"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a</w:t>
            </w:r>
          </w:p>
        </w:tc>
        <w:tc>
          <w:tcPr>
            <w:tcW w:w="1417" w:type="dxa"/>
          </w:tcPr>
          <w:p w14:paraId="71DCB965"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£116m</w:t>
            </w:r>
          </w:p>
        </w:tc>
        <w:tc>
          <w:tcPr>
            <w:tcW w:w="1418" w:type="dxa"/>
          </w:tcPr>
          <w:p w14:paraId="3BC13DE5"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£10</w:t>
            </w:r>
            <w:r>
              <w:rPr>
                <w:rFonts w:ascii="IBM Plex Sans Light" w:hAnsi="IBM Plex Sans Light"/>
                <w:color w:val="000000" w:themeColor="text1"/>
              </w:rPr>
              <w:t>5</w:t>
            </w:r>
            <w:r w:rsidRPr="0011460D">
              <w:rPr>
                <w:rFonts w:ascii="IBM Plex Sans Light" w:hAnsi="IBM Plex Sans Light"/>
                <w:color w:val="000000" w:themeColor="text1"/>
              </w:rPr>
              <w:t>m</w:t>
            </w:r>
          </w:p>
        </w:tc>
        <w:tc>
          <w:tcPr>
            <w:tcW w:w="1489" w:type="dxa"/>
            <w:tcBorders>
              <w:right w:val="single" w:sz="4" w:space="0" w:color="3D7FE0" w:themeColor="accent1"/>
            </w:tcBorders>
          </w:tcPr>
          <w:p w14:paraId="7F704ABC"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2</w:t>
            </w:r>
          </w:p>
        </w:tc>
      </w:tr>
      <w:tr w:rsidR="00AE1E5C" w:rsidRPr="00D34A36" w14:paraId="328B6EB5" w14:textId="77777777" w:rsidTr="004203CD">
        <w:trPr>
          <w:trHeight w:hRule="exact" w:val="266"/>
        </w:trPr>
        <w:tc>
          <w:tcPr>
            <w:tcW w:w="4525" w:type="dxa"/>
            <w:tcBorders>
              <w:left w:val="single" w:sz="4" w:space="0" w:color="3D7FE0" w:themeColor="accent1"/>
            </w:tcBorders>
          </w:tcPr>
          <w:p w14:paraId="42ED24DD"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Revaluation losses – Managed portfolio</w:t>
            </w:r>
          </w:p>
        </w:tc>
        <w:tc>
          <w:tcPr>
            <w:tcW w:w="426" w:type="dxa"/>
          </w:tcPr>
          <w:p w14:paraId="1EAC065B"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487CA341" w14:textId="77777777" w:rsidR="00AE1E5C" w:rsidRPr="006967E9" w:rsidRDefault="00AE1E5C" w:rsidP="004203CD">
            <w:pPr>
              <w:spacing w:line="240" w:lineRule="auto"/>
              <w:rPr>
                <w:rFonts w:ascii="IBM Plex Sans Light" w:hAnsi="IBM Plex Sans Light"/>
                <w:bCs/>
                <w:color w:val="000000" w:themeColor="text1"/>
                <w:szCs w:val="18"/>
              </w:rPr>
            </w:pPr>
          </w:p>
        </w:tc>
        <w:tc>
          <w:tcPr>
            <w:tcW w:w="1417" w:type="dxa"/>
          </w:tcPr>
          <w:p w14:paraId="708FD86A"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£(119)m</w:t>
            </w:r>
          </w:p>
        </w:tc>
        <w:tc>
          <w:tcPr>
            <w:tcW w:w="1418" w:type="dxa"/>
          </w:tcPr>
          <w:p w14:paraId="596E589C"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£(221)m</w:t>
            </w:r>
          </w:p>
        </w:tc>
        <w:tc>
          <w:tcPr>
            <w:tcW w:w="1489" w:type="dxa"/>
            <w:tcBorders>
              <w:right w:val="single" w:sz="4" w:space="0" w:color="3D7FE0" w:themeColor="accent1"/>
            </w:tcBorders>
          </w:tcPr>
          <w:p w14:paraId="794A4D7B"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2</w:t>
            </w:r>
          </w:p>
        </w:tc>
      </w:tr>
      <w:tr w:rsidR="00AE1E5C" w:rsidRPr="00D34A36" w14:paraId="75AAB856" w14:textId="77777777" w:rsidTr="004203CD">
        <w:trPr>
          <w:trHeight w:hRule="exact" w:val="266"/>
        </w:trPr>
        <w:tc>
          <w:tcPr>
            <w:tcW w:w="4525" w:type="dxa"/>
            <w:tcBorders>
              <w:left w:val="single" w:sz="4" w:space="0" w:color="3D7FE0" w:themeColor="accent1"/>
            </w:tcBorders>
          </w:tcPr>
          <w:p w14:paraId="2A22D585"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Revaluation losses – Group portfolio, including Value Retail</w:t>
            </w:r>
          </w:p>
        </w:tc>
        <w:tc>
          <w:tcPr>
            <w:tcW w:w="426" w:type="dxa"/>
          </w:tcPr>
          <w:p w14:paraId="156618E6" w14:textId="77777777" w:rsidR="00AE1E5C" w:rsidRPr="006967E9" w:rsidRDefault="00AE1E5C" w:rsidP="004203CD">
            <w:pPr>
              <w:spacing w:line="240" w:lineRule="auto"/>
              <w:jc w:val="center"/>
              <w:rPr>
                <w:rFonts w:ascii="IBM Plex Sans Light" w:hAnsi="IBM Plex Sans Light"/>
                <w:color w:val="000000" w:themeColor="text1"/>
              </w:rPr>
            </w:pPr>
          </w:p>
        </w:tc>
        <w:tc>
          <w:tcPr>
            <w:tcW w:w="425" w:type="dxa"/>
          </w:tcPr>
          <w:p w14:paraId="08D5F145" w14:textId="77777777" w:rsidR="00AE1E5C" w:rsidRPr="006967E9" w:rsidRDefault="00AE1E5C" w:rsidP="004203CD">
            <w:pPr>
              <w:spacing w:line="240" w:lineRule="auto"/>
              <w:rPr>
                <w:rFonts w:ascii="IBM Plex Sans Light" w:hAnsi="IBM Plex Sans Light"/>
                <w:bCs/>
                <w:color w:val="000000" w:themeColor="text1"/>
                <w:szCs w:val="18"/>
              </w:rPr>
            </w:pPr>
          </w:p>
        </w:tc>
        <w:tc>
          <w:tcPr>
            <w:tcW w:w="1417" w:type="dxa"/>
          </w:tcPr>
          <w:p w14:paraId="1295A302"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£(12</w:t>
            </w:r>
            <w:r>
              <w:rPr>
                <w:rFonts w:ascii="IBM Plex Sans Medium" w:hAnsi="IBM Plex Sans Medium"/>
                <w:bCs/>
                <w:color w:val="3D7FE0" w:themeColor="accent1"/>
              </w:rPr>
              <w:t>7</w:t>
            </w:r>
            <w:r w:rsidRPr="00463A07">
              <w:rPr>
                <w:rFonts w:ascii="IBM Plex Sans Medium" w:hAnsi="IBM Plex Sans Medium"/>
                <w:bCs/>
                <w:color w:val="3D7FE0" w:themeColor="accent1"/>
              </w:rPr>
              <w:t>)m</w:t>
            </w:r>
          </w:p>
        </w:tc>
        <w:tc>
          <w:tcPr>
            <w:tcW w:w="1418" w:type="dxa"/>
          </w:tcPr>
          <w:p w14:paraId="119B4D62"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£(28</w:t>
            </w:r>
            <w:r>
              <w:rPr>
                <w:rFonts w:ascii="IBM Plex Sans Light" w:hAnsi="IBM Plex Sans Light"/>
                <w:color w:val="000000" w:themeColor="text1"/>
              </w:rPr>
              <w:t>2</w:t>
            </w:r>
            <w:r w:rsidRPr="0011460D">
              <w:rPr>
                <w:rFonts w:ascii="IBM Plex Sans Light" w:hAnsi="IBM Plex Sans Light"/>
                <w:color w:val="000000" w:themeColor="text1"/>
              </w:rPr>
              <w:t>)m</w:t>
            </w:r>
          </w:p>
        </w:tc>
        <w:tc>
          <w:tcPr>
            <w:tcW w:w="1489" w:type="dxa"/>
            <w:tcBorders>
              <w:right w:val="single" w:sz="4" w:space="0" w:color="3D7FE0" w:themeColor="accent1"/>
            </w:tcBorders>
          </w:tcPr>
          <w:p w14:paraId="0DF47149"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3</w:t>
            </w:r>
            <w:r>
              <w:rPr>
                <w:rFonts w:ascii="IBM Plex Sans Medium" w:hAnsi="IBM Plex Sans Medium"/>
                <w:color w:val="3D7FE0" w:themeColor="accent1"/>
                <w:szCs w:val="18"/>
              </w:rPr>
              <w:t>B</w:t>
            </w:r>
          </w:p>
        </w:tc>
      </w:tr>
      <w:tr w:rsidR="00AE1E5C" w:rsidRPr="00D34A36" w14:paraId="46ADF5EF" w14:textId="77777777" w:rsidTr="004203CD">
        <w:trPr>
          <w:trHeight w:hRule="exact" w:val="266"/>
        </w:trPr>
        <w:tc>
          <w:tcPr>
            <w:tcW w:w="4525" w:type="dxa"/>
            <w:tcBorders>
              <w:left w:val="single" w:sz="4" w:space="0" w:color="3D7FE0" w:themeColor="accent1"/>
            </w:tcBorders>
          </w:tcPr>
          <w:p w14:paraId="316EABA3"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Loss</w:t>
            </w:r>
            <w:r>
              <w:rPr>
                <w:rFonts w:ascii="IBM Plex Sans Light" w:hAnsi="IBM Plex Sans Light"/>
                <w:color w:val="000000" w:themeColor="text1"/>
              </w:rPr>
              <w:t xml:space="preserve"> </w:t>
            </w:r>
            <w:r w:rsidRPr="0011460D">
              <w:rPr>
                <w:rFonts w:ascii="IBM Plex Sans Light" w:hAnsi="IBM Plex Sans Light"/>
                <w:color w:val="000000" w:themeColor="text1"/>
              </w:rPr>
              <w:t xml:space="preserve">for the </w:t>
            </w:r>
            <w:r>
              <w:rPr>
                <w:rFonts w:ascii="IBM Plex Sans Light" w:hAnsi="IBM Plex Sans Light"/>
                <w:color w:val="000000" w:themeColor="text1"/>
              </w:rPr>
              <w:t>year</w:t>
            </w:r>
            <w:r w:rsidRPr="0011460D">
              <w:rPr>
                <w:rFonts w:ascii="IBM Plex Sans Light" w:hAnsi="IBM Plex Sans Light"/>
                <w:color w:val="000000" w:themeColor="text1"/>
              </w:rPr>
              <w:t xml:space="preserve"> (IFRS)</w:t>
            </w:r>
          </w:p>
        </w:tc>
        <w:tc>
          <w:tcPr>
            <w:tcW w:w="426" w:type="dxa"/>
          </w:tcPr>
          <w:p w14:paraId="7DBB515F"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162D9C74" w14:textId="77777777" w:rsidR="00AE1E5C" w:rsidRPr="006967E9" w:rsidRDefault="00AE1E5C" w:rsidP="004203CD">
            <w:pPr>
              <w:spacing w:line="240" w:lineRule="auto"/>
              <w:rPr>
                <w:rFonts w:ascii="IBM Plex Sans Light" w:hAnsi="IBM Plex Sans Light"/>
                <w:bCs/>
                <w:color w:val="000000" w:themeColor="text1"/>
                <w:szCs w:val="18"/>
              </w:rPr>
            </w:pPr>
          </w:p>
        </w:tc>
        <w:tc>
          <w:tcPr>
            <w:tcW w:w="1417" w:type="dxa"/>
          </w:tcPr>
          <w:p w14:paraId="6ED7DA31"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£(51)m</w:t>
            </w:r>
          </w:p>
        </w:tc>
        <w:tc>
          <w:tcPr>
            <w:tcW w:w="1418" w:type="dxa"/>
          </w:tcPr>
          <w:p w14:paraId="69DA71A6"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£(164)m</w:t>
            </w:r>
          </w:p>
        </w:tc>
        <w:tc>
          <w:tcPr>
            <w:tcW w:w="1489" w:type="dxa"/>
            <w:tcBorders>
              <w:right w:val="single" w:sz="4" w:space="0" w:color="3D7FE0" w:themeColor="accent1"/>
            </w:tcBorders>
          </w:tcPr>
          <w:p w14:paraId="7C46E436"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2</w:t>
            </w:r>
          </w:p>
        </w:tc>
      </w:tr>
      <w:tr w:rsidR="00AE1E5C" w:rsidRPr="00D34A36" w14:paraId="6BB454C3" w14:textId="77777777" w:rsidTr="004203CD">
        <w:trPr>
          <w:trHeight w:hRule="exact" w:val="266"/>
        </w:trPr>
        <w:tc>
          <w:tcPr>
            <w:tcW w:w="4525" w:type="dxa"/>
            <w:tcBorders>
              <w:left w:val="single" w:sz="4" w:space="0" w:color="3D7FE0" w:themeColor="accent1"/>
            </w:tcBorders>
          </w:tcPr>
          <w:p w14:paraId="1AC0B7A8"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lastRenderedPageBreak/>
              <w:t>Adjusted earnings per share</w:t>
            </w:r>
          </w:p>
        </w:tc>
        <w:tc>
          <w:tcPr>
            <w:tcW w:w="426" w:type="dxa"/>
          </w:tcPr>
          <w:p w14:paraId="6E5255BC"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67B005DB"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color w:val="000000" w:themeColor="text1"/>
                <w:szCs w:val="18"/>
              </w:rPr>
              <w:t>a</w:t>
            </w:r>
          </w:p>
        </w:tc>
        <w:tc>
          <w:tcPr>
            <w:tcW w:w="1417" w:type="dxa"/>
          </w:tcPr>
          <w:p w14:paraId="66DD8670"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2.3p</w:t>
            </w:r>
          </w:p>
        </w:tc>
        <w:tc>
          <w:tcPr>
            <w:tcW w:w="1418" w:type="dxa"/>
          </w:tcPr>
          <w:p w14:paraId="5B7B5565"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2.1p</w:t>
            </w:r>
          </w:p>
        </w:tc>
        <w:tc>
          <w:tcPr>
            <w:tcW w:w="1489" w:type="dxa"/>
            <w:tcBorders>
              <w:right w:val="single" w:sz="4" w:space="0" w:color="3D7FE0" w:themeColor="accent1"/>
            </w:tcBorders>
          </w:tcPr>
          <w:p w14:paraId="2587F450" w14:textId="77777777" w:rsidR="00AE1E5C" w:rsidRPr="00DE34B7" w:rsidRDefault="00AE1E5C" w:rsidP="004203CD">
            <w:pPr>
              <w:spacing w:line="240" w:lineRule="auto"/>
              <w:ind w:right="113"/>
              <w:jc w:val="right"/>
              <w:rPr>
                <w:rFonts w:ascii="IBM Plex Sans Medium" w:hAnsi="IBM Plex Sans Medium"/>
                <w:color w:val="3D7FE0" w:themeColor="accent1"/>
              </w:rPr>
            </w:pPr>
            <w:r w:rsidRPr="00DE34B7">
              <w:rPr>
                <w:rFonts w:ascii="IBM Plex Sans Medium" w:hAnsi="IBM Plex Sans Medium"/>
                <w:bCs/>
                <w:color w:val="3D7FE0" w:themeColor="accent1"/>
              </w:rPr>
              <w:t>10B</w:t>
            </w:r>
          </w:p>
        </w:tc>
      </w:tr>
      <w:tr w:rsidR="00AE1E5C" w:rsidRPr="00D34A36" w14:paraId="3A433F8C" w14:textId="77777777" w:rsidTr="004203CD">
        <w:trPr>
          <w:trHeight w:hRule="exact" w:val="266"/>
        </w:trPr>
        <w:tc>
          <w:tcPr>
            <w:tcW w:w="4525" w:type="dxa"/>
            <w:tcBorders>
              <w:left w:val="single" w:sz="4" w:space="0" w:color="3D7FE0" w:themeColor="accent1"/>
            </w:tcBorders>
          </w:tcPr>
          <w:p w14:paraId="0024A36C" w14:textId="77777777" w:rsidR="00AE1E5C" w:rsidRPr="0011460D" w:rsidRDefault="00AE1E5C" w:rsidP="004203CD">
            <w:pPr>
              <w:spacing w:line="240" w:lineRule="auto"/>
              <w:rPr>
                <w:rFonts w:ascii="IBM Plex Sans Light" w:hAnsi="IBM Plex Sans Light"/>
                <w:color w:val="000000" w:themeColor="text1"/>
              </w:rPr>
            </w:pPr>
            <w:r w:rsidRPr="0011460D">
              <w:rPr>
                <w:rFonts w:ascii="IBM Plex Sans Light" w:hAnsi="IBM Plex Sans Light"/>
                <w:color w:val="000000" w:themeColor="text1"/>
              </w:rPr>
              <w:t xml:space="preserve">Basic </w:t>
            </w:r>
            <w:r>
              <w:rPr>
                <w:rFonts w:ascii="IBM Plex Sans Light" w:hAnsi="IBM Plex Sans Light"/>
                <w:color w:val="000000" w:themeColor="text1"/>
              </w:rPr>
              <w:t>l</w:t>
            </w:r>
            <w:r w:rsidRPr="0011460D">
              <w:rPr>
                <w:rFonts w:ascii="IBM Plex Sans Light" w:hAnsi="IBM Plex Sans Light"/>
                <w:color w:val="000000" w:themeColor="text1"/>
              </w:rPr>
              <w:t>oss per share</w:t>
            </w:r>
          </w:p>
        </w:tc>
        <w:tc>
          <w:tcPr>
            <w:tcW w:w="426" w:type="dxa"/>
          </w:tcPr>
          <w:p w14:paraId="189E0CFA" w14:textId="77777777" w:rsidR="00AE1E5C" w:rsidRPr="006967E9" w:rsidRDefault="00AE1E5C" w:rsidP="004203CD">
            <w:pPr>
              <w:spacing w:line="240" w:lineRule="auto"/>
              <w:jc w:val="center"/>
              <w:rPr>
                <w:rFonts w:ascii="IBM Plex Sans Light" w:hAnsi="IBM Plex Sans Light"/>
                <w:bCs/>
                <w:color w:val="000000" w:themeColor="text1"/>
                <w:szCs w:val="18"/>
              </w:rPr>
            </w:pPr>
          </w:p>
        </w:tc>
        <w:tc>
          <w:tcPr>
            <w:tcW w:w="425" w:type="dxa"/>
          </w:tcPr>
          <w:p w14:paraId="026482C8" w14:textId="77777777" w:rsidR="00AE1E5C" w:rsidRPr="006967E9" w:rsidRDefault="00AE1E5C" w:rsidP="004203CD">
            <w:pPr>
              <w:spacing w:line="240" w:lineRule="auto"/>
              <w:rPr>
                <w:rFonts w:ascii="IBM Plex Sans Light" w:hAnsi="IBM Plex Sans Light"/>
                <w:bCs/>
                <w:color w:val="000000" w:themeColor="text1"/>
                <w:szCs w:val="18"/>
              </w:rPr>
            </w:pPr>
          </w:p>
        </w:tc>
        <w:tc>
          <w:tcPr>
            <w:tcW w:w="1417" w:type="dxa"/>
          </w:tcPr>
          <w:p w14:paraId="64F9D7BA" w14:textId="77777777" w:rsidR="00AE1E5C" w:rsidRPr="00463A07" w:rsidRDefault="00AE1E5C" w:rsidP="004203CD">
            <w:pPr>
              <w:spacing w:line="240" w:lineRule="auto"/>
              <w:ind w:right="142"/>
              <w:jc w:val="right"/>
              <w:rPr>
                <w:rFonts w:ascii="IBM Plex Sans Medium" w:hAnsi="IBM Plex Sans Medium"/>
                <w:bCs/>
                <w:color w:val="3D7FE0" w:themeColor="accent1"/>
              </w:rPr>
            </w:pPr>
            <w:r w:rsidRPr="00463A07">
              <w:rPr>
                <w:rFonts w:ascii="IBM Plex Sans Medium" w:hAnsi="IBM Plex Sans Medium"/>
                <w:bCs/>
                <w:color w:val="3D7FE0" w:themeColor="accent1"/>
              </w:rPr>
              <w:t>(1.0)p</w:t>
            </w:r>
          </w:p>
        </w:tc>
        <w:tc>
          <w:tcPr>
            <w:tcW w:w="1418" w:type="dxa"/>
          </w:tcPr>
          <w:p w14:paraId="5FD5D8E3" w14:textId="77777777" w:rsidR="00AE1E5C" w:rsidRPr="0011460D" w:rsidRDefault="00AE1E5C" w:rsidP="004203CD">
            <w:pPr>
              <w:spacing w:line="240" w:lineRule="auto"/>
              <w:ind w:right="141"/>
              <w:jc w:val="right"/>
              <w:rPr>
                <w:rFonts w:ascii="IBM Plex Sans Light" w:hAnsi="IBM Plex Sans Light"/>
                <w:color w:val="000000" w:themeColor="text1"/>
              </w:rPr>
            </w:pPr>
            <w:r w:rsidRPr="0011460D">
              <w:rPr>
                <w:rFonts w:ascii="IBM Plex Sans Light" w:hAnsi="IBM Plex Sans Light"/>
                <w:color w:val="000000" w:themeColor="text1"/>
              </w:rPr>
              <w:t>(3.3)p</w:t>
            </w:r>
          </w:p>
        </w:tc>
        <w:tc>
          <w:tcPr>
            <w:tcW w:w="1489" w:type="dxa"/>
            <w:tcBorders>
              <w:right w:val="single" w:sz="4" w:space="0" w:color="3D7FE0" w:themeColor="accent1"/>
            </w:tcBorders>
          </w:tcPr>
          <w:p w14:paraId="29EE691D" w14:textId="77777777" w:rsidR="00AE1E5C" w:rsidRPr="00DE34B7" w:rsidRDefault="00AE1E5C" w:rsidP="004203CD">
            <w:pPr>
              <w:spacing w:line="240" w:lineRule="auto"/>
              <w:ind w:right="113"/>
              <w:jc w:val="right"/>
              <w:rPr>
                <w:rFonts w:ascii="IBM Plex Sans Medium" w:hAnsi="IBM Plex Sans Medium"/>
                <w:color w:val="3D7FE0" w:themeColor="accent1"/>
              </w:rPr>
            </w:pPr>
            <w:r w:rsidRPr="00DE34B7">
              <w:rPr>
                <w:rFonts w:ascii="IBM Plex Sans Medium" w:hAnsi="IBM Plex Sans Medium"/>
                <w:bCs/>
                <w:color w:val="3D7FE0" w:themeColor="accent1"/>
              </w:rPr>
              <w:t>10B</w:t>
            </w:r>
          </w:p>
        </w:tc>
      </w:tr>
      <w:tr w:rsidR="00AE1E5C" w:rsidRPr="00D34A36" w14:paraId="3DAD66E2" w14:textId="77777777" w:rsidTr="004203CD">
        <w:trPr>
          <w:trHeight w:hRule="exact" w:val="266"/>
        </w:trPr>
        <w:tc>
          <w:tcPr>
            <w:tcW w:w="4525" w:type="dxa"/>
            <w:tcBorders>
              <w:left w:val="single" w:sz="4" w:space="0" w:color="3D7FE0" w:themeColor="accent1"/>
              <w:bottom w:val="single" w:sz="4" w:space="0" w:color="3D7FE0" w:themeColor="accent1"/>
            </w:tcBorders>
          </w:tcPr>
          <w:p w14:paraId="40E9B8AC" w14:textId="77777777" w:rsidR="00AE1E5C" w:rsidRPr="0011460D" w:rsidRDefault="00AE1E5C" w:rsidP="004203CD">
            <w:pPr>
              <w:spacing w:line="240" w:lineRule="auto"/>
              <w:rPr>
                <w:rFonts w:ascii="IBM Plex Sans Light" w:hAnsi="IBM Plex Sans Light"/>
                <w:color w:val="000000" w:themeColor="text1"/>
              </w:rPr>
            </w:pPr>
            <w:r w:rsidRPr="0B0C0D69">
              <w:rPr>
                <w:rFonts w:ascii="IBM Plex Sans Light" w:hAnsi="IBM Plex Sans Light"/>
                <w:color w:val="000000" w:themeColor="text1"/>
              </w:rPr>
              <w:t xml:space="preserve">Final </w:t>
            </w:r>
            <w:r>
              <w:rPr>
                <w:rFonts w:ascii="IBM Plex Sans Light" w:hAnsi="IBM Plex Sans Light"/>
                <w:color w:val="000000" w:themeColor="text1"/>
              </w:rPr>
              <w:t xml:space="preserve">cash </w:t>
            </w:r>
            <w:r w:rsidRPr="0011460D">
              <w:rPr>
                <w:rFonts w:ascii="IBM Plex Sans Light" w:hAnsi="IBM Plex Sans Light"/>
                <w:color w:val="000000" w:themeColor="text1"/>
              </w:rPr>
              <w:t>dividend per share</w:t>
            </w:r>
          </w:p>
        </w:tc>
        <w:tc>
          <w:tcPr>
            <w:tcW w:w="426" w:type="dxa"/>
            <w:tcBorders>
              <w:bottom w:val="single" w:sz="4" w:space="0" w:color="3D7FE0" w:themeColor="accent1"/>
            </w:tcBorders>
          </w:tcPr>
          <w:p w14:paraId="615E7E04"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Borders>
              <w:bottom w:val="single" w:sz="4" w:space="0" w:color="3D7FE0" w:themeColor="accent1"/>
            </w:tcBorders>
          </w:tcPr>
          <w:p w14:paraId="01155000"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Borders>
              <w:bottom w:val="single" w:sz="4" w:space="0" w:color="3D7FE0" w:themeColor="accent1"/>
            </w:tcBorders>
          </w:tcPr>
          <w:p w14:paraId="29AABCBC" w14:textId="364D7E9B" w:rsidR="00AE1E5C" w:rsidRPr="00463A07" w:rsidRDefault="00AE1E5C" w:rsidP="004203CD">
            <w:pPr>
              <w:spacing w:line="240" w:lineRule="auto"/>
              <w:ind w:right="142"/>
              <w:jc w:val="right"/>
              <w:rPr>
                <w:rFonts w:ascii="IBM Plex Sans Medium" w:hAnsi="IBM Plex Sans Medium"/>
                <w:color w:val="3D7FE0" w:themeColor="accent1"/>
              </w:rPr>
            </w:pPr>
            <w:r w:rsidRPr="00463A07">
              <w:rPr>
                <w:rFonts w:ascii="IBM Plex Sans Medium" w:hAnsi="IBM Plex Sans Medium"/>
                <w:color w:val="3D7FE0" w:themeColor="accent1"/>
              </w:rPr>
              <w:t>0.</w:t>
            </w:r>
            <w:r>
              <w:rPr>
                <w:rFonts w:ascii="IBM Plex Sans Medium" w:hAnsi="IBM Plex Sans Medium"/>
                <w:color w:val="3D7FE0" w:themeColor="accent1"/>
              </w:rPr>
              <w:t>78</w:t>
            </w:r>
            <w:r w:rsidRPr="00463A07">
              <w:rPr>
                <w:rFonts w:ascii="IBM Plex Sans Medium" w:hAnsi="IBM Plex Sans Medium"/>
                <w:color w:val="3D7FE0" w:themeColor="accent1"/>
              </w:rPr>
              <w:t>p</w:t>
            </w:r>
          </w:p>
        </w:tc>
        <w:tc>
          <w:tcPr>
            <w:tcW w:w="1418" w:type="dxa"/>
            <w:tcBorders>
              <w:bottom w:val="single" w:sz="4" w:space="0" w:color="3D7FE0" w:themeColor="accent1"/>
            </w:tcBorders>
          </w:tcPr>
          <w:p w14:paraId="16173CA3" w14:textId="77777777" w:rsidR="00AE1E5C" w:rsidRPr="00B84CE1" w:rsidRDefault="00AE1E5C" w:rsidP="004203CD">
            <w:pPr>
              <w:spacing w:after="0" w:line="240" w:lineRule="auto"/>
              <w:ind w:right="142"/>
              <w:jc w:val="right"/>
              <w:rPr>
                <w:rFonts w:ascii="IBM Plex Sans Light" w:hAnsi="IBM Plex Sans Light"/>
                <w:color w:val="000000" w:themeColor="text1"/>
              </w:rPr>
            </w:pPr>
            <w:r w:rsidRPr="4F173D8F">
              <w:rPr>
                <w:rFonts w:ascii="IBM Plex Sans Light" w:hAnsi="IBM Plex Sans Light"/>
                <w:color w:val="000000" w:themeColor="text1"/>
              </w:rPr>
              <w:t>—</w:t>
            </w:r>
          </w:p>
        </w:tc>
        <w:tc>
          <w:tcPr>
            <w:tcW w:w="1489" w:type="dxa"/>
            <w:tcBorders>
              <w:bottom w:val="single" w:sz="4" w:space="0" w:color="3D7FE0" w:themeColor="accent1"/>
              <w:right w:val="single" w:sz="4" w:space="0" w:color="3D7FE0" w:themeColor="accent1"/>
            </w:tcBorders>
          </w:tcPr>
          <w:p w14:paraId="147DEB02" w14:textId="0EAF56F0" w:rsidR="00AE1E5C" w:rsidRPr="00DE34B7" w:rsidRDefault="00AE1E5C" w:rsidP="004203CD">
            <w:pPr>
              <w:spacing w:line="240" w:lineRule="auto"/>
              <w:ind w:right="113"/>
              <w:jc w:val="right"/>
              <w:rPr>
                <w:rFonts w:ascii="IBM Plex Sans Medium" w:hAnsi="IBM Plex Sans Medium"/>
                <w:color w:val="3D7FE0" w:themeColor="accent1"/>
              </w:rPr>
            </w:pPr>
            <w:r w:rsidRPr="00DE34B7">
              <w:rPr>
                <w:rFonts w:ascii="IBM Plex Sans Medium" w:hAnsi="IBM Plex Sans Medium"/>
                <w:bCs/>
                <w:color w:val="3D7FE0" w:themeColor="accent1"/>
              </w:rPr>
              <w:t>1</w:t>
            </w:r>
            <w:r w:rsidR="00DE34B7" w:rsidRPr="00DE34B7">
              <w:rPr>
                <w:rFonts w:ascii="IBM Plex Sans Medium" w:hAnsi="IBM Plex Sans Medium"/>
                <w:bCs/>
                <w:color w:val="3D7FE0" w:themeColor="accent1"/>
              </w:rPr>
              <w:t>8</w:t>
            </w:r>
          </w:p>
        </w:tc>
      </w:tr>
      <w:tr w:rsidR="00AE1E5C" w14:paraId="3B1980C8" w14:textId="77777777" w:rsidTr="004203CD">
        <w:trPr>
          <w:trHeight w:val="266"/>
        </w:trPr>
        <w:tc>
          <w:tcPr>
            <w:tcW w:w="4525" w:type="dxa"/>
            <w:tcBorders>
              <w:left w:val="single" w:sz="4" w:space="0" w:color="3D7FE0" w:themeColor="accent1"/>
              <w:bottom w:val="single" w:sz="4" w:space="0" w:color="3D7FE0" w:themeColor="accent1"/>
            </w:tcBorders>
          </w:tcPr>
          <w:p w14:paraId="4050C24F" w14:textId="77777777" w:rsidR="00AE1E5C" w:rsidRDefault="00AE1E5C" w:rsidP="004203CD">
            <w:pPr>
              <w:spacing w:line="240" w:lineRule="auto"/>
              <w:rPr>
                <w:rFonts w:ascii="IBM Plex Sans Light" w:hAnsi="IBM Plex Sans Light"/>
                <w:color w:val="000000" w:themeColor="text1"/>
              </w:rPr>
            </w:pPr>
            <w:r w:rsidRPr="0B0C0D69">
              <w:rPr>
                <w:rFonts w:ascii="IBM Plex Sans Light" w:hAnsi="IBM Plex Sans Light"/>
                <w:color w:val="000000" w:themeColor="text1"/>
              </w:rPr>
              <w:t>Dividend per share for the year (cash/enhanced scrip)</w:t>
            </w:r>
          </w:p>
        </w:tc>
        <w:tc>
          <w:tcPr>
            <w:tcW w:w="426" w:type="dxa"/>
            <w:tcBorders>
              <w:bottom w:val="single" w:sz="4" w:space="0" w:color="3D7FE0" w:themeColor="accent1"/>
            </w:tcBorders>
          </w:tcPr>
          <w:p w14:paraId="753B1688" w14:textId="77777777" w:rsidR="00AE1E5C" w:rsidRDefault="00AE1E5C" w:rsidP="004203CD">
            <w:pPr>
              <w:spacing w:line="240" w:lineRule="auto"/>
              <w:jc w:val="center"/>
              <w:rPr>
                <w:rFonts w:ascii="IBM Plex Sans Light" w:hAnsi="IBM Plex Sans Light"/>
                <w:color w:val="000000" w:themeColor="text1"/>
                <w:highlight w:val="yellow"/>
              </w:rPr>
            </w:pPr>
          </w:p>
        </w:tc>
        <w:tc>
          <w:tcPr>
            <w:tcW w:w="425" w:type="dxa"/>
            <w:tcBorders>
              <w:bottom w:val="single" w:sz="4" w:space="0" w:color="3D7FE0" w:themeColor="accent1"/>
            </w:tcBorders>
          </w:tcPr>
          <w:p w14:paraId="76DC4455" w14:textId="77777777" w:rsidR="00AE1E5C" w:rsidRDefault="00AE1E5C" w:rsidP="004203CD">
            <w:pPr>
              <w:spacing w:line="240" w:lineRule="auto"/>
              <w:rPr>
                <w:rFonts w:ascii="IBM Plex Sans Light" w:hAnsi="IBM Plex Sans Light"/>
                <w:color w:val="000000" w:themeColor="text1"/>
                <w:highlight w:val="yellow"/>
              </w:rPr>
            </w:pPr>
          </w:p>
        </w:tc>
        <w:tc>
          <w:tcPr>
            <w:tcW w:w="1417" w:type="dxa"/>
            <w:tcBorders>
              <w:bottom w:val="single" w:sz="4" w:space="0" w:color="3D7FE0" w:themeColor="accent1"/>
            </w:tcBorders>
          </w:tcPr>
          <w:p w14:paraId="7B36647D" w14:textId="2D2BF3AB" w:rsidR="00AE1E5C" w:rsidRPr="00463A07" w:rsidRDefault="00AE1E5C" w:rsidP="004203CD">
            <w:pPr>
              <w:spacing w:line="240" w:lineRule="auto"/>
              <w:ind w:right="142"/>
              <w:jc w:val="right"/>
              <w:rPr>
                <w:rFonts w:ascii="IBM Plex Sans Medium" w:hAnsi="IBM Plex Sans Medium"/>
                <w:color w:val="3D7FE0" w:themeColor="accent1"/>
              </w:rPr>
            </w:pPr>
            <w:r w:rsidRPr="00463A07">
              <w:rPr>
                <w:rFonts w:ascii="IBM Plex Sans Medium" w:hAnsi="IBM Plex Sans Medium"/>
                <w:color w:val="3D7FE0" w:themeColor="accent1"/>
              </w:rPr>
              <w:t>1.</w:t>
            </w:r>
            <w:r>
              <w:rPr>
                <w:rFonts w:ascii="IBM Plex Sans Medium" w:hAnsi="IBM Plex Sans Medium"/>
                <w:color w:val="3D7FE0" w:themeColor="accent1"/>
              </w:rPr>
              <w:t>50</w:t>
            </w:r>
            <w:r w:rsidRPr="00463A07">
              <w:rPr>
                <w:rFonts w:ascii="IBM Plex Sans Medium" w:hAnsi="IBM Plex Sans Medium"/>
                <w:color w:val="3D7FE0" w:themeColor="accent1"/>
              </w:rPr>
              <w:t>p</w:t>
            </w:r>
            <w:r w:rsidR="00325320">
              <w:rPr>
                <w:rFonts w:ascii="IBM Plex Sans Medium" w:hAnsi="IBM Plex Sans Medium"/>
                <w:color w:val="3D7FE0" w:themeColor="accent1"/>
              </w:rPr>
              <w:t>/</w:t>
            </w:r>
            <w:r w:rsidR="00FF4461" w:rsidRPr="00B70539">
              <w:rPr>
                <w:rFonts w:ascii="IBM Plex Sans Medium" w:hAnsi="IBM Plex Sans Medium"/>
                <w:b/>
                <w:bCs/>
                <w:color w:val="3D7FE0" w:themeColor="accent1"/>
                <w:szCs w:val="18"/>
              </w:rPr>
              <w:t>–</w:t>
            </w:r>
          </w:p>
        </w:tc>
        <w:tc>
          <w:tcPr>
            <w:tcW w:w="1418" w:type="dxa"/>
            <w:tcBorders>
              <w:bottom w:val="single" w:sz="4" w:space="0" w:color="3D7FE0" w:themeColor="accent1"/>
            </w:tcBorders>
          </w:tcPr>
          <w:p w14:paraId="70BA1A1A" w14:textId="77777777" w:rsidR="00AE1E5C" w:rsidRDefault="00AE1E5C" w:rsidP="004203CD">
            <w:pPr>
              <w:spacing w:after="0" w:line="240" w:lineRule="auto"/>
              <w:ind w:right="142"/>
              <w:jc w:val="right"/>
              <w:rPr>
                <w:rFonts w:ascii="IBM Plex Sans Light" w:hAnsi="IBM Plex Sans Light"/>
                <w:color w:val="000000" w:themeColor="text1"/>
              </w:rPr>
            </w:pPr>
            <w:r w:rsidRPr="4F173D8F">
              <w:rPr>
                <w:rFonts w:ascii="IBM Plex Sans Light" w:hAnsi="IBM Plex Sans Light"/>
                <w:color w:val="000000" w:themeColor="text1"/>
              </w:rPr>
              <w:t>0.2p/2.0p</w:t>
            </w:r>
          </w:p>
        </w:tc>
        <w:tc>
          <w:tcPr>
            <w:tcW w:w="1489" w:type="dxa"/>
            <w:tcBorders>
              <w:bottom w:val="single" w:sz="4" w:space="0" w:color="3D7FE0" w:themeColor="accent1"/>
              <w:right w:val="single" w:sz="4" w:space="0" w:color="3D7FE0" w:themeColor="accent1"/>
            </w:tcBorders>
          </w:tcPr>
          <w:p w14:paraId="2E8839AD" w14:textId="5AF8FF41" w:rsidR="00AE1E5C" w:rsidRPr="00DE34B7" w:rsidRDefault="00AE1E5C" w:rsidP="004203CD">
            <w:pPr>
              <w:spacing w:line="240" w:lineRule="auto"/>
              <w:ind w:right="113"/>
              <w:jc w:val="right"/>
              <w:rPr>
                <w:rFonts w:ascii="IBM Plex Sans Medium" w:hAnsi="IBM Plex Sans Medium"/>
                <w:color w:val="3D7FE0" w:themeColor="accent1"/>
              </w:rPr>
            </w:pPr>
            <w:r w:rsidRPr="00DE34B7">
              <w:rPr>
                <w:rFonts w:ascii="IBM Plex Sans Medium" w:hAnsi="IBM Plex Sans Medium"/>
                <w:color w:val="3D7FE0" w:themeColor="accent1"/>
              </w:rPr>
              <w:t>1</w:t>
            </w:r>
            <w:r w:rsidR="00DE34B7" w:rsidRPr="00DE34B7">
              <w:rPr>
                <w:rFonts w:ascii="IBM Plex Sans Medium" w:hAnsi="IBM Plex Sans Medium"/>
                <w:color w:val="3D7FE0" w:themeColor="accent1"/>
              </w:rPr>
              <w:t>8</w:t>
            </w:r>
          </w:p>
        </w:tc>
      </w:tr>
      <w:tr w:rsidR="00AE1E5C" w:rsidRPr="00D34A36" w14:paraId="76A2FB81" w14:textId="77777777" w:rsidTr="004203CD">
        <w:trPr>
          <w:trHeight w:hRule="exact" w:val="266"/>
        </w:trPr>
        <w:tc>
          <w:tcPr>
            <w:tcW w:w="4525" w:type="dxa"/>
            <w:tcBorders>
              <w:top w:val="single" w:sz="4" w:space="0" w:color="3D7FE0" w:themeColor="accent1"/>
              <w:left w:val="single" w:sz="4" w:space="0" w:color="3D7FE0" w:themeColor="accent1"/>
              <w:bottom w:val="nil"/>
            </w:tcBorders>
          </w:tcPr>
          <w:p w14:paraId="5C6E57D0" w14:textId="77777777" w:rsidR="00AE1E5C" w:rsidRPr="00B84CE1" w:rsidRDefault="00AE1E5C" w:rsidP="004203CD">
            <w:pPr>
              <w:spacing w:line="240" w:lineRule="auto"/>
              <w:rPr>
                <w:rFonts w:ascii="IBM Plex Sans Light" w:hAnsi="IBM Plex Sans Light"/>
                <w:b/>
                <w:color w:val="000000" w:themeColor="text1"/>
                <w:szCs w:val="18"/>
                <w:highlight w:val="yellow"/>
              </w:rPr>
            </w:pPr>
          </w:p>
        </w:tc>
        <w:tc>
          <w:tcPr>
            <w:tcW w:w="426" w:type="dxa"/>
            <w:tcBorders>
              <w:top w:val="single" w:sz="4" w:space="0" w:color="3D7FE0" w:themeColor="accent1"/>
              <w:bottom w:val="nil"/>
            </w:tcBorders>
          </w:tcPr>
          <w:p w14:paraId="102BBAA1"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Borders>
              <w:top w:val="single" w:sz="4" w:space="0" w:color="3D7FE0" w:themeColor="accent1"/>
              <w:bottom w:val="nil"/>
            </w:tcBorders>
          </w:tcPr>
          <w:p w14:paraId="78A373D3" w14:textId="77777777" w:rsidR="00AE1E5C" w:rsidRPr="00B84CE1" w:rsidRDefault="00AE1E5C" w:rsidP="004203CD">
            <w:pPr>
              <w:spacing w:line="240" w:lineRule="auto"/>
              <w:rPr>
                <w:rFonts w:ascii="IBM Plex Sans Light" w:hAnsi="IBM Plex Sans Light"/>
                <w:b/>
                <w:color w:val="000000" w:themeColor="text1"/>
                <w:szCs w:val="18"/>
                <w:highlight w:val="yellow"/>
              </w:rPr>
            </w:pPr>
          </w:p>
        </w:tc>
        <w:tc>
          <w:tcPr>
            <w:tcW w:w="1417" w:type="dxa"/>
            <w:tcBorders>
              <w:top w:val="single" w:sz="4" w:space="0" w:color="3D7FE0" w:themeColor="accent1"/>
              <w:bottom w:val="nil"/>
            </w:tcBorders>
          </w:tcPr>
          <w:p w14:paraId="319F4E7A" w14:textId="77777777" w:rsidR="00AE1E5C" w:rsidRPr="00B84CE1" w:rsidRDefault="00AE1E5C" w:rsidP="004203CD">
            <w:pPr>
              <w:spacing w:line="240" w:lineRule="auto"/>
              <w:ind w:right="142"/>
              <w:jc w:val="right"/>
              <w:rPr>
                <w:rFonts w:ascii="IBM Plex Sans Medium" w:hAnsi="IBM Plex Sans Medium"/>
                <w:b/>
                <w:color w:val="3D7FE0" w:themeColor="accent1"/>
                <w:szCs w:val="18"/>
                <w:highlight w:val="yellow"/>
              </w:rPr>
            </w:pPr>
          </w:p>
        </w:tc>
        <w:tc>
          <w:tcPr>
            <w:tcW w:w="1418" w:type="dxa"/>
            <w:tcBorders>
              <w:top w:val="single" w:sz="4" w:space="0" w:color="3D7FE0" w:themeColor="accent1"/>
              <w:bottom w:val="nil"/>
            </w:tcBorders>
          </w:tcPr>
          <w:p w14:paraId="47927CA8" w14:textId="77777777" w:rsidR="00AE1E5C" w:rsidRPr="00B84CE1" w:rsidRDefault="00AE1E5C" w:rsidP="004203CD">
            <w:pPr>
              <w:spacing w:line="240" w:lineRule="auto"/>
              <w:ind w:right="141"/>
              <w:jc w:val="right"/>
              <w:rPr>
                <w:rFonts w:ascii="IBM Plex Sans Light" w:hAnsi="IBM Plex Sans Light"/>
                <w:bCs/>
                <w:color w:val="000000" w:themeColor="text1"/>
                <w:szCs w:val="18"/>
                <w:highlight w:val="yellow"/>
              </w:rPr>
            </w:pPr>
          </w:p>
        </w:tc>
        <w:tc>
          <w:tcPr>
            <w:tcW w:w="1489" w:type="dxa"/>
            <w:tcBorders>
              <w:top w:val="single" w:sz="4" w:space="0" w:color="3D7FE0" w:themeColor="accent1"/>
              <w:bottom w:val="nil"/>
              <w:right w:val="single" w:sz="4" w:space="0" w:color="3D7FE0" w:themeColor="accent1"/>
            </w:tcBorders>
          </w:tcPr>
          <w:p w14:paraId="59C506CE" w14:textId="77777777" w:rsidR="00AE1E5C" w:rsidRPr="00D34A36" w:rsidRDefault="00AE1E5C" w:rsidP="004203CD">
            <w:pPr>
              <w:spacing w:line="240" w:lineRule="auto"/>
              <w:ind w:right="113"/>
              <w:jc w:val="right"/>
              <w:rPr>
                <w:rFonts w:ascii="IBM Plex Sans Medium" w:hAnsi="IBM Plex Sans Medium"/>
                <w:b/>
                <w:color w:val="3D7FE0" w:themeColor="accent1"/>
                <w:szCs w:val="18"/>
                <w:highlight w:val="yellow"/>
              </w:rPr>
            </w:pPr>
          </w:p>
        </w:tc>
      </w:tr>
      <w:tr w:rsidR="00AE1E5C" w:rsidRPr="00D34A36" w14:paraId="6F9AE59F" w14:textId="77777777" w:rsidTr="004203CD">
        <w:trPr>
          <w:trHeight w:hRule="exact" w:val="266"/>
        </w:trPr>
        <w:tc>
          <w:tcPr>
            <w:tcW w:w="4525" w:type="dxa"/>
            <w:tcBorders>
              <w:top w:val="nil"/>
              <w:left w:val="single" w:sz="4" w:space="0" w:color="3D7FE0" w:themeColor="accent1"/>
            </w:tcBorders>
            <w:shd w:val="clear" w:color="auto" w:fill="auto"/>
          </w:tcPr>
          <w:p w14:paraId="65976891" w14:textId="77777777" w:rsidR="00AE1E5C" w:rsidRPr="006967E9" w:rsidRDefault="00AE1E5C" w:rsidP="004203CD">
            <w:pPr>
              <w:spacing w:line="240" w:lineRule="auto"/>
              <w:rPr>
                <w:rFonts w:ascii="IBM Plex Sans Light" w:hAnsi="IBM Plex Sans Light"/>
                <w:b/>
                <w:color w:val="000000" w:themeColor="text1"/>
                <w:szCs w:val="18"/>
              </w:rPr>
            </w:pPr>
            <w:r w:rsidRPr="006967E9">
              <w:rPr>
                <w:rFonts w:ascii="IBM Plex Sans Medium" w:hAnsi="IBM Plex Sans Medium"/>
                <w:b/>
                <w:color w:val="000000" w:themeColor="text1"/>
                <w:szCs w:val="18"/>
              </w:rPr>
              <w:t>Operational</w:t>
            </w:r>
          </w:p>
        </w:tc>
        <w:tc>
          <w:tcPr>
            <w:tcW w:w="426" w:type="dxa"/>
            <w:tcBorders>
              <w:top w:val="nil"/>
            </w:tcBorders>
          </w:tcPr>
          <w:p w14:paraId="7C93614F"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Borders>
              <w:top w:val="nil"/>
            </w:tcBorders>
          </w:tcPr>
          <w:p w14:paraId="3D08FD59" w14:textId="77777777" w:rsidR="00AE1E5C" w:rsidRPr="00B84CE1" w:rsidRDefault="00AE1E5C" w:rsidP="004203CD">
            <w:pPr>
              <w:spacing w:line="240" w:lineRule="auto"/>
              <w:rPr>
                <w:rFonts w:ascii="IBM Plex Sans Light" w:hAnsi="IBM Plex Sans Light"/>
                <w:b/>
                <w:color w:val="000000" w:themeColor="text1"/>
                <w:szCs w:val="18"/>
                <w:highlight w:val="yellow"/>
              </w:rPr>
            </w:pPr>
          </w:p>
        </w:tc>
        <w:tc>
          <w:tcPr>
            <w:tcW w:w="1417" w:type="dxa"/>
            <w:tcBorders>
              <w:top w:val="nil"/>
            </w:tcBorders>
          </w:tcPr>
          <w:p w14:paraId="1CEC1DAB" w14:textId="77777777" w:rsidR="00AE1E5C" w:rsidRPr="00B84CE1" w:rsidRDefault="00AE1E5C" w:rsidP="004203CD">
            <w:pPr>
              <w:spacing w:line="240" w:lineRule="auto"/>
              <w:ind w:right="142"/>
              <w:jc w:val="right"/>
              <w:rPr>
                <w:rFonts w:ascii="IBM Plex Sans Medium" w:hAnsi="IBM Plex Sans Medium"/>
                <w:b/>
                <w:color w:val="3D7FE0" w:themeColor="accent1"/>
                <w:szCs w:val="18"/>
                <w:highlight w:val="yellow"/>
              </w:rPr>
            </w:pPr>
          </w:p>
        </w:tc>
        <w:tc>
          <w:tcPr>
            <w:tcW w:w="1418" w:type="dxa"/>
            <w:tcBorders>
              <w:top w:val="nil"/>
            </w:tcBorders>
          </w:tcPr>
          <w:p w14:paraId="293AF6E6" w14:textId="77777777" w:rsidR="00AE1E5C" w:rsidRPr="00B84CE1" w:rsidRDefault="00AE1E5C" w:rsidP="004203CD">
            <w:pPr>
              <w:spacing w:line="240" w:lineRule="auto"/>
              <w:ind w:right="141"/>
              <w:jc w:val="right"/>
              <w:rPr>
                <w:rFonts w:ascii="IBM Plex Sans Light" w:hAnsi="IBM Plex Sans Light"/>
                <w:bCs/>
                <w:color w:val="000000" w:themeColor="text1"/>
                <w:szCs w:val="18"/>
                <w:highlight w:val="yellow"/>
              </w:rPr>
            </w:pPr>
          </w:p>
        </w:tc>
        <w:tc>
          <w:tcPr>
            <w:tcW w:w="1489" w:type="dxa"/>
            <w:tcBorders>
              <w:top w:val="nil"/>
              <w:right w:val="single" w:sz="4" w:space="0" w:color="3D7FE0" w:themeColor="accent1"/>
            </w:tcBorders>
          </w:tcPr>
          <w:p w14:paraId="561E9DDC" w14:textId="77777777" w:rsidR="00AE1E5C" w:rsidRPr="00D34A36" w:rsidRDefault="00AE1E5C" w:rsidP="004203CD">
            <w:pPr>
              <w:spacing w:line="240" w:lineRule="auto"/>
              <w:ind w:right="113"/>
              <w:jc w:val="right"/>
              <w:rPr>
                <w:rFonts w:ascii="IBM Plex Sans Medium" w:hAnsi="IBM Plex Sans Medium"/>
                <w:b/>
                <w:color w:val="3D7FE0" w:themeColor="accent1"/>
                <w:szCs w:val="18"/>
                <w:highlight w:val="yellow"/>
              </w:rPr>
            </w:pPr>
          </w:p>
        </w:tc>
      </w:tr>
      <w:tr w:rsidR="00AE1E5C" w:rsidRPr="00D34A36" w14:paraId="33ED8129" w14:textId="77777777" w:rsidTr="004203CD">
        <w:trPr>
          <w:trHeight w:hRule="exact" w:val="266"/>
        </w:trPr>
        <w:tc>
          <w:tcPr>
            <w:tcW w:w="4525" w:type="dxa"/>
            <w:tcBorders>
              <w:left w:val="single" w:sz="4" w:space="0" w:color="3D7FE0" w:themeColor="accent1"/>
            </w:tcBorders>
            <w:shd w:val="clear" w:color="auto" w:fill="auto"/>
          </w:tcPr>
          <w:p w14:paraId="246809C3" w14:textId="77777777" w:rsidR="00AE1E5C" w:rsidRPr="006967E9" w:rsidRDefault="00AE1E5C" w:rsidP="004203CD">
            <w:pPr>
              <w:spacing w:line="240" w:lineRule="auto"/>
              <w:rPr>
                <w:rFonts w:ascii="IBM Plex Sans Light" w:hAnsi="IBM Plex Sans Light"/>
                <w:color w:val="000000" w:themeColor="text1"/>
              </w:rPr>
            </w:pPr>
            <w:r w:rsidRPr="006967E9">
              <w:rPr>
                <w:rFonts w:ascii="IBM Plex Sans Light" w:hAnsi="IBM Plex Sans Light"/>
                <w:color w:val="000000" w:themeColor="text1"/>
              </w:rPr>
              <w:t>Like-for-like gross rental income</w:t>
            </w:r>
            <w:r>
              <w:rPr>
                <w:rFonts w:ascii="IBM Plex Sans Light" w:hAnsi="IBM Plex Sans Light"/>
                <w:color w:val="000000" w:themeColor="text1"/>
              </w:rPr>
              <w:t xml:space="preserve"> change</w:t>
            </w:r>
          </w:p>
        </w:tc>
        <w:tc>
          <w:tcPr>
            <w:tcW w:w="426" w:type="dxa"/>
          </w:tcPr>
          <w:p w14:paraId="464B4133" w14:textId="77777777" w:rsidR="00AE1E5C" w:rsidRPr="00B84CE1" w:rsidRDefault="00AE1E5C" w:rsidP="004203CD">
            <w:pPr>
              <w:spacing w:line="240" w:lineRule="auto"/>
              <w:jc w:val="center"/>
              <w:rPr>
                <w:rFonts w:ascii="IBM Plex Sans Light" w:hAnsi="IBM Plex Sans Light"/>
                <w:highlight w:val="yellow"/>
              </w:rPr>
            </w:pPr>
          </w:p>
        </w:tc>
        <w:tc>
          <w:tcPr>
            <w:tcW w:w="425" w:type="dxa"/>
          </w:tcPr>
          <w:p w14:paraId="501126AE" w14:textId="77777777" w:rsidR="00AE1E5C" w:rsidRPr="00B84CE1" w:rsidRDefault="00AE1E5C" w:rsidP="004203CD">
            <w:pPr>
              <w:spacing w:line="240" w:lineRule="auto"/>
              <w:jc w:val="center"/>
              <w:rPr>
                <w:rFonts w:ascii="IBM Plex Sans Light" w:hAnsi="IBM Plex Sans Light"/>
                <w:highlight w:val="yellow"/>
              </w:rPr>
            </w:pPr>
          </w:p>
        </w:tc>
        <w:tc>
          <w:tcPr>
            <w:tcW w:w="1417" w:type="dxa"/>
          </w:tcPr>
          <w:p w14:paraId="3D05C34B" w14:textId="77777777" w:rsidR="00AE1E5C" w:rsidRPr="000A258B" w:rsidRDefault="00AE1E5C" w:rsidP="004203CD">
            <w:pPr>
              <w:spacing w:line="240" w:lineRule="auto"/>
              <w:ind w:right="142"/>
              <w:jc w:val="right"/>
              <w:rPr>
                <w:rFonts w:ascii="IBM Plex Sans Medium" w:hAnsi="IBM Plex Sans Medium"/>
                <w:bCs/>
                <w:color w:val="3D7FE0" w:themeColor="accent1"/>
              </w:rPr>
            </w:pPr>
            <w:r>
              <w:rPr>
                <w:rFonts w:ascii="IBM Plex Sans Medium" w:hAnsi="IBM Plex Sans Medium"/>
                <w:bCs/>
                <w:color w:val="3D7FE0" w:themeColor="accent1"/>
              </w:rPr>
              <w:t>+</w:t>
            </w:r>
            <w:r w:rsidRPr="000A258B">
              <w:rPr>
                <w:rFonts w:ascii="IBM Plex Sans Medium" w:hAnsi="IBM Plex Sans Medium"/>
                <w:bCs/>
                <w:color w:val="3D7FE0" w:themeColor="accent1"/>
              </w:rPr>
              <w:t>5.5%</w:t>
            </w:r>
          </w:p>
        </w:tc>
        <w:tc>
          <w:tcPr>
            <w:tcW w:w="1418" w:type="dxa"/>
          </w:tcPr>
          <w:p w14:paraId="2121E52C" w14:textId="77777777" w:rsidR="00AE1E5C" w:rsidRPr="00CB0CE8" w:rsidRDefault="00AE1E5C" w:rsidP="004203CD">
            <w:pPr>
              <w:spacing w:line="240" w:lineRule="auto"/>
              <w:ind w:right="141"/>
              <w:jc w:val="right"/>
              <w:rPr>
                <w:rFonts w:ascii="Wingdings" w:eastAsia="Wingdings" w:hAnsi="Wingdings" w:cs="Wingdings"/>
                <w:color w:val="000000" w:themeColor="text1"/>
              </w:rPr>
            </w:pPr>
            <w:r w:rsidRPr="00CB0CE8">
              <w:rPr>
                <w:rFonts w:ascii="IBM Plex Sans Light" w:hAnsi="IBM Plex Sans Light"/>
                <w:color w:val="000000" w:themeColor="text1"/>
              </w:rPr>
              <w:t>+8.3%</w:t>
            </w:r>
          </w:p>
        </w:tc>
        <w:tc>
          <w:tcPr>
            <w:tcW w:w="1489" w:type="dxa"/>
            <w:tcBorders>
              <w:right w:val="single" w:sz="4" w:space="0" w:color="3D7FE0" w:themeColor="accent1"/>
            </w:tcBorders>
          </w:tcPr>
          <w:p w14:paraId="2C61830E" w14:textId="77777777" w:rsidR="00AE1E5C" w:rsidRPr="002D4FA6" w:rsidRDefault="00AE1E5C" w:rsidP="004203CD">
            <w:pPr>
              <w:spacing w:line="240" w:lineRule="auto"/>
              <w:ind w:right="113"/>
              <w:jc w:val="right"/>
              <w:rPr>
                <w:rFonts w:ascii="IBM Plex Sans Medium" w:hAnsi="IBM Plex Sans Medium"/>
                <w:color w:val="3D7FE0" w:themeColor="accent1"/>
              </w:rPr>
            </w:pPr>
            <w:r w:rsidRPr="002D4FA6">
              <w:rPr>
                <w:rFonts w:ascii="IBM Plex Sans Medium" w:hAnsi="IBM Plex Sans Medium"/>
                <w:bCs/>
                <w:color w:val="3D7FE0" w:themeColor="accent1"/>
              </w:rPr>
              <w:t xml:space="preserve"> Financial Review</w:t>
            </w:r>
          </w:p>
        </w:tc>
      </w:tr>
      <w:tr w:rsidR="00AE1E5C" w:rsidRPr="00D34A36" w14:paraId="075578B8" w14:textId="77777777" w:rsidTr="004203CD">
        <w:trPr>
          <w:trHeight w:hRule="exact" w:val="266"/>
        </w:trPr>
        <w:tc>
          <w:tcPr>
            <w:tcW w:w="4525" w:type="dxa"/>
            <w:tcBorders>
              <w:left w:val="single" w:sz="4" w:space="0" w:color="3D7FE0" w:themeColor="accent1"/>
            </w:tcBorders>
            <w:shd w:val="clear" w:color="auto" w:fill="auto"/>
          </w:tcPr>
          <w:p w14:paraId="3980C9E7"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 xml:space="preserve">Like-for-like </w:t>
            </w:r>
            <w:r>
              <w:rPr>
                <w:rFonts w:ascii="IBM Plex Sans Light" w:hAnsi="IBM Plex Sans Light"/>
                <w:bCs/>
                <w:color w:val="000000" w:themeColor="text1"/>
                <w:szCs w:val="18"/>
              </w:rPr>
              <w:t xml:space="preserve">adjusted </w:t>
            </w:r>
            <w:r w:rsidRPr="006967E9">
              <w:rPr>
                <w:rFonts w:ascii="IBM Plex Sans Light" w:hAnsi="IBM Plex Sans Light"/>
                <w:bCs/>
                <w:color w:val="000000" w:themeColor="text1"/>
                <w:szCs w:val="18"/>
              </w:rPr>
              <w:t>net rental income</w:t>
            </w:r>
            <w:r>
              <w:rPr>
                <w:rFonts w:ascii="IBM Plex Sans Light" w:hAnsi="IBM Plex Sans Light"/>
                <w:bCs/>
                <w:color w:val="000000" w:themeColor="text1"/>
                <w:szCs w:val="18"/>
              </w:rPr>
              <w:t xml:space="preserve"> change</w:t>
            </w:r>
          </w:p>
        </w:tc>
        <w:tc>
          <w:tcPr>
            <w:tcW w:w="426" w:type="dxa"/>
          </w:tcPr>
          <w:p w14:paraId="1CCE6BC0"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36086D82"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7C5DD603" w14:textId="77777777" w:rsidR="00AE1E5C" w:rsidRPr="000A258B" w:rsidRDefault="00AE1E5C" w:rsidP="004203CD">
            <w:pPr>
              <w:spacing w:line="240" w:lineRule="auto"/>
              <w:ind w:right="142"/>
              <w:jc w:val="right"/>
              <w:rPr>
                <w:rFonts w:ascii="IBM Plex Sans Medium" w:hAnsi="IBM Plex Sans Medium"/>
                <w:bCs/>
                <w:color w:val="3D7FE0" w:themeColor="accent1"/>
              </w:rPr>
            </w:pPr>
            <w:r>
              <w:rPr>
                <w:rFonts w:ascii="IBM Plex Sans Medium" w:hAnsi="IBM Plex Sans Medium"/>
                <w:bCs/>
                <w:color w:val="3D7FE0" w:themeColor="accent1"/>
              </w:rPr>
              <w:t>+</w:t>
            </w:r>
            <w:r w:rsidRPr="000A258B">
              <w:rPr>
                <w:rFonts w:ascii="IBM Plex Sans Medium" w:hAnsi="IBM Plex Sans Medium"/>
                <w:bCs/>
                <w:color w:val="3D7FE0" w:themeColor="accent1"/>
              </w:rPr>
              <w:t>3.6%</w:t>
            </w:r>
          </w:p>
        </w:tc>
        <w:tc>
          <w:tcPr>
            <w:tcW w:w="1418" w:type="dxa"/>
          </w:tcPr>
          <w:p w14:paraId="36E81D5D"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+29.2%</w:t>
            </w:r>
          </w:p>
        </w:tc>
        <w:tc>
          <w:tcPr>
            <w:tcW w:w="1489" w:type="dxa"/>
            <w:tcBorders>
              <w:right w:val="single" w:sz="4" w:space="0" w:color="3D7FE0" w:themeColor="accent1"/>
            </w:tcBorders>
          </w:tcPr>
          <w:p w14:paraId="01BB3E66" w14:textId="39A5A431"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 xml:space="preserve">Table </w:t>
            </w:r>
            <w:r w:rsidR="00FF4461">
              <w:rPr>
                <w:rFonts w:ascii="IBM Plex Sans Medium" w:hAnsi="IBM Plex Sans Medium"/>
                <w:color w:val="3D7FE0" w:themeColor="accent1"/>
                <w:szCs w:val="18"/>
              </w:rPr>
              <w:t>3</w:t>
            </w:r>
          </w:p>
        </w:tc>
      </w:tr>
      <w:tr w:rsidR="00AE1E5C" w:rsidRPr="00D34A36" w14:paraId="07F05829" w14:textId="77777777" w:rsidTr="004203CD">
        <w:trPr>
          <w:trHeight w:hRule="exact" w:val="266"/>
        </w:trPr>
        <w:tc>
          <w:tcPr>
            <w:tcW w:w="4525" w:type="dxa"/>
            <w:tcBorders>
              <w:left w:val="single" w:sz="4" w:space="0" w:color="3D7FE0" w:themeColor="accent1"/>
            </w:tcBorders>
            <w:shd w:val="clear" w:color="auto" w:fill="auto"/>
          </w:tcPr>
          <w:p w14:paraId="7504DE05"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Occupancy – flagships</w:t>
            </w:r>
          </w:p>
        </w:tc>
        <w:tc>
          <w:tcPr>
            <w:tcW w:w="426" w:type="dxa"/>
          </w:tcPr>
          <w:p w14:paraId="56C658F9"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12501A0F"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26045D82" w14:textId="77777777" w:rsidR="00AE1E5C" w:rsidRPr="00F9220B" w:rsidRDefault="00AE1E5C" w:rsidP="004203CD">
            <w:pPr>
              <w:spacing w:line="240" w:lineRule="auto"/>
              <w:ind w:right="142"/>
              <w:jc w:val="right"/>
              <w:rPr>
                <w:rFonts w:ascii="IBM Plex Sans Medium" w:hAnsi="IBM Plex Sans Medium"/>
                <w:bCs/>
                <w:color w:val="3D7FE0" w:themeColor="accent1"/>
              </w:rPr>
            </w:pPr>
            <w:r w:rsidRPr="00F9220B">
              <w:rPr>
                <w:rFonts w:ascii="IBM Plex Sans Medium" w:hAnsi="IBM Plex Sans Medium"/>
                <w:bCs/>
                <w:color w:val="3D7FE0" w:themeColor="accent1"/>
              </w:rPr>
              <w:t>9</w:t>
            </w:r>
            <w:r>
              <w:rPr>
                <w:rFonts w:ascii="IBM Plex Sans Medium" w:hAnsi="IBM Plex Sans Medium"/>
                <w:bCs/>
                <w:color w:val="3D7FE0" w:themeColor="accent1"/>
              </w:rPr>
              <w:t>5</w:t>
            </w:r>
            <w:r w:rsidRPr="00F9220B">
              <w:rPr>
                <w:rFonts w:ascii="IBM Plex Sans Medium" w:hAnsi="IBM Plex Sans Medium"/>
                <w:bCs/>
                <w:color w:val="3D7FE0" w:themeColor="accent1"/>
              </w:rPr>
              <w:t>%</w:t>
            </w:r>
          </w:p>
        </w:tc>
        <w:tc>
          <w:tcPr>
            <w:tcW w:w="1418" w:type="dxa"/>
          </w:tcPr>
          <w:p w14:paraId="10841693"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96%</w:t>
            </w:r>
          </w:p>
        </w:tc>
        <w:tc>
          <w:tcPr>
            <w:tcW w:w="1489" w:type="dxa"/>
            <w:tcBorders>
              <w:right w:val="single" w:sz="4" w:space="0" w:color="3D7FE0" w:themeColor="accent1"/>
            </w:tcBorders>
          </w:tcPr>
          <w:p w14:paraId="3662D0C8" w14:textId="57E92403"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 xml:space="preserve">Table </w:t>
            </w:r>
            <w:r w:rsidR="00FF4461">
              <w:rPr>
                <w:rFonts w:ascii="IBM Plex Sans Medium" w:hAnsi="IBM Plex Sans Medium"/>
                <w:color w:val="3D7FE0" w:themeColor="accent1"/>
                <w:szCs w:val="18"/>
              </w:rPr>
              <w:t>5</w:t>
            </w:r>
          </w:p>
        </w:tc>
      </w:tr>
      <w:tr w:rsidR="00AE1E5C" w:rsidRPr="00D34A36" w14:paraId="4F1A3B6F" w14:textId="77777777" w:rsidTr="004203CD">
        <w:trPr>
          <w:trHeight w:hRule="exact" w:val="266"/>
        </w:trPr>
        <w:tc>
          <w:tcPr>
            <w:tcW w:w="4525" w:type="dxa"/>
            <w:tcBorders>
              <w:left w:val="single" w:sz="4" w:space="0" w:color="3D7FE0" w:themeColor="accent1"/>
            </w:tcBorders>
            <w:shd w:val="clear" w:color="auto" w:fill="auto"/>
          </w:tcPr>
          <w:p w14:paraId="2A72C5A8"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Leasing activity</w:t>
            </w:r>
          </w:p>
        </w:tc>
        <w:tc>
          <w:tcPr>
            <w:tcW w:w="426" w:type="dxa"/>
          </w:tcPr>
          <w:p w14:paraId="101590AE"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265C241A"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37E1B876" w14:textId="77777777" w:rsidR="00AE1E5C" w:rsidRPr="00F9220B" w:rsidRDefault="00AE1E5C" w:rsidP="004203CD">
            <w:pPr>
              <w:spacing w:line="240" w:lineRule="auto"/>
              <w:ind w:right="142"/>
              <w:jc w:val="right"/>
              <w:rPr>
                <w:rFonts w:ascii="IBM Plex Sans Medium" w:hAnsi="IBM Plex Sans Medium"/>
                <w:bCs/>
                <w:color w:val="3D7FE0" w:themeColor="accent1"/>
              </w:rPr>
            </w:pPr>
            <w:r w:rsidRPr="00F9220B">
              <w:rPr>
                <w:rFonts w:ascii="IBM Plex Sans Medium" w:hAnsi="IBM Plex Sans Medium"/>
                <w:bCs/>
                <w:color w:val="3D7FE0" w:themeColor="accent1"/>
              </w:rPr>
              <w:t>£29m</w:t>
            </w:r>
          </w:p>
        </w:tc>
        <w:tc>
          <w:tcPr>
            <w:tcW w:w="1418" w:type="dxa"/>
          </w:tcPr>
          <w:p w14:paraId="696E577D"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£25m</w:t>
            </w:r>
          </w:p>
        </w:tc>
        <w:tc>
          <w:tcPr>
            <w:tcW w:w="1489" w:type="dxa"/>
            <w:tcBorders>
              <w:right w:val="single" w:sz="4" w:space="0" w:color="3D7FE0" w:themeColor="accent1"/>
            </w:tcBorders>
          </w:tcPr>
          <w:p w14:paraId="491F4155"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n/a</w:t>
            </w:r>
          </w:p>
        </w:tc>
      </w:tr>
      <w:tr w:rsidR="00AE1E5C" w:rsidRPr="00D34A36" w14:paraId="50EA7A3B" w14:textId="77777777" w:rsidTr="004203CD">
        <w:trPr>
          <w:trHeight w:hRule="exact" w:val="266"/>
        </w:trPr>
        <w:tc>
          <w:tcPr>
            <w:tcW w:w="4525" w:type="dxa"/>
            <w:tcBorders>
              <w:left w:val="single" w:sz="4" w:space="0" w:color="3D7FE0" w:themeColor="accent1"/>
            </w:tcBorders>
            <w:shd w:val="clear" w:color="auto" w:fill="auto"/>
          </w:tcPr>
          <w:p w14:paraId="3C66FE32"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Leasing v ERV (principal leases)</w:t>
            </w:r>
          </w:p>
        </w:tc>
        <w:tc>
          <w:tcPr>
            <w:tcW w:w="426" w:type="dxa"/>
          </w:tcPr>
          <w:p w14:paraId="56329B14"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6E744314"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7D3E36EB" w14:textId="77777777" w:rsidR="00AE1E5C" w:rsidRPr="00F9220B" w:rsidRDefault="00AE1E5C" w:rsidP="004203CD">
            <w:pPr>
              <w:spacing w:line="240" w:lineRule="auto"/>
              <w:ind w:right="142"/>
              <w:jc w:val="right"/>
              <w:rPr>
                <w:rFonts w:ascii="IBM Plex Sans Medium" w:hAnsi="IBM Plex Sans Medium"/>
                <w:bCs/>
                <w:color w:val="3D7FE0" w:themeColor="accent1"/>
              </w:rPr>
            </w:pPr>
            <w:r w:rsidRPr="00F9220B">
              <w:rPr>
                <w:rFonts w:ascii="IBM Plex Sans Medium" w:hAnsi="IBM Plex Sans Medium"/>
                <w:bCs/>
                <w:color w:val="3D7FE0" w:themeColor="accent1"/>
              </w:rPr>
              <w:t>+12%</w:t>
            </w:r>
          </w:p>
        </w:tc>
        <w:tc>
          <w:tcPr>
            <w:tcW w:w="1418" w:type="dxa"/>
          </w:tcPr>
          <w:p w14:paraId="56CDE1DC"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+2%</w:t>
            </w:r>
          </w:p>
        </w:tc>
        <w:tc>
          <w:tcPr>
            <w:tcW w:w="1489" w:type="dxa"/>
            <w:tcBorders>
              <w:right w:val="single" w:sz="4" w:space="0" w:color="3D7FE0" w:themeColor="accent1"/>
            </w:tcBorders>
          </w:tcPr>
          <w:p w14:paraId="335EA4F1"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n/a</w:t>
            </w:r>
          </w:p>
        </w:tc>
      </w:tr>
      <w:tr w:rsidR="00AE1E5C" w:rsidRPr="00D34A36" w14:paraId="6F2BC937" w14:textId="77777777" w:rsidTr="004203CD">
        <w:trPr>
          <w:trHeight w:hRule="exact" w:val="266"/>
        </w:trPr>
        <w:tc>
          <w:tcPr>
            <w:tcW w:w="4525" w:type="dxa"/>
            <w:tcBorders>
              <w:left w:val="single" w:sz="4" w:space="0" w:color="3D7FE0" w:themeColor="accent1"/>
            </w:tcBorders>
            <w:shd w:val="clear" w:color="auto" w:fill="auto"/>
          </w:tcPr>
          <w:p w14:paraId="4E600A9D"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Leasing v Passing rent (principal leases)</w:t>
            </w:r>
          </w:p>
        </w:tc>
        <w:tc>
          <w:tcPr>
            <w:tcW w:w="426" w:type="dxa"/>
          </w:tcPr>
          <w:p w14:paraId="5584196D" w14:textId="77777777" w:rsidR="00AE1E5C" w:rsidRPr="00B84CE1" w:rsidRDefault="00AE1E5C" w:rsidP="004203CD">
            <w:pPr>
              <w:spacing w:line="240" w:lineRule="auto"/>
              <w:jc w:val="center"/>
              <w:rPr>
                <w:rFonts w:ascii="IBM Plex Sans Light" w:hAnsi="IBM Plex Sans Light"/>
                <w:color w:val="000000" w:themeColor="text1"/>
                <w:highlight w:val="yellow"/>
              </w:rPr>
            </w:pPr>
          </w:p>
        </w:tc>
        <w:tc>
          <w:tcPr>
            <w:tcW w:w="425" w:type="dxa"/>
          </w:tcPr>
          <w:p w14:paraId="47D0561F"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1E84AFD7" w14:textId="77777777" w:rsidR="00AE1E5C" w:rsidRPr="00F9220B" w:rsidRDefault="00AE1E5C" w:rsidP="004203CD">
            <w:pPr>
              <w:spacing w:line="240" w:lineRule="auto"/>
              <w:ind w:right="142"/>
              <w:jc w:val="right"/>
              <w:rPr>
                <w:rFonts w:ascii="IBM Plex Sans Medium" w:hAnsi="IBM Plex Sans Medium"/>
                <w:bCs/>
                <w:color w:val="3D7FE0" w:themeColor="accent1"/>
              </w:rPr>
            </w:pPr>
            <w:r w:rsidRPr="00F9220B">
              <w:rPr>
                <w:rFonts w:ascii="IBM Plex Sans Medium" w:hAnsi="IBM Plex Sans Medium"/>
                <w:bCs/>
                <w:color w:val="3D7FE0" w:themeColor="accent1"/>
              </w:rPr>
              <w:t>+37%</w:t>
            </w:r>
          </w:p>
        </w:tc>
        <w:tc>
          <w:tcPr>
            <w:tcW w:w="1418" w:type="dxa"/>
          </w:tcPr>
          <w:p w14:paraId="635A9702"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+34%</w:t>
            </w:r>
          </w:p>
        </w:tc>
        <w:tc>
          <w:tcPr>
            <w:tcW w:w="1489" w:type="dxa"/>
            <w:tcBorders>
              <w:right w:val="single" w:sz="4" w:space="0" w:color="3D7FE0" w:themeColor="accent1"/>
            </w:tcBorders>
          </w:tcPr>
          <w:p w14:paraId="256001A4"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n/a</w:t>
            </w:r>
          </w:p>
        </w:tc>
      </w:tr>
      <w:tr w:rsidR="00AE1E5C" w:rsidRPr="00D34A36" w14:paraId="3AF43B77" w14:textId="77777777" w:rsidTr="004203CD">
        <w:trPr>
          <w:trHeight w:hRule="exact" w:val="266"/>
        </w:trPr>
        <w:tc>
          <w:tcPr>
            <w:tcW w:w="4525" w:type="dxa"/>
            <w:tcBorders>
              <w:left w:val="single" w:sz="4" w:space="0" w:color="3D7FE0" w:themeColor="accent1"/>
            </w:tcBorders>
            <w:shd w:val="clear" w:color="auto" w:fill="auto"/>
          </w:tcPr>
          <w:p w14:paraId="7DD33E9C"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Passing rent</w:t>
            </w:r>
          </w:p>
        </w:tc>
        <w:tc>
          <w:tcPr>
            <w:tcW w:w="426" w:type="dxa"/>
          </w:tcPr>
          <w:p w14:paraId="2C15DBC9" w14:textId="77777777" w:rsidR="00AE1E5C" w:rsidRPr="00B84CE1" w:rsidRDefault="00AE1E5C" w:rsidP="004203CD">
            <w:pPr>
              <w:spacing w:line="240" w:lineRule="auto"/>
              <w:jc w:val="center"/>
              <w:rPr>
                <w:rFonts w:ascii="IBM Plex Sans Light" w:hAnsi="IBM Plex Sans Light"/>
                <w:highlight w:val="yellow"/>
              </w:rPr>
            </w:pPr>
          </w:p>
        </w:tc>
        <w:tc>
          <w:tcPr>
            <w:tcW w:w="425" w:type="dxa"/>
          </w:tcPr>
          <w:p w14:paraId="5D9D8443"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7EE7DACC" w14:textId="77777777" w:rsidR="00AE1E5C" w:rsidRPr="00F9220B" w:rsidRDefault="00AE1E5C" w:rsidP="004203CD">
            <w:pPr>
              <w:spacing w:line="240" w:lineRule="auto"/>
              <w:ind w:right="142"/>
              <w:jc w:val="right"/>
              <w:rPr>
                <w:rFonts w:ascii="IBM Plex Sans Medium" w:hAnsi="IBM Plex Sans Medium"/>
                <w:bCs/>
                <w:color w:val="3D7FE0" w:themeColor="accent1"/>
              </w:rPr>
            </w:pPr>
            <w:r w:rsidRPr="00F9220B">
              <w:rPr>
                <w:rFonts w:ascii="IBM Plex Sans Medium" w:hAnsi="IBM Plex Sans Medium"/>
                <w:bCs/>
                <w:color w:val="3D7FE0" w:themeColor="accent1"/>
              </w:rPr>
              <w:t>£18</w:t>
            </w:r>
            <w:r>
              <w:rPr>
                <w:rFonts w:ascii="IBM Plex Sans Medium" w:hAnsi="IBM Plex Sans Medium"/>
                <w:bCs/>
                <w:color w:val="3D7FE0" w:themeColor="accent1"/>
              </w:rPr>
              <w:t>8</w:t>
            </w:r>
            <w:r w:rsidRPr="00F9220B">
              <w:rPr>
                <w:rFonts w:ascii="IBM Plex Sans Medium" w:hAnsi="IBM Plex Sans Medium"/>
                <w:bCs/>
                <w:color w:val="3D7FE0" w:themeColor="accent1"/>
              </w:rPr>
              <w:t>m</w:t>
            </w:r>
          </w:p>
        </w:tc>
        <w:tc>
          <w:tcPr>
            <w:tcW w:w="1418" w:type="dxa"/>
          </w:tcPr>
          <w:p w14:paraId="1FC1C9DC"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£210m</w:t>
            </w:r>
          </w:p>
        </w:tc>
        <w:tc>
          <w:tcPr>
            <w:tcW w:w="1489" w:type="dxa"/>
            <w:tcBorders>
              <w:right w:val="single" w:sz="4" w:space="0" w:color="3D7FE0" w:themeColor="accent1"/>
            </w:tcBorders>
          </w:tcPr>
          <w:p w14:paraId="6869B93D" w14:textId="6DB7108C"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 xml:space="preserve">Table </w:t>
            </w:r>
            <w:r w:rsidR="00FF4461">
              <w:rPr>
                <w:rFonts w:ascii="IBM Plex Sans Medium" w:hAnsi="IBM Plex Sans Medium"/>
                <w:color w:val="3D7FE0" w:themeColor="accent1"/>
                <w:szCs w:val="18"/>
              </w:rPr>
              <w:t>4</w:t>
            </w:r>
          </w:p>
        </w:tc>
      </w:tr>
      <w:tr w:rsidR="00AE1E5C" w:rsidRPr="00D34A36" w14:paraId="2DA0B0B8" w14:textId="77777777" w:rsidTr="004203CD">
        <w:trPr>
          <w:trHeight w:hRule="exact" w:val="266"/>
        </w:trPr>
        <w:tc>
          <w:tcPr>
            <w:tcW w:w="4525" w:type="dxa"/>
            <w:tcBorders>
              <w:left w:val="single" w:sz="4" w:space="0" w:color="3D7FE0" w:themeColor="accent1"/>
            </w:tcBorders>
            <w:shd w:val="clear" w:color="auto" w:fill="auto"/>
          </w:tcPr>
          <w:p w14:paraId="469A2A0F"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Like-for-like passing rent change</w:t>
            </w:r>
          </w:p>
        </w:tc>
        <w:tc>
          <w:tcPr>
            <w:tcW w:w="426" w:type="dxa"/>
          </w:tcPr>
          <w:p w14:paraId="234C5585"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4279A183"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4F360265" w14:textId="77777777" w:rsidR="00AE1E5C" w:rsidRPr="009B4889" w:rsidRDefault="00AE1E5C" w:rsidP="004203CD">
            <w:pPr>
              <w:spacing w:line="240" w:lineRule="auto"/>
              <w:ind w:right="142"/>
              <w:jc w:val="right"/>
              <w:rPr>
                <w:rFonts w:ascii="IBM Plex Sans Medium" w:hAnsi="IBM Plex Sans Medium"/>
                <w:bCs/>
                <w:color w:val="3D7FE0" w:themeColor="accent1"/>
              </w:rPr>
            </w:pPr>
            <w:r>
              <w:rPr>
                <w:rFonts w:ascii="IBM Plex Sans Medium" w:hAnsi="IBM Plex Sans Medium"/>
                <w:bCs/>
                <w:color w:val="3D7FE0" w:themeColor="accent1"/>
              </w:rPr>
              <w:t>+2.5</w:t>
            </w:r>
            <w:r w:rsidRPr="009B4889">
              <w:rPr>
                <w:rFonts w:ascii="IBM Plex Sans Medium" w:hAnsi="IBM Plex Sans Medium"/>
                <w:bCs/>
                <w:color w:val="3D7FE0" w:themeColor="accent1"/>
              </w:rPr>
              <w:t>%</w:t>
            </w:r>
          </w:p>
        </w:tc>
        <w:tc>
          <w:tcPr>
            <w:tcW w:w="1418" w:type="dxa"/>
          </w:tcPr>
          <w:p w14:paraId="6606B46E"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+1</w:t>
            </w:r>
            <w:r>
              <w:rPr>
                <w:rFonts w:ascii="IBM Plex Sans Light" w:hAnsi="IBM Plex Sans Light"/>
                <w:color w:val="000000" w:themeColor="text1"/>
              </w:rPr>
              <w:t>.4</w:t>
            </w:r>
            <w:r w:rsidRPr="00CB0CE8">
              <w:rPr>
                <w:rFonts w:ascii="IBM Plex Sans Light" w:hAnsi="IBM Plex Sans Light"/>
                <w:color w:val="000000" w:themeColor="text1"/>
              </w:rPr>
              <w:t>%</w:t>
            </w:r>
          </w:p>
        </w:tc>
        <w:tc>
          <w:tcPr>
            <w:tcW w:w="1489" w:type="dxa"/>
            <w:tcBorders>
              <w:right w:val="single" w:sz="4" w:space="0" w:color="3D7FE0" w:themeColor="accent1"/>
            </w:tcBorders>
          </w:tcPr>
          <w:p w14:paraId="2A44D4B3"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n/a</w:t>
            </w:r>
          </w:p>
        </w:tc>
      </w:tr>
      <w:tr w:rsidR="00AE1E5C" w:rsidRPr="00D34A36" w14:paraId="03DA41AA" w14:textId="77777777" w:rsidTr="004203CD">
        <w:trPr>
          <w:trHeight w:hRule="exact" w:val="266"/>
        </w:trPr>
        <w:tc>
          <w:tcPr>
            <w:tcW w:w="4525" w:type="dxa"/>
            <w:tcBorders>
              <w:left w:val="single" w:sz="4" w:space="0" w:color="3D7FE0" w:themeColor="accent1"/>
            </w:tcBorders>
            <w:shd w:val="clear" w:color="auto" w:fill="auto"/>
          </w:tcPr>
          <w:p w14:paraId="08A84695"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ERV</w:t>
            </w:r>
          </w:p>
        </w:tc>
        <w:tc>
          <w:tcPr>
            <w:tcW w:w="426" w:type="dxa"/>
          </w:tcPr>
          <w:p w14:paraId="3AA87D66"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6CDF7F87"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552C5733" w14:textId="10CB70B3" w:rsidR="00AE1E5C" w:rsidRPr="00F9220B" w:rsidRDefault="00AE1E5C" w:rsidP="004203CD">
            <w:pPr>
              <w:spacing w:line="240" w:lineRule="auto"/>
              <w:ind w:right="142"/>
              <w:jc w:val="right"/>
              <w:rPr>
                <w:rFonts w:ascii="IBM Plex Sans Medium" w:hAnsi="IBM Plex Sans Medium"/>
                <w:bCs/>
                <w:color w:val="3D7FE0" w:themeColor="accent1"/>
              </w:rPr>
            </w:pPr>
            <w:r w:rsidRPr="00F9220B">
              <w:rPr>
                <w:rFonts w:ascii="IBM Plex Sans Medium" w:hAnsi="IBM Plex Sans Medium"/>
                <w:bCs/>
                <w:color w:val="3D7FE0" w:themeColor="accent1"/>
              </w:rPr>
              <w:t>£1</w:t>
            </w:r>
            <w:r>
              <w:rPr>
                <w:rFonts w:ascii="IBM Plex Sans Medium" w:hAnsi="IBM Plex Sans Medium"/>
                <w:bCs/>
                <w:color w:val="3D7FE0" w:themeColor="accent1"/>
              </w:rPr>
              <w:t>9</w:t>
            </w:r>
            <w:r w:rsidR="00325320">
              <w:rPr>
                <w:rFonts w:ascii="IBM Plex Sans Medium" w:hAnsi="IBM Plex Sans Medium"/>
                <w:bCs/>
                <w:color w:val="3D7FE0" w:themeColor="accent1"/>
              </w:rPr>
              <w:t>3</w:t>
            </w:r>
            <w:r w:rsidRPr="00F9220B">
              <w:rPr>
                <w:rFonts w:ascii="IBM Plex Sans Medium" w:hAnsi="IBM Plex Sans Medium"/>
                <w:bCs/>
                <w:color w:val="3D7FE0" w:themeColor="accent1"/>
              </w:rPr>
              <w:t>m</w:t>
            </w:r>
          </w:p>
        </w:tc>
        <w:tc>
          <w:tcPr>
            <w:tcW w:w="1418" w:type="dxa"/>
          </w:tcPr>
          <w:p w14:paraId="211A34CB" w14:textId="4A0F6A69"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£2</w:t>
            </w:r>
            <w:r>
              <w:rPr>
                <w:rFonts w:ascii="IBM Plex Sans Light" w:hAnsi="IBM Plex Sans Light"/>
                <w:color w:val="000000" w:themeColor="text1"/>
              </w:rPr>
              <w:t>1</w:t>
            </w:r>
            <w:r w:rsidR="00325320">
              <w:rPr>
                <w:rFonts w:ascii="IBM Plex Sans Light" w:hAnsi="IBM Plex Sans Light"/>
                <w:color w:val="000000" w:themeColor="text1"/>
              </w:rPr>
              <w:t>8</w:t>
            </w:r>
            <w:r w:rsidRPr="00CB0CE8">
              <w:rPr>
                <w:rFonts w:ascii="IBM Plex Sans Light" w:hAnsi="IBM Plex Sans Light"/>
                <w:color w:val="000000" w:themeColor="text1"/>
              </w:rPr>
              <w:t>m</w:t>
            </w:r>
          </w:p>
        </w:tc>
        <w:tc>
          <w:tcPr>
            <w:tcW w:w="1489" w:type="dxa"/>
            <w:tcBorders>
              <w:right w:val="single" w:sz="4" w:space="0" w:color="3D7FE0" w:themeColor="accent1"/>
            </w:tcBorders>
          </w:tcPr>
          <w:p w14:paraId="05680D7E" w14:textId="3BFBA4BB"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 xml:space="preserve">Table </w:t>
            </w:r>
            <w:r w:rsidR="00FF4461">
              <w:rPr>
                <w:rFonts w:ascii="IBM Plex Sans Medium" w:hAnsi="IBM Plex Sans Medium"/>
                <w:color w:val="3D7FE0" w:themeColor="accent1"/>
                <w:szCs w:val="18"/>
              </w:rPr>
              <w:t>4</w:t>
            </w:r>
          </w:p>
        </w:tc>
      </w:tr>
      <w:tr w:rsidR="00AE1E5C" w:rsidRPr="00D34A36" w14:paraId="26B4DD94" w14:textId="77777777" w:rsidTr="004203CD">
        <w:trPr>
          <w:trHeight w:hRule="exact" w:val="266"/>
        </w:trPr>
        <w:tc>
          <w:tcPr>
            <w:tcW w:w="4525" w:type="dxa"/>
            <w:tcBorders>
              <w:left w:val="single" w:sz="4" w:space="0" w:color="3D7FE0" w:themeColor="accent1"/>
            </w:tcBorders>
            <w:shd w:val="clear" w:color="auto" w:fill="auto"/>
          </w:tcPr>
          <w:p w14:paraId="6715D4A6" w14:textId="77777777" w:rsidR="00AE1E5C" w:rsidRPr="0011460D" w:rsidRDefault="00AE1E5C" w:rsidP="004203CD">
            <w:pPr>
              <w:spacing w:line="240" w:lineRule="auto"/>
              <w:rPr>
                <w:rFonts w:ascii="IBM Plex Sans Light" w:hAnsi="IBM Plex Sans Light"/>
                <w:bCs/>
                <w:color w:val="000000" w:themeColor="text1"/>
                <w:szCs w:val="18"/>
                <w:lang w:val="nb-NO"/>
              </w:rPr>
            </w:pPr>
            <w:r w:rsidRPr="0011460D">
              <w:rPr>
                <w:rFonts w:ascii="IBM Plex Sans Light" w:hAnsi="IBM Plex Sans Light"/>
                <w:bCs/>
                <w:color w:val="000000" w:themeColor="text1"/>
                <w:szCs w:val="18"/>
                <w:lang w:val="nb-NO"/>
              </w:rPr>
              <w:t>Like-for-like ERV change</w:t>
            </w:r>
            <w:r>
              <w:rPr>
                <w:rFonts w:ascii="IBM Plex Sans Light" w:hAnsi="IBM Plex Sans Light"/>
                <w:bCs/>
                <w:color w:val="000000" w:themeColor="text1"/>
                <w:szCs w:val="18"/>
                <w:lang w:val="nb-NO"/>
              </w:rPr>
              <w:t xml:space="preserve"> </w:t>
            </w:r>
            <w:r w:rsidRPr="006967E9">
              <w:rPr>
                <w:rFonts w:ascii="IBM Plex Sans Light" w:hAnsi="IBM Plex Sans Light"/>
                <w:bCs/>
                <w:color w:val="000000" w:themeColor="text1"/>
                <w:szCs w:val="18"/>
              </w:rPr>
              <w:t>– flagships</w:t>
            </w:r>
          </w:p>
        </w:tc>
        <w:tc>
          <w:tcPr>
            <w:tcW w:w="426" w:type="dxa"/>
          </w:tcPr>
          <w:p w14:paraId="4B8BBF7E" w14:textId="77777777" w:rsidR="00AE1E5C" w:rsidRPr="0011460D" w:rsidRDefault="00AE1E5C" w:rsidP="004203CD">
            <w:pPr>
              <w:spacing w:line="240" w:lineRule="auto"/>
              <w:jc w:val="center"/>
              <w:rPr>
                <w:rFonts w:ascii="IBM Plex Sans Light" w:hAnsi="IBM Plex Sans Light"/>
                <w:bCs/>
                <w:color w:val="000000" w:themeColor="text1"/>
                <w:szCs w:val="18"/>
                <w:highlight w:val="yellow"/>
                <w:lang w:val="nb-NO"/>
              </w:rPr>
            </w:pPr>
          </w:p>
        </w:tc>
        <w:tc>
          <w:tcPr>
            <w:tcW w:w="425" w:type="dxa"/>
          </w:tcPr>
          <w:p w14:paraId="4B3E20C9" w14:textId="77777777" w:rsidR="00AE1E5C" w:rsidRPr="0011460D" w:rsidRDefault="00AE1E5C" w:rsidP="004203CD">
            <w:pPr>
              <w:spacing w:line="240" w:lineRule="auto"/>
              <w:rPr>
                <w:rFonts w:ascii="IBM Plex Sans Light" w:hAnsi="IBM Plex Sans Light"/>
                <w:bCs/>
                <w:color w:val="000000" w:themeColor="text1"/>
                <w:szCs w:val="18"/>
                <w:highlight w:val="yellow"/>
                <w:lang w:val="nb-NO"/>
              </w:rPr>
            </w:pPr>
          </w:p>
        </w:tc>
        <w:tc>
          <w:tcPr>
            <w:tcW w:w="1417" w:type="dxa"/>
          </w:tcPr>
          <w:p w14:paraId="297C9AF5" w14:textId="77777777" w:rsidR="00AE1E5C" w:rsidRPr="00F9220B" w:rsidRDefault="00AE1E5C" w:rsidP="004203CD">
            <w:pPr>
              <w:spacing w:line="240" w:lineRule="auto"/>
              <w:ind w:right="142"/>
              <w:jc w:val="right"/>
              <w:rPr>
                <w:rFonts w:ascii="IBM Plex Sans Medium" w:hAnsi="IBM Plex Sans Medium"/>
                <w:bCs/>
                <w:color w:val="3D7FE0" w:themeColor="accent1"/>
              </w:rPr>
            </w:pPr>
            <w:r>
              <w:rPr>
                <w:rFonts w:ascii="IBM Plex Sans Medium" w:hAnsi="IBM Plex Sans Medium"/>
                <w:bCs/>
                <w:color w:val="3D7FE0" w:themeColor="accent1"/>
              </w:rPr>
              <w:t>+</w:t>
            </w:r>
            <w:r w:rsidRPr="00F9220B">
              <w:rPr>
                <w:rFonts w:ascii="IBM Plex Sans Medium" w:hAnsi="IBM Plex Sans Medium"/>
                <w:bCs/>
                <w:color w:val="3D7FE0" w:themeColor="accent1"/>
              </w:rPr>
              <w:t>1.7%</w:t>
            </w:r>
          </w:p>
        </w:tc>
        <w:tc>
          <w:tcPr>
            <w:tcW w:w="1418" w:type="dxa"/>
          </w:tcPr>
          <w:p w14:paraId="2C517DF9" w14:textId="77777777" w:rsidR="00AE1E5C" w:rsidRPr="00CB0CE8" w:rsidRDefault="00AE1E5C" w:rsidP="004203CD">
            <w:pPr>
              <w:spacing w:line="240" w:lineRule="auto"/>
              <w:ind w:right="141"/>
              <w:jc w:val="right"/>
              <w:rPr>
                <w:rFonts w:ascii="IBM Plex Sans Light" w:hAnsi="IBM Plex Sans Light"/>
                <w:color w:val="000000" w:themeColor="text1"/>
              </w:rPr>
            </w:pPr>
            <w:r w:rsidRPr="00CB0CE8">
              <w:rPr>
                <w:rFonts w:ascii="IBM Plex Sans Light" w:hAnsi="IBM Plex Sans Light"/>
                <w:color w:val="000000" w:themeColor="text1"/>
              </w:rPr>
              <w:t>(2.2)%</w:t>
            </w:r>
          </w:p>
        </w:tc>
        <w:tc>
          <w:tcPr>
            <w:tcW w:w="1489" w:type="dxa"/>
            <w:tcBorders>
              <w:right w:val="single" w:sz="4" w:space="0" w:color="3D7FE0" w:themeColor="accent1"/>
            </w:tcBorders>
          </w:tcPr>
          <w:p w14:paraId="4D5A928C" w14:textId="77777777" w:rsidR="00AE1E5C" w:rsidRPr="002D4FA6" w:rsidRDefault="00AE1E5C" w:rsidP="004203CD">
            <w:pPr>
              <w:spacing w:line="240" w:lineRule="auto"/>
              <w:ind w:right="113"/>
              <w:jc w:val="right"/>
              <w:rPr>
                <w:rFonts w:ascii="IBM Plex Sans Medium" w:hAnsi="IBM Plex Sans Medium"/>
                <w:color w:val="3D7FE0" w:themeColor="accent1"/>
                <w:szCs w:val="18"/>
              </w:rPr>
            </w:pPr>
            <w:r w:rsidRPr="002D4FA6">
              <w:rPr>
                <w:rFonts w:ascii="IBM Plex Sans Medium" w:hAnsi="IBM Plex Sans Medium"/>
                <w:color w:val="3D7FE0" w:themeColor="accent1"/>
                <w:szCs w:val="18"/>
              </w:rPr>
              <w:t>Financial Review</w:t>
            </w:r>
          </w:p>
        </w:tc>
      </w:tr>
      <w:tr w:rsidR="00AE1E5C" w:rsidRPr="00D34A36" w14:paraId="7960DD71" w14:textId="77777777" w:rsidTr="004203CD">
        <w:trPr>
          <w:trHeight w:hRule="exact" w:val="266"/>
        </w:trPr>
        <w:tc>
          <w:tcPr>
            <w:tcW w:w="4525" w:type="dxa"/>
            <w:tcBorders>
              <w:top w:val="single" w:sz="4" w:space="0" w:color="3D7FE0" w:themeColor="accent1"/>
              <w:left w:val="single" w:sz="4" w:space="0" w:color="3D7FE0" w:themeColor="accent1"/>
              <w:bottom w:val="nil"/>
            </w:tcBorders>
            <w:shd w:val="clear" w:color="auto" w:fill="auto"/>
          </w:tcPr>
          <w:p w14:paraId="03A52CA5" w14:textId="77777777" w:rsidR="00AE1E5C" w:rsidRPr="006967E9" w:rsidRDefault="00AE1E5C" w:rsidP="004203CD">
            <w:pPr>
              <w:spacing w:line="240" w:lineRule="auto"/>
              <w:rPr>
                <w:rFonts w:ascii="IBM Plex Sans Light" w:hAnsi="IBM Plex Sans Light"/>
                <w:b/>
                <w:color w:val="000000" w:themeColor="text1"/>
                <w:szCs w:val="18"/>
              </w:rPr>
            </w:pPr>
          </w:p>
        </w:tc>
        <w:tc>
          <w:tcPr>
            <w:tcW w:w="426" w:type="dxa"/>
            <w:tcBorders>
              <w:top w:val="single" w:sz="4" w:space="0" w:color="3D7FE0" w:themeColor="accent1"/>
              <w:bottom w:val="nil"/>
            </w:tcBorders>
          </w:tcPr>
          <w:p w14:paraId="72AE5A0E"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Borders>
              <w:top w:val="single" w:sz="4" w:space="0" w:color="3D7FE0" w:themeColor="accent1"/>
              <w:bottom w:val="nil"/>
            </w:tcBorders>
          </w:tcPr>
          <w:p w14:paraId="25C1BA0F" w14:textId="77777777" w:rsidR="00AE1E5C" w:rsidRPr="00B84CE1" w:rsidRDefault="00AE1E5C" w:rsidP="004203CD">
            <w:pPr>
              <w:spacing w:line="240" w:lineRule="auto"/>
              <w:rPr>
                <w:rFonts w:ascii="IBM Plex Sans Light" w:hAnsi="IBM Plex Sans Light"/>
                <w:b/>
                <w:color w:val="000000" w:themeColor="text1"/>
                <w:szCs w:val="18"/>
                <w:highlight w:val="yellow"/>
              </w:rPr>
            </w:pPr>
          </w:p>
        </w:tc>
        <w:tc>
          <w:tcPr>
            <w:tcW w:w="1417" w:type="dxa"/>
            <w:tcBorders>
              <w:top w:val="single" w:sz="4" w:space="0" w:color="3D7FE0" w:themeColor="accent1"/>
              <w:bottom w:val="nil"/>
            </w:tcBorders>
          </w:tcPr>
          <w:p w14:paraId="140B8561" w14:textId="77777777" w:rsidR="00AE1E5C" w:rsidRPr="00B84CE1" w:rsidRDefault="00AE1E5C" w:rsidP="004203CD">
            <w:pPr>
              <w:spacing w:line="240" w:lineRule="auto"/>
              <w:ind w:right="142"/>
              <w:jc w:val="right"/>
              <w:rPr>
                <w:rFonts w:ascii="IBM Plex Sans Medium" w:hAnsi="IBM Plex Sans Medium"/>
                <w:b/>
                <w:color w:val="3D7FE0" w:themeColor="accent1"/>
                <w:szCs w:val="18"/>
                <w:highlight w:val="yellow"/>
              </w:rPr>
            </w:pPr>
          </w:p>
        </w:tc>
        <w:tc>
          <w:tcPr>
            <w:tcW w:w="1418" w:type="dxa"/>
            <w:tcBorders>
              <w:top w:val="single" w:sz="4" w:space="0" w:color="3D7FE0" w:themeColor="accent1"/>
              <w:bottom w:val="nil"/>
            </w:tcBorders>
          </w:tcPr>
          <w:p w14:paraId="190888FF" w14:textId="77777777" w:rsidR="00AE1E5C" w:rsidRPr="00B84CE1" w:rsidRDefault="00AE1E5C" w:rsidP="004203CD">
            <w:pPr>
              <w:spacing w:line="240" w:lineRule="auto"/>
              <w:ind w:right="141"/>
              <w:jc w:val="right"/>
              <w:rPr>
                <w:rFonts w:ascii="IBM Plex Sans Light" w:hAnsi="IBM Plex Sans Light"/>
                <w:bCs/>
                <w:color w:val="000000" w:themeColor="text1"/>
                <w:szCs w:val="18"/>
                <w:highlight w:val="yellow"/>
              </w:rPr>
            </w:pPr>
          </w:p>
        </w:tc>
        <w:tc>
          <w:tcPr>
            <w:tcW w:w="1489" w:type="dxa"/>
            <w:tcBorders>
              <w:top w:val="single" w:sz="4" w:space="0" w:color="3D7FE0" w:themeColor="accent1"/>
              <w:bottom w:val="nil"/>
              <w:right w:val="single" w:sz="4" w:space="0" w:color="3D7FE0" w:themeColor="accent1"/>
            </w:tcBorders>
          </w:tcPr>
          <w:p w14:paraId="777C5F4C" w14:textId="77777777" w:rsidR="00AE1E5C" w:rsidRPr="00D34A36" w:rsidRDefault="00AE1E5C" w:rsidP="004203CD">
            <w:pPr>
              <w:spacing w:line="240" w:lineRule="auto"/>
              <w:ind w:right="113"/>
              <w:jc w:val="right"/>
              <w:rPr>
                <w:rFonts w:ascii="IBM Plex Sans Medium" w:hAnsi="IBM Plex Sans Medium"/>
                <w:b/>
                <w:color w:val="3D7FE0" w:themeColor="accent1"/>
                <w:szCs w:val="18"/>
                <w:highlight w:val="yellow"/>
              </w:rPr>
            </w:pPr>
          </w:p>
        </w:tc>
      </w:tr>
      <w:tr w:rsidR="00AE1E5C" w:rsidRPr="00D34A36" w14:paraId="0605A04D" w14:textId="77777777" w:rsidTr="004203CD">
        <w:trPr>
          <w:trHeight w:hRule="exact" w:val="266"/>
        </w:trPr>
        <w:tc>
          <w:tcPr>
            <w:tcW w:w="4525" w:type="dxa"/>
            <w:tcBorders>
              <w:top w:val="nil"/>
              <w:left w:val="single" w:sz="4" w:space="0" w:color="3D7FE0" w:themeColor="accent1"/>
            </w:tcBorders>
            <w:shd w:val="clear" w:color="auto" w:fill="auto"/>
          </w:tcPr>
          <w:p w14:paraId="141C3B8E" w14:textId="77777777" w:rsidR="00AE1E5C" w:rsidRPr="006967E9" w:rsidRDefault="00AE1E5C" w:rsidP="004203CD">
            <w:pPr>
              <w:spacing w:line="240" w:lineRule="auto"/>
              <w:rPr>
                <w:rFonts w:ascii="IBM Plex Sans Light" w:hAnsi="IBM Plex Sans Light"/>
                <w:b/>
                <w:color w:val="000000" w:themeColor="text1"/>
                <w:szCs w:val="18"/>
              </w:rPr>
            </w:pPr>
            <w:r w:rsidRPr="006967E9">
              <w:rPr>
                <w:rFonts w:ascii="IBM Plex Sans Medium" w:hAnsi="IBM Plex Sans Medium"/>
                <w:b/>
                <w:color w:val="000000" w:themeColor="text1"/>
                <w:szCs w:val="18"/>
              </w:rPr>
              <w:t>Capital and financing</w:t>
            </w:r>
          </w:p>
        </w:tc>
        <w:tc>
          <w:tcPr>
            <w:tcW w:w="426" w:type="dxa"/>
            <w:tcBorders>
              <w:top w:val="nil"/>
            </w:tcBorders>
          </w:tcPr>
          <w:p w14:paraId="1A2561AC"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Borders>
              <w:top w:val="nil"/>
            </w:tcBorders>
          </w:tcPr>
          <w:p w14:paraId="2720C7F8" w14:textId="77777777" w:rsidR="00AE1E5C" w:rsidRPr="00B84CE1" w:rsidRDefault="00AE1E5C" w:rsidP="004203CD">
            <w:pPr>
              <w:spacing w:line="240" w:lineRule="auto"/>
              <w:rPr>
                <w:rFonts w:ascii="IBM Plex Sans Light" w:hAnsi="IBM Plex Sans Light"/>
                <w:b/>
                <w:color w:val="000000" w:themeColor="text1"/>
                <w:szCs w:val="18"/>
                <w:highlight w:val="yellow"/>
              </w:rPr>
            </w:pPr>
          </w:p>
        </w:tc>
        <w:tc>
          <w:tcPr>
            <w:tcW w:w="1417" w:type="dxa"/>
            <w:tcBorders>
              <w:top w:val="nil"/>
            </w:tcBorders>
          </w:tcPr>
          <w:p w14:paraId="2FA44FAF" w14:textId="77777777" w:rsidR="00AE1E5C" w:rsidRPr="00B84CE1" w:rsidRDefault="00AE1E5C" w:rsidP="004203CD">
            <w:pPr>
              <w:spacing w:line="240" w:lineRule="auto"/>
              <w:ind w:right="142"/>
              <w:jc w:val="right"/>
              <w:rPr>
                <w:rFonts w:ascii="IBM Plex Sans Medium" w:hAnsi="IBM Plex Sans Medium"/>
                <w:b/>
                <w:color w:val="3D7FE0" w:themeColor="accent1"/>
                <w:szCs w:val="18"/>
                <w:highlight w:val="yellow"/>
              </w:rPr>
            </w:pPr>
          </w:p>
        </w:tc>
        <w:tc>
          <w:tcPr>
            <w:tcW w:w="1418" w:type="dxa"/>
            <w:tcBorders>
              <w:top w:val="nil"/>
            </w:tcBorders>
          </w:tcPr>
          <w:p w14:paraId="4D91B734" w14:textId="77777777" w:rsidR="00AE1E5C" w:rsidRPr="00B84CE1" w:rsidRDefault="00AE1E5C" w:rsidP="004203CD">
            <w:pPr>
              <w:spacing w:line="240" w:lineRule="auto"/>
              <w:ind w:right="141"/>
              <w:jc w:val="right"/>
              <w:rPr>
                <w:rFonts w:ascii="IBM Plex Sans Light" w:hAnsi="IBM Plex Sans Light"/>
                <w:bCs/>
                <w:color w:val="000000" w:themeColor="text1"/>
                <w:szCs w:val="18"/>
                <w:highlight w:val="yellow"/>
              </w:rPr>
            </w:pPr>
          </w:p>
        </w:tc>
        <w:tc>
          <w:tcPr>
            <w:tcW w:w="1489" w:type="dxa"/>
            <w:tcBorders>
              <w:top w:val="nil"/>
              <w:right w:val="single" w:sz="4" w:space="0" w:color="3D7FE0" w:themeColor="accent1"/>
            </w:tcBorders>
          </w:tcPr>
          <w:p w14:paraId="6A2E1C6E" w14:textId="77777777" w:rsidR="00AE1E5C" w:rsidRPr="00D34A36" w:rsidRDefault="00AE1E5C" w:rsidP="004203CD">
            <w:pPr>
              <w:spacing w:line="240" w:lineRule="auto"/>
              <w:ind w:right="113"/>
              <w:jc w:val="right"/>
              <w:rPr>
                <w:rFonts w:ascii="IBM Plex Sans Medium" w:hAnsi="IBM Plex Sans Medium"/>
                <w:b/>
                <w:color w:val="3D7FE0" w:themeColor="accent1"/>
                <w:szCs w:val="18"/>
                <w:highlight w:val="yellow"/>
              </w:rPr>
            </w:pPr>
          </w:p>
        </w:tc>
      </w:tr>
      <w:tr w:rsidR="00AE1E5C" w:rsidRPr="00D34A36" w14:paraId="1CDE01EE" w14:textId="77777777" w:rsidTr="004203CD">
        <w:trPr>
          <w:trHeight w:hRule="exact" w:val="266"/>
        </w:trPr>
        <w:tc>
          <w:tcPr>
            <w:tcW w:w="4525" w:type="dxa"/>
            <w:tcBorders>
              <w:left w:val="single" w:sz="4" w:space="0" w:color="3D7FE0" w:themeColor="accent1"/>
            </w:tcBorders>
            <w:shd w:val="clear" w:color="auto" w:fill="auto"/>
          </w:tcPr>
          <w:p w14:paraId="20E35283"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Managed portfolio value</w:t>
            </w:r>
          </w:p>
        </w:tc>
        <w:tc>
          <w:tcPr>
            <w:tcW w:w="426" w:type="dxa"/>
          </w:tcPr>
          <w:p w14:paraId="4BE12955"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17FB6F22"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23E3293F"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£2,776m</w:t>
            </w:r>
          </w:p>
        </w:tc>
        <w:tc>
          <w:tcPr>
            <w:tcW w:w="1418" w:type="dxa"/>
          </w:tcPr>
          <w:p w14:paraId="5CB20AB6"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£3,220m</w:t>
            </w:r>
          </w:p>
        </w:tc>
        <w:tc>
          <w:tcPr>
            <w:tcW w:w="1489" w:type="dxa"/>
            <w:tcBorders>
              <w:right w:val="single" w:sz="4" w:space="0" w:color="3D7FE0" w:themeColor="accent1"/>
            </w:tcBorders>
          </w:tcPr>
          <w:p w14:paraId="3551C421" w14:textId="77777777" w:rsidR="00AE1E5C" w:rsidRPr="00630E2E" w:rsidRDefault="00AE1E5C" w:rsidP="004203CD">
            <w:pPr>
              <w:spacing w:line="240" w:lineRule="auto"/>
              <w:ind w:right="113"/>
              <w:jc w:val="right"/>
              <w:rPr>
                <w:rFonts w:ascii="IBM Plex Sans Medium" w:hAnsi="IBM Plex Sans Medium"/>
                <w:color w:val="3D7FE0" w:themeColor="accent1"/>
                <w:szCs w:val="18"/>
              </w:rPr>
            </w:pPr>
            <w:r w:rsidRPr="00630E2E">
              <w:rPr>
                <w:rFonts w:ascii="IBM Plex Sans Medium" w:hAnsi="IBM Plex Sans Medium"/>
                <w:color w:val="3D7FE0" w:themeColor="accent1"/>
                <w:szCs w:val="18"/>
              </w:rPr>
              <w:t>3B</w:t>
            </w:r>
          </w:p>
        </w:tc>
      </w:tr>
      <w:tr w:rsidR="00AE1E5C" w:rsidRPr="00D34A36" w14:paraId="3C15F500" w14:textId="77777777" w:rsidTr="004203CD">
        <w:trPr>
          <w:trHeight w:hRule="exact" w:val="266"/>
        </w:trPr>
        <w:tc>
          <w:tcPr>
            <w:tcW w:w="4525" w:type="dxa"/>
            <w:tcBorders>
              <w:left w:val="single" w:sz="4" w:space="0" w:color="3D7FE0" w:themeColor="accent1"/>
            </w:tcBorders>
            <w:shd w:val="clear" w:color="auto" w:fill="auto"/>
          </w:tcPr>
          <w:p w14:paraId="0BFCB612"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Group portfolio value (including Value Retail)</w:t>
            </w:r>
          </w:p>
        </w:tc>
        <w:tc>
          <w:tcPr>
            <w:tcW w:w="426" w:type="dxa"/>
          </w:tcPr>
          <w:p w14:paraId="78E18343"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7E75A06A"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0198051D"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£4,662m</w:t>
            </w:r>
          </w:p>
        </w:tc>
        <w:tc>
          <w:tcPr>
            <w:tcW w:w="1418" w:type="dxa"/>
          </w:tcPr>
          <w:p w14:paraId="4008CDBA"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£5,107m</w:t>
            </w:r>
          </w:p>
        </w:tc>
        <w:tc>
          <w:tcPr>
            <w:tcW w:w="1489" w:type="dxa"/>
            <w:tcBorders>
              <w:right w:val="single" w:sz="4" w:space="0" w:color="3D7FE0" w:themeColor="accent1"/>
            </w:tcBorders>
          </w:tcPr>
          <w:p w14:paraId="2CC92826" w14:textId="77777777" w:rsidR="00AE1E5C" w:rsidRPr="00630E2E" w:rsidRDefault="00AE1E5C" w:rsidP="004203CD">
            <w:pPr>
              <w:spacing w:line="240" w:lineRule="auto"/>
              <w:ind w:right="113"/>
              <w:jc w:val="right"/>
              <w:rPr>
                <w:rFonts w:ascii="IBM Plex Sans Medium" w:hAnsi="IBM Plex Sans Medium"/>
                <w:color w:val="3D7FE0" w:themeColor="accent1"/>
                <w:szCs w:val="18"/>
              </w:rPr>
            </w:pPr>
            <w:r w:rsidRPr="00630E2E">
              <w:rPr>
                <w:rFonts w:ascii="IBM Plex Sans Medium" w:hAnsi="IBM Plex Sans Medium"/>
                <w:color w:val="3D7FE0" w:themeColor="accent1"/>
                <w:szCs w:val="18"/>
              </w:rPr>
              <w:t>3B</w:t>
            </w:r>
          </w:p>
        </w:tc>
      </w:tr>
      <w:tr w:rsidR="00E126CD" w:rsidRPr="00D34A36" w14:paraId="165E7F5E" w14:textId="77777777" w:rsidTr="004203CD">
        <w:trPr>
          <w:trHeight w:hRule="exact" w:val="266"/>
        </w:trPr>
        <w:tc>
          <w:tcPr>
            <w:tcW w:w="4525" w:type="dxa"/>
            <w:tcBorders>
              <w:left w:val="single" w:sz="4" w:space="0" w:color="3D7FE0" w:themeColor="accent1"/>
            </w:tcBorders>
            <w:shd w:val="clear" w:color="auto" w:fill="auto"/>
          </w:tcPr>
          <w:p w14:paraId="69EEAA68" w14:textId="43B3B6F0" w:rsidR="00E126CD" w:rsidRPr="006967E9" w:rsidRDefault="00E126CD" w:rsidP="004203CD">
            <w:pPr>
              <w:spacing w:line="240" w:lineRule="auto"/>
              <w:rPr>
                <w:rFonts w:ascii="IBM Plex Sans Light" w:hAnsi="IBM Plex Sans Light"/>
                <w:color w:val="000000" w:themeColor="text1"/>
              </w:rPr>
            </w:pPr>
            <w:r>
              <w:rPr>
                <w:rFonts w:ascii="IBM Plex Sans Light" w:hAnsi="IBM Plex Sans Light"/>
                <w:color w:val="000000" w:themeColor="text1"/>
              </w:rPr>
              <w:t>Total accounting return</w:t>
            </w:r>
          </w:p>
        </w:tc>
        <w:tc>
          <w:tcPr>
            <w:tcW w:w="426" w:type="dxa"/>
          </w:tcPr>
          <w:p w14:paraId="040C4D6C" w14:textId="77777777" w:rsidR="00E126CD" w:rsidRPr="00B84CE1" w:rsidRDefault="00E126CD" w:rsidP="004203CD">
            <w:pPr>
              <w:spacing w:line="240" w:lineRule="auto"/>
              <w:jc w:val="center"/>
              <w:rPr>
                <w:rFonts w:ascii="IBM Plex Sans Light" w:hAnsi="IBM Plex Sans Light"/>
                <w:bCs/>
                <w:color w:val="000000" w:themeColor="text1"/>
                <w:szCs w:val="18"/>
                <w:highlight w:val="yellow"/>
              </w:rPr>
            </w:pPr>
          </w:p>
        </w:tc>
        <w:tc>
          <w:tcPr>
            <w:tcW w:w="425" w:type="dxa"/>
          </w:tcPr>
          <w:p w14:paraId="6702E274" w14:textId="77777777" w:rsidR="00E126CD" w:rsidRPr="00B84CE1" w:rsidRDefault="00E126CD" w:rsidP="004203CD">
            <w:pPr>
              <w:spacing w:line="240" w:lineRule="auto"/>
              <w:rPr>
                <w:rFonts w:ascii="IBM Plex Sans Light" w:hAnsi="IBM Plex Sans Light"/>
                <w:bCs/>
                <w:color w:val="000000" w:themeColor="text1"/>
                <w:szCs w:val="18"/>
                <w:highlight w:val="yellow"/>
              </w:rPr>
            </w:pPr>
          </w:p>
        </w:tc>
        <w:tc>
          <w:tcPr>
            <w:tcW w:w="1417" w:type="dxa"/>
          </w:tcPr>
          <w:p w14:paraId="74B65B26" w14:textId="1E5ED683" w:rsidR="00E126CD" w:rsidRPr="0051582A" w:rsidRDefault="00E126CD" w:rsidP="004203CD">
            <w:pPr>
              <w:spacing w:line="240" w:lineRule="auto"/>
              <w:ind w:right="142"/>
              <w:jc w:val="right"/>
              <w:rPr>
                <w:rFonts w:ascii="IBM Plex Sans Medium" w:hAnsi="IBM Plex Sans Medium"/>
                <w:bCs/>
                <w:color w:val="3D7FE0" w:themeColor="accent1"/>
              </w:rPr>
            </w:pPr>
            <w:r>
              <w:rPr>
                <w:rFonts w:ascii="IBM Plex Sans Medium" w:hAnsi="IBM Plex Sans Medium"/>
                <w:bCs/>
                <w:color w:val="3D7FE0" w:themeColor="accent1"/>
              </w:rPr>
              <w:t>(2.1)%</w:t>
            </w:r>
          </w:p>
        </w:tc>
        <w:tc>
          <w:tcPr>
            <w:tcW w:w="1418" w:type="dxa"/>
          </w:tcPr>
          <w:p w14:paraId="12D3A6EF" w14:textId="67EEA2C9" w:rsidR="00E126CD" w:rsidRPr="006967E9" w:rsidRDefault="00E126CD" w:rsidP="004203CD">
            <w:pPr>
              <w:spacing w:line="240" w:lineRule="auto"/>
              <w:ind w:right="141"/>
              <w:jc w:val="right"/>
              <w:rPr>
                <w:rFonts w:ascii="IBM Plex Sans Light" w:hAnsi="IBM Plex Sans Light"/>
              </w:rPr>
            </w:pPr>
            <w:r>
              <w:rPr>
                <w:rFonts w:ascii="IBM Plex Sans Light" w:hAnsi="IBM Plex Sans Light"/>
              </w:rPr>
              <w:t>(6.8)%</w:t>
            </w:r>
          </w:p>
        </w:tc>
        <w:tc>
          <w:tcPr>
            <w:tcW w:w="1489" w:type="dxa"/>
            <w:tcBorders>
              <w:right w:val="single" w:sz="4" w:space="0" w:color="3D7FE0" w:themeColor="accent1"/>
            </w:tcBorders>
          </w:tcPr>
          <w:p w14:paraId="5CB7E87A" w14:textId="75D2F3A3" w:rsidR="00E126CD" w:rsidRPr="00630E2E" w:rsidRDefault="00E126CD" w:rsidP="004203CD">
            <w:pPr>
              <w:spacing w:line="240" w:lineRule="auto"/>
              <w:ind w:right="113"/>
              <w:jc w:val="right"/>
              <w:rPr>
                <w:rFonts w:ascii="IBM Plex Sans Medium" w:hAnsi="IBM Plex Sans Medium"/>
                <w:color w:val="3D7FE0" w:themeColor="accent1"/>
                <w:szCs w:val="18"/>
              </w:rPr>
            </w:pPr>
            <w:r>
              <w:rPr>
                <w:rFonts w:ascii="IBM Plex Sans Medium" w:hAnsi="IBM Plex Sans Medium"/>
                <w:color w:val="3D7FE0" w:themeColor="accent1"/>
                <w:szCs w:val="18"/>
              </w:rPr>
              <w:t xml:space="preserve"> Table 15</w:t>
            </w:r>
          </w:p>
        </w:tc>
      </w:tr>
      <w:tr w:rsidR="00AE1E5C" w:rsidRPr="00D34A36" w14:paraId="29B56BD4" w14:textId="77777777" w:rsidTr="004203CD">
        <w:trPr>
          <w:trHeight w:hRule="exact" w:val="266"/>
        </w:trPr>
        <w:tc>
          <w:tcPr>
            <w:tcW w:w="4525" w:type="dxa"/>
            <w:tcBorders>
              <w:left w:val="single" w:sz="4" w:space="0" w:color="3D7FE0" w:themeColor="accent1"/>
            </w:tcBorders>
            <w:shd w:val="clear" w:color="auto" w:fill="auto"/>
          </w:tcPr>
          <w:p w14:paraId="3164C782" w14:textId="77777777" w:rsidR="00AE1E5C" w:rsidRPr="006967E9" w:rsidRDefault="00AE1E5C" w:rsidP="004203CD">
            <w:pPr>
              <w:spacing w:line="240" w:lineRule="auto"/>
              <w:rPr>
                <w:rFonts w:ascii="IBM Plex Sans Light" w:hAnsi="IBM Plex Sans Light"/>
                <w:color w:val="000000" w:themeColor="text1"/>
              </w:rPr>
            </w:pPr>
            <w:r w:rsidRPr="006967E9">
              <w:rPr>
                <w:rFonts w:ascii="IBM Plex Sans Light" w:hAnsi="IBM Plex Sans Light"/>
                <w:color w:val="000000" w:themeColor="text1"/>
              </w:rPr>
              <w:t>Total property return (including Value Retail)</w:t>
            </w:r>
          </w:p>
        </w:tc>
        <w:tc>
          <w:tcPr>
            <w:tcW w:w="426" w:type="dxa"/>
          </w:tcPr>
          <w:p w14:paraId="02469D26"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6A0762E4"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3869A57D"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3.2%</w:t>
            </w:r>
          </w:p>
        </w:tc>
        <w:tc>
          <w:tcPr>
            <w:tcW w:w="1418" w:type="dxa"/>
          </w:tcPr>
          <w:p w14:paraId="47FE8307" w14:textId="77777777" w:rsidR="00AE1E5C" w:rsidRPr="006967E9" w:rsidRDefault="00AE1E5C" w:rsidP="004203CD">
            <w:pPr>
              <w:spacing w:line="240" w:lineRule="auto"/>
              <w:ind w:right="141"/>
              <w:jc w:val="right"/>
              <w:rPr>
                <w:rFonts w:ascii="IBM Plex Sans Light" w:hAnsi="IBM Plex Sans Light"/>
              </w:rPr>
            </w:pPr>
            <w:r w:rsidRPr="006967E9">
              <w:rPr>
                <w:rFonts w:ascii="IBM Plex Sans Light" w:hAnsi="IBM Plex Sans Light"/>
              </w:rPr>
              <w:t>(0.7)%</w:t>
            </w:r>
          </w:p>
        </w:tc>
        <w:tc>
          <w:tcPr>
            <w:tcW w:w="1489" w:type="dxa"/>
            <w:tcBorders>
              <w:right w:val="single" w:sz="4" w:space="0" w:color="3D7FE0" w:themeColor="accent1"/>
            </w:tcBorders>
          </w:tcPr>
          <w:p w14:paraId="09F57C7D" w14:textId="77777777" w:rsidR="00AE1E5C" w:rsidRPr="00630E2E" w:rsidRDefault="00AE1E5C" w:rsidP="004203CD">
            <w:pPr>
              <w:spacing w:line="240" w:lineRule="auto"/>
              <w:ind w:right="113"/>
              <w:jc w:val="right"/>
              <w:rPr>
                <w:rFonts w:ascii="IBM Plex Sans Medium" w:hAnsi="IBM Plex Sans Medium"/>
                <w:color w:val="3D7FE0" w:themeColor="accent1"/>
                <w:szCs w:val="18"/>
              </w:rPr>
            </w:pPr>
            <w:r w:rsidRPr="00630E2E">
              <w:rPr>
                <w:rFonts w:ascii="IBM Plex Sans Medium" w:hAnsi="IBM Plex Sans Medium"/>
                <w:color w:val="3D7FE0" w:themeColor="accent1"/>
                <w:szCs w:val="18"/>
              </w:rPr>
              <w:t>Table 9</w:t>
            </w:r>
          </w:p>
        </w:tc>
      </w:tr>
      <w:tr w:rsidR="00AE1E5C" w:rsidRPr="00D34A36" w14:paraId="23F0897C" w14:textId="77777777" w:rsidTr="004203CD">
        <w:trPr>
          <w:trHeight w:hRule="exact" w:val="266"/>
        </w:trPr>
        <w:tc>
          <w:tcPr>
            <w:tcW w:w="4525" w:type="dxa"/>
            <w:tcBorders>
              <w:left w:val="single" w:sz="4" w:space="0" w:color="3D7FE0" w:themeColor="accent1"/>
            </w:tcBorders>
            <w:shd w:val="clear" w:color="auto" w:fill="auto"/>
          </w:tcPr>
          <w:p w14:paraId="2FF66222" w14:textId="77777777" w:rsidR="00AE1E5C" w:rsidRPr="006967E9" w:rsidRDefault="00AE1E5C" w:rsidP="004203CD">
            <w:pPr>
              <w:spacing w:line="240" w:lineRule="auto"/>
              <w:rPr>
                <w:rFonts w:ascii="IBM Plex Sans Light" w:hAnsi="IBM Plex Sans Light"/>
                <w:color w:val="000000" w:themeColor="text1"/>
              </w:rPr>
            </w:pPr>
            <w:r w:rsidRPr="006967E9">
              <w:rPr>
                <w:rFonts w:ascii="IBM Plex Sans Light" w:hAnsi="IBM Plex Sans Light"/>
                <w:color w:val="000000" w:themeColor="text1"/>
              </w:rPr>
              <w:t>Capital return (including Value Retail)</w:t>
            </w:r>
          </w:p>
        </w:tc>
        <w:tc>
          <w:tcPr>
            <w:tcW w:w="426" w:type="dxa"/>
          </w:tcPr>
          <w:p w14:paraId="1A1F7C15"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44E80147"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1385DDDB"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(2.6)%</w:t>
            </w:r>
          </w:p>
        </w:tc>
        <w:tc>
          <w:tcPr>
            <w:tcW w:w="1418" w:type="dxa"/>
          </w:tcPr>
          <w:p w14:paraId="119CE4F7" w14:textId="77777777" w:rsidR="00AE1E5C" w:rsidRPr="006967E9" w:rsidRDefault="00AE1E5C" w:rsidP="004203CD">
            <w:pPr>
              <w:spacing w:line="240" w:lineRule="auto"/>
              <w:ind w:right="141"/>
              <w:jc w:val="right"/>
              <w:rPr>
                <w:rFonts w:ascii="IBM Plex Sans Light" w:hAnsi="IBM Plex Sans Light"/>
              </w:rPr>
            </w:pPr>
            <w:r w:rsidRPr="006967E9">
              <w:rPr>
                <w:rFonts w:ascii="IBM Plex Sans Light" w:hAnsi="IBM Plex Sans Light"/>
              </w:rPr>
              <w:t>(5.8)%</w:t>
            </w:r>
          </w:p>
        </w:tc>
        <w:tc>
          <w:tcPr>
            <w:tcW w:w="1489" w:type="dxa"/>
            <w:tcBorders>
              <w:right w:val="single" w:sz="4" w:space="0" w:color="3D7FE0" w:themeColor="accent1"/>
            </w:tcBorders>
          </w:tcPr>
          <w:p w14:paraId="4B08995E" w14:textId="77777777" w:rsidR="00AE1E5C" w:rsidRPr="00630E2E" w:rsidRDefault="00AE1E5C" w:rsidP="004203CD">
            <w:pPr>
              <w:spacing w:line="240" w:lineRule="auto"/>
              <w:ind w:right="113"/>
              <w:jc w:val="right"/>
              <w:rPr>
                <w:rFonts w:ascii="IBM Plex Sans Medium" w:hAnsi="IBM Plex Sans Medium"/>
                <w:color w:val="3D7FE0" w:themeColor="accent1"/>
                <w:szCs w:val="18"/>
              </w:rPr>
            </w:pPr>
            <w:r w:rsidRPr="00630E2E">
              <w:rPr>
                <w:rFonts w:ascii="IBM Plex Sans Medium" w:hAnsi="IBM Plex Sans Medium"/>
                <w:color w:val="3D7FE0" w:themeColor="accent1"/>
                <w:szCs w:val="18"/>
              </w:rPr>
              <w:t>Table 9</w:t>
            </w:r>
          </w:p>
        </w:tc>
      </w:tr>
      <w:tr w:rsidR="00AE1E5C" w:rsidRPr="00D34A36" w14:paraId="20E1B08C" w14:textId="77777777" w:rsidTr="004203CD">
        <w:trPr>
          <w:trHeight w:hRule="exact" w:val="266"/>
        </w:trPr>
        <w:tc>
          <w:tcPr>
            <w:tcW w:w="4525" w:type="dxa"/>
            <w:tcBorders>
              <w:left w:val="single" w:sz="4" w:space="0" w:color="3D7FE0" w:themeColor="accent1"/>
            </w:tcBorders>
            <w:shd w:val="clear" w:color="auto" w:fill="auto"/>
          </w:tcPr>
          <w:p w14:paraId="5DD727D2"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Net debt</w:t>
            </w:r>
          </w:p>
        </w:tc>
        <w:tc>
          <w:tcPr>
            <w:tcW w:w="426" w:type="dxa"/>
          </w:tcPr>
          <w:p w14:paraId="221F91F6" w14:textId="77777777" w:rsidR="00AE1E5C" w:rsidRPr="00B84CE1" w:rsidRDefault="00AE1E5C" w:rsidP="004203CD">
            <w:pPr>
              <w:spacing w:line="240" w:lineRule="auto"/>
              <w:jc w:val="center"/>
              <w:rPr>
                <w:rFonts w:ascii="IBM Plex Sans Light" w:hAnsi="IBM Plex Sans Light"/>
                <w:color w:val="000000" w:themeColor="text1"/>
                <w:highlight w:val="yellow"/>
              </w:rPr>
            </w:pPr>
          </w:p>
        </w:tc>
        <w:tc>
          <w:tcPr>
            <w:tcW w:w="425" w:type="dxa"/>
          </w:tcPr>
          <w:p w14:paraId="302F48B5"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21052664"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£1,32</w:t>
            </w:r>
            <w:r>
              <w:rPr>
                <w:rFonts w:ascii="IBM Plex Sans Medium" w:hAnsi="IBM Plex Sans Medium"/>
                <w:bCs/>
                <w:color w:val="3D7FE0" w:themeColor="accent1"/>
              </w:rPr>
              <w:t>6</w:t>
            </w:r>
            <w:r w:rsidRPr="0051582A">
              <w:rPr>
                <w:rFonts w:ascii="IBM Plex Sans Medium" w:hAnsi="IBM Plex Sans Medium"/>
                <w:bCs/>
                <w:color w:val="3D7FE0" w:themeColor="accent1"/>
              </w:rPr>
              <w:t>m</w:t>
            </w:r>
          </w:p>
        </w:tc>
        <w:tc>
          <w:tcPr>
            <w:tcW w:w="1418" w:type="dxa"/>
          </w:tcPr>
          <w:p w14:paraId="5D9E8D9D"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£1,732m</w:t>
            </w:r>
          </w:p>
        </w:tc>
        <w:tc>
          <w:tcPr>
            <w:tcW w:w="1489" w:type="dxa"/>
            <w:tcBorders>
              <w:right w:val="single" w:sz="4" w:space="0" w:color="3D7FE0" w:themeColor="accent1"/>
            </w:tcBorders>
          </w:tcPr>
          <w:p w14:paraId="26AB9E39"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Table 13</w:t>
            </w:r>
          </w:p>
        </w:tc>
      </w:tr>
      <w:tr w:rsidR="00AE1E5C" w:rsidRPr="00D34A36" w14:paraId="2DB79A93" w14:textId="77777777" w:rsidTr="004203CD">
        <w:trPr>
          <w:trHeight w:hRule="exact" w:val="266"/>
        </w:trPr>
        <w:tc>
          <w:tcPr>
            <w:tcW w:w="4525" w:type="dxa"/>
            <w:tcBorders>
              <w:left w:val="single" w:sz="4" w:space="0" w:color="3D7FE0" w:themeColor="accent1"/>
            </w:tcBorders>
            <w:shd w:val="clear" w:color="auto" w:fill="auto"/>
          </w:tcPr>
          <w:p w14:paraId="0D3EBB69"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Gearing</w:t>
            </w:r>
          </w:p>
        </w:tc>
        <w:tc>
          <w:tcPr>
            <w:tcW w:w="426" w:type="dxa"/>
          </w:tcPr>
          <w:p w14:paraId="3AA868BC" w14:textId="77777777" w:rsidR="00AE1E5C" w:rsidRPr="00B84CE1" w:rsidRDefault="00AE1E5C" w:rsidP="004203CD">
            <w:pPr>
              <w:spacing w:line="240" w:lineRule="auto"/>
              <w:jc w:val="center"/>
              <w:rPr>
                <w:rFonts w:ascii="IBM Plex Sans Light" w:hAnsi="IBM Plex Sans Light"/>
                <w:color w:val="000000" w:themeColor="text1"/>
                <w:highlight w:val="yellow"/>
              </w:rPr>
            </w:pPr>
          </w:p>
        </w:tc>
        <w:tc>
          <w:tcPr>
            <w:tcW w:w="425" w:type="dxa"/>
          </w:tcPr>
          <w:p w14:paraId="69C6D9F9"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0CA511F5"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5</w:t>
            </w:r>
            <w:r>
              <w:rPr>
                <w:rFonts w:ascii="IBM Plex Sans Medium" w:hAnsi="IBM Plex Sans Medium"/>
                <w:bCs/>
                <w:color w:val="3D7FE0" w:themeColor="accent1"/>
              </w:rPr>
              <w:t>5</w:t>
            </w:r>
            <w:r w:rsidRPr="0051582A">
              <w:rPr>
                <w:rFonts w:ascii="IBM Plex Sans Medium" w:hAnsi="IBM Plex Sans Medium"/>
                <w:bCs/>
                <w:color w:val="3D7FE0" w:themeColor="accent1"/>
              </w:rPr>
              <w:t>%</w:t>
            </w:r>
          </w:p>
        </w:tc>
        <w:tc>
          <w:tcPr>
            <w:tcW w:w="1418" w:type="dxa"/>
          </w:tcPr>
          <w:p w14:paraId="33AE9815"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68%</w:t>
            </w:r>
          </w:p>
        </w:tc>
        <w:tc>
          <w:tcPr>
            <w:tcW w:w="1489" w:type="dxa"/>
            <w:tcBorders>
              <w:right w:val="single" w:sz="4" w:space="0" w:color="3D7FE0" w:themeColor="accent1"/>
            </w:tcBorders>
          </w:tcPr>
          <w:p w14:paraId="4C0D1A52"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Table 18</w:t>
            </w:r>
          </w:p>
        </w:tc>
      </w:tr>
      <w:tr w:rsidR="00AE1E5C" w:rsidRPr="00D34A36" w14:paraId="3EA3DF1C" w14:textId="77777777" w:rsidTr="004203CD">
        <w:trPr>
          <w:trHeight w:hRule="exact" w:val="266"/>
        </w:trPr>
        <w:tc>
          <w:tcPr>
            <w:tcW w:w="4525" w:type="dxa"/>
            <w:tcBorders>
              <w:left w:val="single" w:sz="4" w:space="0" w:color="3D7FE0" w:themeColor="accent1"/>
            </w:tcBorders>
            <w:shd w:val="clear" w:color="auto" w:fill="auto"/>
          </w:tcPr>
          <w:p w14:paraId="77B1CA9F"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Loan to value – headline</w:t>
            </w:r>
          </w:p>
        </w:tc>
        <w:tc>
          <w:tcPr>
            <w:tcW w:w="426" w:type="dxa"/>
          </w:tcPr>
          <w:p w14:paraId="7AB73211" w14:textId="77777777" w:rsidR="00AE1E5C" w:rsidRPr="00B84CE1" w:rsidRDefault="00AE1E5C" w:rsidP="004203CD">
            <w:pPr>
              <w:spacing w:line="240" w:lineRule="auto"/>
              <w:jc w:val="center"/>
              <w:rPr>
                <w:rFonts w:ascii="IBM Plex Sans Light" w:hAnsi="IBM Plex Sans Light"/>
                <w:color w:val="000000" w:themeColor="text1"/>
                <w:highlight w:val="yellow"/>
              </w:rPr>
            </w:pPr>
          </w:p>
        </w:tc>
        <w:tc>
          <w:tcPr>
            <w:tcW w:w="425" w:type="dxa"/>
          </w:tcPr>
          <w:p w14:paraId="61089D33"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2283A471"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34%</w:t>
            </w:r>
          </w:p>
        </w:tc>
        <w:tc>
          <w:tcPr>
            <w:tcW w:w="1418" w:type="dxa"/>
          </w:tcPr>
          <w:p w14:paraId="2F4840A5"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39%</w:t>
            </w:r>
          </w:p>
        </w:tc>
        <w:tc>
          <w:tcPr>
            <w:tcW w:w="1489" w:type="dxa"/>
            <w:tcBorders>
              <w:right w:val="single" w:sz="4" w:space="0" w:color="3D7FE0" w:themeColor="accent1"/>
            </w:tcBorders>
          </w:tcPr>
          <w:p w14:paraId="01E4B943"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Table 19</w:t>
            </w:r>
          </w:p>
        </w:tc>
      </w:tr>
      <w:tr w:rsidR="00AE1E5C" w:rsidRPr="00D34A36" w14:paraId="2C592D21" w14:textId="77777777" w:rsidTr="004203CD">
        <w:trPr>
          <w:trHeight w:hRule="exact" w:val="266"/>
        </w:trPr>
        <w:tc>
          <w:tcPr>
            <w:tcW w:w="4525" w:type="dxa"/>
            <w:tcBorders>
              <w:left w:val="single" w:sz="4" w:space="0" w:color="3D7FE0" w:themeColor="accent1"/>
            </w:tcBorders>
            <w:shd w:val="clear" w:color="auto" w:fill="auto"/>
          </w:tcPr>
          <w:p w14:paraId="2FB30F9D"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Loan to value – fully proportionally consolidated</w:t>
            </w:r>
          </w:p>
        </w:tc>
        <w:tc>
          <w:tcPr>
            <w:tcW w:w="426" w:type="dxa"/>
          </w:tcPr>
          <w:p w14:paraId="036ACDBC" w14:textId="77777777" w:rsidR="00AE1E5C" w:rsidRPr="00B84CE1" w:rsidRDefault="00AE1E5C" w:rsidP="004203CD">
            <w:pPr>
              <w:spacing w:line="240" w:lineRule="auto"/>
              <w:jc w:val="center"/>
              <w:rPr>
                <w:rFonts w:ascii="IBM Plex Sans Light" w:hAnsi="IBM Plex Sans Light"/>
                <w:color w:val="000000" w:themeColor="text1"/>
                <w:highlight w:val="yellow"/>
              </w:rPr>
            </w:pPr>
          </w:p>
        </w:tc>
        <w:tc>
          <w:tcPr>
            <w:tcW w:w="425" w:type="dxa"/>
          </w:tcPr>
          <w:p w14:paraId="336354A7"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04B35CB8"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44%</w:t>
            </w:r>
          </w:p>
        </w:tc>
        <w:tc>
          <w:tcPr>
            <w:tcW w:w="1418" w:type="dxa"/>
          </w:tcPr>
          <w:p w14:paraId="6FF8AE58"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47%</w:t>
            </w:r>
          </w:p>
        </w:tc>
        <w:tc>
          <w:tcPr>
            <w:tcW w:w="1489" w:type="dxa"/>
            <w:tcBorders>
              <w:right w:val="single" w:sz="4" w:space="0" w:color="3D7FE0" w:themeColor="accent1"/>
            </w:tcBorders>
          </w:tcPr>
          <w:p w14:paraId="32456C51" w14:textId="77777777" w:rsidR="00AE1E5C" w:rsidRPr="00E7619D" w:rsidRDefault="00AE1E5C" w:rsidP="004203CD">
            <w:pPr>
              <w:spacing w:line="240" w:lineRule="auto"/>
              <w:ind w:right="113"/>
              <w:jc w:val="right"/>
              <w:rPr>
                <w:rFonts w:ascii="IBM Plex Sans Medium" w:hAnsi="IBM Plex Sans Medium"/>
                <w:color w:val="3D7FE0" w:themeColor="accent1"/>
                <w:szCs w:val="18"/>
              </w:rPr>
            </w:pPr>
            <w:r w:rsidRPr="00E7619D">
              <w:rPr>
                <w:rFonts w:ascii="IBM Plex Sans Medium" w:hAnsi="IBM Plex Sans Medium"/>
                <w:color w:val="3D7FE0" w:themeColor="accent1"/>
                <w:szCs w:val="18"/>
              </w:rPr>
              <w:t>Table 19</w:t>
            </w:r>
          </w:p>
        </w:tc>
      </w:tr>
      <w:tr w:rsidR="00AE1E5C" w:rsidRPr="00D34A36" w14:paraId="12A345D0" w14:textId="77777777" w:rsidTr="004203CD">
        <w:trPr>
          <w:trHeight w:hRule="exact" w:val="266"/>
        </w:trPr>
        <w:tc>
          <w:tcPr>
            <w:tcW w:w="4525" w:type="dxa"/>
            <w:tcBorders>
              <w:left w:val="single" w:sz="4" w:space="0" w:color="3D7FE0" w:themeColor="accent1"/>
            </w:tcBorders>
            <w:shd w:val="clear" w:color="auto" w:fill="auto"/>
          </w:tcPr>
          <w:p w14:paraId="74250C53"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Liquidity</w:t>
            </w:r>
          </w:p>
        </w:tc>
        <w:tc>
          <w:tcPr>
            <w:tcW w:w="426" w:type="dxa"/>
          </w:tcPr>
          <w:p w14:paraId="4C56B4FA" w14:textId="77777777" w:rsidR="00AE1E5C" w:rsidRPr="00B84CE1" w:rsidRDefault="00AE1E5C" w:rsidP="004203CD">
            <w:pPr>
              <w:spacing w:line="240" w:lineRule="auto"/>
              <w:jc w:val="center"/>
              <w:rPr>
                <w:rFonts w:ascii="IBM Plex Sans Light" w:hAnsi="IBM Plex Sans Light"/>
                <w:color w:val="000000" w:themeColor="text1"/>
                <w:highlight w:val="yellow"/>
              </w:rPr>
            </w:pPr>
          </w:p>
        </w:tc>
        <w:tc>
          <w:tcPr>
            <w:tcW w:w="425" w:type="dxa"/>
          </w:tcPr>
          <w:p w14:paraId="3569B928" w14:textId="77777777" w:rsidR="00AE1E5C" w:rsidRPr="00F96182" w:rsidRDefault="00AE1E5C" w:rsidP="004203CD">
            <w:pPr>
              <w:spacing w:line="240" w:lineRule="auto"/>
              <w:rPr>
                <w:rFonts w:ascii="IBM Plex Sans Light" w:hAnsi="IBM Plex Sans Light"/>
                <w:bCs/>
                <w:color w:val="000000" w:themeColor="text1"/>
                <w:szCs w:val="18"/>
              </w:rPr>
            </w:pPr>
          </w:p>
        </w:tc>
        <w:tc>
          <w:tcPr>
            <w:tcW w:w="1417" w:type="dxa"/>
          </w:tcPr>
          <w:p w14:paraId="33F1014F" w14:textId="77777777" w:rsidR="00AE1E5C" w:rsidRPr="00F96182" w:rsidRDefault="00AE1E5C" w:rsidP="004203CD">
            <w:pPr>
              <w:spacing w:line="240" w:lineRule="auto"/>
              <w:ind w:right="142"/>
              <w:jc w:val="right"/>
              <w:rPr>
                <w:rFonts w:ascii="IBM Plex Sans Medium" w:hAnsi="IBM Plex Sans Medium"/>
                <w:bCs/>
                <w:color w:val="3D7FE0" w:themeColor="accent1"/>
              </w:rPr>
            </w:pPr>
            <w:r w:rsidRPr="00F96182">
              <w:rPr>
                <w:rFonts w:ascii="IBM Plex Sans Medium" w:hAnsi="IBM Plex Sans Medium"/>
                <w:bCs/>
                <w:color w:val="3D7FE0" w:themeColor="accent1"/>
              </w:rPr>
              <w:t>£1,22</w:t>
            </w:r>
            <w:r>
              <w:rPr>
                <w:rFonts w:ascii="IBM Plex Sans Medium" w:hAnsi="IBM Plex Sans Medium"/>
                <w:bCs/>
                <w:color w:val="3D7FE0" w:themeColor="accent1"/>
              </w:rPr>
              <w:t>5</w:t>
            </w:r>
            <w:r w:rsidRPr="00F96182">
              <w:rPr>
                <w:rFonts w:ascii="IBM Plex Sans Medium" w:hAnsi="IBM Plex Sans Medium"/>
                <w:bCs/>
                <w:color w:val="3D7FE0" w:themeColor="accent1"/>
              </w:rPr>
              <w:t>m</w:t>
            </w:r>
          </w:p>
        </w:tc>
        <w:tc>
          <w:tcPr>
            <w:tcW w:w="1418" w:type="dxa"/>
          </w:tcPr>
          <w:p w14:paraId="3FCBFC01"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£996m</w:t>
            </w:r>
          </w:p>
        </w:tc>
        <w:tc>
          <w:tcPr>
            <w:tcW w:w="1489" w:type="dxa"/>
            <w:tcBorders>
              <w:right w:val="single" w:sz="4" w:space="0" w:color="3D7FE0" w:themeColor="accent1"/>
            </w:tcBorders>
          </w:tcPr>
          <w:p w14:paraId="0F8F9712" w14:textId="77777777" w:rsidR="00AE1E5C" w:rsidRPr="002D4FA6" w:rsidRDefault="00AE1E5C" w:rsidP="004203CD">
            <w:pPr>
              <w:spacing w:line="240" w:lineRule="auto"/>
              <w:ind w:right="113"/>
              <w:jc w:val="right"/>
              <w:rPr>
                <w:rFonts w:ascii="IBM Plex Sans Medium" w:hAnsi="IBM Plex Sans Medium"/>
                <w:color w:val="3D7FE0" w:themeColor="accent1"/>
                <w:szCs w:val="18"/>
              </w:rPr>
            </w:pPr>
            <w:r w:rsidRPr="002D4FA6">
              <w:rPr>
                <w:rFonts w:ascii="IBM Plex Sans Medium" w:hAnsi="IBM Plex Sans Medium"/>
                <w:color w:val="3D7FE0" w:themeColor="accent1"/>
                <w:szCs w:val="18"/>
              </w:rPr>
              <w:t>Financial Review</w:t>
            </w:r>
          </w:p>
        </w:tc>
      </w:tr>
      <w:tr w:rsidR="00AE1E5C" w:rsidRPr="00D34A36" w14:paraId="2C4FF9D0" w14:textId="77777777" w:rsidTr="004203CD">
        <w:trPr>
          <w:trHeight w:hRule="exact" w:val="266"/>
        </w:trPr>
        <w:tc>
          <w:tcPr>
            <w:tcW w:w="4525" w:type="dxa"/>
            <w:tcBorders>
              <w:left w:val="single" w:sz="4" w:space="0" w:color="3D7FE0" w:themeColor="accent1"/>
            </w:tcBorders>
            <w:shd w:val="clear" w:color="auto" w:fill="auto"/>
          </w:tcPr>
          <w:p w14:paraId="1CB9FFDA"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Interest cover</w:t>
            </w:r>
          </w:p>
        </w:tc>
        <w:tc>
          <w:tcPr>
            <w:tcW w:w="426" w:type="dxa"/>
          </w:tcPr>
          <w:p w14:paraId="26990605"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5788ADA7"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317AD695" w14:textId="77777777" w:rsidR="00AE1E5C" w:rsidRPr="00630E2E" w:rsidRDefault="00AE1E5C" w:rsidP="004203CD">
            <w:pPr>
              <w:spacing w:line="240" w:lineRule="auto"/>
              <w:ind w:right="142"/>
              <w:jc w:val="right"/>
              <w:rPr>
                <w:rFonts w:ascii="IBM Plex Sans Medium" w:hAnsi="IBM Plex Sans Medium"/>
                <w:bCs/>
                <w:color w:val="3D7FE0" w:themeColor="accent1"/>
              </w:rPr>
            </w:pPr>
            <w:r w:rsidRPr="00630E2E">
              <w:rPr>
                <w:rFonts w:ascii="IBM Plex Sans Medium" w:hAnsi="IBM Plex Sans Medium"/>
                <w:bCs/>
                <w:color w:val="3D7FE0" w:themeColor="accent1"/>
              </w:rPr>
              <w:t>3.91x</w:t>
            </w:r>
          </w:p>
        </w:tc>
        <w:tc>
          <w:tcPr>
            <w:tcW w:w="1418" w:type="dxa"/>
          </w:tcPr>
          <w:p w14:paraId="5086CFB8"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3.24x</w:t>
            </w:r>
          </w:p>
        </w:tc>
        <w:tc>
          <w:tcPr>
            <w:tcW w:w="1489" w:type="dxa"/>
            <w:tcBorders>
              <w:right w:val="single" w:sz="4" w:space="0" w:color="3D7FE0" w:themeColor="accent1"/>
            </w:tcBorders>
          </w:tcPr>
          <w:p w14:paraId="5EDBAB85" w14:textId="77777777" w:rsidR="00AE1E5C" w:rsidRPr="00630E2E" w:rsidRDefault="00AE1E5C" w:rsidP="004203CD">
            <w:pPr>
              <w:spacing w:line="240" w:lineRule="auto"/>
              <w:ind w:right="113"/>
              <w:jc w:val="right"/>
              <w:rPr>
                <w:rFonts w:ascii="IBM Plex Sans Medium" w:hAnsi="IBM Plex Sans Medium"/>
                <w:color w:val="3D7FE0" w:themeColor="accent1"/>
                <w:szCs w:val="18"/>
              </w:rPr>
            </w:pPr>
            <w:r w:rsidRPr="00630E2E">
              <w:rPr>
                <w:rFonts w:ascii="IBM Plex Sans Medium" w:hAnsi="IBM Plex Sans Medium"/>
                <w:color w:val="3D7FE0" w:themeColor="accent1"/>
                <w:szCs w:val="18"/>
              </w:rPr>
              <w:t>Table 17</w:t>
            </w:r>
          </w:p>
        </w:tc>
      </w:tr>
      <w:tr w:rsidR="00AE1E5C" w:rsidRPr="00D34A36" w14:paraId="2312AD8B" w14:textId="77777777" w:rsidTr="004203CD">
        <w:trPr>
          <w:trHeight w:hRule="exact" w:val="266"/>
        </w:trPr>
        <w:tc>
          <w:tcPr>
            <w:tcW w:w="4525" w:type="dxa"/>
            <w:tcBorders>
              <w:left w:val="single" w:sz="4" w:space="0" w:color="3D7FE0" w:themeColor="accent1"/>
            </w:tcBorders>
            <w:shd w:val="clear" w:color="auto" w:fill="auto"/>
          </w:tcPr>
          <w:p w14:paraId="132F7B01"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Net debt : EBITDA</w:t>
            </w:r>
          </w:p>
        </w:tc>
        <w:tc>
          <w:tcPr>
            <w:tcW w:w="426" w:type="dxa"/>
          </w:tcPr>
          <w:p w14:paraId="1F8E920F"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3B8601DF"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1F02993C" w14:textId="77777777" w:rsidR="00AE1E5C" w:rsidRPr="00630E2E" w:rsidRDefault="00AE1E5C" w:rsidP="004203CD">
            <w:pPr>
              <w:spacing w:line="240" w:lineRule="auto"/>
              <w:ind w:right="142"/>
              <w:jc w:val="right"/>
              <w:rPr>
                <w:rFonts w:ascii="IBM Plex Sans Medium" w:hAnsi="IBM Plex Sans Medium"/>
                <w:bCs/>
                <w:color w:val="3D7FE0" w:themeColor="accent1"/>
              </w:rPr>
            </w:pPr>
            <w:r w:rsidRPr="00630E2E">
              <w:rPr>
                <w:rFonts w:ascii="IBM Plex Sans Medium" w:hAnsi="IBM Plex Sans Medium"/>
                <w:bCs/>
                <w:color w:val="3D7FE0" w:themeColor="accent1"/>
              </w:rPr>
              <w:t>8.0x</w:t>
            </w:r>
          </w:p>
        </w:tc>
        <w:tc>
          <w:tcPr>
            <w:tcW w:w="1418" w:type="dxa"/>
          </w:tcPr>
          <w:p w14:paraId="41BD68BD"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10.4x</w:t>
            </w:r>
          </w:p>
        </w:tc>
        <w:tc>
          <w:tcPr>
            <w:tcW w:w="1489" w:type="dxa"/>
            <w:tcBorders>
              <w:right w:val="single" w:sz="4" w:space="0" w:color="3D7FE0" w:themeColor="accent1"/>
            </w:tcBorders>
          </w:tcPr>
          <w:p w14:paraId="1A68019D" w14:textId="77777777" w:rsidR="00AE1E5C" w:rsidRPr="00630E2E" w:rsidRDefault="00AE1E5C" w:rsidP="004203CD">
            <w:pPr>
              <w:spacing w:line="240" w:lineRule="auto"/>
              <w:ind w:right="113"/>
              <w:jc w:val="right"/>
              <w:rPr>
                <w:rFonts w:ascii="IBM Plex Sans Medium" w:hAnsi="IBM Plex Sans Medium"/>
                <w:color w:val="3D7FE0" w:themeColor="accent1"/>
                <w:szCs w:val="18"/>
              </w:rPr>
            </w:pPr>
            <w:r w:rsidRPr="00630E2E">
              <w:rPr>
                <w:rFonts w:ascii="IBM Plex Sans Medium" w:hAnsi="IBM Plex Sans Medium"/>
                <w:color w:val="3D7FE0" w:themeColor="accent1"/>
                <w:szCs w:val="18"/>
              </w:rPr>
              <w:t>Table 16</w:t>
            </w:r>
          </w:p>
        </w:tc>
      </w:tr>
      <w:tr w:rsidR="00AE1E5C" w:rsidRPr="00D34A36" w14:paraId="67B89F8B" w14:textId="77777777" w:rsidTr="004203CD">
        <w:trPr>
          <w:trHeight w:hRule="exact" w:val="266"/>
        </w:trPr>
        <w:tc>
          <w:tcPr>
            <w:tcW w:w="4525" w:type="dxa"/>
            <w:tcBorders>
              <w:left w:val="single" w:sz="4" w:space="0" w:color="3D7FE0" w:themeColor="accent1"/>
            </w:tcBorders>
            <w:shd w:val="clear" w:color="auto" w:fill="auto"/>
          </w:tcPr>
          <w:p w14:paraId="1E98683E"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Net assets</w:t>
            </w:r>
          </w:p>
        </w:tc>
        <w:tc>
          <w:tcPr>
            <w:tcW w:w="426" w:type="dxa"/>
          </w:tcPr>
          <w:p w14:paraId="57E3D595"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5A85A4C5"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540F0C22" w14:textId="77777777" w:rsidR="00AE1E5C" w:rsidRPr="0051582A" w:rsidRDefault="00AE1E5C" w:rsidP="004203CD">
            <w:pPr>
              <w:spacing w:line="240" w:lineRule="auto"/>
              <w:ind w:right="142"/>
              <w:jc w:val="right"/>
              <w:rPr>
                <w:rFonts w:ascii="IBM Plex Sans Medium" w:hAnsi="IBM Plex Sans Medium"/>
                <w:bCs/>
                <w:color w:val="3D7FE0" w:themeColor="accent1"/>
              </w:rPr>
            </w:pPr>
            <w:r w:rsidRPr="0051582A">
              <w:rPr>
                <w:rFonts w:ascii="IBM Plex Sans Medium" w:hAnsi="IBM Plex Sans Medium"/>
                <w:bCs/>
                <w:color w:val="3D7FE0" w:themeColor="accent1"/>
              </w:rPr>
              <w:t>£2,463m</w:t>
            </w:r>
          </w:p>
        </w:tc>
        <w:tc>
          <w:tcPr>
            <w:tcW w:w="1418" w:type="dxa"/>
          </w:tcPr>
          <w:p w14:paraId="605143C6" w14:textId="77777777" w:rsidR="00AE1E5C" w:rsidRPr="0051582A" w:rsidRDefault="00AE1E5C" w:rsidP="004203CD">
            <w:pPr>
              <w:spacing w:line="240" w:lineRule="auto"/>
              <w:ind w:right="141"/>
              <w:jc w:val="right"/>
              <w:rPr>
                <w:rFonts w:ascii="IBM Plex Sans Light" w:hAnsi="IBM Plex Sans Light"/>
                <w:bCs/>
                <w:szCs w:val="18"/>
              </w:rPr>
            </w:pPr>
            <w:r w:rsidRPr="0051582A">
              <w:rPr>
                <w:rFonts w:ascii="IBM Plex Sans Light" w:hAnsi="IBM Plex Sans Light"/>
                <w:bCs/>
                <w:szCs w:val="18"/>
              </w:rPr>
              <w:t>£2,586m</w:t>
            </w:r>
          </w:p>
        </w:tc>
        <w:tc>
          <w:tcPr>
            <w:tcW w:w="1489" w:type="dxa"/>
            <w:tcBorders>
              <w:right w:val="single" w:sz="4" w:space="0" w:color="3D7FE0" w:themeColor="accent1"/>
            </w:tcBorders>
          </w:tcPr>
          <w:p w14:paraId="28A1F173" w14:textId="77777777" w:rsidR="00AE1E5C" w:rsidRPr="002D4FA6" w:rsidRDefault="00AE1E5C" w:rsidP="004203CD">
            <w:pPr>
              <w:spacing w:line="240" w:lineRule="auto"/>
              <w:ind w:right="113"/>
              <w:jc w:val="right"/>
              <w:rPr>
                <w:rFonts w:ascii="IBM Plex Sans Medium" w:hAnsi="IBM Plex Sans Medium"/>
                <w:color w:val="3D7FE0" w:themeColor="accent1"/>
              </w:rPr>
            </w:pPr>
            <w:r w:rsidRPr="002D4FA6">
              <w:rPr>
                <w:rFonts w:ascii="IBM Plex Sans Medium" w:hAnsi="IBM Plex Sans Medium"/>
                <w:bCs/>
                <w:color w:val="3D7FE0" w:themeColor="accent1"/>
              </w:rPr>
              <w:t>Balance sheet</w:t>
            </w:r>
          </w:p>
        </w:tc>
      </w:tr>
      <w:tr w:rsidR="00AE1E5C" w:rsidRPr="00D34A36" w14:paraId="6DC47463" w14:textId="77777777" w:rsidTr="004203CD">
        <w:trPr>
          <w:trHeight w:hRule="exact" w:val="266"/>
        </w:trPr>
        <w:tc>
          <w:tcPr>
            <w:tcW w:w="4525" w:type="dxa"/>
            <w:tcBorders>
              <w:left w:val="single" w:sz="4" w:space="0" w:color="3D7FE0" w:themeColor="accent1"/>
            </w:tcBorders>
            <w:shd w:val="clear" w:color="auto" w:fill="auto"/>
          </w:tcPr>
          <w:p w14:paraId="30CD7E60" w14:textId="77777777" w:rsidR="00AE1E5C" w:rsidRPr="006967E9" w:rsidRDefault="00AE1E5C" w:rsidP="004203CD">
            <w:pPr>
              <w:spacing w:line="240" w:lineRule="auto"/>
              <w:rPr>
                <w:rFonts w:ascii="IBM Plex Sans Light" w:hAnsi="IBM Plex Sans Light"/>
                <w:bCs/>
                <w:color w:val="000000" w:themeColor="text1"/>
                <w:szCs w:val="18"/>
              </w:rPr>
            </w:pPr>
            <w:r w:rsidRPr="006967E9">
              <w:rPr>
                <w:rFonts w:ascii="IBM Plex Sans Light" w:hAnsi="IBM Plex Sans Light"/>
                <w:bCs/>
                <w:color w:val="000000" w:themeColor="text1"/>
                <w:szCs w:val="18"/>
              </w:rPr>
              <w:t>EPRA net tangible assets (NTA) per share</w:t>
            </w:r>
          </w:p>
        </w:tc>
        <w:tc>
          <w:tcPr>
            <w:tcW w:w="426" w:type="dxa"/>
          </w:tcPr>
          <w:p w14:paraId="5675EB69" w14:textId="77777777" w:rsidR="00AE1E5C" w:rsidRPr="00B84CE1" w:rsidRDefault="00AE1E5C" w:rsidP="004203CD">
            <w:pPr>
              <w:spacing w:line="240" w:lineRule="auto"/>
              <w:jc w:val="center"/>
              <w:rPr>
                <w:rFonts w:ascii="IBM Plex Sans Light" w:hAnsi="IBM Plex Sans Light"/>
                <w:bCs/>
                <w:color w:val="000000" w:themeColor="text1"/>
                <w:szCs w:val="18"/>
                <w:highlight w:val="yellow"/>
              </w:rPr>
            </w:pPr>
          </w:p>
        </w:tc>
        <w:tc>
          <w:tcPr>
            <w:tcW w:w="425" w:type="dxa"/>
          </w:tcPr>
          <w:p w14:paraId="04D50060" w14:textId="77777777" w:rsidR="00AE1E5C" w:rsidRPr="00B84CE1" w:rsidRDefault="00AE1E5C" w:rsidP="004203CD">
            <w:pPr>
              <w:spacing w:line="240" w:lineRule="auto"/>
              <w:rPr>
                <w:rFonts w:ascii="IBM Plex Sans Light" w:hAnsi="IBM Plex Sans Light"/>
                <w:bCs/>
                <w:color w:val="000000" w:themeColor="text1"/>
                <w:szCs w:val="18"/>
                <w:highlight w:val="yellow"/>
              </w:rPr>
            </w:pPr>
          </w:p>
        </w:tc>
        <w:tc>
          <w:tcPr>
            <w:tcW w:w="1417" w:type="dxa"/>
          </w:tcPr>
          <w:p w14:paraId="7A7C258F" w14:textId="77777777" w:rsidR="00AE1E5C" w:rsidRPr="006967E9" w:rsidRDefault="00AE1E5C" w:rsidP="004203CD">
            <w:pPr>
              <w:spacing w:line="240" w:lineRule="auto"/>
              <w:ind w:right="142"/>
              <w:jc w:val="right"/>
              <w:rPr>
                <w:rFonts w:ascii="IBM Plex Sans Medium" w:hAnsi="IBM Plex Sans Medium"/>
                <w:bCs/>
                <w:color w:val="3D7FE0" w:themeColor="accent1"/>
              </w:rPr>
            </w:pPr>
            <w:r w:rsidRPr="006967E9">
              <w:rPr>
                <w:rFonts w:ascii="IBM Plex Sans Medium" w:hAnsi="IBM Plex Sans Medium"/>
                <w:bCs/>
                <w:color w:val="3D7FE0" w:themeColor="accent1"/>
              </w:rPr>
              <w:t>51p</w:t>
            </w:r>
          </w:p>
        </w:tc>
        <w:tc>
          <w:tcPr>
            <w:tcW w:w="1418" w:type="dxa"/>
          </w:tcPr>
          <w:p w14:paraId="07B9D21E" w14:textId="77777777" w:rsidR="00AE1E5C" w:rsidRPr="006967E9" w:rsidRDefault="00AE1E5C" w:rsidP="004203CD">
            <w:pPr>
              <w:spacing w:line="240" w:lineRule="auto"/>
              <w:ind w:right="141"/>
              <w:jc w:val="right"/>
              <w:rPr>
                <w:rFonts w:ascii="IBM Plex Sans Light" w:hAnsi="IBM Plex Sans Light"/>
                <w:bCs/>
                <w:szCs w:val="18"/>
              </w:rPr>
            </w:pPr>
            <w:r w:rsidRPr="006967E9">
              <w:rPr>
                <w:rFonts w:ascii="IBM Plex Sans Light" w:hAnsi="IBM Plex Sans Light"/>
                <w:bCs/>
                <w:szCs w:val="18"/>
              </w:rPr>
              <w:t>53p</w:t>
            </w:r>
          </w:p>
        </w:tc>
        <w:tc>
          <w:tcPr>
            <w:tcW w:w="1489" w:type="dxa"/>
            <w:tcBorders>
              <w:right w:val="single" w:sz="4" w:space="0" w:color="3D7FE0" w:themeColor="accent1"/>
            </w:tcBorders>
          </w:tcPr>
          <w:p w14:paraId="7EBE836A" w14:textId="77777777" w:rsidR="00AE1E5C" w:rsidRPr="00D34A36" w:rsidRDefault="00AE1E5C" w:rsidP="004203CD">
            <w:pPr>
              <w:spacing w:line="240" w:lineRule="auto"/>
              <w:ind w:right="113"/>
              <w:jc w:val="right"/>
              <w:rPr>
                <w:rFonts w:ascii="IBM Plex Sans Medium" w:hAnsi="IBM Plex Sans Medium"/>
                <w:color w:val="3D7FE0" w:themeColor="accent1"/>
                <w:highlight w:val="yellow"/>
              </w:rPr>
            </w:pPr>
            <w:r w:rsidRPr="00DE34B7">
              <w:rPr>
                <w:rFonts w:ascii="IBM Plex Sans Medium" w:hAnsi="IBM Plex Sans Medium"/>
                <w:bCs/>
                <w:color w:val="3D7FE0" w:themeColor="accent1"/>
              </w:rPr>
              <w:t>10C</w:t>
            </w:r>
          </w:p>
        </w:tc>
      </w:tr>
    </w:tbl>
    <w:p w14:paraId="24B1F5F9" w14:textId="4913F885" w:rsidR="00AE1E5C" w:rsidRPr="00F96182" w:rsidRDefault="00AE1E5C" w:rsidP="006B43AF">
      <w:pPr>
        <w:pStyle w:val="ListParagraph"/>
        <w:numPr>
          <w:ilvl w:val="0"/>
          <w:numId w:val="28"/>
        </w:numPr>
        <w:spacing w:before="120" w:after="110"/>
        <w:ind w:left="426" w:hanging="426"/>
        <w:rPr>
          <w:rFonts w:ascii="IBM Plex Sans Light" w:hAnsi="IBM Plex Sans Light"/>
          <w:sz w:val="16"/>
          <w:szCs w:val="16"/>
        </w:rPr>
      </w:pPr>
      <w:r w:rsidRPr="00F96182">
        <w:rPr>
          <w:rFonts w:ascii="IBM Plex Sans Light" w:hAnsi="IBM Plex Sans Light"/>
          <w:sz w:val="16"/>
          <w:szCs w:val="16"/>
        </w:rPr>
        <w:t xml:space="preserve">These results include discussion of alternative performance measures (APMs) which include those described as Adjusted, EPRA and Headline as well as constant currency (where current period exchange rates are applied to the prior period's results). Adjusted, EPRA and Headline measures are described in note 1C to the financial statements and reconciliations for earnings and net assets measures to their IFRS equivalents are set out in </w:t>
      </w:r>
      <w:r w:rsidRPr="00E126CD">
        <w:rPr>
          <w:rFonts w:ascii="IBM Plex Sans Light" w:hAnsi="IBM Plex Sans Light"/>
          <w:sz w:val="16"/>
          <w:szCs w:val="16"/>
        </w:rPr>
        <w:t>note 9 to</w:t>
      </w:r>
      <w:r w:rsidRPr="00F96182">
        <w:rPr>
          <w:rFonts w:ascii="IBM Plex Sans Light" w:hAnsi="IBM Plex Sans Light"/>
          <w:sz w:val="16"/>
          <w:szCs w:val="16"/>
        </w:rPr>
        <w:t xml:space="preserve"> the financial statements. </w:t>
      </w:r>
    </w:p>
    <w:p w14:paraId="335F8523" w14:textId="77777777" w:rsidR="00AE1E5C" w:rsidRDefault="00AE1E5C" w:rsidP="00AE1E5C">
      <w:pPr>
        <w:pStyle w:val="06SubHeading1Fronttext9105"/>
        <w:rPr>
          <w:color w:val="3D7FE0" w:themeColor="accent1"/>
          <w:sz w:val="22"/>
          <w:szCs w:val="22"/>
        </w:rPr>
      </w:pPr>
    </w:p>
    <w:p w14:paraId="00FA20D8" w14:textId="77777777" w:rsidR="00AE1E5C" w:rsidRDefault="00AE1E5C" w:rsidP="00C92174">
      <w:pPr>
        <w:spacing w:after="0" w:line="240" w:lineRule="auto"/>
        <w:rPr>
          <w:rFonts w:ascii="IBM Plex Sans Medium" w:hAnsi="IBM Plex Sans Medium" w:cs="Arial"/>
          <w:b/>
          <w:caps/>
          <w:sz w:val="24"/>
        </w:rPr>
      </w:pPr>
      <w:r w:rsidRPr="00C92174">
        <w:rPr>
          <w:rFonts w:ascii="IBM Plex Sans Medium" w:hAnsi="IBM Plex Sans Medium" w:cs="Arial"/>
          <w:b/>
          <w:caps/>
          <w:sz w:val="24"/>
        </w:rPr>
        <w:t>CHIEF EXECUTIVE’S REVIEW</w:t>
      </w:r>
    </w:p>
    <w:p w14:paraId="59B4C133" w14:textId="77777777" w:rsidR="00C92174" w:rsidRPr="00C92174" w:rsidRDefault="00C92174" w:rsidP="00C92174">
      <w:pPr>
        <w:spacing w:after="0" w:line="240" w:lineRule="auto"/>
        <w:rPr>
          <w:rFonts w:ascii="IBM Plex Sans Medium" w:hAnsi="IBM Plex Sans Medium" w:cs="Arial"/>
          <w:b/>
          <w:caps/>
          <w:sz w:val="24"/>
        </w:rPr>
      </w:pPr>
    </w:p>
    <w:p w14:paraId="62D43AA4" w14:textId="3FEB7619"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In 2023, we delivered another year of significant strategic, operational and financial progress and growth, reflecting three years of transformational change for the business. We are now well positioned to invest for growth and value creation. Today, the Group is  focused on a core portfolio of city centre destinations in some of the fastest growing cities in Europe that are evolving to my vision: 24/7, urban ‘living spaces’. Occupier flight to quality – fewer, better stores in prime locations – is undeniable, with high flagship occupancy at 95% following another year of record leasing in our uniquely located city centre destinations.</w:t>
      </w:r>
    </w:p>
    <w:p w14:paraId="02DA8FC1"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We signed 306 leases representing £46m of headline rent, £29m at our share, split roughly evenly between: new to portfolio brands, new concepts, social and entertainment offers; and renewals with our current occupiers, including new concepts and upsizes. We attract best-in-class occupiers who in turn make significant investments in their physical footprint. Rental levels have rebased and we are driving growth with permanent deals signed 12% ahead of ERV on a net effective basis, and 37% ahead of previous passing rent, equating to additional annualised passing rent of £7m on our £179m flagship rent roll.</w:t>
      </w:r>
    </w:p>
    <w:p w14:paraId="15C9A15A"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The exceptional environments we create for our occupiers and visitors is reflected in strong operational fundamentals. Despite the volatile macroeconomic environment, footfall and like-for-like sales continue to grow. Notably, we have seen particularly strong operational performances at assets where we have made significant investments in recent years, such as Bullring, Dundrum and Les 3 Fontaines.</w:t>
      </w:r>
    </w:p>
    <w:p w14:paraId="733FC30D"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lastRenderedPageBreak/>
        <w:t xml:space="preserve">Since 2020, we have transformed our operating model, and reshaped our organisation. We have brought in new skills and talent in asset management, leasing, commercialisation and placemaking, which means we can focus our energies on value </w:t>
      </w:r>
      <w:r w:rsidRPr="00F61C44">
        <w:rPr>
          <w:rFonts w:ascii="IBM Plex Sans Light" w:hAnsi="IBM Plex Sans Light"/>
        </w:rPr>
        <w:tab/>
      </w:r>
      <w:r w:rsidRPr="00F61C44">
        <w:rPr>
          <w:rFonts w:ascii="IBM Plex Sans Light" w:hAnsi="IBM Plex Sans Light"/>
        </w:rPr>
        <w:tab/>
        <w:t>creation. On-site property management and associated accounting services in the UK and France have largely been consolidated with proven scale strategic partners.</w:t>
      </w:r>
    </w:p>
    <w:p w14:paraId="702AB3E5"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We have invested to realign and upgrade our IT and digital platform in areas where speed and data quality is critical. Today we are a more agile, resilient and market facing asset-centric organisation, one that continues to evolve and reshape our destinations to be fit for the future. We have again reduced gross administration costs, down 14% year-on-year and we are targeting a further 10% reduction in 2024.</w:t>
      </w:r>
    </w:p>
    <w:p w14:paraId="314440DE" w14:textId="77777777" w:rsidR="00F61C44" w:rsidRPr="00F61C44" w:rsidRDefault="00F61C44" w:rsidP="00F61C44">
      <w:pPr>
        <w:tabs>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We have further realigned our portfolio, exiting non-controlling minority stakes in Italie Deux in France, alongside realising value from standalone development assets in Croydon, and other non-core land generating £216m in disposal proceeds in 2023. At the same time, we have been disciplined in not allocating capital to assets with secured debt where these did not meet our location and catchment, investment or return criteria.  Whilst recognising an impairment of £22m, £125m of secured debt was derecognised in the period following exits from Highcross and O’Parinor, also bringing a sharper focus to investment opportunities in the core portfolio. Since the balance sheet date, we have exchanged on the sale of Union Square, which will bring to a close our £500m disposal programme set out at FY 21.</w:t>
      </w:r>
    </w:p>
    <w:p w14:paraId="23C08361" w14:textId="77777777" w:rsidR="00F61C44" w:rsidRPr="00F61C44" w:rsidRDefault="00F61C44" w:rsidP="00024B10">
      <w:pPr>
        <w:spacing w:before="120" w:afterLines="60" w:after="144" w:line="240" w:lineRule="auto"/>
        <w:ind w:right="28"/>
        <w:rPr>
          <w:rFonts w:ascii="IBM Plex Sans Light" w:hAnsi="IBM Plex Sans Light"/>
        </w:rPr>
      </w:pPr>
      <w:r w:rsidRPr="00F61C44">
        <w:rPr>
          <w:rFonts w:ascii="IBM Plex Sans Light" w:hAnsi="IBM Plex Sans Light"/>
        </w:rPr>
        <w:t>At 31 December 2023, our financial position was significantly strengthened, with ample cash and undrawn committed facilities of £1.2bn, more than covering near term maturities and providing capital for investment. We will continue to be disciplined allocators of capital and select the best returns for shareholders, mindful of our own cost of capital and all options for capital deployment including maintaining balance sheet strength and flexibility.</w:t>
      </w:r>
    </w:p>
    <w:p w14:paraId="2B7CE7CC" w14:textId="77777777"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Dividend</w:t>
      </w:r>
    </w:p>
    <w:p w14:paraId="71D5427E"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As announced at the 2023 half year results and outlined in the 2022 annual report, the Board reinstated a cash dividend in 2023, declaring an interim cash dividend of 0.72p in July which was paid entirely as a PID.</w:t>
      </w:r>
    </w:p>
    <w:p w14:paraId="1D64BD42"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At the same time, the Board announced a new sustainable dividend policy of 60% to 70% of annual adjusted earnings to be paid semi-annually. This policy is based on disciplined capital allocation seeking to balance returns to shareholders whilst continuing to invest to drive growth and value creation in our core assets.</w:t>
      </w:r>
    </w:p>
    <w:p w14:paraId="3CBD4C97" w14:textId="03EB7AE1"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Therefore, the Board recommends a final cash dividend of 0.78p per share in respect of 2023 to be paid as an ordinary dividend subject to shareholder approval, which would represent a full year cash dividend of 1.5</w:t>
      </w:r>
      <w:r w:rsidR="008B3C5C">
        <w:rPr>
          <w:rFonts w:ascii="IBM Plex Sans Light" w:hAnsi="IBM Plex Sans Light"/>
        </w:rPr>
        <w:t>0</w:t>
      </w:r>
      <w:r w:rsidRPr="00F61C44">
        <w:rPr>
          <w:rFonts w:ascii="IBM Plex Sans Light" w:hAnsi="IBM Plex Sans Light"/>
        </w:rPr>
        <w:t>p per share and a payout ratio of 64%, commensurate with the half year.</w:t>
      </w:r>
    </w:p>
    <w:p w14:paraId="45301EDD"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The Board recognises dividends are an important constituent of shareholder returns and the policy will be kept under review.</w:t>
      </w:r>
    </w:p>
    <w:p w14:paraId="621CCE3D" w14:textId="77777777" w:rsidR="00F61C44" w:rsidRPr="00F61C44" w:rsidRDefault="00F61C44" w:rsidP="002B63AC">
      <w:pPr>
        <w:spacing w:after="0" w:line="240" w:lineRule="auto"/>
        <w:ind w:right="28"/>
        <w:rPr>
          <w:rFonts w:ascii="IBM Plex Sans SemiBold" w:hAnsi="IBM Plex Sans SemiBold"/>
          <w:b/>
          <w:color w:val="3D7FE0" w:themeColor="accent1"/>
          <w:sz w:val="22"/>
          <w:szCs w:val="22"/>
        </w:rPr>
      </w:pPr>
    </w:p>
    <w:p w14:paraId="0620DEB8" w14:textId="47B6693F" w:rsidR="00F61C44" w:rsidRPr="00B60568" w:rsidRDefault="00F61C44" w:rsidP="00024B10">
      <w:pPr>
        <w:spacing w:afterLines="60" w:after="144" w:line="240" w:lineRule="auto"/>
        <w:ind w:right="28"/>
        <w:rPr>
          <w:color w:val="3D7FE0" w:themeColor="accent1"/>
          <w:sz w:val="20"/>
          <w:szCs w:val="20"/>
        </w:rPr>
      </w:pPr>
      <w:r w:rsidRPr="00024B10">
        <w:rPr>
          <w:rFonts w:ascii="IBM Plex Sans" w:hAnsi="IBM Plex Sans"/>
          <w:b/>
          <w:color w:val="3D7FE0" w:themeColor="accent1"/>
          <w:sz w:val="20"/>
          <w:szCs w:val="20"/>
        </w:rPr>
        <w:t>FINANCIAL AND OPERATIONAL REVIEW</w:t>
      </w:r>
    </w:p>
    <w:p w14:paraId="360CE32E"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Adjusted earnings were up 11% to £116m or 2.3p per share, reflecting 6% like-for-like growth in GRI and 4% growth in like-for-like NRI, combined with significant further reductions in gross administration and net finance costs.</w:t>
      </w:r>
    </w:p>
    <w:p w14:paraId="2774273E" w14:textId="225E6AE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At FY 22, we committed to reduce our gross administration costs by 20% by FY 24. We have delivered a 14% reduction in 2023. There are more efficiencies to come as we pursue greater automation and digitalisation of our business, as well as outsourcing and consolidation of supplier opportunities. We expect to deliver a further 10% reduction in 2024 which means we are on t</w:t>
      </w:r>
      <w:r w:rsidR="00E126CD">
        <w:rPr>
          <w:rFonts w:ascii="IBM Plex Sans Light" w:hAnsi="IBM Plex Sans Light"/>
        </w:rPr>
        <w:t>rack</w:t>
      </w:r>
      <w:r w:rsidRPr="00F61C44">
        <w:rPr>
          <w:rFonts w:ascii="IBM Plex Sans Light" w:hAnsi="IBM Plex Sans Light"/>
        </w:rPr>
        <w:t xml:space="preserve"> to exceed our target of 20% reduction by 2024, which would bring cumulative savings of more than 30% since FY 20.</w:t>
      </w:r>
    </w:p>
    <w:p w14:paraId="2E122C99"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Net debt was down 23% to £1,326m (FY 22: £1,732m). Headline LTV was 34% (FY 22: 39%) and 44% (FY 22: 47%) including the Group’s proportionate share of Value Retail net debt. Our Net debt: EBITDA improved to 8.0x from 10.4x at FY 22, reflecting both lower debt and the improved operating performance.</w:t>
      </w:r>
    </w:p>
    <w:p w14:paraId="73F8F491" w14:textId="77777777" w:rsidR="00FF4461" w:rsidRDefault="00F61C44" w:rsidP="00F61C44">
      <w:pPr>
        <w:tabs>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EPRA NTA was 51p per share at 31 December 2023 (FY 22: 53p), with higher earnings in part offsetting disposal and impairment and revaluation losses, totalling £167m. Having been broadly flat for the first three quarters of the year, we saw some marginal yield expansion in the fourth quarter in all territories, which offset incremental flagship ERV growth in the UK, Ireland and France. Moreover, all but two of our flagship assets benefited from positive ERV movements, and all ten in the second half of the year. We are starting to see positive valuation movements on selected assets.</w:t>
      </w:r>
    </w:p>
    <w:p w14:paraId="55DF1255" w14:textId="3F31C901" w:rsidR="00F61C44" w:rsidRPr="00F61C44" w:rsidRDefault="00F61C44" w:rsidP="00FF4461">
      <w:pPr>
        <w:tabs>
          <w:tab w:val="left" w:pos="227"/>
        </w:tabs>
        <w:suppressAutoHyphens/>
        <w:autoSpaceDE w:val="0"/>
        <w:autoSpaceDN w:val="0"/>
        <w:adjustRightInd w:val="0"/>
        <w:spacing w:before="120"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Overall, the Group recorded an IFRS loss of £51m (FY 22: £164m loss), and a negative total accounting return of -2.1%.</w:t>
      </w:r>
    </w:p>
    <w:p w14:paraId="742D0777" w14:textId="77777777" w:rsidR="00FF4461" w:rsidRDefault="00FF4461" w:rsidP="00FF4461">
      <w:pPr>
        <w:spacing w:after="0" w:line="240" w:lineRule="auto"/>
        <w:ind w:right="28"/>
        <w:rPr>
          <w:rFonts w:ascii="IBM Plex Sans Medium" w:hAnsi="IBM Plex Sans Medium"/>
          <w:b/>
          <w:color w:val="3D7FE0" w:themeColor="accent1"/>
          <w:sz w:val="20"/>
          <w:szCs w:val="18"/>
        </w:rPr>
      </w:pPr>
    </w:p>
    <w:p w14:paraId="4B747583" w14:textId="7B89E542"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Footfall and sales</w:t>
      </w:r>
    </w:p>
    <w:p w14:paraId="4DCD10A9"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 xml:space="preserve">Footfall and sales performance reflects the exceptional nature of our destinations and the improving mix of uses. The recovery in footfall that we saw across our assets in FY 22 continued through FY 23 with consumers also increasingly returning to city centres, both for leisure and work. Footfall was +3% year-on- year (UK+1%, France +7% and Ireland +4%), closing the gap on 2019 levels, which we are now on average less than 10% below. Average dwell time was up 5% to 88 minutes. </w:t>
      </w:r>
    </w:p>
    <w:p w14:paraId="4F04F6B7"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lastRenderedPageBreak/>
        <w:t>Overall, total sales and sales densities have risen by mid-teens percentages since 2019, with substantial evidence that repurposed space and new concepts materially outperform that which it is replacing.</w:t>
      </w:r>
    </w:p>
    <w:p w14:paraId="0C79A3B9" w14:textId="77777777" w:rsidR="00F61C44" w:rsidRPr="00F61C44" w:rsidRDefault="00F61C44" w:rsidP="00F61C44">
      <w:pPr>
        <w:tabs>
          <w:tab w:val="left" w:pos="147"/>
          <w:tab w:val="left" w:pos="227"/>
        </w:tabs>
        <w:suppressAutoHyphens/>
        <w:autoSpaceDE w:val="0"/>
        <w:autoSpaceDN w:val="0"/>
        <w:adjustRightInd w:val="0"/>
        <w:spacing w:after="0" w:line="210" w:lineRule="atLeast"/>
        <w:textAlignment w:val="center"/>
        <w:rPr>
          <w:rFonts w:ascii="IBM Plex Sans Light" w:hAnsi="IBM Plex Sans Light"/>
        </w:rPr>
      </w:pPr>
      <w:r w:rsidRPr="00F61C44">
        <w:rPr>
          <w:rFonts w:ascii="IBM Plex Sans Light" w:hAnsi="IBM Plex Sans Light" w:cs="IBM Plex Sans Light"/>
          <w:color w:val="000000"/>
          <w:spacing w:val="-5"/>
          <w:szCs w:val="18"/>
        </w:rPr>
        <w:t xml:space="preserve">Consumer spending continues to be resilient, with an improving outlook for 2024.  Despite the ‘cost of living’ crisis, savings built during the Covid-19 pandemic, high levels of employment and strong wage growth, which outpaced inflation in the second half of 2023, have helped underpin continued consumer spend, along with evolving lifestyle trends. </w:t>
      </w:r>
      <w:r w:rsidRPr="00F61C44">
        <w:rPr>
          <w:rFonts w:ascii="IBM Plex Sans Light" w:hAnsi="IBM Plex Sans Light"/>
        </w:rPr>
        <w:t>Like-for-like sales were up 1% in the UK and 3% for France.</w:t>
      </w:r>
    </w:p>
    <w:p w14:paraId="318AB07F" w14:textId="77777777" w:rsidR="00F61C44" w:rsidRPr="00F61C44" w:rsidRDefault="00F61C44" w:rsidP="00F61C44">
      <w:pPr>
        <w:tabs>
          <w:tab w:val="left" w:pos="147"/>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p>
    <w:p w14:paraId="30A1CC22" w14:textId="77777777"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Occupancy</w:t>
      </w:r>
    </w:p>
    <w:p w14:paraId="4A20FF94"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Our core portfolio continues to benefit from the increasing polarisation in the market and the flight to quality reflected in the wealth of key new openings, leasing demand and tension, and growing footfall and sales. It is now a fact that online/offline has balanced and occupiers have now adopted a holistic view, understanding that a high quality physical presence is an essential part of the supply chain.</w:t>
      </w:r>
    </w:p>
    <w:p w14:paraId="6EF9B8B0"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Flagship portfolio occupancy remained strong at 95%, broadly flat year-on-year. UK flagship occupancy stands at 95% and Ireland at 96%, with some assets in these geographies full. France was slightly weaker at 93% reflecting the continuing lease-up at Les 3 Fontaines extension.</w:t>
      </w:r>
    </w:p>
    <w:p w14:paraId="7D2F35AA" w14:textId="77777777"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 xml:space="preserve">Value Retail </w:t>
      </w:r>
    </w:p>
    <w:p w14:paraId="172AB32C"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Value Retail delivered another solid operational performance. Brand sales increased 10% year-on-year and were 5% above 2019 levels. Footfall across the Villages saw a 9% increase year-on-year but remained below 2019 levels. Sales densities grew broadly in line with footfall and were marginally ahead of 2019, whilst spend per visit was up 1% year-on-year and 6% ahead of 2019.</w:t>
      </w:r>
    </w:p>
    <w:p w14:paraId="5C284E90" w14:textId="7C81AE59"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 xml:space="preserve">Average occupancy was 95%, marginally up on 2022 but remaining around </w:t>
      </w:r>
      <w:r w:rsidR="0065590C">
        <w:rPr>
          <w:rFonts w:ascii="IBM Plex Sans Light" w:hAnsi="IBM Plex Sans Light"/>
        </w:rPr>
        <w:t>one percentage</w:t>
      </w:r>
      <w:r w:rsidRPr="00F61C44">
        <w:rPr>
          <w:rFonts w:ascii="IBM Plex Sans Light" w:hAnsi="IBM Plex Sans Light"/>
        </w:rPr>
        <w:t xml:space="preserve"> point below 2019 levels. Overall, the Group’s share of </w:t>
      </w:r>
      <w:r w:rsidR="0065590C">
        <w:rPr>
          <w:rFonts w:ascii="IBM Plex Sans Light" w:hAnsi="IBM Plex Sans Light"/>
        </w:rPr>
        <w:t>A</w:t>
      </w:r>
      <w:r w:rsidRPr="00F61C44">
        <w:rPr>
          <w:rFonts w:ascii="IBM Plex Sans Light" w:hAnsi="IBM Plex Sans Light"/>
        </w:rPr>
        <w:t xml:space="preserve">djusted earnings was £32m (FY 22: £27m). Positive GRI growth was partially offset by rising finance costs reflecting the refinancing in FY 22 at Bicester and La </w:t>
      </w:r>
      <w:proofErr w:type="spellStart"/>
      <w:r w:rsidRPr="00F61C44">
        <w:rPr>
          <w:rFonts w:ascii="IBM Plex Sans Light" w:hAnsi="IBM Plex Sans Light"/>
        </w:rPr>
        <w:t>Vallée</w:t>
      </w:r>
      <w:proofErr w:type="spellEnd"/>
      <w:r w:rsidRPr="00F61C44">
        <w:rPr>
          <w:rFonts w:ascii="IBM Plex Sans Light" w:hAnsi="IBM Plex Sans Light"/>
        </w:rPr>
        <w:t>, and higher administration costs. Year-to-date, Hammerson has received £74m of cash distributions from Value Retail, in part reflecting catch up payments from 2019 to 2023.</w:t>
      </w:r>
    </w:p>
    <w:p w14:paraId="115AD144" w14:textId="023B056A" w:rsidR="00F61C44" w:rsidRPr="00F61C44" w:rsidRDefault="00F61C44" w:rsidP="00F61C44">
      <w:pPr>
        <w:tabs>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At 31 December 2023, the Group’s interest in Value Retail’s property portfolio was £1.9bn, unchanged year-on-year. Net assets were £1.1bn, down 6%, primarily due to</w:t>
      </w:r>
      <w:r w:rsidR="00FF4461">
        <w:rPr>
          <w:rFonts w:ascii="IBM Plex Sans Light" w:hAnsi="IBM Plex Sans Light" w:cs="IBM Plex Sans Light"/>
          <w:color w:val="000000"/>
          <w:spacing w:val="-5"/>
          <w:szCs w:val="18"/>
        </w:rPr>
        <w:t xml:space="preserve"> </w:t>
      </w:r>
      <w:r w:rsidRPr="00F61C44">
        <w:rPr>
          <w:rFonts w:ascii="IBM Plex Sans Light" w:hAnsi="IBM Plex Sans Light" w:cs="IBM Plex Sans Light"/>
          <w:color w:val="000000"/>
          <w:spacing w:val="-5"/>
          <w:szCs w:val="18"/>
        </w:rPr>
        <w:t>distributions paid to the Group.  The difference between gross and net asset value is principally due to £0.7bn of net debt within the Villages which is non-recourse to the Group. The average LTV across the Villages is 39%.</w:t>
      </w:r>
    </w:p>
    <w:p w14:paraId="641AE735" w14:textId="77777777" w:rsidR="00F61C44" w:rsidRPr="00F61C44" w:rsidRDefault="00F61C44" w:rsidP="00F61C44">
      <w:pPr>
        <w:spacing w:afterLines="60" w:after="144" w:line="240" w:lineRule="auto"/>
        <w:ind w:right="28"/>
        <w:rPr>
          <w:rFonts w:ascii="IBM Plex Sans SemiBold" w:hAnsi="IBM Plex Sans SemiBold"/>
          <w:b/>
          <w:color w:val="3D7FE0" w:themeColor="accent1"/>
          <w:sz w:val="22"/>
          <w:szCs w:val="22"/>
        </w:rPr>
      </w:pPr>
    </w:p>
    <w:p w14:paraId="7724BD5C" w14:textId="31D1B2B0" w:rsidR="00F61C44" w:rsidRPr="00024B10" w:rsidRDefault="00F61C44" w:rsidP="00F61C44">
      <w:pPr>
        <w:spacing w:afterLines="60" w:after="144" w:line="240" w:lineRule="auto"/>
        <w:ind w:right="28"/>
        <w:rPr>
          <w:rFonts w:ascii="IBM Plex Sans" w:hAnsi="IBM Plex Sans"/>
          <w:b/>
          <w:color w:val="3D7FE0" w:themeColor="accent1"/>
          <w:sz w:val="20"/>
          <w:szCs w:val="20"/>
        </w:rPr>
      </w:pPr>
      <w:r w:rsidRPr="00024B10">
        <w:rPr>
          <w:rFonts w:ascii="IBM Plex Sans" w:hAnsi="IBM Plex Sans"/>
          <w:b/>
          <w:color w:val="3D7FE0" w:themeColor="accent1"/>
          <w:sz w:val="20"/>
          <w:szCs w:val="20"/>
        </w:rPr>
        <w:t>STRATEGY UPDATE</w:t>
      </w:r>
    </w:p>
    <w:p w14:paraId="57815BD8"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We own city centre destinations and adjacent land around which we can reshape entire neighbourhoods. Our strategy recognises the unique position that we have in our locations and the opportunities to leverage our experience and capabilities to create and manage vibrant 24/7, multi-use, urban ‘living spaces’ that realise value for all our stakeholders, connects our communities and delivers a positive impact for generations to come.</w:t>
      </w:r>
    </w:p>
    <w:p w14:paraId="18AD5D31"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 xml:space="preserve">Our aim is simple and clear – to chart a path to growth that delivers strong income and total returns for shareholders through consistent execution against our strategic goals. Following three years of strategic and operational progress, we are now investing for growth and value creation in our core assets. </w:t>
      </w:r>
    </w:p>
    <w:p w14:paraId="4DDCCD9B"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We are combining targeted leasing with repurposing and redevelopment opportunities, which are integral and complementary to our destinations, directing capital expenditure to our core estates, where we are able to realise high returns. This asset focus is underpinned by our now increasingly agile platform, our strong capital structure and by our commitment to ESG.</w:t>
      </w:r>
    </w:p>
    <w:p w14:paraId="2AC8A4FA"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In FY 23, we made significant progress towards all our goals as follows:</w:t>
      </w:r>
    </w:p>
    <w:p w14:paraId="6E6DD359" w14:textId="77777777"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Investment for growth and value creation</w:t>
      </w:r>
    </w:p>
    <w:p w14:paraId="0651F6F2" w14:textId="471E6098"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The key source of competitive advantage for Hammerson is the quality and location of our destinations in some of Europe’s fastest-growing cites. We have some of the best assets in the very best prime city centre catchments and transportation hubs, and, due to the strong ties we have in the communities in which we operate, supportive local authorities. Additionally, our pre-development and strategic land represent a considerable set of unrealised long</w:t>
      </w:r>
      <w:r w:rsidR="0065590C">
        <w:rPr>
          <w:rFonts w:ascii="IBM Plex Sans Light" w:hAnsi="IBM Plex Sans Light"/>
        </w:rPr>
        <w:t xml:space="preserve"> </w:t>
      </w:r>
      <w:r w:rsidRPr="00F61C44">
        <w:rPr>
          <w:rFonts w:ascii="IBM Plex Sans Light" w:hAnsi="IBM Plex Sans Light"/>
        </w:rPr>
        <w:t>term opportunities which we can selectively draw upon.</w:t>
      </w:r>
    </w:p>
    <w:p w14:paraId="117B4DE6" w14:textId="736C73F1"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The consumer and occupier landscape continues to evolve at pace. Occupiers are continuing to shift to using physical space for a broad mix of uses, including: point of sale; last mile fulfilment; returns; servicing; experiential; marketing; brand development; education; workspace; and leisure – ‘living spaces’. At the same time, visitors demand top quality environments and experiences. We continue to invest in our assets to partner with best-in-class occupiers to cater to the communities and catchments in which we operate, whether this be repurposing of obsolete department store space into leisure and modern retail, or redevelopment to residential, workspace, healthcare and lifestyle uses.</w:t>
      </w:r>
    </w:p>
    <w:p w14:paraId="42683BEF" w14:textId="1A965DE4"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lastRenderedPageBreak/>
        <w:t>Our investments to date have attracted some of the very best global brands. Our leasing strategy has evolved from an emphasis on filling space and increasing occupancy as we emerged from the Covid-19 pandemic. We now focus more proactively on a high quality, diverse and complementary mix and offer for both occupiers and customers, which in turn underpins a more diverse, resilient and higher</w:t>
      </w:r>
      <w:r w:rsidR="0065590C">
        <w:rPr>
          <w:rFonts w:ascii="IBM Plex Sans Light" w:hAnsi="IBM Plex Sans Light"/>
        </w:rPr>
        <w:t xml:space="preserve"> </w:t>
      </w:r>
      <w:r w:rsidRPr="00F61C44">
        <w:rPr>
          <w:rFonts w:ascii="IBM Plex Sans Light" w:hAnsi="IBM Plex Sans Light"/>
        </w:rPr>
        <w:t>quality income profile.</w:t>
      </w:r>
    </w:p>
    <w:p w14:paraId="33D00F53"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Following our best year for leasing in FY 22 since FY 18, our momentum continued in FY 23 with another record year: 306 leases signed on a more focused portfolio (FY 22: 317), a volume increase of 10% on a like-for-like basis, representing £46m of headline rent at 100% (FY 22: £45m), or £29m at share (FY 22: £25m), up 23% like-for-like. In this context, we saw much greater competitive tension with occupiers not exercising breaks to leverage better terms, which meant an additional £2m of rent retained.</w:t>
      </w:r>
    </w:p>
    <w:p w14:paraId="4FE8B247" w14:textId="4C5BA5D2"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For principal deals, headline rent was 37% ahead of previous passing rent (FY 22: +34%), continuing to reflect strong demand, the lease up of vacant space and the conversion of temporary leases onto long</w:t>
      </w:r>
      <w:r w:rsidR="0065590C">
        <w:rPr>
          <w:rFonts w:ascii="IBM Plex Sans Light" w:hAnsi="IBM Plex Sans Light"/>
        </w:rPr>
        <w:t xml:space="preserve"> </w:t>
      </w:r>
      <w:r w:rsidRPr="00F61C44">
        <w:rPr>
          <w:rFonts w:ascii="IBM Plex Sans Light" w:hAnsi="IBM Plex Sans Light"/>
        </w:rPr>
        <w:t>term deals. On a net effective basis, principal deals were 12% ahead of ERV (FY 22: +</w:t>
      </w:r>
      <w:r w:rsidR="00E126CD">
        <w:rPr>
          <w:rFonts w:ascii="IBM Plex Sans Light" w:hAnsi="IBM Plex Sans Light"/>
        </w:rPr>
        <w:t>2</w:t>
      </w:r>
      <w:r w:rsidRPr="00F61C44">
        <w:rPr>
          <w:rFonts w:ascii="IBM Plex Sans Light" w:hAnsi="IBM Plex Sans Light"/>
        </w:rPr>
        <w:t xml:space="preserve">%), with new leases +14% and renewals +8%. In terms of mix, just under half of leasing was to best-in-class and new fashion concepts, and the balance to non-fashion, services, leisure, food, workspace and </w:t>
      </w:r>
      <w:proofErr w:type="spellStart"/>
      <w:r w:rsidRPr="00F61C44">
        <w:rPr>
          <w:rFonts w:ascii="IBM Plex Sans Light" w:hAnsi="IBM Plex Sans Light"/>
        </w:rPr>
        <w:t>Printemps</w:t>
      </w:r>
      <w:proofErr w:type="spellEnd"/>
      <w:r w:rsidRPr="00F61C44">
        <w:rPr>
          <w:rFonts w:ascii="IBM Plex Sans Light" w:hAnsi="IBM Plex Sans Light"/>
        </w:rPr>
        <w:t xml:space="preserve"> in France.</w:t>
      </w:r>
    </w:p>
    <w:p w14:paraId="2D0C2071"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Providing the exceptional spaces with high footfall, high demand, growing leasing tension and thereby rental levels which underpins this leasing performance requires investment: investment to repurpose obsolete or underutilised space; investment in time to select the right brand partners to enhance the mix and complete works to a high standard; investment alongside key brand partners in their offer; investment in public realm to maintain our appeal to customers and occupiers whilst ensuring further integration with the communities we serve; and investment in key leasing, asset management, placemaking and marketing talent. From our investments in the last few years, we’ve delivered solid returns and created value.</w:t>
      </w:r>
    </w:p>
    <w:p w14:paraId="45454FF0"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Looking at two key examples that came to fruition this year:</w:t>
      </w:r>
    </w:p>
    <w:p w14:paraId="0F188F92" w14:textId="1CBF3F0F" w:rsidR="00F61C44" w:rsidRPr="00F61C44" w:rsidRDefault="00F61C44" w:rsidP="00F61C44">
      <w:pPr>
        <w:numPr>
          <w:ilvl w:val="0"/>
          <w:numId w:val="32"/>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In Dundrum, we opened </w:t>
      </w:r>
      <w:proofErr w:type="spellStart"/>
      <w:r w:rsidRPr="00F61C44">
        <w:rPr>
          <w:rFonts w:ascii="IBM Plex Sans Light" w:hAnsi="IBM Plex Sans Light"/>
          <w:spacing w:val="0"/>
          <w:szCs w:val="14"/>
        </w:rPr>
        <w:t>Penneys</w:t>
      </w:r>
      <w:proofErr w:type="spellEnd"/>
      <w:r w:rsidRPr="00F61C44">
        <w:rPr>
          <w:rFonts w:ascii="IBM Plex Sans Light" w:hAnsi="IBM Plex Sans Light"/>
          <w:spacing w:val="0"/>
          <w:szCs w:val="14"/>
        </w:rPr>
        <w:t xml:space="preserve"> (Primark) and Nike Live, to complete the repurposing of </w:t>
      </w:r>
      <w:r w:rsidR="009B6985">
        <w:rPr>
          <w:rFonts w:ascii="IBM Plex Sans Light" w:hAnsi="IBM Plex Sans Light"/>
          <w:spacing w:val="0"/>
          <w:szCs w:val="14"/>
        </w:rPr>
        <w:t xml:space="preserve">the </w:t>
      </w:r>
      <w:r w:rsidRPr="00F61C44">
        <w:rPr>
          <w:rFonts w:ascii="IBM Plex Sans Light" w:hAnsi="IBM Plex Sans Light"/>
          <w:spacing w:val="0"/>
          <w:szCs w:val="14"/>
        </w:rPr>
        <w:t>former House of Fraser space, with the backfill allowing Dunnes Stores, which opened in November, to enter the destination for the first time. Taken as a whole, the significant increase in rents with an incremental ERV benefit to adjacent units generated an IRR in excess of 20% from an investment of €31m (at 100%). Elsewhere in Dundrum, we converted underutilised storage space to modern workspace and leased it to Western Union, bringing a new use and income stream to the asset, as well as incremental customers to the food and leisure</w:t>
      </w:r>
      <w:r w:rsidR="0065590C">
        <w:rPr>
          <w:rFonts w:ascii="IBM Plex Sans Light" w:hAnsi="IBM Plex Sans Light"/>
          <w:spacing w:val="0"/>
          <w:szCs w:val="14"/>
        </w:rPr>
        <w:t xml:space="preserve"> </w:t>
      </w:r>
      <w:r w:rsidRPr="00F61C44">
        <w:rPr>
          <w:rFonts w:ascii="IBM Plex Sans Light" w:hAnsi="IBM Plex Sans Light"/>
          <w:spacing w:val="0"/>
          <w:szCs w:val="14"/>
        </w:rPr>
        <w:t xml:space="preserve">oriented Pembroke Square area. Dundrum </w:t>
      </w:r>
      <w:r w:rsidR="009B6985">
        <w:rPr>
          <w:rFonts w:ascii="IBM Plex Sans Light" w:hAnsi="IBM Plex Sans Light"/>
          <w:spacing w:val="0"/>
          <w:szCs w:val="14"/>
        </w:rPr>
        <w:t>has already seen</w:t>
      </w:r>
      <w:r w:rsidRPr="00F61C44">
        <w:rPr>
          <w:rFonts w:ascii="IBM Plex Sans Light" w:hAnsi="IBM Plex Sans Light"/>
          <w:spacing w:val="0"/>
          <w:szCs w:val="14"/>
        </w:rPr>
        <w:t xml:space="preserve"> an increase in footfall and sales following these openings in the second half of the year.</w:t>
      </w:r>
    </w:p>
    <w:p w14:paraId="3C487E4D" w14:textId="77777777" w:rsidR="00F61C44" w:rsidRPr="00F61C44" w:rsidRDefault="00F61C44" w:rsidP="00F61C44">
      <w:pPr>
        <w:numPr>
          <w:ilvl w:val="0"/>
          <w:numId w:val="32"/>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In Bullring, we handed over former Debenhams space to M&amp;S, which also opened in November, with an extremely strong sales performance and establishing a further consolidation of the city centre into our estate. We also handed over the top floor space to TOCA Social – the football themed entertainment operator – which will become their first operation outside London when it opens in 2024. This will strengthen the critical mass and complement the entertainment and social operators we opened in 2023, which included Lane 7 Bowling, and a new leisure concept, VR Sandbox. We target to complete the repositioning of the Debenhams space – representing about 15% of the total floorspace of the Bullring – by concluding negotiations with a best-in-class fashion operator which will concentrate the retail pitch alongside openings in 2023, including those to </w:t>
      </w:r>
      <w:proofErr w:type="spellStart"/>
      <w:r w:rsidRPr="00F61C44">
        <w:rPr>
          <w:rFonts w:ascii="IBM Plex Sans Light" w:hAnsi="IBM Plex Sans Light"/>
          <w:spacing w:val="0"/>
          <w:szCs w:val="14"/>
        </w:rPr>
        <w:t>Bershka</w:t>
      </w:r>
      <w:proofErr w:type="spellEnd"/>
      <w:r w:rsidRPr="00F61C44">
        <w:rPr>
          <w:rFonts w:ascii="IBM Plex Sans Light" w:hAnsi="IBM Plex Sans Light"/>
          <w:spacing w:val="0"/>
          <w:szCs w:val="14"/>
        </w:rPr>
        <w:t>, JD Sports, Footlocker, and Pull and Bear. Taken together we expect our investment into this repositioning project will be around £17m (at 100%), which will not only deliver a high double digit IRR, but also a positive halo on the performance and presentation of the asset and the consequent rental demand and values, which we expect to further capitalise with future lettings. Following these openings, Bullring experienced a particularly strong Christmas period, with sales and footfall up in stark contrast to national indices. Importantly, it also saw an uplift in value of £35m (at 100%), reflecting a 5% increase in ERVs year-on-year.</w:t>
      </w:r>
    </w:p>
    <w:p w14:paraId="44221488" w14:textId="77777777" w:rsidR="00F61C44" w:rsidRPr="00F61C44" w:rsidRDefault="00F61C44" w:rsidP="00F61C44">
      <w:pPr>
        <w:suppressAutoHyphens/>
        <w:autoSpaceDE w:val="0"/>
        <w:autoSpaceDN w:val="0"/>
        <w:adjustRightInd w:val="0"/>
        <w:spacing w:before="57" w:after="0" w:line="210" w:lineRule="atLeast"/>
        <w:ind w:left="227" w:hanging="227"/>
        <w:textAlignment w:val="center"/>
        <w:rPr>
          <w:rFonts w:ascii="IBM Plex Sans Light" w:hAnsi="IBM Plex Sans Light" w:cs="IBM Plex Sans Light"/>
          <w:color w:val="000000"/>
          <w:spacing w:val="-5"/>
          <w:szCs w:val="18"/>
        </w:rPr>
      </w:pPr>
    </w:p>
    <w:p w14:paraId="6A7A86F6"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We have a rich set of similar opportunities in our core portfolio relating to former department store space. Having proactively secured vacant possession, we have already commenced the repurposing of the former House of Fraser space in The Oracle, having agreed terms with Hollywood Bowl and TK Maxx, and are in detailed negotiations with other key partners. At the other end of the scheme, we await the outcome of a planning application for the major regeneration of the eastern quarter, including the former Debenhams, with the potential to develop c.450 residential units in phases alongside renewed landscaping and other commercial uses, much in demand in this strong catchment.</w:t>
      </w:r>
    </w:p>
    <w:p w14:paraId="7998783C" w14:textId="68B5E26D"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In Birmingham, we achieved planning consent for Drum, an amenity rich workspace</w:t>
      </w:r>
      <w:r w:rsidR="0065590C">
        <w:rPr>
          <w:rFonts w:ascii="IBM Plex Sans Light" w:hAnsi="IBM Plex Sans Light"/>
        </w:rPr>
        <w:t xml:space="preserve"> </w:t>
      </w:r>
      <w:r w:rsidRPr="00F61C44">
        <w:rPr>
          <w:rFonts w:ascii="IBM Plex Sans Light" w:hAnsi="IBM Plex Sans Light"/>
        </w:rPr>
        <w:t>led proposal, which predominantly occupies the former John Lewis Partnership space at Grand Central and is directly served by the UK’s most connected rail station, Birmingham New Street. Strip out works have been completed, and we are working with stakeholders to unlock the next stages of de-risking and delivering this scheme.</w:t>
      </w:r>
    </w:p>
    <w:p w14:paraId="69499313" w14:textId="77777777" w:rsidR="00F61C44" w:rsidRPr="00F61C44" w:rsidRDefault="00F61C44" w:rsidP="00F61C44">
      <w:pPr>
        <w:tabs>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 xml:space="preserve">In Cabot Circus, we are working up investment plans, alongside relevant operators, to reposition and maximise the value of major spaces including the House of Fraser department store at the gateway to the asset and to replace the cinema operator as part of the development of a social and entertainment quarter. </w:t>
      </w:r>
    </w:p>
    <w:p w14:paraId="719F3123" w14:textId="77777777" w:rsidR="00F61C44" w:rsidRPr="00F61C44" w:rsidRDefault="00F61C44" w:rsidP="00024B10">
      <w:pPr>
        <w:spacing w:before="120" w:afterLines="60" w:after="144" w:line="240" w:lineRule="auto"/>
        <w:ind w:right="28"/>
        <w:rPr>
          <w:rFonts w:ascii="IBM Plex Sans Light" w:hAnsi="IBM Plex Sans Light"/>
        </w:rPr>
      </w:pPr>
      <w:r w:rsidRPr="00F61C44">
        <w:rPr>
          <w:rFonts w:ascii="IBM Plex Sans Light" w:hAnsi="IBM Plex Sans Light"/>
        </w:rPr>
        <w:lastRenderedPageBreak/>
        <w:t>Overall, of the department store space the Group had at FY 19, roughly two-thirds has been repurposed or is in advanced planning, and a third has been sold.</w:t>
      </w:r>
    </w:p>
    <w:p w14:paraId="032CF1B2"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Elsewhere, we continue to lease to high quality brand partners, enhancing the quality of the mix and bringing new uses to our destinations. Other than those already mentioned, key deals and openings in 2023 included:</w:t>
      </w:r>
    </w:p>
    <w:p w14:paraId="6E40F561"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Renewals and new deals were secured with JD Sports, Uniqlo, Decathlon, Olympique de Marseille, Levi’s, Puma, Hugo Boss, Michael Kors and Five Guys at Les Terrasses du Port as we approach the ten year anniversary of the opening of Marseille’s super prime destination.</w:t>
      </w:r>
    </w:p>
    <w:p w14:paraId="4D128187"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At Les 3 Fontaines, we opened H&amp;M in March and brought in New Yorker to an adjacent unit later in the year, whilst reconfigurations allowed the entry of Action, Celio and a new leisure offering from Smile World. In the extension, additions comprised increased presence from global brands including Eden Park and Swarovski.</w:t>
      </w:r>
    </w:p>
    <w:p w14:paraId="59FFE930"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In Brent Cross, we signed a deal with Social Sports Society to bring a padel tennis and other outside sports facilities to the underutilised Southern Lands, subject to planning, alongside reconfigurations that allowed the renewal of Boots and the introduction of Superdrug into the scheme. We also relocated Moorfields Eye Hospital into an underutilised area of the scheme, after a period of testing customer appetite for alternative uses. In 2024, we expect to create a new market hall offering, where we have already agreed terms with three occupiers.</w:t>
      </w:r>
    </w:p>
    <w:p w14:paraId="49A1CBC6"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In Bullring, in addition to repurposing and new leasing related to the former Debenhams unit, we opened the first Nike Rise concept outside of London, brought </w:t>
      </w:r>
      <w:proofErr w:type="spellStart"/>
      <w:r w:rsidRPr="00F61C44">
        <w:rPr>
          <w:rFonts w:ascii="IBM Plex Sans Light" w:hAnsi="IBM Plex Sans Light"/>
          <w:spacing w:val="0"/>
          <w:szCs w:val="14"/>
        </w:rPr>
        <w:t>Footasylum</w:t>
      </w:r>
      <w:proofErr w:type="spellEnd"/>
      <w:r w:rsidRPr="00F61C44">
        <w:rPr>
          <w:rFonts w:ascii="IBM Plex Sans Light" w:hAnsi="IBM Plex Sans Light"/>
          <w:spacing w:val="0"/>
          <w:szCs w:val="14"/>
        </w:rPr>
        <w:t xml:space="preserve"> in for the first time, and saw Goldsmiths undertake a significant refit and expansion which included the introduction of a separate Rolex store.</w:t>
      </w:r>
    </w:p>
    <w:p w14:paraId="5F135600"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Westquay saw the delivery of new offers from premium lifestyle and beauty brands Sweaty Betty and Space NK, and F&amp;B from </w:t>
      </w:r>
      <w:proofErr w:type="spellStart"/>
      <w:r w:rsidRPr="00F61C44">
        <w:rPr>
          <w:rFonts w:ascii="IBM Plex Sans Light" w:hAnsi="IBM Plex Sans Light"/>
          <w:spacing w:val="0"/>
          <w:szCs w:val="14"/>
        </w:rPr>
        <w:t>Wingstop</w:t>
      </w:r>
      <w:proofErr w:type="spellEnd"/>
      <w:r w:rsidRPr="00F61C44">
        <w:rPr>
          <w:rFonts w:ascii="IBM Plex Sans Light" w:hAnsi="IBM Plex Sans Light"/>
          <w:spacing w:val="0"/>
          <w:szCs w:val="14"/>
        </w:rPr>
        <w:t xml:space="preserve"> and </w:t>
      </w:r>
      <w:proofErr w:type="spellStart"/>
      <w:r w:rsidRPr="00F61C44">
        <w:rPr>
          <w:rFonts w:ascii="IBM Plex Sans Light" w:hAnsi="IBM Plex Sans Light"/>
          <w:spacing w:val="0"/>
          <w:szCs w:val="14"/>
        </w:rPr>
        <w:t>Mettricks</w:t>
      </w:r>
      <w:proofErr w:type="spellEnd"/>
      <w:r w:rsidRPr="00F61C44">
        <w:rPr>
          <w:rFonts w:ascii="IBM Plex Sans Light" w:hAnsi="IBM Plex Sans Light"/>
          <w:spacing w:val="0"/>
          <w:szCs w:val="14"/>
        </w:rPr>
        <w:t>.</w:t>
      </w:r>
    </w:p>
    <w:p w14:paraId="03D72D7F"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Cabot Circus saw four portfolio firsts, including the introduction of Stradivarius, bringing another sought-after Inditex brand into the destination, alongside the debuts of Lounge, German Donor Kebab and Lids.</w:t>
      </w:r>
    </w:p>
    <w:p w14:paraId="70F91F66" w14:textId="77777777" w:rsidR="00F61C44" w:rsidRPr="00F61C44" w:rsidRDefault="00F61C44" w:rsidP="00F61C44">
      <w:pPr>
        <w:numPr>
          <w:ilvl w:val="0"/>
          <w:numId w:val="31"/>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Meanwhile in Ireland, in Dundrum, Space NK signed a lease to open their second store in Ireland. Both with minimal vacancy, it was a quieter year at Pavilions and Ilac, although the former opened a new leisure offer from Zero Latency, whilst the latter signed a new flagship city centre store for Liverpool FC.</w:t>
      </w:r>
    </w:p>
    <w:p w14:paraId="20368A16"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Our approach to leasing works in parallel with our greater emphasis on placemaking, which not only serves to enliven space and enhance the experience and environment for customers and occupiers, but also increasingly contributes meaningfully in its own right in terms of incremental footfall, income, and engagement across all channels. Key highlights in the year included:</w:t>
      </w:r>
    </w:p>
    <w:p w14:paraId="675C358C"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Staging our first Late Night Out ticketed event, bringing the </w:t>
      </w:r>
      <w:proofErr w:type="spellStart"/>
      <w:r w:rsidRPr="00F61C44">
        <w:rPr>
          <w:rFonts w:ascii="IBM Plex Sans Light" w:hAnsi="IBM Plex Sans Light"/>
          <w:spacing w:val="0"/>
          <w:szCs w:val="14"/>
        </w:rPr>
        <w:t>after hours</w:t>
      </w:r>
      <w:proofErr w:type="spellEnd"/>
      <w:r w:rsidRPr="00F61C44">
        <w:rPr>
          <w:rFonts w:ascii="IBM Plex Sans Light" w:hAnsi="IBM Plex Sans Light"/>
          <w:spacing w:val="0"/>
          <w:szCs w:val="14"/>
        </w:rPr>
        <w:t xml:space="preserve"> economy to Bullring</w:t>
      </w:r>
    </w:p>
    <w:p w14:paraId="577F279B"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We brought the Charity </w:t>
      </w:r>
      <w:proofErr w:type="spellStart"/>
      <w:r w:rsidRPr="00F61C44">
        <w:rPr>
          <w:rFonts w:ascii="IBM Plex Sans Light" w:hAnsi="IBM Plex Sans Light"/>
          <w:spacing w:val="0"/>
          <w:szCs w:val="14"/>
        </w:rPr>
        <w:t>Super.Mkt</w:t>
      </w:r>
      <w:proofErr w:type="spellEnd"/>
      <w:r w:rsidRPr="00F61C44">
        <w:rPr>
          <w:rFonts w:ascii="IBM Plex Sans Light" w:hAnsi="IBM Plex Sans Light"/>
          <w:spacing w:val="0"/>
          <w:szCs w:val="14"/>
        </w:rPr>
        <w:t xml:space="preserve">, the UK’s first shop space bringing multiple charities under one roof, to Brent Cross, The Oracle and Cabot Circus, driving incremental footfall, significant media coverage and winning us a </w:t>
      </w:r>
      <w:proofErr w:type="spellStart"/>
      <w:r w:rsidRPr="00F61C44">
        <w:rPr>
          <w:rFonts w:ascii="IBM Plex Sans Light" w:hAnsi="IBM Plex Sans Light"/>
          <w:spacing w:val="0"/>
          <w:szCs w:val="14"/>
        </w:rPr>
        <w:t>Revo</w:t>
      </w:r>
      <w:proofErr w:type="spellEnd"/>
      <w:r w:rsidRPr="00F61C44">
        <w:rPr>
          <w:rFonts w:ascii="IBM Plex Sans Light" w:hAnsi="IBM Plex Sans Light"/>
          <w:spacing w:val="0"/>
          <w:szCs w:val="14"/>
        </w:rPr>
        <w:t xml:space="preserve"> award for Pop-up of the Year. We aim to continue working with Charity </w:t>
      </w:r>
      <w:proofErr w:type="spellStart"/>
      <w:r w:rsidRPr="00F61C44">
        <w:rPr>
          <w:rFonts w:ascii="IBM Plex Sans Light" w:hAnsi="IBM Plex Sans Light"/>
          <w:spacing w:val="0"/>
          <w:szCs w:val="14"/>
        </w:rPr>
        <w:t>Super.Mkt</w:t>
      </w:r>
      <w:proofErr w:type="spellEnd"/>
      <w:r w:rsidRPr="00F61C44">
        <w:rPr>
          <w:rFonts w:ascii="IBM Plex Sans Light" w:hAnsi="IBM Plex Sans Light"/>
          <w:spacing w:val="0"/>
          <w:szCs w:val="14"/>
        </w:rPr>
        <w:t xml:space="preserve"> through 2024.</w:t>
      </w:r>
    </w:p>
    <w:p w14:paraId="441F46CA"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We had further success bringing digitally native brands to physical space, most notably SHEIN to Bullring and Grand Central, and UK firsts including Trinny London’s kiosk to Bullring.</w:t>
      </w:r>
    </w:p>
    <w:p w14:paraId="7EEB9948"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In France, we hosted a two-week pop-up store at Les Terrasses du Port for local rapper Jul, and then ‘Sunset Live’ later in the year, which showcased local and international musical artists on the seafront terrace, attracting significant media and influencer attention, and involving 25 brand partners.</w:t>
      </w:r>
    </w:p>
    <w:p w14:paraId="2F64608F"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Meanwhile, at Les 3 Fontaines we hosted the second edition of the 3Festival which celebrates ‘Art in all its forms’ with local partners from street art workshops to culinary battles.</w:t>
      </w:r>
    </w:p>
    <w:p w14:paraId="38D91C1A"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We continue to exploit underutilised car parking space with new uses, occupiers and events, including the UK’s largest Tesla collection point, the </w:t>
      </w:r>
      <w:proofErr w:type="spellStart"/>
      <w:r w:rsidRPr="00F61C44">
        <w:rPr>
          <w:rFonts w:ascii="IBM Plex Sans Light" w:hAnsi="IBM Plex Sans Light"/>
          <w:spacing w:val="0"/>
          <w:szCs w:val="14"/>
        </w:rPr>
        <w:t>Florescenza</w:t>
      </w:r>
      <w:proofErr w:type="spellEnd"/>
      <w:r w:rsidRPr="00F61C44">
        <w:rPr>
          <w:rFonts w:ascii="IBM Plex Sans Light" w:hAnsi="IBM Plex Sans Light"/>
          <w:spacing w:val="0"/>
          <w:szCs w:val="14"/>
        </w:rPr>
        <w:t xml:space="preserve"> garden centre, and Big Kid Circus at Brent Cross; Skatepark with Red Bull at Cabot Circus, and the Supercar Weekend at Dundrum.</w:t>
      </w:r>
    </w:p>
    <w:p w14:paraId="7C17D63A" w14:textId="6FE2EE80"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 xml:space="preserve">We enlivened our destinations with summer bars including large external screens showing major sporting events, and created winter wonderlands in our unique outside spaces with </w:t>
      </w:r>
      <w:proofErr w:type="spellStart"/>
      <w:r w:rsidRPr="00F61C44">
        <w:rPr>
          <w:rFonts w:ascii="IBM Plex Sans Light" w:hAnsi="IBM Plex Sans Light"/>
          <w:spacing w:val="0"/>
          <w:szCs w:val="14"/>
        </w:rPr>
        <w:t>Apres</w:t>
      </w:r>
      <w:proofErr w:type="spellEnd"/>
      <w:r w:rsidRPr="00F61C44">
        <w:rPr>
          <w:rFonts w:ascii="IBM Plex Sans Light" w:hAnsi="IBM Plex Sans Light"/>
          <w:spacing w:val="0"/>
          <w:szCs w:val="14"/>
        </w:rPr>
        <w:t xml:space="preserve"> ski bars and ice rinks plus a visit from the much-loved Coca Cola truck in Bullring and Grand Central creating high footfall.</w:t>
      </w:r>
    </w:p>
    <w:p w14:paraId="39826588" w14:textId="77777777" w:rsidR="00F61C44" w:rsidRPr="00F61C44" w:rsidRDefault="00F61C44" w:rsidP="00F61C44">
      <w:pPr>
        <w:numPr>
          <w:ilvl w:val="0"/>
          <w:numId w:val="33"/>
        </w:numPr>
        <w:spacing w:afterLines="60" w:after="144" w:line="240" w:lineRule="auto"/>
        <w:ind w:right="28"/>
        <w:rPr>
          <w:rFonts w:ascii="IBM Plex Sans Light" w:hAnsi="IBM Plex Sans Light"/>
          <w:spacing w:val="0"/>
          <w:szCs w:val="14"/>
        </w:rPr>
      </w:pPr>
      <w:r w:rsidRPr="00F61C44">
        <w:rPr>
          <w:rFonts w:ascii="IBM Plex Sans Light" w:hAnsi="IBM Plex Sans Light"/>
          <w:spacing w:val="0"/>
          <w:szCs w:val="14"/>
        </w:rPr>
        <w:t>We increased our social media presence and partnerships with local influencers, contributing to increased visibility and customer engagement with our destinations.</w:t>
      </w:r>
    </w:p>
    <w:p w14:paraId="5A7DF2FD"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 xml:space="preserve">Turning to other near term projects which are integral to our existing assets, at Ironworks in Dundrum, a 122 unit residential development, construction continued during 2023. We also agreed a long term indexed lease for the social housing units that we have built as part of the scheme and were completed in the year. </w:t>
      </w:r>
    </w:p>
    <w:p w14:paraId="2CDFB2EC"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lastRenderedPageBreak/>
        <w:t>In France, we are considering options for incremental repurposing of underutilised space at Cergy 3, to capitalise on strong demand, following the opening of Les 3 Fontaines extension in March last year, and are in discussions on heads of terms with two operators.</w:t>
      </w:r>
    </w:p>
    <w:p w14:paraId="1CDFC780"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During 2023, we have been disciplined with our resourcing and capital expenditure on our development projects and pre-development and strategic lands; focusing on those initiatives which give short term routes to value, and those integral projects which add most value to our wider estate.</w:t>
      </w:r>
    </w:p>
    <w:p w14:paraId="4FF54314" w14:textId="5B16315E"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The wider development market has been somewhat fractured during the course of 2023; with viability under pressure due to ongoing challenges with construction costs, cost of capital and valuation yield movements, alongside uncertainty of public policy and decisions. Nevertheless, structural demand from occupiers – and therefore rental performance - remains strong across most asset classes where we have exposure</w:t>
      </w:r>
      <w:r w:rsidR="0065590C">
        <w:rPr>
          <w:rFonts w:ascii="IBM Plex Sans Light" w:hAnsi="IBM Plex Sans Light"/>
        </w:rPr>
        <w:t>,</w:t>
      </w:r>
      <w:r w:rsidRPr="00F61C44">
        <w:rPr>
          <w:rFonts w:ascii="IBM Plex Sans Light" w:hAnsi="IBM Plex Sans Light"/>
        </w:rPr>
        <w:t xml:space="preserve"> particularly in city centre locations for best-in-class workplace and purpose-built rental apartments.</w:t>
      </w:r>
    </w:p>
    <w:p w14:paraId="0F1B3E58"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rPr>
        <w:t>We have continued to advance planning consents and land assembly agreements across the portfolio, which is capital light. In Ireland, we expect the initial planning consents to be finalised in 2024 at Dublin Central and there are ongoing discussions with potential end users, while our planning application for a strategic residential masterplan at Dundrum Phase II remains in consideration with the local authority. At Martineau Galleries, part of the wider Birmingham Estate, we have been working closely with Birmingham City Council and other stakeholders to ensure that we have a route to prepare for the development of this multi-use estate which will complement and benefit from our other holdings in the city.</w:t>
      </w:r>
    </w:p>
    <w:p w14:paraId="0818D84E" w14:textId="405427A9" w:rsidR="00F61C44" w:rsidRPr="00F61C44" w:rsidRDefault="00F61C44" w:rsidP="00F61C44">
      <w:pPr>
        <w:tabs>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Lastly, in our longer term development opportunities, standing alone from existing destinations, we exited our 50% share of all land and corporate interests at Croydon at a narrow discount to book value, as well as some small land interests in Clonsilla, Dublin, focusing our core portfolio and creating additional liquidity for investment. At Eastgate, Leeds, we have agreed to update an historical development agreement with the City Council paving the way to unlock the value of the site. At Bishopsgate</w:t>
      </w:r>
      <w:r w:rsidR="0065590C">
        <w:rPr>
          <w:rFonts w:ascii="IBM Plex Sans Light" w:hAnsi="IBM Plex Sans Light" w:cs="IBM Plex Sans Light"/>
          <w:color w:val="000000"/>
          <w:spacing w:val="-5"/>
          <w:szCs w:val="18"/>
        </w:rPr>
        <w:t xml:space="preserve"> Goodsyard</w:t>
      </w:r>
      <w:r w:rsidRPr="00F61C44">
        <w:rPr>
          <w:rFonts w:ascii="IBM Plex Sans Light" w:hAnsi="IBM Plex Sans Light" w:cs="IBM Plex Sans Light"/>
          <w:color w:val="000000"/>
          <w:spacing w:val="-5"/>
          <w:szCs w:val="18"/>
        </w:rPr>
        <w:t>, we are progressing with detailed design and feasibility, the procurement of initial demolition and preparation works, and engagement with Network Rail.</w:t>
      </w:r>
    </w:p>
    <w:p w14:paraId="005AD4ED" w14:textId="4DEE8BE1" w:rsidR="008B3C5C" w:rsidRDefault="008B3C5C">
      <w:pPr>
        <w:spacing w:after="0" w:line="240" w:lineRule="auto"/>
        <w:rPr>
          <w:rFonts w:ascii="IBM Plex Sans Medium" w:hAnsi="IBM Plex Sans Medium"/>
          <w:b/>
          <w:color w:val="3D7FE0" w:themeColor="accent1"/>
          <w:sz w:val="20"/>
          <w:szCs w:val="18"/>
        </w:rPr>
      </w:pPr>
    </w:p>
    <w:p w14:paraId="3C2ECAA7" w14:textId="4D0CD52C"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Agile platform</w:t>
      </w:r>
    </w:p>
    <w:p w14:paraId="6A2149D9"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 xml:space="preserve">We have transformed our platform and cost base to create an </w:t>
      </w:r>
      <w:proofErr w:type="spellStart"/>
      <w:r w:rsidRPr="00F61C44">
        <w:rPr>
          <w:rFonts w:ascii="IBM Plex Sans Light" w:hAnsi="IBM Plex Sans Light"/>
          <w:lang w:val="en-US"/>
        </w:rPr>
        <w:t>organisation</w:t>
      </w:r>
      <w:proofErr w:type="spellEnd"/>
      <w:r w:rsidRPr="00F61C44">
        <w:rPr>
          <w:rFonts w:ascii="IBM Plex Sans Light" w:hAnsi="IBM Plex Sans Light"/>
          <w:lang w:val="en-US"/>
        </w:rPr>
        <w:t xml:space="preserve"> focused on growth and value creation. We took decisive action in 2021 and 2022, shifting from a</w:t>
      </w:r>
      <w:r w:rsidRPr="00F61C44">
        <w:rPr>
          <w:rFonts w:ascii="IBM Plex Sans Light" w:hAnsi="IBM Plex Sans Light"/>
        </w:rPr>
        <w:t xml:space="preserve"> </w:t>
      </w:r>
      <w:r w:rsidRPr="00F61C44">
        <w:rPr>
          <w:rFonts w:ascii="IBM Plex Sans Light" w:hAnsi="IBM Plex Sans Light"/>
          <w:lang w:val="en-US"/>
        </w:rPr>
        <w:t xml:space="preserve">top heavy, geographically oriented and siloed </w:t>
      </w:r>
      <w:proofErr w:type="spellStart"/>
      <w:r w:rsidRPr="00F61C44">
        <w:rPr>
          <w:rFonts w:ascii="IBM Plex Sans Light" w:hAnsi="IBM Plex Sans Light"/>
          <w:lang w:val="en-US"/>
        </w:rPr>
        <w:t>organisation</w:t>
      </w:r>
      <w:proofErr w:type="spellEnd"/>
      <w:r w:rsidRPr="00F61C44">
        <w:rPr>
          <w:rFonts w:ascii="IBM Plex Sans Light" w:hAnsi="IBM Plex Sans Light"/>
          <w:lang w:val="en-US"/>
        </w:rPr>
        <w:t xml:space="preserve"> to a simplified, asset-centric operating model.</w:t>
      </w:r>
    </w:p>
    <w:p w14:paraId="1A1AFA3A"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In 2023, we continued to drive efficiencies and adapt our ways of working, both in terms of technology – systems and automation – and in terms of greater collaboration, encouraging cross pollination of ideas and practices between asset management, leasing, placemaking and marketing, ESG, strategy and</w:t>
      </w:r>
      <w:r w:rsidRPr="00F61C44">
        <w:rPr>
          <w:rFonts w:ascii="IBM Plex Sans Light" w:hAnsi="IBM Plex Sans Light"/>
        </w:rPr>
        <w:t xml:space="preserve"> </w:t>
      </w:r>
      <w:r w:rsidRPr="00F61C44">
        <w:rPr>
          <w:rFonts w:ascii="IBM Plex Sans Light" w:hAnsi="IBM Plex Sans Light"/>
          <w:lang w:val="en-US"/>
        </w:rPr>
        <w:t>insights, finance and communications.</w:t>
      </w:r>
    </w:p>
    <w:p w14:paraId="17FE483B"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We are creating a high performance, high engagement culture with an emphasis on strategic value creation focused on asset management and delivery, placemaking and the repositioning of our assets. Property management and associated accounting services have largely been consolidated to proven third party partners of scale.</w:t>
      </w:r>
    </w:p>
    <w:p w14:paraId="1125CC03"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In 2023, we implemented the consolidation of our property management suppliers in the UK in February, and similar activity in France in the second half. Our 164 colleagues are now focused on strategic tasks as a result of the overhaul of our operations.</w:t>
      </w:r>
    </w:p>
    <w:p w14:paraId="72105AFD"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The actions we have taken over the last three years in realigning our portfolio and business model as well as introducing new systems, tools and more efficient ways of working have necessarily resulted in a reduction of headcount of 68% since FY 20. This has delivered a gross administration cost reduction of 24%.</w:t>
      </w:r>
    </w:p>
    <w:p w14:paraId="787F9C2F" w14:textId="19343A7A"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lang w:val="en-US"/>
        </w:rPr>
        <w:t xml:space="preserve">By introducing these agile, more efficient and sustainable ways of working we are increasing speed to market and productivity. Today, we deliver more leasing and commercialisation activity than in 2019, with a leaner team, on a more focused portfolio. Other sources of savings include reductions in </w:t>
      </w:r>
      <w:r w:rsidR="0065590C">
        <w:rPr>
          <w:rFonts w:ascii="IBM Plex Sans Light" w:hAnsi="IBM Plex Sans Light"/>
          <w:lang w:val="en-US"/>
        </w:rPr>
        <w:t>work</w:t>
      </w:r>
      <w:r w:rsidRPr="00F61C44">
        <w:rPr>
          <w:rFonts w:ascii="IBM Plex Sans Light" w:hAnsi="IBM Plex Sans Light"/>
          <w:lang w:val="en-US"/>
        </w:rPr>
        <w:t xml:space="preserve"> space in the UK and France, insurance renewals, and a rigorous </w:t>
      </w:r>
      <w:r w:rsidRPr="00F61C44">
        <w:rPr>
          <w:rFonts w:ascii="IBM Plex Sans Light" w:hAnsi="IBM Plex Sans Light"/>
        </w:rPr>
        <w:t>m</w:t>
      </w:r>
      <w:proofErr w:type="spellStart"/>
      <w:r w:rsidRPr="00F61C44">
        <w:rPr>
          <w:rFonts w:ascii="IBM Plex Sans Light" w:hAnsi="IBM Plex Sans Light"/>
          <w:lang w:val="en-US"/>
        </w:rPr>
        <w:t>anagement</w:t>
      </w:r>
      <w:proofErr w:type="spellEnd"/>
      <w:r w:rsidRPr="00F61C44">
        <w:rPr>
          <w:rFonts w:ascii="IBM Plex Sans Light" w:hAnsi="IBM Plex Sans Light"/>
          <w:lang w:val="en-US"/>
        </w:rPr>
        <w:t xml:space="preserve"> of costs in general.</w:t>
      </w:r>
      <w:r w:rsidRPr="00F61C44">
        <w:rPr>
          <w:rFonts w:ascii="IBM Plex Sans Light" w:hAnsi="IBM Plex Sans Light"/>
        </w:rPr>
        <w:t xml:space="preserve"> </w:t>
      </w:r>
      <w:r w:rsidRPr="00F61C44">
        <w:rPr>
          <w:rFonts w:ascii="IBM Plex Sans Light" w:hAnsi="IBM Plex Sans Light"/>
          <w:lang w:val="en-US"/>
        </w:rPr>
        <w:t>We have also increased our efforts on</w:t>
      </w:r>
      <w:r w:rsidRPr="00F61C44">
        <w:rPr>
          <w:rFonts w:ascii="IBM Plex Sans Light" w:hAnsi="IBM Plex Sans Light"/>
        </w:rPr>
        <w:t xml:space="preserve"> </w:t>
      </w:r>
      <w:r w:rsidRPr="00F61C44">
        <w:rPr>
          <w:rFonts w:ascii="IBM Plex Sans Light" w:hAnsi="IBM Plex Sans Light"/>
          <w:lang w:val="en-US"/>
        </w:rPr>
        <w:t>employee engagement and talent management as part of our strategy to retain and develop key talent and we continue to invest in and promote key talent to be fit for the future.</w:t>
      </w:r>
    </w:p>
    <w:p w14:paraId="5297B614" w14:textId="77777777"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Sustainable and resilient capital structure</w:t>
      </w:r>
    </w:p>
    <w:p w14:paraId="2130F29C" w14:textId="77777777" w:rsidR="00F61C44" w:rsidRPr="00F61C44" w:rsidRDefault="00F61C44" w:rsidP="00F61C44">
      <w:pPr>
        <w:tabs>
          <w:tab w:val="left" w:pos="147"/>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r w:rsidRPr="00F61C44">
        <w:rPr>
          <w:rFonts w:ascii="IBM Plex Sans Light" w:hAnsi="IBM Plex Sans Light" w:cs="IBM Plex Sans Light"/>
          <w:color w:val="000000"/>
          <w:spacing w:val="-5"/>
          <w:szCs w:val="18"/>
        </w:rPr>
        <w:t>Our capital allocation framework remains the same. We will maintain a stable and resilient capital structure, with an IG credit rating, to maintain access to capital markets. We are committed to a sustainable and growing cash dividend, covered by cashflow, and balanced with our total returns focus. We are mindful of our cost of capital, but will remain opportunistic on capital deployment. After strengthening of the balance sheet, our priority is to invest for growth and value creation.</w:t>
      </w:r>
    </w:p>
    <w:p w14:paraId="6DD8203D" w14:textId="77777777" w:rsidR="00F61C44" w:rsidRPr="00F61C44" w:rsidRDefault="00F61C44" w:rsidP="00F61C44">
      <w:pPr>
        <w:tabs>
          <w:tab w:val="left" w:pos="147"/>
          <w:tab w:val="left" w:pos="227"/>
        </w:tabs>
        <w:suppressAutoHyphens/>
        <w:autoSpaceDE w:val="0"/>
        <w:autoSpaceDN w:val="0"/>
        <w:adjustRightInd w:val="0"/>
        <w:spacing w:after="0" w:line="210" w:lineRule="atLeast"/>
        <w:textAlignment w:val="center"/>
        <w:rPr>
          <w:rFonts w:ascii="IBM Plex Sans Light" w:hAnsi="IBM Plex Sans Light" w:cs="IBM Plex Sans Light"/>
          <w:color w:val="000000"/>
          <w:spacing w:val="-5"/>
          <w:szCs w:val="18"/>
        </w:rPr>
      </w:pPr>
    </w:p>
    <w:p w14:paraId="1759AEA3"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Today, we have a resilient balance sheet, ample liquidity, and have maintained our IG credit rating. In 2023, in France we completed the sale of our 25% share of Italie Deux, and 100% of the Italik extension, and our 50% share of our interests in Croydon, together with non-core land in the UK and Ireland, generating gross proceeds of £216m.</w:t>
      </w:r>
      <w:r w:rsidRPr="00F61C44">
        <w:rPr>
          <w:rFonts w:ascii="IBM Plex Sans Light" w:hAnsi="IBM Plex Sans Light"/>
        </w:rPr>
        <w:t xml:space="preserve">  </w:t>
      </w:r>
      <w:r w:rsidRPr="00F61C44">
        <w:rPr>
          <w:rFonts w:ascii="IBM Plex Sans Light" w:hAnsi="IBM Plex Sans Light"/>
          <w:lang w:val="en-US"/>
        </w:rPr>
        <w:t xml:space="preserve">Moreover, £125m of secured debt has been </w:t>
      </w:r>
      <w:proofErr w:type="spellStart"/>
      <w:r w:rsidRPr="00F61C44">
        <w:rPr>
          <w:rFonts w:ascii="IBM Plex Sans Light" w:hAnsi="IBM Plex Sans Light"/>
          <w:lang w:val="en-US"/>
        </w:rPr>
        <w:t>derecognised</w:t>
      </w:r>
      <w:proofErr w:type="spellEnd"/>
      <w:r w:rsidRPr="00F61C44">
        <w:rPr>
          <w:rFonts w:ascii="IBM Plex Sans Light" w:hAnsi="IBM Plex Sans Light"/>
          <w:lang w:val="en-US"/>
        </w:rPr>
        <w:t xml:space="preserve"> in connection with our exits from non-core assets in Highcross and O’Parinor.</w:t>
      </w:r>
    </w:p>
    <w:p w14:paraId="668D5B09"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lastRenderedPageBreak/>
        <w:t xml:space="preserve">Since the balance sheet date, we have exchanged unconditional contracts for the disposal of Union Square to an affiliate of Lone Star Real Estate Fund VI L.P. for gross proceeds of £111m, taking total proceeds since FY 21 to £521m and thereby completing our targeted £500m disposals </w:t>
      </w:r>
      <w:proofErr w:type="spellStart"/>
      <w:r w:rsidRPr="00F61C44">
        <w:rPr>
          <w:rFonts w:ascii="IBM Plex Sans Light" w:hAnsi="IBM Plex Sans Light"/>
          <w:lang w:val="en-US"/>
        </w:rPr>
        <w:t>programme</w:t>
      </w:r>
      <w:proofErr w:type="spellEnd"/>
      <w:r w:rsidRPr="00F61C44">
        <w:rPr>
          <w:rFonts w:ascii="IBM Plex Sans Light" w:hAnsi="IBM Plex Sans Light"/>
          <w:lang w:val="en-US"/>
        </w:rPr>
        <w:t>. In September 2023, we issued a</w:t>
      </w:r>
      <w:r w:rsidRPr="00F61C44">
        <w:rPr>
          <w:rFonts w:ascii="IBM Plex Sans Light" w:hAnsi="IBM Plex Sans Light"/>
        </w:rPr>
        <w:t xml:space="preserve"> </w:t>
      </w:r>
      <w:r w:rsidRPr="00F61C44">
        <w:rPr>
          <w:rFonts w:ascii="IBM Plex Sans Light" w:hAnsi="IBM Plex Sans Light"/>
          <w:lang w:val="en-US"/>
        </w:rPr>
        <w:t>£100m increase of our existing £200m 7.25% coupon bonds maturing in 2028. The new issue was priced at a yield of 9.1%. In parallel, we redeemed £100m of our 3.5% coupon bonds maturing in 2025 and 6.0% coupon bonds maturing in 2026, at a discount of £4m.</w:t>
      </w:r>
    </w:p>
    <w:p w14:paraId="57EA4E78" w14:textId="2DE9293F"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lang w:val="en-US"/>
        </w:rPr>
        <w:t>Overall, net debt reduced 23% to £1,326m at 31 December 2023. Headline LTV stood at 34% (FPC: 4</w:t>
      </w:r>
      <w:r w:rsidR="009B6985">
        <w:rPr>
          <w:rFonts w:ascii="IBM Plex Sans Light" w:hAnsi="IBM Plex Sans Light"/>
          <w:lang w:val="en-US"/>
        </w:rPr>
        <w:t>4</w:t>
      </w:r>
      <w:r w:rsidRPr="00F61C44">
        <w:rPr>
          <w:rFonts w:ascii="IBM Plex Sans Light" w:hAnsi="IBM Plex Sans Light"/>
          <w:lang w:val="en-US"/>
        </w:rPr>
        <w:t>%), down from 39% (FPC: 47%) at FY 22. Net debt to EBITDA improved to 8.0x from 10.4x. At 31 December 2023, the Group had liquidity of</w:t>
      </w:r>
      <w:r w:rsidRPr="00F61C44">
        <w:rPr>
          <w:rFonts w:ascii="IBM Plex Sans Light" w:hAnsi="IBM Plex Sans Light"/>
        </w:rPr>
        <w:t xml:space="preserve"> </w:t>
      </w:r>
      <w:r w:rsidRPr="00F61C44">
        <w:rPr>
          <w:rFonts w:ascii="IBM Plex Sans Light" w:hAnsi="IBM Plex Sans Light"/>
          <w:lang w:val="en-US"/>
        </w:rPr>
        <w:t>£1.2bn in the form of cash balances (£570m) and undrawn committed RCFs (£655m), and had no significant unsecured refinancing requirements until 2026 not covered by existing cash.</w:t>
      </w:r>
    </w:p>
    <w:p w14:paraId="52D14881" w14:textId="77777777" w:rsidR="00F61C44" w:rsidRPr="00F61C44" w:rsidRDefault="00F61C44" w:rsidP="00F61C44">
      <w:pPr>
        <w:spacing w:afterLines="60" w:after="144" w:line="240" w:lineRule="auto"/>
        <w:ind w:right="28"/>
        <w:rPr>
          <w:rFonts w:ascii="IBM Plex Sans Medium" w:hAnsi="IBM Plex Sans Medium"/>
          <w:b/>
          <w:color w:val="3D7FE0" w:themeColor="accent1"/>
          <w:sz w:val="20"/>
          <w:szCs w:val="18"/>
        </w:rPr>
      </w:pPr>
      <w:r w:rsidRPr="00F61C44">
        <w:rPr>
          <w:rFonts w:ascii="IBM Plex Sans Medium" w:hAnsi="IBM Plex Sans Medium"/>
          <w:b/>
          <w:color w:val="3D7FE0" w:themeColor="accent1"/>
          <w:sz w:val="20"/>
          <w:szCs w:val="18"/>
        </w:rPr>
        <w:t>Environmental, Social and Governance</w:t>
      </w:r>
    </w:p>
    <w:p w14:paraId="41D760D1"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 xml:space="preserve">Our ESG agenda grew in 2023, with a continued focus on achieving our targets, addressing both the Climate and Nature emergencies, whilst continuing to deliver an expanded Social Value </w:t>
      </w:r>
      <w:proofErr w:type="spellStart"/>
      <w:r w:rsidRPr="00F61C44">
        <w:rPr>
          <w:rFonts w:ascii="IBM Plex Sans Light" w:hAnsi="IBM Plex Sans Light"/>
          <w:lang w:val="en-US"/>
        </w:rPr>
        <w:t>programme</w:t>
      </w:r>
      <w:proofErr w:type="spellEnd"/>
      <w:r w:rsidRPr="00F61C44">
        <w:rPr>
          <w:rFonts w:ascii="IBM Plex Sans Light" w:hAnsi="IBM Plex Sans Light"/>
          <w:lang w:val="en-US"/>
        </w:rPr>
        <w:t>.</w:t>
      </w:r>
    </w:p>
    <w:p w14:paraId="7EAA179A"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 xml:space="preserve">We commenced our Net Zero Asset Plan (NZAP) </w:t>
      </w:r>
      <w:proofErr w:type="spellStart"/>
      <w:r w:rsidRPr="00F61C44">
        <w:rPr>
          <w:rFonts w:ascii="IBM Plex Sans Light" w:hAnsi="IBM Plex Sans Light"/>
          <w:lang w:val="en-US"/>
        </w:rPr>
        <w:t>programme</w:t>
      </w:r>
      <w:proofErr w:type="spellEnd"/>
      <w:r w:rsidRPr="00F61C44">
        <w:rPr>
          <w:rFonts w:ascii="IBM Plex Sans Light" w:hAnsi="IBM Plex Sans Light"/>
          <w:lang w:val="en-US"/>
        </w:rPr>
        <w:t xml:space="preserve"> of works focusing on degasification in Ireland, renewable energy in France, and HVAC and lighting design in the UK. To support this, we also undertook revised Physical Climate Risk Assessments in the UK and Ireland. These combine with our NZAPs to ensure a diligent, asset-centric approach to climate risk mitigation. Alongside the delivery of the NZAP projects across our destinations, renewable energy purchasing with true ‘additionality’ is a central pillar of our Net Zero transition and we are proactively seeking a Corporate Power Purchase Agreement (CPPA) to support our 2025 interim carbon target. Overall, our like-for-like scope 1, 2 and landlord 3 carbon emissions are down 13% year-on-year, and 35% since 2019.</w:t>
      </w:r>
    </w:p>
    <w:p w14:paraId="5E585B71" w14:textId="275410F9"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Our climate and energy focus continues to receive external focus with Pavilions, Swords winning a Best Energy Achievement in Retail and Best Overall Achievement at the Business Energy Achievement Awards 2023 (Ireland) for going gas free in 2023, four years ahead of schedule.</w:t>
      </w:r>
      <w:r w:rsidRPr="00F61C44">
        <w:rPr>
          <w:rFonts w:ascii="IBM Plex Sans Light" w:hAnsi="IBM Plex Sans Light"/>
        </w:rPr>
        <w:t xml:space="preserve"> </w:t>
      </w:r>
      <w:r w:rsidRPr="00F61C44">
        <w:rPr>
          <w:rFonts w:ascii="IBM Plex Sans Light" w:hAnsi="IBM Plex Sans Light"/>
          <w:lang w:val="en-US"/>
        </w:rPr>
        <w:t>In addition to this we have launched a quantifiable program to deliver nature</w:t>
      </w:r>
      <w:r w:rsidR="0065590C">
        <w:rPr>
          <w:rFonts w:ascii="IBM Plex Sans Light" w:hAnsi="IBM Plex Sans Light"/>
          <w:lang w:val="en-US"/>
        </w:rPr>
        <w:t xml:space="preserve"> </w:t>
      </w:r>
      <w:r w:rsidRPr="00F61C44">
        <w:rPr>
          <w:rFonts w:ascii="IBM Plex Sans Light" w:hAnsi="IBM Plex Sans Light"/>
          <w:lang w:val="en-US"/>
        </w:rPr>
        <w:t xml:space="preserve">based action plans for each asset. This </w:t>
      </w:r>
      <w:proofErr w:type="spellStart"/>
      <w:r w:rsidRPr="00F61C44">
        <w:rPr>
          <w:rFonts w:ascii="IBM Plex Sans Light" w:hAnsi="IBM Plex Sans Light"/>
          <w:lang w:val="en-US"/>
        </w:rPr>
        <w:t>recognises</w:t>
      </w:r>
      <w:proofErr w:type="spellEnd"/>
      <w:r w:rsidRPr="00F61C44">
        <w:rPr>
          <w:rFonts w:ascii="IBM Plex Sans Light" w:hAnsi="IBM Plex Sans Light"/>
          <w:lang w:val="en-US"/>
        </w:rPr>
        <w:t xml:space="preserve"> that globally we are experiencing two emergencies, Nature and Climate. The rapid biodiversity loss globally not only needs to be</w:t>
      </w:r>
      <w:r w:rsidRPr="00F61C44">
        <w:rPr>
          <w:rFonts w:ascii="IBM Plex Sans Light" w:hAnsi="IBM Plex Sans Light"/>
        </w:rPr>
        <w:t xml:space="preserve"> </w:t>
      </w:r>
      <w:r w:rsidRPr="00F61C44">
        <w:rPr>
          <w:rFonts w:ascii="IBM Plex Sans Light" w:hAnsi="IBM Plex Sans Light"/>
          <w:lang w:val="en-US"/>
        </w:rPr>
        <w:t>addressed to maintain essential ecosystems but also to ensure a low carbon future aligned to the Paris agreement. In 2023 we took the step to gift a woodland and natural grassland in Lowestoft to the Wildlife Trust. This land gift recognised the natural value of the land over its commercial value and ensure it is preserved for nature and the community for the foreseeable future.</w:t>
      </w:r>
    </w:p>
    <w:p w14:paraId="7EB8D87C" w14:textId="77777777"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 xml:space="preserve">From a Social Value perspective, we delivered asset-centric events to support the communities we serve whilst also continuing to support our corporate charity partner, </w:t>
      </w:r>
      <w:proofErr w:type="spellStart"/>
      <w:r w:rsidRPr="00F61C44">
        <w:rPr>
          <w:rFonts w:ascii="IBM Plex Sans Light" w:hAnsi="IBM Plex Sans Light"/>
          <w:lang w:val="en-US"/>
        </w:rPr>
        <w:t>LandAid</w:t>
      </w:r>
      <w:proofErr w:type="spellEnd"/>
      <w:r w:rsidRPr="00F61C44">
        <w:rPr>
          <w:rFonts w:ascii="IBM Plex Sans Light" w:hAnsi="IBM Plex Sans Light"/>
          <w:lang w:val="en-US"/>
        </w:rPr>
        <w:t>. We also introduced an all-colleague Giving Back Day which coincided with volunteering week and will occur annually in the future. We had very high participation rates of more than 90%, with 152 colleagues taking part doing everything from CV workshops to clearing wetlands.</w:t>
      </w:r>
    </w:p>
    <w:p w14:paraId="14561678"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lang w:val="en-US"/>
        </w:rPr>
        <w:t>We continued to focus on benchmarks identified by our stakeholders as key to their decision making. We rank as one of the top property companies in ISS ESG with a score of C+. We maintained our low-risk rating by Sustainalytics, making us a regional leader, and we also regained our 4-star GRESB rating with a ten-point score improvement to 85 points. We also achieved a related GRESB ESG public disclosure score of 96/100, scoring us an A, which ranks us first out of our peers in our transparency surrounding our ESG practices.</w:t>
      </w:r>
    </w:p>
    <w:p w14:paraId="73C7D46A" w14:textId="5DAF176A" w:rsidR="00F61C44" w:rsidRPr="00024B10" w:rsidRDefault="00827175" w:rsidP="00F61C44">
      <w:pPr>
        <w:spacing w:afterLines="60" w:after="144" w:line="240" w:lineRule="auto"/>
        <w:ind w:right="28"/>
        <w:rPr>
          <w:rFonts w:ascii="IBM Plex Sans" w:hAnsi="IBM Plex Sans"/>
          <w:b/>
          <w:color w:val="3D7FE0" w:themeColor="accent1"/>
          <w:sz w:val="20"/>
          <w:szCs w:val="20"/>
        </w:rPr>
      </w:pPr>
      <w:r w:rsidRPr="00024B10">
        <w:rPr>
          <w:rFonts w:ascii="IBM Plex Sans" w:hAnsi="IBM Plex Sans"/>
          <w:b/>
          <w:color w:val="3D7FE0" w:themeColor="accent1"/>
          <w:sz w:val="20"/>
          <w:szCs w:val="20"/>
        </w:rPr>
        <w:t>CONCLUSION AND</w:t>
      </w:r>
      <w:r w:rsidR="00F61C44" w:rsidRPr="00024B10">
        <w:rPr>
          <w:rFonts w:ascii="IBM Plex Sans" w:hAnsi="IBM Plex Sans"/>
          <w:b/>
          <w:color w:val="3D7FE0" w:themeColor="accent1"/>
          <w:sz w:val="20"/>
          <w:szCs w:val="20"/>
        </w:rPr>
        <w:t xml:space="preserve"> OUTLOOK</w:t>
      </w:r>
    </w:p>
    <w:p w14:paraId="542CDA92" w14:textId="77777777" w:rsidR="00F61C44" w:rsidRPr="00F61C44" w:rsidRDefault="00F61C44" w:rsidP="00F61C44">
      <w:pPr>
        <w:rPr>
          <w:rFonts w:ascii="IBM Plex Sans Light" w:hAnsi="IBM Plex Sans Light"/>
          <w:lang w:val="en-US"/>
        </w:rPr>
      </w:pPr>
      <w:r w:rsidRPr="00F61C44">
        <w:rPr>
          <w:rFonts w:ascii="IBM Plex Sans Light" w:hAnsi="IBM Plex Sans Light"/>
          <w:lang w:val="en-US"/>
        </w:rPr>
        <w:t xml:space="preserve">Since FY 20, we have navigated the Company through a high-risk period of deleveraging and repositioning. We have realigned our portfolio to a core of unique city centre destinations, started to deliver strong investment returns in our properties, and we have ample further opportunity to invest for growth and value creation. In the wider portfolio, we remain capital disciplined and have </w:t>
      </w:r>
      <w:proofErr w:type="spellStart"/>
      <w:r w:rsidRPr="00F61C44">
        <w:rPr>
          <w:rFonts w:ascii="IBM Plex Sans Light" w:hAnsi="IBM Plex Sans Light"/>
          <w:lang w:val="en-US"/>
        </w:rPr>
        <w:t>realised</w:t>
      </w:r>
      <w:proofErr w:type="spellEnd"/>
      <w:r w:rsidRPr="00F61C44">
        <w:rPr>
          <w:rFonts w:ascii="IBM Plex Sans Light" w:hAnsi="IBM Plex Sans Light"/>
          <w:lang w:val="en-US"/>
        </w:rPr>
        <w:t xml:space="preserve"> value from our pre-development and strategic lands, most recently with the exit from Croydon.</w:t>
      </w:r>
    </w:p>
    <w:p w14:paraId="57C9FAD0" w14:textId="035AF4DF" w:rsidR="00F61C44" w:rsidRPr="00F61C44" w:rsidRDefault="00F61C44" w:rsidP="00F61C44">
      <w:pPr>
        <w:rPr>
          <w:rFonts w:ascii="IBM Plex Sans Light" w:hAnsi="IBM Plex Sans Light"/>
          <w:lang w:val="en-US"/>
        </w:rPr>
      </w:pPr>
      <w:r w:rsidRPr="00F61C44">
        <w:rPr>
          <w:rFonts w:ascii="IBM Plex Sans Light" w:hAnsi="IBM Plex Sans Light"/>
          <w:lang w:val="en-US"/>
        </w:rPr>
        <w:t>At the same time, we have transformed our platform. We have become leaner and ‘developed muscle’, with headcount and costs down by more than two-thirds and a quarter respectively since FY 20, but with speed to market and performance increased. We remain committed to a high performance, high engagement culture with the right talent to be fit for the future.</w:t>
      </w:r>
    </w:p>
    <w:p w14:paraId="7AA7ED5A" w14:textId="7A995531" w:rsidR="00F61C44" w:rsidRPr="00F61C44" w:rsidRDefault="00F61C44" w:rsidP="00F61C44">
      <w:pPr>
        <w:spacing w:afterLines="60" w:after="144" w:line="240" w:lineRule="auto"/>
        <w:ind w:right="28"/>
        <w:rPr>
          <w:rFonts w:ascii="IBM Plex Sans Light" w:hAnsi="IBM Plex Sans Light"/>
          <w:lang w:val="en-US"/>
        </w:rPr>
      </w:pPr>
      <w:r w:rsidRPr="00F61C44">
        <w:rPr>
          <w:rFonts w:ascii="IBM Plex Sans Light" w:hAnsi="IBM Plex Sans Light"/>
          <w:lang w:val="en-US"/>
        </w:rPr>
        <w:t>Whilst our eyes are open to the current</w:t>
      </w:r>
      <w:r w:rsidRPr="00F61C44">
        <w:rPr>
          <w:rFonts w:ascii="IBM Plex Sans Light" w:hAnsi="IBM Plex Sans Light"/>
        </w:rPr>
        <w:t xml:space="preserve"> </w:t>
      </w:r>
      <w:r w:rsidRPr="00F61C44">
        <w:rPr>
          <w:rFonts w:ascii="IBM Plex Sans Light" w:hAnsi="IBM Plex Sans Light"/>
          <w:lang w:val="en-US"/>
        </w:rPr>
        <w:t xml:space="preserve">macro-economic environment, our occupiers are thriving and our visitor numbers are on the rise in our realigned portfolio. City </w:t>
      </w:r>
      <w:proofErr w:type="spellStart"/>
      <w:r w:rsidRPr="00F61C44">
        <w:rPr>
          <w:rFonts w:ascii="IBM Plex Sans Light" w:hAnsi="IBM Plex Sans Light"/>
          <w:lang w:val="en-US"/>
        </w:rPr>
        <w:t>centres</w:t>
      </w:r>
      <w:proofErr w:type="spellEnd"/>
      <w:r w:rsidRPr="00F61C44">
        <w:rPr>
          <w:rFonts w:ascii="IBM Plex Sans Light" w:hAnsi="IBM Plex Sans Light"/>
          <w:lang w:val="en-US"/>
        </w:rPr>
        <w:t xml:space="preserve"> remain the dominant locations for commerce and lifestyle. Our destinations are in high demand by occupiers and visitors. The importance of a physical presence in a digitally</w:t>
      </w:r>
      <w:r w:rsidR="0065590C">
        <w:rPr>
          <w:rFonts w:ascii="IBM Plex Sans Light" w:hAnsi="IBM Plex Sans Light"/>
          <w:lang w:val="en-US"/>
        </w:rPr>
        <w:t xml:space="preserve"> </w:t>
      </w:r>
      <w:r w:rsidRPr="00F61C44">
        <w:rPr>
          <w:rFonts w:ascii="IBM Plex Sans Light" w:hAnsi="IBM Plex Sans Light"/>
          <w:lang w:val="en-US"/>
        </w:rPr>
        <w:t>integrated strategy for best-in-class operators is undeniable.</w:t>
      </w:r>
    </w:p>
    <w:p w14:paraId="17499633" w14:textId="77777777" w:rsidR="00F61C44" w:rsidRPr="00F61C44" w:rsidRDefault="00F61C44" w:rsidP="00F61C44">
      <w:pPr>
        <w:spacing w:afterLines="60" w:after="144" w:line="240" w:lineRule="auto"/>
        <w:ind w:right="28"/>
        <w:rPr>
          <w:rFonts w:ascii="IBM Plex Sans Light" w:hAnsi="IBM Plex Sans Light"/>
        </w:rPr>
      </w:pPr>
      <w:r w:rsidRPr="00F61C44">
        <w:rPr>
          <w:rFonts w:ascii="IBM Plex Sans Light" w:hAnsi="IBM Plex Sans Light"/>
          <w:lang w:val="en-US"/>
        </w:rPr>
        <w:t>Over time, we have a unique opportunity to complement our core with a broader mix of uses by repurposing existing space, consolidating, and unlocking value on adjacent land. We have a strong platform with long term visibility of income. We are confident in our ability to grow top line and earnings off a new base, and therefore create value for shareholders in the years to come.</w:t>
      </w:r>
    </w:p>
    <w:p w14:paraId="543C567D" w14:textId="77777777" w:rsidR="00AE1E5C" w:rsidRDefault="00AE1E5C" w:rsidP="00AE1E5C">
      <w:pPr>
        <w:pStyle w:val="06SubHeading1Fronttext9105"/>
        <w:rPr>
          <w:color w:val="3D7FE0" w:themeColor="accent1"/>
          <w:sz w:val="22"/>
          <w:szCs w:val="22"/>
        </w:rPr>
      </w:pPr>
    </w:p>
    <w:p w14:paraId="540013C8" w14:textId="29CECBE8" w:rsidR="00AE1E5C" w:rsidRPr="00C92174" w:rsidRDefault="00AE1E5C" w:rsidP="00C92174">
      <w:pPr>
        <w:spacing w:after="0" w:line="240" w:lineRule="auto"/>
        <w:rPr>
          <w:rFonts w:ascii="IBM Plex Sans Medium" w:hAnsi="IBM Plex Sans Medium" w:cs="Arial"/>
          <w:b/>
          <w:caps/>
          <w:sz w:val="24"/>
        </w:rPr>
      </w:pPr>
      <w:r w:rsidRPr="00C92174">
        <w:rPr>
          <w:rFonts w:ascii="IBM Plex Sans Medium" w:hAnsi="IBM Plex Sans Medium" w:cs="Arial"/>
          <w:b/>
          <w:caps/>
          <w:sz w:val="24"/>
        </w:rPr>
        <w:t>FINANCIAL REVIEW</w:t>
      </w:r>
    </w:p>
    <w:p w14:paraId="2203B813" w14:textId="77777777" w:rsidR="00AE1E5C" w:rsidRPr="00257253" w:rsidRDefault="00AE1E5C" w:rsidP="00AE1E5C">
      <w:pPr>
        <w:pStyle w:val="06SubHeading1Fronttext9105"/>
        <w:spacing w:before="120"/>
        <w:rPr>
          <w:color w:val="3D7FE0" w:themeColor="accent1"/>
          <w:sz w:val="20"/>
          <w:szCs w:val="20"/>
        </w:rPr>
      </w:pPr>
      <w:r w:rsidRPr="00257253">
        <w:rPr>
          <w:color w:val="3D7FE0" w:themeColor="accent1"/>
          <w:sz w:val="20"/>
          <w:szCs w:val="20"/>
        </w:rPr>
        <w:lastRenderedPageBreak/>
        <w:t>Overview</w:t>
      </w:r>
    </w:p>
    <w:p w14:paraId="03B97145" w14:textId="77777777" w:rsidR="00AE1E5C" w:rsidRDefault="00AE1E5C" w:rsidP="00AE1E5C">
      <w:pPr>
        <w:pStyle w:val="04BodyCopyFronttext9105"/>
      </w:pPr>
      <w:r>
        <w:t>2023 has been another year of significant financial progress.</w:t>
      </w:r>
    </w:p>
    <w:p w14:paraId="7C3B18AA" w14:textId="654257A0" w:rsidR="00AE1E5C" w:rsidRDefault="00AE1E5C" w:rsidP="00AE1E5C">
      <w:pPr>
        <w:pStyle w:val="04BodyCopyFronttext9105"/>
        <w:spacing w:before="120"/>
      </w:pPr>
      <w:r>
        <w:t>Adjusted earnings for 2023 of £116m were 11% higher than 2022. Key drivers were underlying rental growth; lower gross administration and net finance costs; higher earnings from Value Retail; partly offset by income foregone from disposals. We returned to the payment of cash dividends. In addition to the interim dividend of 0.72p per share, the Directors have recommended a final dividend of 0.78p per share</w:t>
      </w:r>
      <w:r w:rsidR="00A356F8">
        <w:t>, bringing the full year cash dividend to 1.50p per share</w:t>
      </w:r>
      <w:r>
        <w:t>.</w:t>
      </w:r>
    </w:p>
    <w:p w14:paraId="022E1F3B" w14:textId="77777777" w:rsidR="00AE1E5C" w:rsidRDefault="00AE1E5C" w:rsidP="00AE1E5C">
      <w:pPr>
        <w:pStyle w:val="04BodyCopyFronttext9105"/>
        <w:spacing w:before="120"/>
      </w:pPr>
      <w:r>
        <w:t xml:space="preserve">IFRS reported losses decreased to £51m compared with £164m in 2022. The reduction was due to lower revaluation losses, principally associated with outward yield shift, of £127m in 2023 compared with £282m in 2022. </w:t>
      </w:r>
    </w:p>
    <w:p w14:paraId="3E70DC72" w14:textId="77777777" w:rsidR="00AE1E5C" w:rsidRDefault="00AE1E5C" w:rsidP="00AE1E5C">
      <w:pPr>
        <w:pStyle w:val="04BodyCopyFronttext9105"/>
        <w:spacing w:before="120"/>
      </w:pPr>
      <w:r>
        <w:t>Net assets at 31 December 2023 were £2,463m (2022: £2,586m). EPRA NTA per share was 51p (2022:53p), equivalent to a total accounting return of -2.1% (2022: -6.8%).</w:t>
      </w:r>
    </w:p>
    <w:p w14:paraId="0AC5DC3C" w14:textId="3D28884A" w:rsidR="00AE1E5C" w:rsidRDefault="00AE1E5C" w:rsidP="00AE1E5C">
      <w:pPr>
        <w:pStyle w:val="04BodyCopyFronttext9105"/>
        <w:spacing w:before="120"/>
      </w:pPr>
      <w:r>
        <w:t xml:space="preserve">Net debt reduced by £406m, or 23%, to £1,326m at 31 December 2023 benefiting from disposal proceeds of £216m, the derecognition of £125m of secured debt, £104m of cash generated from operations and £74m of distributions from Value Retail. The reduction strengthened the Group’s balance sheet and credit metrics, with </w:t>
      </w:r>
      <w:proofErr w:type="spellStart"/>
      <w:r>
        <w:t>year end</w:t>
      </w:r>
      <w:proofErr w:type="spellEnd"/>
      <w:r>
        <w:t xml:space="preserve"> headline LTV of 34% (2022: 39%) and LTV on a fully proportional consolidation basis of 44% (2022: 47%). Net </w:t>
      </w:r>
      <w:proofErr w:type="spellStart"/>
      <w:r>
        <w:t>debt:EBITDA</w:t>
      </w:r>
      <w:proofErr w:type="spellEnd"/>
      <w:r>
        <w:t xml:space="preserve"> improved to 8.0x (2022: 10.4x). The Group also has ample liquidity in cash and undrawn committed facilities of £1.2bn.</w:t>
      </w:r>
    </w:p>
    <w:p w14:paraId="639E939B" w14:textId="77777777" w:rsidR="00AE1E5C" w:rsidRDefault="00AE1E5C" w:rsidP="00AE1E5C">
      <w:pPr>
        <w:pStyle w:val="04BodyCopyFronttext9105"/>
      </w:pPr>
    </w:p>
    <w:p w14:paraId="559188C9" w14:textId="77777777" w:rsidR="00AE1E5C" w:rsidRPr="00024B10" w:rsidRDefault="00AE1E5C" w:rsidP="00AE1E5C">
      <w:pPr>
        <w:pStyle w:val="06SubHeading1Fronttext9105"/>
        <w:rPr>
          <w:color w:val="3D7FE0" w:themeColor="accent1"/>
          <w:sz w:val="20"/>
          <w:szCs w:val="20"/>
        </w:rPr>
      </w:pPr>
      <w:r w:rsidRPr="00024B10">
        <w:rPr>
          <w:color w:val="3D7FE0" w:themeColor="accent1"/>
          <w:sz w:val="20"/>
          <w:szCs w:val="20"/>
        </w:rPr>
        <w:t xml:space="preserve">Presentation of financial information </w:t>
      </w:r>
    </w:p>
    <w:p w14:paraId="4B395AF0" w14:textId="77777777" w:rsidR="00AE1E5C" w:rsidRPr="00B136F3" w:rsidRDefault="00AE1E5C" w:rsidP="00AE1E5C">
      <w:pPr>
        <w:pStyle w:val="06SubHeading2Fronttext9105"/>
        <w:rPr>
          <w:color w:val="3D7FE0" w:themeColor="accent1"/>
        </w:rPr>
      </w:pPr>
      <w:r w:rsidRPr="00B136F3">
        <w:rPr>
          <w:color w:val="3D7FE0" w:themeColor="accent1"/>
        </w:rPr>
        <w:t>IFRS vs Proportional consolidation</w:t>
      </w:r>
    </w:p>
    <w:p w14:paraId="726293CF" w14:textId="77777777" w:rsidR="00AE1E5C" w:rsidRDefault="00AE1E5C" w:rsidP="00AE1E5C">
      <w:pPr>
        <w:pStyle w:val="04BodyCopyFronttext9105"/>
        <w:spacing w:before="120"/>
      </w:pPr>
      <w:r>
        <w:t xml:space="preserve">The Group’s property portfolio comprises properties that are either wholly owned or co-owned with third parties. </w:t>
      </w:r>
    </w:p>
    <w:p w14:paraId="4ACD583F" w14:textId="77777777" w:rsidR="00AE1E5C" w:rsidRDefault="00AE1E5C" w:rsidP="00AE1E5C">
      <w:pPr>
        <w:pStyle w:val="04BodyCopyFronttext9105"/>
        <w:spacing w:before="120"/>
      </w:pPr>
      <w:r>
        <w:t>While the Group prepares its financial statements under IFRS (the ‘Reported Group’), the Group evaluates the performance of its portfolio for internal management reporting by aggregating its wholly owned businesses together with its share of joint ventures and associates which are under the Group’s management (‘Share of Property interests’) on a proportionally consolidated basis, line-by-line (in total described as the Group’s ‘Managed portfolio’).</w:t>
      </w:r>
    </w:p>
    <w:p w14:paraId="42BF4007" w14:textId="77777777" w:rsidR="00AE1E5C" w:rsidRDefault="00AE1E5C" w:rsidP="00AE1E5C">
      <w:pPr>
        <w:pStyle w:val="04BodyCopyFronttext9105"/>
        <w:spacing w:before="120"/>
      </w:pPr>
      <w:r>
        <w:t>The Group’s investment in Value Retail is not proportionally consolidated because it is not under the Group’s management, is independently financed and has differing operating metrics to the Group’s Managed portfolio. Accordingly, it is accounted for separately as ‘Share of results of associates’ as reported under IFRS and is also excluded from the Group’s proportionally consolidated key metrics such as net debt or like-for-like net rental income growth.</w:t>
      </w:r>
    </w:p>
    <w:p w14:paraId="3E082FE6" w14:textId="77777777" w:rsidR="00AE1E5C" w:rsidRDefault="00AE1E5C" w:rsidP="00AE1E5C">
      <w:pPr>
        <w:pStyle w:val="04BodyCopyFronttext9105"/>
        <w:spacing w:before="120"/>
      </w:pPr>
      <w:r>
        <w:t xml:space="preserve">However, for certain of the Group’s Alternative Performance Measures (APMs), for enhanced transparency, we do disclose certain metrics combining both the Managed portfolio and </w:t>
      </w:r>
      <w:r>
        <w:rPr>
          <w:spacing w:val="-6"/>
        </w:rPr>
        <w:t>Value Retail. These include property valuations,</w:t>
      </w:r>
      <w:r>
        <w:t xml:space="preserve"> property returns and certain credit metrics.</w:t>
      </w:r>
    </w:p>
    <w:p w14:paraId="5B225ED9" w14:textId="77777777" w:rsidR="00AE1E5C" w:rsidRDefault="00AE1E5C" w:rsidP="00AE1E5C">
      <w:pPr>
        <w:pStyle w:val="04BodyCopyFronttext9105"/>
        <w:spacing w:before="120"/>
      </w:pPr>
      <w:r>
        <w:t>Both IFRS and Management reporting bases are presented in the Group’s financial statements with supporting analysis and reconciliations between management and IFRS bases in the Additional Information section.</w:t>
      </w:r>
    </w:p>
    <w:p w14:paraId="509D91EF" w14:textId="77777777" w:rsidR="00AE1E5C" w:rsidRDefault="00AE1E5C" w:rsidP="00AE1E5C">
      <w:pPr>
        <w:pStyle w:val="04BodyCopyFronttext9105"/>
        <w:spacing w:before="120"/>
      </w:pPr>
    </w:p>
    <w:p w14:paraId="47F45544" w14:textId="77777777" w:rsidR="00AE1E5C" w:rsidRPr="00820AA9" w:rsidRDefault="00AE1E5C" w:rsidP="00AE1E5C">
      <w:pPr>
        <w:spacing w:after="120" w:line="240" w:lineRule="auto"/>
        <w:rPr>
          <w:rFonts w:ascii="IBM Plex Sans Medium" w:hAnsi="IBM Plex Sans Medium"/>
          <w:b/>
          <w:bCs/>
          <w:color w:val="4472C4"/>
          <w:szCs w:val="18"/>
        </w:rPr>
      </w:pPr>
      <w:r w:rsidRPr="00820AA9">
        <w:rPr>
          <w:rFonts w:ascii="IBM Plex Sans Medium" w:hAnsi="IBM Plex Sans Medium"/>
          <w:b/>
          <w:bCs/>
          <w:color w:val="4472C4"/>
          <w:szCs w:val="18"/>
        </w:rPr>
        <w:t>Management reporting and IFRS accounting treatment</w:t>
      </w:r>
    </w:p>
    <w:tbl>
      <w:tblPr>
        <w:tblStyle w:val="IDBasicTable"/>
        <w:tblW w:w="9865" w:type="dxa"/>
        <w:tblLook w:val="04A0" w:firstRow="1" w:lastRow="0" w:firstColumn="1" w:lastColumn="0" w:noHBand="0" w:noVBand="1"/>
      </w:tblPr>
      <w:tblGrid>
        <w:gridCol w:w="2268"/>
        <w:gridCol w:w="3969"/>
        <w:gridCol w:w="3628"/>
      </w:tblGrid>
      <w:tr w:rsidR="00AE1E5C" w:rsidRPr="004A58EF" w14:paraId="143A5AAF" w14:textId="77777777" w:rsidTr="004203CD">
        <w:trPr>
          <w:trHeight w:val="170"/>
        </w:trPr>
        <w:tc>
          <w:tcPr>
            <w:tcW w:w="2268" w:type="dxa"/>
            <w:tcBorders>
              <w:bottom w:val="single" w:sz="2" w:space="0" w:color="3D7FE0" w:themeColor="accent1"/>
            </w:tcBorders>
          </w:tcPr>
          <w:p w14:paraId="0377EA92" w14:textId="77777777" w:rsidR="00AE1E5C" w:rsidRPr="00820AA9" w:rsidRDefault="00AE1E5C" w:rsidP="004203CD">
            <w:pPr>
              <w:rPr>
                <w:rFonts w:ascii="IBM Plex Sans Light" w:hAnsi="IBM Plex Sans Light"/>
                <w:color w:val="4472C4"/>
                <w:lang w:eastAsia="en-GB"/>
              </w:rPr>
            </w:pPr>
          </w:p>
        </w:tc>
        <w:tc>
          <w:tcPr>
            <w:tcW w:w="3969" w:type="dxa"/>
            <w:tcBorders>
              <w:bottom w:val="single" w:sz="2" w:space="0" w:color="3D7FE0" w:themeColor="accent1"/>
            </w:tcBorders>
            <w:vAlign w:val="bottom"/>
          </w:tcPr>
          <w:p w14:paraId="2A6EA6DA" w14:textId="77777777" w:rsidR="00AE1E5C" w:rsidRPr="00820AA9" w:rsidRDefault="00AE1E5C" w:rsidP="004203CD">
            <w:pPr>
              <w:ind w:left="137"/>
              <w:rPr>
                <w:rFonts w:ascii="IBM Plex Sans Light" w:hAnsi="IBM Plex Sans Light"/>
                <w:color w:val="3D7FE0" w:themeColor="accent1"/>
                <w:sz w:val="16"/>
                <w:szCs w:val="22"/>
                <w:lang w:eastAsia="en-GB"/>
              </w:rPr>
            </w:pPr>
            <w:r w:rsidRPr="00820AA9">
              <w:rPr>
                <w:rFonts w:ascii="IBM Plex Sans Light" w:hAnsi="IBM Plex Sans Light"/>
                <w:b/>
                <w:bCs/>
                <w:color w:val="3D7FE0" w:themeColor="accent1"/>
                <w:sz w:val="16"/>
                <w:szCs w:val="22"/>
              </w:rPr>
              <w:t>Comprising properties which are</w:t>
            </w:r>
          </w:p>
        </w:tc>
        <w:tc>
          <w:tcPr>
            <w:tcW w:w="3628" w:type="dxa"/>
            <w:tcBorders>
              <w:bottom w:val="single" w:sz="2" w:space="0" w:color="3D7FE0" w:themeColor="accent1"/>
            </w:tcBorders>
            <w:vAlign w:val="bottom"/>
          </w:tcPr>
          <w:p w14:paraId="7203BB6E" w14:textId="77777777" w:rsidR="00AE1E5C" w:rsidRPr="00820AA9" w:rsidRDefault="00AE1E5C" w:rsidP="004203CD">
            <w:pPr>
              <w:pStyle w:val="TablesTText"/>
              <w:rPr>
                <w:rFonts w:ascii="IBM Plex Sans Light" w:hAnsi="IBM Plex Sans Light"/>
                <w:b/>
                <w:bCs/>
                <w:color w:val="3D7FE0" w:themeColor="accent1"/>
                <w:spacing w:val="-4"/>
                <w:sz w:val="16"/>
              </w:rPr>
            </w:pPr>
            <w:r w:rsidRPr="00820AA9">
              <w:rPr>
                <w:rFonts w:ascii="IBM Plex Sans Light" w:hAnsi="IBM Plex Sans Light"/>
                <w:b/>
                <w:bCs/>
                <w:color w:val="3D7FE0" w:themeColor="accent1"/>
                <w:spacing w:val="-4"/>
                <w:sz w:val="16"/>
              </w:rPr>
              <w:t>Accounting treatment</w:t>
            </w:r>
          </w:p>
        </w:tc>
      </w:tr>
      <w:tr w:rsidR="00AE1E5C" w:rsidRPr="004A58EF" w14:paraId="6076ED02" w14:textId="77777777" w:rsidTr="004203CD">
        <w:tc>
          <w:tcPr>
            <w:tcW w:w="2268" w:type="dxa"/>
            <w:tcBorders>
              <w:top w:val="single" w:sz="2" w:space="0" w:color="3D7FE0" w:themeColor="accent1"/>
            </w:tcBorders>
          </w:tcPr>
          <w:p w14:paraId="1DB59875" w14:textId="77777777" w:rsidR="00AE1E5C" w:rsidRPr="004A58EF" w:rsidRDefault="00AE1E5C" w:rsidP="004203CD">
            <w:pPr>
              <w:pStyle w:val="TablesTText"/>
              <w:rPr>
                <w:rFonts w:ascii="IBM Plex Sans Light" w:hAnsi="IBM Plex Sans Light"/>
                <w:b/>
                <w:bCs/>
                <w:spacing w:val="-4"/>
                <w:sz w:val="18"/>
              </w:rPr>
            </w:pPr>
            <w:r w:rsidRPr="004A58EF">
              <w:rPr>
                <w:rFonts w:ascii="IBM Plex Sans Light" w:hAnsi="IBM Plex Sans Light"/>
                <w:b/>
                <w:bCs/>
                <w:spacing w:val="-4"/>
                <w:sz w:val="18"/>
              </w:rPr>
              <w:t>Management reporting</w:t>
            </w:r>
          </w:p>
        </w:tc>
        <w:tc>
          <w:tcPr>
            <w:tcW w:w="3969" w:type="dxa"/>
            <w:tcBorders>
              <w:top w:val="single" w:sz="2" w:space="0" w:color="3D7FE0" w:themeColor="accent1"/>
            </w:tcBorders>
          </w:tcPr>
          <w:p w14:paraId="5AA692C6" w14:textId="77777777" w:rsidR="00AE1E5C" w:rsidRPr="004A58EF" w:rsidRDefault="00AE1E5C" w:rsidP="004203CD">
            <w:pPr>
              <w:pStyle w:val="TablesTColHeadsLeft"/>
              <w:rPr>
                <w:rFonts w:ascii="IBM Plex Sans Light" w:hAnsi="IBM Plex Sans Light"/>
                <w:spacing w:val="-4"/>
                <w:sz w:val="16"/>
              </w:rPr>
            </w:pPr>
          </w:p>
        </w:tc>
        <w:tc>
          <w:tcPr>
            <w:tcW w:w="3628" w:type="dxa"/>
            <w:tcBorders>
              <w:top w:val="single" w:sz="2" w:space="0" w:color="3D7FE0" w:themeColor="accent1"/>
            </w:tcBorders>
          </w:tcPr>
          <w:p w14:paraId="4359A0B4" w14:textId="77777777" w:rsidR="00AE1E5C" w:rsidRPr="004A58EF" w:rsidRDefault="00AE1E5C" w:rsidP="004203CD">
            <w:pPr>
              <w:pStyle w:val="TablesTColHeadsLeft"/>
              <w:rPr>
                <w:rFonts w:ascii="IBM Plex Sans Light" w:hAnsi="IBM Plex Sans Light"/>
                <w:spacing w:val="-4"/>
                <w:sz w:val="16"/>
              </w:rPr>
            </w:pPr>
          </w:p>
        </w:tc>
      </w:tr>
      <w:tr w:rsidR="00AE1E5C" w:rsidRPr="004A58EF" w14:paraId="2407CB3E" w14:textId="77777777" w:rsidTr="004203CD">
        <w:tc>
          <w:tcPr>
            <w:tcW w:w="2268" w:type="dxa"/>
          </w:tcPr>
          <w:p w14:paraId="4D6F5AD7" w14:textId="77777777" w:rsidR="00AE1E5C" w:rsidRPr="004A58EF" w:rsidRDefault="00AE1E5C" w:rsidP="004203CD">
            <w:pPr>
              <w:pStyle w:val="TablesTText"/>
              <w:spacing w:line="240" w:lineRule="auto"/>
              <w:rPr>
                <w:rFonts w:ascii="IBM Plex Sans Light" w:hAnsi="IBM Plex Sans Light"/>
                <w:spacing w:val="-4"/>
                <w:sz w:val="18"/>
              </w:rPr>
            </w:pPr>
            <w:r w:rsidRPr="004A58EF">
              <w:rPr>
                <w:rFonts w:ascii="IBM Plex Sans Light" w:hAnsi="IBM Plex Sans Light"/>
                <w:spacing w:val="-4"/>
                <w:sz w:val="18"/>
              </w:rPr>
              <w:t>Managed portfolio</w:t>
            </w:r>
          </w:p>
        </w:tc>
        <w:tc>
          <w:tcPr>
            <w:tcW w:w="3969" w:type="dxa"/>
          </w:tcPr>
          <w:p w14:paraId="43FCC046"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 xml:space="preserve">Wholly owned and Share of Property interests </w:t>
            </w:r>
          </w:p>
        </w:tc>
        <w:tc>
          <w:tcPr>
            <w:tcW w:w="3628" w:type="dxa"/>
          </w:tcPr>
          <w:p w14:paraId="526912EC" w14:textId="77777777" w:rsidR="00AE1E5C" w:rsidRPr="004A58EF" w:rsidRDefault="00AE1E5C" w:rsidP="004203CD">
            <w:pPr>
              <w:pStyle w:val="TablesTText"/>
              <w:spacing w:line="240" w:lineRule="auto"/>
              <w:rPr>
                <w:rFonts w:ascii="IBM Plex Sans Light" w:hAnsi="IBM Plex Sans Light"/>
                <w:spacing w:val="-4"/>
                <w:sz w:val="18"/>
              </w:rPr>
            </w:pPr>
            <w:r w:rsidRPr="004A58EF">
              <w:rPr>
                <w:rFonts w:ascii="IBM Plex Sans Light" w:hAnsi="IBM Plex Sans Light"/>
                <w:spacing w:val="-4"/>
                <w:sz w:val="18"/>
              </w:rPr>
              <w:t>Proportionally consolidated</w:t>
            </w:r>
          </w:p>
        </w:tc>
      </w:tr>
      <w:tr w:rsidR="00AE1E5C" w:rsidRPr="004A58EF" w14:paraId="4478034F" w14:textId="77777777" w:rsidTr="004203CD">
        <w:trPr>
          <w:trHeight w:val="259"/>
        </w:trPr>
        <w:tc>
          <w:tcPr>
            <w:tcW w:w="2268" w:type="dxa"/>
            <w:tcBorders>
              <w:bottom w:val="single" w:sz="2" w:space="0" w:color="3D7FE0" w:themeColor="accent1"/>
            </w:tcBorders>
          </w:tcPr>
          <w:p w14:paraId="5A0CC564" w14:textId="77777777" w:rsidR="00AE1E5C" w:rsidRPr="004A58EF" w:rsidRDefault="00AE1E5C" w:rsidP="004203CD">
            <w:pPr>
              <w:pStyle w:val="TablesTText"/>
              <w:spacing w:line="240" w:lineRule="auto"/>
              <w:rPr>
                <w:rFonts w:ascii="IBM Plex Sans Light" w:hAnsi="IBM Plex Sans Light"/>
                <w:spacing w:val="-4"/>
                <w:sz w:val="18"/>
              </w:rPr>
            </w:pPr>
            <w:r w:rsidRPr="004A58EF">
              <w:rPr>
                <w:rFonts w:ascii="IBM Plex Sans Light" w:hAnsi="IBM Plex Sans Light"/>
                <w:spacing w:val="-4"/>
                <w:sz w:val="18"/>
              </w:rPr>
              <w:t>Value Retail</w:t>
            </w:r>
          </w:p>
        </w:tc>
        <w:tc>
          <w:tcPr>
            <w:tcW w:w="3969" w:type="dxa"/>
            <w:tcBorders>
              <w:bottom w:val="single" w:sz="2" w:space="0" w:color="3D7FE0" w:themeColor="accent1"/>
            </w:tcBorders>
          </w:tcPr>
          <w:p w14:paraId="36FD6C30"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Held as an associate</w:t>
            </w:r>
          </w:p>
        </w:tc>
        <w:tc>
          <w:tcPr>
            <w:tcW w:w="3628" w:type="dxa"/>
            <w:tcBorders>
              <w:bottom w:val="single" w:sz="2" w:space="0" w:color="3D7FE0" w:themeColor="accent1"/>
            </w:tcBorders>
          </w:tcPr>
          <w:p w14:paraId="332C45A1" w14:textId="77777777" w:rsidR="00AE1E5C" w:rsidRPr="004A58EF" w:rsidRDefault="00AE1E5C" w:rsidP="004203CD">
            <w:pPr>
              <w:pStyle w:val="TablesTText"/>
              <w:spacing w:line="240" w:lineRule="auto"/>
              <w:rPr>
                <w:rFonts w:ascii="IBM Plex Sans Light" w:hAnsi="IBM Plex Sans Light"/>
                <w:spacing w:val="-4"/>
                <w:sz w:val="18"/>
              </w:rPr>
            </w:pPr>
            <w:r w:rsidRPr="004A58EF">
              <w:rPr>
                <w:rFonts w:ascii="IBM Plex Sans Light" w:hAnsi="IBM Plex Sans Light"/>
                <w:spacing w:val="-4"/>
                <w:sz w:val="18"/>
              </w:rPr>
              <w:t>Single line – results/investment in associates</w:t>
            </w:r>
          </w:p>
        </w:tc>
      </w:tr>
      <w:tr w:rsidR="00AE1E5C" w:rsidRPr="004A58EF" w14:paraId="022A55CC" w14:textId="77777777" w:rsidTr="004203CD">
        <w:tc>
          <w:tcPr>
            <w:tcW w:w="2268" w:type="dxa"/>
            <w:tcBorders>
              <w:top w:val="single" w:sz="2" w:space="0" w:color="3D7FE0" w:themeColor="accent1"/>
            </w:tcBorders>
          </w:tcPr>
          <w:p w14:paraId="4B23D506" w14:textId="77777777" w:rsidR="00AE1E5C" w:rsidRPr="004A58EF" w:rsidRDefault="00AE1E5C" w:rsidP="004203CD">
            <w:pPr>
              <w:pStyle w:val="TablesTText"/>
              <w:rPr>
                <w:rFonts w:ascii="IBM Plex Sans Light" w:hAnsi="IBM Plex Sans Light"/>
                <w:b/>
                <w:bCs/>
                <w:spacing w:val="-4"/>
                <w:sz w:val="18"/>
              </w:rPr>
            </w:pPr>
            <w:r w:rsidRPr="004A58EF">
              <w:rPr>
                <w:rFonts w:ascii="IBM Plex Sans Light" w:hAnsi="IBM Plex Sans Light"/>
                <w:b/>
                <w:bCs/>
                <w:spacing w:val="-4"/>
                <w:sz w:val="18"/>
              </w:rPr>
              <w:t xml:space="preserve">IFRS </w:t>
            </w:r>
          </w:p>
        </w:tc>
        <w:tc>
          <w:tcPr>
            <w:tcW w:w="3969" w:type="dxa"/>
            <w:tcBorders>
              <w:top w:val="single" w:sz="2" w:space="0" w:color="3D7FE0" w:themeColor="accent1"/>
            </w:tcBorders>
          </w:tcPr>
          <w:p w14:paraId="38B03387" w14:textId="77777777" w:rsidR="00AE1E5C" w:rsidRPr="004A58EF" w:rsidRDefault="00AE1E5C" w:rsidP="004203CD">
            <w:pPr>
              <w:pStyle w:val="TablesTText"/>
              <w:rPr>
                <w:rFonts w:ascii="IBM Plex Sans Light" w:hAnsi="IBM Plex Sans Light"/>
                <w:b/>
                <w:bCs/>
                <w:spacing w:val="-4"/>
                <w:sz w:val="18"/>
              </w:rPr>
            </w:pPr>
          </w:p>
        </w:tc>
        <w:tc>
          <w:tcPr>
            <w:tcW w:w="3628" w:type="dxa"/>
            <w:tcBorders>
              <w:top w:val="single" w:sz="2" w:space="0" w:color="3D7FE0" w:themeColor="accent1"/>
            </w:tcBorders>
          </w:tcPr>
          <w:p w14:paraId="5AB58E8B" w14:textId="77777777" w:rsidR="00AE1E5C" w:rsidRPr="004A58EF" w:rsidRDefault="00AE1E5C" w:rsidP="004203CD">
            <w:pPr>
              <w:pStyle w:val="TablesTText"/>
              <w:rPr>
                <w:rFonts w:ascii="IBM Plex Sans Light" w:hAnsi="IBM Plex Sans Light"/>
                <w:b/>
                <w:bCs/>
                <w:spacing w:val="-4"/>
                <w:sz w:val="18"/>
              </w:rPr>
            </w:pPr>
          </w:p>
        </w:tc>
      </w:tr>
      <w:tr w:rsidR="00AE1E5C" w:rsidRPr="004A58EF" w14:paraId="37EB302F" w14:textId="77777777" w:rsidTr="004203CD">
        <w:tc>
          <w:tcPr>
            <w:tcW w:w="2268" w:type="dxa"/>
          </w:tcPr>
          <w:p w14:paraId="2D2A2AC8" w14:textId="77777777" w:rsidR="00AE1E5C" w:rsidRPr="004A58EF" w:rsidRDefault="00AE1E5C" w:rsidP="004203CD">
            <w:pPr>
              <w:pStyle w:val="TablesTText"/>
              <w:spacing w:line="240" w:lineRule="auto"/>
              <w:rPr>
                <w:rFonts w:ascii="IBM Plex Sans Light" w:hAnsi="IBM Plex Sans Light"/>
                <w:spacing w:val="-4"/>
                <w:sz w:val="18"/>
                <w:lang w:eastAsia="en-GB"/>
              </w:rPr>
            </w:pPr>
            <w:r w:rsidRPr="004A58EF">
              <w:rPr>
                <w:rFonts w:ascii="IBM Plex Sans Light" w:hAnsi="IBM Plex Sans Light"/>
                <w:spacing w:val="-4"/>
                <w:sz w:val="18"/>
              </w:rPr>
              <w:t xml:space="preserve">Managed portfolio: </w:t>
            </w:r>
          </w:p>
        </w:tc>
        <w:tc>
          <w:tcPr>
            <w:tcW w:w="3969" w:type="dxa"/>
          </w:tcPr>
          <w:p w14:paraId="45B812ED" w14:textId="77777777" w:rsidR="00AE1E5C" w:rsidRPr="004A58EF" w:rsidRDefault="00AE1E5C" w:rsidP="004203CD">
            <w:pPr>
              <w:pStyle w:val="TablesTText"/>
              <w:spacing w:line="240" w:lineRule="auto"/>
              <w:rPr>
                <w:rFonts w:ascii="IBM Plex Sans Light" w:hAnsi="IBM Plex Sans Light"/>
                <w:spacing w:val="-4"/>
                <w:sz w:val="18"/>
                <w:lang w:eastAsia="en-GB"/>
              </w:rPr>
            </w:pPr>
          </w:p>
        </w:tc>
        <w:tc>
          <w:tcPr>
            <w:tcW w:w="3628" w:type="dxa"/>
          </w:tcPr>
          <w:p w14:paraId="41BAD787" w14:textId="77777777" w:rsidR="00AE1E5C" w:rsidRPr="004A58EF" w:rsidRDefault="00AE1E5C" w:rsidP="004203CD">
            <w:pPr>
              <w:pStyle w:val="TablesTText"/>
              <w:spacing w:line="240" w:lineRule="auto"/>
              <w:rPr>
                <w:rFonts w:ascii="IBM Plex Sans Light" w:hAnsi="IBM Plex Sans Light"/>
                <w:spacing w:val="-4"/>
                <w:sz w:val="18"/>
                <w:lang w:eastAsia="en-GB"/>
              </w:rPr>
            </w:pPr>
          </w:p>
        </w:tc>
      </w:tr>
      <w:tr w:rsidR="00AE1E5C" w:rsidRPr="004A58EF" w14:paraId="1D6F55F0" w14:textId="77777777" w:rsidTr="004203CD">
        <w:tc>
          <w:tcPr>
            <w:tcW w:w="2268" w:type="dxa"/>
          </w:tcPr>
          <w:p w14:paraId="54A44241" w14:textId="77777777" w:rsidR="00AE1E5C" w:rsidRPr="004A58EF" w:rsidRDefault="00AE1E5C" w:rsidP="004203CD">
            <w:pPr>
              <w:pStyle w:val="TablesTText"/>
              <w:spacing w:line="240" w:lineRule="auto"/>
              <w:rPr>
                <w:rFonts w:ascii="IBM Plex Sans Light" w:hAnsi="IBM Plex Sans Light"/>
                <w:spacing w:val="-4"/>
                <w:sz w:val="18"/>
              </w:rPr>
            </w:pPr>
            <w:r>
              <w:rPr>
                <w:rFonts w:ascii="IBM Plex Sans Light" w:hAnsi="IBM Plex Sans Light"/>
                <w:spacing w:val="-4"/>
                <w:sz w:val="18"/>
                <w:lang w:eastAsia="en-GB"/>
              </w:rPr>
              <w:t xml:space="preserve"> </w:t>
            </w:r>
            <w:r w:rsidRPr="004A58EF">
              <w:rPr>
                <w:rFonts w:ascii="IBM Plex Sans Light" w:hAnsi="IBM Plex Sans Light"/>
                <w:spacing w:val="-4"/>
                <w:sz w:val="18"/>
                <w:lang w:eastAsia="en-GB"/>
              </w:rPr>
              <w:t>-</w:t>
            </w:r>
            <w:r>
              <w:rPr>
                <w:rFonts w:ascii="IBM Plex Sans Light" w:hAnsi="IBM Plex Sans Light"/>
                <w:spacing w:val="-4"/>
                <w:sz w:val="18"/>
                <w:lang w:eastAsia="en-GB"/>
              </w:rPr>
              <w:t xml:space="preserve"> </w:t>
            </w:r>
            <w:r w:rsidRPr="004A58EF">
              <w:rPr>
                <w:rFonts w:ascii="IBM Plex Sans Light" w:hAnsi="IBM Plex Sans Light"/>
                <w:spacing w:val="-4"/>
                <w:sz w:val="18"/>
                <w:lang w:eastAsia="en-GB"/>
              </w:rPr>
              <w:t>Reported Group</w:t>
            </w:r>
          </w:p>
        </w:tc>
        <w:tc>
          <w:tcPr>
            <w:tcW w:w="3969" w:type="dxa"/>
          </w:tcPr>
          <w:p w14:paraId="3C8EA6E2"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Wholly owned</w:t>
            </w:r>
          </w:p>
          <w:p w14:paraId="47A4FBD3"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Jointly owned</w:t>
            </w:r>
            <w:r w:rsidRPr="00820AA9">
              <w:rPr>
                <w:rFonts w:ascii="IBM Plex Sans Light" w:hAnsi="IBM Plex Sans Light"/>
                <w:spacing w:val="-4"/>
                <w:sz w:val="18"/>
                <w:vertAlign w:val="superscript"/>
              </w:rPr>
              <w:t>1</w:t>
            </w:r>
            <w:r w:rsidRPr="004A58EF">
              <w:rPr>
                <w:rFonts w:ascii="IBM Plex Sans Light" w:hAnsi="IBM Plex Sans Light"/>
                <w:spacing w:val="-4"/>
                <w:sz w:val="18"/>
              </w:rPr>
              <w:t xml:space="preserve"> </w:t>
            </w:r>
          </w:p>
        </w:tc>
        <w:tc>
          <w:tcPr>
            <w:tcW w:w="3628" w:type="dxa"/>
          </w:tcPr>
          <w:p w14:paraId="1F5DB1AF" w14:textId="77777777" w:rsidR="00AE1E5C" w:rsidRPr="004A58EF" w:rsidRDefault="00AE1E5C" w:rsidP="004203CD">
            <w:pPr>
              <w:pStyle w:val="TablesTText"/>
              <w:spacing w:line="240" w:lineRule="auto"/>
              <w:rPr>
                <w:rFonts w:ascii="IBM Plex Sans Light" w:hAnsi="IBM Plex Sans Light"/>
                <w:spacing w:val="-4"/>
                <w:sz w:val="18"/>
                <w:lang w:eastAsia="en-GB"/>
              </w:rPr>
            </w:pPr>
            <w:r w:rsidRPr="004A58EF">
              <w:rPr>
                <w:rFonts w:ascii="IBM Plex Sans Light" w:hAnsi="IBM Plex Sans Light"/>
                <w:spacing w:val="-4"/>
                <w:sz w:val="18"/>
                <w:lang w:eastAsia="en-GB"/>
              </w:rPr>
              <w:t>Fully consolidated</w:t>
            </w:r>
          </w:p>
          <w:p w14:paraId="68764CDB" w14:textId="77777777" w:rsidR="00AE1E5C" w:rsidRPr="004A58EF" w:rsidRDefault="00AE1E5C" w:rsidP="004203CD">
            <w:pPr>
              <w:pStyle w:val="TablesTText"/>
              <w:spacing w:line="240" w:lineRule="auto"/>
              <w:rPr>
                <w:rFonts w:ascii="IBM Plex Sans Light" w:hAnsi="IBM Plex Sans Light"/>
                <w:spacing w:val="-4"/>
                <w:sz w:val="18"/>
              </w:rPr>
            </w:pPr>
            <w:r w:rsidRPr="004A58EF">
              <w:rPr>
                <w:rFonts w:ascii="IBM Plex Sans Light" w:hAnsi="IBM Plex Sans Light"/>
                <w:spacing w:val="-4"/>
                <w:sz w:val="18"/>
                <w:lang w:eastAsia="en-GB"/>
              </w:rPr>
              <w:t xml:space="preserve">Consolidation of Group’s share </w:t>
            </w:r>
          </w:p>
        </w:tc>
      </w:tr>
      <w:tr w:rsidR="00AE1E5C" w:rsidRPr="004A58EF" w14:paraId="77FB32D2" w14:textId="77777777" w:rsidTr="004203CD">
        <w:tc>
          <w:tcPr>
            <w:tcW w:w="2268" w:type="dxa"/>
          </w:tcPr>
          <w:p w14:paraId="53408CA3" w14:textId="77777777" w:rsidR="00AE1E5C" w:rsidRPr="004A58EF" w:rsidRDefault="00AE1E5C" w:rsidP="004203CD">
            <w:pPr>
              <w:pStyle w:val="TablesTText"/>
              <w:spacing w:line="240" w:lineRule="auto"/>
              <w:rPr>
                <w:rFonts w:ascii="IBM Plex Sans Light" w:hAnsi="IBM Plex Sans Light"/>
                <w:spacing w:val="-4"/>
                <w:sz w:val="18"/>
                <w:lang w:eastAsia="en-GB"/>
              </w:rPr>
            </w:pPr>
            <w:r>
              <w:rPr>
                <w:rFonts w:ascii="IBM Plex Sans Light" w:hAnsi="IBM Plex Sans Light"/>
                <w:spacing w:val="-4"/>
                <w:sz w:val="18"/>
              </w:rPr>
              <w:t xml:space="preserve"> </w:t>
            </w:r>
            <w:r w:rsidRPr="004A58EF">
              <w:rPr>
                <w:rFonts w:ascii="IBM Plex Sans Light" w:hAnsi="IBM Plex Sans Light"/>
                <w:spacing w:val="-4"/>
                <w:sz w:val="18"/>
              </w:rPr>
              <w:t>- Share of Property interests</w:t>
            </w:r>
          </w:p>
        </w:tc>
        <w:tc>
          <w:tcPr>
            <w:tcW w:w="3969" w:type="dxa"/>
          </w:tcPr>
          <w:p w14:paraId="6E6028BF"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Held in joint ventures</w:t>
            </w:r>
          </w:p>
          <w:p w14:paraId="7A0817ED"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Held in associates</w:t>
            </w:r>
            <w:r w:rsidRPr="00820AA9">
              <w:rPr>
                <w:rFonts w:ascii="IBM Plex Sans Light" w:hAnsi="IBM Plex Sans Light"/>
                <w:spacing w:val="-4"/>
                <w:sz w:val="18"/>
                <w:vertAlign w:val="superscript"/>
              </w:rPr>
              <w:t>2</w:t>
            </w:r>
            <w:r>
              <w:rPr>
                <w:rFonts w:ascii="IBM Plex Sans Light" w:hAnsi="IBM Plex Sans Light"/>
                <w:spacing w:val="-4"/>
                <w:sz w:val="18"/>
              </w:rPr>
              <w:t xml:space="preserve"> </w:t>
            </w:r>
          </w:p>
        </w:tc>
        <w:tc>
          <w:tcPr>
            <w:tcW w:w="3628" w:type="dxa"/>
          </w:tcPr>
          <w:p w14:paraId="238AD8B5" w14:textId="77777777" w:rsidR="00AE1E5C" w:rsidRPr="004A58EF" w:rsidRDefault="00AE1E5C" w:rsidP="004203CD">
            <w:pPr>
              <w:pStyle w:val="TablesTText"/>
              <w:spacing w:line="240" w:lineRule="auto"/>
              <w:rPr>
                <w:rFonts w:ascii="IBM Plex Sans Light" w:hAnsi="IBM Plex Sans Light"/>
                <w:spacing w:val="-4"/>
                <w:sz w:val="18"/>
              </w:rPr>
            </w:pPr>
            <w:r w:rsidRPr="004A58EF">
              <w:rPr>
                <w:rFonts w:ascii="IBM Plex Sans Light" w:hAnsi="IBM Plex Sans Light"/>
                <w:spacing w:val="-4"/>
                <w:sz w:val="18"/>
              </w:rPr>
              <w:t>Single line - results/investment in joint ventures</w:t>
            </w:r>
          </w:p>
          <w:p w14:paraId="20A86A1A" w14:textId="77777777" w:rsidR="00AE1E5C" w:rsidRPr="004A58EF" w:rsidRDefault="00AE1E5C" w:rsidP="004203CD">
            <w:pPr>
              <w:pStyle w:val="TablesTText"/>
              <w:spacing w:line="240" w:lineRule="auto"/>
              <w:rPr>
                <w:rFonts w:ascii="IBM Plex Sans Light" w:hAnsi="IBM Plex Sans Light"/>
                <w:spacing w:val="-4"/>
                <w:sz w:val="18"/>
                <w:lang w:eastAsia="en-GB"/>
              </w:rPr>
            </w:pPr>
            <w:r w:rsidRPr="004A58EF">
              <w:rPr>
                <w:rFonts w:ascii="IBM Plex Sans Light" w:hAnsi="IBM Plex Sans Light"/>
                <w:spacing w:val="-4"/>
                <w:sz w:val="18"/>
              </w:rPr>
              <w:t>Single line - results/investment in associates</w:t>
            </w:r>
          </w:p>
        </w:tc>
      </w:tr>
      <w:tr w:rsidR="00AE1E5C" w:rsidRPr="004A58EF" w14:paraId="405FE5D7" w14:textId="77777777" w:rsidTr="004203CD">
        <w:tc>
          <w:tcPr>
            <w:tcW w:w="2268" w:type="dxa"/>
            <w:tcBorders>
              <w:bottom w:val="single" w:sz="8" w:space="0" w:color="3D7FE0" w:themeColor="accent1"/>
            </w:tcBorders>
          </w:tcPr>
          <w:p w14:paraId="7AD99826" w14:textId="77777777" w:rsidR="00AE1E5C" w:rsidRPr="004A58EF" w:rsidRDefault="00AE1E5C" w:rsidP="004203CD">
            <w:pPr>
              <w:pStyle w:val="TablesTText"/>
              <w:spacing w:line="240" w:lineRule="auto"/>
              <w:rPr>
                <w:rFonts w:ascii="IBM Plex Sans Light" w:hAnsi="IBM Plex Sans Light"/>
                <w:spacing w:val="-4"/>
                <w:sz w:val="18"/>
                <w:lang w:eastAsia="en-GB"/>
              </w:rPr>
            </w:pPr>
            <w:r w:rsidRPr="004A58EF">
              <w:rPr>
                <w:rFonts w:ascii="IBM Plex Sans Light" w:hAnsi="IBM Plex Sans Light"/>
                <w:spacing w:val="-4"/>
                <w:sz w:val="18"/>
              </w:rPr>
              <w:t>Value Retail</w:t>
            </w:r>
          </w:p>
        </w:tc>
        <w:tc>
          <w:tcPr>
            <w:tcW w:w="3969" w:type="dxa"/>
            <w:tcBorders>
              <w:bottom w:val="single" w:sz="8" w:space="0" w:color="3D7FE0" w:themeColor="accent1"/>
            </w:tcBorders>
          </w:tcPr>
          <w:p w14:paraId="08AEDF5F" w14:textId="77777777" w:rsidR="00AE1E5C" w:rsidRPr="004A58EF" w:rsidRDefault="00AE1E5C" w:rsidP="006B43AF">
            <w:pPr>
              <w:pStyle w:val="TablesTText"/>
              <w:numPr>
                <w:ilvl w:val="0"/>
                <w:numId w:val="26"/>
              </w:numPr>
              <w:spacing w:line="240" w:lineRule="auto"/>
              <w:ind w:left="311" w:hanging="218"/>
              <w:rPr>
                <w:rFonts w:ascii="IBM Plex Sans Light" w:hAnsi="IBM Plex Sans Light"/>
                <w:spacing w:val="-4"/>
                <w:sz w:val="18"/>
              </w:rPr>
            </w:pPr>
            <w:r w:rsidRPr="004A58EF">
              <w:rPr>
                <w:rFonts w:ascii="IBM Plex Sans Light" w:hAnsi="IBM Plex Sans Light"/>
                <w:spacing w:val="-4"/>
                <w:sz w:val="18"/>
              </w:rPr>
              <w:t>Held as an associate</w:t>
            </w:r>
          </w:p>
        </w:tc>
        <w:tc>
          <w:tcPr>
            <w:tcW w:w="3628" w:type="dxa"/>
            <w:tcBorders>
              <w:bottom w:val="single" w:sz="8" w:space="0" w:color="3D7FE0" w:themeColor="accent1"/>
            </w:tcBorders>
          </w:tcPr>
          <w:p w14:paraId="37BBF2D7" w14:textId="77777777" w:rsidR="00AE1E5C" w:rsidRPr="004A58EF" w:rsidRDefault="00AE1E5C" w:rsidP="004203CD">
            <w:pPr>
              <w:pStyle w:val="TablesTText"/>
              <w:spacing w:line="240" w:lineRule="auto"/>
              <w:rPr>
                <w:rFonts w:ascii="IBM Plex Sans Light" w:hAnsi="IBM Plex Sans Light"/>
                <w:spacing w:val="-4"/>
                <w:sz w:val="18"/>
                <w:lang w:eastAsia="en-GB"/>
              </w:rPr>
            </w:pPr>
            <w:r w:rsidRPr="004A58EF">
              <w:rPr>
                <w:rFonts w:ascii="IBM Plex Sans Light" w:hAnsi="IBM Plex Sans Light"/>
                <w:spacing w:val="-4"/>
                <w:sz w:val="18"/>
              </w:rPr>
              <w:t>Single line - results/investment in associates</w:t>
            </w:r>
          </w:p>
        </w:tc>
      </w:tr>
    </w:tbl>
    <w:p w14:paraId="3A014ABD" w14:textId="57015FB0" w:rsidR="00AE1E5C" w:rsidRDefault="00AE1E5C" w:rsidP="00AE1E5C">
      <w:pPr>
        <w:spacing w:before="40" w:after="40"/>
        <w:ind w:left="142" w:right="-142" w:hanging="142"/>
        <w:rPr>
          <w:rFonts w:ascii="IBM Plex Sans Light" w:hAnsi="IBM Plex Sans Light"/>
          <w:sz w:val="16"/>
        </w:rPr>
      </w:pPr>
      <w:r>
        <w:rPr>
          <w:rFonts w:ascii="IBM Plex Sans Light" w:hAnsi="IBM Plex Sans Light"/>
          <w:sz w:val="16"/>
        </w:rPr>
        <w:t>1</w:t>
      </w:r>
      <w:r>
        <w:rPr>
          <w:rFonts w:ascii="IBM Plex Sans Light" w:hAnsi="IBM Plex Sans Light"/>
          <w:sz w:val="16"/>
        </w:rPr>
        <w:tab/>
        <w:t>See note 11</w:t>
      </w:r>
      <w:r w:rsidR="0084584E">
        <w:rPr>
          <w:rFonts w:ascii="IBM Plex Sans Light" w:hAnsi="IBM Plex Sans Light"/>
          <w:sz w:val="16"/>
        </w:rPr>
        <w:t>A</w:t>
      </w:r>
      <w:r>
        <w:rPr>
          <w:rFonts w:ascii="IBM Plex Sans Light" w:hAnsi="IBM Plex Sans Light"/>
          <w:sz w:val="16"/>
        </w:rPr>
        <w:t xml:space="preserve"> to the financial statements for information on the Group’s two joint operations (Pavilions, Swords and Ilac Centre, Dublin)</w:t>
      </w:r>
    </w:p>
    <w:p w14:paraId="5E9D0222" w14:textId="77777777" w:rsidR="00AE1E5C" w:rsidRPr="004A58EF" w:rsidRDefault="00AE1E5C" w:rsidP="00AE1E5C">
      <w:pPr>
        <w:spacing w:after="120"/>
        <w:ind w:left="142" w:right="-142" w:hanging="142"/>
        <w:rPr>
          <w:rFonts w:ascii="IBM Plex Sans Light" w:hAnsi="IBM Plex Sans Light" w:cs="Arial"/>
          <w:szCs w:val="18"/>
        </w:rPr>
      </w:pPr>
      <w:r>
        <w:rPr>
          <w:rFonts w:ascii="IBM Plex Sans Light" w:hAnsi="IBM Plex Sans Light"/>
          <w:sz w:val="16"/>
        </w:rPr>
        <w:t>2</w:t>
      </w:r>
      <w:r>
        <w:rPr>
          <w:rFonts w:ascii="IBM Plex Sans Light" w:hAnsi="IBM Plex Sans Light"/>
          <w:sz w:val="16"/>
        </w:rPr>
        <w:tab/>
        <w:t>Only includes the Group’s 25% investment in Italie Deux until its disposal on 31 March 2023.</w:t>
      </w:r>
    </w:p>
    <w:p w14:paraId="4867CB83" w14:textId="77777777" w:rsidR="00AE1E5C" w:rsidRDefault="00AE1E5C" w:rsidP="00AE1E5C">
      <w:pPr>
        <w:pStyle w:val="06SubHeading2Fronttext9105"/>
        <w:rPr>
          <w:color w:val="3D7FE0" w:themeColor="accent1"/>
        </w:rPr>
      </w:pPr>
    </w:p>
    <w:p w14:paraId="50F72F6A" w14:textId="34776F25" w:rsidR="00AE1E5C" w:rsidRPr="00B136F3" w:rsidRDefault="00AE1E5C" w:rsidP="00AE1E5C">
      <w:pPr>
        <w:pStyle w:val="06SubHeading2Fronttext9105"/>
        <w:rPr>
          <w:color w:val="3D7FE0" w:themeColor="accent1"/>
        </w:rPr>
      </w:pPr>
      <w:r w:rsidRPr="00B136F3">
        <w:rPr>
          <w:color w:val="3D7FE0" w:themeColor="accent1"/>
        </w:rPr>
        <w:t>Derecognition of Highcross and O’Parinor</w:t>
      </w:r>
    </w:p>
    <w:p w14:paraId="35E2D2A5" w14:textId="77777777" w:rsidR="00AE1E5C" w:rsidRDefault="00AE1E5C" w:rsidP="00AE1E5C">
      <w:pPr>
        <w:pStyle w:val="04BodyCopyFronttext9105"/>
        <w:spacing w:before="120"/>
      </w:pPr>
      <w:r>
        <w:t xml:space="preserve">During 2023, the Group derecognised its Highcross and O’Parinor joint ventures in which it had 50% and 25% interests respectively at 31 December 2022. </w:t>
      </w:r>
    </w:p>
    <w:p w14:paraId="59B7D550" w14:textId="77777777" w:rsidR="00AE1E5C" w:rsidRDefault="00AE1E5C" w:rsidP="00AE1E5C">
      <w:pPr>
        <w:pStyle w:val="04BodyCopyFronttext9105"/>
        <w:spacing w:before="120"/>
      </w:pPr>
      <w:r>
        <w:t xml:space="preserve">These two joint ventures had a total of £125m of borrowings secured against their individual property interests. These borrowings were non-recourse to the Group. At 31 December 2022, both loans were in breach of certain conditions and the Group was working constructively with the respective lenders on </w:t>
      </w:r>
      <w:r>
        <w:rPr>
          <w:spacing w:val="-9"/>
        </w:rPr>
        <w:t>options to realise ‘best value’ for all stakeholders.</w:t>
      </w:r>
      <w:r>
        <w:t xml:space="preserve"> </w:t>
      </w:r>
    </w:p>
    <w:p w14:paraId="7C7F41F0" w14:textId="77777777" w:rsidR="00AE1E5C" w:rsidRDefault="00AE1E5C" w:rsidP="00AE1E5C">
      <w:pPr>
        <w:pStyle w:val="04BodyCopyFronttext9105"/>
        <w:spacing w:before="120"/>
      </w:pPr>
      <w:r>
        <w:lastRenderedPageBreak/>
        <w:t xml:space="preserve">On 9 February 2023, a receiver was appointed by the lenders to administer Highcross for the benefit of the creditors. As a result of no longer having joint control, the Group derecognised its share of assets and liabilities, including the property value and £80m of secured borrowings. There was no loss on derecognition as the Group’s joint venture investment in Highcross had been fully impaired at 31 December 2021, from which date the Group had ceased recognising the results of this joint venture in the income statement. </w:t>
      </w:r>
    </w:p>
    <w:p w14:paraId="39119943" w14:textId="6AC0D6D9" w:rsidR="00AE1E5C" w:rsidRDefault="00AE1E5C" w:rsidP="00AE1E5C">
      <w:pPr>
        <w:pStyle w:val="04BodyCopyFronttext9105"/>
        <w:spacing w:before="120"/>
      </w:pPr>
      <w:r>
        <w:t xml:space="preserve">On 30 June 2023, the lenders </w:t>
      </w:r>
      <w:r w:rsidR="0084584E">
        <w:t>t</w:t>
      </w:r>
      <w:r>
        <w:t xml:space="preserve">o O’Parinor took control of the joint venture and the Group therefore impaired its joint venture investment by £22m and derecognised its share of assets and liabilities, including the property value and £45m of secured borrowings. </w:t>
      </w:r>
    </w:p>
    <w:p w14:paraId="73316997" w14:textId="77777777" w:rsidR="00AE1E5C" w:rsidRDefault="00AE1E5C" w:rsidP="00AE1E5C">
      <w:pPr>
        <w:pStyle w:val="06SubHeading2Fronttext9105"/>
      </w:pPr>
    </w:p>
    <w:p w14:paraId="49ACC648" w14:textId="77777777" w:rsidR="00AE1E5C" w:rsidRPr="00B136F3" w:rsidRDefault="00AE1E5C" w:rsidP="00AE1E5C">
      <w:pPr>
        <w:pStyle w:val="06SubHeading2Fronttext9105"/>
        <w:rPr>
          <w:color w:val="3D7FE0" w:themeColor="accent1"/>
        </w:rPr>
      </w:pPr>
      <w:r w:rsidRPr="00B136F3">
        <w:rPr>
          <w:color w:val="3D7FE0" w:themeColor="accent1"/>
        </w:rPr>
        <w:t>Alternative performance measures (APMs)</w:t>
      </w:r>
    </w:p>
    <w:p w14:paraId="043F9EE3" w14:textId="77777777" w:rsidR="00AE1E5C" w:rsidRDefault="00AE1E5C" w:rsidP="00AE1E5C">
      <w:pPr>
        <w:pStyle w:val="04BodyCopyFronttext9105"/>
        <w:spacing w:before="120"/>
      </w:pPr>
      <w:r>
        <w:t xml:space="preserve">The Group uses a number of APMs, being financial measures not specified under IFRS, to monitor the performance of the business. Many of these measures are based on the EPRA Best Practice Recommendations (BPR) reporting framework which aims to improve the transparency, comparability and relevance of the published results of listed European real estate companies. Details on the EPRA BPR </w:t>
      </w:r>
      <w:r>
        <w:rPr>
          <w:spacing w:val="-7"/>
        </w:rPr>
        <w:t>can be found on www.epra.com and the Group’s</w:t>
      </w:r>
      <w:r>
        <w:t xml:space="preserve"> key EPRA metrics are shown in Table 1 of the Additional information.</w:t>
      </w:r>
    </w:p>
    <w:p w14:paraId="17BF1F11" w14:textId="77777777" w:rsidR="00AE1E5C" w:rsidRDefault="00AE1E5C" w:rsidP="00AE1E5C">
      <w:pPr>
        <w:pStyle w:val="04BodyCopyFronttext9105"/>
        <w:spacing w:before="120"/>
      </w:pPr>
      <w:r>
        <w:rPr>
          <w:spacing w:val="-7"/>
        </w:rPr>
        <w:t xml:space="preserve">We present the Group’s results on an IFRS basis </w:t>
      </w:r>
      <w:r>
        <w:t xml:space="preserve">but also on an EPRA, Headline and Adjusted basis as explained in note 1C to the financial statements. The Adjusted basis enables us to monitor the underlying operations of the business on a proportionally consolidated basis as described in the basis of preparation and excludes capital and non-recurring items such as revaluation movements, gains or losses on the disposal of properties or investments, as well as other items which the Directors and management do not consider to be part of the day-to-day operations of the business. Such excluded items are in the main reflective of those excluded for EPRA earnings, but additionally exclude certain cash and non-cash items which we deem not to be reflective of the normal routine operating activities of the Group. We believe that disclosing such non-IFRS measures enables evaluation of the impact of such items on results to facilitate a fuller understanding of performance from period to period. These items, together with EPRA and Headline adjustments are set out in more detail in note 9A to the financial statements. </w:t>
      </w:r>
    </w:p>
    <w:p w14:paraId="1A179649" w14:textId="77777777" w:rsidR="00AE1E5C" w:rsidRDefault="00AE1E5C" w:rsidP="00AE1E5C">
      <w:pPr>
        <w:pStyle w:val="04BodyCopyFronttext9105"/>
        <w:spacing w:before="120"/>
      </w:pPr>
      <w:r>
        <w:t>For 2023, adjusting items additional to EPRA adjusting items comprised:</w:t>
      </w:r>
    </w:p>
    <w:p w14:paraId="15ED3076" w14:textId="77777777" w:rsidR="00AE1E5C" w:rsidRDefault="00AE1E5C" w:rsidP="006B43AF">
      <w:pPr>
        <w:pStyle w:val="07BulletsLevel1Fronttext9105"/>
        <w:numPr>
          <w:ilvl w:val="0"/>
          <w:numId w:val="25"/>
        </w:numPr>
        <w:spacing w:before="60"/>
      </w:pPr>
      <w:r>
        <w:t>Exclusion of a charge of £13.2m (2022: £5.1m) in respect of business transformation costs as the Group continues its implementation of strategic change and refining its operating model. This charge comprises mainly non-</w:t>
      </w:r>
      <w:proofErr w:type="spellStart"/>
      <w:r>
        <w:t>capitalisable</w:t>
      </w:r>
      <w:proofErr w:type="spellEnd"/>
      <w:r>
        <w:t xml:space="preserve"> costs relating to digital transformation as well as severance and other costs associated with team and operational restructuring.</w:t>
      </w:r>
    </w:p>
    <w:p w14:paraId="4768CC59" w14:textId="77777777" w:rsidR="00AE1E5C" w:rsidRDefault="00AE1E5C" w:rsidP="006B43AF">
      <w:pPr>
        <w:pStyle w:val="07BulletsLevel1Fronttext9105"/>
        <w:numPr>
          <w:ilvl w:val="0"/>
          <w:numId w:val="25"/>
        </w:numPr>
        <w:spacing w:before="60"/>
      </w:pPr>
      <w:r>
        <w:t>A charge of £0.3m (2022: credit of £2.4m) to reverse expected credit losses charged to the income statement but where the related income is deferred on the balance sheet such that the exclusion of this removes the distortive mismatch this causes.</w:t>
      </w:r>
    </w:p>
    <w:p w14:paraId="1A7455FD" w14:textId="77777777" w:rsidR="00AE1E5C" w:rsidRDefault="00AE1E5C" w:rsidP="00AE1E5C">
      <w:pPr>
        <w:pStyle w:val="06SubHeading1Fronttext9105"/>
        <w:spacing w:after="0"/>
        <w:rPr>
          <w:color w:val="3D7FE0" w:themeColor="accent1"/>
        </w:rPr>
      </w:pPr>
    </w:p>
    <w:p w14:paraId="7C1394B6" w14:textId="64EFB954" w:rsidR="00AE1E5C" w:rsidRPr="00257253" w:rsidRDefault="00AE1E5C" w:rsidP="00AE1E5C">
      <w:pPr>
        <w:pStyle w:val="06SubHeading1Fronttext9105"/>
        <w:spacing w:after="0"/>
        <w:rPr>
          <w:color w:val="3D7FE0" w:themeColor="accent1"/>
          <w:sz w:val="20"/>
          <w:szCs w:val="20"/>
        </w:rPr>
      </w:pPr>
      <w:r w:rsidRPr="00257253">
        <w:rPr>
          <w:color w:val="3D7FE0" w:themeColor="accent1"/>
          <w:sz w:val="20"/>
          <w:szCs w:val="20"/>
        </w:rPr>
        <w:t xml:space="preserve">INCOME STATEMENT </w:t>
      </w:r>
    </w:p>
    <w:p w14:paraId="163D071A" w14:textId="77777777" w:rsidR="00AE1E5C" w:rsidRDefault="00AE1E5C" w:rsidP="00AE1E5C">
      <w:pPr>
        <w:pStyle w:val="06SubHeading2Fronttext9105"/>
        <w:spacing w:before="120"/>
        <w:rPr>
          <w:color w:val="3D7FE0" w:themeColor="accent1"/>
        </w:rPr>
      </w:pPr>
      <w:r w:rsidRPr="00B136F3">
        <w:rPr>
          <w:color w:val="3D7FE0" w:themeColor="accent1"/>
        </w:rPr>
        <w:t>Summary income statement</w:t>
      </w:r>
    </w:p>
    <w:tbl>
      <w:tblPr>
        <w:tblW w:w="9809" w:type="dxa"/>
        <w:tblLayout w:type="fixed"/>
        <w:tblCellMar>
          <w:left w:w="0" w:type="dxa"/>
          <w:right w:w="0" w:type="dxa"/>
        </w:tblCellMar>
        <w:tblLook w:val="00A0" w:firstRow="1" w:lastRow="0" w:firstColumn="1" w:lastColumn="0" w:noHBand="0" w:noVBand="0"/>
      </w:tblPr>
      <w:tblGrid>
        <w:gridCol w:w="6917"/>
        <w:gridCol w:w="964"/>
        <w:gridCol w:w="964"/>
        <w:gridCol w:w="964"/>
      </w:tblGrid>
      <w:tr w:rsidR="00AE1E5C" w:rsidRPr="00FC2914" w14:paraId="74017DF0" w14:textId="77777777" w:rsidTr="004203CD">
        <w:tc>
          <w:tcPr>
            <w:tcW w:w="6917" w:type="dxa"/>
            <w:tcBorders>
              <w:bottom w:val="single" w:sz="2" w:space="0" w:color="3D7FE0" w:themeColor="accent1"/>
            </w:tcBorders>
            <w:vAlign w:val="bottom"/>
          </w:tcPr>
          <w:p w14:paraId="3E462306" w14:textId="77777777" w:rsidR="00AE1E5C" w:rsidRPr="00FC2914" w:rsidRDefault="00AE1E5C" w:rsidP="004203CD">
            <w:pPr>
              <w:pStyle w:val="TableColHeadsLeft"/>
              <w:spacing w:before="40"/>
              <w:rPr>
                <w:rFonts w:ascii="IBM Plex Sans Light" w:hAnsi="IBM Plex Sans Light"/>
                <w:b/>
                <w:bCs/>
                <w:color w:val="4472C4"/>
                <w:szCs w:val="14"/>
              </w:rPr>
            </w:pPr>
            <w:r w:rsidRPr="00FC2914">
              <w:rPr>
                <w:rFonts w:ascii="IBM Plex Sans Light" w:hAnsi="IBM Plex Sans Light"/>
                <w:b/>
                <w:bCs/>
                <w:color w:val="4472C4"/>
                <w:szCs w:val="14"/>
              </w:rPr>
              <w:br w:type="page"/>
            </w:r>
          </w:p>
        </w:tc>
        <w:tc>
          <w:tcPr>
            <w:tcW w:w="964" w:type="dxa"/>
            <w:tcBorders>
              <w:bottom w:val="single" w:sz="2" w:space="0" w:color="3D7FE0" w:themeColor="accent1"/>
            </w:tcBorders>
            <w:vAlign w:val="bottom"/>
          </w:tcPr>
          <w:p w14:paraId="23BA67F6" w14:textId="77777777" w:rsidR="00AE1E5C" w:rsidRPr="00024B10" w:rsidRDefault="00AE1E5C" w:rsidP="004203CD">
            <w:pPr>
              <w:pStyle w:val="12TBRightColHeaderTableBack"/>
              <w:rPr>
                <w:color w:val="4472C4"/>
              </w:rPr>
            </w:pPr>
            <w:r w:rsidRPr="00024B10">
              <w:rPr>
                <w:rFonts w:cs="Times New Roman"/>
                <w:color w:val="4472C4"/>
                <w:spacing w:val="0"/>
                <w:kern w:val="2"/>
                <w:sz w:val="16"/>
                <w:szCs w:val="24"/>
                <w:lang w:eastAsia="en-US"/>
              </w:rPr>
              <w:t>2023</w:t>
            </w:r>
            <w:r w:rsidRPr="00024B10">
              <w:rPr>
                <w:rFonts w:cs="Times New Roman"/>
                <w:color w:val="4472C4"/>
                <w:spacing w:val="0"/>
                <w:kern w:val="2"/>
                <w:sz w:val="16"/>
                <w:szCs w:val="24"/>
                <w:lang w:eastAsia="en-US"/>
              </w:rPr>
              <w:br/>
              <w:t>£m</w:t>
            </w:r>
          </w:p>
        </w:tc>
        <w:tc>
          <w:tcPr>
            <w:tcW w:w="964" w:type="dxa"/>
            <w:tcBorders>
              <w:bottom w:val="single" w:sz="2" w:space="0" w:color="3D7FE0" w:themeColor="accent1"/>
            </w:tcBorders>
            <w:shd w:val="clear" w:color="auto" w:fill="FFFFFF"/>
            <w:vAlign w:val="bottom"/>
          </w:tcPr>
          <w:p w14:paraId="4133067C" w14:textId="77777777" w:rsidR="00AE1E5C" w:rsidRPr="00FC2914" w:rsidRDefault="00AE1E5C" w:rsidP="004203CD">
            <w:pPr>
              <w:pStyle w:val="12TBRightColHeaderTableBack"/>
              <w:rPr>
                <w:b/>
                <w:bCs/>
                <w:color w:val="4472C4"/>
              </w:rPr>
            </w:pPr>
            <w:r w:rsidRPr="00B136F3">
              <w:rPr>
                <w:sz w:val="16"/>
                <w:szCs w:val="16"/>
              </w:rPr>
              <w:t>2022</w:t>
            </w:r>
            <w:r>
              <w:rPr>
                <w:sz w:val="16"/>
                <w:szCs w:val="16"/>
              </w:rPr>
              <w:br/>
              <w:t>£m</w:t>
            </w:r>
          </w:p>
        </w:tc>
        <w:tc>
          <w:tcPr>
            <w:tcW w:w="964" w:type="dxa"/>
            <w:tcBorders>
              <w:bottom w:val="single" w:sz="2" w:space="0" w:color="3D7FE0" w:themeColor="accent1"/>
            </w:tcBorders>
            <w:shd w:val="clear" w:color="auto" w:fill="FFFFFF" w:themeFill="background1"/>
            <w:vAlign w:val="bottom"/>
          </w:tcPr>
          <w:p w14:paraId="5D8C8CC6" w14:textId="77777777" w:rsidR="00AE1E5C" w:rsidRPr="00FC2914" w:rsidRDefault="00AE1E5C" w:rsidP="004203CD">
            <w:pPr>
              <w:pStyle w:val="12TBRightColHeaderTableBack"/>
              <w:rPr>
                <w:color w:val="4472C4"/>
              </w:rPr>
            </w:pPr>
            <w:r w:rsidRPr="00B136F3">
              <w:rPr>
                <w:sz w:val="16"/>
                <w:szCs w:val="16"/>
              </w:rPr>
              <w:t>Change</w:t>
            </w:r>
            <w:r>
              <w:rPr>
                <w:sz w:val="16"/>
                <w:szCs w:val="16"/>
              </w:rPr>
              <w:br/>
              <w:t>£m</w:t>
            </w:r>
          </w:p>
        </w:tc>
      </w:tr>
      <w:tr w:rsidR="00AE1E5C" w:rsidRPr="00FC2914" w14:paraId="0A677381" w14:textId="77777777" w:rsidTr="004203CD">
        <w:tc>
          <w:tcPr>
            <w:tcW w:w="6917" w:type="dxa"/>
            <w:tcBorders>
              <w:top w:val="single" w:sz="2" w:space="0" w:color="3D7FE0" w:themeColor="accent1"/>
            </w:tcBorders>
            <w:vAlign w:val="bottom"/>
          </w:tcPr>
          <w:p w14:paraId="7849639C"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Gross rental income</w:t>
            </w:r>
          </w:p>
        </w:tc>
        <w:tc>
          <w:tcPr>
            <w:tcW w:w="964" w:type="dxa"/>
            <w:tcBorders>
              <w:top w:val="single" w:sz="2" w:space="0" w:color="3D7FE0" w:themeColor="accent1"/>
            </w:tcBorders>
            <w:vAlign w:val="bottom"/>
          </w:tcPr>
          <w:p w14:paraId="327F4897"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208.4</w:t>
            </w:r>
          </w:p>
        </w:tc>
        <w:tc>
          <w:tcPr>
            <w:tcW w:w="964" w:type="dxa"/>
            <w:tcBorders>
              <w:top w:val="single" w:sz="2" w:space="0" w:color="3D7FE0" w:themeColor="accent1"/>
            </w:tcBorders>
            <w:shd w:val="clear" w:color="auto" w:fill="FFFFFF"/>
            <w:vAlign w:val="bottom"/>
          </w:tcPr>
          <w:p w14:paraId="58109881"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215.2</w:t>
            </w:r>
          </w:p>
        </w:tc>
        <w:tc>
          <w:tcPr>
            <w:tcW w:w="964" w:type="dxa"/>
            <w:tcBorders>
              <w:top w:val="single" w:sz="2" w:space="0" w:color="3D7FE0" w:themeColor="accent1"/>
            </w:tcBorders>
            <w:shd w:val="clear" w:color="auto" w:fill="FFFFFF" w:themeFill="background1"/>
            <w:vAlign w:val="bottom"/>
          </w:tcPr>
          <w:p w14:paraId="0FB769ED"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(6.8)</w:t>
            </w:r>
          </w:p>
        </w:tc>
      </w:tr>
      <w:tr w:rsidR="00AE1E5C" w:rsidRPr="00FC2914" w14:paraId="302E968B" w14:textId="77777777" w:rsidTr="004203CD">
        <w:tc>
          <w:tcPr>
            <w:tcW w:w="6917" w:type="dxa"/>
            <w:tcBorders>
              <w:bottom w:val="single" w:sz="2" w:space="0" w:color="3D7FE0" w:themeColor="accent1"/>
            </w:tcBorders>
            <w:vAlign w:val="bottom"/>
          </w:tcPr>
          <w:p w14:paraId="3DC6DD80"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Net service charge expenses and cost of sales</w:t>
            </w:r>
          </w:p>
        </w:tc>
        <w:tc>
          <w:tcPr>
            <w:tcW w:w="964" w:type="dxa"/>
            <w:tcBorders>
              <w:bottom w:val="single" w:sz="2" w:space="0" w:color="3D7FE0" w:themeColor="accent1"/>
            </w:tcBorders>
            <w:vAlign w:val="bottom"/>
          </w:tcPr>
          <w:p w14:paraId="112C55D7"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(40.9)</w:t>
            </w:r>
          </w:p>
        </w:tc>
        <w:tc>
          <w:tcPr>
            <w:tcW w:w="964" w:type="dxa"/>
            <w:tcBorders>
              <w:bottom w:val="single" w:sz="2" w:space="0" w:color="3D7FE0" w:themeColor="accent1"/>
            </w:tcBorders>
            <w:shd w:val="clear" w:color="auto" w:fill="FFFFFF"/>
            <w:vAlign w:val="bottom"/>
          </w:tcPr>
          <w:p w14:paraId="6CE5C084"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(40.4)</w:t>
            </w:r>
          </w:p>
        </w:tc>
        <w:tc>
          <w:tcPr>
            <w:tcW w:w="964" w:type="dxa"/>
            <w:tcBorders>
              <w:bottom w:val="single" w:sz="2" w:space="0" w:color="3D7FE0" w:themeColor="accent1"/>
            </w:tcBorders>
            <w:shd w:val="clear" w:color="auto" w:fill="FFFFFF" w:themeFill="background1"/>
            <w:vAlign w:val="bottom"/>
          </w:tcPr>
          <w:p w14:paraId="4517769F"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(0.5)</w:t>
            </w:r>
          </w:p>
        </w:tc>
      </w:tr>
      <w:tr w:rsidR="00AE1E5C" w:rsidRPr="00FC2914" w14:paraId="6DF672EA" w14:textId="77777777" w:rsidTr="004203CD">
        <w:tc>
          <w:tcPr>
            <w:tcW w:w="6917" w:type="dxa"/>
            <w:tcBorders>
              <w:top w:val="single" w:sz="2" w:space="0" w:color="3D7FE0" w:themeColor="accent1"/>
            </w:tcBorders>
            <w:vAlign w:val="bottom"/>
          </w:tcPr>
          <w:p w14:paraId="065211BD"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Adjusted net rental income</w:t>
            </w:r>
          </w:p>
        </w:tc>
        <w:tc>
          <w:tcPr>
            <w:tcW w:w="964" w:type="dxa"/>
            <w:tcBorders>
              <w:top w:val="single" w:sz="2" w:space="0" w:color="3D7FE0" w:themeColor="accent1"/>
            </w:tcBorders>
            <w:vAlign w:val="bottom"/>
          </w:tcPr>
          <w:p w14:paraId="157F3ED4"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167.5</w:t>
            </w:r>
          </w:p>
        </w:tc>
        <w:tc>
          <w:tcPr>
            <w:tcW w:w="964" w:type="dxa"/>
            <w:tcBorders>
              <w:top w:val="single" w:sz="2" w:space="0" w:color="3D7FE0" w:themeColor="accent1"/>
            </w:tcBorders>
            <w:shd w:val="clear" w:color="auto" w:fill="FFFFFF"/>
            <w:vAlign w:val="bottom"/>
          </w:tcPr>
          <w:p w14:paraId="4D9A0336"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174.8</w:t>
            </w:r>
          </w:p>
        </w:tc>
        <w:tc>
          <w:tcPr>
            <w:tcW w:w="964" w:type="dxa"/>
            <w:tcBorders>
              <w:top w:val="single" w:sz="2" w:space="0" w:color="3D7FE0" w:themeColor="accent1"/>
            </w:tcBorders>
            <w:shd w:val="clear" w:color="auto" w:fill="FFFFFF" w:themeFill="background1"/>
            <w:vAlign w:val="bottom"/>
          </w:tcPr>
          <w:p w14:paraId="287A114D"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(7.3)</w:t>
            </w:r>
          </w:p>
        </w:tc>
      </w:tr>
      <w:tr w:rsidR="00AE1E5C" w:rsidRPr="00FC2914" w14:paraId="26488DD8" w14:textId="77777777" w:rsidTr="004203CD">
        <w:tc>
          <w:tcPr>
            <w:tcW w:w="6917" w:type="dxa"/>
            <w:vAlign w:val="bottom"/>
          </w:tcPr>
          <w:p w14:paraId="22A360D6" w14:textId="02FF42F7" w:rsidR="00AE1E5C" w:rsidRPr="009B6985" w:rsidRDefault="008B3C5C" w:rsidP="004203CD">
            <w:pPr>
              <w:pStyle w:val="Tabletext"/>
              <w:rPr>
                <w:rFonts w:ascii="IBM Plex Sans Light" w:hAnsi="IBM Plex Sans Light"/>
                <w:sz w:val="18"/>
                <w:szCs w:val="18"/>
              </w:rPr>
            </w:pPr>
            <w:r>
              <w:rPr>
                <w:rFonts w:ascii="IBM Plex Sans Light" w:hAnsi="IBM Plex Sans Light"/>
                <w:spacing w:val="-4"/>
                <w:sz w:val="18"/>
              </w:rPr>
              <w:t>Adjusted g</w:t>
            </w:r>
            <w:r w:rsidR="00AE1E5C" w:rsidRPr="009B6985">
              <w:rPr>
                <w:rFonts w:ascii="IBM Plex Sans Light" w:hAnsi="IBM Plex Sans Light"/>
                <w:spacing w:val="-4"/>
                <w:sz w:val="18"/>
              </w:rPr>
              <w:t>ross administration expenses</w:t>
            </w:r>
          </w:p>
        </w:tc>
        <w:tc>
          <w:tcPr>
            <w:tcW w:w="964" w:type="dxa"/>
            <w:vAlign w:val="bottom"/>
          </w:tcPr>
          <w:p w14:paraId="70C6C5E2"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(51.5)</w:t>
            </w:r>
          </w:p>
        </w:tc>
        <w:tc>
          <w:tcPr>
            <w:tcW w:w="964" w:type="dxa"/>
            <w:shd w:val="clear" w:color="auto" w:fill="FFFFFF"/>
            <w:vAlign w:val="bottom"/>
          </w:tcPr>
          <w:p w14:paraId="14A26EA2"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 xml:space="preserve">(59.8) </w:t>
            </w:r>
          </w:p>
        </w:tc>
        <w:tc>
          <w:tcPr>
            <w:tcW w:w="964" w:type="dxa"/>
            <w:shd w:val="clear" w:color="auto" w:fill="FFFFFF" w:themeFill="background1"/>
            <w:vAlign w:val="bottom"/>
          </w:tcPr>
          <w:p w14:paraId="367AF653"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8.3</w:t>
            </w:r>
          </w:p>
        </w:tc>
      </w:tr>
      <w:tr w:rsidR="00AE1E5C" w:rsidRPr="00FC2914" w14:paraId="233BACAE" w14:textId="77777777" w:rsidTr="004203CD">
        <w:tc>
          <w:tcPr>
            <w:tcW w:w="6917" w:type="dxa"/>
            <w:tcBorders>
              <w:bottom w:val="single" w:sz="2" w:space="0" w:color="3D7FE0" w:themeColor="accent1"/>
            </w:tcBorders>
            <w:vAlign w:val="bottom"/>
          </w:tcPr>
          <w:p w14:paraId="48765A14"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Other income</w:t>
            </w:r>
          </w:p>
        </w:tc>
        <w:tc>
          <w:tcPr>
            <w:tcW w:w="964" w:type="dxa"/>
            <w:tcBorders>
              <w:bottom w:val="single" w:sz="2" w:space="0" w:color="3D7FE0" w:themeColor="accent1"/>
            </w:tcBorders>
            <w:vAlign w:val="bottom"/>
          </w:tcPr>
          <w:p w14:paraId="7F6A9D75"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14.9</w:t>
            </w:r>
          </w:p>
        </w:tc>
        <w:tc>
          <w:tcPr>
            <w:tcW w:w="964" w:type="dxa"/>
            <w:tcBorders>
              <w:bottom w:val="single" w:sz="2" w:space="0" w:color="3D7FE0" w:themeColor="accent1"/>
            </w:tcBorders>
            <w:shd w:val="clear" w:color="auto" w:fill="FFFFFF"/>
            <w:vAlign w:val="bottom"/>
          </w:tcPr>
          <w:p w14:paraId="38279CCC"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17.0</w:t>
            </w:r>
          </w:p>
        </w:tc>
        <w:tc>
          <w:tcPr>
            <w:tcW w:w="964" w:type="dxa"/>
            <w:tcBorders>
              <w:bottom w:val="single" w:sz="2" w:space="0" w:color="3D7FE0" w:themeColor="accent1"/>
            </w:tcBorders>
            <w:shd w:val="clear" w:color="auto" w:fill="FFFFFF" w:themeFill="background1"/>
            <w:vAlign w:val="bottom"/>
          </w:tcPr>
          <w:p w14:paraId="62B70B5C"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(2.1)</w:t>
            </w:r>
          </w:p>
        </w:tc>
      </w:tr>
      <w:tr w:rsidR="00AE1E5C" w:rsidRPr="00FC2914" w14:paraId="62CAB507" w14:textId="77777777" w:rsidTr="004203CD">
        <w:tc>
          <w:tcPr>
            <w:tcW w:w="6917" w:type="dxa"/>
            <w:tcBorders>
              <w:top w:val="single" w:sz="2" w:space="0" w:color="3D7FE0" w:themeColor="accent1"/>
            </w:tcBorders>
            <w:vAlign w:val="bottom"/>
          </w:tcPr>
          <w:p w14:paraId="435C4409"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Profit from operating activities</w:t>
            </w:r>
          </w:p>
        </w:tc>
        <w:tc>
          <w:tcPr>
            <w:tcW w:w="964" w:type="dxa"/>
            <w:tcBorders>
              <w:top w:val="single" w:sz="2" w:space="0" w:color="3D7FE0" w:themeColor="accent1"/>
            </w:tcBorders>
            <w:vAlign w:val="bottom"/>
          </w:tcPr>
          <w:p w14:paraId="45AAE948"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130.9</w:t>
            </w:r>
          </w:p>
        </w:tc>
        <w:tc>
          <w:tcPr>
            <w:tcW w:w="964" w:type="dxa"/>
            <w:tcBorders>
              <w:top w:val="single" w:sz="2" w:space="0" w:color="3D7FE0" w:themeColor="accent1"/>
            </w:tcBorders>
            <w:shd w:val="clear" w:color="auto" w:fill="FFFFFF"/>
            <w:vAlign w:val="bottom"/>
          </w:tcPr>
          <w:p w14:paraId="48C44B18"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132.0</w:t>
            </w:r>
          </w:p>
        </w:tc>
        <w:tc>
          <w:tcPr>
            <w:tcW w:w="964" w:type="dxa"/>
            <w:tcBorders>
              <w:top w:val="single" w:sz="2" w:space="0" w:color="3D7FE0" w:themeColor="accent1"/>
            </w:tcBorders>
            <w:shd w:val="clear" w:color="auto" w:fill="FFFFFF" w:themeFill="background1"/>
            <w:vAlign w:val="bottom"/>
          </w:tcPr>
          <w:p w14:paraId="2D81ACB0"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(1.1)</w:t>
            </w:r>
          </w:p>
        </w:tc>
      </w:tr>
      <w:tr w:rsidR="00AE1E5C" w:rsidRPr="00FC2914" w14:paraId="70C7C52B" w14:textId="77777777" w:rsidTr="004203CD">
        <w:tc>
          <w:tcPr>
            <w:tcW w:w="6917" w:type="dxa"/>
            <w:tcBorders>
              <w:bottom w:val="single" w:sz="2" w:space="0" w:color="3D7FE0" w:themeColor="accent1"/>
            </w:tcBorders>
            <w:vAlign w:val="bottom"/>
          </w:tcPr>
          <w:p w14:paraId="158FA643" w14:textId="15B8A213"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 xml:space="preserve">Value Retail </w:t>
            </w:r>
            <w:r w:rsidR="008B3C5C">
              <w:rPr>
                <w:rFonts w:ascii="IBM Plex Sans Light" w:hAnsi="IBM Plex Sans Light"/>
                <w:spacing w:val="-4"/>
                <w:sz w:val="18"/>
              </w:rPr>
              <w:t>A</w:t>
            </w:r>
            <w:r w:rsidRPr="009B6985">
              <w:rPr>
                <w:rFonts w:ascii="IBM Plex Sans Light" w:hAnsi="IBM Plex Sans Light"/>
                <w:spacing w:val="-4"/>
                <w:sz w:val="18"/>
              </w:rPr>
              <w:t>djusted earnings</w:t>
            </w:r>
          </w:p>
        </w:tc>
        <w:tc>
          <w:tcPr>
            <w:tcW w:w="964" w:type="dxa"/>
            <w:tcBorders>
              <w:bottom w:val="single" w:sz="2" w:space="0" w:color="3D7FE0" w:themeColor="accent1"/>
            </w:tcBorders>
            <w:vAlign w:val="bottom"/>
          </w:tcPr>
          <w:p w14:paraId="42EA0E37"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32.1</w:t>
            </w:r>
          </w:p>
        </w:tc>
        <w:tc>
          <w:tcPr>
            <w:tcW w:w="964" w:type="dxa"/>
            <w:tcBorders>
              <w:bottom w:val="single" w:sz="2" w:space="0" w:color="3D7FE0" w:themeColor="accent1"/>
            </w:tcBorders>
            <w:shd w:val="clear" w:color="auto" w:fill="FFFFFF"/>
            <w:vAlign w:val="bottom"/>
          </w:tcPr>
          <w:p w14:paraId="28301E76"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27.4</w:t>
            </w:r>
          </w:p>
        </w:tc>
        <w:tc>
          <w:tcPr>
            <w:tcW w:w="964" w:type="dxa"/>
            <w:tcBorders>
              <w:bottom w:val="single" w:sz="2" w:space="0" w:color="3D7FE0" w:themeColor="accent1"/>
            </w:tcBorders>
            <w:shd w:val="clear" w:color="auto" w:fill="FFFFFF" w:themeFill="background1"/>
            <w:vAlign w:val="bottom"/>
          </w:tcPr>
          <w:p w14:paraId="590D5D79"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4.7</w:t>
            </w:r>
          </w:p>
        </w:tc>
      </w:tr>
      <w:tr w:rsidR="00AE1E5C" w:rsidRPr="00FC2914" w14:paraId="76C694AC" w14:textId="77777777" w:rsidTr="004203CD">
        <w:tc>
          <w:tcPr>
            <w:tcW w:w="6917" w:type="dxa"/>
            <w:tcBorders>
              <w:top w:val="single" w:sz="2" w:space="0" w:color="3D7FE0" w:themeColor="accent1"/>
            </w:tcBorders>
            <w:vAlign w:val="bottom"/>
          </w:tcPr>
          <w:p w14:paraId="3AE3F723"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Operating profit</w:t>
            </w:r>
          </w:p>
        </w:tc>
        <w:tc>
          <w:tcPr>
            <w:tcW w:w="964" w:type="dxa"/>
            <w:tcBorders>
              <w:top w:val="single" w:sz="2" w:space="0" w:color="3D7FE0" w:themeColor="accent1"/>
            </w:tcBorders>
            <w:vAlign w:val="bottom"/>
          </w:tcPr>
          <w:p w14:paraId="568CBE93"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163.0</w:t>
            </w:r>
          </w:p>
        </w:tc>
        <w:tc>
          <w:tcPr>
            <w:tcW w:w="964" w:type="dxa"/>
            <w:tcBorders>
              <w:top w:val="single" w:sz="2" w:space="0" w:color="3D7FE0" w:themeColor="accent1"/>
            </w:tcBorders>
            <w:shd w:val="clear" w:color="auto" w:fill="FFFFFF"/>
            <w:vAlign w:val="bottom"/>
          </w:tcPr>
          <w:p w14:paraId="7077E477"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159.4</w:t>
            </w:r>
          </w:p>
        </w:tc>
        <w:tc>
          <w:tcPr>
            <w:tcW w:w="964" w:type="dxa"/>
            <w:tcBorders>
              <w:top w:val="single" w:sz="2" w:space="0" w:color="3D7FE0" w:themeColor="accent1"/>
            </w:tcBorders>
            <w:shd w:val="clear" w:color="auto" w:fill="FFFFFF" w:themeFill="background1"/>
            <w:vAlign w:val="bottom"/>
          </w:tcPr>
          <w:p w14:paraId="4284ABFB"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3.6</w:t>
            </w:r>
          </w:p>
        </w:tc>
      </w:tr>
      <w:tr w:rsidR="00AE1E5C" w:rsidRPr="00FC2914" w14:paraId="104499E7" w14:textId="77777777" w:rsidTr="004203CD">
        <w:tc>
          <w:tcPr>
            <w:tcW w:w="6917" w:type="dxa"/>
            <w:vAlign w:val="bottom"/>
          </w:tcPr>
          <w:p w14:paraId="3B42782E"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Adjusted net finance costs</w:t>
            </w:r>
          </w:p>
        </w:tc>
        <w:tc>
          <w:tcPr>
            <w:tcW w:w="964" w:type="dxa"/>
            <w:vAlign w:val="bottom"/>
          </w:tcPr>
          <w:p w14:paraId="0009538F"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(45.9)</w:t>
            </w:r>
          </w:p>
        </w:tc>
        <w:tc>
          <w:tcPr>
            <w:tcW w:w="964" w:type="dxa"/>
            <w:shd w:val="clear" w:color="auto" w:fill="FFFFFF"/>
            <w:vAlign w:val="bottom"/>
          </w:tcPr>
          <w:p w14:paraId="00D73612"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(54.0)</w:t>
            </w:r>
          </w:p>
        </w:tc>
        <w:tc>
          <w:tcPr>
            <w:tcW w:w="964" w:type="dxa"/>
            <w:shd w:val="clear" w:color="auto" w:fill="FFFFFF" w:themeFill="background1"/>
            <w:vAlign w:val="bottom"/>
          </w:tcPr>
          <w:p w14:paraId="5B420EF4"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8.1</w:t>
            </w:r>
          </w:p>
        </w:tc>
      </w:tr>
      <w:tr w:rsidR="00AE1E5C" w:rsidRPr="00FC2914" w14:paraId="43767796" w14:textId="77777777" w:rsidTr="004203CD">
        <w:tc>
          <w:tcPr>
            <w:tcW w:w="6917" w:type="dxa"/>
            <w:tcBorders>
              <w:bottom w:val="single" w:sz="2" w:space="0" w:color="3D7FE0" w:themeColor="accent1"/>
            </w:tcBorders>
            <w:vAlign w:val="bottom"/>
          </w:tcPr>
          <w:p w14:paraId="32D0E100"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Tax charge</w:t>
            </w:r>
          </w:p>
        </w:tc>
        <w:tc>
          <w:tcPr>
            <w:tcW w:w="964" w:type="dxa"/>
            <w:tcBorders>
              <w:bottom w:val="single" w:sz="2" w:space="0" w:color="3D7FE0" w:themeColor="accent1"/>
            </w:tcBorders>
            <w:vAlign w:val="bottom"/>
          </w:tcPr>
          <w:p w14:paraId="12548BAE"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(0.8)</w:t>
            </w:r>
          </w:p>
        </w:tc>
        <w:tc>
          <w:tcPr>
            <w:tcW w:w="964" w:type="dxa"/>
            <w:tcBorders>
              <w:bottom w:val="single" w:sz="2" w:space="0" w:color="3D7FE0" w:themeColor="accent1"/>
            </w:tcBorders>
            <w:shd w:val="clear" w:color="auto" w:fill="FFFFFF"/>
            <w:vAlign w:val="bottom"/>
          </w:tcPr>
          <w:p w14:paraId="507F3B0C"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(0.5)</w:t>
            </w:r>
          </w:p>
        </w:tc>
        <w:tc>
          <w:tcPr>
            <w:tcW w:w="964" w:type="dxa"/>
            <w:tcBorders>
              <w:bottom w:val="single" w:sz="2" w:space="0" w:color="3D7FE0" w:themeColor="accent1"/>
            </w:tcBorders>
            <w:shd w:val="clear" w:color="auto" w:fill="FFFFFF" w:themeFill="background1"/>
            <w:vAlign w:val="bottom"/>
          </w:tcPr>
          <w:p w14:paraId="3C0914F9"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(0.3)</w:t>
            </w:r>
          </w:p>
        </w:tc>
      </w:tr>
      <w:tr w:rsidR="00AE1E5C" w:rsidRPr="00FC2914" w14:paraId="203049C4" w14:textId="77777777" w:rsidTr="004203CD">
        <w:tc>
          <w:tcPr>
            <w:tcW w:w="6917" w:type="dxa"/>
            <w:tcBorders>
              <w:top w:val="single" w:sz="2" w:space="0" w:color="3D7FE0" w:themeColor="accent1"/>
              <w:bottom w:val="single" w:sz="2" w:space="0" w:color="3D7FE0" w:themeColor="accent1"/>
            </w:tcBorders>
            <w:vAlign w:val="bottom"/>
          </w:tcPr>
          <w:p w14:paraId="32D69B3F" w14:textId="77777777" w:rsidR="00AE1E5C" w:rsidRPr="00024B10" w:rsidRDefault="00AE1E5C" w:rsidP="004203CD">
            <w:pPr>
              <w:pStyle w:val="Tabletext"/>
              <w:rPr>
                <w:rFonts w:ascii="IBM Plex Sans Light" w:hAnsi="IBM Plex Sans Light"/>
                <w:b/>
                <w:bCs/>
                <w:sz w:val="18"/>
                <w:szCs w:val="18"/>
              </w:rPr>
            </w:pPr>
            <w:r w:rsidRPr="00024B10">
              <w:rPr>
                <w:rFonts w:ascii="IBM Plex Sans Light" w:hAnsi="IBM Plex Sans Light"/>
                <w:b/>
                <w:bCs/>
                <w:spacing w:val="-4"/>
                <w:sz w:val="18"/>
              </w:rPr>
              <w:t>Adjusted earnings</w:t>
            </w:r>
          </w:p>
        </w:tc>
        <w:tc>
          <w:tcPr>
            <w:tcW w:w="964" w:type="dxa"/>
            <w:tcBorders>
              <w:top w:val="single" w:sz="2" w:space="0" w:color="3D7FE0" w:themeColor="accent1"/>
              <w:bottom w:val="single" w:sz="2" w:space="0" w:color="3D7FE0" w:themeColor="accent1"/>
            </w:tcBorders>
            <w:vAlign w:val="bottom"/>
          </w:tcPr>
          <w:p w14:paraId="6E0E8CFC"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116.3</w:t>
            </w:r>
          </w:p>
        </w:tc>
        <w:tc>
          <w:tcPr>
            <w:tcW w:w="964" w:type="dxa"/>
            <w:tcBorders>
              <w:top w:val="single" w:sz="2" w:space="0" w:color="3D7FE0" w:themeColor="accent1"/>
              <w:bottom w:val="single" w:sz="2" w:space="0" w:color="3D7FE0" w:themeColor="accent1"/>
            </w:tcBorders>
            <w:shd w:val="clear" w:color="auto" w:fill="FFFFFF"/>
            <w:vAlign w:val="bottom"/>
          </w:tcPr>
          <w:p w14:paraId="3F439C3A" w14:textId="77777777" w:rsidR="00AE1E5C" w:rsidRPr="00653D8F" w:rsidRDefault="00AE1E5C" w:rsidP="004203CD">
            <w:pPr>
              <w:pStyle w:val="Tabletext"/>
              <w:jc w:val="right"/>
              <w:rPr>
                <w:rFonts w:ascii="IBM Plex Sans Light" w:hAnsi="IBM Plex Sans Light"/>
                <w:b/>
                <w:bCs/>
                <w:sz w:val="18"/>
                <w:szCs w:val="18"/>
              </w:rPr>
            </w:pPr>
            <w:r w:rsidRPr="00653D8F">
              <w:rPr>
                <w:rFonts w:ascii="IBM Plex Sans Light" w:hAnsi="IBM Plex Sans Light"/>
                <w:b/>
                <w:bCs/>
                <w:color w:val="auto"/>
                <w:spacing w:val="-4"/>
                <w:sz w:val="18"/>
              </w:rPr>
              <w:t>104.9</w:t>
            </w: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1FCD4081" w14:textId="77777777" w:rsidR="00AE1E5C" w:rsidRPr="00653D8F" w:rsidRDefault="00AE1E5C" w:rsidP="004203CD">
            <w:pPr>
              <w:pStyle w:val="TableFiguresBold"/>
              <w:rPr>
                <w:rFonts w:ascii="IBM Plex Sans Light" w:hAnsi="IBM Plex Sans Light"/>
                <w:color w:val="4472C4"/>
                <w:spacing w:val="-4"/>
                <w:sz w:val="18"/>
              </w:rPr>
            </w:pPr>
            <w:r w:rsidRPr="00653D8F">
              <w:rPr>
                <w:rFonts w:ascii="IBM Plex Sans Light" w:hAnsi="IBM Plex Sans Light"/>
                <w:color w:val="auto"/>
                <w:spacing w:val="-4"/>
                <w:sz w:val="18"/>
              </w:rPr>
              <w:t>11.4</w:t>
            </w:r>
          </w:p>
        </w:tc>
      </w:tr>
      <w:tr w:rsidR="00AE1E5C" w:rsidRPr="00FC2914" w14:paraId="40E7C8C5" w14:textId="77777777" w:rsidTr="004203CD">
        <w:tc>
          <w:tcPr>
            <w:tcW w:w="6917" w:type="dxa"/>
            <w:tcBorders>
              <w:top w:val="single" w:sz="2" w:space="0" w:color="3D7FE0" w:themeColor="accent1"/>
            </w:tcBorders>
            <w:vAlign w:val="bottom"/>
          </w:tcPr>
          <w:p w14:paraId="778AA0D1"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Revaluation losses – Managed portfolio</w:t>
            </w:r>
          </w:p>
        </w:tc>
        <w:tc>
          <w:tcPr>
            <w:tcW w:w="964" w:type="dxa"/>
            <w:tcBorders>
              <w:top w:val="single" w:sz="2" w:space="0" w:color="3D7FE0" w:themeColor="accent1"/>
            </w:tcBorders>
            <w:vAlign w:val="bottom"/>
          </w:tcPr>
          <w:p w14:paraId="1C48701C"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(119.1)</w:t>
            </w:r>
          </w:p>
        </w:tc>
        <w:tc>
          <w:tcPr>
            <w:tcW w:w="964" w:type="dxa"/>
            <w:tcBorders>
              <w:top w:val="single" w:sz="2" w:space="0" w:color="3D7FE0" w:themeColor="accent1"/>
            </w:tcBorders>
            <w:shd w:val="clear" w:color="auto" w:fill="FFFFFF"/>
            <w:vAlign w:val="bottom"/>
          </w:tcPr>
          <w:p w14:paraId="22019127"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(221.0)</w:t>
            </w:r>
          </w:p>
        </w:tc>
        <w:tc>
          <w:tcPr>
            <w:tcW w:w="964" w:type="dxa"/>
            <w:tcBorders>
              <w:top w:val="single" w:sz="2" w:space="0" w:color="3D7FE0" w:themeColor="accent1"/>
            </w:tcBorders>
            <w:shd w:val="clear" w:color="auto" w:fill="FFFFFF" w:themeFill="background1"/>
            <w:vAlign w:val="bottom"/>
          </w:tcPr>
          <w:p w14:paraId="312A5ABD"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101.9</w:t>
            </w:r>
          </w:p>
        </w:tc>
      </w:tr>
      <w:tr w:rsidR="00AE1E5C" w:rsidRPr="00FC2914" w14:paraId="729326A2" w14:textId="77777777" w:rsidTr="004203CD">
        <w:tc>
          <w:tcPr>
            <w:tcW w:w="6917" w:type="dxa"/>
            <w:vAlign w:val="bottom"/>
          </w:tcPr>
          <w:p w14:paraId="170E0BAE"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Revaluation losses – Value Retail</w:t>
            </w:r>
          </w:p>
        </w:tc>
        <w:tc>
          <w:tcPr>
            <w:tcW w:w="964" w:type="dxa"/>
            <w:vAlign w:val="bottom"/>
          </w:tcPr>
          <w:p w14:paraId="10E2CB16"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(7.7)</w:t>
            </w:r>
          </w:p>
        </w:tc>
        <w:tc>
          <w:tcPr>
            <w:tcW w:w="964" w:type="dxa"/>
            <w:shd w:val="clear" w:color="auto" w:fill="FFFFFF"/>
            <w:vAlign w:val="bottom"/>
          </w:tcPr>
          <w:p w14:paraId="6795B94C"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(60.7)</w:t>
            </w:r>
          </w:p>
        </w:tc>
        <w:tc>
          <w:tcPr>
            <w:tcW w:w="964" w:type="dxa"/>
            <w:shd w:val="clear" w:color="auto" w:fill="FFFFFF" w:themeFill="background1"/>
            <w:vAlign w:val="bottom"/>
          </w:tcPr>
          <w:p w14:paraId="75F27C30"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53.0</w:t>
            </w:r>
          </w:p>
        </w:tc>
      </w:tr>
      <w:tr w:rsidR="00AE1E5C" w:rsidRPr="00FC2914" w14:paraId="4B184980" w14:textId="77777777" w:rsidTr="004203CD">
        <w:tc>
          <w:tcPr>
            <w:tcW w:w="6917" w:type="dxa"/>
            <w:vAlign w:val="bottom"/>
          </w:tcPr>
          <w:p w14:paraId="123E15F5"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(Loss)/profit on sale of properties</w:t>
            </w:r>
          </w:p>
        </w:tc>
        <w:tc>
          <w:tcPr>
            <w:tcW w:w="964" w:type="dxa"/>
            <w:vAlign w:val="bottom"/>
          </w:tcPr>
          <w:p w14:paraId="72DD0A47"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(17.8)</w:t>
            </w:r>
          </w:p>
        </w:tc>
        <w:tc>
          <w:tcPr>
            <w:tcW w:w="964" w:type="dxa"/>
            <w:shd w:val="clear" w:color="auto" w:fill="FFFFFF"/>
            <w:vAlign w:val="bottom"/>
          </w:tcPr>
          <w:p w14:paraId="24E0416D"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0.6</w:t>
            </w:r>
          </w:p>
        </w:tc>
        <w:tc>
          <w:tcPr>
            <w:tcW w:w="964" w:type="dxa"/>
            <w:shd w:val="clear" w:color="auto" w:fill="FFFFFF" w:themeFill="background1"/>
            <w:vAlign w:val="bottom"/>
          </w:tcPr>
          <w:p w14:paraId="4A3AC159"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(18.4)</w:t>
            </w:r>
          </w:p>
        </w:tc>
      </w:tr>
      <w:tr w:rsidR="00AE1E5C" w:rsidRPr="00FC2914" w14:paraId="7FDCE852" w14:textId="77777777" w:rsidTr="004203CD">
        <w:tc>
          <w:tcPr>
            <w:tcW w:w="6917" w:type="dxa"/>
            <w:vAlign w:val="bottom"/>
          </w:tcPr>
          <w:p w14:paraId="7DC888FD"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Impairment of joint venture</w:t>
            </w:r>
          </w:p>
        </w:tc>
        <w:tc>
          <w:tcPr>
            <w:tcW w:w="964" w:type="dxa"/>
            <w:vAlign w:val="bottom"/>
          </w:tcPr>
          <w:p w14:paraId="113C5BC8"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(22.2)</w:t>
            </w:r>
          </w:p>
        </w:tc>
        <w:tc>
          <w:tcPr>
            <w:tcW w:w="964" w:type="dxa"/>
            <w:shd w:val="clear" w:color="auto" w:fill="FFFFFF"/>
            <w:vAlign w:val="bottom"/>
          </w:tcPr>
          <w:p w14:paraId="5399C386"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w:t>
            </w:r>
          </w:p>
        </w:tc>
        <w:tc>
          <w:tcPr>
            <w:tcW w:w="964" w:type="dxa"/>
            <w:shd w:val="clear" w:color="auto" w:fill="FFFFFF" w:themeFill="background1"/>
            <w:vAlign w:val="bottom"/>
          </w:tcPr>
          <w:p w14:paraId="4CEECA8A"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(22.2)</w:t>
            </w:r>
          </w:p>
        </w:tc>
      </w:tr>
      <w:tr w:rsidR="00AE1E5C" w:rsidRPr="00FC2914" w14:paraId="0027AC96" w14:textId="77777777" w:rsidTr="004203CD">
        <w:tc>
          <w:tcPr>
            <w:tcW w:w="6917" w:type="dxa"/>
            <w:vAlign w:val="bottom"/>
          </w:tcPr>
          <w:p w14:paraId="58C989F9"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Business transformation costs</w:t>
            </w:r>
          </w:p>
        </w:tc>
        <w:tc>
          <w:tcPr>
            <w:tcW w:w="964" w:type="dxa"/>
            <w:vAlign w:val="bottom"/>
          </w:tcPr>
          <w:p w14:paraId="46BEFCC8"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F90775">
              <w:rPr>
                <w:rFonts w:ascii="IBM Plex Sans Light" w:hAnsi="IBM Plex Sans Light"/>
                <w:b/>
                <w:bCs/>
                <w:color w:val="3D7FE0" w:themeColor="accent1"/>
                <w:spacing w:val="-4"/>
                <w:sz w:val="18"/>
                <w:szCs w:val="18"/>
              </w:rPr>
              <w:t>(13.2)</w:t>
            </w:r>
          </w:p>
        </w:tc>
        <w:tc>
          <w:tcPr>
            <w:tcW w:w="964" w:type="dxa"/>
            <w:shd w:val="clear" w:color="auto" w:fill="FFFFFF"/>
            <w:vAlign w:val="bottom"/>
          </w:tcPr>
          <w:p w14:paraId="27F47101" w14:textId="77777777" w:rsidR="00AE1E5C" w:rsidRPr="00024B10" w:rsidRDefault="00AE1E5C" w:rsidP="00024B10">
            <w:pPr>
              <w:pStyle w:val="TableFiguresBrackets"/>
              <w:rPr>
                <w:rFonts w:ascii="IBM Plex Sans Light" w:hAnsi="IBM Plex Sans Light"/>
                <w:color w:val="auto"/>
                <w:spacing w:val="-4"/>
                <w:sz w:val="18"/>
              </w:rPr>
            </w:pPr>
            <w:r w:rsidRPr="00274099">
              <w:rPr>
                <w:rFonts w:ascii="IBM Plex Sans Light" w:hAnsi="IBM Plex Sans Light"/>
                <w:color w:val="auto"/>
                <w:spacing w:val="-4"/>
                <w:sz w:val="18"/>
              </w:rPr>
              <w:t>(5.1)</w:t>
            </w:r>
          </w:p>
        </w:tc>
        <w:tc>
          <w:tcPr>
            <w:tcW w:w="964" w:type="dxa"/>
            <w:shd w:val="clear" w:color="auto" w:fill="FFFFFF" w:themeFill="background1"/>
            <w:vAlign w:val="bottom"/>
          </w:tcPr>
          <w:p w14:paraId="679FFFDD"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(8.1)</w:t>
            </w:r>
          </w:p>
        </w:tc>
      </w:tr>
      <w:tr w:rsidR="00AE1E5C" w:rsidRPr="00FC2914" w14:paraId="33CD6086" w14:textId="77777777" w:rsidTr="004203CD">
        <w:tc>
          <w:tcPr>
            <w:tcW w:w="6917" w:type="dxa"/>
            <w:tcBorders>
              <w:bottom w:val="single" w:sz="2" w:space="0" w:color="3D7FE0" w:themeColor="accent1"/>
            </w:tcBorders>
            <w:vAlign w:val="bottom"/>
          </w:tcPr>
          <w:p w14:paraId="0D14AE2B"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pacing w:val="-4"/>
                <w:sz w:val="18"/>
              </w:rPr>
              <w:t xml:space="preserve">Other (see note </w:t>
            </w:r>
            <w:r w:rsidRPr="009B6985">
              <w:rPr>
                <w:rFonts w:ascii="IBM Plex Sans Light" w:hAnsi="IBM Plex Sans Light" w:cs="Arial"/>
                <w:spacing w:val="-4"/>
                <w:sz w:val="18"/>
              </w:rPr>
              <w:t>9</w:t>
            </w:r>
            <w:r w:rsidRPr="009B6985">
              <w:rPr>
                <w:rFonts w:ascii="IBM Plex Sans Light" w:hAnsi="IBM Plex Sans Light"/>
                <w:spacing w:val="-4"/>
                <w:sz w:val="18"/>
              </w:rPr>
              <w:t>A to the financial statements)</w:t>
            </w:r>
          </w:p>
        </w:tc>
        <w:tc>
          <w:tcPr>
            <w:tcW w:w="964" w:type="dxa"/>
            <w:tcBorders>
              <w:bottom w:val="single" w:sz="2" w:space="0" w:color="3D7FE0" w:themeColor="accent1"/>
            </w:tcBorders>
            <w:vAlign w:val="bottom"/>
          </w:tcPr>
          <w:p w14:paraId="6D6A5986"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Fonts w:ascii="IBM Plex Sans Light" w:hAnsi="IBM Plex Sans Light"/>
                <w:b/>
                <w:bCs/>
                <w:color w:val="3D7FE0" w:themeColor="accent1"/>
                <w:spacing w:val="-4"/>
                <w:sz w:val="18"/>
                <w:szCs w:val="18"/>
              </w:rPr>
              <w:t>12.3</w:t>
            </w:r>
          </w:p>
        </w:tc>
        <w:tc>
          <w:tcPr>
            <w:tcW w:w="964" w:type="dxa"/>
            <w:tcBorders>
              <w:bottom w:val="single" w:sz="2" w:space="0" w:color="3D7FE0" w:themeColor="accent1"/>
            </w:tcBorders>
            <w:shd w:val="clear" w:color="auto" w:fill="FFFFFF"/>
            <w:vAlign w:val="bottom"/>
          </w:tcPr>
          <w:p w14:paraId="23F950D9" w14:textId="77777777" w:rsidR="00AE1E5C" w:rsidRPr="00274099" w:rsidRDefault="00AE1E5C" w:rsidP="004203CD">
            <w:pPr>
              <w:pStyle w:val="Tabletext"/>
              <w:jc w:val="right"/>
              <w:rPr>
                <w:rFonts w:ascii="IBM Plex Sans Light" w:hAnsi="IBM Plex Sans Light"/>
                <w:sz w:val="18"/>
                <w:szCs w:val="18"/>
              </w:rPr>
            </w:pPr>
            <w:r w:rsidRPr="00274099">
              <w:rPr>
                <w:rFonts w:ascii="IBM Plex Sans Light" w:hAnsi="IBM Plex Sans Light"/>
                <w:color w:val="auto"/>
                <w:spacing w:val="-4"/>
                <w:sz w:val="18"/>
              </w:rPr>
              <w:t>17.1</w:t>
            </w:r>
          </w:p>
        </w:tc>
        <w:tc>
          <w:tcPr>
            <w:tcW w:w="964" w:type="dxa"/>
            <w:tcBorders>
              <w:bottom w:val="single" w:sz="2" w:space="0" w:color="3D7FE0" w:themeColor="accent1"/>
            </w:tcBorders>
            <w:shd w:val="clear" w:color="auto" w:fill="FFFFFF" w:themeFill="background1"/>
            <w:vAlign w:val="bottom"/>
          </w:tcPr>
          <w:p w14:paraId="2E9F6408" w14:textId="77777777" w:rsidR="00AE1E5C" w:rsidRPr="00274099" w:rsidRDefault="00AE1E5C" w:rsidP="004203CD">
            <w:pPr>
              <w:pStyle w:val="TableFiguresBold"/>
              <w:rPr>
                <w:rFonts w:ascii="IBM Plex Sans Light" w:hAnsi="IBM Plex Sans Light"/>
                <w:b w:val="0"/>
                <w:bCs w:val="0"/>
                <w:color w:val="4472C4"/>
                <w:spacing w:val="-4"/>
                <w:sz w:val="18"/>
              </w:rPr>
            </w:pPr>
            <w:r w:rsidRPr="00274099">
              <w:rPr>
                <w:rFonts w:ascii="IBM Plex Sans Light" w:hAnsi="IBM Plex Sans Light"/>
                <w:b w:val="0"/>
                <w:bCs w:val="0"/>
                <w:color w:val="auto"/>
                <w:spacing w:val="-4"/>
                <w:sz w:val="18"/>
              </w:rPr>
              <w:t>(4.8)</w:t>
            </w:r>
          </w:p>
        </w:tc>
      </w:tr>
      <w:tr w:rsidR="00AE1E5C" w:rsidRPr="00FC2914" w14:paraId="0D2A011D" w14:textId="77777777" w:rsidTr="004203CD">
        <w:tc>
          <w:tcPr>
            <w:tcW w:w="6917" w:type="dxa"/>
            <w:tcBorders>
              <w:top w:val="single" w:sz="2" w:space="0" w:color="3D7FE0" w:themeColor="accent1"/>
              <w:bottom w:val="single" w:sz="2" w:space="0" w:color="3D7FE0" w:themeColor="accent1"/>
            </w:tcBorders>
            <w:vAlign w:val="bottom"/>
          </w:tcPr>
          <w:p w14:paraId="68FCB172" w14:textId="77777777" w:rsidR="00AE1E5C" w:rsidRPr="00FC2914" w:rsidRDefault="00AE1E5C" w:rsidP="004203CD">
            <w:pPr>
              <w:pStyle w:val="TabletextBold"/>
              <w:rPr>
                <w:rFonts w:ascii="IBM Plex Sans Light" w:hAnsi="IBM Plex Sans Light"/>
                <w:bCs/>
                <w:color w:val="4472C4"/>
                <w:sz w:val="18"/>
                <w:szCs w:val="18"/>
              </w:rPr>
            </w:pPr>
            <w:r>
              <w:rPr>
                <w:rFonts w:ascii="IBM Plex Sans Light" w:hAnsi="IBM Plex Sans Light"/>
                <w:bCs/>
                <w:color w:val="4472C4"/>
                <w:sz w:val="18"/>
                <w:szCs w:val="18"/>
              </w:rPr>
              <w:t>IFRS Loss for the year</w:t>
            </w:r>
          </w:p>
        </w:tc>
        <w:tc>
          <w:tcPr>
            <w:tcW w:w="964" w:type="dxa"/>
            <w:tcBorders>
              <w:top w:val="single" w:sz="2" w:space="0" w:color="3D7FE0" w:themeColor="accent1"/>
              <w:bottom w:val="single" w:sz="2" w:space="0" w:color="3D7FE0" w:themeColor="accent1"/>
            </w:tcBorders>
            <w:vAlign w:val="bottom"/>
          </w:tcPr>
          <w:p w14:paraId="4130482B" w14:textId="77777777" w:rsidR="00AE1E5C" w:rsidRPr="00024B10" w:rsidRDefault="00AE1E5C" w:rsidP="00024B10">
            <w:pPr>
              <w:pStyle w:val="TableFiguresBrackets"/>
              <w:rPr>
                <w:rFonts w:ascii="IBM Plex Sans Light" w:hAnsi="IBM Plex Sans Light"/>
                <w:b/>
                <w:bCs/>
                <w:color w:val="3D7FE0" w:themeColor="accent1"/>
                <w:sz w:val="18"/>
                <w:szCs w:val="18"/>
              </w:rPr>
            </w:pPr>
            <w:r w:rsidRPr="00024B10">
              <w:rPr>
                <w:rFonts w:ascii="IBM Plex Sans Light" w:hAnsi="IBM Plex Sans Light"/>
                <w:b/>
                <w:bCs/>
                <w:color w:val="3D7FE0" w:themeColor="accent1"/>
                <w:spacing w:val="-4"/>
                <w:sz w:val="18"/>
                <w:szCs w:val="18"/>
              </w:rPr>
              <w:t>(51.4)</w:t>
            </w:r>
          </w:p>
        </w:tc>
        <w:tc>
          <w:tcPr>
            <w:tcW w:w="964" w:type="dxa"/>
            <w:tcBorders>
              <w:top w:val="single" w:sz="2" w:space="0" w:color="3D7FE0" w:themeColor="accent1"/>
              <w:bottom w:val="single" w:sz="2" w:space="0" w:color="3D7FE0" w:themeColor="accent1"/>
            </w:tcBorders>
            <w:shd w:val="clear" w:color="auto" w:fill="FFFFFF"/>
            <w:vAlign w:val="bottom"/>
          </w:tcPr>
          <w:p w14:paraId="744D66B8" w14:textId="77777777" w:rsidR="00AE1E5C" w:rsidRPr="00653D8F" w:rsidRDefault="00AE1E5C" w:rsidP="004203CD">
            <w:pPr>
              <w:pStyle w:val="TabletextBold"/>
              <w:jc w:val="right"/>
              <w:rPr>
                <w:rFonts w:ascii="IBM Plex Sans Light" w:hAnsi="IBM Plex Sans Light"/>
                <w:color w:val="auto"/>
                <w:sz w:val="18"/>
                <w:szCs w:val="18"/>
              </w:rPr>
            </w:pPr>
            <w:r w:rsidRPr="00653D8F">
              <w:rPr>
                <w:rFonts w:ascii="IBM Plex Sans Light" w:hAnsi="IBM Plex Sans Light"/>
                <w:color w:val="auto"/>
                <w:sz w:val="18"/>
              </w:rPr>
              <w:t>(164.2)</w:t>
            </w: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586A9D86" w14:textId="77777777" w:rsidR="00AE1E5C" w:rsidRPr="00653D8F" w:rsidRDefault="00AE1E5C" w:rsidP="004203CD">
            <w:pPr>
              <w:pStyle w:val="TableFiguresBold"/>
              <w:rPr>
                <w:rFonts w:ascii="IBM Plex Sans Light" w:hAnsi="IBM Plex Sans Light"/>
                <w:bCs w:val="0"/>
                <w:color w:val="auto"/>
                <w:spacing w:val="-4"/>
                <w:sz w:val="18"/>
              </w:rPr>
            </w:pPr>
            <w:r w:rsidRPr="00653D8F">
              <w:rPr>
                <w:rFonts w:ascii="IBM Plex Sans Light" w:hAnsi="IBM Plex Sans Light"/>
                <w:bCs w:val="0"/>
                <w:color w:val="auto"/>
                <w:spacing w:val="-4"/>
                <w:sz w:val="18"/>
              </w:rPr>
              <w:t>112.8</w:t>
            </w:r>
          </w:p>
        </w:tc>
      </w:tr>
      <w:tr w:rsidR="00AE1E5C" w:rsidRPr="00FC2914" w14:paraId="7919FC78" w14:textId="77777777" w:rsidTr="004203CD">
        <w:tc>
          <w:tcPr>
            <w:tcW w:w="6917" w:type="dxa"/>
            <w:tcBorders>
              <w:top w:val="single" w:sz="2" w:space="0" w:color="3D7FE0" w:themeColor="accent1"/>
              <w:bottom w:val="single" w:sz="2" w:space="0" w:color="3D7FE0" w:themeColor="accent1"/>
            </w:tcBorders>
            <w:vAlign w:val="bottom"/>
          </w:tcPr>
          <w:p w14:paraId="1F796A70" w14:textId="77777777" w:rsidR="00AE1E5C" w:rsidRDefault="00AE1E5C" w:rsidP="004203CD">
            <w:pPr>
              <w:pStyle w:val="TabletextBold"/>
              <w:rPr>
                <w:rStyle w:val="Bold"/>
                <w:rFonts w:cs="IBM Plex Sans"/>
                <w:bCs/>
              </w:rPr>
            </w:pPr>
          </w:p>
          <w:p w14:paraId="0FF5074F" w14:textId="77777777" w:rsidR="00AE1E5C" w:rsidRPr="00AF6094" w:rsidRDefault="00AE1E5C" w:rsidP="004203CD">
            <w:pPr>
              <w:pStyle w:val="TabletextBold"/>
              <w:rPr>
                <w:rFonts w:ascii="IBM Plex Sans Light" w:hAnsi="IBM Plex Sans Light"/>
                <w:bCs/>
                <w:color w:val="4472C4"/>
                <w:sz w:val="18"/>
                <w:szCs w:val="18"/>
              </w:rPr>
            </w:pPr>
            <w:r w:rsidRPr="00AF6094">
              <w:rPr>
                <w:rFonts w:ascii="IBM Plex Sans Light" w:hAnsi="IBM Plex Sans Light"/>
                <w:bCs/>
                <w:color w:val="4472C4"/>
                <w:sz w:val="18"/>
                <w:szCs w:val="18"/>
              </w:rPr>
              <w:lastRenderedPageBreak/>
              <w:t>(Loss)/earnings per share</w:t>
            </w:r>
          </w:p>
        </w:tc>
        <w:tc>
          <w:tcPr>
            <w:tcW w:w="964" w:type="dxa"/>
            <w:tcBorders>
              <w:top w:val="single" w:sz="2" w:space="0" w:color="3D7FE0" w:themeColor="accent1"/>
              <w:bottom w:val="single" w:sz="2" w:space="0" w:color="3D7FE0" w:themeColor="accent1"/>
            </w:tcBorders>
          </w:tcPr>
          <w:p w14:paraId="46261327" w14:textId="77777777" w:rsidR="00AE1E5C" w:rsidRPr="00F90775" w:rsidRDefault="00AE1E5C" w:rsidP="004203CD">
            <w:pPr>
              <w:pStyle w:val="TabletextBold"/>
              <w:jc w:val="right"/>
              <w:rPr>
                <w:rFonts w:ascii="IBM Plex Sans Light" w:hAnsi="IBM Plex Sans Light"/>
                <w:bCs/>
                <w:color w:val="3D7FE0" w:themeColor="accent1"/>
                <w:sz w:val="18"/>
                <w:szCs w:val="18"/>
              </w:rPr>
            </w:pPr>
          </w:p>
          <w:p w14:paraId="3DB99483" w14:textId="77777777" w:rsidR="00AE1E5C" w:rsidRPr="00F90775" w:rsidRDefault="00AE1E5C" w:rsidP="004203CD">
            <w:pPr>
              <w:pStyle w:val="TabletextBold"/>
              <w:jc w:val="right"/>
              <w:rPr>
                <w:rFonts w:ascii="IBM Plex Sans Light" w:hAnsi="IBM Plex Sans Light"/>
                <w:bCs/>
                <w:color w:val="3D7FE0" w:themeColor="accent1"/>
                <w:sz w:val="18"/>
                <w:szCs w:val="18"/>
              </w:rPr>
            </w:pPr>
            <w:r w:rsidRPr="00F90775">
              <w:rPr>
                <w:rFonts w:ascii="IBM Plex Sans Light" w:hAnsi="IBM Plex Sans Light"/>
                <w:bCs/>
                <w:color w:val="3D7FE0" w:themeColor="accent1"/>
                <w:sz w:val="18"/>
                <w:szCs w:val="18"/>
              </w:rPr>
              <w:lastRenderedPageBreak/>
              <w:t>pence</w:t>
            </w:r>
          </w:p>
        </w:tc>
        <w:tc>
          <w:tcPr>
            <w:tcW w:w="964" w:type="dxa"/>
            <w:tcBorders>
              <w:top w:val="single" w:sz="2" w:space="0" w:color="3D7FE0" w:themeColor="accent1"/>
              <w:bottom w:val="single" w:sz="2" w:space="0" w:color="3D7FE0" w:themeColor="accent1"/>
            </w:tcBorders>
            <w:shd w:val="clear" w:color="auto" w:fill="FFFFFF"/>
            <w:vAlign w:val="bottom"/>
          </w:tcPr>
          <w:p w14:paraId="13833B29" w14:textId="77777777" w:rsidR="00AE1E5C" w:rsidRPr="00024B10" w:rsidRDefault="00AE1E5C" w:rsidP="004203CD">
            <w:pPr>
              <w:pStyle w:val="TabletextBold"/>
              <w:jc w:val="right"/>
              <w:rPr>
                <w:rFonts w:ascii="IBM Plex Sans Light" w:hAnsi="IBM Plex Sans Light"/>
                <w:b w:val="0"/>
                <w:color w:val="000000" w:themeColor="text1"/>
                <w:sz w:val="18"/>
                <w:szCs w:val="18"/>
              </w:rPr>
            </w:pPr>
            <w:r w:rsidRPr="00024B10">
              <w:rPr>
                <w:rFonts w:ascii="IBM Plex Sans Light" w:hAnsi="IBM Plex Sans Light"/>
                <w:b w:val="0"/>
                <w:color w:val="000000" w:themeColor="text1"/>
                <w:sz w:val="18"/>
                <w:szCs w:val="18"/>
              </w:rPr>
              <w:lastRenderedPageBreak/>
              <w:t>pence</w:t>
            </w: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2C815802" w14:textId="77777777" w:rsidR="00AE1E5C" w:rsidRPr="00024B10" w:rsidRDefault="00AE1E5C" w:rsidP="004203CD">
            <w:pPr>
              <w:pStyle w:val="TableFiguresBold"/>
              <w:rPr>
                <w:rFonts w:ascii="IBM Plex Sans Light" w:hAnsi="IBM Plex Sans Light"/>
                <w:b w:val="0"/>
                <w:bCs w:val="0"/>
                <w:color w:val="000000" w:themeColor="text1"/>
                <w:spacing w:val="-4"/>
                <w:sz w:val="18"/>
              </w:rPr>
            </w:pPr>
            <w:r w:rsidRPr="00024B10">
              <w:rPr>
                <w:rFonts w:ascii="IBM Plex Sans Light" w:hAnsi="IBM Plex Sans Light"/>
                <w:b w:val="0"/>
                <w:bCs w:val="0"/>
                <w:color w:val="000000" w:themeColor="text1"/>
                <w:spacing w:val="-4"/>
                <w:sz w:val="18"/>
              </w:rPr>
              <w:t>pence</w:t>
            </w:r>
          </w:p>
        </w:tc>
      </w:tr>
      <w:tr w:rsidR="00AE1E5C" w:rsidRPr="00FC2914" w14:paraId="045C8CE9" w14:textId="77777777" w:rsidTr="004203CD">
        <w:tc>
          <w:tcPr>
            <w:tcW w:w="6917" w:type="dxa"/>
            <w:tcBorders>
              <w:top w:val="single" w:sz="2" w:space="0" w:color="3D7FE0" w:themeColor="accent1"/>
            </w:tcBorders>
            <w:vAlign w:val="bottom"/>
          </w:tcPr>
          <w:p w14:paraId="74F78D30" w14:textId="77777777" w:rsidR="00AE1E5C" w:rsidRPr="009B6985" w:rsidRDefault="00AE1E5C" w:rsidP="004203CD">
            <w:pPr>
              <w:pStyle w:val="TabletextBold"/>
              <w:rPr>
                <w:rFonts w:ascii="IBM Plex Sans Light" w:hAnsi="IBM Plex Sans Light"/>
                <w:b w:val="0"/>
                <w:sz w:val="18"/>
              </w:rPr>
            </w:pPr>
            <w:r w:rsidRPr="009B6985">
              <w:rPr>
                <w:rFonts w:ascii="IBM Plex Sans Light" w:hAnsi="IBM Plex Sans Light"/>
                <w:b w:val="0"/>
                <w:sz w:val="18"/>
              </w:rPr>
              <w:t>Basic</w:t>
            </w:r>
          </w:p>
        </w:tc>
        <w:tc>
          <w:tcPr>
            <w:tcW w:w="964" w:type="dxa"/>
            <w:tcBorders>
              <w:top w:val="single" w:sz="2" w:space="0" w:color="3D7FE0" w:themeColor="accent1"/>
            </w:tcBorders>
            <w:vAlign w:val="bottom"/>
          </w:tcPr>
          <w:p w14:paraId="57F0658B" w14:textId="77777777" w:rsidR="00AE1E5C" w:rsidRPr="008F2AF2" w:rsidRDefault="00AE1E5C" w:rsidP="008F2AF2">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(1.0)</w:t>
            </w:r>
          </w:p>
        </w:tc>
        <w:tc>
          <w:tcPr>
            <w:tcW w:w="964" w:type="dxa"/>
            <w:tcBorders>
              <w:top w:val="single" w:sz="2" w:space="0" w:color="3D7FE0" w:themeColor="accent1"/>
            </w:tcBorders>
            <w:shd w:val="clear" w:color="auto" w:fill="FFFFFF"/>
            <w:vAlign w:val="bottom"/>
          </w:tcPr>
          <w:p w14:paraId="3C74701F" w14:textId="77777777" w:rsidR="00AE1E5C" w:rsidRPr="00024B10" w:rsidRDefault="00AE1E5C" w:rsidP="00024B10">
            <w:pPr>
              <w:pStyle w:val="TableFiguresBrackets"/>
              <w:rPr>
                <w:rFonts w:ascii="IBM Plex Sans Light" w:hAnsi="IBM Plex Sans Light"/>
                <w:color w:val="auto"/>
                <w:sz w:val="18"/>
              </w:rPr>
            </w:pPr>
            <w:r w:rsidRPr="00024B10">
              <w:rPr>
                <w:rFonts w:ascii="IBM Plex Sans Light" w:hAnsi="IBM Plex Sans Light"/>
                <w:color w:val="auto"/>
                <w:spacing w:val="-4"/>
                <w:sz w:val="18"/>
              </w:rPr>
              <w:t>(3.3)</w:t>
            </w:r>
          </w:p>
        </w:tc>
        <w:tc>
          <w:tcPr>
            <w:tcW w:w="964" w:type="dxa"/>
            <w:tcBorders>
              <w:top w:val="single" w:sz="2" w:space="0" w:color="3D7FE0" w:themeColor="accent1"/>
            </w:tcBorders>
            <w:shd w:val="clear" w:color="auto" w:fill="FFFFFF" w:themeFill="background1"/>
            <w:vAlign w:val="bottom"/>
          </w:tcPr>
          <w:p w14:paraId="59FE1AF2" w14:textId="77777777" w:rsidR="00AE1E5C" w:rsidRPr="00024B10" w:rsidRDefault="00AE1E5C" w:rsidP="004203CD">
            <w:pPr>
              <w:pStyle w:val="TableFiguresBold"/>
              <w:rPr>
                <w:rFonts w:ascii="IBM Plex Sans Light" w:hAnsi="IBM Plex Sans Light"/>
                <w:b w:val="0"/>
                <w:color w:val="4472C4"/>
                <w:spacing w:val="-4"/>
                <w:sz w:val="18"/>
                <w:szCs w:val="18"/>
              </w:rPr>
            </w:pPr>
            <w:r w:rsidRPr="00024B10">
              <w:rPr>
                <w:rFonts w:ascii="IBM Plex Sans Light" w:hAnsi="IBM Plex Sans Light"/>
                <w:b w:val="0"/>
                <w:sz w:val="18"/>
                <w:szCs w:val="18"/>
              </w:rPr>
              <w:t>2.3</w:t>
            </w:r>
          </w:p>
        </w:tc>
      </w:tr>
      <w:tr w:rsidR="00AE1E5C" w:rsidRPr="00FC2914" w14:paraId="45E54220" w14:textId="77777777" w:rsidTr="004203CD">
        <w:tc>
          <w:tcPr>
            <w:tcW w:w="6917" w:type="dxa"/>
            <w:tcBorders>
              <w:bottom w:val="single" w:sz="8" w:space="0" w:color="3D7FE0" w:themeColor="accent1"/>
            </w:tcBorders>
            <w:vAlign w:val="bottom"/>
          </w:tcPr>
          <w:p w14:paraId="6D9675B2" w14:textId="77777777" w:rsidR="00AE1E5C" w:rsidRPr="009B6985" w:rsidRDefault="00AE1E5C" w:rsidP="004203CD">
            <w:pPr>
              <w:pStyle w:val="TabletextBold"/>
              <w:rPr>
                <w:rFonts w:ascii="IBM Plex Sans Light" w:hAnsi="IBM Plex Sans Light"/>
                <w:b w:val="0"/>
                <w:sz w:val="18"/>
              </w:rPr>
            </w:pPr>
            <w:r w:rsidRPr="009B6985">
              <w:rPr>
                <w:rFonts w:ascii="IBM Plex Sans Light" w:hAnsi="IBM Plex Sans Light"/>
                <w:b w:val="0"/>
                <w:sz w:val="18"/>
              </w:rPr>
              <w:t>Adjusted</w:t>
            </w:r>
          </w:p>
        </w:tc>
        <w:tc>
          <w:tcPr>
            <w:tcW w:w="964" w:type="dxa"/>
            <w:tcBorders>
              <w:bottom w:val="single" w:sz="8" w:space="0" w:color="3D7FE0" w:themeColor="accent1"/>
            </w:tcBorders>
            <w:vAlign w:val="bottom"/>
          </w:tcPr>
          <w:p w14:paraId="402E3090" w14:textId="77777777" w:rsidR="00AE1E5C" w:rsidRPr="00024B10" w:rsidRDefault="00AE1E5C" w:rsidP="004203CD">
            <w:pPr>
              <w:pStyle w:val="TabletextBold"/>
              <w:jc w:val="right"/>
              <w:rPr>
                <w:rFonts w:ascii="IBM Plex Sans Light" w:hAnsi="IBM Plex Sans Light"/>
                <w:bCs/>
                <w:color w:val="3D7FE0" w:themeColor="accent1"/>
                <w:sz w:val="18"/>
                <w:szCs w:val="18"/>
              </w:rPr>
            </w:pPr>
            <w:r w:rsidRPr="00F90775">
              <w:rPr>
                <w:rStyle w:val="BoldBlue"/>
                <w:rFonts w:ascii="IBM Plex Sans Light" w:hAnsi="IBM Plex Sans Light" w:cs="IBM Plex Sans"/>
                <w:b/>
                <w:color w:val="3D7FE0" w:themeColor="accent1"/>
                <w:sz w:val="18"/>
                <w:szCs w:val="18"/>
              </w:rPr>
              <w:t>2.3</w:t>
            </w:r>
          </w:p>
        </w:tc>
        <w:tc>
          <w:tcPr>
            <w:tcW w:w="964" w:type="dxa"/>
            <w:tcBorders>
              <w:bottom w:val="single" w:sz="8" w:space="0" w:color="3D7FE0" w:themeColor="accent1"/>
            </w:tcBorders>
            <w:shd w:val="clear" w:color="auto" w:fill="FFFFFF"/>
            <w:vAlign w:val="bottom"/>
          </w:tcPr>
          <w:p w14:paraId="4709EABD" w14:textId="77777777" w:rsidR="00AE1E5C" w:rsidRPr="00024B10" w:rsidRDefault="00AE1E5C" w:rsidP="004203CD">
            <w:pPr>
              <w:pStyle w:val="TabletextBold"/>
              <w:jc w:val="right"/>
              <w:rPr>
                <w:rFonts w:ascii="IBM Plex Sans Light" w:hAnsi="IBM Plex Sans Light"/>
                <w:b w:val="0"/>
                <w:bCs/>
                <w:color w:val="4472C4"/>
                <w:sz w:val="18"/>
                <w:szCs w:val="18"/>
              </w:rPr>
            </w:pPr>
            <w:r w:rsidRPr="00024B10">
              <w:rPr>
                <w:rFonts w:ascii="IBM Plex Sans Light" w:hAnsi="IBM Plex Sans Light"/>
                <w:b w:val="0"/>
                <w:bCs/>
                <w:sz w:val="18"/>
                <w:szCs w:val="18"/>
              </w:rPr>
              <w:t>2.1</w:t>
            </w:r>
          </w:p>
        </w:tc>
        <w:tc>
          <w:tcPr>
            <w:tcW w:w="964" w:type="dxa"/>
            <w:tcBorders>
              <w:bottom w:val="single" w:sz="8" w:space="0" w:color="3D7FE0" w:themeColor="accent1"/>
            </w:tcBorders>
            <w:shd w:val="clear" w:color="auto" w:fill="FFFFFF" w:themeFill="background1"/>
            <w:vAlign w:val="bottom"/>
          </w:tcPr>
          <w:p w14:paraId="627F3A1C" w14:textId="77777777" w:rsidR="00AE1E5C" w:rsidRPr="00024B10" w:rsidRDefault="00AE1E5C" w:rsidP="004203CD">
            <w:pPr>
              <w:pStyle w:val="TableFiguresBold"/>
              <w:rPr>
                <w:rFonts w:ascii="IBM Plex Sans Light" w:hAnsi="IBM Plex Sans Light"/>
                <w:b w:val="0"/>
                <w:color w:val="4472C4"/>
                <w:spacing w:val="-4"/>
                <w:sz w:val="18"/>
                <w:szCs w:val="18"/>
              </w:rPr>
            </w:pPr>
            <w:r w:rsidRPr="00024B10">
              <w:rPr>
                <w:rFonts w:ascii="IBM Plex Sans Light" w:hAnsi="IBM Plex Sans Light"/>
                <w:b w:val="0"/>
                <w:sz w:val="18"/>
                <w:szCs w:val="18"/>
              </w:rPr>
              <w:t>0.2</w:t>
            </w:r>
          </w:p>
        </w:tc>
      </w:tr>
    </w:tbl>
    <w:p w14:paraId="0726AC6E" w14:textId="77777777" w:rsidR="00AE1E5C" w:rsidRDefault="00AE1E5C" w:rsidP="00AE1E5C">
      <w:pPr>
        <w:pStyle w:val="06SubHeading2Fronttext9105"/>
        <w:rPr>
          <w:color w:val="3D7FE0" w:themeColor="accent1"/>
        </w:rPr>
      </w:pPr>
    </w:p>
    <w:p w14:paraId="71B1B387" w14:textId="77777777" w:rsidR="00AE1E5C" w:rsidRDefault="00AE1E5C" w:rsidP="00AE1E5C">
      <w:pPr>
        <w:pStyle w:val="04BodyCopyFronttext9105"/>
      </w:pPr>
      <w:r>
        <w:t>For the year ended 31 December 2023 the Group reported an IFRS loss of £51.4m (2022: £164.2m loss), a reduction of £112.8m. The key factors in the reduced loss were lower revaluation losses of £154.9m partly offset by the year-on-year change in the loss/profit on sale of properties of £18.4m and an impairment charge of £22.2m in 2023 in relation to the Group’s O’Parinor joint venture.</w:t>
      </w:r>
    </w:p>
    <w:p w14:paraId="49412B64" w14:textId="672E6A0D" w:rsidR="00AE1E5C" w:rsidRDefault="00AE1E5C" w:rsidP="00AE1E5C">
      <w:pPr>
        <w:pStyle w:val="04BodyCopyFronttext9105"/>
        <w:spacing w:before="120"/>
      </w:pPr>
      <w:r>
        <w:t>On an Adjusted basis, earnings increased by £11.4m to £116.3m (2022: £104.9m). Adjusted net rental income was £7.3m lower, £11.2m was due to disposals partly offset by £4.8m higher income from the like-for-like Managed portfolio, equivalent to 3.6% growth. Gross administration costs were £8.</w:t>
      </w:r>
      <w:r w:rsidR="00A356F8">
        <w:t>3</w:t>
      </w:r>
      <w:r>
        <w:t xml:space="preserve">m, or 14%, lower reflecting reduced headcount and corporate costs. The Group’s share of Value Retail </w:t>
      </w:r>
      <w:r w:rsidR="008B3C5C">
        <w:t>A</w:t>
      </w:r>
      <w:r>
        <w:t xml:space="preserve">djusted earnings grew by £4.7m and adjusted net finance costs were £8.1m lower, reflecting reduced debt levels and increased income from cash deposits benefiting from the higher interest rate environment. </w:t>
      </w:r>
    </w:p>
    <w:p w14:paraId="642A8427" w14:textId="77777777" w:rsidR="00AE1E5C" w:rsidRDefault="00AE1E5C" w:rsidP="00AE1E5C">
      <w:pPr>
        <w:pStyle w:val="04BodyCopyFronttext9105"/>
        <w:spacing w:before="120"/>
      </w:pPr>
      <w:r>
        <w:t>A detailed reconciliation from Reported Group to the proportionally consolidated basis is set out in note 2 to the financial statements and further details on reconciling items between Adjusted earnings and IFRS loss are in note 9A to the financial statements.</w:t>
      </w:r>
    </w:p>
    <w:p w14:paraId="4153BED7" w14:textId="77777777" w:rsidR="00884A51" w:rsidRDefault="00884A51" w:rsidP="00AE1E5C">
      <w:pPr>
        <w:pStyle w:val="06SubHeading2Fronttext9105"/>
        <w:rPr>
          <w:color w:val="3D7FE0" w:themeColor="accent1"/>
        </w:rPr>
      </w:pPr>
    </w:p>
    <w:p w14:paraId="4E1CAA6D" w14:textId="47772859" w:rsidR="00AE1E5C" w:rsidRPr="00AF6094" w:rsidRDefault="00AE1E5C" w:rsidP="00AE1E5C">
      <w:pPr>
        <w:pStyle w:val="06SubHeading2Fronttext9105"/>
        <w:rPr>
          <w:color w:val="3D7FE0" w:themeColor="accent1"/>
        </w:rPr>
      </w:pPr>
      <w:r w:rsidRPr="00AF6094">
        <w:rPr>
          <w:color w:val="3D7FE0" w:themeColor="accent1"/>
        </w:rPr>
        <w:t xml:space="preserve">Rental income </w:t>
      </w:r>
    </w:p>
    <w:p w14:paraId="3CC304C5" w14:textId="77777777" w:rsidR="00AE1E5C" w:rsidRDefault="00AE1E5C" w:rsidP="00AE1E5C">
      <w:pPr>
        <w:pStyle w:val="06SubHeading3Fronttext9105"/>
      </w:pPr>
      <w:r>
        <w:t>Analysis of rental income</w:t>
      </w:r>
    </w:p>
    <w:tbl>
      <w:tblPr>
        <w:tblW w:w="10818" w:type="dxa"/>
        <w:tblLayout w:type="fixed"/>
        <w:tblCellMar>
          <w:left w:w="0" w:type="dxa"/>
          <w:right w:w="0" w:type="dxa"/>
        </w:tblCellMar>
        <w:tblLook w:val="00A0" w:firstRow="1" w:lastRow="0" w:firstColumn="1" w:lastColumn="0" w:noHBand="0" w:noVBand="0"/>
      </w:tblPr>
      <w:tblGrid>
        <w:gridCol w:w="5103"/>
        <w:gridCol w:w="952"/>
        <w:gridCol w:w="952"/>
        <w:gridCol w:w="953"/>
        <w:gridCol w:w="952"/>
        <w:gridCol w:w="953"/>
        <w:gridCol w:w="953"/>
      </w:tblGrid>
      <w:tr w:rsidR="00AE1E5C" w:rsidRPr="004A58EF" w14:paraId="3B2C6271" w14:textId="77777777" w:rsidTr="004203CD">
        <w:trPr>
          <w:trHeight w:val="367"/>
        </w:trPr>
        <w:tc>
          <w:tcPr>
            <w:tcW w:w="5103" w:type="dxa"/>
            <w:tcBorders>
              <w:bottom w:val="single" w:sz="2" w:space="0" w:color="3D7FE0" w:themeColor="accent1"/>
            </w:tcBorders>
            <w:vAlign w:val="bottom"/>
          </w:tcPr>
          <w:p w14:paraId="209AC5FF" w14:textId="77777777" w:rsidR="00AE1E5C" w:rsidRPr="000F2E24" w:rsidRDefault="00AE1E5C" w:rsidP="004203CD">
            <w:pPr>
              <w:pStyle w:val="TableColHeadsLeft"/>
              <w:rPr>
                <w:rFonts w:ascii="IBM Plex Sans Light" w:hAnsi="IBM Plex Sans Light"/>
                <w:b/>
                <w:bCs/>
                <w:color w:val="3D7FE0" w:themeColor="accent1"/>
                <w:sz w:val="16"/>
                <w:szCs w:val="16"/>
              </w:rPr>
            </w:pPr>
            <w:r w:rsidRPr="000F2E24">
              <w:rPr>
                <w:rFonts w:ascii="IBM Plex Sans Light" w:hAnsi="IBM Plex Sans Light"/>
                <w:b/>
                <w:bCs/>
                <w:color w:val="3D7FE0" w:themeColor="accent1"/>
                <w:sz w:val="16"/>
                <w:szCs w:val="16"/>
              </w:rPr>
              <w:t>Proportionally consolidated</w:t>
            </w:r>
          </w:p>
        </w:tc>
        <w:tc>
          <w:tcPr>
            <w:tcW w:w="952" w:type="dxa"/>
            <w:tcBorders>
              <w:bottom w:val="single" w:sz="2" w:space="0" w:color="3D7FE0" w:themeColor="accent1"/>
            </w:tcBorders>
            <w:vAlign w:val="bottom"/>
          </w:tcPr>
          <w:p w14:paraId="6CAA859A" w14:textId="77777777" w:rsidR="00AE1E5C" w:rsidRPr="000F2E24" w:rsidRDefault="00AE1E5C" w:rsidP="004203CD">
            <w:pPr>
              <w:pStyle w:val="TableColHeadsLeft"/>
              <w:jc w:val="right"/>
              <w:rPr>
                <w:rFonts w:ascii="IBM Plex Sans Light" w:hAnsi="IBM Plex Sans Light"/>
                <w:color w:val="3D7FE0" w:themeColor="accent1"/>
                <w:sz w:val="16"/>
                <w:szCs w:val="16"/>
              </w:rPr>
            </w:pPr>
          </w:p>
        </w:tc>
        <w:tc>
          <w:tcPr>
            <w:tcW w:w="952" w:type="dxa"/>
            <w:tcBorders>
              <w:bottom w:val="single" w:sz="2" w:space="0" w:color="3D7FE0" w:themeColor="accent1"/>
            </w:tcBorders>
            <w:vAlign w:val="bottom"/>
          </w:tcPr>
          <w:p w14:paraId="64D44719" w14:textId="77777777" w:rsidR="00AE1E5C" w:rsidRPr="000F2E24" w:rsidRDefault="00AE1E5C" w:rsidP="004203CD">
            <w:pPr>
              <w:pStyle w:val="12TBRightColHeaderTableBack"/>
              <w:rPr>
                <w:color w:val="3D7FE0" w:themeColor="accent1"/>
                <w:sz w:val="16"/>
                <w:szCs w:val="16"/>
              </w:rPr>
            </w:pPr>
            <w:r w:rsidRPr="000F2E24">
              <w:rPr>
                <w:rStyle w:val="BoldBlue"/>
                <w:rFonts w:cs="IBM Plex Sans"/>
                <w:b w:val="0"/>
                <w:color w:val="3D7FE0" w:themeColor="accent1"/>
                <w:sz w:val="16"/>
                <w:szCs w:val="16"/>
              </w:rPr>
              <w:t>Gross rental income</w:t>
            </w:r>
            <w:r>
              <w:rPr>
                <w:rStyle w:val="BoldBlue"/>
                <w:rFonts w:cs="IBM Plex Sans"/>
                <w:b w:val="0"/>
                <w:color w:val="3D7FE0" w:themeColor="accent1"/>
                <w:sz w:val="16"/>
                <w:szCs w:val="16"/>
              </w:rPr>
              <w:br/>
            </w:r>
            <w:r w:rsidRPr="000F2E24">
              <w:rPr>
                <w:rStyle w:val="BoldBlue"/>
                <w:rFonts w:cs="IBM Plex Sans"/>
                <w:b w:val="0"/>
                <w:color w:val="3D7FE0" w:themeColor="accent1"/>
                <w:sz w:val="16"/>
                <w:szCs w:val="16"/>
              </w:rPr>
              <w:t>£m</w:t>
            </w:r>
          </w:p>
        </w:tc>
        <w:tc>
          <w:tcPr>
            <w:tcW w:w="953" w:type="dxa"/>
            <w:tcBorders>
              <w:bottom w:val="single" w:sz="2" w:space="0" w:color="3D7FE0" w:themeColor="accent1"/>
            </w:tcBorders>
            <w:shd w:val="clear" w:color="auto" w:fill="FFFFFF"/>
            <w:vAlign w:val="bottom"/>
          </w:tcPr>
          <w:p w14:paraId="3EB8887D" w14:textId="77777777" w:rsidR="00AE1E5C" w:rsidRPr="000F2E24" w:rsidRDefault="00AE1E5C" w:rsidP="004203CD">
            <w:pPr>
              <w:pStyle w:val="TableColHeadsBold"/>
              <w:rPr>
                <w:rFonts w:ascii="IBM Plex Sans Light" w:hAnsi="IBM Plex Sans Light"/>
                <w:b w:val="0"/>
                <w:bCs w:val="0"/>
                <w:sz w:val="16"/>
                <w:szCs w:val="16"/>
              </w:rPr>
            </w:pPr>
            <w:r w:rsidRPr="000F2E24">
              <w:rPr>
                <w:rFonts w:ascii="IBM Plex Sans Light" w:hAnsi="IBM Plex Sans Light"/>
                <w:b w:val="0"/>
                <w:bCs w:val="0"/>
                <w:sz w:val="16"/>
                <w:szCs w:val="16"/>
              </w:rPr>
              <w:t>Change in like-for-like</w:t>
            </w:r>
          </w:p>
        </w:tc>
        <w:tc>
          <w:tcPr>
            <w:tcW w:w="952" w:type="dxa"/>
            <w:tcBorders>
              <w:bottom w:val="single" w:sz="2" w:space="0" w:color="3D7FE0" w:themeColor="accent1"/>
            </w:tcBorders>
            <w:shd w:val="clear" w:color="auto" w:fill="FFFFFF"/>
            <w:vAlign w:val="bottom"/>
          </w:tcPr>
          <w:p w14:paraId="4858E74C" w14:textId="77777777" w:rsidR="00AE1E5C" w:rsidRPr="000F2E24" w:rsidRDefault="00AE1E5C" w:rsidP="004203CD">
            <w:pPr>
              <w:pStyle w:val="12TBRightColHeaderTableBack"/>
              <w:rPr>
                <w:b/>
                <w:bCs/>
                <w:color w:val="3D7FE0" w:themeColor="accent1"/>
                <w:sz w:val="16"/>
                <w:szCs w:val="16"/>
              </w:rPr>
            </w:pPr>
            <w:r w:rsidRPr="000F2E24">
              <w:rPr>
                <w:rStyle w:val="BoldBlue"/>
                <w:rFonts w:cs="IBM Plex Sans"/>
                <w:b w:val="0"/>
                <w:color w:val="3D7FE0" w:themeColor="accent1"/>
                <w:sz w:val="16"/>
                <w:szCs w:val="16"/>
              </w:rPr>
              <w:t>Adjusted</w:t>
            </w:r>
            <w:r w:rsidRPr="000F2E24">
              <w:rPr>
                <w:rStyle w:val="BoldBlue"/>
                <w:rFonts w:cs="IBM Plex Sans"/>
                <w:b w:val="0"/>
                <w:color w:val="3D7FE0" w:themeColor="accent1"/>
                <w:sz w:val="16"/>
                <w:szCs w:val="16"/>
              </w:rPr>
              <w:br/>
              <w:t>net rental income</w:t>
            </w:r>
            <w:r>
              <w:rPr>
                <w:rStyle w:val="BoldBlue"/>
                <w:rFonts w:cs="IBM Plex Sans"/>
                <w:b w:val="0"/>
                <w:color w:val="3D7FE0" w:themeColor="accent1"/>
                <w:sz w:val="16"/>
                <w:szCs w:val="16"/>
              </w:rPr>
              <w:br/>
            </w:r>
            <w:r w:rsidRPr="000F2E24">
              <w:rPr>
                <w:rStyle w:val="BoldBlue"/>
                <w:rFonts w:cs="IBM Plex Sans"/>
                <w:b w:val="0"/>
                <w:color w:val="3D7FE0" w:themeColor="accent1"/>
                <w:sz w:val="16"/>
                <w:szCs w:val="16"/>
              </w:rPr>
              <w:t>£m</w:t>
            </w:r>
          </w:p>
        </w:tc>
        <w:tc>
          <w:tcPr>
            <w:tcW w:w="953" w:type="dxa"/>
            <w:tcBorders>
              <w:bottom w:val="single" w:sz="2" w:space="0" w:color="3D7FE0" w:themeColor="accent1"/>
            </w:tcBorders>
            <w:shd w:val="clear" w:color="auto" w:fill="FFFFFF"/>
            <w:vAlign w:val="bottom"/>
          </w:tcPr>
          <w:p w14:paraId="15AE17D1" w14:textId="77777777" w:rsidR="00AE1E5C" w:rsidRPr="000F2E24" w:rsidRDefault="00AE1E5C" w:rsidP="004203CD">
            <w:pPr>
              <w:pStyle w:val="TableColHeadsBold"/>
              <w:rPr>
                <w:rFonts w:ascii="IBM Plex Sans Light" w:hAnsi="IBM Plex Sans Light"/>
                <w:b w:val="0"/>
                <w:bCs w:val="0"/>
                <w:i/>
                <w:iCs/>
                <w:sz w:val="16"/>
                <w:szCs w:val="16"/>
              </w:rPr>
            </w:pPr>
            <w:r w:rsidRPr="000F2E24">
              <w:rPr>
                <w:rFonts w:ascii="IBM Plex Sans Light" w:hAnsi="IBM Plex Sans Light"/>
                <w:b w:val="0"/>
                <w:bCs w:val="0"/>
                <w:sz w:val="16"/>
                <w:szCs w:val="16"/>
              </w:rPr>
              <w:t>Change in like-for-like</w:t>
            </w:r>
          </w:p>
        </w:tc>
        <w:tc>
          <w:tcPr>
            <w:tcW w:w="953" w:type="dxa"/>
            <w:vAlign w:val="bottom"/>
          </w:tcPr>
          <w:p w14:paraId="52D47229" w14:textId="77777777" w:rsidR="00AE1E5C" w:rsidRPr="004A58EF" w:rsidRDefault="00AE1E5C" w:rsidP="004203CD">
            <w:pPr>
              <w:rPr>
                <w:rFonts w:ascii="IBM Plex Sans Light" w:hAnsi="IBM Plex Sans Light"/>
                <w:bCs/>
                <w:i/>
                <w:iCs/>
              </w:rPr>
            </w:pPr>
          </w:p>
        </w:tc>
      </w:tr>
      <w:tr w:rsidR="00AE1E5C" w:rsidRPr="004A58EF" w14:paraId="41C20B5D" w14:textId="77777777" w:rsidTr="004203CD">
        <w:trPr>
          <w:gridAfter w:val="1"/>
          <w:wAfter w:w="953" w:type="dxa"/>
        </w:trPr>
        <w:tc>
          <w:tcPr>
            <w:tcW w:w="5103" w:type="dxa"/>
            <w:tcBorders>
              <w:top w:val="single" w:sz="2" w:space="0" w:color="3D7FE0" w:themeColor="accent1"/>
            </w:tcBorders>
            <w:vAlign w:val="bottom"/>
          </w:tcPr>
          <w:p w14:paraId="30C950D5"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z w:val="18"/>
                <w:szCs w:val="18"/>
              </w:rPr>
              <w:t>Year ended 31 December 2022</w:t>
            </w:r>
          </w:p>
        </w:tc>
        <w:tc>
          <w:tcPr>
            <w:tcW w:w="952" w:type="dxa"/>
            <w:tcBorders>
              <w:top w:val="single" w:sz="2" w:space="0" w:color="3D7FE0" w:themeColor="accent1"/>
            </w:tcBorders>
            <w:vAlign w:val="bottom"/>
          </w:tcPr>
          <w:p w14:paraId="362ED5AB"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tcBorders>
              <w:top w:val="single" w:sz="2" w:space="0" w:color="3D7FE0" w:themeColor="accent1"/>
            </w:tcBorders>
            <w:vAlign w:val="bottom"/>
          </w:tcPr>
          <w:p w14:paraId="3DC7D63D"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215.2</w:t>
            </w:r>
          </w:p>
        </w:tc>
        <w:tc>
          <w:tcPr>
            <w:tcW w:w="953" w:type="dxa"/>
            <w:tcBorders>
              <w:top w:val="single" w:sz="2" w:space="0" w:color="3D7FE0" w:themeColor="accent1"/>
            </w:tcBorders>
            <w:shd w:val="clear" w:color="auto" w:fill="FFFFFF"/>
            <w:vAlign w:val="bottom"/>
          </w:tcPr>
          <w:p w14:paraId="3672C930" w14:textId="77777777" w:rsidR="00AE1E5C" w:rsidRPr="000F2E24" w:rsidRDefault="00AE1E5C" w:rsidP="004203CD">
            <w:pPr>
              <w:pStyle w:val="TableFiguresBold"/>
              <w:rPr>
                <w:rFonts w:ascii="IBM Plex Sans Light" w:hAnsi="IBM Plex Sans Light"/>
                <w:color w:val="auto"/>
                <w:spacing w:val="-4"/>
                <w:sz w:val="18"/>
                <w:szCs w:val="18"/>
              </w:rPr>
            </w:pPr>
          </w:p>
        </w:tc>
        <w:tc>
          <w:tcPr>
            <w:tcW w:w="952" w:type="dxa"/>
            <w:tcBorders>
              <w:top w:val="single" w:sz="2" w:space="0" w:color="3D7FE0" w:themeColor="accent1"/>
            </w:tcBorders>
            <w:shd w:val="clear" w:color="auto" w:fill="FFFFFF"/>
            <w:vAlign w:val="bottom"/>
          </w:tcPr>
          <w:p w14:paraId="6C9D06E8"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174.8</w:t>
            </w:r>
          </w:p>
        </w:tc>
        <w:tc>
          <w:tcPr>
            <w:tcW w:w="953" w:type="dxa"/>
            <w:tcBorders>
              <w:top w:val="single" w:sz="2" w:space="0" w:color="3D7FE0" w:themeColor="accent1"/>
            </w:tcBorders>
            <w:shd w:val="clear" w:color="auto" w:fill="FFFFFF"/>
            <w:vAlign w:val="bottom"/>
          </w:tcPr>
          <w:p w14:paraId="5F1EF5A1" w14:textId="77777777" w:rsidR="00AE1E5C" w:rsidRPr="000F2E24" w:rsidRDefault="00AE1E5C" w:rsidP="004203CD">
            <w:pPr>
              <w:pStyle w:val="TableFigures"/>
              <w:rPr>
                <w:rFonts w:ascii="IBM Plex Sans Light" w:hAnsi="IBM Plex Sans Light"/>
                <w:i/>
                <w:iCs/>
                <w:color w:val="auto"/>
                <w:spacing w:val="-4"/>
                <w:sz w:val="18"/>
                <w:szCs w:val="18"/>
              </w:rPr>
            </w:pPr>
          </w:p>
        </w:tc>
      </w:tr>
      <w:tr w:rsidR="00AE1E5C" w:rsidRPr="00351930" w14:paraId="788344D6" w14:textId="77777777" w:rsidTr="004203CD">
        <w:trPr>
          <w:gridAfter w:val="1"/>
          <w:wAfter w:w="953" w:type="dxa"/>
        </w:trPr>
        <w:tc>
          <w:tcPr>
            <w:tcW w:w="5103" w:type="dxa"/>
            <w:vAlign w:val="bottom"/>
          </w:tcPr>
          <w:p w14:paraId="4C3ABB83" w14:textId="77777777" w:rsidR="00AE1E5C" w:rsidRPr="009B6985" w:rsidRDefault="00AE1E5C" w:rsidP="004203CD">
            <w:pPr>
              <w:pStyle w:val="Tabletext"/>
              <w:rPr>
                <w:rFonts w:ascii="IBM Plex Sans Light" w:hAnsi="IBM Plex Sans Light"/>
                <w:color w:val="auto"/>
                <w:sz w:val="18"/>
                <w:szCs w:val="18"/>
              </w:rPr>
            </w:pPr>
            <w:r w:rsidRPr="009B6985">
              <w:rPr>
                <w:rFonts w:ascii="IBM Plex Sans Light" w:hAnsi="IBM Plex Sans Light"/>
                <w:sz w:val="18"/>
                <w:szCs w:val="18"/>
              </w:rPr>
              <w:t>Like-for-like Managed portfolio:</w:t>
            </w:r>
          </w:p>
        </w:tc>
        <w:tc>
          <w:tcPr>
            <w:tcW w:w="952" w:type="dxa"/>
            <w:vAlign w:val="bottom"/>
          </w:tcPr>
          <w:p w14:paraId="04386A6F"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vAlign w:val="bottom"/>
          </w:tcPr>
          <w:p w14:paraId="0357CFA3" w14:textId="77777777" w:rsidR="00AE1E5C" w:rsidRPr="00112E01" w:rsidRDefault="00AE1E5C" w:rsidP="004203CD">
            <w:pPr>
              <w:pStyle w:val="Tabletext"/>
              <w:jc w:val="right"/>
              <w:rPr>
                <w:rFonts w:ascii="IBM Plex Sans Light" w:hAnsi="IBM Plex Sans Light"/>
                <w:b/>
                <w:color w:val="3D7FE0" w:themeColor="accent1"/>
                <w:sz w:val="18"/>
                <w:szCs w:val="18"/>
              </w:rPr>
            </w:pPr>
          </w:p>
        </w:tc>
        <w:tc>
          <w:tcPr>
            <w:tcW w:w="953" w:type="dxa"/>
            <w:shd w:val="clear" w:color="auto" w:fill="FFFFFF"/>
            <w:vAlign w:val="bottom"/>
          </w:tcPr>
          <w:p w14:paraId="5AC5533D" w14:textId="77777777" w:rsidR="00AE1E5C" w:rsidRPr="000F2E24" w:rsidRDefault="00AE1E5C" w:rsidP="004203CD">
            <w:pPr>
              <w:pStyle w:val="TableFiguresBold"/>
              <w:rPr>
                <w:rFonts w:ascii="IBM Plex Sans Medium" w:hAnsi="IBM Plex Sans Medium"/>
                <w:color w:val="auto"/>
                <w:spacing w:val="-4"/>
                <w:sz w:val="18"/>
                <w:szCs w:val="18"/>
              </w:rPr>
            </w:pPr>
          </w:p>
        </w:tc>
        <w:tc>
          <w:tcPr>
            <w:tcW w:w="952" w:type="dxa"/>
            <w:shd w:val="clear" w:color="auto" w:fill="FFFFFF"/>
            <w:vAlign w:val="bottom"/>
          </w:tcPr>
          <w:p w14:paraId="5F173FBF" w14:textId="77777777" w:rsidR="00AE1E5C" w:rsidRPr="00024B10" w:rsidRDefault="00AE1E5C" w:rsidP="004203CD">
            <w:pPr>
              <w:pStyle w:val="TableFigures"/>
              <w:rPr>
                <w:rFonts w:ascii="IBM Plex Sans Light" w:hAnsi="IBM Plex Sans Light"/>
                <w:b/>
                <w:color w:val="3D7FE0" w:themeColor="accent1"/>
                <w:spacing w:val="-4"/>
                <w:sz w:val="18"/>
                <w:szCs w:val="18"/>
              </w:rPr>
            </w:pPr>
          </w:p>
        </w:tc>
        <w:tc>
          <w:tcPr>
            <w:tcW w:w="953" w:type="dxa"/>
            <w:shd w:val="clear" w:color="auto" w:fill="FFFFFF"/>
            <w:vAlign w:val="bottom"/>
          </w:tcPr>
          <w:p w14:paraId="19F57481" w14:textId="77777777" w:rsidR="00AE1E5C" w:rsidRPr="000F2E24" w:rsidRDefault="00AE1E5C" w:rsidP="004203CD">
            <w:pPr>
              <w:pStyle w:val="TableFigures"/>
              <w:rPr>
                <w:rFonts w:ascii="IBM Plex Sans Light" w:hAnsi="IBM Plex Sans Light"/>
                <w:i/>
                <w:iCs/>
                <w:color w:val="auto"/>
                <w:spacing w:val="-4"/>
                <w:sz w:val="18"/>
                <w:szCs w:val="18"/>
              </w:rPr>
            </w:pPr>
          </w:p>
        </w:tc>
      </w:tr>
      <w:tr w:rsidR="00AE1E5C" w:rsidRPr="00351930" w14:paraId="7D070A90" w14:textId="77777777" w:rsidTr="004203CD">
        <w:trPr>
          <w:gridAfter w:val="1"/>
          <w:wAfter w:w="953" w:type="dxa"/>
        </w:trPr>
        <w:tc>
          <w:tcPr>
            <w:tcW w:w="5103" w:type="dxa"/>
            <w:vAlign w:val="bottom"/>
          </w:tcPr>
          <w:p w14:paraId="5EF4CCFC" w14:textId="77777777" w:rsidR="00AE1E5C" w:rsidRPr="009B6985" w:rsidRDefault="00AE1E5C" w:rsidP="004203CD">
            <w:pPr>
              <w:pStyle w:val="Tabletext"/>
              <w:rPr>
                <w:rFonts w:ascii="IBM Plex Sans Light" w:hAnsi="IBM Plex Sans Light"/>
                <w:color w:val="auto"/>
                <w:sz w:val="18"/>
                <w:szCs w:val="18"/>
              </w:rPr>
            </w:pPr>
            <w:r w:rsidRPr="009B6985">
              <w:rPr>
                <w:rFonts w:ascii="IBM Plex Sans Light" w:hAnsi="IBM Plex Sans Light"/>
                <w:sz w:val="18"/>
                <w:szCs w:val="18"/>
              </w:rPr>
              <w:t>— UK</w:t>
            </w:r>
          </w:p>
        </w:tc>
        <w:tc>
          <w:tcPr>
            <w:tcW w:w="952" w:type="dxa"/>
            <w:vAlign w:val="bottom"/>
          </w:tcPr>
          <w:p w14:paraId="7068DA80"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vAlign w:val="bottom"/>
          </w:tcPr>
          <w:p w14:paraId="0193637B"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5.9</w:t>
            </w:r>
          </w:p>
        </w:tc>
        <w:tc>
          <w:tcPr>
            <w:tcW w:w="953" w:type="dxa"/>
            <w:shd w:val="clear" w:color="auto" w:fill="FFFFFF"/>
            <w:vAlign w:val="bottom"/>
          </w:tcPr>
          <w:p w14:paraId="0E5C0648" w14:textId="77777777" w:rsidR="00AE1E5C" w:rsidRPr="003D3A93" w:rsidRDefault="00AE1E5C" w:rsidP="004203CD">
            <w:pPr>
              <w:pStyle w:val="TableFiguresBold"/>
              <w:rPr>
                <w:rFonts w:ascii="IBM Plex Sans Light" w:hAnsi="IBM Plex Sans Light"/>
                <w:b w:val="0"/>
                <w:bCs w:val="0"/>
                <w:color w:val="auto"/>
                <w:spacing w:val="-4"/>
                <w:sz w:val="18"/>
                <w:szCs w:val="18"/>
              </w:rPr>
            </w:pPr>
            <w:r w:rsidRPr="003D3A93">
              <w:rPr>
                <w:rFonts w:ascii="IBM Plex Sans Light" w:hAnsi="IBM Plex Sans Light"/>
                <w:b w:val="0"/>
                <w:bCs w:val="0"/>
                <w:color w:val="auto"/>
                <w:sz w:val="18"/>
                <w:szCs w:val="18"/>
              </w:rPr>
              <w:t>6.8%</w:t>
            </w:r>
          </w:p>
        </w:tc>
        <w:tc>
          <w:tcPr>
            <w:tcW w:w="952" w:type="dxa"/>
            <w:shd w:val="clear" w:color="auto" w:fill="FFFFFF"/>
            <w:vAlign w:val="bottom"/>
          </w:tcPr>
          <w:p w14:paraId="7B69AC28"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2.3</w:t>
            </w:r>
          </w:p>
        </w:tc>
        <w:tc>
          <w:tcPr>
            <w:tcW w:w="953" w:type="dxa"/>
            <w:shd w:val="clear" w:color="auto" w:fill="FFFFFF"/>
            <w:vAlign w:val="bottom"/>
          </w:tcPr>
          <w:p w14:paraId="1FFE621F" w14:textId="77777777" w:rsidR="00AE1E5C" w:rsidRPr="003D3A93" w:rsidRDefault="00AE1E5C" w:rsidP="004203CD">
            <w:pPr>
              <w:pStyle w:val="TableFigures"/>
              <w:rPr>
                <w:rFonts w:ascii="IBM Plex Sans Light" w:hAnsi="IBM Plex Sans Light"/>
                <w:i/>
                <w:iCs/>
                <w:color w:val="auto"/>
                <w:spacing w:val="-4"/>
                <w:sz w:val="18"/>
                <w:szCs w:val="18"/>
              </w:rPr>
            </w:pPr>
            <w:r w:rsidRPr="003D3A93">
              <w:rPr>
                <w:rFonts w:ascii="IBM Plex Sans Light" w:hAnsi="IBM Plex Sans Light"/>
                <w:color w:val="auto"/>
                <w:sz w:val="18"/>
                <w:szCs w:val="18"/>
              </w:rPr>
              <w:t>3.2%</w:t>
            </w:r>
          </w:p>
        </w:tc>
      </w:tr>
      <w:tr w:rsidR="00AE1E5C" w:rsidRPr="00351930" w14:paraId="21633775" w14:textId="77777777" w:rsidTr="004203CD">
        <w:trPr>
          <w:gridAfter w:val="1"/>
          <w:wAfter w:w="953" w:type="dxa"/>
        </w:trPr>
        <w:tc>
          <w:tcPr>
            <w:tcW w:w="5103" w:type="dxa"/>
            <w:vAlign w:val="bottom"/>
          </w:tcPr>
          <w:p w14:paraId="122D2536" w14:textId="77777777" w:rsidR="00AE1E5C" w:rsidRPr="009B6985" w:rsidRDefault="00AE1E5C" w:rsidP="004203CD">
            <w:pPr>
              <w:pStyle w:val="Tabletext"/>
              <w:rPr>
                <w:rFonts w:ascii="IBM Plex Sans Light" w:hAnsi="IBM Plex Sans Light"/>
                <w:color w:val="auto"/>
                <w:sz w:val="18"/>
                <w:szCs w:val="18"/>
              </w:rPr>
            </w:pPr>
            <w:r w:rsidRPr="009B6985">
              <w:rPr>
                <w:rFonts w:ascii="IBM Plex Sans Light" w:hAnsi="IBM Plex Sans Light"/>
                <w:sz w:val="18"/>
                <w:szCs w:val="18"/>
              </w:rPr>
              <w:t>— France</w:t>
            </w:r>
          </w:p>
        </w:tc>
        <w:tc>
          <w:tcPr>
            <w:tcW w:w="952" w:type="dxa"/>
            <w:vAlign w:val="bottom"/>
          </w:tcPr>
          <w:p w14:paraId="68F9357F"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vAlign w:val="bottom"/>
          </w:tcPr>
          <w:p w14:paraId="3B8641C6"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0.4</w:t>
            </w:r>
          </w:p>
        </w:tc>
        <w:tc>
          <w:tcPr>
            <w:tcW w:w="953" w:type="dxa"/>
            <w:shd w:val="clear" w:color="auto" w:fill="FFFFFF"/>
            <w:vAlign w:val="bottom"/>
          </w:tcPr>
          <w:p w14:paraId="28960D57" w14:textId="77777777" w:rsidR="00AE1E5C" w:rsidRPr="003D3A93" w:rsidRDefault="00AE1E5C" w:rsidP="004203CD">
            <w:pPr>
              <w:pStyle w:val="TableFiguresBold"/>
              <w:rPr>
                <w:rFonts w:ascii="IBM Plex Sans Light" w:hAnsi="IBM Plex Sans Light"/>
                <w:b w:val="0"/>
                <w:bCs w:val="0"/>
                <w:color w:val="auto"/>
                <w:spacing w:val="-4"/>
                <w:sz w:val="18"/>
                <w:szCs w:val="18"/>
              </w:rPr>
            </w:pPr>
            <w:r w:rsidRPr="003D3A93">
              <w:rPr>
                <w:rFonts w:ascii="IBM Plex Sans Light" w:hAnsi="IBM Plex Sans Light"/>
                <w:b w:val="0"/>
                <w:bCs w:val="0"/>
                <w:color w:val="auto"/>
                <w:sz w:val="18"/>
                <w:szCs w:val="18"/>
              </w:rPr>
              <w:t>1.4%</w:t>
            </w:r>
          </w:p>
        </w:tc>
        <w:tc>
          <w:tcPr>
            <w:tcW w:w="952" w:type="dxa"/>
            <w:shd w:val="clear" w:color="auto" w:fill="FFFFFF"/>
            <w:vAlign w:val="bottom"/>
          </w:tcPr>
          <w:p w14:paraId="1F8A963A"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0.5</w:t>
            </w:r>
          </w:p>
        </w:tc>
        <w:tc>
          <w:tcPr>
            <w:tcW w:w="953" w:type="dxa"/>
            <w:shd w:val="clear" w:color="auto" w:fill="FFFFFF"/>
            <w:vAlign w:val="bottom"/>
          </w:tcPr>
          <w:p w14:paraId="22B1FDD2" w14:textId="77777777" w:rsidR="00AE1E5C" w:rsidRPr="003D3A93" w:rsidRDefault="00AE1E5C" w:rsidP="004203CD">
            <w:pPr>
              <w:pStyle w:val="TableFigures"/>
              <w:rPr>
                <w:rFonts w:ascii="IBM Plex Sans Light" w:hAnsi="IBM Plex Sans Light"/>
                <w:i/>
                <w:iCs/>
                <w:color w:val="auto"/>
                <w:spacing w:val="-4"/>
                <w:sz w:val="18"/>
                <w:szCs w:val="18"/>
              </w:rPr>
            </w:pPr>
            <w:r w:rsidRPr="003D3A93">
              <w:rPr>
                <w:rFonts w:ascii="IBM Plex Sans Light" w:hAnsi="IBM Plex Sans Light"/>
                <w:color w:val="auto"/>
                <w:sz w:val="18"/>
                <w:szCs w:val="18"/>
              </w:rPr>
              <w:t>1.8%</w:t>
            </w:r>
          </w:p>
        </w:tc>
      </w:tr>
      <w:tr w:rsidR="00AE1E5C" w:rsidRPr="00351930" w14:paraId="351F6D16" w14:textId="77777777" w:rsidTr="004203CD">
        <w:trPr>
          <w:gridAfter w:val="1"/>
          <w:wAfter w:w="953" w:type="dxa"/>
        </w:trPr>
        <w:tc>
          <w:tcPr>
            <w:tcW w:w="5103" w:type="dxa"/>
            <w:tcBorders>
              <w:bottom w:val="single" w:sz="2" w:space="0" w:color="3D7FE0" w:themeColor="accent1"/>
            </w:tcBorders>
            <w:vAlign w:val="bottom"/>
          </w:tcPr>
          <w:p w14:paraId="765358FE" w14:textId="77777777" w:rsidR="00AE1E5C" w:rsidRPr="009B6985" w:rsidRDefault="00AE1E5C" w:rsidP="004203CD">
            <w:pPr>
              <w:pStyle w:val="Tabletext"/>
              <w:rPr>
                <w:rFonts w:ascii="IBM Plex Sans Light" w:hAnsi="IBM Plex Sans Light"/>
                <w:color w:val="auto"/>
                <w:sz w:val="18"/>
                <w:szCs w:val="18"/>
              </w:rPr>
            </w:pPr>
            <w:r w:rsidRPr="009B6985">
              <w:rPr>
                <w:rFonts w:ascii="IBM Plex Sans Light" w:hAnsi="IBM Plex Sans Light"/>
                <w:sz w:val="18"/>
                <w:szCs w:val="18"/>
              </w:rPr>
              <w:t>— Ireland</w:t>
            </w:r>
          </w:p>
        </w:tc>
        <w:tc>
          <w:tcPr>
            <w:tcW w:w="952" w:type="dxa"/>
            <w:tcBorders>
              <w:bottom w:val="single" w:sz="2" w:space="0" w:color="3D7FE0" w:themeColor="accent1"/>
            </w:tcBorders>
            <w:vAlign w:val="bottom"/>
          </w:tcPr>
          <w:p w14:paraId="768A1223"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tcBorders>
              <w:bottom w:val="single" w:sz="2" w:space="0" w:color="3D7FE0" w:themeColor="accent1"/>
            </w:tcBorders>
            <w:vAlign w:val="bottom"/>
          </w:tcPr>
          <w:p w14:paraId="29E6D150"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2.2</w:t>
            </w:r>
          </w:p>
        </w:tc>
        <w:tc>
          <w:tcPr>
            <w:tcW w:w="953" w:type="dxa"/>
            <w:tcBorders>
              <w:bottom w:val="single" w:sz="2" w:space="0" w:color="3D7FE0" w:themeColor="accent1"/>
            </w:tcBorders>
            <w:shd w:val="clear" w:color="auto" w:fill="FFFFFF"/>
            <w:vAlign w:val="bottom"/>
          </w:tcPr>
          <w:p w14:paraId="16F8A2A3" w14:textId="77777777" w:rsidR="00AE1E5C" w:rsidRPr="003D3A93" w:rsidRDefault="00AE1E5C" w:rsidP="004203CD">
            <w:pPr>
              <w:pStyle w:val="TableFiguresBold"/>
              <w:rPr>
                <w:rFonts w:ascii="IBM Plex Sans Light" w:hAnsi="IBM Plex Sans Light"/>
                <w:b w:val="0"/>
                <w:bCs w:val="0"/>
                <w:color w:val="auto"/>
                <w:spacing w:val="-4"/>
                <w:sz w:val="18"/>
                <w:szCs w:val="18"/>
              </w:rPr>
            </w:pPr>
            <w:r w:rsidRPr="003D3A93">
              <w:rPr>
                <w:rFonts w:ascii="IBM Plex Sans Light" w:hAnsi="IBM Plex Sans Light"/>
                <w:b w:val="0"/>
                <w:bCs w:val="0"/>
                <w:color w:val="auto"/>
                <w:sz w:val="18"/>
                <w:szCs w:val="18"/>
              </w:rPr>
              <w:t>5.7%</w:t>
            </w:r>
          </w:p>
        </w:tc>
        <w:tc>
          <w:tcPr>
            <w:tcW w:w="952" w:type="dxa"/>
            <w:tcBorders>
              <w:bottom w:val="single" w:sz="2" w:space="0" w:color="3D7FE0" w:themeColor="accent1"/>
            </w:tcBorders>
            <w:shd w:val="clear" w:color="auto" w:fill="FFFFFF"/>
            <w:vAlign w:val="bottom"/>
          </w:tcPr>
          <w:p w14:paraId="5B840002"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2.0</w:t>
            </w:r>
          </w:p>
        </w:tc>
        <w:tc>
          <w:tcPr>
            <w:tcW w:w="953" w:type="dxa"/>
            <w:tcBorders>
              <w:bottom w:val="single" w:sz="2" w:space="0" w:color="3D7FE0" w:themeColor="accent1"/>
            </w:tcBorders>
            <w:shd w:val="clear" w:color="auto" w:fill="FFFFFF"/>
            <w:vAlign w:val="bottom"/>
          </w:tcPr>
          <w:p w14:paraId="720140CA" w14:textId="77777777" w:rsidR="00AE1E5C" w:rsidRPr="003D3A93" w:rsidRDefault="00AE1E5C" w:rsidP="004203CD">
            <w:pPr>
              <w:pStyle w:val="TableFigures"/>
              <w:rPr>
                <w:rFonts w:ascii="IBM Plex Sans Light" w:hAnsi="IBM Plex Sans Light"/>
                <w:i/>
                <w:iCs/>
                <w:color w:val="auto"/>
                <w:spacing w:val="-4"/>
                <w:sz w:val="18"/>
                <w:szCs w:val="18"/>
              </w:rPr>
            </w:pPr>
            <w:r w:rsidRPr="003D3A93">
              <w:rPr>
                <w:rFonts w:ascii="IBM Plex Sans Light" w:hAnsi="IBM Plex Sans Light"/>
                <w:color w:val="auto"/>
                <w:sz w:val="18"/>
                <w:szCs w:val="18"/>
              </w:rPr>
              <w:t>6.0%</w:t>
            </w:r>
          </w:p>
        </w:tc>
      </w:tr>
      <w:tr w:rsidR="00AE1E5C" w:rsidRPr="00351930" w14:paraId="5FB98ADB" w14:textId="77777777" w:rsidTr="004203CD">
        <w:trPr>
          <w:gridAfter w:val="1"/>
          <w:wAfter w:w="953" w:type="dxa"/>
        </w:trPr>
        <w:tc>
          <w:tcPr>
            <w:tcW w:w="5103" w:type="dxa"/>
            <w:tcBorders>
              <w:top w:val="single" w:sz="2" w:space="0" w:color="3D7FE0" w:themeColor="accent1"/>
            </w:tcBorders>
            <w:vAlign w:val="bottom"/>
          </w:tcPr>
          <w:p w14:paraId="11A8A775" w14:textId="77777777" w:rsidR="00AE1E5C" w:rsidRPr="009B6985" w:rsidRDefault="00AE1E5C" w:rsidP="004203CD">
            <w:pPr>
              <w:pStyle w:val="Tabletext"/>
              <w:rPr>
                <w:rFonts w:ascii="IBM Plex Sans Light" w:hAnsi="IBM Plex Sans Light"/>
                <w:color w:val="auto"/>
                <w:sz w:val="18"/>
                <w:szCs w:val="18"/>
              </w:rPr>
            </w:pPr>
          </w:p>
        </w:tc>
        <w:tc>
          <w:tcPr>
            <w:tcW w:w="952" w:type="dxa"/>
            <w:tcBorders>
              <w:top w:val="single" w:sz="2" w:space="0" w:color="3D7FE0" w:themeColor="accent1"/>
            </w:tcBorders>
            <w:vAlign w:val="bottom"/>
          </w:tcPr>
          <w:p w14:paraId="0E2CEB67"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tcBorders>
              <w:top w:val="single" w:sz="2" w:space="0" w:color="3D7FE0" w:themeColor="accent1"/>
            </w:tcBorders>
            <w:vAlign w:val="bottom"/>
          </w:tcPr>
          <w:p w14:paraId="6C4F9539"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8.5</w:t>
            </w:r>
          </w:p>
        </w:tc>
        <w:tc>
          <w:tcPr>
            <w:tcW w:w="953" w:type="dxa"/>
            <w:tcBorders>
              <w:top w:val="single" w:sz="2" w:space="0" w:color="3D7FE0" w:themeColor="accent1"/>
              <w:bottom w:val="single" w:sz="8" w:space="0" w:color="3D7FE0" w:themeColor="accent1"/>
            </w:tcBorders>
            <w:shd w:val="clear" w:color="auto" w:fill="FFFFFF"/>
            <w:vAlign w:val="bottom"/>
          </w:tcPr>
          <w:p w14:paraId="441C9E7F" w14:textId="77777777" w:rsidR="00AE1E5C" w:rsidRPr="00653D8F" w:rsidRDefault="00AE1E5C" w:rsidP="004203CD">
            <w:pPr>
              <w:pStyle w:val="TableFiguresBold"/>
              <w:rPr>
                <w:rFonts w:ascii="IBM Plex Sans Light" w:hAnsi="IBM Plex Sans Light"/>
                <w:color w:val="auto"/>
                <w:spacing w:val="-4"/>
                <w:sz w:val="18"/>
                <w:szCs w:val="18"/>
              </w:rPr>
            </w:pPr>
            <w:r w:rsidRPr="00653D8F">
              <w:rPr>
                <w:rFonts w:ascii="IBM Plex Sans Light" w:hAnsi="IBM Plex Sans Light"/>
                <w:color w:val="auto"/>
                <w:sz w:val="18"/>
                <w:szCs w:val="18"/>
              </w:rPr>
              <w:t>5.5%</w:t>
            </w:r>
          </w:p>
        </w:tc>
        <w:tc>
          <w:tcPr>
            <w:tcW w:w="952" w:type="dxa"/>
            <w:tcBorders>
              <w:top w:val="single" w:sz="2" w:space="0" w:color="3D7FE0" w:themeColor="accent1"/>
            </w:tcBorders>
            <w:shd w:val="clear" w:color="auto" w:fill="FFFFFF"/>
            <w:vAlign w:val="bottom"/>
          </w:tcPr>
          <w:p w14:paraId="18F95278"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4.8</w:t>
            </w:r>
          </w:p>
        </w:tc>
        <w:tc>
          <w:tcPr>
            <w:tcW w:w="953" w:type="dxa"/>
            <w:tcBorders>
              <w:top w:val="single" w:sz="2" w:space="0" w:color="3D7FE0" w:themeColor="accent1"/>
              <w:bottom w:val="single" w:sz="8" w:space="0" w:color="3D7FE0" w:themeColor="accent1"/>
            </w:tcBorders>
            <w:shd w:val="clear" w:color="auto" w:fill="FFFFFF"/>
            <w:vAlign w:val="bottom"/>
          </w:tcPr>
          <w:p w14:paraId="2FDD8163" w14:textId="77777777" w:rsidR="00AE1E5C" w:rsidRPr="00653D8F" w:rsidRDefault="00AE1E5C" w:rsidP="004203CD">
            <w:pPr>
              <w:pStyle w:val="TableFigures"/>
              <w:rPr>
                <w:rFonts w:ascii="IBM Plex Sans Light" w:hAnsi="IBM Plex Sans Light"/>
                <w:b/>
                <w:bCs/>
                <w:i/>
                <w:iCs/>
                <w:color w:val="auto"/>
                <w:spacing w:val="-4"/>
                <w:sz w:val="18"/>
                <w:szCs w:val="18"/>
              </w:rPr>
            </w:pPr>
            <w:r w:rsidRPr="00653D8F">
              <w:rPr>
                <w:rFonts w:ascii="IBM Plex Sans Light" w:hAnsi="IBM Plex Sans Light"/>
                <w:b/>
                <w:bCs/>
                <w:color w:val="auto"/>
                <w:sz w:val="18"/>
                <w:szCs w:val="18"/>
              </w:rPr>
              <w:t>3.6%</w:t>
            </w:r>
          </w:p>
        </w:tc>
      </w:tr>
      <w:tr w:rsidR="00AE1E5C" w:rsidRPr="00351930" w14:paraId="42A593AC" w14:textId="77777777" w:rsidTr="004203CD">
        <w:trPr>
          <w:gridAfter w:val="1"/>
          <w:wAfter w:w="953" w:type="dxa"/>
        </w:trPr>
        <w:tc>
          <w:tcPr>
            <w:tcW w:w="5103" w:type="dxa"/>
            <w:vAlign w:val="bottom"/>
          </w:tcPr>
          <w:p w14:paraId="6C10CFDE" w14:textId="77777777" w:rsidR="00AE1E5C" w:rsidRPr="009B6985" w:rsidRDefault="00AE1E5C" w:rsidP="004203CD">
            <w:pPr>
              <w:pStyle w:val="Tabletext"/>
              <w:rPr>
                <w:rFonts w:ascii="IBM Plex Sans Light" w:hAnsi="IBM Plex Sans Light"/>
                <w:color w:val="auto"/>
                <w:sz w:val="18"/>
                <w:szCs w:val="18"/>
              </w:rPr>
            </w:pPr>
            <w:r w:rsidRPr="009B6985">
              <w:rPr>
                <w:rFonts w:ascii="IBM Plex Sans Light" w:hAnsi="IBM Plex Sans Light"/>
                <w:sz w:val="18"/>
                <w:szCs w:val="18"/>
              </w:rPr>
              <w:t>Disposals</w:t>
            </w:r>
          </w:p>
        </w:tc>
        <w:tc>
          <w:tcPr>
            <w:tcW w:w="952" w:type="dxa"/>
            <w:vAlign w:val="bottom"/>
          </w:tcPr>
          <w:p w14:paraId="5C036F75"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vAlign w:val="bottom"/>
          </w:tcPr>
          <w:p w14:paraId="0AD7C66E"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(17.8)</w:t>
            </w:r>
          </w:p>
        </w:tc>
        <w:tc>
          <w:tcPr>
            <w:tcW w:w="953" w:type="dxa"/>
            <w:tcBorders>
              <w:top w:val="single" w:sz="8" w:space="0" w:color="3D7FE0" w:themeColor="accent1"/>
            </w:tcBorders>
            <w:shd w:val="clear" w:color="auto" w:fill="FFFFFF"/>
            <w:vAlign w:val="bottom"/>
          </w:tcPr>
          <w:p w14:paraId="12E42528" w14:textId="77777777" w:rsidR="00AE1E5C" w:rsidRPr="000F2E24" w:rsidRDefault="00AE1E5C" w:rsidP="004203CD">
            <w:pPr>
              <w:pStyle w:val="TableFiguresBold"/>
              <w:rPr>
                <w:rFonts w:ascii="IBM Plex Sans Medium" w:hAnsi="IBM Plex Sans Medium"/>
                <w:b w:val="0"/>
                <w:bCs w:val="0"/>
                <w:color w:val="3D7FE0" w:themeColor="accent1"/>
                <w:spacing w:val="-4"/>
                <w:sz w:val="18"/>
                <w:szCs w:val="18"/>
              </w:rPr>
            </w:pPr>
          </w:p>
        </w:tc>
        <w:tc>
          <w:tcPr>
            <w:tcW w:w="952" w:type="dxa"/>
            <w:shd w:val="clear" w:color="auto" w:fill="FFFFFF"/>
            <w:vAlign w:val="bottom"/>
          </w:tcPr>
          <w:p w14:paraId="5572360A"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(11.2)</w:t>
            </w:r>
          </w:p>
        </w:tc>
        <w:tc>
          <w:tcPr>
            <w:tcW w:w="953" w:type="dxa"/>
            <w:tcBorders>
              <w:top w:val="single" w:sz="8" w:space="0" w:color="3D7FE0" w:themeColor="accent1"/>
            </w:tcBorders>
            <w:shd w:val="clear" w:color="auto" w:fill="FFFFFF"/>
            <w:vAlign w:val="bottom"/>
          </w:tcPr>
          <w:p w14:paraId="198FF48D" w14:textId="77777777" w:rsidR="00AE1E5C" w:rsidRPr="000F2E24" w:rsidRDefault="00AE1E5C" w:rsidP="004203CD">
            <w:pPr>
              <w:pStyle w:val="TableFigures"/>
              <w:rPr>
                <w:rFonts w:ascii="IBM Plex Sans Light" w:hAnsi="IBM Plex Sans Light"/>
                <w:i/>
                <w:iCs/>
                <w:color w:val="3D7FE0" w:themeColor="accent1"/>
                <w:spacing w:val="-4"/>
                <w:sz w:val="18"/>
                <w:szCs w:val="18"/>
              </w:rPr>
            </w:pPr>
          </w:p>
        </w:tc>
      </w:tr>
      <w:tr w:rsidR="00AE1E5C" w:rsidRPr="00351930" w14:paraId="6293E74C" w14:textId="77777777" w:rsidTr="004203CD">
        <w:trPr>
          <w:gridAfter w:val="1"/>
          <w:wAfter w:w="953" w:type="dxa"/>
        </w:trPr>
        <w:tc>
          <w:tcPr>
            <w:tcW w:w="5103" w:type="dxa"/>
            <w:vAlign w:val="bottom"/>
          </w:tcPr>
          <w:p w14:paraId="651F0E24"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z w:val="18"/>
                <w:szCs w:val="18"/>
              </w:rPr>
              <w:t>Developments and other</w:t>
            </w:r>
          </w:p>
        </w:tc>
        <w:tc>
          <w:tcPr>
            <w:tcW w:w="952" w:type="dxa"/>
            <w:vAlign w:val="bottom"/>
          </w:tcPr>
          <w:p w14:paraId="736E610D"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vAlign w:val="bottom"/>
          </w:tcPr>
          <w:p w14:paraId="6C8E3817"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0.4</w:t>
            </w:r>
          </w:p>
        </w:tc>
        <w:tc>
          <w:tcPr>
            <w:tcW w:w="953" w:type="dxa"/>
            <w:shd w:val="clear" w:color="auto" w:fill="FFFFFF"/>
            <w:vAlign w:val="bottom"/>
          </w:tcPr>
          <w:p w14:paraId="270ABAAD" w14:textId="77777777" w:rsidR="00AE1E5C" w:rsidRPr="000F2E24" w:rsidRDefault="00AE1E5C" w:rsidP="004203CD">
            <w:pPr>
              <w:pStyle w:val="TableFiguresBold"/>
              <w:rPr>
                <w:rFonts w:ascii="IBM Plex Sans Medium" w:hAnsi="IBM Plex Sans Medium"/>
                <w:b w:val="0"/>
                <w:bCs w:val="0"/>
                <w:color w:val="3D7FE0" w:themeColor="accent1"/>
                <w:spacing w:val="-4"/>
                <w:sz w:val="18"/>
                <w:szCs w:val="18"/>
              </w:rPr>
            </w:pPr>
          </w:p>
        </w:tc>
        <w:tc>
          <w:tcPr>
            <w:tcW w:w="952" w:type="dxa"/>
            <w:shd w:val="clear" w:color="auto" w:fill="FFFFFF"/>
            <w:vAlign w:val="bottom"/>
          </w:tcPr>
          <w:p w14:paraId="61A83D1D"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(2.7)</w:t>
            </w:r>
          </w:p>
        </w:tc>
        <w:tc>
          <w:tcPr>
            <w:tcW w:w="953" w:type="dxa"/>
            <w:shd w:val="clear" w:color="auto" w:fill="FFFFFF"/>
            <w:vAlign w:val="bottom"/>
          </w:tcPr>
          <w:p w14:paraId="0E3D5934" w14:textId="77777777" w:rsidR="00AE1E5C" w:rsidRPr="000F2E24" w:rsidRDefault="00AE1E5C" w:rsidP="004203CD">
            <w:pPr>
              <w:pStyle w:val="TableFigures"/>
              <w:rPr>
                <w:rFonts w:ascii="IBM Plex Sans Light" w:hAnsi="IBM Plex Sans Light"/>
                <w:i/>
                <w:iCs/>
                <w:color w:val="3D7FE0" w:themeColor="accent1"/>
                <w:spacing w:val="-4"/>
                <w:sz w:val="18"/>
                <w:szCs w:val="18"/>
              </w:rPr>
            </w:pPr>
          </w:p>
        </w:tc>
      </w:tr>
      <w:tr w:rsidR="00AE1E5C" w:rsidRPr="00351930" w14:paraId="502CD424" w14:textId="77777777" w:rsidTr="004203CD">
        <w:trPr>
          <w:gridAfter w:val="1"/>
          <w:wAfter w:w="953" w:type="dxa"/>
        </w:trPr>
        <w:tc>
          <w:tcPr>
            <w:tcW w:w="5103" w:type="dxa"/>
            <w:tcBorders>
              <w:bottom w:val="single" w:sz="2" w:space="0" w:color="3D7FE0" w:themeColor="accent1"/>
            </w:tcBorders>
            <w:vAlign w:val="bottom"/>
          </w:tcPr>
          <w:p w14:paraId="5F1D2C6B" w14:textId="77777777" w:rsidR="00AE1E5C" w:rsidRPr="009B6985" w:rsidRDefault="00AE1E5C" w:rsidP="004203CD">
            <w:pPr>
              <w:pStyle w:val="Tabletext"/>
              <w:rPr>
                <w:rFonts w:ascii="IBM Plex Sans Light" w:hAnsi="IBM Plex Sans Light"/>
                <w:sz w:val="18"/>
                <w:szCs w:val="18"/>
              </w:rPr>
            </w:pPr>
            <w:r w:rsidRPr="009B6985">
              <w:rPr>
                <w:rFonts w:ascii="IBM Plex Sans Light" w:hAnsi="IBM Plex Sans Light"/>
                <w:sz w:val="18"/>
                <w:szCs w:val="18"/>
              </w:rPr>
              <w:t>Foreign exchange</w:t>
            </w:r>
          </w:p>
        </w:tc>
        <w:tc>
          <w:tcPr>
            <w:tcW w:w="952" w:type="dxa"/>
            <w:tcBorders>
              <w:bottom w:val="single" w:sz="2" w:space="0" w:color="3D7FE0" w:themeColor="accent1"/>
            </w:tcBorders>
            <w:vAlign w:val="bottom"/>
          </w:tcPr>
          <w:p w14:paraId="7D3DEE97"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tcBorders>
              <w:bottom w:val="single" w:sz="2" w:space="0" w:color="3D7FE0" w:themeColor="accent1"/>
            </w:tcBorders>
            <w:vAlign w:val="bottom"/>
          </w:tcPr>
          <w:p w14:paraId="4BF7225F"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2.1</w:t>
            </w:r>
          </w:p>
        </w:tc>
        <w:tc>
          <w:tcPr>
            <w:tcW w:w="953" w:type="dxa"/>
            <w:tcBorders>
              <w:bottom w:val="single" w:sz="2" w:space="0" w:color="3D7FE0" w:themeColor="accent1"/>
            </w:tcBorders>
            <w:shd w:val="clear" w:color="auto" w:fill="FFFFFF"/>
            <w:vAlign w:val="bottom"/>
          </w:tcPr>
          <w:p w14:paraId="62EE78BE" w14:textId="77777777" w:rsidR="00AE1E5C" w:rsidRPr="000F2E24" w:rsidRDefault="00AE1E5C" w:rsidP="004203CD">
            <w:pPr>
              <w:pStyle w:val="TableFiguresBold"/>
              <w:rPr>
                <w:rFonts w:ascii="IBM Plex Sans Medium" w:hAnsi="IBM Plex Sans Medium"/>
                <w:color w:val="3D7FE0" w:themeColor="accent1"/>
                <w:spacing w:val="-4"/>
                <w:sz w:val="18"/>
                <w:szCs w:val="18"/>
              </w:rPr>
            </w:pPr>
          </w:p>
        </w:tc>
        <w:tc>
          <w:tcPr>
            <w:tcW w:w="952" w:type="dxa"/>
            <w:tcBorders>
              <w:bottom w:val="single" w:sz="2" w:space="0" w:color="3D7FE0" w:themeColor="accent1"/>
            </w:tcBorders>
            <w:shd w:val="clear" w:color="auto" w:fill="FFFFFF"/>
            <w:vAlign w:val="bottom"/>
          </w:tcPr>
          <w:p w14:paraId="719AEFE1"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1.8</w:t>
            </w:r>
          </w:p>
        </w:tc>
        <w:tc>
          <w:tcPr>
            <w:tcW w:w="953" w:type="dxa"/>
            <w:tcBorders>
              <w:bottom w:val="single" w:sz="2" w:space="0" w:color="3D7FE0" w:themeColor="accent1"/>
            </w:tcBorders>
            <w:shd w:val="clear" w:color="auto" w:fill="FFFFFF"/>
            <w:vAlign w:val="bottom"/>
          </w:tcPr>
          <w:p w14:paraId="5FF1894A" w14:textId="77777777" w:rsidR="00AE1E5C" w:rsidRPr="000F2E24" w:rsidRDefault="00AE1E5C" w:rsidP="004203CD">
            <w:pPr>
              <w:pStyle w:val="TableFigures"/>
              <w:rPr>
                <w:rFonts w:ascii="IBM Plex Sans Light" w:hAnsi="IBM Plex Sans Light"/>
                <w:i/>
                <w:iCs/>
                <w:color w:val="3D7FE0" w:themeColor="accent1"/>
                <w:spacing w:val="-4"/>
                <w:sz w:val="18"/>
                <w:szCs w:val="18"/>
              </w:rPr>
            </w:pPr>
          </w:p>
        </w:tc>
      </w:tr>
      <w:tr w:rsidR="00AE1E5C" w:rsidRPr="00351930" w14:paraId="420B76D3" w14:textId="77777777" w:rsidTr="004203CD">
        <w:trPr>
          <w:gridAfter w:val="1"/>
          <w:wAfter w:w="953" w:type="dxa"/>
        </w:trPr>
        <w:tc>
          <w:tcPr>
            <w:tcW w:w="5103" w:type="dxa"/>
            <w:tcBorders>
              <w:top w:val="single" w:sz="2" w:space="0" w:color="3D7FE0" w:themeColor="accent1"/>
              <w:bottom w:val="single" w:sz="8" w:space="0" w:color="3D7FE0" w:themeColor="accent1"/>
            </w:tcBorders>
            <w:vAlign w:val="bottom"/>
          </w:tcPr>
          <w:p w14:paraId="62D3575F" w14:textId="77777777" w:rsidR="00AE1E5C" w:rsidRPr="009B6985" w:rsidRDefault="00AE1E5C" w:rsidP="004203CD">
            <w:pPr>
              <w:pStyle w:val="Tabletext"/>
              <w:rPr>
                <w:rFonts w:ascii="IBM Plex Sans Light" w:hAnsi="IBM Plex Sans Light"/>
                <w:sz w:val="18"/>
                <w:szCs w:val="18"/>
              </w:rPr>
            </w:pPr>
            <w:r w:rsidRPr="009B6985">
              <w:rPr>
                <w:rStyle w:val="Bold"/>
                <w:rFonts w:ascii="IBM Plex Sans Light" w:hAnsi="IBM Plex Sans Light" w:cs="IBM Plex Sans"/>
                <w:bCs/>
                <w:sz w:val="18"/>
                <w:szCs w:val="18"/>
              </w:rPr>
              <w:t xml:space="preserve">Year ended 31 December 2023 </w:t>
            </w:r>
          </w:p>
        </w:tc>
        <w:tc>
          <w:tcPr>
            <w:tcW w:w="952" w:type="dxa"/>
            <w:tcBorders>
              <w:top w:val="single" w:sz="2" w:space="0" w:color="3D7FE0" w:themeColor="accent1"/>
              <w:bottom w:val="single" w:sz="8" w:space="0" w:color="3D7FE0" w:themeColor="accent1"/>
            </w:tcBorders>
            <w:vAlign w:val="bottom"/>
          </w:tcPr>
          <w:p w14:paraId="60CBBFBC" w14:textId="77777777" w:rsidR="00AE1E5C" w:rsidRPr="000F2E24" w:rsidRDefault="00AE1E5C" w:rsidP="004203CD">
            <w:pPr>
              <w:pStyle w:val="Tabletext"/>
              <w:jc w:val="right"/>
              <w:rPr>
                <w:rFonts w:ascii="IBM Plex Sans Light" w:hAnsi="IBM Plex Sans Light"/>
                <w:color w:val="auto"/>
                <w:sz w:val="18"/>
                <w:szCs w:val="18"/>
              </w:rPr>
            </w:pPr>
          </w:p>
        </w:tc>
        <w:tc>
          <w:tcPr>
            <w:tcW w:w="952" w:type="dxa"/>
            <w:tcBorders>
              <w:top w:val="single" w:sz="2" w:space="0" w:color="3D7FE0" w:themeColor="accent1"/>
              <w:bottom w:val="single" w:sz="8" w:space="0" w:color="3D7FE0" w:themeColor="accent1"/>
            </w:tcBorders>
            <w:vAlign w:val="bottom"/>
          </w:tcPr>
          <w:p w14:paraId="0387828A" w14:textId="77777777" w:rsidR="00AE1E5C" w:rsidRPr="00112E01" w:rsidRDefault="00AE1E5C" w:rsidP="004203CD">
            <w:pPr>
              <w:pStyle w:val="Tabletext"/>
              <w:jc w:val="right"/>
              <w:rPr>
                <w:rFonts w:ascii="IBM Plex Sans Light" w:hAnsi="IBM Plex Sans Light"/>
                <w:bCs/>
                <w:color w:val="3D7FE0" w:themeColor="accent1"/>
                <w:sz w:val="18"/>
                <w:szCs w:val="18"/>
              </w:rPr>
            </w:pPr>
            <w:r w:rsidRPr="00112E01">
              <w:rPr>
                <w:rStyle w:val="BoldBlue"/>
                <w:rFonts w:ascii="IBM Plex Sans Light" w:hAnsi="IBM Plex Sans Light" w:cs="IBM Plex Sans"/>
                <w:bCs w:val="0"/>
                <w:color w:val="3D7FE0" w:themeColor="accent1"/>
                <w:sz w:val="18"/>
                <w:szCs w:val="18"/>
              </w:rPr>
              <w:t>208.4</w:t>
            </w:r>
          </w:p>
        </w:tc>
        <w:tc>
          <w:tcPr>
            <w:tcW w:w="953" w:type="dxa"/>
            <w:tcBorders>
              <w:top w:val="single" w:sz="2" w:space="0" w:color="3D7FE0" w:themeColor="accent1"/>
              <w:bottom w:val="single" w:sz="8" w:space="0" w:color="3D7FE0" w:themeColor="accent1"/>
            </w:tcBorders>
            <w:shd w:val="clear" w:color="auto" w:fill="FFFFFF"/>
            <w:vAlign w:val="bottom"/>
          </w:tcPr>
          <w:p w14:paraId="00A7A98D" w14:textId="77777777" w:rsidR="00AE1E5C" w:rsidRPr="000F2E24" w:rsidRDefault="00AE1E5C" w:rsidP="004203CD">
            <w:pPr>
              <w:pStyle w:val="TableFiguresBold"/>
              <w:rPr>
                <w:rFonts w:ascii="IBM Plex Sans Medium" w:hAnsi="IBM Plex Sans Medium"/>
                <w:color w:val="3D7FE0" w:themeColor="accent1"/>
                <w:spacing w:val="-4"/>
                <w:sz w:val="18"/>
                <w:szCs w:val="18"/>
              </w:rPr>
            </w:pPr>
          </w:p>
        </w:tc>
        <w:tc>
          <w:tcPr>
            <w:tcW w:w="952" w:type="dxa"/>
            <w:tcBorders>
              <w:top w:val="single" w:sz="2" w:space="0" w:color="3D7FE0" w:themeColor="accent1"/>
              <w:bottom w:val="single" w:sz="8" w:space="0" w:color="3D7FE0" w:themeColor="accent1"/>
            </w:tcBorders>
            <w:shd w:val="clear" w:color="auto" w:fill="FFFFFF"/>
            <w:vAlign w:val="bottom"/>
          </w:tcPr>
          <w:p w14:paraId="3B20294A" w14:textId="77777777" w:rsidR="00AE1E5C" w:rsidRPr="00024B10" w:rsidRDefault="00AE1E5C" w:rsidP="004203CD">
            <w:pPr>
              <w:pStyle w:val="TableFigures"/>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167.5</w:t>
            </w:r>
          </w:p>
        </w:tc>
        <w:tc>
          <w:tcPr>
            <w:tcW w:w="953" w:type="dxa"/>
            <w:tcBorders>
              <w:top w:val="single" w:sz="2" w:space="0" w:color="3D7FE0" w:themeColor="accent1"/>
              <w:bottom w:val="single" w:sz="8" w:space="0" w:color="3D7FE0" w:themeColor="accent1"/>
            </w:tcBorders>
            <w:shd w:val="clear" w:color="auto" w:fill="FFFFFF"/>
            <w:vAlign w:val="bottom"/>
          </w:tcPr>
          <w:p w14:paraId="5BDCD605" w14:textId="77777777" w:rsidR="00AE1E5C" w:rsidRPr="000F2E24" w:rsidRDefault="00AE1E5C" w:rsidP="004203CD">
            <w:pPr>
              <w:pStyle w:val="TableFigures"/>
              <w:rPr>
                <w:rFonts w:ascii="IBM Plex Sans Light" w:hAnsi="IBM Plex Sans Light"/>
                <w:i/>
                <w:iCs/>
                <w:color w:val="3D7FE0" w:themeColor="accent1"/>
                <w:spacing w:val="-4"/>
                <w:sz w:val="18"/>
                <w:szCs w:val="18"/>
              </w:rPr>
            </w:pPr>
          </w:p>
        </w:tc>
      </w:tr>
    </w:tbl>
    <w:p w14:paraId="4CDA63E7" w14:textId="77777777" w:rsidR="00AE1E5C" w:rsidRDefault="00AE1E5C" w:rsidP="00AE1E5C">
      <w:pPr>
        <w:pStyle w:val="06SubHeading3Fronttext9105"/>
      </w:pPr>
    </w:p>
    <w:p w14:paraId="71377A4B" w14:textId="77777777" w:rsidR="00AE1E5C" w:rsidRDefault="00AE1E5C" w:rsidP="00AE1E5C">
      <w:pPr>
        <w:pStyle w:val="04BodyCopyFronttext9105"/>
      </w:pPr>
      <w:r>
        <w:t xml:space="preserve">Gross rental income decreased by a net £6.8m to £208.4m. Disposals reduced income by £17.8m, principally Silverburn and Victoria Leeds in 2022 and Italie Deux and Croydon in 2023. This was partly offset by growth in like-for-like income of £8.5m, or 5.5%. 60% of the growth was due to higher base rent consistent with the Group’s strong leasing performance and the remainder was due to year-on-year increases in variable rent (turnover rent and car park and commercialisation income). </w:t>
      </w:r>
    </w:p>
    <w:p w14:paraId="785B863B" w14:textId="77777777" w:rsidR="00AE1E5C" w:rsidRDefault="00AE1E5C" w:rsidP="00AE1E5C">
      <w:pPr>
        <w:pStyle w:val="04BodyCopyFronttext9105"/>
        <w:spacing w:before="120"/>
        <w:rPr>
          <w:spacing w:val="-6"/>
        </w:rPr>
      </w:pPr>
      <w:r>
        <w:t xml:space="preserve">Adjusted net rental income decreased by a net £7.3m to £167.5m. Disposals reduced NRI by £11.2m. From a like-for-like perspective, UK adjusted NRI grew by 3.2%, with lower void costs and the strong like-for-like GRI growth of 6.8% partly offset by the year-on-year change in bad debt charges where 2022 benefited from credits due to the reversals of provisions associated with the strong improvement in collections post Covid-19. Income growth in France of 1.8% was muted due to the adverse impact of a small number of tenants entering administration. Ireland </w:t>
      </w:r>
      <w:r>
        <w:rPr>
          <w:spacing w:val="-6"/>
        </w:rPr>
        <w:t xml:space="preserve">was the strongest performing country with growth of 6.0%, benefiting from the reversal of prior year bad debt charges as collection rates improved. </w:t>
      </w:r>
    </w:p>
    <w:p w14:paraId="6A39705B" w14:textId="6B989101" w:rsidR="00AE1E5C" w:rsidRDefault="00AE1E5C" w:rsidP="00AE1E5C">
      <w:pPr>
        <w:pStyle w:val="04BodyCopyFronttext9105"/>
        <w:spacing w:before="120"/>
      </w:pPr>
      <w:r>
        <w:t xml:space="preserve">Further analysis of net rental income by segment is provided in Table </w:t>
      </w:r>
      <w:r w:rsidR="006B43AF">
        <w:t>3</w:t>
      </w:r>
      <w:r>
        <w:t xml:space="preserve"> of the Additional information.</w:t>
      </w:r>
    </w:p>
    <w:p w14:paraId="389834B1" w14:textId="77777777" w:rsidR="00AE1E5C" w:rsidRDefault="00AE1E5C" w:rsidP="00AE1E5C">
      <w:pPr>
        <w:pStyle w:val="04BodyCopyFronttext9105"/>
      </w:pPr>
    </w:p>
    <w:p w14:paraId="422A37C7" w14:textId="77777777" w:rsidR="00AE1E5C" w:rsidRDefault="00AE1E5C" w:rsidP="00AE1E5C">
      <w:pPr>
        <w:pStyle w:val="06SubHeading3Fronttext9105"/>
      </w:pPr>
      <w:r>
        <w:t>Analysis of rental income</w:t>
      </w:r>
    </w:p>
    <w:p w14:paraId="68AAA016" w14:textId="77777777" w:rsidR="00AE1E5C" w:rsidRDefault="00AE1E5C" w:rsidP="00AE1E5C">
      <w:pPr>
        <w:pStyle w:val="06SubHeading3Fronttext9105"/>
      </w:pPr>
    </w:p>
    <w:p w14:paraId="74CC612D" w14:textId="77777777" w:rsidR="00AE1E5C" w:rsidRDefault="00AE1E5C" w:rsidP="00AE1E5C">
      <w:pPr>
        <w:pStyle w:val="04BodyCopyFronttext9105"/>
      </w:pPr>
      <w:r>
        <w:t>Rental income is further analysed below between the Group’s various ownerships.</w:t>
      </w:r>
    </w:p>
    <w:tbl>
      <w:tblPr>
        <w:tblW w:w="9751" w:type="dxa"/>
        <w:tblLayout w:type="fixed"/>
        <w:tblCellMar>
          <w:left w:w="0" w:type="dxa"/>
          <w:right w:w="0" w:type="dxa"/>
        </w:tblCellMar>
        <w:tblLook w:val="00A0" w:firstRow="1" w:lastRow="0" w:firstColumn="1" w:lastColumn="0" w:noHBand="0" w:noVBand="0"/>
      </w:tblPr>
      <w:tblGrid>
        <w:gridCol w:w="5216"/>
        <w:gridCol w:w="907"/>
        <w:gridCol w:w="907"/>
        <w:gridCol w:w="907"/>
        <w:gridCol w:w="907"/>
        <w:gridCol w:w="907"/>
      </w:tblGrid>
      <w:tr w:rsidR="00AE1E5C" w:rsidRPr="000F2E24" w14:paraId="3BC4DC9C" w14:textId="77777777" w:rsidTr="004203CD">
        <w:trPr>
          <w:trHeight w:val="367"/>
        </w:trPr>
        <w:tc>
          <w:tcPr>
            <w:tcW w:w="5216" w:type="dxa"/>
            <w:tcBorders>
              <w:bottom w:val="single" w:sz="2" w:space="0" w:color="3D7FE0" w:themeColor="accent1"/>
            </w:tcBorders>
            <w:vAlign w:val="bottom"/>
          </w:tcPr>
          <w:p w14:paraId="5FB8FED8" w14:textId="77777777" w:rsidR="00AE1E5C" w:rsidRPr="000F2E24" w:rsidRDefault="00AE1E5C" w:rsidP="004203CD">
            <w:pPr>
              <w:pStyle w:val="TableColHeadsLeft"/>
              <w:rPr>
                <w:rFonts w:ascii="IBM Plex Sans Light" w:hAnsi="IBM Plex Sans Light"/>
                <w:b/>
                <w:bCs/>
                <w:color w:val="4472C4"/>
                <w:sz w:val="16"/>
                <w:szCs w:val="16"/>
              </w:rPr>
            </w:pPr>
          </w:p>
        </w:tc>
        <w:tc>
          <w:tcPr>
            <w:tcW w:w="907" w:type="dxa"/>
            <w:tcBorders>
              <w:bottom w:val="single" w:sz="2" w:space="0" w:color="3D7FE0" w:themeColor="accent1"/>
            </w:tcBorders>
            <w:vAlign w:val="bottom"/>
          </w:tcPr>
          <w:p w14:paraId="57159C47" w14:textId="77777777" w:rsidR="00AE1E5C" w:rsidRPr="000F2E24" w:rsidRDefault="00AE1E5C" w:rsidP="004203CD">
            <w:pPr>
              <w:pStyle w:val="12TBRightColHeaderTableBack"/>
              <w:rPr>
                <w:rStyle w:val="BoldBlue"/>
                <w:rFonts w:cs="IBM Plex Sans"/>
                <w:bCs w:val="0"/>
                <w:color w:val="3D7FE0" w:themeColor="accent1"/>
                <w:sz w:val="16"/>
                <w:szCs w:val="16"/>
              </w:rPr>
            </w:pPr>
          </w:p>
        </w:tc>
        <w:tc>
          <w:tcPr>
            <w:tcW w:w="907" w:type="dxa"/>
            <w:tcBorders>
              <w:bottom w:val="single" w:sz="2" w:space="0" w:color="3D7FE0" w:themeColor="accent1"/>
            </w:tcBorders>
            <w:vAlign w:val="bottom"/>
          </w:tcPr>
          <w:p w14:paraId="73193AA3" w14:textId="77777777" w:rsidR="00AE1E5C" w:rsidRPr="000F2E24" w:rsidRDefault="00AE1E5C" w:rsidP="004203CD">
            <w:pPr>
              <w:pStyle w:val="12TBRightColHeaderTableBack"/>
              <w:rPr>
                <w:rStyle w:val="BoldBlue"/>
                <w:rFonts w:cs="IBM Plex Sans"/>
                <w:bCs w:val="0"/>
                <w:color w:val="3D7FE0" w:themeColor="accent1"/>
                <w:sz w:val="16"/>
                <w:szCs w:val="16"/>
              </w:rPr>
            </w:pPr>
          </w:p>
        </w:tc>
        <w:tc>
          <w:tcPr>
            <w:tcW w:w="907" w:type="dxa"/>
            <w:tcBorders>
              <w:bottom w:val="single" w:sz="2" w:space="0" w:color="3D7FE0" w:themeColor="accent1"/>
            </w:tcBorders>
            <w:shd w:val="clear" w:color="auto" w:fill="FFFFFF"/>
            <w:vAlign w:val="bottom"/>
          </w:tcPr>
          <w:p w14:paraId="29EB802B" w14:textId="77777777" w:rsidR="00AE1E5C" w:rsidRPr="000F2E24" w:rsidRDefault="00AE1E5C" w:rsidP="004203CD">
            <w:pPr>
              <w:pStyle w:val="12TBRightColHeaderTableBack"/>
              <w:rPr>
                <w:rStyle w:val="BoldBlue"/>
                <w:rFonts w:cs="IBM Plex Sans"/>
                <w:bCs w:val="0"/>
                <w:color w:val="3D7FE0" w:themeColor="accent1"/>
                <w:sz w:val="16"/>
                <w:szCs w:val="16"/>
              </w:rPr>
            </w:pPr>
          </w:p>
        </w:tc>
        <w:tc>
          <w:tcPr>
            <w:tcW w:w="907" w:type="dxa"/>
            <w:tcBorders>
              <w:bottom w:val="single" w:sz="2" w:space="0" w:color="3D7FE0" w:themeColor="accent1"/>
            </w:tcBorders>
            <w:shd w:val="clear" w:color="auto" w:fill="FFFFFF"/>
            <w:vAlign w:val="bottom"/>
          </w:tcPr>
          <w:p w14:paraId="4AA0BC53" w14:textId="77777777" w:rsidR="00AE1E5C" w:rsidRPr="000F2E24" w:rsidRDefault="00AE1E5C" w:rsidP="004203CD">
            <w:pPr>
              <w:pStyle w:val="12TBRightColHeaderTableBack"/>
              <w:rPr>
                <w:rStyle w:val="BoldBlue"/>
                <w:rFonts w:cs="IBM Plex Sans"/>
                <w:bCs w:val="0"/>
                <w:color w:val="3D7FE0" w:themeColor="accent1"/>
                <w:sz w:val="16"/>
                <w:szCs w:val="16"/>
              </w:rPr>
            </w:pPr>
          </w:p>
        </w:tc>
        <w:tc>
          <w:tcPr>
            <w:tcW w:w="907" w:type="dxa"/>
            <w:tcBorders>
              <w:bottom w:val="single" w:sz="2" w:space="0" w:color="3D7FE0" w:themeColor="accent1"/>
            </w:tcBorders>
            <w:shd w:val="clear" w:color="auto" w:fill="FFFFFF"/>
            <w:vAlign w:val="bottom"/>
          </w:tcPr>
          <w:p w14:paraId="136599AA" w14:textId="77777777" w:rsidR="00AE1E5C" w:rsidRPr="00016BDF" w:rsidRDefault="00AE1E5C" w:rsidP="004203CD">
            <w:pPr>
              <w:pStyle w:val="12TBRightColHeaderTableBack"/>
              <w:rPr>
                <w:rStyle w:val="BoldBlue"/>
                <w:rFonts w:cs="IBM Plex Sans"/>
                <w:bCs w:val="0"/>
                <w:color w:val="3D7FE0" w:themeColor="accent1"/>
                <w:sz w:val="16"/>
                <w:szCs w:val="16"/>
              </w:rPr>
            </w:pPr>
            <w:r w:rsidRPr="00016BDF">
              <w:rPr>
                <w:rStyle w:val="BoldBlue"/>
                <w:rFonts w:cs="IBM Plex Sans"/>
                <w:bCs w:val="0"/>
                <w:color w:val="3D7FE0" w:themeColor="accent1"/>
                <w:sz w:val="16"/>
                <w:szCs w:val="16"/>
              </w:rPr>
              <w:t>2023</w:t>
            </w:r>
          </w:p>
        </w:tc>
      </w:tr>
      <w:tr w:rsidR="00AE1E5C" w:rsidRPr="000F2E24" w14:paraId="7E8BD59D" w14:textId="77777777" w:rsidTr="004203CD">
        <w:trPr>
          <w:trHeight w:val="367"/>
        </w:trPr>
        <w:tc>
          <w:tcPr>
            <w:tcW w:w="5216" w:type="dxa"/>
            <w:tcBorders>
              <w:top w:val="single" w:sz="2" w:space="0" w:color="3D7FE0" w:themeColor="accent1"/>
            </w:tcBorders>
            <w:vAlign w:val="bottom"/>
          </w:tcPr>
          <w:p w14:paraId="0A501BF3" w14:textId="77777777" w:rsidR="00AE1E5C" w:rsidRPr="000F2E24" w:rsidRDefault="00AE1E5C" w:rsidP="004203CD">
            <w:pPr>
              <w:pStyle w:val="TableColHeadsLeft"/>
              <w:rPr>
                <w:rFonts w:ascii="IBM Plex Sans Light" w:hAnsi="IBM Plex Sans Light"/>
                <w:b/>
                <w:bCs/>
                <w:color w:val="4472C4"/>
                <w:sz w:val="16"/>
                <w:szCs w:val="16"/>
              </w:rPr>
            </w:pPr>
          </w:p>
        </w:tc>
        <w:tc>
          <w:tcPr>
            <w:tcW w:w="907" w:type="dxa"/>
            <w:tcBorders>
              <w:top w:val="single" w:sz="2" w:space="0" w:color="3D7FE0" w:themeColor="accent1"/>
            </w:tcBorders>
            <w:vAlign w:val="bottom"/>
          </w:tcPr>
          <w:p w14:paraId="3E4CF37F" w14:textId="77777777" w:rsidR="00AE1E5C" w:rsidRPr="000F2E24" w:rsidRDefault="00AE1E5C" w:rsidP="004203CD">
            <w:pPr>
              <w:pStyle w:val="12TBRightColHeaderTableBack"/>
              <w:rPr>
                <w:rStyle w:val="BoldBlue"/>
                <w:rFonts w:cs="IBM Plex Sans"/>
                <w:bCs w:val="0"/>
                <w:color w:val="3D7FE0" w:themeColor="accent1"/>
                <w:sz w:val="16"/>
                <w:szCs w:val="16"/>
              </w:rPr>
            </w:pPr>
          </w:p>
        </w:tc>
        <w:tc>
          <w:tcPr>
            <w:tcW w:w="2721" w:type="dxa"/>
            <w:gridSpan w:val="3"/>
            <w:tcBorders>
              <w:top w:val="single" w:sz="2" w:space="0" w:color="3D7FE0" w:themeColor="accent1"/>
              <w:bottom w:val="single" w:sz="2" w:space="0" w:color="3D7FE0" w:themeColor="accent1"/>
            </w:tcBorders>
            <w:vAlign w:val="bottom"/>
          </w:tcPr>
          <w:p w14:paraId="29262E26" w14:textId="77777777" w:rsidR="00AE1E5C" w:rsidRPr="000F2E24" w:rsidRDefault="00AE1E5C" w:rsidP="004203CD">
            <w:pPr>
              <w:pStyle w:val="12TBRightColHeaderTableBack"/>
              <w:rPr>
                <w:rStyle w:val="BoldBlue"/>
                <w:rFonts w:cs="IBM Plex Sans"/>
                <w:bCs w:val="0"/>
                <w:color w:val="3D7FE0" w:themeColor="accent1"/>
                <w:sz w:val="16"/>
                <w:szCs w:val="16"/>
              </w:rPr>
            </w:pPr>
            <w:r>
              <w:rPr>
                <w:rStyle w:val="BoldBlue"/>
                <w:rFonts w:cs="IBM Plex Sans"/>
                <w:bCs w:val="0"/>
                <w:color w:val="3D7FE0" w:themeColor="accent1"/>
                <w:sz w:val="16"/>
                <w:szCs w:val="16"/>
              </w:rPr>
              <w:t>Share of Property interests</w:t>
            </w:r>
          </w:p>
        </w:tc>
        <w:tc>
          <w:tcPr>
            <w:tcW w:w="907" w:type="dxa"/>
            <w:tcBorders>
              <w:top w:val="single" w:sz="2" w:space="0" w:color="3D7FE0" w:themeColor="accent1"/>
            </w:tcBorders>
            <w:shd w:val="clear" w:color="auto" w:fill="FFFFFF"/>
            <w:vAlign w:val="bottom"/>
          </w:tcPr>
          <w:p w14:paraId="38C52792" w14:textId="77777777" w:rsidR="00AE1E5C" w:rsidRPr="000F2E24" w:rsidRDefault="00AE1E5C" w:rsidP="004203CD">
            <w:pPr>
              <w:pStyle w:val="12TBRightColHeaderTableBack"/>
              <w:rPr>
                <w:rStyle w:val="BoldBlue"/>
                <w:rFonts w:cs="IBM Plex Sans"/>
                <w:bCs w:val="0"/>
                <w:color w:val="3D7FE0" w:themeColor="accent1"/>
                <w:sz w:val="16"/>
                <w:szCs w:val="16"/>
              </w:rPr>
            </w:pPr>
          </w:p>
        </w:tc>
      </w:tr>
      <w:tr w:rsidR="00AE1E5C" w:rsidRPr="000F2E24" w14:paraId="0C8B24F5" w14:textId="77777777" w:rsidTr="004203CD">
        <w:trPr>
          <w:trHeight w:val="367"/>
        </w:trPr>
        <w:tc>
          <w:tcPr>
            <w:tcW w:w="5216" w:type="dxa"/>
            <w:tcBorders>
              <w:bottom w:val="single" w:sz="2" w:space="0" w:color="3D7FE0" w:themeColor="accent1"/>
            </w:tcBorders>
            <w:vAlign w:val="bottom"/>
          </w:tcPr>
          <w:p w14:paraId="558EF679" w14:textId="77777777" w:rsidR="00AE1E5C" w:rsidRPr="000F2E24" w:rsidRDefault="00AE1E5C" w:rsidP="004203CD">
            <w:pPr>
              <w:pStyle w:val="TableColHeadsLeft"/>
              <w:rPr>
                <w:rFonts w:ascii="IBM Plex Sans Light" w:hAnsi="IBM Plex Sans Light"/>
                <w:b/>
                <w:bCs/>
                <w:color w:val="4472C4"/>
                <w:sz w:val="16"/>
                <w:szCs w:val="16"/>
              </w:rPr>
            </w:pPr>
            <w:r w:rsidRPr="000F2E24">
              <w:rPr>
                <w:rFonts w:ascii="IBM Plex Sans Light" w:hAnsi="IBM Plex Sans Light"/>
                <w:b/>
                <w:bCs/>
                <w:color w:val="4472C4"/>
                <w:sz w:val="16"/>
                <w:szCs w:val="16"/>
              </w:rPr>
              <w:t>Proportionally consolidated</w:t>
            </w:r>
          </w:p>
        </w:tc>
        <w:tc>
          <w:tcPr>
            <w:tcW w:w="907" w:type="dxa"/>
            <w:tcBorders>
              <w:bottom w:val="single" w:sz="2" w:space="0" w:color="3D7FE0" w:themeColor="accent1"/>
            </w:tcBorders>
            <w:vAlign w:val="bottom"/>
          </w:tcPr>
          <w:p w14:paraId="68926555" w14:textId="77777777" w:rsidR="00AE1E5C" w:rsidRPr="000F2E24" w:rsidRDefault="00AE1E5C" w:rsidP="004203CD">
            <w:pPr>
              <w:pStyle w:val="12TBRightColHeaderTableBack"/>
              <w:rPr>
                <w:color w:val="3D7FE0" w:themeColor="accent1"/>
                <w:sz w:val="16"/>
                <w:szCs w:val="16"/>
              </w:rPr>
            </w:pPr>
            <w:r w:rsidRPr="000F2E24">
              <w:rPr>
                <w:rStyle w:val="BoldBlue"/>
                <w:rFonts w:cs="IBM Plex Sans"/>
                <w:bCs w:val="0"/>
                <w:color w:val="3D7FE0" w:themeColor="accent1"/>
                <w:sz w:val="16"/>
                <w:szCs w:val="16"/>
              </w:rPr>
              <w:t>Reported Group</w:t>
            </w:r>
            <w:r>
              <w:rPr>
                <w:rStyle w:val="BoldBlue"/>
                <w:rFonts w:cs="IBM Plex Sans"/>
                <w:bCs w:val="0"/>
                <w:color w:val="3D7FE0" w:themeColor="accent1"/>
                <w:sz w:val="16"/>
                <w:szCs w:val="16"/>
              </w:rPr>
              <w:br/>
            </w:r>
            <w:r w:rsidRPr="000F2E24">
              <w:rPr>
                <w:rStyle w:val="BoldBlue"/>
                <w:rFonts w:cs="IBM Plex Sans"/>
                <w:bCs w:val="0"/>
                <w:color w:val="3D7FE0" w:themeColor="accent1"/>
                <w:sz w:val="16"/>
                <w:szCs w:val="16"/>
              </w:rPr>
              <w:t>£m</w:t>
            </w:r>
          </w:p>
        </w:tc>
        <w:tc>
          <w:tcPr>
            <w:tcW w:w="907" w:type="dxa"/>
            <w:tcBorders>
              <w:top w:val="single" w:sz="2" w:space="0" w:color="3D7FE0" w:themeColor="accent1"/>
              <w:bottom w:val="single" w:sz="2" w:space="0" w:color="3D7FE0" w:themeColor="accent1"/>
            </w:tcBorders>
            <w:vAlign w:val="bottom"/>
          </w:tcPr>
          <w:p w14:paraId="534664DD" w14:textId="77777777" w:rsidR="00AE1E5C" w:rsidRPr="000F2E24" w:rsidRDefault="00AE1E5C" w:rsidP="004203CD">
            <w:pPr>
              <w:pStyle w:val="12TBRightColHeaderTableBack"/>
              <w:rPr>
                <w:rStyle w:val="BoldBlue"/>
                <w:rFonts w:cs="IBM Plex Sans"/>
                <w:bCs w:val="0"/>
                <w:color w:val="3D7FE0" w:themeColor="accent1"/>
                <w:sz w:val="16"/>
                <w:szCs w:val="16"/>
              </w:rPr>
            </w:pPr>
            <w:r w:rsidRPr="000F2E24">
              <w:rPr>
                <w:rStyle w:val="BoldBlue"/>
                <w:rFonts w:cs="IBM Plex Sans"/>
                <w:bCs w:val="0"/>
                <w:color w:val="3D7FE0" w:themeColor="accent1"/>
                <w:sz w:val="16"/>
                <w:szCs w:val="16"/>
              </w:rPr>
              <w:t xml:space="preserve">Joint </w:t>
            </w:r>
          </w:p>
          <w:p w14:paraId="4E985D35" w14:textId="77777777" w:rsidR="00AE1E5C" w:rsidRPr="000F2E24" w:rsidRDefault="00AE1E5C" w:rsidP="004203CD">
            <w:pPr>
              <w:pStyle w:val="12TBRightColHeaderTableBack"/>
              <w:rPr>
                <w:color w:val="3D7FE0" w:themeColor="accent1"/>
                <w:sz w:val="16"/>
                <w:szCs w:val="16"/>
              </w:rPr>
            </w:pPr>
            <w:r w:rsidRPr="000F2E24">
              <w:rPr>
                <w:rStyle w:val="BoldBlue"/>
                <w:rFonts w:cs="IBM Plex Sans"/>
                <w:bCs w:val="0"/>
                <w:color w:val="3D7FE0" w:themeColor="accent1"/>
                <w:sz w:val="16"/>
                <w:szCs w:val="16"/>
              </w:rPr>
              <w:t>Ventures</w:t>
            </w:r>
            <w:r>
              <w:rPr>
                <w:rStyle w:val="BoldBlue"/>
                <w:rFonts w:cs="IBM Plex Sans"/>
                <w:bCs w:val="0"/>
                <w:color w:val="3D7FE0" w:themeColor="accent1"/>
                <w:sz w:val="16"/>
                <w:szCs w:val="16"/>
              </w:rPr>
              <w:br/>
            </w:r>
            <w:r w:rsidRPr="000F2E24">
              <w:rPr>
                <w:rStyle w:val="BoldBlue"/>
                <w:rFonts w:cs="IBM Plex Sans"/>
                <w:bCs w:val="0"/>
                <w:color w:val="3D7FE0" w:themeColor="accent1"/>
                <w:sz w:val="16"/>
                <w:szCs w:val="16"/>
              </w:rPr>
              <w:t>£m</w:t>
            </w:r>
          </w:p>
        </w:tc>
        <w:tc>
          <w:tcPr>
            <w:tcW w:w="907" w:type="dxa"/>
            <w:tcBorders>
              <w:top w:val="single" w:sz="2" w:space="0" w:color="3D7FE0" w:themeColor="accent1"/>
              <w:bottom w:val="single" w:sz="2" w:space="0" w:color="3D7FE0" w:themeColor="accent1"/>
            </w:tcBorders>
            <w:shd w:val="clear" w:color="auto" w:fill="FFFFFF"/>
            <w:vAlign w:val="bottom"/>
          </w:tcPr>
          <w:p w14:paraId="463C9BCF" w14:textId="77777777" w:rsidR="00AE1E5C" w:rsidRPr="000F2E24" w:rsidRDefault="00AE1E5C" w:rsidP="004203CD">
            <w:pPr>
              <w:pStyle w:val="12TBRightColHeaderTableBack"/>
              <w:rPr>
                <w:b/>
                <w:bCs/>
                <w:color w:val="3D7FE0" w:themeColor="accent1"/>
                <w:sz w:val="16"/>
                <w:szCs w:val="16"/>
              </w:rPr>
            </w:pPr>
            <w:r w:rsidRPr="000F2E24">
              <w:rPr>
                <w:rStyle w:val="BoldBlue"/>
                <w:rFonts w:cs="IBM Plex Sans"/>
                <w:bCs w:val="0"/>
                <w:color w:val="3D7FE0" w:themeColor="accent1"/>
                <w:sz w:val="16"/>
                <w:szCs w:val="16"/>
              </w:rPr>
              <w:t>Associates</w:t>
            </w:r>
            <w:r>
              <w:rPr>
                <w:rStyle w:val="BoldBlue"/>
                <w:rFonts w:cs="IBM Plex Sans"/>
                <w:bCs w:val="0"/>
                <w:color w:val="3D7FE0" w:themeColor="accent1"/>
                <w:sz w:val="16"/>
                <w:szCs w:val="16"/>
              </w:rPr>
              <w:br/>
            </w:r>
            <w:r w:rsidRPr="000F2E24">
              <w:rPr>
                <w:rStyle w:val="BoldBlue"/>
                <w:rFonts w:cs="IBM Plex Sans"/>
                <w:bCs w:val="0"/>
                <w:color w:val="3D7FE0" w:themeColor="accent1"/>
                <w:sz w:val="16"/>
                <w:szCs w:val="16"/>
              </w:rPr>
              <w:t>£m</w:t>
            </w:r>
          </w:p>
        </w:tc>
        <w:tc>
          <w:tcPr>
            <w:tcW w:w="907" w:type="dxa"/>
            <w:tcBorders>
              <w:top w:val="single" w:sz="2" w:space="0" w:color="3D7FE0" w:themeColor="accent1"/>
              <w:bottom w:val="single" w:sz="2" w:space="0" w:color="3D7FE0" w:themeColor="accent1"/>
            </w:tcBorders>
            <w:shd w:val="clear" w:color="auto" w:fill="FFFFFF"/>
            <w:vAlign w:val="bottom"/>
          </w:tcPr>
          <w:p w14:paraId="1E324113" w14:textId="77777777" w:rsidR="00AE1E5C" w:rsidRPr="000F2E24" w:rsidRDefault="00AE1E5C" w:rsidP="004203CD">
            <w:pPr>
              <w:pStyle w:val="12TBRightColHeaderTableBack"/>
              <w:rPr>
                <w:color w:val="3D7FE0" w:themeColor="accent1"/>
                <w:sz w:val="16"/>
                <w:szCs w:val="16"/>
              </w:rPr>
            </w:pPr>
            <w:r w:rsidRPr="000F2E24">
              <w:rPr>
                <w:rStyle w:val="BoldBlue"/>
                <w:rFonts w:cs="IBM Plex Sans"/>
                <w:bCs w:val="0"/>
                <w:color w:val="3D7FE0" w:themeColor="accent1"/>
                <w:sz w:val="16"/>
                <w:szCs w:val="16"/>
              </w:rPr>
              <w:t>Subtotal</w:t>
            </w:r>
            <w:r>
              <w:rPr>
                <w:rStyle w:val="BoldBlue"/>
                <w:rFonts w:cs="IBM Plex Sans"/>
                <w:bCs w:val="0"/>
                <w:color w:val="3D7FE0" w:themeColor="accent1"/>
                <w:sz w:val="16"/>
                <w:szCs w:val="16"/>
              </w:rPr>
              <w:br/>
            </w:r>
            <w:r w:rsidRPr="000F2E24">
              <w:rPr>
                <w:rStyle w:val="BoldBlue"/>
                <w:rFonts w:cs="IBM Plex Sans"/>
                <w:bCs w:val="0"/>
                <w:color w:val="3D7FE0" w:themeColor="accent1"/>
                <w:sz w:val="16"/>
                <w:szCs w:val="16"/>
              </w:rPr>
              <w:t>£m</w:t>
            </w:r>
          </w:p>
        </w:tc>
        <w:tc>
          <w:tcPr>
            <w:tcW w:w="907" w:type="dxa"/>
            <w:tcBorders>
              <w:bottom w:val="single" w:sz="2" w:space="0" w:color="3D7FE0" w:themeColor="accent1"/>
            </w:tcBorders>
            <w:shd w:val="clear" w:color="auto" w:fill="FFFFFF"/>
            <w:vAlign w:val="bottom"/>
          </w:tcPr>
          <w:p w14:paraId="08F72676" w14:textId="77777777" w:rsidR="00AE1E5C" w:rsidRPr="000F2E24" w:rsidRDefault="00AE1E5C" w:rsidP="004203CD">
            <w:pPr>
              <w:pStyle w:val="12TBRightColHeaderTableBack"/>
              <w:rPr>
                <w:b/>
                <w:bCs/>
                <w:i/>
                <w:iCs/>
                <w:color w:val="3D7FE0" w:themeColor="accent1"/>
                <w:sz w:val="16"/>
                <w:szCs w:val="16"/>
              </w:rPr>
            </w:pPr>
            <w:r w:rsidRPr="000F2E24">
              <w:rPr>
                <w:rStyle w:val="BoldBlue"/>
                <w:rFonts w:cs="IBM Plex Sans"/>
                <w:bCs w:val="0"/>
                <w:color w:val="3D7FE0" w:themeColor="accent1"/>
                <w:sz w:val="16"/>
                <w:szCs w:val="16"/>
              </w:rPr>
              <w:t>Total</w:t>
            </w:r>
            <w:r>
              <w:rPr>
                <w:rStyle w:val="BoldBlue"/>
                <w:rFonts w:cs="IBM Plex Sans"/>
                <w:bCs w:val="0"/>
                <w:color w:val="3D7FE0" w:themeColor="accent1"/>
                <w:sz w:val="16"/>
                <w:szCs w:val="16"/>
              </w:rPr>
              <w:br/>
            </w:r>
            <w:r w:rsidRPr="000F2E24">
              <w:rPr>
                <w:rStyle w:val="BoldBlue"/>
                <w:rFonts w:cs="IBM Plex Sans"/>
                <w:bCs w:val="0"/>
                <w:color w:val="3D7FE0" w:themeColor="accent1"/>
                <w:sz w:val="16"/>
                <w:szCs w:val="16"/>
              </w:rPr>
              <w:t>£m</w:t>
            </w:r>
          </w:p>
        </w:tc>
      </w:tr>
      <w:tr w:rsidR="00AE1E5C" w:rsidRPr="000F2E24" w14:paraId="07F7A051" w14:textId="77777777" w:rsidTr="004203CD">
        <w:tc>
          <w:tcPr>
            <w:tcW w:w="5216" w:type="dxa"/>
            <w:tcBorders>
              <w:top w:val="single" w:sz="2" w:space="0" w:color="3D7FE0" w:themeColor="accent1"/>
            </w:tcBorders>
            <w:vAlign w:val="bottom"/>
          </w:tcPr>
          <w:p w14:paraId="5115854C" w14:textId="77777777" w:rsidR="00AE1E5C" w:rsidRPr="000F2E24" w:rsidRDefault="00AE1E5C" w:rsidP="004203CD">
            <w:pPr>
              <w:pStyle w:val="Tabletext"/>
              <w:rPr>
                <w:rFonts w:ascii="IBM Plex Sans Light" w:hAnsi="IBM Plex Sans Light"/>
                <w:sz w:val="18"/>
                <w:szCs w:val="24"/>
              </w:rPr>
            </w:pPr>
            <w:r w:rsidRPr="000F2E24">
              <w:rPr>
                <w:rStyle w:val="Bold"/>
                <w:rFonts w:ascii="IBM Plex Sans Light" w:hAnsi="IBM Plex Sans Light" w:cs="IBM Plex Sans"/>
                <w:bCs/>
                <w:sz w:val="18"/>
                <w:szCs w:val="24"/>
              </w:rPr>
              <w:t xml:space="preserve">Gross rental income </w:t>
            </w:r>
          </w:p>
        </w:tc>
        <w:tc>
          <w:tcPr>
            <w:tcW w:w="907" w:type="dxa"/>
            <w:tcBorders>
              <w:top w:val="single" w:sz="2" w:space="0" w:color="3D7FE0" w:themeColor="accent1"/>
            </w:tcBorders>
            <w:vAlign w:val="bottom"/>
          </w:tcPr>
          <w:p w14:paraId="41A79A96" w14:textId="77777777" w:rsidR="00AE1E5C" w:rsidRPr="00024B10" w:rsidRDefault="00AE1E5C" w:rsidP="00F90775">
            <w:pPr>
              <w:pStyle w:val="Tabletext"/>
              <w:jc w:val="right"/>
              <w:rPr>
                <w:rStyle w:val="BoldBlue"/>
                <w:rFonts w:cs="IBM Plex Sans"/>
                <w:color w:val="3D7FE0" w:themeColor="accent1"/>
              </w:rPr>
            </w:pPr>
            <w:r w:rsidRPr="00C730A7">
              <w:rPr>
                <w:rStyle w:val="BoldBlue"/>
                <w:rFonts w:ascii="IBM Plex Sans Light" w:hAnsi="IBM Plex Sans Light" w:cs="IBM Plex Sans"/>
                <w:color w:val="3D7FE0" w:themeColor="accent1"/>
                <w:sz w:val="18"/>
              </w:rPr>
              <w:t>92.8</w:t>
            </w:r>
          </w:p>
        </w:tc>
        <w:tc>
          <w:tcPr>
            <w:tcW w:w="907" w:type="dxa"/>
            <w:tcBorders>
              <w:top w:val="single" w:sz="2" w:space="0" w:color="3D7FE0" w:themeColor="accent1"/>
            </w:tcBorders>
            <w:vAlign w:val="bottom"/>
          </w:tcPr>
          <w:p w14:paraId="55E24E7F" w14:textId="77777777" w:rsidR="00AE1E5C" w:rsidRPr="00024B10" w:rsidRDefault="00AE1E5C" w:rsidP="004203CD">
            <w:pPr>
              <w:pStyle w:val="Tabletext"/>
              <w:jc w:val="right"/>
              <w:rPr>
                <w:rStyle w:val="BoldBlue"/>
                <w:rFonts w:cs="IBM Plex Sans"/>
                <w:color w:val="3D7FE0" w:themeColor="accent1"/>
              </w:rPr>
            </w:pPr>
            <w:r w:rsidRPr="00C730A7">
              <w:rPr>
                <w:rStyle w:val="BoldBlue"/>
                <w:rFonts w:ascii="IBM Plex Sans Light" w:hAnsi="IBM Plex Sans Light" w:cs="IBM Plex Sans"/>
                <w:color w:val="3D7FE0" w:themeColor="accent1"/>
                <w:sz w:val="18"/>
              </w:rPr>
              <w:t>114.4</w:t>
            </w:r>
          </w:p>
        </w:tc>
        <w:tc>
          <w:tcPr>
            <w:tcW w:w="907" w:type="dxa"/>
            <w:tcBorders>
              <w:top w:val="single" w:sz="2" w:space="0" w:color="3D7FE0" w:themeColor="accent1"/>
            </w:tcBorders>
            <w:shd w:val="clear" w:color="auto" w:fill="FFFFFF"/>
            <w:vAlign w:val="bottom"/>
          </w:tcPr>
          <w:p w14:paraId="65EA4E74" w14:textId="77777777" w:rsidR="00AE1E5C" w:rsidRPr="0023648A" w:rsidRDefault="00AE1E5C" w:rsidP="004203CD">
            <w:pPr>
              <w:pStyle w:val="TableFiguresBold"/>
              <w:rPr>
                <w:rStyle w:val="BoldBlue"/>
                <w:rFonts w:cs="IBM Plex Sans"/>
                <w:color w:val="3D7FE0" w:themeColor="accent1"/>
              </w:rPr>
            </w:pPr>
            <w:r w:rsidRPr="00C730A7">
              <w:rPr>
                <w:rStyle w:val="BoldBlue"/>
                <w:rFonts w:ascii="IBM Plex Sans Light" w:hAnsi="IBM Plex Sans Light" w:cs="IBM Plex Sans"/>
                <w:b/>
                <w:bCs/>
                <w:color w:val="3D7FE0" w:themeColor="accent1"/>
                <w:sz w:val="18"/>
              </w:rPr>
              <w:t>1.2</w:t>
            </w:r>
          </w:p>
        </w:tc>
        <w:tc>
          <w:tcPr>
            <w:tcW w:w="907" w:type="dxa"/>
            <w:tcBorders>
              <w:top w:val="single" w:sz="2" w:space="0" w:color="3D7FE0" w:themeColor="accent1"/>
            </w:tcBorders>
            <w:shd w:val="clear" w:color="auto" w:fill="FFFFFF"/>
            <w:vAlign w:val="bottom"/>
          </w:tcPr>
          <w:p w14:paraId="68D09CB1" w14:textId="77777777" w:rsidR="00AE1E5C" w:rsidRPr="0023648A" w:rsidRDefault="00AE1E5C" w:rsidP="004203CD">
            <w:pPr>
              <w:pStyle w:val="TableFigures"/>
              <w:rPr>
                <w:rStyle w:val="BoldBlue"/>
                <w:rFonts w:cs="IBM Plex Sans"/>
                <w:b w:val="0"/>
                <w:bCs w:val="0"/>
                <w:color w:val="3D7FE0" w:themeColor="accent1"/>
              </w:rPr>
            </w:pPr>
            <w:r w:rsidRPr="00C730A7">
              <w:rPr>
                <w:rStyle w:val="BoldBlue"/>
                <w:rFonts w:ascii="IBM Plex Sans Light" w:hAnsi="IBM Plex Sans Light" w:cs="IBM Plex Sans"/>
                <w:color w:val="3D7FE0" w:themeColor="accent1"/>
                <w:sz w:val="18"/>
              </w:rPr>
              <w:t>115.6</w:t>
            </w:r>
          </w:p>
        </w:tc>
        <w:tc>
          <w:tcPr>
            <w:tcW w:w="907" w:type="dxa"/>
            <w:tcBorders>
              <w:top w:val="single" w:sz="2" w:space="0" w:color="3D7FE0" w:themeColor="accent1"/>
            </w:tcBorders>
            <w:shd w:val="clear" w:color="auto" w:fill="FFFFFF"/>
            <w:vAlign w:val="bottom"/>
          </w:tcPr>
          <w:p w14:paraId="2618295D" w14:textId="77777777" w:rsidR="00AE1E5C" w:rsidRPr="00024B10" w:rsidRDefault="00AE1E5C" w:rsidP="004203CD">
            <w:pPr>
              <w:pStyle w:val="TableFigures"/>
              <w:rPr>
                <w:rStyle w:val="BoldBlue"/>
                <w:rFonts w:cs="IBM Plex Sans"/>
                <w:color w:val="3D7FE0" w:themeColor="accent1"/>
              </w:rPr>
            </w:pPr>
            <w:r w:rsidRPr="00C730A7">
              <w:rPr>
                <w:rStyle w:val="BoldBlue"/>
                <w:rFonts w:ascii="IBM Plex Sans Light" w:hAnsi="IBM Plex Sans Light" w:cs="IBM Plex Sans"/>
                <w:color w:val="3D7FE0" w:themeColor="accent1"/>
                <w:sz w:val="18"/>
              </w:rPr>
              <w:t>208.4</w:t>
            </w:r>
          </w:p>
        </w:tc>
      </w:tr>
      <w:tr w:rsidR="00AE1E5C" w:rsidRPr="000F2E24" w14:paraId="5F75BC29" w14:textId="77777777" w:rsidTr="004203CD">
        <w:tc>
          <w:tcPr>
            <w:tcW w:w="5216" w:type="dxa"/>
            <w:tcBorders>
              <w:bottom w:val="single" w:sz="2" w:space="0" w:color="3D7FE0" w:themeColor="accent1"/>
            </w:tcBorders>
            <w:vAlign w:val="bottom"/>
          </w:tcPr>
          <w:p w14:paraId="41CDFA80" w14:textId="77777777" w:rsidR="00AE1E5C" w:rsidRPr="000F2E24" w:rsidRDefault="00AE1E5C" w:rsidP="004203CD">
            <w:pPr>
              <w:pStyle w:val="Tabletext"/>
              <w:rPr>
                <w:rFonts w:ascii="IBM Plex Sans Light" w:hAnsi="IBM Plex Sans Light"/>
                <w:color w:val="auto"/>
                <w:sz w:val="18"/>
                <w:szCs w:val="24"/>
              </w:rPr>
            </w:pPr>
            <w:r w:rsidRPr="000F2E24">
              <w:rPr>
                <w:rFonts w:ascii="IBM Plex Sans Light" w:hAnsi="IBM Plex Sans Light"/>
                <w:sz w:val="18"/>
                <w:szCs w:val="24"/>
              </w:rPr>
              <w:t>Net service charge expenses and cost of sales</w:t>
            </w:r>
          </w:p>
        </w:tc>
        <w:tc>
          <w:tcPr>
            <w:tcW w:w="907" w:type="dxa"/>
            <w:tcBorders>
              <w:bottom w:val="single" w:sz="2" w:space="0" w:color="3D7FE0" w:themeColor="accent1"/>
            </w:tcBorders>
            <w:vAlign w:val="bottom"/>
          </w:tcPr>
          <w:p w14:paraId="160FC763"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(17.2)</w:t>
            </w:r>
          </w:p>
        </w:tc>
        <w:tc>
          <w:tcPr>
            <w:tcW w:w="907" w:type="dxa"/>
            <w:tcBorders>
              <w:bottom w:val="single" w:sz="2" w:space="0" w:color="3D7FE0" w:themeColor="accent1"/>
            </w:tcBorders>
            <w:vAlign w:val="bottom"/>
          </w:tcPr>
          <w:p w14:paraId="7660CDFE"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(24.0)</w:t>
            </w:r>
          </w:p>
        </w:tc>
        <w:tc>
          <w:tcPr>
            <w:tcW w:w="907" w:type="dxa"/>
            <w:tcBorders>
              <w:bottom w:val="single" w:sz="2" w:space="0" w:color="3D7FE0" w:themeColor="accent1"/>
            </w:tcBorders>
            <w:shd w:val="clear" w:color="auto" w:fill="FFFFFF"/>
            <w:vAlign w:val="bottom"/>
          </w:tcPr>
          <w:p w14:paraId="7ACB8FD7" w14:textId="77777777" w:rsidR="00AE1E5C" w:rsidRPr="001302CA" w:rsidRDefault="00AE1E5C" w:rsidP="004203CD">
            <w:pPr>
              <w:pStyle w:val="TableFiguresBold"/>
              <w:rPr>
                <w:rFonts w:ascii="IBM Plex Sans Light" w:hAnsi="IBM Plex Sans Light"/>
                <w:bCs w:val="0"/>
                <w:color w:val="3D7FE0" w:themeColor="accent1"/>
                <w:spacing w:val="-4"/>
                <w:sz w:val="18"/>
                <w:szCs w:val="18"/>
              </w:rPr>
            </w:pPr>
            <w:r w:rsidRPr="001302CA">
              <w:rPr>
                <w:rStyle w:val="BoldBlue"/>
                <w:rFonts w:ascii="IBM Plex Sans Light" w:hAnsi="IBM Plex Sans Light" w:cs="IBM Plex Sans"/>
                <w:b/>
                <w:color w:val="3D7FE0" w:themeColor="accent1"/>
                <w:sz w:val="18"/>
                <w:szCs w:val="18"/>
              </w:rPr>
              <w:t>–</w:t>
            </w:r>
          </w:p>
        </w:tc>
        <w:tc>
          <w:tcPr>
            <w:tcW w:w="907" w:type="dxa"/>
            <w:tcBorders>
              <w:bottom w:val="single" w:sz="2" w:space="0" w:color="3D7FE0" w:themeColor="accent1"/>
            </w:tcBorders>
            <w:shd w:val="clear" w:color="auto" w:fill="FFFFFF"/>
            <w:vAlign w:val="bottom"/>
          </w:tcPr>
          <w:p w14:paraId="6E5A33FF"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(24.0)</w:t>
            </w:r>
          </w:p>
        </w:tc>
        <w:tc>
          <w:tcPr>
            <w:tcW w:w="907" w:type="dxa"/>
            <w:tcBorders>
              <w:bottom w:val="single" w:sz="2" w:space="0" w:color="3D7FE0" w:themeColor="accent1"/>
            </w:tcBorders>
            <w:shd w:val="clear" w:color="auto" w:fill="FFFFFF"/>
            <w:vAlign w:val="bottom"/>
          </w:tcPr>
          <w:p w14:paraId="1589B872"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(41.2)</w:t>
            </w:r>
          </w:p>
        </w:tc>
      </w:tr>
      <w:tr w:rsidR="00AE1E5C" w:rsidRPr="000F2E24" w14:paraId="2B869C1F" w14:textId="77777777" w:rsidTr="004203CD">
        <w:tc>
          <w:tcPr>
            <w:tcW w:w="5216" w:type="dxa"/>
            <w:tcBorders>
              <w:top w:val="single" w:sz="2" w:space="0" w:color="3D7FE0" w:themeColor="accent1"/>
            </w:tcBorders>
            <w:vAlign w:val="bottom"/>
          </w:tcPr>
          <w:p w14:paraId="42C06D6D" w14:textId="77777777" w:rsidR="00AE1E5C" w:rsidRPr="000F2E24" w:rsidRDefault="00AE1E5C" w:rsidP="004203CD">
            <w:pPr>
              <w:pStyle w:val="Tabletext"/>
              <w:rPr>
                <w:rFonts w:ascii="IBM Plex Sans Light" w:hAnsi="IBM Plex Sans Light"/>
                <w:color w:val="auto"/>
                <w:sz w:val="18"/>
                <w:szCs w:val="24"/>
              </w:rPr>
            </w:pPr>
            <w:r w:rsidRPr="000F2E24">
              <w:rPr>
                <w:rStyle w:val="Bold"/>
                <w:rFonts w:ascii="IBM Plex Sans Light" w:hAnsi="IBM Plex Sans Light" w:cs="IBM Plex Sans"/>
                <w:bCs/>
                <w:sz w:val="18"/>
                <w:szCs w:val="24"/>
              </w:rPr>
              <w:t>Net rental income</w:t>
            </w:r>
          </w:p>
        </w:tc>
        <w:tc>
          <w:tcPr>
            <w:tcW w:w="907" w:type="dxa"/>
            <w:tcBorders>
              <w:top w:val="single" w:sz="2" w:space="0" w:color="3D7FE0" w:themeColor="accent1"/>
            </w:tcBorders>
            <w:vAlign w:val="bottom"/>
          </w:tcPr>
          <w:p w14:paraId="6B32C417"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Style w:val="BoldBlue"/>
                <w:rFonts w:ascii="IBM Plex Sans Light" w:hAnsi="IBM Plex Sans Light" w:cs="IBM Plex Sans"/>
                <w:color w:val="3D7FE0" w:themeColor="accent1"/>
                <w:sz w:val="18"/>
                <w:szCs w:val="18"/>
              </w:rPr>
              <w:t>75.6</w:t>
            </w:r>
          </w:p>
        </w:tc>
        <w:tc>
          <w:tcPr>
            <w:tcW w:w="907" w:type="dxa"/>
            <w:tcBorders>
              <w:top w:val="single" w:sz="2" w:space="0" w:color="3D7FE0" w:themeColor="accent1"/>
            </w:tcBorders>
            <w:vAlign w:val="bottom"/>
          </w:tcPr>
          <w:p w14:paraId="159989DD"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Style w:val="BoldBlue"/>
                <w:rFonts w:ascii="IBM Plex Sans Light" w:hAnsi="IBM Plex Sans Light" w:cs="IBM Plex Sans"/>
                <w:color w:val="3D7FE0" w:themeColor="accent1"/>
                <w:sz w:val="18"/>
                <w:szCs w:val="18"/>
              </w:rPr>
              <w:t>90.4</w:t>
            </w:r>
          </w:p>
        </w:tc>
        <w:tc>
          <w:tcPr>
            <w:tcW w:w="907" w:type="dxa"/>
            <w:tcBorders>
              <w:top w:val="single" w:sz="2" w:space="0" w:color="3D7FE0" w:themeColor="accent1"/>
            </w:tcBorders>
            <w:shd w:val="clear" w:color="auto" w:fill="FFFFFF"/>
            <w:vAlign w:val="bottom"/>
          </w:tcPr>
          <w:p w14:paraId="3E4A9F27" w14:textId="77777777" w:rsidR="00AE1E5C" w:rsidRPr="00F90775" w:rsidRDefault="00AE1E5C" w:rsidP="004203CD">
            <w:pPr>
              <w:pStyle w:val="TableFiguresBold"/>
              <w:rPr>
                <w:rFonts w:ascii="IBM Plex Sans Light" w:hAnsi="IBM Plex Sans Light"/>
                <w:color w:val="3D7FE0" w:themeColor="accent1"/>
                <w:spacing w:val="-4"/>
                <w:sz w:val="18"/>
                <w:szCs w:val="18"/>
              </w:rPr>
            </w:pPr>
            <w:r w:rsidRPr="00F90775">
              <w:rPr>
                <w:rStyle w:val="BoldBlue"/>
                <w:rFonts w:ascii="IBM Plex Sans Light" w:hAnsi="IBM Plex Sans Light" w:cs="IBM Plex Sans"/>
                <w:b/>
                <w:bCs/>
                <w:color w:val="3D7FE0" w:themeColor="accent1"/>
                <w:sz w:val="18"/>
                <w:szCs w:val="18"/>
              </w:rPr>
              <w:t>1.2</w:t>
            </w:r>
          </w:p>
        </w:tc>
        <w:tc>
          <w:tcPr>
            <w:tcW w:w="907" w:type="dxa"/>
            <w:tcBorders>
              <w:top w:val="single" w:sz="2" w:space="0" w:color="3D7FE0" w:themeColor="accent1"/>
            </w:tcBorders>
            <w:shd w:val="clear" w:color="auto" w:fill="FFFFFF"/>
            <w:vAlign w:val="bottom"/>
          </w:tcPr>
          <w:p w14:paraId="4FC87A07" w14:textId="77777777" w:rsidR="00AE1E5C" w:rsidRPr="00F90775" w:rsidRDefault="00AE1E5C" w:rsidP="004203CD">
            <w:pPr>
              <w:pStyle w:val="TableFigures"/>
              <w:rPr>
                <w:rFonts w:ascii="IBM Plex Sans Light" w:hAnsi="IBM Plex Sans Light"/>
                <w:b/>
                <w:bCs/>
                <w:color w:val="3D7FE0" w:themeColor="accent1"/>
                <w:spacing w:val="-4"/>
                <w:sz w:val="18"/>
                <w:szCs w:val="18"/>
              </w:rPr>
            </w:pPr>
            <w:r w:rsidRPr="00F90775">
              <w:rPr>
                <w:rStyle w:val="BoldBlue"/>
                <w:rFonts w:ascii="IBM Plex Sans Light" w:hAnsi="IBM Plex Sans Light" w:cs="IBM Plex Sans"/>
                <w:color w:val="3D7FE0" w:themeColor="accent1"/>
                <w:sz w:val="18"/>
                <w:szCs w:val="18"/>
              </w:rPr>
              <w:t>91.6</w:t>
            </w:r>
          </w:p>
        </w:tc>
        <w:tc>
          <w:tcPr>
            <w:tcW w:w="907" w:type="dxa"/>
            <w:tcBorders>
              <w:top w:val="single" w:sz="2" w:space="0" w:color="3D7FE0" w:themeColor="accent1"/>
            </w:tcBorders>
            <w:shd w:val="clear" w:color="auto" w:fill="FFFFFF"/>
            <w:vAlign w:val="bottom"/>
          </w:tcPr>
          <w:p w14:paraId="58FE36BB" w14:textId="77777777" w:rsidR="00AE1E5C" w:rsidRPr="00F90775" w:rsidRDefault="00AE1E5C" w:rsidP="004203CD">
            <w:pPr>
              <w:pStyle w:val="TableFigures"/>
              <w:rPr>
                <w:rFonts w:ascii="IBM Plex Sans Light" w:hAnsi="IBM Plex Sans Light"/>
                <w:b/>
                <w:bCs/>
                <w:i/>
                <w:iCs/>
                <w:color w:val="3D7FE0" w:themeColor="accent1"/>
                <w:spacing w:val="-4"/>
                <w:sz w:val="18"/>
                <w:szCs w:val="18"/>
              </w:rPr>
            </w:pPr>
            <w:r w:rsidRPr="00F90775">
              <w:rPr>
                <w:rStyle w:val="BoldBlue"/>
                <w:rFonts w:ascii="IBM Plex Sans Light" w:hAnsi="IBM Plex Sans Light" w:cs="IBM Plex Sans"/>
                <w:color w:val="3D7FE0" w:themeColor="accent1"/>
                <w:sz w:val="18"/>
                <w:szCs w:val="18"/>
              </w:rPr>
              <w:t>167.2</w:t>
            </w:r>
          </w:p>
        </w:tc>
      </w:tr>
      <w:tr w:rsidR="00AE1E5C" w:rsidRPr="000F2E24" w14:paraId="372AC478" w14:textId="77777777" w:rsidTr="004203CD">
        <w:tc>
          <w:tcPr>
            <w:tcW w:w="5216" w:type="dxa"/>
            <w:tcBorders>
              <w:bottom w:val="single" w:sz="2" w:space="0" w:color="3D7FE0" w:themeColor="accent1"/>
            </w:tcBorders>
            <w:vAlign w:val="bottom"/>
          </w:tcPr>
          <w:p w14:paraId="66201239" w14:textId="77777777" w:rsidR="00AE1E5C" w:rsidRPr="000F2E24" w:rsidRDefault="00AE1E5C" w:rsidP="004203CD">
            <w:pPr>
              <w:pStyle w:val="Tabletext"/>
              <w:rPr>
                <w:rFonts w:ascii="IBM Plex Sans Light" w:hAnsi="IBM Plex Sans Light"/>
                <w:sz w:val="18"/>
                <w:szCs w:val="24"/>
              </w:rPr>
            </w:pPr>
            <w:r w:rsidRPr="000F2E24">
              <w:rPr>
                <w:rFonts w:ascii="IBM Plex Sans Light" w:hAnsi="IBM Plex Sans Light"/>
                <w:sz w:val="18"/>
                <w:szCs w:val="24"/>
              </w:rPr>
              <w:lastRenderedPageBreak/>
              <w:t xml:space="preserve">Change in provision for amounts not yet recognised in the income statement </w:t>
            </w:r>
          </w:p>
        </w:tc>
        <w:tc>
          <w:tcPr>
            <w:tcW w:w="907" w:type="dxa"/>
            <w:tcBorders>
              <w:bottom w:val="single" w:sz="2" w:space="0" w:color="3D7FE0" w:themeColor="accent1"/>
            </w:tcBorders>
            <w:vAlign w:val="bottom"/>
          </w:tcPr>
          <w:p w14:paraId="7768010D"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Style w:val="BoldBlue"/>
                <w:rFonts w:ascii="IBM Plex Sans Light" w:hAnsi="IBM Plex Sans Light" w:cs="IBM Plex Sans"/>
                <w:color w:val="3D7FE0" w:themeColor="accent1"/>
                <w:sz w:val="18"/>
                <w:szCs w:val="18"/>
              </w:rPr>
              <w:t>0.2</w:t>
            </w:r>
          </w:p>
        </w:tc>
        <w:tc>
          <w:tcPr>
            <w:tcW w:w="907" w:type="dxa"/>
            <w:tcBorders>
              <w:bottom w:val="single" w:sz="2" w:space="0" w:color="3D7FE0" w:themeColor="accent1"/>
            </w:tcBorders>
            <w:vAlign w:val="bottom"/>
          </w:tcPr>
          <w:p w14:paraId="6BFD4296"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Style w:val="BoldBlue"/>
                <w:rFonts w:ascii="IBM Plex Sans Light" w:hAnsi="IBM Plex Sans Light" w:cs="IBM Plex Sans"/>
                <w:color w:val="3D7FE0" w:themeColor="accent1"/>
                <w:sz w:val="18"/>
                <w:szCs w:val="18"/>
              </w:rPr>
              <w:t>0.1</w:t>
            </w:r>
          </w:p>
        </w:tc>
        <w:tc>
          <w:tcPr>
            <w:tcW w:w="907" w:type="dxa"/>
            <w:tcBorders>
              <w:bottom w:val="single" w:sz="2" w:space="0" w:color="3D7FE0" w:themeColor="accent1"/>
            </w:tcBorders>
            <w:shd w:val="clear" w:color="auto" w:fill="FFFFFF"/>
            <w:vAlign w:val="bottom"/>
          </w:tcPr>
          <w:p w14:paraId="6DF05FDD" w14:textId="77777777" w:rsidR="00AE1E5C" w:rsidRPr="00F90775" w:rsidRDefault="00AE1E5C" w:rsidP="004203CD">
            <w:pPr>
              <w:pStyle w:val="TableFiguresBold"/>
              <w:rPr>
                <w:rFonts w:ascii="IBM Plex Sans Light" w:hAnsi="IBM Plex Sans Light"/>
                <w:color w:val="3D7FE0" w:themeColor="accent1"/>
                <w:spacing w:val="-4"/>
                <w:sz w:val="18"/>
                <w:szCs w:val="18"/>
              </w:rPr>
            </w:pPr>
            <w:r w:rsidRPr="00F90775">
              <w:rPr>
                <w:rStyle w:val="BoldBlue"/>
                <w:rFonts w:ascii="IBM Plex Sans Light" w:hAnsi="IBM Plex Sans Light" w:cs="IBM Plex Sans"/>
                <w:b/>
                <w:bCs/>
                <w:color w:val="3D7FE0" w:themeColor="accent1"/>
                <w:sz w:val="18"/>
                <w:szCs w:val="18"/>
              </w:rPr>
              <w:t>–</w:t>
            </w:r>
          </w:p>
        </w:tc>
        <w:tc>
          <w:tcPr>
            <w:tcW w:w="907" w:type="dxa"/>
            <w:tcBorders>
              <w:bottom w:val="single" w:sz="2" w:space="0" w:color="3D7FE0" w:themeColor="accent1"/>
            </w:tcBorders>
            <w:shd w:val="clear" w:color="auto" w:fill="FFFFFF"/>
            <w:vAlign w:val="bottom"/>
          </w:tcPr>
          <w:p w14:paraId="399A865D" w14:textId="77777777" w:rsidR="00AE1E5C" w:rsidRPr="00F90775" w:rsidRDefault="00AE1E5C" w:rsidP="004203CD">
            <w:pPr>
              <w:pStyle w:val="TableFigures"/>
              <w:rPr>
                <w:rFonts w:ascii="IBM Plex Sans Light" w:hAnsi="IBM Plex Sans Light"/>
                <w:b/>
                <w:bCs/>
                <w:color w:val="3D7FE0" w:themeColor="accent1"/>
                <w:spacing w:val="-4"/>
                <w:sz w:val="18"/>
                <w:szCs w:val="18"/>
              </w:rPr>
            </w:pPr>
            <w:r w:rsidRPr="00F90775">
              <w:rPr>
                <w:rStyle w:val="BoldBlue"/>
                <w:rFonts w:ascii="IBM Plex Sans Light" w:hAnsi="IBM Plex Sans Light" w:cs="IBM Plex Sans"/>
                <w:color w:val="3D7FE0" w:themeColor="accent1"/>
                <w:sz w:val="18"/>
                <w:szCs w:val="18"/>
              </w:rPr>
              <w:t>0.1</w:t>
            </w:r>
          </w:p>
        </w:tc>
        <w:tc>
          <w:tcPr>
            <w:tcW w:w="907" w:type="dxa"/>
            <w:tcBorders>
              <w:bottom w:val="single" w:sz="2" w:space="0" w:color="3D7FE0" w:themeColor="accent1"/>
            </w:tcBorders>
            <w:shd w:val="clear" w:color="auto" w:fill="FFFFFF"/>
            <w:vAlign w:val="bottom"/>
          </w:tcPr>
          <w:p w14:paraId="782178F8" w14:textId="77777777" w:rsidR="00AE1E5C" w:rsidRPr="00F90775" w:rsidRDefault="00AE1E5C" w:rsidP="004203CD">
            <w:pPr>
              <w:pStyle w:val="TableFigures"/>
              <w:rPr>
                <w:rFonts w:ascii="IBM Plex Sans Light" w:hAnsi="IBM Plex Sans Light"/>
                <w:b/>
                <w:bCs/>
                <w:i/>
                <w:iCs/>
                <w:color w:val="3D7FE0" w:themeColor="accent1"/>
                <w:spacing w:val="-4"/>
                <w:sz w:val="18"/>
                <w:szCs w:val="18"/>
              </w:rPr>
            </w:pPr>
            <w:r w:rsidRPr="00F90775">
              <w:rPr>
                <w:rStyle w:val="BoldBlue"/>
                <w:rFonts w:ascii="IBM Plex Sans Light" w:hAnsi="IBM Plex Sans Light" w:cs="IBM Plex Sans"/>
                <w:color w:val="3D7FE0" w:themeColor="accent1"/>
                <w:sz w:val="18"/>
                <w:szCs w:val="18"/>
              </w:rPr>
              <w:t>0.3</w:t>
            </w:r>
          </w:p>
        </w:tc>
      </w:tr>
      <w:tr w:rsidR="00AE1E5C" w:rsidRPr="000F2E24" w14:paraId="726FD725" w14:textId="77777777" w:rsidTr="004203CD">
        <w:tc>
          <w:tcPr>
            <w:tcW w:w="5216" w:type="dxa"/>
            <w:tcBorders>
              <w:top w:val="single" w:sz="2" w:space="0" w:color="3D7FE0" w:themeColor="accent1"/>
              <w:bottom w:val="single" w:sz="8" w:space="0" w:color="3D7FE0" w:themeColor="accent1"/>
            </w:tcBorders>
            <w:vAlign w:val="bottom"/>
          </w:tcPr>
          <w:p w14:paraId="7EC00B87" w14:textId="77777777" w:rsidR="00AE1E5C" w:rsidRPr="000F2E24" w:rsidRDefault="00AE1E5C" w:rsidP="004203CD">
            <w:pPr>
              <w:pStyle w:val="Tabletext"/>
              <w:rPr>
                <w:rFonts w:ascii="IBM Plex Sans Light" w:hAnsi="IBM Plex Sans Light"/>
                <w:sz w:val="18"/>
                <w:szCs w:val="24"/>
              </w:rPr>
            </w:pPr>
            <w:r w:rsidRPr="000F2E24">
              <w:rPr>
                <w:rStyle w:val="Bold"/>
                <w:rFonts w:ascii="IBM Plex Sans Light" w:hAnsi="IBM Plex Sans Light" w:cs="IBM Plex Sans"/>
                <w:bCs/>
                <w:sz w:val="18"/>
                <w:szCs w:val="24"/>
              </w:rPr>
              <w:t>Adjusted net rental income</w:t>
            </w:r>
          </w:p>
        </w:tc>
        <w:tc>
          <w:tcPr>
            <w:tcW w:w="907" w:type="dxa"/>
            <w:tcBorders>
              <w:top w:val="single" w:sz="2" w:space="0" w:color="3D7FE0" w:themeColor="accent1"/>
              <w:bottom w:val="single" w:sz="8" w:space="0" w:color="3D7FE0" w:themeColor="accent1"/>
            </w:tcBorders>
            <w:vAlign w:val="bottom"/>
          </w:tcPr>
          <w:p w14:paraId="28873560"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Style w:val="BoldBlue"/>
                <w:rFonts w:ascii="IBM Plex Sans Light" w:hAnsi="IBM Plex Sans Light" w:cs="IBM Plex Sans"/>
                <w:color w:val="3D7FE0" w:themeColor="accent1"/>
                <w:sz w:val="18"/>
                <w:szCs w:val="18"/>
              </w:rPr>
              <w:t>75.8</w:t>
            </w:r>
          </w:p>
        </w:tc>
        <w:tc>
          <w:tcPr>
            <w:tcW w:w="907" w:type="dxa"/>
            <w:tcBorders>
              <w:top w:val="single" w:sz="2" w:space="0" w:color="3D7FE0" w:themeColor="accent1"/>
              <w:bottom w:val="single" w:sz="8" w:space="0" w:color="3D7FE0" w:themeColor="accent1"/>
            </w:tcBorders>
            <w:vAlign w:val="bottom"/>
          </w:tcPr>
          <w:p w14:paraId="66177D1D" w14:textId="77777777" w:rsidR="00AE1E5C" w:rsidRPr="00F90775" w:rsidRDefault="00AE1E5C" w:rsidP="004203CD">
            <w:pPr>
              <w:pStyle w:val="Tabletext"/>
              <w:jc w:val="right"/>
              <w:rPr>
                <w:rFonts w:ascii="IBM Plex Sans Light" w:hAnsi="IBM Plex Sans Light"/>
                <w:b/>
                <w:bCs/>
                <w:color w:val="3D7FE0" w:themeColor="accent1"/>
                <w:sz w:val="18"/>
                <w:szCs w:val="18"/>
              </w:rPr>
            </w:pPr>
            <w:r w:rsidRPr="00F90775">
              <w:rPr>
                <w:rStyle w:val="BoldBlue"/>
                <w:rFonts w:ascii="IBM Plex Sans Light" w:hAnsi="IBM Plex Sans Light" w:cs="IBM Plex Sans"/>
                <w:color w:val="3D7FE0" w:themeColor="accent1"/>
                <w:sz w:val="18"/>
                <w:szCs w:val="18"/>
              </w:rPr>
              <w:t>90.5</w:t>
            </w:r>
          </w:p>
        </w:tc>
        <w:tc>
          <w:tcPr>
            <w:tcW w:w="907" w:type="dxa"/>
            <w:tcBorders>
              <w:top w:val="single" w:sz="2" w:space="0" w:color="3D7FE0" w:themeColor="accent1"/>
              <w:bottom w:val="single" w:sz="8" w:space="0" w:color="3D7FE0" w:themeColor="accent1"/>
            </w:tcBorders>
            <w:shd w:val="clear" w:color="auto" w:fill="FFFFFF"/>
            <w:vAlign w:val="bottom"/>
          </w:tcPr>
          <w:p w14:paraId="2E27A830" w14:textId="77777777" w:rsidR="00AE1E5C" w:rsidRPr="00F90775" w:rsidRDefault="00AE1E5C" w:rsidP="004203CD">
            <w:pPr>
              <w:pStyle w:val="TableFiguresBold"/>
              <w:rPr>
                <w:rFonts w:ascii="IBM Plex Sans Light" w:hAnsi="IBM Plex Sans Light"/>
                <w:color w:val="3D7FE0" w:themeColor="accent1"/>
                <w:spacing w:val="-4"/>
                <w:sz w:val="18"/>
                <w:szCs w:val="18"/>
              </w:rPr>
            </w:pPr>
            <w:r w:rsidRPr="00F90775">
              <w:rPr>
                <w:rStyle w:val="BoldBlue"/>
                <w:rFonts w:ascii="IBM Plex Sans Light" w:hAnsi="IBM Plex Sans Light" w:cs="IBM Plex Sans"/>
                <w:b/>
                <w:bCs/>
                <w:color w:val="3D7FE0" w:themeColor="accent1"/>
                <w:sz w:val="18"/>
                <w:szCs w:val="18"/>
              </w:rPr>
              <w:t>1.2</w:t>
            </w:r>
          </w:p>
        </w:tc>
        <w:tc>
          <w:tcPr>
            <w:tcW w:w="907" w:type="dxa"/>
            <w:tcBorders>
              <w:top w:val="single" w:sz="2" w:space="0" w:color="3D7FE0" w:themeColor="accent1"/>
              <w:bottom w:val="single" w:sz="8" w:space="0" w:color="3D7FE0" w:themeColor="accent1"/>
            </w:tcBorders>
            <w:shd w:val="clear" w:color="auto" w:fill="FFFFFF"/>
            <w:vAlign w:val="bottom"/>
          </w:tcPr>
          <w:p w14:paraId="426C0D6F" w14:textId="77777777" w:rsidR="00AE1E5C" w:rsidRPr="00F90775" w:rsidRDefault="00AE1E5C" w:rsidP="004203CD">
            <w:pPr>
              <w:pStyle w:val="TableFigures"/>
              <w:rPr>
                <w:rFonts w:ascii="IBM Plex Sans Light" w:hAnsi="IBM Plex Sans Light"/>
                <w:b/>
                <w:bCs/>
                <w:color w:val="3D7FE0" w:themeColor="accent1"/>
                <w:spacing w:val="-4"/>
                <w:sz w:val="18"/>
                <w:szCs w:val="18"/>
              </w:rPr>
            </w:pPr>
            <w:r w:rsidRPr="00F90775">
              <w:rPr>
                <w:rStyle w:val="BoldBlue"/>
                <w:rFonts w:ascii="IBM Plex Sans Light" w:hAnsi="IBM Plex Sans Light" w:cs="IBM Plex Sans"/>
                <w:color w:val="3D7FE0" w:themeColor="accent1"/>
                <w:sz w:val="18"/>
                <w:szCs w:val="18"/>
              </w:rPr>
              <w:t>91.7</w:t>
            </w:r>
          </w:p>
        </w:tc>
        <w:tc>
          <w:tcPr>
            <w:tcW w:w="907" w:type="dxa"/>
            <w:tcBorders>
              <w:top w:val="single" w:sz="2" w:space="0" w:color="3D7FE0" w:themeColor="accent1"/>
              <w:bottom w:val="single" w:sz="8" w:space="0" w:color="3D7FE0" w:themeColor="accent1"/>
            </w:tcBorders>
            <w:shd w:val="clear" w:color="auto" w:fill="FFFFFF"/>
            <w:vAlign w:val="bottom"/>
          </w:tcPr>
          <w:p w14:paraId="464C268D" w14:textId="77777777" w:rsidR="00AE1E5C" w:rsidRPr="00F90775" w:rsidRDefault="00AE1E5C" w:rsidP="004203CD">
            <w:pPr>
              <w:pStyle w:val="TableFigures"/>
              <w:rPr>
                <w:rFonts w:ascii="IBM Plex Sans Light" w:hAnsi="IBM Plex Sans Light"/>
                <w:b/>
                <w:bCs/>
                <w:i/>
                <w:iCs/>
                <w:color w:val="3D7FE0" w:themeColor="accent1"/>
                <w:spacing w:val="-4"/>
                <w:sz w:val="18"/>
                <w:szCs w:val="18"/>
              </w:rPr>
            </w:pPr>
            <w:r w:rsidRPr="00F90775">
              <w:rPr>
                <w:rStyle w:val="BoldBlue"/>
                <w:rFonts w:ascii="IBM Plex Sans Light" w:hAnsi="IBM Plex Sans Light" w:cs="IBM Plex Sans"/>
                <w:color w:val="3D7FE0" w:themeColor="accent1"/>
                <w:sz w:val="18"/>
                <w:szCs w:val="18"/>
              </w:rPr>
              <w:t>167.5</w:t>
            </w:r>
          </w:p>
        </w:tc>
      </w:tr>
    </w:tbl>
    <w:p w14:paraId="479DA42C" w14:textId="77777777" w:rsidR="00AE1E5C" w:rsidRDefault="00AE1E5C" w:rsidP="00AE1E5C">
      <w:pPr>
        <w:pStyle w:val="04BodyCopyFronttext9105"/>
      </w:pPr>
    </w:p>
    <w:tbl>
      <w:tblPr>
        <w:tblW w:w="9751" w:type="dxa"/>
        <w:tblLayout w:type="fixed"/>
        <w:tblCellMar>
          <w:left w:w="0" w:type="dxa"/>
          <w:right w:w="0" w:type="dxa"/>
        </w:tblCellMar>
        <w:tblLook w:val="00A0" w:firstRow="1" w:lastRow="0" w:firstColumn="1" w:lastColumn="0" w:noHBand="0" w:noVBand="0"/>
      </w:tblPr>
      <w:tblGrid>
        <w:gridCol w:w="5216"/>
        <w:gridCol w:w="907"/>
        <w:gridCol w:w="907"/>
        <w:gridCol w:w="907"/>
        <w:gridCol w:w="907"/>
        <w:gridCol w:w="907"/>
      </w:tblGrid>
      <w:tr w:rsidR="00AE1E5C" w:rsidRPr="00F669DF" w14:paraId="68EFF9C9" w14:textId="77777777" w:rsidTr="004203CD">
        <w:trPr>
          <w:trHeight w:val="367"/>
        </w:trPr>
        <w:tc>
          <w:tcPr>
            <w:tcW w:w="5216" w:type="dxa"/>
            <w:tcBorders>
              <w:bottom w:val="single" w:sz="2" w:space="0" w:color="3D7FE0" w:themeColor="accent1"/>
            </w:tcBorders>
            <w:vAlign w:val="bottom"/>
          </w:tcPr>
          <w:p w14:paraId="05AFFE09" w14:textId="77777777" w:rsidR="00AE1E5C" w:rsidRPr="00F669DF" w:rsidRDefault="00AE1E5C" w:rsidP="004203CD">
            <w:pPr>
              <w:pStyle w:val="TableColHeadsLeft"/>
              <w:rPr>
                <w:rFonts w:ascii="IBM Plex Sans Light" w:hAnsi="IBM Plex Sans Light"/>
                <w:b/>
                <w:bCs/>
                <w:sz w:val="16"/>
                <w:szCs w:val="16"/>
              </w:rPr>
            </w:pPr>
          </w:p>
        </w:tc>
        <w:tc>
          <w:tcPr>
            <w:tcW w:w="907" w:type="dxa"/>
            <w:tcBorders>
              <w:bottom w:val="single" w:sz="2" w:space="0" w:color="3D7FE0" w:themeColor="accent1"/>
            </w:tcBorders>
            <w:vAlign w:val="bottom"/>
          </w:tcPr>
          <w:p w14:paraId="4BB14EC6" w14:textId="77777777" w:rsidR="00AE1E5C" w:rsidRPr="00F669DF" w:rsidRDefault="00AE1E5C" w:rsidP="004203CD">
            <w:pPr>
              <w:pStyle w:val="12TBRightColHeaderTableBack"/>
              <w:rPr>
                <w:rStyle w:val="BoldBlue"/>
                <w:rFonts w:cs="IBM Plex Sans"/>
                <w:bCs w:val="0"/>
                <w:color w:val="auto"/>
                <w:sz w:val="16"/>
                <w:szCs w:val="16"/>
              </w:rPr>
            </w:pPr>
          </w:p>
        </w:tc>
        <w:tc>
          <w:tcPr>
            <w:tcW w:w="907" w:type="dxa"/>
            <w:tcBorders>
              <w:bottom w:val="single" w:sz="2" w:space="0" w:color="3D7FE0" w:themeColor="accent1"/>
            </w:tcBorders>
            <w:vAlign w:val="bottom"/>
          </w:tcPr>
          <w:p w14:paraId="6C27E1E9" w14:textId="77777777" w:rsidR="00AE1E5C" w:rsidRPr="00F669DF" w:rsidRDefault="00AE1E5C" w:rsidP="004203CD">
            <w:pPr>
              <w:pStyle w:val="12TBRightColHeaderTableBack"/>
              <w:rPr>
                <w:rStyle w:val="BoldBlue"/>
                <w:rFonts w:cs="IBM Plex Sans"/>
                <w:bCs w:val="0"/>
                <w:color w:val="auto"/>
                <w:sz w:val="16"/>
                <w:szCs w:val="16"/>
              </w:rPr>
            </w:pPr>
          </w:p>
        </w:tc>
        <w:tc>
          <w:tcPr>
            <w:tcW w:w="907" w:type="dxa"/>
            <w:tcBorders>
              <w:bottom w:val="single" w:sz="2" w:space="0" w:color="3D7FE0" w:themeColor="accent1"/>
            </w:tcBorders>
            <w:shd w:val="clear" w:color="auto" w:fill="FFFFFF"/>
            <w:vAlign w:val="bottom"/>
          </w:tcPr>
          <w:p w14:paraId="51129BA2" w14:textId="77777777" w:rsidR="00AE1E5C" w:rsidRPr="00F669DF" w:rsidRDefault="00AE1E5C" w:rsidP="004203CD">
            <w:pPr>
              <w:pStyle w:val="12TBRightColHeaderTableBack"/>
              <w:rPr>
                <w:rStyle w:val="BoldBlue"/>
                <w:rFonts w:cs="IBM Plex Sans"/>
                <w:bCs w:val="0"/>
                <w:color w:val="auto"/>
                <w:sz w:val="16"/>
                <w:szCs w:val="16"/>
              </w:rPr>
            </w:pPr>
          </w:p>
        </w:tc>
        <w:tc>
          <w:tcPr>
            <w:tcW w:w="907" w:type="dxa"/>
            <w:tcBorders>
              <w:bottom w:val="single" w:sz="2" w:space="0" w:color="3D7FE0" w:themeColor="accent1"/>
            </w:tcBorders>
            <w:shd w:val="clear" w:color="auto" w:fill="FFFFFF"/>
            <w:vAlign w:val="bottom"/>
          </w:tcPr>
          <w:p w14:paraId="51E97695" w14:textId="77777777" w:rsidR="00AE1E5C" w:rsidRPr="00F669DF" w:rsidRDefault="00AE1E5C" w:rsidP="004203CD">
            <w:pPr>
              <w:pStyle w:val="12TBRightColHeaderTableBack"/>
              <w:rPr>
                <w:rStyle w:val="BoldBlue"/>
                <w:rFonts w:cs="IBM Plex Sans"/>
                <w:bCs w:val="0"/>
                <w:color w:val="auto"/>
                <w:sz w:val="16"/>
                <w:szCs w:val="16"/>
              </w:rPr>
            </w:pPr>
          </w:p>
        </w:tc>
        <w:tc>
          <w:tcPr>
            <w:tcW w:w="907" w:type="dxa"/>
            <w:tcBorders>
              <w:bottom w:val="single" w:sz="2" w:space="0" w:color="3D7FE0" w:themeColor="accent1"/>
            </w:tcBorders>
            <w:shd w:val="clear" w:color="auto" w:fill="FFFFFF"/>
            <w:vAlign w:val="bottom"/>
          </w:tcPr>
          <w:p w14:paraId="04771F14" w14:textId="77777777" w:rsidR="00AE1E5C" w:rsidRPr="00F669DF" w:rsidRDefault="00AE1E5C" w:rsidP="004203CD">
            <w:pPr>
              <w:pStyle w:val="12TBRightColHeaderTableBack"/>
              <w:rPr>
                <w:rStyle w:val="BoldBlue"/>
                <w:rFonts w:cs="IBM Plex Sans"/>
                <w:bCs w:val="0"/>
                <w:color w:val="auto"/>
                <w:sz w:val="16"/>
                <w:szCs w:val="16"/>
              </w:rPr>
            </w:pPr>
            <w:r w:rsidRPr="00F669DF">
              <w:rPr>
                <w:rStyle w:val="BoldBlue"/>
                <w:rFonts w:cs="IBM Plex Sans"/>
                <w:bCs w:val="0"/>
                <w:color w:val="auto"/>
                <w:sz w:val="16"/>
                <w:szCs w:val="16"/>
              </w:rPr>
              <w:t>2022</w:t>
            </w:r>
          </w:p>
        </w:tc>
      </w:tr>
      <w:tr w:rsidR="00AE1E5C" w:rsidRPr="00F669DF" w14:paraId="46B01ADA" w14:textId="77777777" w:rsidTr="004203CD">
        <w:trPr>
          <w:trHeight w:val="367"/>
        </w:trPr>
        <w:tc>
          <w:tcPr>
            <w:tcW w:w="5216" w:type="dxa"/>
            <w:tcBorders>
              <w:top w:val="single" w:sz="2" w:space="0" w:color="3D7FE0" w:themeColor="accent1"/>
            </w:tcBorders>
            <w:vAlign w:val="bottom"/>
          </w:tcPr>
          <w:p w14:paraId="594E84B6" w14:textId="77777777" w:rsidR="00AE1E5C" w:rsidRPr="00F669DF" w:rsidRDefault="00AE1E5C" w:rsidP="004203CD">
            <w:pPr>
              <w:pStyle w:val="TableColHeadsLeft"/>
              <w:rPr>
                <w:rFonts w:ascii="IBM Plex Sans Light" w:hAnsi="IBM Plex Sans Light"/>
                <w:b/>
                <w:bCs/>
                <w:sz w:val="16"/>
                <w:szCs w:val="16"/>
              </w:rPr>
            </w:pPr>
          </w:p>
        </w:tc>
        <w:tc>
          <w:tcPr>
            <w:tcW w:w="907" w:type="dxa"/>
            <w:tcBorders>
              <w:top w:val="single" w:sz="2" w:space="0" w:color="3D7FE0" w:themeColor="accent1"/>
            </w:tcBorders>
            <w:vAlign w:val="bottom"/>
          </w:tcPr>
          <w:p w14:paraId="34461B26" w14:textId="77777777" w:rsidR="00AE1E5C" w:rsidRPr="00F669DF" w:rsidRDefault="00AE1E5C" w:rsidP="004203CD">
            <w:pPr>
              <w:pStyle w:val="12TBRightColHeaderTableBack"/>
              <w:rPr>
                <w:rStyle w:val="BoldBlue"/>
                <w:rFonts w:cs="IBM Plex Sans"/>
                <w:bCs w:val="0"/>
                <w:color w:val="auto"/>
                <w:sz w:val="16"/>
                <w:szCs w:val="16"/>
              </w:rPr>
            </w:pPr>
          </w:p>
        </w:tc>
        <w:tc>
          <w:tcPr>
            <w:tcW w:w="2721" w:type="dxa"/>
            <w:gridSpan w:val="3"/>
            <w:tcBorders>
              <w:top w:val="single" w:sz="2" w:space="0" w:color="3D7FE0" w:themeColor="accent1"/>
              <w:bottom w:val="single" w:sz="2" w:space="0" w:color="3D7FE0" w:themeColor="accent1"/>
            </w:tcBorders>
            <w:vAlign w:val="bottom"/>
          </w:tcPr>
          <w:p w14:paraId="008C6344" w14:textId="77777777" w:rsidR="00AE1E5C" w:rsidRPr="00F669DF" w:rsidRDefault="00AE1E5C" w:rsidP="004203CD">
            <w:pPr>
              <w:pStyle w:val="12TBRightColHeaderTableBack"/>
              <w:rPr>
                <w:rStyle w:val="BoldBlue"/>
                <w:rFonts w:cs="IBM Plex Sans"/>
                <w:bCs w:val="0"/>
                <w:color w:val="auto"/>
                <w:sz w:val="16"/>
                <w:szCs w:val="16"/>
              </w:rPr>
            </w:pPr>
            <w:r w:rsidRPr="00F669DF">
              <w:rPr>
                <w:rStyle w:val="BoldBlue"/>
                <w:rFonts w:cs="IBM Plex Sans"/>
                <w:bCs w:val="0"/>
                <w:color w:val="auto"/>
                <w:sz w:val="16"/>
                <w:szCs w:val="16"/>
              </w:rPr>
              <w:t>Share of Property interests</w:t>
            </w:r>
          </w:p>
        </w:tc>
        <w:tc>
          <w:tcPr>
            <w:tcW w:w="907" w:type="dxa"/>
            <w:tcBorders>
              <w:top w:val="single" w:sz="2" w:space="0" w:color="3D7FE0" w:themeColor="accent1"/>
            </w:tcBorders>
            <w:shd w:val="clear" w:color="auto" w:fill="FFFFFF"/>
            <w:vAlign w:val="bottom"/>
          </w:tcPr>
          <w:p w14:paraId="24C8CEBE" w14:textId="77777777" w:rsidR="00AE1E5C" w:rsidRPr="00F669DF" w:rsidRDefault="00AE1E5C" w:rsidP="004203CD">
            <w:pPr>
              <w:pStyle w:val="12TBRightColHeaderTableBack"/>
              <w:rPr>
                <w:rStyle w:val="BoldBlue"/>
                <w:rFonts w:cs="IBM Plex Sans"/>
                <w:bCs w:val="0"/>
                <w:color w:val="auto"/>
                <w:sz w:val="16"/>
                <w:szCs w:val="16"/>
              </w:rPr>
            </w:pPr>
          </w:p>
        </w:tc>
      </w:tr>
      <w:tr w:rsidR="00AE1E5C" w:rsidRPr="00F669DF" w14:paraId="418528CE" w14:textId="77777777" w:rsidTr="004203CD">
        <w:trPr>
          <w:trHeight w:val="367"/>
        </w:trPr>
        <w:tc>
          <w:tcPr>
            <w:tcW w:w="5216" w:type="dxa"/>
            <w:tcBorders>
              <w:bottom w:val="single" w:sz="2" w:space="0" w:color="3D7FE0" w:themeColor="accent1"/>
            </w:tcBorders>
            <w:vAlign w:val="bottom"/>
          </w:tcPr>
          <w:p w14:paraId="6D02FBA4" w14:textId="77777777" w:rsidR="00AE1E5C" w:rsidRPr="00F669DF" w:rsidRDefault="00AE1E5C" w:rsidP="004203CD">
            <w:pPr>
              <w:pStyle w:val="TableColHeadsLeft"/>
              <w:rPr>
                <w:rFonts w:ascii="IBM Plex Sans Light" w:hAnsi="IBM Plex Sans Light"/>
                <w:b/>
                <w:bCs/>
                <w:sz w:val="16"/>
                <w:szCs w:val="16"/>
              </w:rPr>
            </w:pPr>
            <w:r w:rsidRPr="00F669DF">
              <w:rPr>
                <w:rFonts w:ascii="IBM Plex Sans Light" w:hAnsi="IBM Plex Sans Light"/>
                <w:b/>
                <w:bCs/>
                <w:sz w:val="16"/>
                <w:szCs w:val="16"/>
              </w:rPr>
              <w:t>Proportionally consolidated</w:t>
            </w:r>
          </w:p>
        </w:tc>
        <w:tc>
          <w:tcPr>
            <w:tcW w:w="907" w:type="dxa"/>
            <w:tcBorders>
              <w:bottom w:val="single" w:sz="2" w:space="0" w:color="3D7FE0" w:themeColor="accent1"/>
            </w:tcBorders>
            <w:vAlign w:val="bottom"/>
          </w:tcPr>
          <w:p w14:paraId="267CAE07" w14:textId="77777777" w:rsidR="00AE1E5C" w:rsidRPr="00F669DF" w:rsidRDefault="00AE1E5C" w:rsidP="004203CD">
            <w:pPr>
              <w:pStyle w:val="12TBRightColHeaderTableBack"/>
              <w:rPr>
                <w:color w:val="auto"/>
                <w:sz w:val="16"/>
                <w:szCs w:val="16"/>
              </w:rPr>
            </w:pPr>
            <w:r w:rsidRPr="00F669DF">
              <w:rPr>
                <w:rStyle w:val="BoldBlue"/>
                <w:rFonts w:cs="IBM Plex Sans"/>
                <w:bCs w:val="0"/>
                <w:color w:val="auto"/>
                <w:sz w:val="16"/>
                <w:szCs w:val="16"/>
              </w:rPr>
              <w:t>Reported Group</w:t>
            </w:r>
            <w:r>
              <w:rPr>
                <w:rStyle w:val="BoldBlue"/>
                <w:rFonts w:cs="IBM Plex Sans"/>
                <w:bCs w:val="0"/>
                <w:color w:val="auto"/>
                <w:sz w:val="16"/>
                <w:szCs w:val="16"/>
              </w:rPr>
              <w:br/>
            </w:r>
            <w:r w:rsidRPr="00F669DF">
              <w:rPr>
                <w:rStyle w:val="BoldBlue"/>
                <w:rFonts w:cs="IBM Plex Sans"/>
                <w:bCs w:val="0"/>
                <w:color w:val="auto"/>
                <w:sz w:val="16"/>
                <w:szCs w:val="16"/>
              </w:rPr>
              <w:t>£m</w:t>
            </w:r>
          </w:p>
        </w:tc>
        <w:tc>
          <w:tcPr>
            <w:tcW w:w="907" w:type="dxa"/>
            <w:tcBorders>
              <w:top w:val="single" w:sz="2" w:space="0" w:color="3D7FE0" w:themeColor="accent1"/>
              <w:bottom w:val="single" w:sz="2" w:space="0" w:color="3D7FE0" w:themeColor="accent1"/>
            </w:tcBorders>
            <w:vAlign w:val="bottom"/>
          </w:tcPr>
          <w:p w14:paraId="182D084E" w14:textId="77777777" w:rsidR="00AE1E5C" w:rsidRPr="00F669DF" w:rsidRDefault="00AE1E5C" w:rsidP="004203CD">
            <w:pPr>
              <w:pStyle w:val="12TBRightColHeaderTableBack"/>
              <w:rPr>
                <w:rStyle w:val="BoldBlue"/>
                <w:rFonts w:cs="IBM Plex Sans"/>
                <w:bCs w:val="0"/>
                <w:color w:val="auto"/>
                <w:sz w:val="16"/>
                <w:szCs w:val="16"/>
              </w:rPr>
            </w:pPr>
            <w:r w:rsidRPr="00F669DF">
              <w:rPr>
                <w:rStyle w:val="BoldBlue"/>
                <w:rFonts w:cs="IBM Plex Sans"/>
                <w:bCs w:val="0"/>
                <w:color w:val="auto"/>
                <w:sz w:val="16"/>
                <w:szCs w:val="16"/>
              </w:rPr>
              <w:t xml:space="preserve">Joint </w:t>
            </w:r>
          </w:p>
          <w:p w14:paraId="12A44FF0" w14:textId="77777777" w:rsidR="00AE1E5C" w:rsidRPr="00F669DF" w:rsidRDefault="00AE1E5C" w:rsidP="004203CD">
            <w:pPr>
              <w:pStyle w:val="12TBRightColHeaderTableBack"/>
              <w:rPr>
                <w:color w:val="auto"/>
                <w:sz w:val="16"/>
                <w:szCs w:val="16"/>
              </w:rPr>
            </w:pPr>
            <w:r w:rsidRPr="00F669DF">
              <w:rPr>
                <w:rStyle w:val="BoldBlue"/>
                <w:rFonts w:cs="IBM Plex Sans"/>
                <w:bCs w:val="0"/>
                <w:color w:val="auto"/>
                <w:sz w:val="16"/>
                <w:szCs w:val="16"/>
              </w:rPr>
              <w:t>Ventures</w:t>
            </w:r>
            <w:r>
              <w:rPr>
                <w:rStyle w:val="BoldBlue"/>
                <w:rFonts w:cs="IBM Plex Sans"/>
                <w:bCs w:val="0"/>
                <w:color w:val="auto"/>
                <w:sz w:val="16"/>
                <w:szCs w:val="16"/>
              </w:rPr>
              <w:br/>
            </w:r>
            <w:r w:rsidRPr="00F669DF">
              <w:rPr>
                <w:rStyle w:val="BoldBlue"/>
                <w:rFonts w:cs="IBM Plex Sans"/>
                <w:bCs w:val="0"/>
                <w:color w:val="auto"/>
                <w:sz w:val="16"/>
                <w:szCs w:val="16"/>
              </w:rPr>
              <w:t>£m</w:t>
            </w:r>
          </w:p>
        </w:tc>
        <w:tc>
          <w:tcPr>
            <w:tcW w:w="907" w:type="dxa"/>
            <w:tcBorders>
              <w:top w:val="single" w:sz="2" w:space="0" w:color="3D7FE0" w:themeColor="accent1"/>
              <w:bottom w:val="single" w:sz="2" w:space="0" w:color="3D7FE0" w:themeColor="accent1"/>
            </w:tcBorders>
            <w:shd w:val="clear" w:color="auto" w:fill="FFFFFF"/>
            <w:vAlign w:val="bottom"/>
          </w:tcPr>
          <w:p w14:paraId="449B551F" w14:textId="77777777" w:rsidR="00AE1E5C" w:rsidRPr="00F669DF" w:rsidRDefault="00AE1E5C" w:rsidP="004203CD">
            <w:pPr>
              <w:pStyle w:val="12TBRightColHeaderTableBack"/>
              <w:rPr>
                <w:color w:val="auto"/>
                <w:sz w:val="16"/>
                <w:szCs w:val="16"/>
              </w:rPr>
            </w:pPr>
            <w:r w:rsidRPr="00F669DF">
              <w:rPr>
                <w:rStyle w:val="BoldBlue"/>
                <w:rFonts w:cs="IBM Plex Sans"/>
                <w:bCs w:val="0"/>
                <w:color w:val="auto"/>
                <w:sz w:val="16"/>
                <w:szCs w:val="16"/>
              </w:rPr>
              <w:t>Associates</w:t>
            </w:r>
            <w:r>
              <w:rPr>
                <w:rStyle w:val="BoldBlue"/>
                <w:rFonts w:cs="IBM Plex Sans"/>
                <w:bCs w:val="0"/>
                <w:color w:val="auto"/>
                <w:sz w:val="16"/>
                <w:szCs w:val="16"/>
              </w:rPr>
              <w:br/>
            </w:r>
            <w:r w:rsidRPr="00F669DF">
              <w:rPr>
                <w:rStyle w:val="BoldBlue"/>
                <w:rFonts w:cs="IBM Plex Sans"/>
                <w:bCs w:val="0"/>
                <w:color w:val="auto"/>
                <w:sz w:val="16"/>
                <w:szCs w:val="16"/>
              </w:rPr>
              <w:t>£m</w:t>
            </w:r>
          </w:p>
        </w:tc>
        <w:tc>
          <w:tcPr>
            <w:tcW w:w="907" w:type="dxa"/>
            <w:tcBorders>
              <w:top w:val="single" w:sz="2" w:space="0" w:color="3D7FE0" w:themeColor="accent1"/>
              <w:bottom w:val="single" w:sz="2" w:space="0" w:color="3D7FE0" w:themeColor="accent1"/>
            </w:tcBorders>
            <w:shd w:val="clear" w:color="auto" w:fill="FFFFFF"/>
            <w:vAlign w:val="bottom"/>
          </w:tcPr>
          <w:p w14:paraId="161D632D" w14:textId="77777777" w:rsidR="00AE1E5C" w:rsidRPr="00F669DF" w:rsidRDefault="00AE1E5C" w:rsidP="004203CD">
            <w:pPr>
              <w:pStyle w:val="12TBRightColHeaderTableBack"/>
              <w:rPr>
                <w:color w:val="auto"/>
                <w:sz w:val="16"/>
                <w:szCs w:val="16"/>
              </w:rPr>
            </w:pPr>
            <w:r w:rsidRPr="00F669DF">
              <w:rPr>
                <w:rStyle w:val="BoldBlue"/>
                <w:rFonts w:cs="IBM Plex Sans"/>
                <w:bCs w:val="0"/>
                <w:color w:val="auto"/>
                <w:sz w:val="16"/>
                <w:szCs w:val="16"/>
              </w:rPr>
              <w:t>Subtotal</w:t>
            </w:r>
            <w:r>
              <w:rPr>
                <w:rStyle w:val="BoldBlue"/>
                <w:rFonts w:cs="IBM Plex Sans"/>
                <w:bCs w:val="0"/>
                <w:color w:val="auto"/>
                <w:sz w:val="16"/>
                <w:szCs w:val="16"/>
              </w:rPr>
              <w:br/>
            </w:r>
            <w:r w:rsidRPr="00F669DF">
              <w:rPr>
                <w:rStyle w:val="BoldBlue"/>
                <w:rFonts w:cs="IBM Plex Sans"/>
                <w:bCs w:val="0"/>
                <w:color w:val="auto"/>
                <w:sz w:val="16"/>
                <w:szCs w:val="16"/>
              </w:rPr>
              <w:t>£m</w:t>
            </w:r>
          </w:p>
        </w:tc>
        <w:tc>
          <w:tcPr>
            <w:tcW w:w="907" w:type="dxa"/>
            <w:tcBorders>
              <w:bottom w:val="single" w:sz="2" w:space="0" w:color="3D7FE0" w:themeColor="accent1"/>
            </w:tcBorders>
            <w:shd w:val="clear" w:color="auto" w:fill="FFFFFF"/>
            <w:vAlign w:val="bottom"/>
          </w:tcPr>
          <w:p w14:paraId="007271D2" w14:textId="77777777" w:rsidR="00AE1E5C" w:rsidRPr="00F669DF" w:rsidRDefault="00AE1E5C" w:rsidP="004203CD">
            <w:pPr>
              <w:pStyle w:val="12TBRightColHeaderTableBack"/>
              <w:rPr>
                <w:i/>
                <w:iCs/>
                <w:color w:val="auto"/>
                <w:sz w:val="16"/>
                <w:szCs w:val="16"/>
              </w:rPr>
            </w:pPr>
            <w:r w:rsidRPr="00F669DF">
              <w:rPr>
                <w:rStyle w:val="BoldBlue"/>
                <w:rFonts w:cs="IBM Plex Sans"/>
                <w:bCs w:val="0"/>
                <w:color w:val="auto"/>
                <w:sz w:val="16"/>
                <w:szCs w:val="16"/>
              </w:rPr>
              <w:t>Total</w:t>
            </w:r>
            <w:r>
              <w:rPr>
                <w:rStyle w:val="BoldBlue"/>
                <w:rFonts w:cs="IBM Plex Sans"/>
                <w:bCs w:val="0"/>
                <w:color w:val="auto"/>
                <w:sz w:val="16"/>
                <w:szCs w:val="16"/>
              </w:rPr>
              <w:br/>
            </w:r>
            <w:r w:rsidRPr="00F669DF">
              <w:rPr>
                <w:rStyle w:val="BoldBlue"/>
                <w:rFonts w:cs="IBM Plex Sans"/>
                <w:bCs w:val="0"/>
                <w:color w:val="auto"/>
                <w:sz w:val="16"/>
                <w:szCs w:val="16"/>
              </w:rPr>
              <w:t>£m</w:t>
            </w:r>
          </w:p>
        </w:tc>
      </w:tr>
      <w:tr w:rsidR="00AE1E5C" w:rsidRPr="000F2E24" w14:paraId="5BBEB762" w14:textId="77777777" w:rsidTr="004203CD">
        <w:tc>
          <w:tcPr>
            <w:tcW w:w="5216" w:type="dxa"/>
            <w:tcBorders>
              <w:top w:val="single" w:sz="2" w:space="0" w:color="3D7FE0" w:themeColor="accent1"/>
            </w:tcBorders>
            <w:vAlign w:val="bottom"/>
          </w:tcPr>
          <w:p w14:paraId="2C7B446D" w14:textId="77777777" w:rsidR="00AE1E5C" w:rsidRPr="00F669DF" w:rsidRDefault="00AE1E5C" w:rsidP="004203CD">
            <w:pPr>
              <w:pStyle w:val="Tabletext"/>
              <w:rPr>
                <w:rFonts w:ascii="IBM Plex Sans Light" w:hAnsi="IBM Plex Sans Light"/>
                <w:color w:val="auto"/>
                <w:sz w:val="18"/>
                <w:szCs w:val="24"/>
              </w:rPr>
            </w:pPr>
            <w:r w:rsidRPr="00F669DF">
              <w:rPr>
                <w:rStyle w:val="Bold"/>
                <w:rFonts w:ascii="IBM Plex Sans Light" w:hAnsi="IBM Plex Sans Light" w:cs="IBM Plex Sans"/>
                <w:bCs/>
                <w:color w:val="auto"/>
                <w:sz w:val="18"/>
                <w:szCs w:val="24"/>
              </w:rPr>
              <w:t xml:space="preserve">Gross rental income </w:t>
            </w:r>
          </w:p>
        </w:tc>
        <w:tc>
          <w:tcPr>
            <w:tcW w:w="907" w:type="dxa"/>
            <w:tcBorders>
              <w:top w:val="single" w:sz="2" w:space="0" w:color="3D7FE0" w:themeColor="accent1"/>
            </w:tcBorders>
            <w:vAlign w:val="bottom"/>
          </w:tcPr>
          <w:p w14:paraId="0FFCC385" w14:textId="77777777" w:rsidR="00AE1E5C" w:rsidRPr="00274099" w:rsidRDefault="00AE1E5C" w:rsidP="004203CD">
            <w:pPr>
              <w:pStyle w:val="Tabletext"/>
              <w:jc w:val="right"/>
              <w:rPr>
                <w:rFonts w:ascii="IBM Plex Sans Light" w:hAnsi="IBM Plex Sans Light"/>
                <w:color w:val="auto"/>
                <w:sz w:val="18"/>
                <w:szCs w:val="24"/>
              </w:rPr>
            </w:pPr>
            <w:r w:rsidRPr="00274099">
              <w:rPr>
                <w:rFonts w:ascii="IBM Plex Sans Light" w:hAnsi="IBM Plex Sans Light"/>
                <w:sz w:val="18"/>
                <w:szCs w:val="24"/>
              </w:rPr>
              <w:t xml:space="preserve">90.2 </w:t>
            </w:r>
          </w:p>
        </w:tc>
        <w:tc>
          <w:tcPr>
            <w:tcW w:w="907" w:type="dxa"/>
            <w:tcBorders>
              <w:top w:val="single" w:sz="2" w:space="0" w:color="3D7FE0" w:themeColor="accent1"/>
            </w:tcBorders>
            <w:vAlign w:val="bottom"/>
          </w:tcPr>
          <w:p w14:paraId="6EE58873" w14:textId="77777777" w:rsidR="00AE1E5C" w:rsidRPr="00274099" w:rsidRDefault="00AE1E5C" w:rsidP="004203CD">
            <w:pPr>
              <w:pStyle w:val="Tabletext"/>
              <w:jc w:val="right"/>
              <w:rPr>
                <w:rFonts w:ascii="IBM Plex Sans Light" w:hAnsi="IBM Plex Sans Light"/>
                <w:color w:val="auto"/>
                <w:sz w:val="18"/>
                <w:szCs w:val="24"/>
              </w:rPr>
            </w:pPr>
            <w:r w:rsidRPr="00274099">
              <w:rPr>
                <w:rFonts w:ascii="IBM Plex Sans Light" w:hAnsi="IBM Plex Sans Light"/>
                <w:sz w:val="18"/>
                <w:szCs w:val="24"/>
              </w:rPr>
              <w:t xml:space="preserve">119.4 </w:t>
            </w:r>
          </w:p>
        </w:tc>
        <w:tc>
          <w:tcPr>
            <w:tcW w:w="907" w:type="dxa"/>
            <w:tcBorders>
              <w:top w:val="single" w:sz="2" w:space="0" w:color="3D7FE0" w:themeColor="accent1"/>
            </w:tcBorders>
            <w:shd w:val="clear" w:color="auto" w:fill="FFFFFF"/>
            <w:vAlign w:val="bottom"/>
          </w:tcPr>
          <w:p w14:paraId="76B09A63" w14:textId="77777777" w:rsidR="00AE1E5C" w:rsidRPr="00274099" w:rsidRDefault="00AE1E5C" w:rsidP="004203CD">
            <w:pPr>
              <w:pStyle w:val="TableFiguresBold"/>
              <w:rPr>
                <w:rFonts w:ascii="IBM Plex Sans Light" w:hAnsi="IBM Plex Sans Light"/>
                <w:b w:val="0"/>
                <w:bCs w:val="0"/>
                <w:color w:val="auto"/>
                <w:spacing w:val="-4"/>
                <w:sz w:val="18"/>
                <w:szCs w:val="24"/>
              </w:rPr>
            </w:pPr>
            <w:r w:rsidRPr="00274099">
              <w:rPr>
                <w:rFonts w:ascii="IBM Plex Sans Light" w:hAnsi="IBM Plex Sans Light"/>
                <w:b w:val="0"/>
                <w:bCs w:val="0"/>
                <w:sz w:val="18"/>
                <w:szCs w:val="24"/>
              </w:rPr>
              <w:t xml:space="preserve">5.6 </w:t>
            </w:r>
          </w:p>
        </w:tc>
        <w:tc>
          <w:tcPr>
            <w:tcW w:w="907" w:type="dxa"/>
            <w:tcBorders>
              <w:top w:val="single" w:sz="2" w:space="0" w:color="3D7FE0" w:themeColor="accent1"/>
            </w:tcBorders>
            <w:shd w:val="clear" w:color="auto" w:fill="FFFFFF"/>
            <w:vAlign w:val="bottom"/>
          </w:tcPr>
          <w:p w14:paraId="701FB67B" w14:textId="77777777" w:rsidR="00AE1E5C" w:rsidRPr="00274099" w:rsidRDefault="00AE1E5C" w:rsidP="004203CD">
            <w:pPr>
              <w:pStyle w:val="TableFigures"/>
              <w:rPr>
                <w:rFonts w:ascii="IBM Plex Sans Light" w:hAnsi="IBM Plex Sans Light"/>
                <w:color w:val="auto"/>
                <w:spacing w:val="-4"/>
                <w:sz w:val="18"/>
                <w:szCs w:val="24"/>
              </w:rPr>
            </w:pPr>
            <w:r w:rsidRPr="00274099">
              <w:rPr>
                <w:rFonts w:ascii="IBM Plex Sans Light" w:hAnsi="IBM Plex Sans Light"/>
                <w:sz w:val="18"/>
                <w:szCs w:val="24"/>
              </w:rPr>
              <w:t xml:space="preserve">125.0 </w:t>
            </w:r>
          </w:p>
        </w:tc>
        <w:tc>
          <w:tcPr>
            <w:tcW w:w="907" w:type="dxa"/>
            <w:tcBorders>
              <w:top w:val="single" w:sz="2" w:space="0" w:color="3D7FE0" w:themeColor="accent1"/>
            </w:tcBorders>
            <w:shd w:val="clear" w:color="auto" w:fill="FFFFFF"/>
            <w:vAlign w:val="bottom"/>
          </w:tcPr>
          <w:p w14:paraId="0BA889E4" w14:textId="77777777" w:rsidR="00AE1E5C" w:rsidRPr="00274099" w:rsidRDefault="00AE1E5C" w:rsidP="004203CD">
            <w:pPr>
              <w:pStyle w:val="TableFigures"/>
              <w:rPr>
                <w:rFonts w:ascii="IBM Plex Sans Light" w:hAnsi="IBM Plex Sans Light"/>
                <w:i/>
                <w:iCs/>
                <w:color w:val="auto"/>
                <w:spacing w:val="-4"/>
                <w:sz w:val="18"/>
                <w:szCs w:val="24"/>
              </w:rPr>
            </w:pPr>
            <w:r w:rsidRPr="00274099">
              <w:rPr>
                <w:rFonts w:ascii="IBM Plex Sans Light" w:hAnsi="IBM Plex Sans Light"/>
                <w:sz w:val="18"/>
                <w:szCs w:val="24"/>
              </w:rPr>
              <w:t xml:space="preserve">215.2 </w:t>
            </w:r>
          </w:p>
        </w:tc>
      </w:tr>
      <w:tr w:rsidR="00AE1E5C" w:rsidRPr="000F2E24" w14:paraId="6E61AC32" w14:textId="77777777" w:rsidTr="004203CD">
        <w:tc>
          <w:tcPr>
            <w:tcW w:w="5216" w:type="dxa"/>
            <w:tcBorders>
              <w:bottom w:val="single" w:sz="2" w:space="0" w:color="3D7FE0" w:themeColor="accent1"/>
            </w:tcBorders>
            <w:vAlign w:val="bottom"/>
          </w:tcPr>
          <w:p w14:paraId="3E8E1659" w14:textId="77777777" w:rsidR="00AE1E5C" w:rsidRPr="00F669DF" w:rsidRDefault="00AE1E5C" w:rsidP="004203CD">
            <w:pPr>
              <w:pStyle w:val="Tabletext"/>
              <w:rPr>
                <w:rFonts w:ascii="IBM Plex Sans Light" w:hAnsi="IBM Plex Sans Light"/>
                <w:color w:val="auto"/>
                <w:sz w:val="18"/>
                <w:szCs w:val="24"/>
              </w:rPr>
            </w:pPr>
            <w:r w:rsidRPr="00F669DF">
              <w:rPr>
                <w:rFonts w:ascii="IBM Plex Sans Light" w:hAnsi="IBM Plex Sans Light"/>
                <w:color w:val="auto"/>
                <w:sz w:val="18"/>
                <w:szCs w:val="24"/>
              </w:rPr>
              <w:t>Net service charge expenses and cost of sales</w:t>
            </w:r>
          </w:p>
        </w:tc>
        <w:tc>
          <w:tcPr>
            <w:tcW w:w="907" w:type="dxa"/>
            <w:tcBorders>
              <w:bottom w:val="single" w:sz="2" w:space="0" w:color="3D7FE0" w:themeColor="accent1"/>
            </w:tcBorders>
            <w:vAlign w:val="bottom"/>
          </w:tcPr>
          <w:p w14:paraId="6BFC35D0"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(12.9)</w:t>
            </w:r>
          </w:p>
        </w:tc>
        <w:tc>
          <w:tcPr>
            <w:tcW w:w="907" w:type="dxa"/>
            <w:tcBorders>
              <w:bottom w:val="single" w:sz="2" w:space="0" w:color="3D7FE0" w:themeColor="accent1"/>
            </w:tcBorders>
            <w:vAlign w:val="bottom"/>
          </w:tcPr>
          <w:p w14:paraId="45A95277"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(23.9)</w:t>
            </w:r>
          </w:p>
        </w:tc>
        <w:tc>
          <w:tcPr>
            <w:tcW w:w="907" w:type="dxa"/>
            <w:tcBorders>
              <w:bottom w:val="single" w:sz="2" w:space="0" w:color="3D7FE0" w:themeColor="accent1"/>
            </w:tcBorders>
            <w:shd w:val="clear" w:color="auto" w:fill="FFFFFF"/>
            <w:vAlign w:val="bottom"/>
          </w:tcPr>
          <w:p w14:paraId="0BCD7A46" w14:textId="77777777" w:rsidR="00AE1E5C" w:rsidRPr="00573BEB"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(1.2)</w:t>
            </w:r>
          </w:p>
        </w:tc>
        <w:tc>
          <w:tcPr>
            <w:tcW w:w="907" w:type="dxa"/>
            <w:tcBorders>
              <w:bottom w:val="single" w:sz="2" w:space="0" w:color="3D7FE0" w:themeColor="accent1"/>
            </w:tcBorders>
            <w:shd w:val="clear" w:color="auto" w:fill="FFFFFF"/>
            <w:vAlign w:val="bottom"/>
          </w:tcPr>
          <w:p w14:paraId="64D87724" w14:textId="77777777" w:rsidR="00AE1E5C" w:rsidRPr="00573BEB"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(25.1)</w:t>
            </w:r>
          </w:p>
        </w:tc>
        <w:tc>
          <w:tcPr>
            <w:tcW w:w="907" w:type="dxa"/>
            <w:tcBorders>
              <w:bottom w:val="single" w:sz="2" w:space="0" w:color="3D7FE0" w:themeColor="accent1"/>
            </w:tcBorders>
            <w:shd w:val="clear" w:color="auto" w:fill="FFFFFF"/>
            <w:vAlign w:val="bottom"/>
          </w:tcPr>
          <w:p w14:paraId="5F5F8441"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(38.0)</w:t>
            </w:r>
          </w:p>
        </w:tc>
      </w:tr>
      <w:tr w:rsidR="00AE1E5C" w:rsidRPr="000F2E24" w14:paraId="3A21DC3A" w14:textId="77777777" w:rsidTr="004203CD">
        <w:tc>
          <w:tcPr>
            <w:tcW w:w="5216" w:type="dxa"/>
            <w:tcBorders>
              <w:top w:val="single" w:sz="2" w:space="0" w:color="3D7FE0" w:themeColor="accent1"/>
            </w:tcBorders>
            <w:vAlign w:val="bottom"/>
          </w:tcPr>
          <w:p w14:paraId="3417DA4C" w14:textId="77777777" w:rsidR="00AE1E5C" w:rsidRPr="00F669DF" w:rsidRDefault="00AE1E5C" w:rsidP="004203CD">
            <w:pPr>
              <w:pStyle w:val="Tabletext"/>
              <w:rPr>
                <w:rFonts w:ascii="IBM Plex Sans Light" w:hAnsi="IBM Plex Sans Light"/>
                <w:color w:val="auto"/>
                <w:sz w:val="18"/>
                <w:szCs w:val="24"/>
              </w:rPr>
            </w:pPr>
            <w:r w:rsidRPr="00F669DF">
              <w:rPr>
                <w:rStyle w:val="Bold"/>
                <w:rFonts w:ascii="IBM Plex Sans Light" w:hAnsi="IBM Plex Sans Light" w:cs="IBM Plex Sans"/>
                <w:bCs/>
                <w:color w:val="auto"/>
                <w:sz w:val="18"/>
                <w:szCs w:val="24"/>
              </w:rPr>
              <w:t>Net rental income</w:t>
            </w:r>
          </w:p>
        </w:tc>
        <w:tc>
          <w:tcPr>
            <w:tcW w:w="907" w:type="dxa"/>
            <w:tcBorders>
              <w:top w:val="single" w:sz="2" w:space="0" w:color="3D7FE0" w:themeColor="accent1"/>
            </w:tcBorders>
            <w:vAlign w:val="bottom"/>
          </w:tcPr>
          <w:p w14:paraId="121E7140" w14:textId="77777777" w:rsidR="00AE1E5C" w:rsidRPr="00274099" w:rsidRDefault="00AE1E5C" w:rsidP="004203CD">
            <w:pPr>
              <w:pStyle w:val="Tabletext"/>
              <w:jc w:val="right"/>
              <w:rPr>
                <w:rFonts w:ascii="IBM Plex Sans Light" w:hAnsi="IBM Plex Sans Light"/>
                <w:color w:val="auto"/>
                <w:sz w:val="18"/>
                <w:szCs w:val="24"/>
              </w:rPr>
            </w:pPr>
            <w:r w:rsidRPr="00274099">
              <w:rPr>
                <w:rFonts w:ascii="IBM Plex Sans Light" w:hAnsi="IBM Plex Sans Light"/>
                <w:sz w:val="18"/>
                <w:szCs w:val="24"/>
              </w:rPr>
              <w:t xml:space="preserve">77.3 </w:t>
            </w:r>
          </w:p>
        </w:tc>
        <w:tc>
          <w:tcPr>
            <w:tcW w:w="907" w:type="dxa"/>
            <w:tcBorders>
              <w:top w:val="single" w:sz="2" w:space="0" w:color="3D7FE0" w:themeColor="accent1"/>
            </w:tcBorders>
            <w:vAlign w:val="bottom"/>
          </w:tcPr>
          <w:p w14:paraId="34EB5D59" w14:textId="77777777" w:rsidR="00AE1E5C" w:rsidRPr="00274099" w:rsidRDefault="00AE1E5C" w:rsidP="004203CD">
            <w:pPr>
              <w:pStyle w:val="Tabletext"/>
              <w:jc w:val="right"/>
              <w:rPr>
                <w:rFonts w:ascii="IBM Plex Sans Light" w:hAnsi="IBM Plex Sans Light"/>
                <w:color w:val="auto"/>
                <w:sz w:val="18"/>
                <w:szCs w:val="24"/>
              </w:rPr>
            </w:pPr>
            <w:r w:rsidRPr="00274099">
              <w:rPr>
                <w:rFonts w:ascii="IBM Plex Sans Light" w:hAnsi="IBM Plex Sans Light"/>
                <w:sz w:val="18"/>
                <w:szCs w:val="24"/>
              </w:rPr>
              <w:t xml:space="preserve">95.5 </w:t>
            </w:r>
          </w:p>
        </w:tc>
        <w:tc>
          <w:tcPr>
            <w:tcW w:w="907" w:type="dxa"/>
            <w:tcBorders>
              <w:top w:val="single" w:sz="2" w:space="0" w:color="3D7FE0" w:themeColor="accent1"/>
            </w:tcBorders>
            <w:shd w:val="clear" w:color="auto" w:fill="FFFFFF"/>
            <w:vAlign w:val="bottom"/>
          </w:tcPr>
          <w:p w14:paraId="4468E28B" w14:textId="77777777" w:rsidR="00AE1E5C" w:rsidRPr="00274099" w:rsidRDefault="00AE1E5C" w:rsidP="004203CD">
            <w:pPr>
              <w:pStyle w:val="TableFiguresBold"/>
              <w:rPr>
                <w:rFonts w:ascii="IBM Plex Sans Light" w:hAnsi="IBM Plex Sans Light"/>
                <w:b w:val="0"/>
                <w:bCs w:val="0"/>
                <w:color w:val="auto"/>
                <w:spacing w:val="-4"/>
                <w:sz w:val="18"/>
                <w:szCs w:val="24"/>
              </w:rPr>
            </w:pPr>
            <w:r w:rsidRPr="00274099">
              <w:rPr>
                <w:rFonts w:ascii="IBM Plex Sans Light" w:hAnsi="IBM Plex Sans Light"/>
                <w:b w:val="0"/>
                <w:bCs w:val="0"/>
                <w:sz w:val="18"/>
                <w:szCs w:val="24"/>
              </w:rPr>
              <w:t>4.4</w:t>
            </w:r>
          </w:p>
        </w:tc>
        <w:tc>
          <w:tcPr>
            <w:tcW w:w="907" w:type="dxa"/>
            <w:tcBorders>
              <w:top w:val="single" w:sz="2" w:space="0" w:color="3D7FE0" w:themeColor="accent1"/>
            </w:tcBorders>
            <w:shd w:val="clear" w:color="auto" w:fill="FFFFFF"/>
            <w:vAlign w:val="bottom"/>
          </w:tcPr>
          <w:p w14:paraId="06C7C5B7" w14:textId="77777777" w:rsidR="00AE1E5C" w:rsidRPr="00274099" w:rsidRDefault="00AE1E5C" w:rsidP="004203CD">
            <w:pPr>
              <w:pStyle w:val="TableFigures"/>
              <w:rPr>
                <w:rFonts w:ascii="IBM Plex Sans Light" w:hAnsi="IBM Plex Sans Light"/>
                <w:color w:val="auto"/>
                <w:spacing w:val="-4"/>
                <w:sz w:val="18"/>
                <w:szCs w:val="24"/>
              </w:rPr>
            </w:pPr>
            <w:r w:rsidRPr="00274099">
              <w:rPr>
                <w:rFonts w:ascii="IBM Plex Sans Light" w:hAnsi="IBM Plex Sans Light"/>
                <w:sz w:val="18"/>
                <w:szCs w:val="24"/>
              </w:rPr>
              <w:t xml:space="preserve">99.9 </w:t>
            </w:r>
          </w:p>
        </w:tc>
        <w:tc>
          <w:tcPr>
            <w:tcW w:w="907" w:type="dxa"/>
            <w:tcBorders>
              <w:top w:val="single" w:sz="2" w:space="0" w:color="3D7FE0" w:themeColor="accent1"/>
            </w:tcBorders>
            <w:shd w:val="clear" w:color="auto" w:fill="FFFFFF"/>
            <w:vAlign w:val="bottom"/>
          </w:tcPr>
          <w:p w14:paraId="38F8C171" w14:textId="77777777" w:rsidR="00AE1E5C" w:rsidRPr="00274099" w:rsidRDefault="00AE1E5C" w:rsidP="004203CD">
            <w:pPr>
              <w:pStyle w:val="TableFigures"/>
              <w:rPr>
                <w:rFonts w:ascii="IBM Plex Sans Light" w:hAnsi="IBM Plex Sans Light"/>
                <w:i/>
                <w:iCs/>
                <w:color w:val="auto"/>
                <w:spacing w:val="-4"/>
                <w:sz w:val="18"/>
                <w:szCs w:val="24"/>
              </w:rPr>
            </w:pPr>
            <w:r w:rsidRPr="00274099">
              <w:rPr>
                <w:rFonts w:ascii="IBM Plex Sans Light" w:hAnsi="IBM Plex Sans Light"/>
                <w:sz w:val="18"/>
                <w:szCs w:val="24"/>
              </w:rPr>
              <w:t xml:space="preserve">177.2 </w:t>
            </w:r>
          </w:p>
        </w:tc>
      </w:tr>
      <w:tr w:rsidR="00AE1E5C" w:rsidRPr="000F2E24" w14:paraId="1452F5AF" w14:textId="77777777" w:rsidTr="004203CD">
        <w:tc>
          <w:tcPr>
            <w:tcW w:w="5216" w:type="dxa"/>
            <w:tcBorders>
              <w:bottom w:val="single" w:sz="2" w:space="0" w:color="3D7FE0" w:themeColor="accent1"/>
            </w:tcBorders>
            <w:vAlign w:val="bottom"/>
          </w:tcPr>
          <w:p w14:paraId="400A5E2F" w14:textId="77777777" w:rsidR="00AE1E5C" w:rsidRPr="00F669DF" w:rsidRDefault="00AE1E5C" w:rsidP="004203CD">
            <w:pPr>
              <w:pStyle w:val="Tabletext"/>
              <w:rPr>
                <w:rFonts w:ascii="IBM Plex Sans Light" w:hAnsi="IBM Plex Sans Light"/>
                <w:color w:val="auto"/>
                <w:sz w:val="18"/>
                <w:szCs w:val="24"/>
              </w:rPr>
            </w:pPr>
            <w:r w:rsidRPr="00F669DF">
              <w:rPr>
                <w:rFonts w:ascii="IBM Plex Sans Light" w:hAnsi="IBM Plex Sans Light"/>
                <w:color w:val="auto"/>
                <w:sz w:val="18"/>
                <w:szCs w:val="24"/>
              </w:rPr>
              <w:t xml:space="preserve">Change in provision for amounts not yet recognised in the income statement </w:t>
            </w:r>
          </w:p>
        </w:tc>
        <w:tc>
          <w:tcPr>
            <w:tcW w:w="907" w:type="dxa"/>
            <w:tcBorders>
              <w:bottom w:val="single" w:sz="2" w:space="0" w:color="3D7FE0" w:themeColor="accent1"/>
            </w:tcBorders>
            <w:vAlign w:val="bottom"/>
          </w:tcPr>
          <w:p w14:paraId="68CC04FE"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(0.9)</w:t>
            </w:r>
          </w:p>
        </w:tc>
        <w:tc>
          <w:tcPr>
            <w:tcW w:w="907" w:type="dxa"/>
            <w:tcBorders>
              <w:bottom w:val="single" w:sz="2" w:space="0" w:color="3D7FE0" w:themeColor="accent1"/>
            </w:tcBorders>
            <w:vAlign w:val="bottom"/>
          </w:tcPr>
          <w:p w14:paraId="75E86EE5"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(1.5)</w:t>
            </w:r>
          </w:p>
        </w:tc>
        <w:tc>
          <w:tcPr>
            <w:tcW w:w="907" w:type="dxa"/>
            <w:tcBorders>
              <w:bottom w:val="single" w:sz="2" w:space="0" w:color="3D7FE0" w:themeColor="accent1"/>
            </w:tcBorders>
            <w:shd w:val="clear" w:color="auto" w:fill="FFFFFF"/>
            <w:vAlign w:val="bottom"/>
          </w:tcPr>
          <w:p w14:paraId="70F3333C" w14:textId="77777777" w:rsidR="00AE1E5C" w:rsidRPr="00274099" w:rsidRDefault="00AE1E5C" w:rsidP="004203CD">
            <w:pPr>
              <w:pStyle w:val="TableFiguresBold"/>
              <w:rPr>
                <w:rFonts w:ascii="IBM Plex Sans Light" w:hAnsi="IBM Plex Sans Light"/>
                <w:b w:val="0"/>
                <w:bCs w:val="0"/>
                <w:color w:val="auto"/>
                <w:spacing w:val="-4"/>
                <w:sz w:val="18"/>
                <w:szCs w:val="24"/>
              </w:rPr>
            </w:pPr>
            <w:r w:rsidRPr="00274099">
              <w:rPr>
                <w:rFonts w:ascii="IBM Plex Sans Light" w:hAnsi="IBM Plex Sans Light"/>
                <w:b w:val="0"/>
                <w:bCs w:val="0"/>
                <w:sz w:val="18"/>
                <w:szCs w:val="24"/>
              </w:rPr>
              <w:t>–</w:t>
            </w:r>
          </w:p>
        </w:tc>
        <w:tc>
          <w:tcPr>
            <w:tcW w:w="907" w:type="dxa"/>
            <w:tcBorders>
              <w:bottom w:val="single" w:sz="2" w:space="0" w:color="3D7FE0" w:themeColor="accent1"/>
            </w:tcBorders>
            <w:shd w:val="clear" w:color="auto" w:fill="FFFFFF"/>
            <w:vAlign w:val="bottom"/>
          </w:tcPr>
          <w:p w14:paraId="3D01824D" w14:textId="77777777" w:rsidR="00AE1E5C" w:rsidRPr="00573BEB"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(1.5)</w:t>
            </w:r>
          </w:p>
        </w:tc>
        <w:tc>
          <w:tcPr>
            <w:tcW w:w="907" w:type="dxa"/>
            <w:tcBorders>
              <w:bottom w:val="single" w:sz="2" w:space="0" w:color="3D7FE0" w:themeColor="accent1"/>
            </w:tcBorders>
            <w:shd w:val="clear" w:color="auto" w:fill="FFFFFF"/>
            <w:vAlign w:val="bottom"/>
          </w:tcPr>
          <w:p w14:paraId="7DF0A766"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(2.4)</w:t>
            </w:r>
          </w:p>
        </w:tc>
      </w:tr>
      <w:tr w:rsidR="00AE1E5C" w:rsidRPr="000F2E24" w14:paraId="5974CA8A" w14:textId="77777777" w:rsidTr="004203CD">
        <w:tc>
          <w:tcPr>
            <w:tcW w:w="5216" w:type="dxa"/>
            <w:tcBorders>
              <w:top w:val="single" w:sz="2" w:space="0" w:color="3D7FE0" w:themeColor="accent1"/>
              <w:bottom w:val="single" w:sz="8" w:space="0" w:color="3D7FE0" w:themeColor="accent1"/>
            </w:tcBorders>
            <w:vAlign w:val="bottom"/>
          </w:tcPr>
          <w:p w14:paraId="4DA7F757" w14:textId="77777777" w:rsidR="00AE1E5C" w:rsidRPr="00F669DF" w:rsidRDefault="00AE1E5C" w:rsidP="004203CD">
            <w:pPr>
              <w:pStyle w:val="Tabletext"/>
              <w:rPr>
                <w:rFonts w:ascii="IBM Plex Sans Light" w:hAnsi="IBM Plex Sans Light"/>
                <w:color w:val="auto"/>
                <w:sz w:val="18"/>
                <w:szCs w:val="24"/>
              </w:rPr>
            </w:pPr>
            <w:r w:rsidRPr="00F669DF">
              <w:rPr>
                <w:rStyle w:val="Bold"/>
                <w:rFonts w:ascii="IBM Plex Sans Light" w:hAnsi="IBM Plex Sans Light" w:cs="IBM Plex Sans"/>
                <w:bCs/>
                <w:color w:val="auto"/>
                <w:sz w:val="18"/>
                <w:szCs w:val="24"/>
              </w:rPr>
              <w:t>Adjusted net rental income</w:t>
            </w:r>
          </w:p>
        </w:tc>
        <w:tc>
          <w:tcPr>
            <w:tcW w:w="907" w:type="dxa"/>
            <w:tcBorders>
              <w:top w:val="single" w:sz="2" w:space="0" w:color="3D7FE0" w:themeColor="accent1"/>
              <w:bottom w:val="single" w:sz="8" w:space="0" w:color="3D7FE0" w:themeColor="accent1"/>
            </w:tcBorders>
            <w:vAlign w:val="bottom"/>
          </w:tcPr>
          <w:p w14:paraId="3FC8AA5C" w14:textId="77777777" w:rsidR="00AE1E5C" w:rsidRPr="00653D8F" w:rsidRDefault="00AE1E5C" w:rsidP="004203CD">
            <w:pPr>
              <w:pStyle w:val="Tabletext"/>
              <w:jc w:val="right"/>
              <w:rPr>
                <w:rFonts w:ascii="IBM Plex Sans Light" w:hAnsi="IBM Plex Sans Light"/>
                <w:b/>
                <w:bCs/>
                <w:color w:val="auto"/>
                <w:sz w:val="18"/>
                <w:szCs w:val="24"/>
              </w:rPr>
            </w:pPr>
            <w:r w:rsidRPr="00653D8F">
              <w:rPr>
                <w:rFonts w:ascii="IBM Plex Sans Light" w:hAnsi="IBM Plex Sans Light"/>
                <w:b/>
                <w:bCs/>
                <w:sz w:val="18"/>
                <w:szCs w:val="24"/>
              </w:rPr>
              <w:t>76.4</w:t>
            </w:r>
          </w:p>
        </w:tc>
        <w:tc>
          <w:tcPr>
            <w:tcW w:w="907" w:type="dxa"/>
            <w:tcBorders>
              <w:top w:val="single" w:sz="2" w:space="0" w:color="3D7FE0" w:themeColor="accent1"/>
              <w:bottom w:val="single" w:sz="8" w:space="0" w:color="3D7FE0" w:themeColor="accent1"/>
            </w:tcBorders>
            <w:vAlign w:val="bottom"/>
          </w:tcPr>
          <w:p w14:paraId="103C5887" w14:textId="77777777" w:rsidR="00AE1E5C" w:rsidRPr="00653D8F" w:rsidRDefault="00AE1E5C" w:rsidP="004203CD">
            <w:pPr>
              <w:pStyle w:val="Tabletext"/>
              <w:jc w:val="right"/>
              <w:rPr>
                <w:rFonts w:ascii="IBM Plex Sans Light" w:hAnsi="IBM Plex Sans Light"/>
                <w:b/>
                <w:bCs/>
                <w:color w:val="auto"/>
                <w:sz w:val="18"/>
                <w:szCs w:val="24"/>
              </w:rPr>
            </w:pPr>
            <w:r w:rsidRPr="00653D8F">
              <w:rPr>
                <w:rFonts w:ascii="IBM Plex Sans Light" w:hAnsi="IBM Plex Sans Light"/>
                <w:b/>
                <w:bCs/>
                <w:sz w:val="18"/>
                <w:szCs w:val="24"/>
              </w:rPr>
              <w:t>94.0</w:t>
            </w:r>
          </w:p>
        </w:tc>
        <w:tc>
          <w:tcPr>
            <w:tcW w:w="907" w:type="dxa"/>
            <w:tcBorders>
              <w:top w:val="single" w:sz="2" w:space="0" w:color="3D7FE0" w:themeColor="accent1"/>
              <w:bottom w:val="single" w:sz="8" w:space="0" w:color="3D7FE0" w:themeColor="accent1"/>
            </w:tcBorders>
            <w:shd w:val="clear" w:color="auto" w:fill="FFFFFF"/>
            <w:vAlign w:val="bottom"/>
          </w:tcPr>
          <w:p w14:paraId="761CE2FE" w14:textId="77777777" w:rsidR="00AE1E5C" w:rsidRPr="00653D8F" w:rsidRDefault="00AE1E5C" w:rsidP="004203CD">
            <w:pPr>
              <w:pStyle w:val="TableFiguresBold"/>
              <w:rPr>
                <w:rFonts w:ascii="IBM Plex Sans Light" w:hAnsi="IBM Plex Sans Light"/>
                <w:color w:val="auto"/>
                <w:spacing w:val="-4"/>
                <w:sz w:val="18"/>
                <w:szCs w:val="24"/>
              </w:rPr>
            </w:pPr>
            <w:r w:rsidRPr="00653D8F">
              <w:rPr>
                <w:rFonts w:ascii="IBM Plex Sans Light" w:hAnsi="IBM Plex Sans Light"/>
                <w:sz w:val="18"/>
                <w:szCs w:val="24"/>
              </w:rPr>
              <w:t>4.4</w:t>
            </w:r>
          </w:p>
        </w:tc>
        <w:tc>
          <w:tcPr>
            <w:tcW w:w="907" w:type="dxa"/>
            <w:tcBorders>
              <w:top w:val="single" w:sz="2" w:space="0" w:color="3D7FE0" w:themeColor="accent1"/>
              <w:bottom w:val="single" w:sz="8" w:space="0" w:color="3D7FE0" w:themeColor="accent1"/>
            </w:tcBorders>
            <w:shd w:val="clear" w:color="auto" w:fill="FFFFFF"/>
            <w:vAlign w:val="bottom"/>
          </w:tcPr>
          <w:p w14:paraId="4D3D3411" w14:textId="77777777" w:rsidR="00AE1E5C" w:rsidRPr="00653D8F" w:rsidRDefault="00AE1E5C" w:rsidP="004203CD">
            <w:pPr>
              <w:pStyle w:val="TableFigures"/>
              <w:rPr>
                <w:rFonts w:ascii="IBM Plex Sans Light" w:hAnsi="IBM Plex Sans Light"/>
                <w:b/>
                <w:bCs/>
                <w:color w:val="auto"/>
                <w:spacing w:val="-4"/>
                <w:sz w:val="18"/>
                <w:szCs w:val="24"/>
              </w:rPr>
            </w:pPr>
            <w:r w:rsidRPr="00653D8F">
              <w:rPr>
                <w:rFonts w:ascii="IBM Plex Sans Light" w:hAnsi="IBM Plex Sans Light"/>
                <w:b/>
                <w:bCs/>
                <w:sz w:val="18"/>
                <w:szCs w:val="24"/>
              </w:rPr>
              <w:t>98.4</w:t>
            </w:r>
          </w:p>
        </w:tc>
        <w:tc>
          <w:tcPr>
            <w:tcW w:w="907" w:type="dxa"/>
            <w:tcBorders>
              <w:top w:val="single" w:sz="2" w:space="0" w:color="3D7FE0" w:themeColor="accent1"/>
              <w:bottom w:val="single" w:sz="8" w:space="0" w:color="3D7FE0" w:themeColor="accent1"/>
            </w:tcBorders>
            <w:shd w:val="clear" w:color="auto" w:fill="FFFFFF"/>
            <w:vAlign w:val="bottom"/>
          </w:tcPr>
          <w:p w14:paraId="40034B84" w14:textId="77777777" w:rsidR="00AE1E5C" w:rsidRPr="00653D8F" w:rsidRDefault="00AE1E5C" w:rsidP="004203CD">
            <w:pPr>
              <w:pStyle w:val="TableFigures"/>
              <w:rPr>
                <w:rFonts w:ascii="IBM Plex Sans Light" w:hAnsi="IBM Plex Sans Light"/>
                <w:b/>
                <w:bCs/>
                <w:i/>
                <w:iCs/>
                <w:color w:val="auto"/>
                <w:spacing w:val="-4"/>
                <w:sz w:val="18"/>
                <w:szCs w:val="24"/>
              </w:rPr>
            </w:pPr>
            <w:r w:rsidRPr="00653D8F">
              <w:rPr>
                <w:rFonts w:ascii="IBM Plex Sans Light" w:hAnsi="IBM Plex Sans Light"/>
                <w:b/>
                <w:bCs/>
                <w:sz w:val="18"/>
                <w:szCs w:val="24"/>
              </w:rPr>
              <w:t xml:space="preserve">174.8 </w:t>
            </w:r>
          </w:p>
        </w:tc>
      </w:tr>
    </w:tbl>
    <w:p w14:paraId="067E1682" w14:textId="77777777" w:rsidR="00884A51" w:rsidRDefault="00884A51" w:rsidP="00AE1E5C">
      <w:pPr>
        <w:pStyle w:val="06SubHeading2Fronttext9105"/>
        <w:rPr>
          <w:color w:val="3D7FE0" w:themeColor="accent1"/>
        </w:rPr>
      </w:pPr>
    </w:p>
    <w:p w14:paraId="1B5311BC" w14:textId="0AD773B1" w:rsidR="00AE1E5C" w:rsidRPr="00F669DF" w:rsidRDefault="00AE1E5C" w:rsidP="00AE1E5C">
      <w:pPr>
        <w:pStyle w:val="06SubHeading2Fronttext9105"/>
        <w:rPr>
          <w:color w:val="3D7FE0" w:themeColor="accent1"/>
        </w:rPr>
      </w:pPr>
      <w:r w:rsidRPr="00F669DF">
        <w:rPr>
          <w:color w:val="3D7FE0" w:themeColor="accent1"/>
        </w:rPr>
        <w:t>Administration expenses</w:t>
      </w:r>
    </w:p>
    <w:tbl>
      <w:tblPr>
        <w:tblW w:w="9809" w:type="dxa"/>
        <w:tblLayout w:type="fixed"/>
        <w:tblCellMar>
          <w:left w:w="0" w:type="dxa"/>
          <w:right w:w="0" w:type="dxa"/>
        </w:tblCellMar>
        <w:tblLook w:val="00A0" w:firstRow="1" w:lastRow="0" w:firstColumn="1" w:lastColumn="0" w:noHBand="0" w:noVBand="0"/>
      </w:tblPr>
      <w:tblGrid>
        <w:gridCol w:w="7671"/>
        <w:gridCol w:w="1069"/>
        <w:gridCol w:w="1069"/>
      </w:tblGrid>
      <w:tr w:rsidR="00AE1E5C" w:rsidRPr="00FC2914" w14:paraId="2145FE33" w14:textId="77777777" w:rsidTr="004203CD">
        <w:tc>
          <w:tcPr>
            <w:tcW w:w="7671" w:type="dxa"/>
            <w:tcBorders>
              <w:bottom w:val="single" w:sz="2" w:space="0" w:color="3D7FE0" w:themeColor="accent1"/>
            </w:tcBorders>
            <w:vAlign w:val="bottom"/>
          </w:tcPr>
          <w:p w14:paraId="5CDC2B58" w14:textId="77777777" w:rsidR="00AE1E5C" w:rsidRPr="00FC2914" w:rsidRDefault="00AE1E5C" w:rsidP="004203CD">
            <w:pPr>
              <w:pStyle w:val="TableColHeadsLeft"/>
              <w:spacing w:before="40"/>
              <w:rPr>
                <w:rFonts w:ascii="IBM Plex Sans Light" w:hAnsi="IBM Plex Sans Light"/>
                <w:b/>
                <w:bCs/>
                <w:color w:val="4472C4"/>
                <w:szCs w:val="14"/>
              </w:rPr>
            </w:pPr>
            <w:r w:rsidRPr="00FC2914">
              <w:rPr>
                <w:rFonts w:ascii="IBM Plex Sans Light" w:hAnsi="IBM Plex Sans Light"/>
                <w:b/>
                <w:bCs/>
                <w:color w:val="4472C4"/>
                <w:szCs w:val="14"/>
              </w:rPr>
              <w:br w:type="page"/>
            </w:r>
            <w:r w:rsidRPr="000F2E24">
              <w:rPr>
                <w:rFonts w:ascii="IBM Plex Sans Light" w:hAnsi="IBM Plex Sans Light"/>
                <w:b/>
                <w:bCs/>
                <w:color w:val="4472C4"/>
                <w:sz w:val="16"/>
                <w:szCs w:val="16"/>
              </w:rPr>
              <w:t>Proportionally consolidated</w:t>
            </w:r>
          </w:p>
        </w:tc>
        <w:tc>
          <w:tcPr>
            <w:tcW w:w="1069" w:type="dxa"/>
            <w:tcBorders>
              <w:bottom w:val="single" w:sz="2" w:space="0" w:color="3D7FE0" w:themeColor="accent1"/>
            </w:tcBorders>
            <w:vAlign w:val="bottom"/>
          </w:tcPr>
          <w:p w14:paraId="0577A4D7" w14:textId="77777777" w:rsidR="00AE1E5C" w:rsidRPr="006843DC" w:rsidRDefault="00AE1E5C" w:rsidP="004203CD">
            <w:pPr>
              <w:pStyle w:val="12TBRightColHeaderTableBack"/>
              <w:rPr>
                <w:b/>
                <w:bCs/>
                <w:color w:val="3D7FE0" w:themeColor="accent1"/>
              </w:rPr>
            </w:pPr>
            <w:r w:rsidRPr="006843DC">
              <w:rPr>
                <w:rFonts w:cs="Times New Roman"/>
                <w:color w:val="3D7FE0" w:themeColor="accent1"/>
                <w:spacing w:val="0"/>
                <w:kern w:val="2"/>
                <w:sz w:val="16"/>
                <w:szCs w:val="24"/>
                <w:lang w:eastAsia="en-US"/>
              </w:rPr>
              <w:t>2023</w:t>
            </w:r>
            <w:r w:rsidRPr="006843DC">
              <w:rPr>
                <w:rFonts w:cs="Times New Roman"/>
                <w:color w:val="3D7FE0" w:themeColor="accent1"/>
                <w:spacing w:val="0"/>
                <w:kern w:val="2"/>
                <w:sz w:val="16"/>
                <w:szCs w:val="24"/>
                <w:lang w:eastAsia="en-US"/>
              </w:rPr>
              <w:br/>
              <w:t>£m</w:t>
            </w:r>
          </w:p>
        </w:tc>
        <w:tc>
          <w:tcPr>
            <w:tcW w:w="1069" w:type="dxa"/>
            <w:tcBorders>
              <w:bottom w:val="single" w:sz="2" w:space="0" w:color="3D7FE0" w:themeColor="accent1"/>
            </w:tcBorders>
            <w:shd w:val="clear" w:color="auto" w:fill="FFFFFF"/>
            <w:vAlign w:val="bottom"/>
          </w:tcPr>
          <w:p w14:paraId="59FB85B9" w14:textId="77777777" w:rsidR="00AE1E5C" w:rsidRPr="00FC2914" w:rsidRDefault="00AE1E5C" w:rsidP="004203CD">
            <w:pPr>
              <w:pStyle w:val="12TBRightColHeaderTableBack"/>
              <w:rPr>
                <w:b/>
                <w:bCs/>
                <w:color w:val="4472C4"/>
              </w:rPr>
            </w:pPr>
            <w:r w:rsidRPr="00B136F3">
              <w:rPr>
                <w:sz w:val="16"/>
                <w:szCs w:val="16"/>
              </w:rPr>
              <w:t>2022</w:t>
            </w:r>
            <w:r>
              <w:rPr>
                <w:sz w:val="16"/>
                <w:szCs w:val="16"/>
              </w:rPr>
              <w:br/>
              <w:t>£m</w:t>
            </w:r>
          </w:p>
        </w:tc>
      </w:tr>
      <w:tr w:rsidR="00AE1E5C" w:rsidRPr="004A58EF" w14:paraId="19E9EC47" w14:textId="77777777" w:rsidTr="004203CD">
        <w:tc>
          <w:tcPr>
            <w:tcW w:w="7671" w:type="dxa"/>
            <w:tcBorders>
              <w:top w:val="single" w:sz="2" w:space="0" w:color="3D7FE0" w:themeColor="accent1"/>
            </w:tcBorders>
            <w:vAlign w:val="bottom"/>
          </w:tcPr>
          <w:p w14:paraId="1535A4E6" w14:textId="77777777" w:rsidR="00AE1E5C" w:rsidRPr="006843DC" w:rsidRDefault="00AE1E5C" w:rsidP="004203CD">
            <w:pPr>
              <w:pStyle w:val="Tabletext"/>
              <w:rPr>
                <w:rFonts w:ascii="IBM Plex Sans Light" w:hAnsi="IBM Plex Sans Light"/>
                <w:sz w:val="18"/>
                <w:szCs w:val="24"/>
              </w:rPr>
            </w:pPr>
            <w:r w:rsidRPr="006843DC">
              <w:rPr>
                <w:rFonts w:ascii="IBM Plex Sans Light" w:hAnsi="IBM Plex Sans Light"/>
                <w:sz w:val="18"/>
                <w:szCs w:val="24"/>
              </w:rPr>
              <w:t>Employee costs – excluding variable costs</w:t>
            </w:r>
          </w:p>
        </w:tc>
        <w:tc>
          <w:tcPr>
            <w:tcW w:w="1069" w:type="dxa"/>
            <w:tcBorders>
              <w:top w:val="single" w:sz="2" w:space="0" w:color="3D7FE0" w:themeColor="accent1"/>
            </w:tcBorders>
            <w:vAlign w:val="bottom"/>
          </w:tcPr>
          <w:p w14:paraId="4603D223"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F90775">
              <w:rPr>
                <w:rStyle w:val="BoldBlue"/>
                <w:rFonts w:ascii="IBM Plex Sans Light" w:hAnsi="IBM Plex Sans Light" w:cs="IBM Plex Sans"/>
                <w:bCs w:val="0"/>
                <w:color w:val="3D7FE0" w:themeColor="accent1"/>
                <w:sz w:val="18"/>
                <w:szCs w:val="18"/>
              </w:rPr>
              <w:t>25.0</w:t>
            </w:r>
          </w:p>
        </w:tc>
        <w:tc>
          <w:tcPr>
            <w:tcW w:w="1069" w:type="dxa"/>
            <w:tcBorders>
              <w:top w:val="single" w:sz="2" w:space="0" w:color="3D7FE0" w:themeColor="accent1"/>
            </w:tcBorders>
            <w:shd w:val="clear" w:color="auto" w:fill="FFFFFF"/>
            <w:vAlign w:val="bottom"/>
          </w:tcPr>
          <w:p w14:paraId="1BA1669A" w14:textId="77777777" w:rsidR="00AE1E5C" w:rsidRPr="006843DC" w:rsidRDefault="00AE1E5C" w:rsidP="004203CD">
            <w:pPr>
              <w:pStyle w:val="Tabletext"/>
              <w:jc w:val="right"/>
              <w:rPr>
                <w:rFonts w:ascii="IBM Plex Sans Light" w:hAnsi="IBM Plex Sans Light"/>
                <w:sz w:val="18"/>
                <w:szCs w:val="24"/>
              </w:rPr>
            </w:pPr>
            <w:r w:rsidRPr="006843DC">
              <w:rPr>
                <w:rFonts w:ascii="IBM Plex Sans Light" w:hAnsi="IBM Plex Sans Light"/>
                <w:sz w:val="18"/>
                <w:szCs w:val="24"/>
              </w:rPr>
              <w:t>29.2</w:t>
            </w:r>
          </w:p>
        </w:tc>
      </w:tr>
      <w:tr w:rsidR="00AE1E5C" w:rsidRPr="004A58EF" w14:paraId="463A976A" w14:textId="77777777" w:rsidTr="004203CD">
        <w:tc>
          <w:tcPr>
            <w:tcW w:w="7671" w:type="dxa"/>
            <w:vAlign w:val="bottom"/>
          </w:tcPr>
          <w:p w14:paraId="3E1A1A76" w14:textId="77777777" w:rsidR="00AE1E5C" w:rsidRPr="006843DC" w:rsidRDefault="00AE1E5C" w:rsidP="004203CD">
            <w:pPr>
              <w:pStyle w:val="Tabletext"/>
              <w:rPr>
                <w:rFonts w:ascii="IBM Plex Sans Light" w:hAnsi="IBM Plex Sans Light"/>
                <w:spacing w:val="-4"/>
                <w:sz w:val="18"/>
                <w:szCs w:val="24"/>
              </w:rPr>
            </w:pPr>
            <w:r w:rsidRPr="006843DC">
              <w:rPr>
                <w:rFonts w:ascii="IBM Plex Sans Light" w:hAnsi="IBM Plex Sans Light"/>
                <w:sz w:val="18"/>
                <w:szCs w:val="24"/>
              </w:rPr>
              <w:t xml:space="preserve">Variable employee costs </w:t>
            </w:r>
          </w:p>
        </w:tc>
        <w:tc>
          <w:tcPr>
            <w:tcW w:w="1069" w:type="dxa"/>
            <w:vAlign w:val="bottom"/>
          </w:tcPr>
          <w:p w14:paraId="0A760354"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10.3</w:t>
            </w:r>
          </w:p>
        </w:tc>
        <w:tc>
          <w:tcPr>
            <w:tcW w:w="1069" w:type="dxa"/>
            <w:shd w:val="clear" w:color="auto" w:fill="FFFFFF"/>
            <w:vAlign w:val="bottom"/>
          </w:tcPr>
          <w:p w14:paraId="6C6A548D" w14:textId="77777777" w:rsidR="00AE1E5C" w:rsidRPr="006843DC" w:rsidRDefault="00AE1E5C" w:rsidP="004203CD">
            <w:pPr>
              <w:pStyle w:val="Tabletext"/>
              <w:jc w:val="right"/>
              <w:rPr>
                <w:rFonts w:ascii="IBM Plex Sans Light" w:hAnsi="IBM Plex Sans Light"/>
                <w:color w:val="auto"/>
                <w:spacing w:val="-4"/>
                <w:sz w:val="18"/>
                <w:szCs w:val="24"/>
              </w:rPr>
            </w:pPr>
            <w:r w:rsidRPr="006843DC">
              <w:rPr>
                <w:rFonts w:ascii="IBM Plex Sans Light" w:hAnsi="IBM Plex Sans Light"/>
                <w:sz w:val="18"/>
                <w:szCs w:val="24"/>
              </w:rPr>
              <w:t>9.6</w:t>
            </w:r>
          </w:p>
        </w:tc>
      </w:tr>
      <w:tr w:rsidR="00AE1E5C" w:rsidRPr="004A58EF" w14:paraId="5366E5AF" w14:textId="77777777" w:rsidTr="004203CD">
        <w:tc>
          <w:tcPr>
            <w:tcW w:w="7671" w:type="dxa"/>
            <w:tcBorders>
              <w:bottom w:val="single" w:sz="2" w:space="0" w:color="3D7FE0" w:themeColor="accent1"/>
            </w:tcBorders>
            <w:vAlign w:val="bottom"/>
          </w:tcPr>
          <w:p w14:paraId="50CF9074" w14:textId="77777777" w:rsidR="00AE1E5C" w:rsidRPr="006843DC" w:rsidRDefault="00AE1E5C" w:rsidP="004203CD">
            <w:pPr>
              <w:pStyle w:val="Tabletext"/>
              <w:rPr>
                <w:rFonts w:ascii="IBM Plex Sans Light" w:hAnsi="IBM Plex Sans Light"/>
                <w:spacing w:val="-4"/>
                <w:sz w:val="18"/>
                <w:szCs w:val="24"/>
              </w:rPr>
            </w:pPr>
            <w:r w:rsidRPr="006843DC">
              <w:rPr>
                <w:rFonts w:ascii="IBM Plex Sans Light" w:hAnsi="IBM Plex Sans Light"/>
                <w:sz w:val="18"/>
                <w:szCs w:val="24"/>
              </w:rPr>
              <w:t>Other corporate costs</w:t>
            </w:r>
          </w:p>
        </w:tc>
        <w:tc>
          <w:tcPr>
            <w:tcW w:w="1069" w:type="dxa"/>
            <w:tcBorders>
              <w:bottom w:val="single" w:sz="2" w:space="0" w:color="3D7FE0" w:themeColor="accent1"/>
            </w:tcBorders>
            <w:vAlign w:val="bottom"/>
          </w:tcPr>
          <w:p w14:paraId="45E58EE7"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16.2</w:t>
            </w:r>
          </w:p>
        </w:tc>
        <w:tc>
          <w:tcPr>
            <w:tcW w:w="1069" w:type="dxa"/>
            <w:tcBorders>
              <w:bottom w:val="single" w:sz="2" w:space="0" w:color="3D7FE0" w:themeColor="accent1"/>
            </w:tcBorders>
            <w:shd w:val="clear" w:color="auto" w:fill="FFFFFF"/>
            <w:vAlign w:val="bottom"/>
          </w:tcPr>
          <w:p w14:paraId="12A808D1" w14:textId="77777777" w:rsidR="00AE1E5C" w:rsidRPr="006843DC" w:rsidRDefault="00AE1E5C" w:rsidP="004203CD">
            <w:pPr>
              <w:pStyle w:val="Tabletext"/>
              <w:jc w:val="right"/>
              <w:rPr>
                <w:rFonts w:ascii="IBM Plex Sans Light" w:hAnsi="IBM Plex Sans Light"/>
                <w:color w:val="auto"/>
                <w:spacing w:val="-4"/>
                <w:sz w:val="18"/>
                <w:szCs w:val="24"/>
              </w:rPr>
            </w:pPr>
            <w:r w:rsidRPr="006843DC">
              <w:rPr>
                <w:rFonts w:ascii="IBM Plex Sans Light" w:hAnsi="IBM Plex Sans Light"/>
                <w:sz w:val="18"/>
                <w:szCs w:val="24"/>
              </w:rPr>
              <w:t>21.0</w:t>
            </w:r>
          </w:p>
        </w:tc>
      </w:tr>
      <w:tr w:rsidR="00AE1E5C" w:rsidRPr="004A58EF" w14:paraId="7E89E9C7" w14:textId="77777777" w:rsidTr="004203CD">
        <w:tc>
          <w:tcPr>
            <w:tcW w:w="7671" w:type="dxa"/>
            <w:tcBorders>
              <w:top w:val="single" w:sz="2" w:space="0" w:color="3D7FE0" w:themeColor="accent1"/>
            </w:tcBorders>
            <w:vAlign w:val="bottom"/>
          </w:tcPr>
          <w:p w14:paraId="2D864769" w14:textId="396C3137" w:rsidR="00AE1E5C" w:rsidRPr="006843DC" w:rsidRDefault="00A356F8" w:rsidP="004203CD">
            <w:pPr>
              <w:pStyle w:val="Tabletext"/>
              <w:rPr>
                <w:rFonts w:ascii="IBM Plex Sans Light" w:hAnsi="IBM Plex Sans Light"/>
                <w:spacing w:val="-4"/>
                <w:sz w:val="18"/>
                <w:szCs w:val="24"/>
              </w:rPr>
            </w:pPr>
            <w:r>
              <w:rPr>
                <w:rStyle w:val="Bold"/>
                <w:rFonts w:ascii="IBM Plex Sans Light" w:hAnsi="IBM Plex Sans Light" w:cs="IBM Plex Sans"/>
                <w:bCs/>
                <w:sz w:val="18"/>
                <w:szCs w:val="24"/>
              </w:rPr>
              <w:t>Adjusted g</w:t>
            </w:r>
            <w:r w:rsidR="00AE1E5C" w:rsidRPr="006843DC">
              <w:rPr>
                <w:rStyle w:val="Bold"/>
                <w:rFonts w:ascii="IBM Plex Sans Light" w:hAnsi="IBM Plex Sans Light" w:cs="IBM Plex Sans"/>
                <w:bCs/>
                <w:sz w:val="18"/>
                <w:szCs w:val="24"/>
              </w:rPr>
              <w:t xml:space="preserve">ross administration costs </w:t>
            </w:r>
          </w:p>
        </w:tc>
        <w:tc>
          <w:tcPr>
            <w:tcW w:w="1069" w:type="dxa"/>
            <w:tcBorders>
              <w:top w:val="single" w:sz="2" w:space="0" w:color="3D7FE0" w:themeColor="accent1"/>
            </w:tcBorders>
            <w:vAlign w:val="bottom"/>
          </w:tcPr>
          <w:p w14:paraId="136E6302"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51.5</w:t>
            </w:r>
          </w:p>
        </w:tc>
        <w:tc>
          <w:tcPr>
            <w:tcW w:w="1069" w:type="dxa"/>
            <w:tcBorders>
              <w:top w:val="single" w:sz="2" w:space="0" w:color="3D7FE0" w:themeColor="accent1"/>
            </w:tcBorders>
            <w:shd w:val="clear" w:color="auto" w:fill="FFFFFF"/>
            <w:vAlign w:val="bottom"/>
          </w:tcPr>
          <w:p w14:paraId="0CD911BB" w14:textId="77777777" w:rsidR="00AE1E5C" w:rsidRPr="006843DC" w:rsidRDefault="00AE1E5C" w:rsidP="004203CD">
            <w:pPr>
              <w:pStyle w:val="Tabletext"/>
              <w:jc w:val="right"/>
              <w:rPr>
                <w:rFonts w:ascii="IBM Plex Sans Light" w:hAnsi="IBM Plex Sans Light"/>
                <w:color w:val="auto"/>
                <w:spacing w:val="-4"/>
                <w:sz w:val="18"/>
                <w:szCs w:val="24"/>
              </w:rPr>
            </w:pPr>
            <w:r w:rsidRPr="006843DC">
              <w:rPr>
                <w:rFonts w:ascii="IBM Plex Sans Light" w:hAnsi="IBM Plex Sans Light"/>
                <w:sz w:val="18"/>
                <w:szCs w:val="24"/>
              </w:rPr>
              <w:t>59.8</w:t>
            </w:r>
          </w:p>
        </w:tc>
      </w:tr>
      <w:tr w:rsidR="00AE1E5C" w:rsidRPr="004A58EF" w14:paraId="5CC9EEEA" w14:textId="77777777" w:rsidTr="00325320">
        <w:tc>
          <w:tcPr>
            <w:tcW w:w="7671" w:type="dxa"/>
            <w:vAlign w:val="bottom"/>
          </w:tcPr>
          <w:p w14:paraId="0BDA7600" w14:textId="77777777" w:rsidR="00AE1E5C" w:rsidRPr="006843DC" w:rsidRDefault="00AE1E5C" w:rsidP="004203CD">
            <w:pPr>
              <w:pStyle w:val="Tabletext"/>
              <w:rPr>
                <w:rFonts w:ascii="IBM Plex Sans Light" w:hAnsi="IBM Plex Sans Light"/>
                <w:spacing w:val="-4"/>
                <w:sz w:val="18"/>
                <w:szCs w:val="24"/>
              </w:rPr>
            </w:pPr>
            <w:r w:rsidRPr="006843DC">
              <w:rPr>
                <w:rFonts w:ascii="IBM Plex Sans Light" w:hAnsi="IBM Plex Sans Light"/>
                <w:sz w:val="18"/>
                <w:szCs w:val="24"/>
              </w:rPr>
              <w:t>Property fee income</w:t>
            </w:r>
          </w:p>
        </w:tc>
        <w:tc>
          <w:tcPr>
            <w:tcW w:w="1069" w:type="dxa"/>
            <w:vAlign w:val="bottom"/>
          </w:tcPr>
          <w:p w14:paraId="56ED9778" w14:textId="77777777" w:rsidR="00AE1E5C" w:rsidRPr="008F2AF2" w:rsidRDefault="00AE1E5C" w:rsidP="0023648A">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(8.4)</w:t>
            </w:r>
          </w:p>
        </w:tc>
        <w:tc>
          <w:tcPr>
            <w:tcW w:w="1069" w:type="dxa"/>
            <w:shd w:val="clear" w:color="auto" w:fill="FFFFFF"/>
            <w:vAlign w:val="bottom"/>
          </w:tcPr>
          <w:p w14:paraId="73D8BCA5" w14:textId="77777777" w:rsidR="00AE1E5C" w:rsidRPr="00573BEB"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(11.5)</w:t>
            </w:r>
          </w:p>
        </w:tc>
      </w:tr>
      <w:tr w:rsidR="00AE1E5C" w:rsidRPr="004A58EF" w14:paraId="7563B9B7" w14:textId="77777777" w:rsidTr="00325320">
        <w:tc>
          <w:tcPr>
            <w:tcW w:w="7671" w:type="dxa"/>
            <w:tcBorders>
              <w:bottom w:val="single" w:sz="2" w:space="0" w:color="3D7FE0" w:themeColor="accent1"/>
            </w:tcBorders>
            <w:vAlign w:val="bottom"/>
          </w:tcPr>
          <w:p w14:paraId="49DF7347" w14:textId="77777777" w:rsidR="00AE1E5C" w:rsidRPr="006843DC" w:rsidRDefault="00AE1E5C" w:rsidP="004203CD">
            <w:pPr>
              <w:pStyle w:val="Tabletext"/>
              <w:rPr>
                <w:rFonts w:ascii="IBM Plex Sans Light" w:hAnsi="IBM Plex Sans Light"/>
                <w:spacing w:val="-4"/>
                <w:sz w:val="18"/>
                <w:szCs w:val="24"/>
              </w:rPr>
            </w:pPr>
            <w:r w:rsidRPr="006843DC">
              <w:rPr>
                <w:rFonts w:ascii="IBM Plex Sans Light" w:hAnsi="IBM Plex Sans Light"/>
                <w:sz w:val="18"/>
                <w:szCs w:val="24"/>
              </w:rPr>
              <w:t xml:space="preserve">Joint venture and associate management fee income </w:t>
            </w:r>
          </w:p>
        </w:tc>
        <w:tc>
          <w:tcPr>
            <w:tcW w:w="1069" w:type="dxa"/>
            <w:tcBorders>
              <w:bottom w:val="single" w:sz="2" w:space="0" w:color="3D7FE0" w:themeColor="accent1"/>
            </w:tcBorders>
            <w:vAlign w:val="bottom"/>
          </w:tcPr>
          <w:p w14:paraId="1C5656B1"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(6.5)</w:t>
            </w:r>
          </w:p>
        </w:tc>
        <w:tc>
          <w:tcPr>
            <w:tcW w:w="1069" w:type="dxa"/>
            <w:tcBorders>
              <w:bottom w:val="single" w:sz="2" w:space="0" w:color="3D7FE0" w:themeColor="accent1"/>
            </w:tcBorders>
            <w:shd w:val="clear" w:color="auto" w:fill="FFFFFF"/>
            <w:vAlign w:val="bottom"/>
          </w:tcPr>
          <w:p w14:paraId="37488D5B" w14:textId="77777777" w:rsidR="00AE1E5C" w:rsidRPr="00573BEB"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(5.5)</w:t>
            </w:r>
          </w:p>
        </w:tc>
      </w:tr>
      <w:tr w:rsidR="00AE1E5C" w:rsidRPr="004A58EF" w14:paraId="14FCAB2F" w14:textId="77777777" w:rsidTr="00325320">
        <w:tc>
          <w:tcPr>
            <w:tcW w:w="7671" w:type="dxa"/>
            <w:tcBorders>
              <w:top w:val="single" w:sz="2" w:space="0" w:color="3D7FE0" w:themeColor="accent1"/>
              <w:bottom w:val="single" w:sz="2" w:space="0" w:color="3D7FE0" w:themeColor="accent1"/>
            </w:tcBorders>
            <w:vAlign w:val="bottom"/>
          </w:tcPr>
          <w:p w14:paraId="0DD8A3A2" w14:textId="77777777" w:rsidR="00AE1E5C" w:rsidRPr="006843DC" w:rsidRDefault="00AE1E5C" w:rsidP="004203CD">
            <w:pPr>
              <w:pStyle w:val="Tabletext"/>
              <w:rPr>
                <w:rFonts w:ascii="IBM Plex Sans Light" w:hAnsi="IBM Plex Sans Light"/>
                <w:sz w:val="18"/>
                <w:szCs w:val="24"/>
              </w:rPr>
            </w:pPr>
            <w:r w:rsidRPr="006843DC">
              <w:rPr>
                <w:rFonts w:ascii="IBM Plex Sans Light" w:hAnsi="IBM Plex Sans Light"/>
                <w:sz w:val="18"/>
                <w:szCs w:val="24"/>
              </w:rPr>
              <w:t xml:space="preserve">Other income </w:t>
            </w:r>
          </w:p>
        </w:tc>
        <w:tc>
          <w:tcPr>
            <w:tcW w:w="1069" w:type="dxa"/>
            <w:tcBorders>
              <w:top w:val="single" w:sz="2" w:space="0" w:color="3D7FE0" w:themeColor="accent1"/>
              <w:bottom w:val="single" w:sz="2" w:space="0" w:color="3D7FE0" w:themeColor="accent1"/>
            </w:tcBorders>
            <w:vAlign w:val="bottom"/>
          </w:tcPr>
          <w:p w14:paraId="4B0A44F5"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(14.9)</w:t>
            </w:r>
          </w:p>
        </w:tc>
        <w:tc>
          <w:tcPr>
            <w:tcW w:w="1069" w:type="dxa"/>
            <w:tcBorders>
              <w:top w:val="single" w:sz="2" w:space="0" w:color="3D7FE0" w:themeColor="accent1"/>
              <w:bottom w:val="single" w:sz="2" w:space="0" w:color="3D7FE0" w:themeColor="accent1"/>
            </w:tcBorders>
            <w:shd w:val="clear" w:color="auto" w:fill="FFFFFF"/>
            <w:vAlign w:val="bottom"/>
          </w:tcPr>
          <w:p w14:paraId="6404534D" w14:textId="77777777" w:rsidR="00AE1E5C" w:rsidRPr="00024B10" w:rsidRDefault="00AE1E5C" w:rsidP="00024B10">
            <w:pPr>
              <w:pStyle w:val="TableFiguresBrackets"/>
              <w:rPr>
                <w:rFonts w:ascii="IBM Plex Sans Light" w:hAnsi="IBM Plex Sans Light"/>
                <w:color w:val="auto"/>
                <w:spacing w:val="-4"/>
                <w:sz w:val="18"/>
              </w:rPr>
            </w:pPr>
            <w:r w:rsidRPr="00024B10">
              <w:rPr>
                <w:rFonts w:ascii="IBM Plex Sans Light" w:hAnsi="IBM Plex Sans Light"/>
                <w:color w:val="auto"/>
                <w:spacing w:val="-4"/>
                <w:sz w:val="18"/>
              </w:rPr>
              <w:t>(17.0)</w:t>
            </w:r>
          </w:p>
        </w:tc>
      </w:tr>
      <w:tr w:rsidR="00AE1E5C" w:rsidRPr="004A58EF" w14:paraId="4FC6C1EA" w14:textId="77777777" w:rsidTr="004203CD">
        <w:tc>
          <w:tcPr>
            <w:tcW w:w="7671" w:type="dxa"/>
            <w:tcBorders>
              <w:top w:val="single" w:sz="2" w:space="0" w:color="3D7FE0" w:themeColor="accent1"/>
              <w:bottom w:val="single" w:sz="2" w:space="0" w:color="3D7FE0" w:themeColor="accent1"/>
            </w:tcBorders>
            <w:vAlign w:val="bottom"/>
          </w:tcPr>
          <w:p w14:paraId="3C3FE75E" w14:textId="77777777" w:rsidR="00AE1E5C" w:rsidRPr="006843DC" w:rsidRDefault="00AE1E5C" w:rsidP="004203CD">
            <w:pPr>
              <w:pStyle w:val="Tabletext"/>
              <w:rPr>
                <w:rFonts w:ascii="IBM Plex Sans Light" w:hAnsi="IBM Plex Sans Light"/>
                <w:b/>
                <w:bCs/>
                <w:sz w:val="18"/>
                <w:szCs w:val="24"/>
              </w:rPr>
            </w:pPr>
            <w:r w:rsidRPr="006843DC">
              <w:rPr>
                <w:rStyle w:val="Bold"/>
                <w:rFonts w:ascii="IBM Plex Sans Light" w:hAnsi="IBM Plex Sans Light" w:cs="IBM Plex Sans"/>
                <w:bCs/>
                <w:sz w:val="18"/>
                <w:szCs w:val="24"/>
              </w:rPr>
              <w:t>Adjusted net administration expenses</w:t>
            </w:r>
          </w:p>
        </w:tc>
        <w:tc>
          <w:tcPr>
            <w:tcW w:w="1069" w:type="dxa"/>
            <w:tcBorders>
              <w:top w:val="single" w:sz="2" w:space="0" w:color="3D7FE0" w:themeColor="accent1"/>
              <w:bottom w:val="single" w:sz="2" w:space="0" w:color="3D7FE0" w:themeColor="accent1"/>
            </w:tcBorders>
            <w:vAlign w:val="bottom"/>
          </w:tcPr>
          <w:p w14:paraId="7A9BCAF3"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F90775">
              <w:rPr>
                <w:rStyle w:val="BoldBlue"/>
                <w:rFonts w:ascii="IBM Plex Sans Light" w:hAnsi="IBM Plex Sans Light" w:cs="IBM Plex Sans"/>
                <w:bCs w:val="0"/>
                <w:color w:val="3D7FE0" w:themeColor="accent1"/>
                <w:sz w:val="18"/>
                <w:szCs w:val="18"/>
              </w:rPr>
              <w:t>36.6</w:t>
            </w:r>
          </w:p>
        </w:tc>
        <w:tc>
          <w:tcPr>
            <w:tcW w:w="1069" w:type="dxa"/>
            <w:tcBorders>
              <w:top w:val="single" w:sz="2" w:space="0" w:color="3D7FE0" w:themeColor="accent1"/>
              <w:bottom w:val="single" w:sz="2" w:space="0" w:color="3D7FE0" w:themeColor="accent1"/>
            </w:tcBorders>
            <w:shd w:val="clear" w:color="auto" w:fill="FFFFFF"/>
            <w:vAlign w:val="bottom"/>
          </w:tcPr>
          <w:p w14:paraId="45C5C942" w14:textId="77777777" w:rsidR="00AE1E5C" w:rsidRPr="00653D8F" w:rsidRDefault="00AE1E5C" w:rsidP="004203CD">
            <w:pPr>
              <w:pStyle w:val="Tabletext"/>
              <w:jc w:val="right"/>
              <w:rPr>
                <w:rFonts w:ascii="IBM Plex Sans Light" w:hAnsi="IBM Plex Sans Light"/>
                <w:b/>
                <w:bCs/>
                <w:sz w:val="18"/>
                <w:szCs w:val="24"/>
              </w:rPr>
            </w:pPr>
            <w:r w:rsidRPr="00653D8F">
              <w:rPr>
                <w:rFonts w:ascii="IBM Plex Sans Light" w:hAnsi="IBM Plex Sans Light"/>
                <w:b/>
                <w:bCs/>
                <w:sz w:val="18"/>
                <w:szCs w:val="24"/>
              </w:rPr>
              <w:t>42.8</w:t>
            </w:r>
          </w:p>
        </w:tc>
      </w:tr>
      <w:tr w:rsidR="00AE1E5C" w:rsidRPr="004A58EF" w14:paraId="451159E6" w14:textId="77777777" w:rsidTr="004203CD">
        <w:tc>
          <w:tcPr>
            <w:tcW w:w="7671" w:type="dxa"/>
            <w:tcBorders>
              <w:top w:val="single" w:sz="2" w:space="0" w:color="3D7FE0" w:themeColor="accent1"/>
              <w:bottom w:val="single" w:sz="2" w:space="0" w:color="3D7FE0" w:themeColor="accent1"/>
            </w:tcBorders>
            <w:vAlign w:val="bottom"/>
          </w:tcPr>
          <w:p w14:paraId="170A1F27" w14:textId="77777777" w:rsidR="00AE1E5C" w:rsidRPr="006843DC" w:rsidRDefault="00AE1E5C" w:rsidP="004203CD">
            <w:pPr>
              <w:pStyle w:val="Tabletext"/>
              <w:rPr>
                <w:rStyle w:val="Bold"/>
                <w:rFonts w:ascii="IBM Plex Sans Light" w:hAnsi="IBM Plex Sans Light" w:cs="IBM Plex Sans"/>
                <w:bCs/>
                <w:sz w:val="18"/>
                <w:szCs w:val="24"/>
              </w:rPr>
            </w:pPr>
            <w:r w:rsidRPr="006843DC">
              <w:rPr>
                <w:rFonts w:ascii="IBM Plex Sans Light" w:hAnsi="IBM Plex Sans Light"/>
                <w:sz w:val="18"/>
                <w:szCs w:val="24"/>
              </w:rPr>
              <w:t>Business transformation costs</w:t>
            </w:r>
          </w:p>
        </w:tc>
        <w:tc>
          <w:tcPr>
            <w:tcW w:w="1069" w:type="dxa"/>
            <w:tcBorders>
              <w:top w:val="single" w:sz="2" w:space="0" w:color="3D7FE0" w:themeColor="accent1"/>
              <w:bottom w:val="single" w:sz="2" w:space="0" w:color="3D7FE0" w:themeColor="accent1"/>
            </w:tcBorders>
            <w:vAlign w:val="bottom"/>
          </w:tcPr>
          <w:p w14:paraId="7A59D948" w14:textId="77777777" w:rsidR="00AE1E5C" w:rsidRPr="00F90775" w:rsidRDefault="00AE1E5C" w:rsidP="004203CD">
            <w:pPr>
              <w:pStyle w:val="Tabletext"/>
              <w:jc w:val="right"/>
              <w:rPr>
                <w:rStyle w:val="BoldBlue"/>
                <w:rFonts w:ascii="IBM Plex Sans Light" w:hAnsi="IBM Plex Sans Light" w:cs="IBM Plex Sans"/>
                <w:bCs w:val="0"/>
                <w:color w:val="3D7FE0" w:themeColor="accent1"/>
                <w:sz w:val="18"/>
                <w:szCs w:val="18"/>
              </w:rPr>
            </w:pPr>
            <w:r w:rsidRPr="00F90775">
              <w:rPr>
                <w:rStyle w:val="BoldBlue"/>
                <w:rFonts w:ascii="IBM Plex Sans Light" w:hAnsi="IBM Plex Sans Light" w:cs="IBM Plex Sans"/>
                <w:bCs w:val="0"/>
                <w:color w:val="3D7FE0" w:themeColor="accent1"/>
                <w:sz w:val="18"/>
                <w:szCs w:val="18"/>
              </w:rPr>
              <w:t>13.2</w:t>
            </w:r>
          </w:p>
        </w:tc>
        <w:tc>
          <w:tcPr>
            <w:tcW w:w="1069" w:type="dxa"/>
            <w:tcBorders>
              <w:top w:val="single" w:sz="2" w:space="0" w:color="3D7FE0" w:themeColor="accent1"/>
              <w:bottom w:val="single" w:sz="2" w:space="0" w:color="3D7FE0" w:themeColor="accent1"/>
            </w:tcBorders>
            <w:shd w:val="clear" w:color="auto" w:fill="FFFFFF"/>
            <w:vAlign w:val="bottom"/>
          </w:tcPr>
          <w:p w14:paraId="63F18F3F" w14:textId="77777777" w:rsidR="00AE1E5C" w:rsidRPr="006843DC" w:rsidRDefault="00AE1E5C" w:rsidP="004203CD">
            <w:pPr>
              <w:pStyle w:val="Tabletext"/>
              <w:jc w:val="right"/>
              <w:rPr>
                <w:rFonts w:ascii="IBM Plex Sans Light" w:hAnsi="IBM Plex Sans Light"/>
                <w:sz w:val="18"/>
                <w:szCs w:val="24"/>
              </w:rPr>
            </w:pPr>
            <w:r w:rsidRPr="006843DC">
              <w:rPr>
                <w:rFonts w:ascii="IBM Plex Sans Light" w:hAnsi="IBM Plex Sans Light"/>
                <w:sz w:val="18"/>
                <w:szCs w:val="24"/>
              </w:rPr>
              <w:t>5.1</w:t>
            </w:r>
          </w:p>
        </w:tc>
      </w:tr>
      <w:tr w:rsidR="00AE1E5C" w:rsidRPr="004A58EF" w14:paraId="33B9DC4B" w14:textId="77777777" w:rsidTr="004203CD">
        <w:tc>
          <w:tcPr>
            <w:tcW w:w="7671" w:type="dxa"/>
            <w:tcBorders>
              <w:top w:val="single" w:sz="2" w:space="0" w:color="3D7FE0" w:themeColor="accent1"/>
              <w:bottom w:val="single" w:sz="8" w:space="0" w:color="3D7FE0" w:themeColor="accent1"/>
            </w:tcBorders>
            <w:vAlign w:val="bottom"/>
          </w:tcPr>
          <w:p w14:paraId="45B2A99E" w14:textId="77777777" w:rsidR="00AE1E5C" w:rsidRPr="006843DC" w:rsidRDefault="00AE1E5C" w:rsidP="004203CD">
            <w:pPr>
              <w:pStyle w:val="Tabletext"/>
              <w:rPr>
                <w:rStyle w:val="Bold"/>
                <w:rFonts w:ascii="IBM Plex Sans Light" w:hAnsi="IBM Plex Sans Light" w:cs="IBM Plex Sans"/>
                <w:bCs/>
                <w:sz w:val="18"/>
                <w:szCs w:val="24"/>
              </w:rPr>
            </w:pPr>
            <w:r w:rsidRPr="006843DC">
              <w:rPr>
                <w:rStyle w:val="Bold"/>
                <w:rFonts w:ascii="IBM Plex Sans Light" w:hAnsi="IBM Plex Sans Light" w:cs="IBM Plex Sans"/>
                <w:bCs/>
                <w:sz w:val="18"/>
                <w:szCs w:val="24"/>
              </w:rPr>
              <w:t>Net administration expenses</w:t>
            </w:r>
          </w:p>
        </w:tc>
        <w:tc>
          <w:tcPr>
            <w:tcW w:w="1069" w:type="dxa"/>
            <w:tcBorders>
              <w:top w:val="single" w:sz="2" w:space="0" w:color="3D7FE0" w:themeColor="accent1"/>
              <w:bottom w:val="single" w:sz="8" w:space="0" w:color="3D7FE0" w:themeColor="accent1"/>
            </w:tcBorders>
            <w:vAlign w:val="bottom"/>
          </w:tcPr>
          <w:p w14:paraId="7221DCCD" w14:textId="77777777" w:rsidR="00AE1E5C" w:rsidRPr="00F90775" w:rsidRDefault="00AE1E5C" w:rsidP="004203CD">
            <w:pPr>
              <w:pStyle w:val="Tabletext"/>
              <w:jc w:val="right"/>
              <w:rPr>
                <w:rStyle w:val="BoldBlue"/>
                <w:rFonts w:ascii="IBM Plex Sans Light" w:hAnsi="IBM Plex Sans Light" w:cs="IBM Plex Sans"/>
                <w:bCs w:val="0"/>
                <w:color w:val="3D7FE0" w:themeColor="accent1"/>
                <w:sz w:val="18"/>
                <w:szCs w:val="18"/>
              </w:rPr>
            </w:pPr>
            <w:r w:rsidRPr="00F90775">
              <w:rPr>
                <w:rStyle w:val="BoldBlue"/>
                <w:rFonts w:ascii="IBM Plex Sans Light" w:hAnsi="IBM Plex Sans Light" w:cs="IBM Plex Sans"/>
                <w:bCs w:val="0"/>
                <w:color w:val="3D7FE0" w:themeColor="accent1"/>
                <w:sz w:val="18"/>
                <w:szCs w:val="18"/>
              </w:rPr>
              <w:t>49.8</w:t>
            </w:r>
          </w:p>
        </w:tc>
        <w:tc>
          <w:tcPr>
            <w:tcW w:w="1069" w:type="dxa"/>
            <w:tcBorders>
              <w:top w:val="single" w:sz="2" w:space="0" w:color="3D7FE0" w:themeColor="accent1"/>
              <w:bottom w:val="single" w:sz="8" w:space="0" w:color="3D7FE0" w:themeColor="accent1"/>
            </w:tcBorders>
            <w:shd w:val="clear" w:color="auto" w:fill="FFFFFF"/>
            <w:vAlign w:val="bottom"/>
          </w:tcPr>
          <w:p w14:paraId="18208C7A" w14:textId="77777777" w:rsidR="00AE1E5C" w:rsidRPr="00653D8F" w:rsidRDefault="00AE1E5C" w:rsidP="004203CD">
            <w:pPr>
              <w:pStyle w:val="Tabletext"/>
              <w:jc w:val="right"/>
              <w:rPr>
                <w:rFonts w:ascii="IBM Plex Sans Light" w:hAnsi="IBM Plex Sans Light"/>
                <w:b/>
                <w:bCs/>
                <w:sz w:val="18"/>
                <w:szCs w:val="24"/>
              </w:rPr>
            </w:pPr>
            <w:r w:rsidRPr="00653D8F">
              <w:rPr>
                <w:rFonts w:ascii="IBM Plex Sans Light" w:hAnsi="IBM Plex Sans Light"/>
                <w:b/>
                <w:bCs/>
                <w:sz w:val="18"/>
                <w:szCs w:val="24"/>
              </w:rPr>
              <w:t>47.9</w:t>
            </w:r>
          </w:p>
        </w:tc>
      </w:tr>
    </w:tbl>
    <w:p w14:paraId="7C44F705" w14:textId="77777777" w:rsidR="00AE1E5C" w:rsidRDefault="00AE1E5C" w:rsidP="00AE1E5C">
      <w:pPr>
        <w:pStyle w:val="06SubHeading2Fronttext9105"/>
        <w:rPr>
          <w:color w:val="auto"/>
        </w:rPr>
      </w:pPr>
    </w:p>
    <w:p w14:paraId="7CC5697B" w14:textId="77777777" w:rsidR="00AE1E5C" w:rsidRDefault="00AE1E5C" w:rsidP="00AE1E5C">
      <w:pPr>
        <w:pStyle w:val="04BodyCopyFronttext9105"/>
      </w:pPr>
      <w:r>
        <w:t>During 2023, Adjusted net administration expenses decreased by £6.2m against 2022. Gross administration costs fell by £8.3m reflecting the Group’s focus on cost reduction, partly offset by a reduction in other income of £2.1m due to disposals, principally in France. The most significant elements of the cost reduction were:</w:t>
      </w:r>
    </w:p>
    <w:p w14:paraId="3C6C9ED3" w14:textId="77777777" w:rsidR="00AE1E5C" w:rsidRDefault="00AE1E5C" w:rsidP="006B43AF">
      <w:pPr>
        <w:pStyle w:val="07BulletsLevel1Fronttext9105"/>
        <w:numPr>
          <w:ilvl w:val="0"/>
          <w:numId w:val="27"/>
        </w:numPr>
        <w:spacing w:before="60"/>
      </w:pPr>
      <w:r>
        <w:t>Employee costs, including variable costs, were £3.5m (9%) lower reflecting the organisational restructuring and simplification of the Group’s operating model in 2023. Average headcount, excluding employees recharged to tenants, reduced from 225 in 2022 to 175 in 2023.</w:t>
      </w:r>
    </w:p>
    <w:p w14:paraId="2E15EA55" w14:textId="7AA75993" w:rsidR="00AE1E5C" w:rsidRDefault="00AE1E5C" w:rsidP="006B43AF">
      <w:pPr>
        <w:pStyle w:val="07BulletsLevel1Fronttext9105"/>
        <w:numPr>
          <w:ilvl w:val="0"/>
          <w:numId w:val="27"/>
        </w:numPr>
        <w:spacing w:before="60"/>
      </w:pPr>
      <w:r>
        <w:t xml:space="preserve">Other corporate costs, comprising mainly professional fees, premises costs and software licences, fell by £4.8m (23%). The two most significant areas of savings were premises costs, with downsized relocations in both the UK and France during the year; and a decrease of £1.5m in corporate insurances, with the most significant reduction in Directors and Officers insurance premiums reflecting the strengthening of the Group’s financial position. </w:t>
      </w:r>
    </w:p>
    <w:p w14:paraId="19CB8504" w14:textId="77777777" w:rsidR="00AE1E5C" w:rsidRDefault="00AE1E5C" w:rsidP="00AE1E5C">
      <w:pPr>
        <w:pStyle w:val="04BodyCopyFronttext9105"/>
        <w:spacing w:before="60"/>
      </w:pPr>
      <w:r>
        <w:t>Business transformation costs of £13.2m in 2023 comprised mainly severance costs directly associated with the simplification of the Group’s operating model and fees for contractors and consultants from the Group’s digitalisation programme, both of these matters were key outputs of the Group’s strategic and operational review undertaken in 2021 and do not reflect underlying trading.</w:t>
      </w:r>
    </w:p>
    <w:p w14:paraId="2FBA9E88" w14:textId="77777777" w:rsidR="00AE1E5C" w:rsidRPr="00257253" w:rsidRDefault="00AE1E5C" w:rsidP="00AE1E5C">
      <w:pPr>
        <w:pStyle w:val="06SubHeading2Fronttext9105"/>
        <w:rPr>
          <w:color w:val="3D7FE0" w:themeColor="accent1"/>
        </w:rPr>
      </w:pPr>
    </w:p>
    <w:p w14:paraId="2560841A" w14:textId="77777777" w:rsidR="00AE1E5C" w:rsidRPr="00257253" w:rsidRDefault="00AE1E5C" w:rsidP="00AE1E5C">
      <w:pPr>
        <w:pStyle w:val="06SubHeading2Fronttext9105"/>
        <w:rPr>
          <w:color w:val="3D7FE0" w:themeColor="accent1"/>
        </w:rPr>
      </w:pPr>
      <w:r w:rsidRPr="00257253">
        <w:rPr>
          <w:color w:val="3D7FE0" w:themeColor="accent1"/>
        </w:rPr>
        <w:t>Disposals and assets held for sale</w:t>
      </w:r>
    </w:p>
    <w:p w14:paraId="02B891DF" w14:textId="05D73D6B" w:rsidR="00AE1E5C" w:rsidRDefault="00AE1E5C" w:rsidP="00AE1E5C">
      <w:pPr>
        <w:pStyle w:val="04BodyCopyFronttext9105"/>
        <w:spacing w:before="120"/>
        <w:ind w:right="-143"/>
      </w:pPr>
      <w:r>
        <w:t xml:space="preserve">During 2023, we realised gross proceeds of £216m, relating mainly to the disposals of the Group’s interests in Italie </w:t>
      </w:r>
      <w:r w:rsidR="00B543F1">
        <w:t>Deux</w:t>
      </w:r>
      <w:r>
        <w:t xml:space="preserve"> (including the Italik extension) and our standalone development interests in Croydon. In total, disposals in the year resulted in a loss on disposal of £18m, and these disposals were at an average 5% discount (based on gross proceeds) to 31 December 2022 book value.</w:t>
      </w:r>
    </w:p>
    <w:p w14:paraId="50599BF1" w14:textId="5E6B035A" w:rsidR="00A356F8" w:rsidRDefault="00A356F8" w:rsidP="00AE1E5C">
      <w:pPr>
        <w:pStyle w:val="04BodyCopyFronttext9105"/>
        <w:spacing w:before="120"/>
        <w:ind w:right="-143"/>
      </w:pPr>
      <w:r>
        <w:t>Since the year end, we exchanged contracts for the sale of Union Square, Aberdeen for gross proceeds of £111m, representing an 8% discount to book value at 31 December 2023. This disposal concludes the Group’s £500m non-core disposal program commenced in 2022.</w:t>
      </w:r>
    </w:p>
    <w:p w14:paraId="7DC0C2DE" w14:textId="77777777" w:rsidR="00AE1E5C" w:rsidRPr="00257253" w:rsidRDefault="00AE1E5C" w:rsidP="00AE1E5C">
      <w:pPr>
        <w:pStyle w:val="06SubHeading2Fronttext9105"/>
        <w:rPr>
          <w:color w:val="3D7FE0" w:themeColor="accent1"/>
        </w:rPr>
      </w:pPr>
    </w:p>
    <w:p w14:paraId="6700BAF4" w14:textId="77777777" w:rsidR="00AE1E5C" w:rsidRPr="00257253" w:rsidRDefault="00AE1E5C" w:rsidP="00AE1E5C">
      <w:pPr>
        <w:pStyle w:val="06SubHeading2Fronttext9105"/>
        <w:rPr>
          <w:color w:val="3D7FE0" w:themeColor="accent1"/>
        </w:rPr>
      </w:pPr>
      <w:r w:rsidRPr="00257253">
        <w:rPr>
          <w:color w:val="3D7FE0" w:themeColor="accent1"/>
        </w:rPr>
        <w:t xml:space="preserve">Share of results of joint ventures </w:t>
      </w:r>
    </w:p>
    <w:p w14:paraId="22112099" w14:textId="77777777" w:rsidR="00AE1E5C" w:rsidRDefault="00AE1E5C" w:rsidP="00AE1E5C">
      <w:pPr>
        <w:pStyle w:val="04BodyCopyFronttext9105"/>
        <w:spacing w:before="120"/>
      </w:pPr>
      <w:r>
        <w:t>A listing of our interests in joint ventures is included in note 12 to the financial statements. On an IFRS basis, the Group’s share of results in 2023 was £9.4m (2022: £41.5m loss). The £50.9m improvement was principally due to lower revaluation losses in 2023 of £73.9m compared with losses of £132.1m 2022.</w:t>
      </w:r>
    </w:p>
    <w:p w14:paraId="061C4E06" w14:textId="77777777" w:rsidR="00AE1E5C" w:rsidRDefault="00AE1E5C" w:rsidP="00AE1E5C">
      <w:pPr>
        <w:pStyle w:val="04BodyCopyFronttext9105"/>
        <w:spacing w:before="120"/>
      </w:pPr>
      <w:r>
        <w:lastRenderedPageBreak/>
        <w:t>On an Adjusted basis, our share of results from joint ventures was £85.0m (2022: £88.1m). The £3.1m year-on-year reduction was principally due to the disposals of the Group’s investments in Croydon in 2023 and Silverburn in 2022, and the derecognition of O’Parinor in June 2023.</w:t>
      </w:r>
    </w:p>
    <w:p w14:paraId="06E9F7C0" w14:textId="012448FA" w:rsidR="00AE1E5C" w:rsidRDefault="00AE1E5C" w:rsidP="00AE1E5C">
      <w:pPr>
        <w:pStyle w:val="04BodyCopyFronttext9105"/>
        <w:spacing w:before="120"/>
      </w:pPr>
      <w:r>
        <w:t>Given that five out of six of our UK flagship destinations and Dundrum, the largest asset of our Ireland flagships, are held in joint ventures the financial and operating performance of these assets is consistent with the proportionally consolidated performance explained in this Review and shown in the Additional Information. The two French flagship destinations are wholly</w:t>
      </w:r>
      <w:r w:rsidR="008B3C5C">
        <w:t xml:space="preserve"> </w:t>
      </w:r>
      <w:r>
        <w:t>owned.</w:t>
      </w:r>
    </w:p>
    <w:p w14:paraId="58D243BC" w14:textId="77777777" w:rsidR="00AE1E5C" w:rsidRPr="00257253" w:rsidRDefault="00AE1E5C" w:rsidP="00AE1E5C">
      <w:pPr>
        <w:pStyle w:val="04BodyCopyFronttext9105"/>
        <w:rPr>
          <w:color w:val="3D7FE0" w:themeColor="accent1"/>
        </w:rPr>
      </w:pPr>
    </w:p>
    <w:p w14:paraId="157D6BFA" w14:textId="39C87A1C" w:rsidR="00AE1E5C" w:rsidRPr="00257253" w:rsidRDefault="00AE1E5C" w:rsidP="00AE1E5C">
      <w:pPr>
        <w:pStyle w:val="06SubHeading2Fronttext9105"/>
        <w:rPr>
          <w:color w:val="3D7FE0" w:themeColor="accent1"/>
        </w:rPr>
      </w:pPr>
      <w:r w:rsidRPr="00257253">
        <w:rPr>
          <w:color w:val="3D7FE0" w:themeColor="accent1"/>
        </w:rPr>
        <w:t>Share of results of associates</w:t>
      </w:r>
    </w:p>
    <w:p w14:paraId="07A3FFC9" w14:textId="77777777" w:rsidR="00AE1E5C" w:rsidRDefault="00AE1E5C" w:rsidP="00AE1E5C">
      <w:pPr>
        <w:pStyle w:val="04BodyCopyFronttext9105"/>
        <w:spacing w:before="100"/>
      </w:pPr>
      <w:r>
        <w:t>Following the sale of the Group’s investment in Italie Deux in March 2023, at 31 December 2023 the Group’s sole associate investment was Value Retail. On an IFRS basis, the Group’s share of results in 2023 was £16.0m compared with a loss of £7.1m in 2022. The year-on-year increase of £23.1m was principally due to lower revaluation losses in 2023 of £7.7m compared with losses of £66.9m in 2022, partly offset by losses on the fair value of derivatives of £11.1m in 2023 compared to gains of £18.1m in 2022 and a year-on-year increase in profit from operating activities of £6.6m.</w:t>
      </w:r>
    </w:p>
    <w:p w14:paraId="6112C7FA" w14:textId="681059F0" w:rsidR="008B3C5C" w:rsidRDefault="00AE1E5C" w:rsidP="008B3C5C">
      <w:pPr>
        <w:pStyle w:val="04BodyCopyFronttext9105"/>
        <w:spacing w:before="80"/>
        <w:ind w:right="-143"/>
      </w:pPr>
      <w:r>
        <w:t xml:space="preserve">On an Adjusted basis, our share of results from associates was £33.3m (Value Retail: £32.1m, Italie Deux: £1.2m) compared with £31.8m (Value Retail: £27.4m, Italie Deux: £4.4m) in 2022. The £4.7m year-on-year increase in </w:t>
      </w:r>
      <w:r w:rsidR="008B3C5C">
        <w:t>A</w:t>
      </w:r>
      <w:r>
        <w:t>djusted earnings from Value Retail was due to £14.4m higher gross rental income reflecting stronger sales and the benefits from indexed rents. This growth was partly offset by</w:t>
      </w:r>
      <w:r w:rsidR="00B2340B">
        <w:t xml:space="preserve"> increased administration</w:t>
      </w:r>
      <w:r>
        <w:t xml:space="preserve"> costs of £</w:t>
      </w:r>
      <w:r w:rsidR="00B2340B">
        <w:t>3.4</w:t>
      </w:r>
      <w:r>
        <w:t>m and finance costs of £</w:t>
      </w:r>
      <w:r w:rsidR="00B2340B">
        <w:t>7.5</w:t>
      </w:r>
      <w:r>
        <w:t xml:space="preserve">m, this latter change relating to the refinancing of the loans secured against La </w:t>
      </w:r>
      <w:proofErr w:type="spellStart"/>
      <w:r>
        <w:t>Vallée</w:t>
      </w:r>
      <w:proofErr w:type="spellEnd"/>
      <w:r>
        <w:t xml:space="preserve"> and Bicester in 2022. The reduction in Italie Deux reflects its disposal in March 2023. </w:t>
      </w:r>
    </w:p>
    <w:p w14:paraId="27426D6F" w14:textId="6A2982DB" w:rsidR="00AE1E5C" w:rsidRDefault="00AE1E5C" w:rsidP="008B3C5C">
      <w:pPr>
        <w:pStyle w:val="04BodyCopyFronttext9105"/>
        <w:spacing w:before="80"/>
        <w:ind w:right="-143"/>
      </w:pPr>
      <w:r>
        <w:t xml:space="preserve">Value Retail’s </w:t>
      </w:r>
      <w:r w:rsidR="008B3C5C">
        <w:t>A</w:t>
      </w:r>
      <w:r>
        <w:t>djusted earnings reflected an effective yield of 2.7% as a percentage of the Group’s investment at the start of the year (2022: 2.</w:t>
      </w:r>
      <w:r w:rsidR="008B3C5C">
        <w:t>4</w:t>
      </w:r>
      <w:r>
        <w:t>%).</w:t>
      </w:r>
    </w:p>
    <w:p w14:paraId="5D34E595" w14:textId="77777777" w:rsidR="009B6985" w:rsidRDefault="009B6985" w:rsidP="00AE1E5C">
      <w:pPr>
        <w:pStyle w:val="06SubHeading2Fronttext9105"/>
        <w:rPr>
          <w:color w:val="3D7FE0" w:themeColor="accent1"/>
        </w:rPr>
      </w:pPr>
    </w:p>
    <w:p w14:paraId="3A6D0055" w14:textId="6A4B136B" w:rsidR="00AE1E5C" w:rsidRPr="007070B5" w:rsidRDefault="00AE1E5C" w:rsidP="00AE1E5C">
      <w:pPr>
        <w:pStyle w:val="06SubHeading2Fronttext9105"/>
        <w:rPr>
          <w:color w:val="3D7FE0" w:themeColor="accent1"/>
        </w:rPr>
      </w:pPr>
      <w:r w:rsidRPr="007070B5">
        <w:rPr>
          <w:color w:val="3D7FE0" w:themeColor="accent1"/>
        </w:rPr>
        <w:t>Net finance costs</w:t>
      </w:r>
    </w:p>
    <w:p w14:paraId="02B2A1E3" w14:textId="77777777" w:rsidR="00AE1E5C" w:rsidRDefault="00AE1E5C" w:rsidP="00AE1E5C">
      <w:pPr>
        <w:pStyle w:val="04BodyCopyFronttext9105"/>
      </w:pPr>
    </w:p>
    <w:tbl>
      <w:tblPr>
        <w:tblW w:w="9979" w:type="dxa"/>
        <w:tblLayout w:type="fixed"/>
        <w:tblCellMar>
          <w:left w:w="0" w:type="dxa"/>
          <w:right w:w="0" w:type="dxa"/>
        </w:tblCellMar>
        <w:tblLook w:val="00A0" w:firstRow="1" w:lastRow="0" w:firstColumn="1" w:lastColumn="0" w:noHBand="0" w:noVBand="0"/>
      </w:tblPr>
      <w:tblGrid>
        <w:gridCol w:w="4195"/>
        <w:gridCol w:w="964"/>
        <w:gridCol w:w="964"/>
        <w:gridCol w:w="964"/>
        <w:gridCol w:w="964"/>
        <w:gridCol w:w="964"/>
        <w:gridCol w:w="964"/>
      </w:tblGrid>
      <w:tr w:rsidR="00AE1E5C" w:rsidRPr="00FC2914" w14:paraId="7FEC0671" w14:textId="77777777" w:rsidTr="004203CD">
        <w:tc>
          <w:tcPr>
            <w:tcW w:w="4195" w:type="dxa"/>
            <w:tcBorders>
              <w:bottom w:val="single" w:sz="2" w:space="0" w:color="3D7FE0" w:themeColor="accent1"/>
            </w:tcBorders>
            <w:vAlign w:val="bottom"/>
          </w:tcPr>
          <w:p w14:paraId="19F92F40" w14:textId="77777777" w:rsidR="00AE1E5C" w:rsidRPr="00FC2914" w:rsidRDefault="00AE1E5C" w:rsidP="004203CD">
            <w:pPr>
              <w:pStyle w:val="TableColHeadsLeft"/>
              <w:spacing w:before="40"/>
              <w:rPr>
                <w:rFonts w:ascii="IBM Plex Sans Light" w:hAnsi="IBM Plex Sans Light"/>
                <w:b/>
                <w:bCs/>
                <w:color w:val="4472C4"/>
                <w:szCs w:val="14"/>
              </w:rPr>
            </w:pPr>
            <w:r w:rsidRPr="00FC2914">
              <w:rPr>
                <w:rFonts w:ascii="IBM Plex Sans Light" w:hAnsi="IBM Plex Sans Light"/>
                <w:b/>
                <w:bCs/>
                <w:color w:val="4472C4"/>
                <w:szCs w:val="14"/>
              </w:rPr>
              <w:br w:type="page"/>
            </w:r>
            <w:r w:rsidRPr="000F2E24">
              <w:rPr>
                <w:rFonts w:ascii="IBM Plex Sans Light" w:hAnsi="IBM Plex Sans Light"/>
                <w:b/>
                <w:bCs/>
                <w:color w:val="4472C4"/>
                <w:sz w:val="16"/>
                <w:szCs w:val="16"/>
              </w:rPr>
              <w:t>Proportionally consolidated</w:t>
            </w:r>
          </w:p>
        </w:tc>
        <w:tc>
          <w:tcPr>
            <w:tcW w:w="964" w:type="dxa"/>
            <w:tcBorders>
              <w:bottom w:val="single" w:sz="2" w:space="0" w:color="3D7FE0" w:themeColor="accent1"/>
            </w:tcBorders>
          </w:tcPr>
          <w:p w14:paraId="07965D0F" w14:textId="77777777" w:rsidR="00AE1E5C" w:rsidRPr="007070B5" w:rsidRDefault="00AE1E5C" w:rsidP="004203CD">
            <w:pPr>
              <w:pStyle w:val="12TBRightColHeaderTableBack"/>
              <w:rPr>
                <w:rFonts w:cs="Times New Roman"/>
                <w:color w:val="4472C4"/>
                <w:spacing w:val="0"/>
                <w:kern w:val="2"/>
                <w:sz w:val="16"/>
                <w:szCs w:val="24"/>
                <w:lang w:eastAsia="en-US"/>
              </w:rPr>
            </w:pPr>
          </w:p>
        </w:tc>
        <w:tc>
          <w:tcPr>
            <w:tcW w:w="964" w:type="dxa"/>
            <w:tcBorders>
              <w:bottom w:val="single" w:sz="2" w:space="0" w:color="3D7FE0" w:themeColor="accent1"/>
            </w:tcBorders>
          </w:tcPr>
          <w:p w14:paraId="2E7CB269" w14:textId="77777777" w:rsidR="00AE1E5C" w:rsidRPr="007070B5" w:rsidRDefault="00AE1E5C" w:rsidP="004203CD">
            <w:pPr>
              <w:pStyle w:val="12TBRightColHeaderTableBack"/>
              <w:rPr>
                <w:rFonts w:cs="Times New Roman"/>
                <w:color w:val="4472C4"/>
                <w:spacing w:val="0"/>
                <w:kern w:val="2"/>
                <w:sz w:val="16"/>
                <w:szCs w:val="24"/>
                <w:lang w:eastAsia="en-US"/>
              </w:rPr>
            </w:pPr>
          </w:p>
        </w:tc>
        <w:tc>
          <w:tcPr>
            <w:tcW w:w="964" w:type="dxa"/>
            <w:tcBorders>
              <w:bottom w:val="single" w:sz="2" w:space="0" w:color="3D7FE0" w:themeColor="accent1"/>
            </w:tcBorders>
            <w:shd w:val="clear" w:color="auto" w:fill="FFFFFF"/>
            <w:vAlign w:val="bottom"/>
          </w:tcPr>
          <w:p w14:paraId="00D53533" w14:textId="77777777" w:rsidR="00AE1E5C" w:rsidRPr="00FC2914" w:rsidRDefault="00AE1E5C" w:rsidP="004203CD">
            <w:pPr>
              <w:pStyle w:val="12TBRightColHeaderTableBack"/>
              <w:rPr>
                <w:b/>
                <w:bCs/>
                <w:color w:val="4472C4"/>
              </w:rPr>
            </w:pPr>
            <w:r w:rsidRPr="007070B5">
              <w:rPr>
                <w:rFonts w:cs="Times New Roman"/>
                <w:color w:val="4472C4"/>
                <w:spacing w:val="0"/>
                <w:kern w:val="2"/>
                <w:sz w:val="16"/>
                <w:szCs w:val="24"/>
                <w:lang w:eastAsia="en-US"/>
              </w:rPr>
              <w:t>2023</w:t>
            </w:r>
          </w:p>
        </w:tc>
        <w:tc>
          <w:tcPr>
            <w:tcW w:w="964" w:type="dxa"/>
            <w:tcBorders>
              <w:bottom w:val="single" w:sz="2" w:space="0" w:color="3D7FE0" w:themeColor="accent1"/>
            </w:tcBorders>
            <w:shd w:val="clear" w:color="auto" w:fill="FFFFFF"/>
          </w:tcPr>
          <w:p w14:paraId="0E668AD8" w14:textId="77777777" w:rsidR="00AE1E5C" w:rsidRPr="00FC2914" w:rsidRDefault="00AE1E5C" w:rsidP="004203CD">
            <w:pPr>
              <w:pStyle w:val="12TBRightColHeaderTableBack"/>
              <w:rPr>
                <w:b/>
                <w:bCs/>
                <w:color w:val="4472C4"/>
              </w:rPr>
            </w:pPr>
          </w:p>
        </w:tc>
        <w:tc>
          <w:tcPr>
            <w:tcW w:w="964" w:type="dxa"/>
            <w:tcBorders>
              <w:bottom w:val="single" w:sz="2" w:space="0" w:color="3D7FE0" w:themeColor="accent1"/>
            </w:tcBorders>
            <w:shd w:val="clear" w:color="auto" w:fill="FFFFFF"/>
            <w:vAlign w:val="bottom"/>
          </w:tcPr>
          <w:p w14:paraId="0EE9457B" w14:textId="77777777" w:rsidR="00AE1E5C" w:rsidRPr="00FC2914" w:rsidRDefault="00AE1E5C" w:rsidP="004203CD">
            <w:pPr>
              <w:pStyle w:val="12TBRightColHeaderTableBack"/>
              <w:rPr>
                <w:b/>
                <w:bCs/>
                <w:color w:val="4472C4"/>
              </w:rPr>
            </w:pPr>
          </w:p>
        </w:tc>
        <w:tc>
          <w:tcPr>
            <w:tcW w:w="964" w:type="dxa"/>
            <w:tcBorders>
              <w:bottom w:val="single" w:sz="2" w:space="0" w:color="3D7FE0" w:themeColor="accent1"/>
            </w:tcBorders>
            <w:shd w:val="clear" w:color="auto" w:fill="FFFFFF" w:themeFill="background1"/>
            <w:vAlign w:val="bottom"/>
          </w:tcPr>
          <w:p w14:paraId="261B49D4" w14:textId="77777777" w:rsidR="00AE1E5C" w:rsidRPr="00FC2914" w:rsidRDefault="00AE1E5C" w:rsidP="004203CD">
            <w:pPr>
              <w:pStyle w:val="12TBRightColHeaderTableBack"/>
              <w:rPr>
                <w:color w:val="4472C4"/>
              </w:rPr>
            </w:pPr>
            <w:r w:rsidRPr="00B136F3">
              <w:rPr>
                <w:sz w:val="16"/>
                <w:szCs w:val="16"/>
              </w:rPr>
              <w:t>2022</w:t>
            </w:r>
          </w:p>
        </w:tc>
      </w:tr>
      <w:tr w:rsidR="00AE1E5C" w:rsidRPr="00FC2914" w14:paraId="7F100587" w14:textId="77777777" w:rsidTr="004203CD">
        <w:tc>
          <w:tcPr>
            <w:tcW w:w="4195" w:type="dxa"/>
            <w:tcBorders>
              <w:top w:val="single" w:sz="2" w:space="0" w:color="3D7FE0" w:themeColor="accent1"/>
              <w:bottom w:val="single" w:sz="2" w:space="0" w:color="3D7FE0" w:themeColor="accent1"/>
            </w:tcBorders>
            <w:vAlign w:val="bottom"/>
          </w:tcPr>
          <w:p w14:paraId="1CC01CFE" w14:textId="77777777" w:rsidR="00AE1E5C" w:rsidRPr="00CF1AE8" w:rsidRDefault="00AE1E5C" w:rsidP="004203CD">
            <w:pPr>
              <w:pStyle w:val="Tabletext"/>
              <w:rPr>
                <w:rFonts w:ascii="IBM Plex Sans Light" w:hAnsi="IBM Plex Sans Light"/>
                <w:b/>
                <w:bCs/>
                <w:spacing w:val="-4"/>
                <w:sz w:val="18"/>
                <w:szCs w:val="24"/>
              </w:rPr>
            </w:pPr>
          </w:p>
        </w:tc>
        <w:tc>
          <w:tcPr>
            <w:tcW w:w="964" w:type="dxa"/>
            <w:tcBorders>
              <w:top w:val="single" w:sz="2" w:space="0" w:color="3D7FE0" w:themeColor="accent1"/>
              <w:bottom w:val="single" w:sz="2" w:space="0" w:color="3D7FE0" w:themeColor="accent1"/>
            </w:tcBorders>
            <w:vAlign w:val="bottom"/>
          </w:tcPr>
          <w:p w14:paraId="112508C7" w14:textId="77777777" w:rsidR="00AE1E5C" w:rsidRPr="008E5BF0" w:rsidRDefault="00AE1E5C" w:rsidP="004203CD">
            <w:pPr>
              <w:pStyle w:val="12TBRightColHeaderTableBack"/>
              <w:rPr>
                <w:rFonts w:ascii="IBM Plex Sans Medium" w:hAnsi="IBM Plex Sans Medium"/>
                <w:b/>
                <w:bCs/>
                <w:color w:val="3D7FE0" w:themeColor="accent1"/>
                <w:spacing w:val="-4"/>
                <w:sz w:val="18"/>
              </w:rPr>
            </w:pPr>
            <w:r w:rsidRPr="008E5BF0">
              <w:rPr>
                <w:rStyle w:val="BoldBlue"/>
                <w:rFonts w:cs="IBM Plex Sans"/>
                <w:b w:val="0"/>
                <w:color w:val="3D7FE0" w:themeColor="accent1"/>
                <w:sz w:val="16"/>
                <w:szCs w:val="16"/>
              </w:rPr>
              <w:t>Reported Group</w:t>
            </w:r>
            <w:r w:rsidRPr="008E5BF0">
              <w:rPr>
                <w:rStyle w:val="BoldBlue"/>
                <w:rFonts w:cs="IBM Plex Sans"/>
                <w:b w:val="0"/>
                <w:color w:val="3D7FE0" w:themeColor="accent1"/>
                <w:sz w:val="16"/>
                <w:szCs w:val="16"/>
              </w:rPr>
              <w:br/>
              <w:t>£m</w:t>
            </w:r>
          </w:p>
        </w:tc>
        <w:tc>
          <w:tcPr>
            <w:tcW w:w="964" w:type="dxa"/>
            <w:tcBorders>
              <w:top w:val="single" w:sz="2" w:space="0" w:color="3D7FE0" w:themeColor="accent1"/>
              <w:bottom w:val="single" w:sz="2" w:space="0" w:color="3D7FE0" w:themeColor="accent1"/>
            </w:tcBorders>
            <w:vAlign w:val="bottom"/>
          </w:tcPr>
          <w:p w14:paraId="54CE7F3A" w14:textId="77777777" w:rsidR="00AE1E5C" w:rsidRPr="008E5BF0" w:rsidRDefault="00AE1E5C" w:rsidP="004203CD">
            <w:pPr>
              <w:pStyle w:val="12TBRightColHeaderTableBack"/>
              <w:rPr>
                <w:rFonts w:ascii="IBM Plex Sans Medium" w:hAnsi="IBM Plex Sans Medium"/>
                <w:b/>
                <w:bCs/>
                <w:color w:val="3D7FE0" w:themeColor="accent1"/>
                <w:spacing w:val="-4"/>
                <w:sz w:val="18"/>
              </w:rPr>
            </w:pPr>
            <w:r w:rsidRPr="008E5BF0">
              <w:rPr>
                <w:rStyle w:val="BoldBlue"/>
                <w:rFonts w:cs="IBM Plex Sans"/>
                <w:b w:val="0"/>
                <w:color w:val="3D7FE0" w:themeColor="accent1"/>
                <w:sz w:val="16"/>
                <w:szCs w:val="16"/>
              </w:rPr>
              <w:t>Share of Property interests</w:t>
            </w:r>
            <w:r w:rsidRPr="008E5BF0">
              <w:rPr>
                <w:rStyle w:val="BoldBlue"/>
                <w:rFonts w:cs="IBM Plex Sans"/>
                <w:b w:val="0"/>
                <w:color w:val="3D7FE0" w:themeColor="accent1"/>
                <w:sz w:val="16"/>
                <w:szCs w:val="16"/>
              </w:rPr>
              <w:br/>
              <w:t>£m</w:t>
            </w:r>
          </w:p>
        </w:tc>
        <w:tc>
          <w:tcPr>
            <w:tcW w:w="964" w:type="dxa"/>
            <w:tcBorders>
              <w:top w:val="single" w:sz="2" w:space="0" w:color="3D7FE0" w:themeColor="accent1"/>
              <w:bottom w:val="single" w:sz="2" w:space="0" w:color="3D7FE0" w:themeColor="accent1"/>
            </w:tcBorders>
            <w:shd w:val="clear" w:color="auto" w:fill="FFFFFF"/>
            <w:vAlign w:val="bottom"/>
          </w:tcPr>
          <w:p w14:paraId="10F3B21C" w14:textId="77777777" w:rsidR="00AE1E5C" w:rsidRPr="008E5BF0" w:rsidRDefault="00AE1E5C" w:rsidP="004203CD">
            <w:pPr>
              <w:pStyle w:val="12TBRightColHeaderTableBack"/>
              <w:rPr>
                <w:rFonts w:ascii="IBM Plex Sans Medium" w:hAnsi="IBM Plex Sans Medium"/>
                <w:b/>
                <w:bCs/>
                <w:color w:val="3D7FE0" w:themeColor="accent1"/>
                <w:spacing w:val="-4"/>
                <w:sz w:val="18"/>
              </w:rPr>
            </w:pPr>
            <w:r w:rsidRPr="008E5BF0">
              <w:rPr>
                <w:rStyle w:val="BoldBlue"/>
                <w:rFonts w:cs="IBM Plex Sans"/>
                <w:b w:val="0"/>
                <w:color w:val="3D7FE0" w:themeColor="accent1"/>
                <w:sz w:val="16"/>
                <w:szCs w:val="16"/>
              </w:rPr>
              <w:t>Total</w:t>
            </w:r>
            <w:r w:rsidRPr="008E5BF0">
              <w:rPr>
                <w:rStyle w:val="BoldBlue"/>
                <w:rFonts w:cs="IBM Plex Sans"/>
                <w:b w:val="0"/>
                <w:color w:val="3D7FE0" w:themeColor="accent1"/>
                <w:sz w:val="16"/>
                <w:szCs w:val="16"/>
              </w:rPr>
              <w:br/>
              <w:t>£m</w:t>
            </w:r>
          </w:p>
        </w:tc>
        <w:tc>
          <w:tcPr>
            <w:tcW w:w="964" w:type="dxa"/>
            <w:tcBorders>
              <w:top w:val="single" w:sz="2" w:space="0" w:color="3D7FE0" w:themeColor="accent1"/>
              <w:bottom w:val="single" w:sz="2" w:space="0" w:color="3D7FE0" w:themeColor="accent1"/>
            </w:tcBorders>
            <w:shd w:val="clear" w:color="auto" w:fill="FFFFFF"/>
            <w:vAlign w:val="bottom"/>
          </w:tcPr>
          <w:p w14:paraId="70048E12" w14:textId="77777777" w:rsidR="00AE1E5C" w:rsidRPr="008E5BF0" w:rsidRDefault="00AE1E5C" w:rsidP="004203CD">
            <w:pPr>
              <w:pStyle w:val="12TBRightColHeaderTableBack"/>
              <w:rPr>
                <w:b/>
                <w:bCs/>
                <w:sz w:val="18"/>
                <w:szCs w:val="18"/>
              </w:rPr>
            </w:pPr>
            <w:r w:rsidRPr="008E5BF0">
              <w:rPr>
                <w:rStyle w:val="BoldBlue"/>
                <w:rFonts w:cs="IBM Plex Sans"/>
                <w:b w:val="0"/>
                <w:color w:val="auto"/>
                <w:sz w:val="16"/>
                <w:szCs w:val="16"/>
              </w:rPr>
              <w:t>Reported Group</w:t>
            </w:r>
            <w:r w:rsidRPr="008E5BF0">
              <w:rPr>
                <w:rStyle w:val="BoldBlue"/>
                <w:rFonts w:cs="IBM Plex Sans"/>
                <w:b w:val="0"/>
                <w:color w:val="auto"/>
                <w:sz w:val="16"/>
                <w:szCs w:val="16"/>
              </w:rPr>
              <w:br/>
              <w:t>£m</w:t>
            </w:r>
          </w:p>
        </w:tc>
        <w:tc>
          <w:tcPr>
            <w:tcW w:w="964" w:type="dxa"/>
            <w:tcBorders>
              <w:top w:val="single" w:sz="2" w:space="0" w:color="3D7FE0" w:themeColor="accent1"/>
              <w:bottom w:val="single" w:sz="2" w:space="0" w:color="3D7FE0" w:themeColor="accent1"/>
            </w:tcBorders>
            <w:shd w:val="clear" w:color="auto" w:fill="FFFFFF"/>
            <w:vAlign w:val="bottom"/>
          </w:tcPr>
          <w:p w14:paraId="79CB47B0" w14:textId="77777777" w:rsidR="00AE1E5C" w:rsidRPr="008E5BF0" w:rsidRDefault="00AE1E5C" w:rsidP="004203CD">
            <w:pPr>
              <w:pStyle w:val="12TBRightColHeaderTableBack"/>
              <w:rPr>
                <w:b/>
                <w:bCs/>
                <w:sz w:val="18"/>
                <w:szCs w:val="18"/>
              </w:rPr>
            </w:pPr>
            <w:r w:rsidRPr="008E5BF0">
              <w:rPr>
                <w:rStyle w:val="BoldBlue"/>
                <w:rFonts w:cs="IBM Plex Sans"/>
                <w:b w:val="0"/>
                <w:color w:val="auto"/>
                <w:sz w:val="16"/>
                <w:szCs w:val="16"/>
              </w:rPr>
              <w:t>Share of Property interests</w:t>
            </w:r>
            <w:r w:rsidRPr="008E5BF0">
              <w:rPr>
                <w:rStyle w:val="BoldBlue"/>
                <w:rFonts w:cs="IBM Plex Sans"/>
                <w:b w:val="0"/>
                <w:color w:val="auto"/>
                <w:sz w:val="16"/>
                <w:szCs w:val="16"/>
              </w:rPr>
              <w:br/>
              <w:t>£m</w:t>
            </w: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068A3496" w14:textId="77777777" w:rsidR="00AE1E5C" w:rsidRPr="008E5BF0" w:rsidRDefault="00AE1E5C" w:rsidP="004203CD">
            <w:pPr>
              <w:pStyle w:val="12TBRightColHeaderTableBack"/>
              <w:rPr>
                <w:rFonts w:ascii="IBM Plex Sans Medium" w:hAnsi="IBM Plex Sans Medium"/>
                <w:b/>
                <w:bCs/>
                <w:color w:val="4472C4"/>
                <w:spacing w:val="-4"/>
                <w:sz w:val="18"/>
              </w:rPr>
            </w:pPr>
            <w:r w:rsidRPr="008E5BF0">
              <w:rPr>
                <w:rStyle w:val="BoldBlue"/>
                <w:rFonts w:cs="IBM Plex Sans"/>
                <w:b w:val="0"/>
                <w:color w:val="auto"/>
                <w:sz w:val="16"/>
                <w:szCs w:val="16"/>
              </w:rPr>
              <w:t>Total</w:t>
            </w:r>
            <w:r w:rsidRPr="008E5BF0">
              <w:rPr>
                <w:rStyle w:val="BoldBlue"/>
                <w:rFonts w:cs="IBM Plex Sans"/>
                <w:b w:val="0"/>
                <w:color w:val="auto"/>
                <w:sz w:val="16"/>
                <w:szCs w:val="16"/>
              </w:rPr>
              <w:br/>
              <w:t>£m</w:t>
            </w:r>
          </w:p>
        </w:tc>
      </w:tr>
      <w:tr w:rsidR="00AE1E5C" w:rsidRPr="00FC2914" w14:paraId="64BC6B3D" w14:textId="77777777" w:rsidTr="004203CD">
        <w:tc>
          <w:tcPr>
            <w:tcW w:w="4195" w:type="dxa"/>
            <w:tcBorders>
              <w:top w:val="single" w:sz="2" w:space="0" w:color="3D7FE0" w:themeColor="accent1"/>
              <w:bottom w:val="single" w:sz="2" w:space="0" w:color="3D7FE0" w:themeColor="accent1"/>
            </w:tcBorders>
            <w:vAlign w:val="bottom"/>
          </w:tcPr>
          <w:p w14:paraId="24B0FE3C" w14:textId="77777777" w:rsidR="00AE1E5C" w:rsidRPr="00CF1AE8" w:rsidRDefault="00AE1E5C" w:rsidP="004203CD">
            <w:pPr>
              <w:pStyle w:val="Tabletext"/>
              <w:rPr>
                <w:rFonts w:ascii="IBM Plex Sans Light" w:hAnsi="IBM Plex Sans Light"/>
                <w:sz w:val="18"/>
                <w:szCs w:val="24"/>
              </w:rPr>
            </w:pPr>
            <w:r w:rsidRPr="00CF1AE8">
              <w:rPr>
                <w:rStyle w:val="Bold"/>
                <w:rFonts w:ascii="IBM Plex Sans Light" w:hAnsi="IBM Plex Sans Light" w:cs="IBM Plex Sans"/>
                <w:bCs/>
                <w:sz w:val="18"/>
                <w:szCs w:val="24"/>
              </w:rPr>
              <w:t>Adjusted finance income</w:t>
            </w:r>
          </w:p>
        </w:tc>
        <w:tc>
          <w:tcPr>
            <w:tcW w:w="964" w:type="dxa"/>
            <w:tcBorders>
              <w:top w:val="single" w:sz="2" w:space="0" w:color="3D7FE0" w:themeColor="accent1"/>
              <w:bottom w:val="single" w:sz="2" w:space="0" w:color="3D7FE0" w:themeColor="accent1"/>
            </w:tcBorders>
            <w:vAlign w:val="bottom"/>
          </w:tcPr>
          <w:p w14:paraId="351616BE" w14:textId="77777777" w:rsidR="00AE1E5C" w:rsidRPr="00F66A6D" w:rsidRDefault="00AE1E5C" w:rsidP="004203CD">
            <w:pPr>
              <w:pStyle w:val="Tabletext"/>
              <w:jc w:val="right"/>
              <w:rPr>
                <w:rStyle w:val="BoldBlue"/>
                <w:rFonts w:ascii="IBM Plex Sans Light" w:hAnsi="IBM Plex Sans Light" w:cs="IBM Plex Sans"/>
                <w:bCs w:val="0"/>
                <w:color w:val="3D7FE0" w:themeColor="accent1"/>
                <w:sz w:val="18"/>
                <w:szCs w:val="18"/>
              </w:rPr>
            </w:pPr>
            <w:r w:rsidRPr="00F66A6D">
              <w:rPr>
                <w:rStyle w:val="BoldBlue"/>
                <w:rFonts w:ascii="IBM Plex Sans Light" w:hAnsi="IBM Plex Sans Light" w:cs="IBM Plex Sans"/>
                <w:bCs w:val="0"/>
                <w:color w:val="3D7FE0" w:themeColor="accent1"/>
                <w:sz w:val="18"/>
                <w:szCs w:val="18"/>
              </w:rPr>
              <w:t>30.9</w:t>
            </w:r>
          </w:p>
        </w:tc>
        <w:tc>
          <w:tcPr>
            <w:tcW w:w="964" w:type="dxa"/>
            <w:tcBorders>
              <w:top w:val="single" w:sz="2" w:space="0" w:color="3D7FE0" w:themeColor="accent1"/>
              <w:bottom w:val="single" w:sz="2" w:space="0" w:color="3D7FE0" w:themeColor="accent1"/>
            </w:tcBorders>
            <w:vAlign w:val="bottom"/>
          </w:tcPr>
          <w:p w14:paraId="2B7353C9" w14:textId="77777777" w:rsidR="00AE1E5C" w:rsidRPr="00F66A6D" w:rsidRDefault="00AE1E5C" w:rsidP="004203CD">
            <w:pPr>
              <w:pStyle w:val="Tabletext"/>
              <w:jc w:val="right"/>
              <w:rPr>
                <w:rStyle w:val="BoldBlue"/>
                <w:rFonts w:ascii="IBM Plex Sans Light" w:hAnsi="IBM Plex Sans Light" w:cs="IBM Plex Sans"/>
                <w:bCs w:val="0"/>
                <w:color w:val="3D7FE0" w:themeColor="accent1"/>
                <w:sz w:val="18"/>
                <w:szCs w:val="18"/>
              </w:rPr>
            </w:pPr>
            <w:r w:rsidRPr="00F66A6D">
              <w:rPr>
                <w:rStyle w:val="BoldBlue"/>
                <w:rFonts w:ascii="IBM Plex Sans Light" w:hAnsi="IBM Plex Sans Light" w:cs="IBM Plex Sans"/>
                <w:bCs w:val="0"/>
                <w:color w:val="3D7FE0" w:themeColor="accent1"/>
                <w:sz w:val="18"/>
                <w:szCs w:val="18"/>
              </w:rPr>
              <w:t>4.1</w:t>
            </w:r>
          </w:p>
        </w:tc>
        <w:tc>
          <w:tcPr>
            <w:tcW w:w="964" w:type="dxa"/>
            <w:tcBorders>
              <w:top w:val="single" w:sz="2" w:space="0" w:color="3D7FE0" w:themeColor="accent1"/>
              <w:bottom w:val="single" w:sz="2" w:space="0" w:color="3D7FE0" w:themeColor="accent1"/>
            </w:tcBorders>
            <w:shd w:val="clear" w:color="auto" w:fill="FFFFFF"/>
            <w:vAlign w:val="bottom"/>
          </w:tcPr>
          <w:p w14:paraId="02621AEB" w14:textId="77777777" w:rsidR="00AE1E5C" w:rsidRPr="00F66A6D" w:rsidRDefault="00AE1E5C" w:rsidP="004203CD">
            <w:pPr>
              <w:pStyle w:val="Tabletext"/>
              <w:jc w:val="right"/>
              <w:rPr>
                <w:rStyle w:val="BoldBlue"/>
                <w:rFonts w:ascii="IBM Plex Sans Light" w:hAnsi="IBM Plex Sans Light" w:cs="IBM Plex Sans"/>
                <w:bCs w:val="0"/>
                <w:color w:val="3D7FE0" w:themeColor="accent1"/>
                <w:sz w:val="18"/>
                <w:szCs w:val="18"/>
              </w:rPr>
            </w:pPr>
            <w:r w:rsidRPr="00F66A6D">
              <w:rPr>
                <w:rStyle w:val="BoldBlue"/>
                <w:rFonts w:ascii="IBM Plex Sans Light" w:hAnsi="IBM Plex Sans Light" w:cs="IBM Plex Sans"/>
                <w:bCs w:val="0"/>
                <w:color w:val="3D7FE0" w:themeColor="accent1"/>
                <w:sz w:val="18"/>
                <w:szCs w:val="18"/>
              </w:rPr>
              <w:t>35.0</w:t>
            </w:r>
          </w:p>
        </w:tc>
        <w:tc>
          <w:tcPr>
            <w:tcW w:w="964" w:type="dxa"/>
            <w:tcBorders>
              <w:top w:val="single" w:sz="2" w:space="0" w:color="3D7FE0" w:themeColor="accent1"/>
              <w:bottom w:val="single" w:sz="2" w:space="0" w:color="3D7FE0" w:themeColor="accent1"/>
            </w:tcBorders>
            <w:shd w:val="clear" w:color="auto" w:fill="FFFFFF"/>
            <w:vAlign w:val="bottom"/>
          </w:tcPr>
          <w:p w14:paraId="08AF5522" w14:textId="77777777" w:rsidR="00AE1E5C" w:rsidRPr="009B6985" w:rsidRDefault="00AE1E5C" w:rsidP="004203CD">
            <w:pPr>
              <w:pStyle w:val="Tabletext"/>
              <w:jc w:val="right"/>
              <w:rPr>
                <w:rFonts w:ascii="IBM Plex Sans Light" w:hAnsi="IBM Plex Sans Light"/>
                <w:sz w:val="18"/>
                <w:szCs w:val="18"/>
              </w:rPr>
            </w:pPr>
            <w:r w:rsidRPr="009B6985">
              <w:rPr>
                <w:rFonts w:ascii="IBM Plex Sans Light" w:hAnsi="IBM Plex Sans Light"/>
                <w:sz w:val="18"/>
                <w:szCs w:val="18"/>
              </w:rPr>
              <w:t>26.4</w:t>
            </w:r>
          </w:p>
        </w:tc>
        <w:tc>
          <w:tcPr>
            <w:tcW w:w="964" w:type="dxa"/>
            <w:tcBorders>
              <w:top w:val="single" w:sz="2" w:space="0" w:color="3D7FE0" w:themeColor="accent1"/>
              <w:bottom w:val="single" w:sz="2" w:space="0" w:color="3D7FE0" w:themeColor="accent1"/>
            </w:tcBorders>
            <w:shd w:val="clear" w:color="auto" w:fill="FFFFFF"/>
            <w:vAlign w:val="bottom"/>
          </w:tcPr>
          <w:p w14:paraId="4961AFD4" w14:textId="77777777" w:rsidR="00AE1E5C" w:rsidRPr="009B6985" w:rsidRDefault="00AE1E5C" w:rsidP="004203CD">
            <w:pPr>
              <w:pStyle w:val="Tabletext"/>
              <w:jc w:val="right"/>
              <w:rPr>
                <w:rFonts w:ascii="IBM Plex Sans Light" w:hAnsi="IBM Plex Sans Light"/>
                <w:sz w:val="18"/>
                <w:szCs w:val="18"/>
              </w:rPr>
            </w:pPr>
            <w:r w:rsidRPr="009B6985">
              <w:rPr>
                <w:rFonts w:ascii="IBM Plex Sans Light" w:hAnsi="IBM Plex Sans Light"/>
                <w:sz w:val="18"/>
                <w:szCs w:val="18"/>
              </w:rPr>
              <w:t>–</w:t>
            </w: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43A32482" w14:textId="77777777" w:rsidR="00AE1E5C" w:rsidRPr="009B6985" w:rsidRDefault="00AE1E5C" w:rsidP="004203CD">
            <w:pPr>
              <w:pStyle w:val="TableFiguresBold"/>
              <w:rPr>
                <w:rFonts w:ascii="IBM Plex Sans Light" w:hAnsi="IBM Plex Sans Light"/>
                <w:b w:val="0"/>
                <w:bCs w:val="0"/>
                <w:sz w:val="18"/>
                <w:szCs w:val="18"/>
              </w:rPr>
            </w:pPr>
            <w:r w:rsidRPr="009B6985">
              <w:rPr>
                <w:rFonts w:ascii="IBM Plex Sans Light" w:hAnsi="IBM Plex Sans Light"/>
                <w:b w:val="0"/>
                <w:bCs w:val="0"/>
                <w:sz w:val="18"/>
                <w:szCs w:val="18"/>
              </w:rPr>
              <w:t>26.4</w:t>
            </w:r>
          </w:p>
        </w:tc>
      </w:tr>
      <w:tr w:rsidR="00AE1E5C" w:rsidRPr="00FC2914" w14:paraId="19A3F7FF" w14:textId="77777777" w:rsidTr="004203CD">
        <w:tc>
          <w:tcPr>
            <w:tcW w:w="4195" w:type="dxa"/>
            <w:tcBorders>
              <w:top w:val="single" w:sz="2" w:space="0" w:color="3D7FE0" w:themeColor="accent1"/>
            </w:tcBorders>
            <w:vAlign w:val="bottom"/>
          </w:tcPr>
          <w:p w14:paraId="2B6ADF19" w14:textId="77777777" w:rsidR="00AE1E5C" w:rsidRPr="00CF1AE8" w:rsidRDefault="00AE1E5C" w:rsidP="004203CD">
            <w:pPr>
              <w:pStyle w:val="Tabletext"/>
              <w:rPr>
                <w:rFonts w:ascii="IBM Plex Sans Light" w:hAnsi="IBM Plex Sans Light"/>
                <w:sz w:val="18"/>
                <w:szCs w:val="24"/>
              </w:rPr>
            </w:pPr>
          </w:p>
        </w:tc>
        <w:tc>
          <w:tcPr>
            <w:tcW w:w="964" w:type="dxa"/>
            <w:tcBorders>
              <w:top w:val="single" w:sz="2" w:space="0" w:color="3D7FE0" w:themeColor="accent1"/>
            </w:tcBorders>
            <w:vAlign w:val="bottom"/>
          </w:tcPr>
          <w:p w14:paraId="3DFD970D" w14:textId="77777777" w:rsidR="00AE1E5C" w:rsidRPr="00F66A6D" w:rsidRDefault="00AE1E5C" w:rsidP="004203CD">
            <w:pPr>
              <w:pStyle w:val="Tabletext"/>
              <w:jc w:val="right"/>
              <w:rPr>
                <w:rFonts w:ascii="IBM Plex Sans Light" w:hAnsi="IBM Plex Sans Light"/>
                <w:b/>
                <w:color w:val="3D7FE0" w:themeColor="accent1"/>
                <w:spacing w:val="-4"/>
                <w:sz w:val="18"/>
                <w:szCs w:val="18"/>
              </w:rPr>
            </w:pPr>
          </w:p>
        </w:tc>
        <w:tc>
          <w:tcPr>
            <w:tcW w:w="964" w:type="dxa"/>
            <w:tcBorders>
              <w:top w:val="single" w:sz="2" w:space="0" w:color="3D7FE0" w:themeColor="accent1"/>
            </w:tcBorders>
            <w:vAlign w:val="bottom"/>
          </w:tcPr>
          <w:p w14:paraId="4498A6D0" w14:textId="77777777" w:rsidR="00AE1E5C" w:rsidRPr="00F66A6D" w:rsidRDefault="00AE1E5C" w:rsidP="004203CD">
            <w:pPr>
              <w:pStyle w:val="Tabletext"/>
              <w:jc w:val="right"/>
              <w:rPr>
                <w:rFonts w:ascii="IBM Plex Sans Light" w:hAnsi="IBM Plex Sans Light"/>
                <w:b/>
                <w:color w:val="3D7FE0" w:themeColor="accent1"/>
                <w:spacing w:val="-4"/>
                <w:sz w:val="18"/>
                <w:szCs w:val="18"/>
              </w:rPr>
            </w:pPr>
          </w:p>
        </w:tc>
        <w:tc>
          <w:tcPr>
            <w:tcW w:w="964" w:type="dxa"/>
            <w:tcBorders>
              <w:top w:val="single" w:sz="2" w:space="0" w:color="3D7FE0" w:themeColor="accent1"/>
            </w:tcBorders>
            <w:shd w:val="clear" w:color="auto" w:fill="FFFFFF"/>
            <w:vAlign w:val="bottom"/>
          </w:tcPr>
          <w:p w14:paraId="2F445247" w14:textId="77777777" w:rsidR="00AE1E5C" w:rsidRPr="00F66A6D" w:rsidRDefault="00AE1E5C" w:rsidP="004203CD">
            <w:pPr>
              <w:pStyle w:val="Tabletext"/>
              <w:jc w:val="right"/>
              <w:rPr>
                <w:rFonts w:ascii="IBM Plex Sans Light" w:hAnsi="IBM Plex Sans Light"/>
                <w:b/>
                <w:color w:val="3D7FE0" w:themeColor="accent1"/>
                <w:sz w:val="18"/>
                <w:szCs w:val="18"/>
              </w:rPr>
            </w:pPr>
          </w:p>
        </w:tc>
        <w:tc>
          <w:tcPr>
            <w:tcW w:w="964" w:type="dxa"/>
            <w:tcBorders>
              <w:top w:val="single" w:sz="2" w:space="0" w:color="3D7FE0" w:themeColor="accent1"/>
            </w:tcBorders>
            <w:shd w:val="clear" w:color="auto" w:fill="FFFFFF"/>
            <w:vAlign w:val="bottom"/>
          </w:tcPr>
          <w:p w14:paraId="6B154A07" w14:textId="77777777" w:rsidR="00AE1E5C" w:rsidRPr="009B6985" w:rsidRDefault="00AE1E5C" w:rsidP="004203CD">
            <w:pPr>
              <w:pStyle w:val="Tabletext"/>
              <w:jc w:val="right"/>
              <w:rPr>
                <w:rFonts w:ascii="IBM Plex Sans Light" w:hAnsi="IBM Plex Sans Light"/>
                <w:color w:val="auto"/>
                <w:sz w:val="18"/>
                <w:szCs w:val="18"/>
              </w:rPr>
            </w:pPr>
          </w:p>
        </w:tc>
        <w:tc>
          <w:tcPr>
            <w:tcW w:w="964" w:type="dxa"/>
            <w:tcBorders>
              <w:top w:val="single" w:sz="2" w:space="0" w:color="3D7FE0" w:themeColor="accent1"/>
            </w:tcBorders>
            <w:shd w:val="clear" w:color="auto" w:fill="FFFFFF"/>
            <w:vAlign w:val="bottom"/>
          </w:tcPr>
          <w:p w14:paraId="2AC5DF63" w14:textId="77777777" w:rsidR="00AE1E5C" w:rsidRPr="009B6985" w:rsidRDefault="00AE1E5C" w:rsidP="004203CD">
            <w:pPr>
              <w:pStyle w:val="Tabletext"/>
              <w:jc w:val="right"/>
              <w:rPr>
                <w:rFonts w:ascii="IBM Plex Sans Light" w:hAnsi="IBM Plex Sans Light"/>
                <w:color w:val="auto"/>
                <w:sz w:val="18"/>
                <w:szCs w:val="18"/>
              </w:rPr>
            </w:pPr>
          </w:p>
        </w:tc>
        <w:tc>
          <w:tcPr>
            <w:tcW w:w="964" w:type="dxa"/>
            <w:tcBorders>
              <w:top w:val="single" w:sz="2" w:space="0" w:color="3D7FE0" w:themeColor="accent1"/>
            </w:tcBorders>
            <w:shd w:val="clear" w:color="auto" w:fill="FFFFFF" w:themeFill="background1"/>
            <w:vAlign w:val="bottom"/>
          </w:tcPr>
          <w:p w14:paraId="0417A1B9" w14:textId="77777777" w:rsidR="00AE1E5C" w:rsidRPr="009B6985" w:rsidRDefault="00AE1E5C" w:rsidP="004203CD">
            <w:pPr>
              <w:pStyle w:val="TableFiguresBold"/>
              <w:rPr>
                <w:rFonts w:ascii="IBM Plex Sans Light" w:hAnsi="IBM Plex Sans Light"/>
                <w:b w:val="0"/>
                <w:bCs w:val="0"/>
                <w:color w:val="auto"/>
                <w:spacing w:val="-4"/>
                <w:sz w:val="18"/>
                <w:szCs w:val="18"/>
              </w:rPr>
            </w:pPr>
          </w:p>
        </w:tc>
      </w:tr>
      <w:tr w:rsidR="00AE1E5C" w:rsidRPr="00FC2914" w14:paraId="7772D6DD" w14:textId="77777777" w:rsidTr="004203CD">
        <w:tc>
          <w:tcPr>
            <w:tcW w:w="4195" w:type="dxa"/>
            <w:vAlign w:val="bottom"/>
          </w:tcPr>
          <w:p w14:paraId="426DB78C" w14:textId="77777777" w:rsidR="00AE1E5C" w:rsidRPr="00CF1AE8" w:rsidRDefault="00AE1E5C" w:rsidP="004203CD">
            <w:pPr>
              <w:pStyle w:val="Tabletext"/>
              <w:rPr>
                <w:rFonts w:ascii="IBM Plex Sans Light" w:hAnsi="IBM Plex Sans Light"/>
                <w:sz w:val="18"/>
                <w:szCs w:val="24"/>
              </w:rPr>
            </w:pPr>
            <w:r w:rsidRPr="00CF1AE8">
              <w:rPr>
                <w:rStyle w:val="Bold"/>
                <w:rFonts w:ascii="IBM Plex Sans Light" w:hAnsi="IBM Plex Sans Light" w:cs="IBM Plex Sans"/>
                <w:bCs/>
                <w:sz w:val="18"/>
                <w:szCs w:val="24"/>
              </w:rPr>
              <w:t>Finance costs</w:t>
            </w:r>
          </w:p>
        </w:tc>
        <w:tc>
          <w:tcPr>
            <w:tcW w:w="964" w:type="dxa"/>
            <w:vAlign w:val="bottom"/>
          </w:tcPr>
          <w:p w14:paraId="06273B66"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p>
        </w:tc>
        <w:tc>
          <w:tcPr>
            <w:tcW w:w="964" w:type="dxa"/>
            <w:vAlign w:val="bottom"/>
          </w:tcPr>
          <w:p w14:paraId="2A1E5AC0"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p>
        </w:tc>
        <w:tc>
          <w:tcPr>
            <w:tcW w:w="964" w:type="dxa"/>
            <w:shd w:val="clear" w:color="auto" w:fill="FFFFFF"/>
            <w:vAlign w:val="bottom"/>
          </w:tcPr>
          <w:p w14:paraId="698C2F0B" w14:textId="77777777" w:rsidR="00AE1E5C" w:rsidRPr="00F90775" w:rsidRDefault="00AE1E5C" w:rsidP="004203CD">
            <w:pPr>
              <w:pStyle w:val="Tabletext"/>
              <w:jc w:val="right"/>
              <w:rPr>
                <w:rFonts w:ascii="IBM Plex Sans Light" w:hAnsi="IBM Plex Sans Light"/>
                <w:b/>
                <w:color w:val="3D7FE0" w:themeColor="accent1"/>
                <w:sz w:val="18"/>
                <w:szCs w:val="18"/>
              </w:rPr>
            </w:pPr>
          </w:p>
        </w:tc>
        <w:tc>
          <w:tcPr>
            <w:tcW w:w="964" w:type="dxa"/>
            <w:shd w:val="clear" w:color="auto" w:fill="FFFFFF"/>
            <w:vAlign w:val="bottom"/>
          </w:tcPr>
          <w:p w14:paraId="41F5BB26" w14:textId="77777777" w:rsidR="00AE1E5C" w:rsidRPr="00024B10" w:rsidRDefault="00AE1E5C" w:rsidP="004203CD">
            <w:pPr>
              <w:pStyle w:val="Tabletext"/>
              <w:jc w:val="right"/>
              <w:rPr>
                <w:rFonts w:ascii="IBM Plex Sans Light" w:hAnsi="IBM Plex Sans Light"/>
                <w:b/>
                <w:color w:val="3D7FE0" w:themeColor="accent1"/>
                <w:sz w:val="18"/>
                <w:szCs w:val="18"/>
              </w:rPr>
            </w:pPr>
          </w:p>
        </w:tc>
        <w:tc>
          <w:tcPr>
            <w:tcW w:w="964" w:type="dxa"/>
            <w:shd w:val="clear" w:color="auto" w:fill="FFFFFF"/>
            <w:vAlign w:val="bottom"/>
          </w:tcPr>
          <w:p w14:paraId="0B1967D7" w14:textId="77777777" w:rsidR="00AE1E5C" w:rsidRPr="00024B10" w:rsidRDefault="00AE1E5C" w:rsidP="004203CD">
            <w:pPr>
              <w:pStyle w:val="Tabletext"/>
              <w:jc w:val="right"/>
              <w:rPr>
                <w:rFonts w:ascii="IBM Plex Sans Light" w:hAnsi="IBM Plex Sans Light"/>
                <w:b/>
                <w:color w:val="3D7FE0" w:themeColor="accent1"/>
                <w:sz w:val="18"/>
                <w:szCs w:val="18"/>
              </w:rPr>
            </w:pPr>
          </w:p>
        </w:tc>
        <w:tc>
          <w:tcPr>
            <w:tcW w:w="964" w:type="dxa"/>
            <w:shd w:val="clear" w:color="auto" w:fill="FFFFFF" w:themeFill="background1"/>
            <w:vAlign w:val="bottom"/>
          </w:tcPr>
          <w:p w14:paraId="68B15E12" w14:textId="77777777" w:rsidR="00AE1E5C" w:rsidRPr="00024B10" w:rsidRDefault="00AE1E5C" w:rsidP="004203CD">
            <w:pPr>
              <w:pStyle w:val="TableFiguresBold"/>
              <w:rPr>
                <w:rFonts w:ascii="IBM Plex Sans Light" w:hAnsi="IBM Plex Sans Light"/>
                <w:bCs w:val="0"/>
                <w:color w:val="3D7FE0" w:themeColor="accent1"/>
                <w:spacing w:val="-4"/>
                <w:sz w:val="18"/>
                <w:szCs w:val="18"/>
              </w:rPr>
            </w:pPr>
          </w:p>
        </w:tc>
      </w:tr>
      <w:tr w:rsidR="00AE1E5C" w:rsidRPr="00FC2914" w14:paraId="6A35B31F" w14:textId="77777777" w:rsidTr="004203CD">
        <w:tc>
          <w:tcPr>
            <w:tcW w:w="4195" w:type="dxa"/>
            <w:vAlign w:val="bottom"/>
          </w:tcPr>
          <w:p w14:paraId="0BA9E5EF" w14:textId="77777777" w:rsidR="00AE1E5C" w:rsidRPr="00CF1AE8" w:rsidRDefault="00AE1E5C" w:rsidP="004203CD">
            <w:pPr>
              <w:pStyle w:val="Tabletext"/>
              <w:rPr>
                <w:rFonts w:ascii="IBM Plex Sans Light" w:hAnsi="IBM Plex Sans Light"/>
                <w:sz w:val="18"/>
                <w:szCs w:val="24"/>
              </w:rPr>
            </w:pPr>
            <w:r w:rsidRPr="00CF1AE8">
              <w:rPr>
                <w:rFonts w:ascii="IBM Plex Sans Light" w:hAnsi="IBM Plex Sans Light"/>
                <w:sz w:val="18"/>
                <w:szCs w:val="24"/>
              </w:rPr>
              <w:t>Gross interest costs</w:t>
            </w:r>
          </w:p>
        </w:tc>
        <w:tc>
          <w:tcPr>
            <w:tcW w:w="964" w:type="dxa"/>
            <w:vAlign w:val="bottom"/>
          </w:tcPr>
          <w:p w14:paraId="0FE6A8DD"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(72.0)</w:t>
            </w:r>
          </w:p>
        </w:tc>
        <w:tc>
          <w:tcPr>
            <w:tcW w:w="964" w:type="dxa"/>
            <w:vAlign w:val="bottom"/>
          </w:tcPr>
          <w:p w14:paraId="1EE8F21D"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(8.9)</w:t>
            </w:r>
          </w:p>
        </w:tc>
        <w:tc>
          <w:tcPr>
            <w:tcW w:w="964" w:type="dxa"/>
            <w:shd w:val="clear" w:color="auto" w:fill="FFFFFF"/>
            <w:vAlign w:val="bottom"/>
          </w:tcPr>
          <w:p w14:paraId="699D157B"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(80.9)</w:t>
            </w:r>
          </w:p>
        </w:tc>
        <w:tc>
          <w:tcPr>
            <w:tcW w:w="964" w:type="dxa"/>
            <w:shd w:val="clear" w:color="auto" w:fill="FFFFFF"/>
            <w:vAlign w:val="bottom"/>
          </w:tcPr>
          <w:p w14:paraId="4A4DEC72"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(74.9)</w:t>
            </w:r>
          </w:p>
        </w:tc>
        <w:tc>
          <w:tcPr>
            <w:tcW w:w="964" w:type="dxa"/>
            <w:shd w:val="clear" w:color="auto" w:fill="FFFFFF"/>
            <w:vAlign w:val="bottom"/>
          </w:tcPr>
          <w:p w14:paraId="2A74A64F"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(6.7)</w:t>
            </w:r>
          </w:p>
        </w:tc>
        <w:tc>
          <w:tcPr>
            <w:tcW w:w="964" w:type="dxa"/>
            <w:shd w:val="clear" w:color="auto" w:fill="FFFFFF" w:themeFill="background1"/>
            <w:vAlign w:val="bottom"/>
          </w:tcPr>
          <w:p w14:paraId="581CF6D2" w14:textId="77777777" w:rsidR="00AE1E5C" w:rsidRPr="00024B10" w:rsidRDefault="00AE1E5C" w:rsidP="00024B10">
            <w:pPr>
              <w:pStyle w:val="TableFiguresBrackets"/>
              <w:rPr>
                <w:rFonts w:ascii="IBM Plex Sans Light" w:hAnsi="IBM Plex Sans Light"/>
                <w:color w:val="000000" w:themeColor="text1"/>
                <w:spacing w:val="-4"/>
                <w:sz w:val="18"/>
                <w:szCs w:val="18"/>
              </w:rPr>
            </w:pPr>
            <w:r w:rsidRPr="00024B10">
              <w:rPr>
                <w:rFonts w:ascii="IBM Plex Sans Light" w:hAnsi="IBM Plex Sans Light"/>
                <w:bCs/>
                <w:color w:val="000000" w:themeColor="text1"/>
                <w:spacing w:val="-4"/>
                <w:sz w:val="18"/>
                <w:szCs w:val="18"/>
              </w:rPr>
              <w:t>(81.6)</w:t>
            </w:r>
          </w:p>
        </w:tc>
      </w:tr>
      <w:tr w:rsidR="00AE1E5C" w:rsidRPr="00FC2914" w14:paraId="0F674918" w14:textId="77777777" w:rsidTr="004203CD">
        <w:tc>
          <w:tcPr>
            <w:tcW w:w="4195" w:type="dxa"/>
            <w:tcBorders>
              <w:bottom w:val="single" w:sz="2" w:space="0" w:color="3D7FE0" w:themeColor="accent1"/>
            </w:tcBorders>
            <w:vAlign w:val="bottom"/>
          </w:tcPr>
          <w:p w14:paraId="2925AE7D" w14:textId="77777777" w:rsidR="00AE1E5C" w:rsidRPr="00CF1AE8" w:rsidRDefault="00AE1E5C" w:rsidP="004203CD">
            <w:pPr>
              <w:pStyle w:val="Tabletext"/>
              <w:rPr>
                <w:rFonts w:ascii="IBM Plex Sans Light" w:hAnsi="IBM Plex Sans Light"/>
                <w:sz w:val="18"/>
                <w:szCs w:val="24"/>
              </w:rPr>
            </w:pPr>
            <w:r w:rsidRPr="00CF1AE8">
              <w:rPr>
                <w:rFonts w:ascii="IBM Plex Sans Light" w:hAnsi="IBM Plex Sans Light"/>
                <w:sz w:val="18"/>
                <w:szCs w:val="24"/>
              </w:rPr>
              <w:t>Interest capitalised</w:t>
            </w:r>
          </w:p>
        </w:tc>
        <w:tc>
          <w:tcPr>
            <w:tcW w:w="964" w:type="dxa"/>
            <w:tcBorders>
              <w:bottom w:val="single" w:sz="2" w:space="0" w:color="3D7FE0" w:themeColor="accent1"/>
            </w:tcBorders>
            <w:vAlign w:val="bottom"/>
          </w:tcPr>
          <w:p w14:paraId="25A3BF6A"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w:t>
            </w:r>
          </w:p>
        </w:tc>
        <w:tc>
          <w:tcPr>
            <w:tcW w:w="964" w:type="dxa"/>
            <w:tcBorders>
              <w:bottom w:val="single" w:sz="2" w:space="0" w:color="3D7FE0" w:themeColor="accent1"/>
            </w:tcBorders>
            <w:vAlign w:val="bottom"/>
          </w:tcPr>
          <w:p w14:paraId="15F2FC5C"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F90775">
              <w:rPr>
                <w:rStyle w:val="BoldBlue"/>
                <w:rFonts w:ascii="IBM Plex Sans Light" w:hAnsi="IBM Plex Sans Light" w:cs="IBM Plex Sans"/>
                <w:bCs w:val="0"/>
                <w:color w:val="3D7FE0" w:themeColor="accent1"/>
                <w:sz w:val="18"/>
                <w:szCs w:val="18"/>
              </w:rPr>
              <w:t>–</w:t>
            </w:r>
          </w:p>
        </w:tc>
        <w:tc>
          <w:tcPr>
            <w:tcW w:w="964" w:type="dxa"/>
            <w:tcBorders>
              <w:bottom w:val="single" w:sz="2" w:space="0" w:color="3D7FE0" w:themeColor="accent1"/>
            </w:tcBorders>
            <w:shd w:val="clear" w:color="auto" w:fill="FFFFFF"/>
            <w:vAlign w:val="bottom"/>
          </w:tcPr>
          <w:p w14:paraId="25C80767"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F90775">
              <w:rPr>
                <w:rStyle w:val="BoldBlue"/>
                <w:rFonts w:ascii="IBM Plex Sans Light" w:hAnsi="IBM Plex Sans Light" w:cs="IBM Plex Sans"/>
                <w:bCs w:val="0"/>
                <w:color w:val="3D7FE0" w:themeColor="accent1"/>
                <w:sz w:val="18"/>
                <w:szCs w:val="18"/>
              </w:rPr>
              <w:t>–</w:t>
            </w:r>
          </w:p>
        </w:tc>
        <w:tc>
          <w:tcPr>
            <w:tcW w:w="964" w:type="dxa"/>
            <w:tcBorders>
              <w:bottom w:val="single" w:sz="2" w:space="0" w:color="3D7FE0" w:themeColor="accent1"/>
            </w:tcBorders>
            <w:shd w:val="clear" w:color="auto" w:fill="FFFFFF"/>
            <w:vAlign w:val="bottom"/>
          </w:tcPr>
          <w:p w14:paraId="05D0B3D1" w14:textId="77777777" w:rsidR="00AE1E5C" w:rsidRPr="00024B10" w:rsidRDefault="00AE1E5C" w:rsidP="00024B10">
            <w:pPr>
              <w:pStyle w:val="TableFiguresBold"/>
              <w:rPr>
                <w:rFonts w:ascii="IBM Plex Sans Light" w:hAnsi="IBM Plex Sans Light"/>
                <w:color w:val="000000" w:themeColor="text1"/>
                <w:sz w:val="18"/>
                <w:szCs w:val="18"/>
              </w:rPr>
            </w:pPr>
            <w:r w:rsidRPr="00024B10">
              <w:rPr>
                <w:rFonts w:ascii="IBM Plex Sans Light" w:hAnsi="IBM Plex Sans Light"/>
                <w:b w:val="0"/>
                <w:color w:val="000000" w:themeColor="text1"/>
                <w:sz w:val="18"/>
                <w:szCs w:val="18"/>
              </w:rPr>
              <w:t>1.2</w:t>
            </w:r>
          </w:p>
        </w:tc>
        <w:tc>
          <w:tcPr>
            <w:tcW w:w="964" w:type="dxa"/>
            <w:tcBorders>
              <w:bottom w:val="single" w:sz="2" w:space="0" w:color="3D7FE0" w:themeColor="accent1"/>
            </w:tcBorders>
            <w:shd w:val="clear" w:color="auto" w:fill="FFFFFF"/>
            <w:vAlign w:val="bottom"/>
          </w:tcPr>
          <w:p w14:paraId="328F11A6" w14:textId="77777777" w:rsidR="00AE1E5C" w:rsidRPr="00024B10" w:rsidRDefault="00AE1E5C" w:rsidP="00024B10">
            <w:pPr>
              <w:pStyle w:val="TableFiguresBold"/>
              <w:rPr>
                <w:rFonts w:ascii="IBM Plex Sans Light" w:hAnsi="IBM Plex Sans Light"/>
                <w:color w:val="000000" w:themeColor="text1"/>
                <w:sz w:val="18"/>
                <w:szCs w:val="18"/>
              </w:rPr>
            </w:pPr>
            <w:r w:rsidRPr="00024B10">
              <w:rPr>
                <w:rFonts w:ascii="IBM Plex Sans Light" w:hAnsi="IBM Plex Sans Light"/>
                <w:b w:val="0"/>
                <w:color w:val="000000" w:themeColor="text1"/>
                <w:sz w:val="18"/>
                <w:szCs w:val="18"/>
              </w:rPr>
              <w:t>–</w:t>
            </w:r>
          </w:p>
        </w:tc>
        <w:tc>
          <w:tcPr>
            <w:tcW w:w="964" w:type="dxa"/>
            <w:tcBorders>
              <w:bottom w:val="single" w:sz="2" w:space="0" w:color="3D7FE0" w:themeColor="accent1"/>
            </w:tcBorders>
            <w:shd w:val="clear" w:color="auto" w:fill="FFFFFF" w:themeFill="background1"/>
            <w:vAlign w:val="bottom"/>
          </w:tcPr>
          <w:p w14:paraId="35A4D40A" w14:textId="77777777" w:rsidR="00AE1E5C" w:rsidRPr="00024B10" w:rsidRDefault="00AE1E5C" w:rsidP="00573BEB">
            <w:pPr>
              <w:pStyle w:val="TableFiguresBold"/>
              <w:rPr>
                <w:rFonts w:ascii="IBM Plex Sans Light" w:hAnsi="IBM Plex Sans Light"/>
                <w:b w:val="0"/>
                <w:color w:val="000000" w:themeColor="text1"/>
                <w:sz w:val="18"/>
                <w:szCs w:val="18"/>
              </w:rPr>
            </w:pPr>
            <w:r w:rsidRPr="00024B10">
              <w:rPr>
                <w:rFonts w:ascii="IBM Plex Sans Light" w:hAnsi="IBM Plex Sans Light"/>
                <w:b w:val="0"/>
                <w:color w:val="000000" w:themeColor="text1"/>
                <w:sz w:val="18"/>
                <w:szCs w:val="18"/>
              </w:rPr>
              <w:t>1.2</w:t>
            </w:r>
          </w:p>
        </w:tc>
      </w:tr>
      <w:tr w:rsidR="00AE1E5C" w:rsidRPr="00FC2914" w14:paraId="1BB9F4D0" w14:textId="77777777" w:rsidTr="004203CD">
        <w:tc>
          <w:tcPr>
            <w:tcW w:w="4195" w:type="dxa"/>
            <w:tcBorders>
              <w:top w:val="single" w:sz="2" w:space="0" w:color="3D7FE0" w:themeColor="accent1"/>
              <w:bottom w:val="single" w:sz="2" w:space="0" w:color="3D7FE0" w:themeColor="accent1"/>
            </w:tcBorders>
            <w:vAlign w:val="bottom"/>
          </w:tcPr>
          <w:p w14:paraId="086BDFCF" w14:textId="77777777" w:rsidR="00AE1E5C" w:rsidRPr="00CF1AE8" w:rsidRDefault="00AE1E5C" w:rsidP="004203CD">
            <w:pPr>
              <w:pStyle w:val="Tabletext"/>
              <w:rPr>
                <w:rFonts w:ascii="IBM Plex Sans Light" w:hAnsi="IBM Plex Sans Light"/>
                <w:sz w:val="18"/>
                <w:szCs w:val="24"/>
              </w:rPr>
            </w:pPr>
            <w:r w:rsidRPr="00CF1AE8">
              <w:rPr>
                <w:rStyle w:val="Bold"/>
                <w:rFonts w:ascii="IBM Plex Sans Light" w:hAnsi="IBM Plex Sans Light" w:cs="IBM Plex Sans"/>
                <w:bCs/>
                <w:sz w:val="18"/>
                <w:szCs w:val="24"/>
              </w:rPr>
              <w:t>Adjusted finance costs</w:t>
            </w:r>
          </w:p>
        </w:tc>
        <w:tc>
          <w:tcPr>
            <w:tcW w:w="964" w:type="dxa"/>
            <w:tcBorders>
              <w:top w:val="single" w:sz="2" w:space="0" w:color="3D7FE0" w:themeColor="accent1"/>
              <w:bottom w:val="single" w:sz="2" w:space="0" w:color="3D7FE0" w:themeColor="accent1"/>
            </w:tcBorders>
            <w:vAlign w:val="bottom"/>
          </w:tcPr>
          <w:p w14:paraId="2D75C39E"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(72.0)</w:t>
            </w:r>
          </w:p>
        </w:tc>
        <w:tc>
          <w:tcPr>
            <w:tcW w:w="964" w:type="dxa"/>
            <w:tcBorders>
              <w:top w:val="single" w:sz="2" w:space="0" w:color="3D7FE0" w:themeColor="accent1"/>
              <w:bottom w:val="single" w:sz="2" w:space="0" w:color="3D7FE0" w:themeColor="accent1"/>
            </w:tcBorders>
            <w:vAlign w:val="bottom"/>
          </w:tcPr>
          <w:p w14:paraId="19DE5FD0"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(8.9)</w:t>
            </w:r>
          </w:p>
        </w:tc>
        <w:tc>
          <w:tcPr>
            <w:tcW w:w="964" w:type="dxa"/>
            <w:tcBorders>
              <w:top w:val="single" w:sz="2" w:space="0" w:color="3D7FE0" w:themeColor="accent1"/>
              <w:bottom w:val="single" w:sz="2" w:space="0" w:color="3D7FE0" w:themeColor="accent1"/>
            </w:tcBorders>
            <w:shd w:val="clear" w:color="auto" w:fill="FFFFFF"/>
            <w:vAlign w:val="bottom"/>
          </w:tcPr>
          <w:p w14:paraId="030E791F"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(80.9)</w:t>
            </w:r>
          </w:p>
        </w:tc>
        <w:tc>
          <w:tcPr>
            <w:tcW w:w="964" w:type="dxa"/>
            <w:tcBorders>
              <w:top w:val="single" w:sz="2" w:space="0" w:color="3D7FE0" w:themeColor="accent1"/>
              <w:bottom w:val="single" w:sz="2" w:space="0" w:color="3D7FE0" w:themeColor="accent1"/>
            </w:tcBorders>
            <w:shd w:val="clear" w:color="auto" w:fill="FFFFFF"/>
            <w:vAlign w:val="bottom"/>
          </w:tcPr>
          <w:p w14:paraId="5D494379"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(73.7)</w:t>
            </w:r>
          </w:p>
        </w:tc>
        <w:tc>
          <w:tcPr>
            <w:tcW w:w="964" w:type="dxa"/>
            <w:tcBorders>
              <w:top w:val="single" w:sz="2" w:space="0" w:color="3D7FE0" w:themeColor="accent1"/>
              <w:bottom w:val="single" w:sz="2" w:space="0" w:color="3D7FE0" w:themeColor="accent1"/>
            </w:tcBorders>
            <w:shd w:val="clear" w:color="auto" w:fill="FFFFFF"/>
            <w:vAlign w:val="bottom"/>
          </w:tcPr>
          <w:p w14:paraId="5EAE4F0D"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(6.7)</w:t>
            </w: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601B8B40" w14:textId="77777777" w:rsidR="00AE1E5C" w:rsidRPr="00024B10" w:rsidRDefault="00AE1E5C" w:rsidP="00024B10">
            <w:pPr>
              <w:pStyle w:val="TableFiguresBrackets"/>
              <w:rPr>
                <w:rFonts w:ascii="IBM Plex Sans Light" w:hAnsi="IBM Plex Sans Light"/>
                <w:color w:val="000000" w:themeColor="text1"/>
                <w:spacing w:val="-4"/>
                <w:sz w:val="18"/>
                <w:szCs w:val="18"/>
              </w:rPr>
            </w:pPr>
            <w:r w:rsidRPr="00024B10">
              <w:rPr>
                <w:rFonts w:ascii="IBM Plex Sans Light" w:hAnsi="IBM Plex Sans Light"/>
                <w:bCs/>
                <w:color w:val="000000" w:themeColor="text1"/>
                <w:spacing w:val="-4"/>
                <w:sz w:val="18"/>
                <w:szCs w:val="18"/>
              </w:rPr>
              <w:t>(80.4)</w:t>
            </w:r>
          </w:p>
        </w:tc>
      </w:tr>
      <w:tr w:rsidR="00AE1E5C" w:rsidRPr="00FC2914" w14:paraId="0708184E" w14:textId="77777777" w:rsidTr="004203CD">
        <w:tc>
          <w:tcPr>
            <w:tcW w:w="4195" w:type="dxa"/>
            <w:tcBorders>
              <w:top w:val="single" w:sz="2" w:space="0" w:color="3D7FE0" w:themeColor="accent1"/>
              <w:bottom w:val="single" w:sz="2" w:space="0" w:color="3D7FE0" w:themeColor="accent1"/>
            </w:tcBorders>
            <w:vAlign w:val="bottom"/>
          </w:tcPr>
          <w:p w14:paraId="47F18BE1" w14:textId="77777777" w:rsidR="00AE1E5C" w:rsidRPr="00CF1AE8" w:rsidRDefault="00AE1E5C" w:rsidP="004203CD">
            <w:pPr>
              <w:pStyle w:val="Tabletext"/>
              <w:rPr>
                <w:rFonts w:ascii="IBM Plex Sans Light" w:hAnsi="IBM Plex Sans Light"/>
                <w:sz w:val="18"/>
                <w:szCs w:val="24"/>
              </w:rPr>
            </w:pPr>
          </w:p>
        </w:tc>
        <w:tc>
          <w:tcPr>
            <w:tcW w:w="964" w:type="dxa"/>
            <w:tcBorders>
              <w:top w:val="single" w:sz="2" w:space="0" w:color="3D7FE0" w:themeColor="accent1"/>
              <w:bottom w:val="single" w:sz="2" w:space="0" w:color="3D7FE0" w:themeColor="accent1"/>
            </w:tcBorders>
            <w:vAlign w:val="bottom"/>
          </w:tcPr>
          <w:p w14:paraId="1890190C"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p>
        </w:tc>
        <w:tc>
          <w:tcPr>
            <w:tcW w:w="964" w:type="dxa"/>
            <w:tcBorders>
              <w:top w:val="single" w:sz="2" w:space="0" w:color="3D7FE0" w:themeColor="accent1"/>
              <w:bottom w:val="single" w:sz="2" w:space="0" w:color="3D7FE0" w:themeColor="accent1"/>
            </w:tcBorders>
            <w:vAlign w:val="bottom"/>
          </w:tcPr>
          <w:p w14:paraId="6B1DA0D2" w14:textId="77777777" w:rsidR="00AE1E5C" w:rsidRPr="00F90775" w:rsidRDefault="00AE1E5C" w:rsidP="004203CD">
            <w:pPr>
              <w:pStyle w:val="Tabletext"/>
              <w:jc w:val="right"/>
              <w:rPr>
                <w:rFonts w:ascii="IBM Plex Sans Light" w:hAnsi="IBM Plex Sans Light"/>
                <w:b/>
                <w:color w:val="3D7FE0" w:themeColor="accent1"/>
                <w:spacing w:val="-4"/>
                <w:sz w:val="18"/>
                <w:szCs w:val="18"/>
              </w:rPr>
            </w:pPr>
          </w:p>
        </w:tc>
        <w:tc>
          <w:tcPr>
            <w:tcW w:w="964" w:type="dxa"/>
            <w:tcBorders>
              <w:top w:val="single" w:sz="2" w:space="0" w:color="3D7FE0" w:themeColor="accent1"/>
              <w:bottom w:val="single" w:sz="2" w:space="0" w:color="3D7FE0" w:themeColor="accent1"/>
            </w:tcBorders>
            <w:shd w:val="clear" w:color="auto" w:fill="FFFFFF"/>
            <w:vAlign w:val="bottom"/>
          </w:tcPr>
          <w:p w14:paraId="6AAF92B8" w14:textId="77777777" w:rsidR="00AE1E5C" w:rsidRPr="00F90775" w:rsidRDefault="00AE1E5C" w:rsidP="004203CD">
            <w:pPr>
              <w:pStyle w:val="Tabletext"/>
              <w:jc w:val="right"/>
              <w:rPr>
                <w:rFonts w:ascii="IBM Plex Sans Light" w:hAnsi="IBM Plex Sans Light"/>
                <w:b/>
                <w:color w:val="3D7FE0" w:themeColor="accent1"/>
                <w:sz w:val="18"/>
                <w:szCs w:val="18"/>
              </w:rPr>
            </w:pPr>
          </w:p>
        </w:tc>
        <w:tc>
          <w:tcPr>
            <w:tcW w:w="964" w:type="dxa"/>
            <w:tcBorders>
              <w:top w:val="single" w:sz="2" w:space="0" w:color="3D7FE0" w:themeColor="accent1"/>
              <w:bottom w:val="single" w:sz="2" w:space="0" w:color="3D7FE0" w:themeColor="accent1"/>
            </w:tcBorders>
            <w:shd w:val="clear" w:color="auto" w:fill="FFFFFF"/>
            <w:vAlign w:val="bottom"/>
          </w:tcPr>
          <w:p w14:paraId="6C9C958D"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p>
        </w:tc>
        <w:tc>
          <w:tcPr>
            <w:tcW w:w="964" w:type="dxa"/>
            <w:tcBorders>
              <w:top w:val="single" w:sz="2" w:space="0" w:color="3D7FE0" w:themeColor="accent1"/>
              <w:bottom w:val="single" w:sz="2" w:space="0" w:color="3D7FE0" w:themeColor="accent1"/>
            </w:tcBorders>
            <w:shd w:val="clear" w:color="auto" w:fill="FFFFFF"/>
            <w:vAlign w:val="bottom"/>
          </w:tcPr>
          <w:p w14:paraId="4E2233F7"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p>
        </w:tc>
        <w:tc>
          <w:tcPr>
            <w:tcW w:w="964" w:type="dxa"/>
            <w:tcBorders>
              <w:top w:val="single" w:sz="2" w:space="0" w:color="3D7FE0" w:themeColor="accent1"/>
              <w:bottom w:val="single" w:sz="2" w:space="0" w:color="3D7FE0" w:themeColor="accent1"/>
            </w:tcBorders>
            <w:shd w:val="clear" w:color="auto" w:fill="FFFFFF" w:themeFill="background1"/>
            <w:vAlign w:val="bottom"/>
          </w:tcPr>
          <w:p w14:paraId="11305A62" w14:textId="77777777" w:rsidR="00AE1E5C" w:rsidRPr="00024B10" w:rsidRDefault="00AE1E5C" w:rsidP="00024B10">
            <w:pPr>
              <w:pStyle w:val="TableFiguresBrackets"/>
              <w:rPr>
                <w:rFonts w:ascii="IBM Plex Sans Light" w:hAnsi="IBM Plex Sans Light"/>
                <w:color w:val="000000" w:themeColor="text1"/>
                <w:spacing w:val="-4"/>
                <w:sz w:val="18"/>
                <w:szCs w:val="18"/>
              </w:rPr>
            </w:pPr>
          </w:p>
        </w:tc>
      </w:tr>
      <w:tr w:rsidR="00AE1E5C" w:rsidRPr="00FC2914" w14:paraId="0A1856AF" w14:textId="77777777" w:rsidTr="004203CD">
        <w:tc>
          <w:tcPr>
            <w:tcW w:w="4195" w:type="dxa"/>
            <w:tcBorders>
              <w:top w:val="single" w:sz="2" w:space="0" w:color="3D7FE0" w:themeColor="accent1"/>
              <w:bottom w:val="single" w:sz="8" w:space="0" w:color="3D7FE0" w:themeColor="accent1"/>
            </w:tcBorders>
            <w:vAlign w:val="bottom"/>
          </w:tcPr>
          <w:p w14:paraId="5C990C60" w14:textId="77777777" w:rsidR="00AE1E5C" w:rsidRPr="00CF1AE8" w:rsidRDefault="00AE1E5C" w:rsidP="004203CD">
            <w:pPr>
              <w:pStyle w:val="Tabletext"/>
              <w:rPr>
                <w:rFonts w:ascii="IBM Plex Sans Light" w:hAnsi="IBM Plex Sans Light"/>
                <w:sz w:val="18"/>
                <w:szCs w:val="24"/>
              </w:rPr>
            </w:pPr>
            <w:r w:rsidRPr="00CF1AE8">
              <w:rPr>
                <w:rStyle w:val="Bold"/>
                <w:rFonts w:ascii="IBM Plex Sans Light" w:hAnsi="IBM Plex Sans Light" w:cs="IBM Plex Sans"/>
                <w:bCs/>
                <w:sz w:val="18"/>
                <w:szCs w:val="24"/>
              </w:rPr>
              <w:t>Adjusted net finance costs</w:t>
            </w:r>
          </w:p>
        </w:tc>
        <w:tc>
          <w:tcPr>
            <w:tcW w:w="964" w:type="dxa"/>
            <w:tcBorders>
              <w:top w:val="single" w:sz="2" w:space="0" w:color="3D7FE0" w:themeColor="accent1"/>
              <w:bottom w:val="single" w:sz="8" w:space="0" w:color="3D7FE0" w:themeColor="accent1"/>
            </w:tcBorders>
            <w:vAlign w:val="bottom"/>
          </w:tcPr>
          <w:p w14:paraId="767CA6DF"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(41.1)</w:t>
            </w:r>
          </w:p>
        </w:tc>
        <w:tc>
          <w:tcPr>
            <w:tcW w:w="964" w:type="dxa"/>
            <w:tcBorders>
              <w:top w:val="single" w:sz="2" w:space="0" w:color="3D7FE0" w:themeColor="accent1"/>
              <w:bottom w:val="single" w:sz="8" w:space="0" w:color="3D7FE0" w:themeColor="accent1"/>
            </w:tcBorders>
            <w:vAlign w:val="bottom"/>
          </w:tcPr>
          <w:p w14:paraId="271ABDB6"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(4.8)</w:t>
            </w:r>
          </w:p>
        </w:tc>
        <w:tc>
          <w:tcPr>
            <w:tcW w:w="964" w:type="dxa"/>
            <w:tcBorders>
              <w:top w:val="single" w:sz="2" w:space="0" w:color="3D7FE0" w:themeColor="accent1"/>
              <w:bottom w:val="single" w:sz="8" w:space="0" w:color="3D7FE0" w:themeColor="accent1"/>
            </w:tcBorders>
            <w:shd w:val="clear" w:color="auto" w:fill="FFFFFF"/>
            <w:vAlign w:val="bottom"/>
          </w:tcPr>
          <w:p w14:paraId="47ECBCF8"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(45.9)</w:t>
            </w:r>
          </w:p>
        </w:tc>
        <w:tc>
          <w:tcPr>
            <w:tcW w:w="964" w:type="dxa"/>
            <w:tcBorders>
              <w:top w:val="single" w:sz="2" w:space="0" w:color="3D7FE0" w:themeColor="accent1"/>
              <w:bottom w:val="single" w:sz="8" w:space="0" w:color="3D7FE0" w:themeColor="accent1"/>
            </w:tcBorders>
            <w:shd w:val="clear" w:color="auto" w:fill="FFFFFF"/>
            <w:vAlign w:val="bottom"/>
          </w:tcPr>
          <w:p w14:paraId="601A455E"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(47.3)</w:t>
            </w:r>
          </w:p>
        </w:tc>
        <w:tc>
          <w:tcPr>
            <w:tcW w:w="964" w:type="dxa"/>
            <w:tcBorders>
              <w:top w:val="single" w:sz="2" w:space="0" w:color="3D7FE0" w:themeColor="accent1"/>
              <w:bottom w:val="single" w:sz="8" w:space="0" w:color="3D7FE0" w:themeColor="accent1"/>
            </w:tcBorders>
            <w:shd w:val="clear" w:color="auto" w:fill="FFFFFF"/>
            <w:vAlign w:val="bottom"/>
          </w:tcPr>
          <w:p w14:paraId="6AE407BB"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(6.7)</w:t>
            </w:r>
          </w:p>
        </w:tc>
        <w:tc>
          <w:tcPr>
            <w:tcW w:w="964" w:type="dxa"/>
            <w:tcBorders>
              <w:top w:val="single" w:sz="2" w:space="0" w:color="3D7FE0" w:themeColor="accent1"/>
              <w:bottom w:val="single" w:sz="8" w:space="0" w:color="3D7FE0" w:themeColor="accent1"/>
            </w:tcBorders>
            <w:shd w:val="clear" w:color="auto" w:fill="FFFFFF" w:themeFill="background1"/>
            <w:vAlign w:val="bottom"/>
          </w:tcPr>
          <w:p w14:paraId="49096FF1" w14:textId="77777777" w:rsidR="00AE1E5C" w:rsidRPr="00024B10" w:rsidRDefault="00AE1E5C" w:rsidP="00024B10">
            <w:pPr>
              <w:pStyle w:val="TableFiguresBrackets"/>
              <w:rPr>
                <w:rFonts w:ascii="IBM Plex Sans Light" w:hAnsi="IBM Plex Sans Light"/>
                <w:color w:val="000000" w:themeColor="text1"/>
                <w:spacing w:val="-4"/>
                <w:sz w:val="18"/>
                <w:szCs w:val="18"/>
              </w:rPr>
            </w:pPr>
            <w:r w:rsidRPr="00024B10">
              <w:rPr>
                <w:rFonts w:ascii="IBM Plex Sans Light" w:hAnsi="IBM Plex Sans Light"/>
                <w:bCs/>
                <w:color w:val="000000" w:themeColor="text1"/>
                <w:spacing w:val="-4"/>
                <w:sz w:val="18"/>
                <w:szCs w:val="18"/>
              </w:rPr>
              <w:t>(54.0)</w:t>
            </w:r>
          </w:p>
        </w:tc>
      </w:tr>
      <w:tr w:rsidR="00AE1E5C" w:rsidRPr="00FC2914" w14:paraId="5A5D2428" w14:textId="77777777" w:rsidTr="004203CD">
        <w:tc>
          <w:tcPr>
            <w:tcW w:w="4195" w:type="dxa"/>
            <w:tcBorders>
              <w:top w:val="single" w:sz="8" w:space="0" w:color="3D7FE0" w:themeColor="accent1"/>
            </w:tcBorders>
            <w:vAlign w:val="bottom"/>
          </w:tcPr>
          <w:p w14:paraId="62C21ACA" w14:textId="77777777" w:rsidR="00AE1E5C" w:rsidRPr="00CF1AE8" w:rsidRDefault="00AE1E5C" w:rsidP="004203CD">
            <w:pPr>
              <w:pStyle w:val="Tabletext"/>
              <w:rPr>
                <w:rFonts w:ascii="IBM Plex Sans Light" w:hAnsi="IBM Plex Sans Light"/>
                <w:sz w:val="18"/>
                <w:szCs w:val="24"/>
              </w:rPr>
            </w:pPr>
            <w:r w:rsidRPr="00CF1AE8">
              <w:rPr>
                <w:rFonts w:ascii="IBM Plex Sans Light" w:hAnsi="IBM Plex Sans Light"/>
                <w:sz w:val="18"/>
                <w:szCs w:val="24"/>
              </w:rPr>
              <w:t>Debt and loan facility cancellation costs</w:t>
            </w:r>
          </w:p>
        </w:tc>
        <w:tc>
          <w:tcPr>
            <w:tcW w:w="964" w:type="dxa"/>
            <w:tcBorders>
              <w:top w:val="single" w:sz="8" w:space="0" w:color="3D7FE0" w:themeColor="accent1"/>
            </w:tcBorders>
            <w:vAlign w:val="bottom"/>
          </w:tcPr>
          <w:p w14:paraId="4B8A9F75"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w:t>
            </w:r>
          </w:p>
        </w:tc>
        <w:tc>
          <w:tcPr>
            <w:tcW w:w="964" w:type="dxa"/>
            <w:tcBorders>
              <w:top w:val="single" w:sz="8" w:space="0" w:color="3D7FE0" w:themeColor="accent1"/>
            </w:tcBorders>
            <w:vAlign w:val="bottom"/>
          </w:tcPr>
          <w:p w14:paraId="201430CF"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w:t>
            </w:r>
          </w:p>
        </w:tc>
        <w:tc>
          <w:tcPr>
            <w:tcW w:w="964" w:type="dxa"/>
            <w:tcBorders>
              <w:top w:val="single" w:sz="8" w:space="0" w:color="3D7FE0" w:themeColor="accent1"/>
            </w:tcBorders>
            <w:shd w:val="clear" w:color="auto" w:fill="FFFFFF"/>
            <w:vAlign w:val="bottom"/>
          </w:tcPr>
          <w:p w14:paraId="41A13EDB"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w:t>
            </w:r>
          </w:p>
        </w:tc>
        <w:tc>
          <w:tcPr>
            <w:tcW w:w="964" w:type="dxa"/>
            <w:tcBorders>
              <w:top w:val="single" w:sz="8" w:space="0" w:color="3D7FE0" w:themeColor="accent1"/>
            </w:tcBorders>
            <w:shd w:val="clear" w:color="auto" w:fill="FFFFFF"/>
            <w:vAlign w:val="bottom"/>
          </w:tcPr>
          <w:p w14:paraId="61F5203D" w14:textId="77777777" w:rsidR="00AE1E5C" w:rsidRPr="00024B10" w:rsidRDefault="00AE1E5C" w:rsidP="00024B10">
            <w:pPr>
              <w:pStyle w:val="TableFiguresBrackets"/>
              <w:rPr>
                <w:rFonts w:ascii="IBM Plex Sans Light" w:hAnsi="IBM Plex Sans Light"/>
                <w:bCs/>
                <w:color w:val="000000" w:themeColor="text1"/>
                <w:sz w:val="18"/>
                <w:szCs w:val="18"/>
              </w:rPr>
            </w:pPr>
            <w:r w:rsidRPr="00024B10">
              <w:rPr>
                <w:rFonts w:ascii="IBM Plex Sans Light" w:hAnsi="IBM Plex Sans Light"/>
                <w:bCs/>
                <w:color w:val="000000" w:themeColor="text1"/>
                <w:sz w:val="18"/>
                <w:szCs w:val="18"/>
              </w:rPr>
              <w:t>(1.3)</w:t>
            </w:r>
          </w:p>
        </w:tc>
        <w:tc>
          <w:tcPr>
            <w:tcW w:w="964" w:type="dxa"/>
            <w:tcBorders>
              <w:top w:val="single" w:sz="8" w:space="0" w:color="3D7FE0" w:themeColor="accent1"/>
            </w:tcBorders>
            <w:shd w:val="clear" w:color="auto" w:fill="FFFFFF"/>
            <w:vAlign w:val="bottom"/>
          </w:tcPr>
          <w:p w14:paraId="13E2A558" w14:textId="77777777" w:rsidR="00AE1E5C" w:rsidRPr="00024B10" w:rsidRDefault="00AE1E5C" w:rsidP="00024B10">
            <w:pPr>
              <w:pStyle w:val="TableFiguresBold"/>
              <w:rPr>
                <w:rFonts w:ascii="IBM Plex Sans Light" w:hAnsi="IBM Plex Sans Light"/>
                <w:color w:val="000000" w:themeColor="text1"/>
                <w:sz w:val="18"/>
                <w:szCs w:val="18"/>
              </w:rPr>
            </w:pPr>
            <w:r w:rsidRPr="00024B10">
              <w:rPr>
                <w:rFonts w:ascii="IBM Plex Sans Light" w:hAnsi="IBM Plex Sans Light"/>
                <w:b w:val="0"/>
                <w:color w:val="000000" w:themeColor="text1"/>
                <w:sz w:val="18"/>
                <w:szCs w:val="18"/>
              </w:rPr>
              <w:t>–</w:t>
            </w:r>
          </w:p>
        </w:tc>
        <w:tc>
          <w:tcPr>
            <w:tcW w:w="964" w:type="dxa"/>
            <w:tcBorders>
              <w:top w:val="single" w:sz="8" w:space="0" w:color="3D7FE0" w:themeColor="accent1"/>
            </w:tcBorders>
            <w:shd w:val="clear" w:color="auto" w:fill="FFFFFF" w:themeFill="background1"/>
            <w:vAlign w:val="bottom"/>
          </w:tcPr>
          <w:p w14:paraId="78EDEAFF" w14:textId="77777777" w:rsidR="00AE1E5C" w:rsidRPr="00024B10" w:rsidRDefault="00AE1E5C" w:rsidP="00024B10">
            <w:pPr>
              <w:pStyle w:val="TableFiguresBrackets"/>
              <w:rPr>
                <w:rFonts w:ascii="IBM Plex Sans Light" w:hAnsi="IBM Plex Sans Light"/>
                <w:b/>
                <w:bCs/>
                <w:color w:val="000000" w:themeColor="text1"/>
                <w:sz w:val="18"/>
                <w:szCs w:val="18"/>
              </w:rPr>
            </w:pPr>
            <w:r w:rsidRPr="00024B10">
              <w:rPr>
                <w:rFonts w:ascii="IBM Plex Sans Light" w:hAnsi="IBM Plex Sans Light"/>
                <w:bCs/>
                <w:color w:val="000000" w:themeColor="text1"/>
                <w:sz w:val="18"/>
                <w:szCs w:val="18"/>
              </w:rPr>
              <w:t>(1.3)</w:t>
            </w:r>
          </w:p>
        </w:tc>
      </w:tr>
      <w:tr w:rsidR="00AE1E5C" w:rsidRPr="00FC2914" w14:paraId="2B8E4241" w14:textId="77777777" w:rsidTr="004203CD">
        <w:tc>
          <w:tcPr>
            <w:tcW w:w="4195" w:type="dxa"/>
            <w:vAlign w:val="bottom"/>
          </w:tcPr>
          <w:p w14:paraId="4241058C" w14:textId="77777777" w:rsidR="00AE1E5C" w:rsidRPr="00CF1AE8" w:rsidRDefault="00AE1E5C" w:rsidP="004203CD">
            <w:pPr>
              <w:pStyle w:val="Tabletext"/>
              <w:rPr>
                <w:rFonts w:ascii="IBM Plex Sans Light" w:hAnsi="IBM Plex Sans Light"/>
                <w:b/>
                <w:bCs/>
                <w:sz w:val="18"/>
                <w:szCs w:val="24"/>
              </w:rPr>
            </w:pPr>
            <w:r w:rsidRPr="00CF1AE8">
              <w:rPr>
                <w:rFonts w:ascii="IBM Plex Sans Light" w:hAnsi="IBM Plex Sans Light"/>
                <w:sz w:val="18"/>
                <w:szCs w:val="24"/>
              </w:rPr>
              <w:t>Discount on redemption of bonds</w:t>
            </w:r>
          </w:p>
        </w:tc>
        <w:tc>
          <w:tcPr>
            <w:tcW w:w="964" w:type="dxa"/>
            <w:vAlign w:val="bottom"/>
          </w:tcPr>
          <w:p w14:paraId="537E9EBB"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4.3</w:t>
            </w:r>
          </w:p>
        </w:tc>
        <w:tc>
          <w:tcPr>
            <w:tcW w:w="964" w:type="dxa"/>
            <w:vAlign w:val="bottom"/>
          </w:tcPr>
          <w:p w14:paraId="3B9C41BA"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w:t>
            </w:r>
          </w:p>
        </w:tc>
        <w:tc>
          <w:tcPr>
            <w:tcW w:w="964" w:type="dxa"/>
            <w:shd w:val="clear" w:color="auto" w:fill="FFFFFF"/>
            <w:vAlign w:val="bottom"/>
          </w:tcPr>
          <w:p w14:paraId="74925595"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4.3</w:t>
            </w:r>
          </w:p>
        </w:tc>
        <w:tc>
          <w:tcPr>
            <w:tcW w:w="964" w:type="dxa"/>
            <w:shd w:val="clear" w:color="auto" w:fill="FFFFFF"/>
            <w:vAlign w:val="bottom"/>
          </w:tcPr>
          <w:p w14:paraId="2CEA2D3E" w14:textId="77777777" w:rsidR="00AE1E5C" w:rsidRPr="00024B10" w:rsidRDefault="00AE1E5C" w:rsidP="004203CD">
            <w:pPr>
              <w:pStyle w:val="Tabletext"/>
              <w:jc w:val="right"/>
              <w:rPr>
                <w:rFonts w:ascii="IBM Plex Sans Light" w:hAnsi="IBM Plex Sans Light"/>
                <w:bCs/>
                <w:color w:val="000000" w:themeColor="text1"/>
                <w:sz w:val="18"/>
                <w:szCs w:val="18"/>
              </w:rPr>
            </w:pPr>
            <w:r w:rsidRPr="00024B10">
              <w:rPr>
                <w:rFonts w:ascii="IBM Plex Sans Light" w:hAnsi="IBM Plex Sans Light"/>
                <w:bCs/>
                <w:color w:val="000000" w:themeColor="text1"/>
                <w:sz w:val="18"/>
                <w:szCs w:val="18"/>
              </w:rPr>
              <w:t>–</w:t>
            </w:r>
          </w:p>
        </w:tc>
        <w:tc>
          <w:tcPr>
            <w:tcW w:w="964" w:type="dxa"/>
            <w:shd w:val="clear" w:color="auto" w:fill="FFFFFF"/>
            <w:vAlign w:val="bottom"/>
          </w:tcPr>
          <w:p w14:paraId="2ED65D98" w14:textId="77777777" w:rsidR="00AE1E5C" w:rsidRPr="00024B10" w:rsidRDefault="00AE1E5C" w:rsidP="00024B10">
            <w:pPr>
              <w:pStyle w:val="TableFiguresBold"/>
              <w:rPr>
                <w:rFonts w:ascii="IBM Plex Sans Light" w:hAnsi="IBM Plex Sans Light"/>
                <w:color w:val="000000" w:themeColor="text1"/>
                <w:sz w:val="18"/>
                <w:szCs w:val="18"/>
              </w:rPr>
            </w:pPr>
            <w:r w:rsidRPr="00024B10">
              <w:rPr>
                <w:rFonts w:ascii="IBM Plex Sans Light" w:hAnsi="IBM Plex Sans Light"/>
                <w:b w:val="0"/>
                <w:color w:val="000000" w:themeColor="text1"/>
                <w:sz w:val="18"/>
                <w:szCs w:val="18"/>
              </w:rPr>
              <w:t>–</w:t>
            </w:r>
          </w:p>
        </w:tc>
        <w:tc>
          <w:tcPr>
            <w:tcW w:w="964" w:type="dxa"/>
            <w:shd w:val="clear" w:color="auto" w:fill="FFFFFF" w:themeFill="background1"/>
            <w:vAlign w:val="bottom"/>
          </w:tcPr>
          <w:p w14:paraId="70D1614A" w14:textId="77777777" w:rsidR="00AE1E5C" w:rsidRPr="00024B10" w:rsidRDefault="00AE1E5C" w:rsidP="004203CD">
            <w:pPr>
              <w:pStyle w:val="TableFiguresBold"/>
              <w:rPr>
                <w:rFonts w:ascii="IBM Plex Sans Light" w:hAnsi="IBM Plex Sans Light"/>
                <w:b w:val="0"/>
                <w:color w:val="000000" w:themeColor="text1"/>
                <w:sz w:val="18"/>
                <w:szCs w:val="18"/>
              </w:rPr>
            </w:pPr>
            <w:r w:rsidRPr="00024B10">
              <w:rPr>
                <w:rFonts w:ascii="IBM Plex Sans Light" w:hAnsi="IBM Plex Sans Light"/>
                <w:b w:val="0"/>
                <w:color w:val="000000" w:themeColor="text1"/>
                <w:sz w:val="18"/>
                <w:szCs w:val="18"/>
              </w:rPr>
              <w:t>–</w:t>
            </w:r>
          </w:p>
        </w:tc>
      </w:tr>
      <w:tr w:rsidR="00AE1E5C" w:rsidRPr="00FC2914" w14:paraId="621EA930" w14:textId="77777777" w:rsidTr="004203CD">
        <w:tc>
          <w:tcPr>
            <w:tcW w:w="4195" w:type="dxa"/>
            <w:tcBorders>
              <w:bottom w:val="single" w:sz="2" w:space="0" w:color="3D7FE0" w:themeColor="accent1"/>
            </w:tcBorders>
            <w:vAlign w:val="bottom"/>
          </w:tcPr>
          <w:p w14:paraId="0B908086" w14:textId="77777777" w:rsidR="00AE1E5C" w:rsidRPr="00CF1AE8" w:rsidRDefault="00AE1E5C" w:rsidP="004203CD">
            <w:pPr>
              <w:pStyle w:val="Tabletext"/>
              <w:rPr>
                <w:rFonts w:ascii="IBM Plex Sans Light" w:hAnsi="IBM Plex Sans Light"/>
                <w:sz w:val="18"/>
                <w:szCs w:val="24"/>
              </w:rPr>
            </w:pPr>
            <w:r w:rsidRPr="00CF1AE8">
              <w:rPr>
                <w:rFonts w:ascii="IBM Plex Sans Light" w:hAnsi="IBM Plex Sans Light"/>
                <w:sz w:val="18"/>
                <w:szCs w:val="24"/>
              </w:rPr>
              <w:t>Change in fair value of derivatives</w:t>
            </w:r>
          </w:p>
        </w:tc>
        <w:tc>
          <w:tcPr>
            <w:tcW w:w="964" w:type="dxa"/>
            <w:tcBorders>
              <w:bottom w:val="single" w:sz="2" w:space="0" w:color="3D7FE0" w:themeColor="accent1"/>
            </w:tcBorders>
            <w:vAlign w:val="bottom"/>
          </w:tcPr>
          <w:p w14:paraId="419F3E0A" w14:textId="77777777" w:rsidR="00AE1E5C" w:rsidRPr="00024B10" w:rsidRDefault="00AE1E5C" w:rsidP="004203CD">
            <w:pPr>
              <w:pStyle w:val="Tabletext"/>
              <w:jc w:val="right"/>
              <w:rPr>
                <w:rStyle w:val="BoldBlue"/>
                <w:rFonts w:cs="IBM Plex Sans"/>
                <w:bCs w:val="0"/>
                <w:color w:val="3D7FE0" w:themeColor="accent1"/>
              </w:rPr>
            </w:pPr>
            <w:r w:rsidRPr="00F90775">
              <w:rPr>
                <w:rStyle w:val="BoldBlue"/>
                <w:rFonts w:ascii="IBM Plex Sans Light" w:hAnsi="IBM Plex Sans Light" w:cs="IBM Plex Sans"/>
                <w:bCs w:val="0"/>
                <w:color w:val="3D7FE0" w:themeColor="accent1"/>
                <w:sz w:val="18"/>
                <w:szCs w:val="18"/>
              </w:rPr>
              <w:t>0.7</w:t>
            </w:r>
          </w:p>
        </w:tc>
        <w:tc>
          <w:tcPr>
            <w:tcW w:w="964" w:type="dxa"/>
            <w:tcBorders>
              <w:bottom w:val="single" w:sz="2" w:space="0" w:color="3D7FE0" w:themeColor="accent1"/>
            </w:tcBorders>
            <w:vAlign w:val="bottom"/>
          </w:tcPr>
          <w:p w14:paraId="151BE9AA"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(1.8)</w:t>
            </w:r>
          </w:p>
        </w:tc>
        <w:tc>
          <w:tcPr>
            <w:tcW w:w="964" w:type="dxa"/>
            <w:tcBorders>
              <w:bottom w:val="single" w:sz="2" w:space="0" w:color="3D7FE0" w:themeColor="accent1"/>
            </w:tcBorders>
            <w:shd w:val="clear" w:color="auto" w:fill="FFFFFF"/>
            <w:vAlign w:val="bottom"/>
          </w:tcPr>
          <w:p w14:paraId="6ADFE50A"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(1.1)</w:t>
            </w:r>
          </w:p>
        </w:tc>
        <w:tc>
          <w:tcPr>
            <w:tcW w:w="964" w:type="dxa"/>
            <w:tcBorders>
              <w:bottom w:val="single" w:sz="2" w:space="0" w:color="3D7FE0" w:themeColor="accent1"/>
            </w:tcBorders>
            <w:shd w:val="clear" w:color="auto" w:fill="FFFFFF"/>
            <w:vAlign w:val="bottom"/>
          </w:tcPr>
          <w:p w14:paraId="2A629902" w14:textId="77777777" w:rsidR="00AE1E5C" w:rsidRPr="00024B10" w:rsidRDefault="00AE1E5C" w:rsidP="00024B10">
            <w:pPr>
              <w:pStyle w:val="TableFiguresBrackets"/>
              <w:rPr>
                <w:rFonts w:ascii="IBM Plex Sans Light" w:hAnsi="IBM Plex Sans Light"/>
                <w:bCs/>
                <w:color w:val="000000" w:themeColor="text1"/>
                <w:sz w:val="18"/>
                <w:szCs w:val="18"/>
              </w:rPr>
            </w:pPr>
            <w:r w:rsidRPr="00024B10">
              <w:rPr>
                <w:rFonts w:ascii="IBM Plex Sans Light" w:hAnsi="IBM Plex Sans Light"/>
                <w:bCs/>
                <w:color w:val="000000" w:themeColor="text1"/>
                <w:sz w:val="18"/>
                <w:szCs w:val="18"/>
              </w:rPr>
              <w:t>(14.4)</w:t>
            </w:r>
          </w:p>
        </w:tc>
        <w:tc>
          <w:tcPr>
            <w:tcW w:w="964" w:type="dxa"/>
            <w:tcBorders>
              <w:bottom w:val="single" w:sz="2" w:space="0" w:color="3D7FE0" w:themeColor="accent1"/>
            </w:tcBorders>
            <w:shd w:val="clear" w:color="auto" w:fill="FFFFFF"/>
            <w:vAlign w:val="bottom"/>
          </w:tcPr>
          <w:p w14:paraId="2394BC9E" w14:textId="77777777" w:rsidR="00AE1E5C" w:rsidRPr="00024B10" w:rsidRDefault="00AE1E5C" w:rsidP="00024B10">
            <w:pPr>
              <w:pStyle w:val="TableFiguresBold"/>
              <w:rPr>
                <w:rFonts w:ascii="IBM Plex Sans Light" w:hAnsi="IBM Plex Sans Light"/>
                <w:color w:val="000000" w:themeColor="text1"/>
                <w:sz w:val="18"/>
                <w:szCs w:val="18"/>
              </w:rPr>
            </w:pPr>
            <w:r w:rsidRPr="00024B10">
              <w:rPr>
                <w:rFonts w:ascii="IBM Plex Sans Light" w:hAnsi="IBM Plex Sans Light"/>
                <w:b w:val="0"/>
                <w:color w:val="000000" w:themeColor="text1"/>
                <w:sz w:val="18"/>
                <w:szCs w:val="18"/>
              </w:rPr>
              <w:t>4.1</w:t>
            </w:r>
          </w:p>
        </w:tc>
        <w:tc>
          <w:tcPr>
            <w:tcW w:w="964" w:type="dxa"/>
            <w:tcBorders>
              <w:bottom w:val="single" w:sz="2" w:space="0" w:color="3D7FE0" w:themeColor="accent1"/>
            </w:tcBorders>
            <w:shd w:val="clear" w:color="auto" w:fill="FFFFFF" w:themeFill="background1"/>
            <w:vAlign w:val="bottom"/>
          </w:tcPr>
          <w:p w14:paraId="1C14B98A" w14:textId="77777777" w:rsidR="00AE1E5C" w:rsidRPr="00024B10" w:rsidRDefault="00AE1E5C" w:rsidP="00024B10">
            <w:pPr>
              <w:pStyle w:val="TableFiguresBrackets"/>
              <w:rPr>
                <w:rFonts w:ascii="IBM Plex Sans Light" w:hAnsi="IBM Plex Sans Light"/>
                <w:b/>
                <w:bCs/>
                <w:color w:val="000000" w:themeColor="text1"/>
                <w:sz w:val="18"/>
                <w:szCs w:val="18"/>
              </w:rPr>
            </w:pPr>
            <w:r w:rsidRPr="00024B10">
              <w:rPr>
                <w:rFonts w:ascii="IBM Plex Sans Light" w:hAnsi="IBM Plex Sans Light"/>
                <w:bCs/>
                <w:color w:val="000000" w:themeColor="text1"/>
                <w:sz w:val="18"/>
                <w:szCs w:val="18"/>
              </w:rPr>
              <w:t>(10.3)</w:t>
            </w:r>
          </w:p>
        </w:tc>
      </w:tr>
      <w:tr w:rsidR="00AE1E5C" w:rsidRPr="00FC2914" w14:paraId="4C95BA65" w14:textId="77777777" w:rsidTr="004203CD">
        <w:tc>
          <w:tcPr>
            <w:tcW w:w="4195" w:type="dxa"/>
            <w:tcBorders>
              <w:top w:val="single" w:sz="2" w:space="0" w:color="3D7FE0" w:themeColor="accent1"/>
              <w:bottom w:val="single" w:sz="8" w:space="0" w:color="3D7FE0" w:themeColor="accent1"/>
            </w:tcBorders>
            <w:vAlign w:val="bottom"/>
          </w:tcPr>
          <w:p w14:paraId="4D4D9045" w14:textId="77777777" w:rsidR="00AE1E5C" w:rsidRPr="00CF1AE8" w:rsidRDefault="00AE1E5C" w:rsidP="004203CD">
            <w:pPr>
              <w:pStyle w:val="Tabletext"/>
              <w:rPr>
                <w:rFonts w:ascii="IBM Plex Sans Light" w:hAnsi="IBM Plex Sans Light"/>
                <w:sz w:val="18"/>
                <w:szCs w:val="24"/>
              </w:rPr>
            </w:pPr>
            <w:r w:rsidRPr="00CF1AE8">
              <w:rPr>
                <w:rStyle w:val="Bold"/>
                <w:rFonts w:ascii="IBM Plex Sans Light" w:hAnsi="IBM Plex Sans Light" w:cs="IBM Plex Sans"/>
                <w:bCs/>
                <w:sz w:val="18"/>
                <w:szCs w:val="24"/>
              </w:rPr>
              <w:t>IFRS net finance costs</w:t>
            </w:r>
          </w:p>
        </w:tc>
        <w:tc>
          <w:tcPr>
            <w:tcW w:w="964" w:type="dxa"/>
            <w:tcBorders>
              <w:top w:val="single" w:sz="2" w:space="0" w:color="3D7FE0" w:themeColor="accent1"/>
              <w:bottom w:val="single" w:sz="8" w:space="0" w:color="3D7FE0" w:themeColor="accent1"/>
            </w:tcBorders>
            <w:vAlign w:val="bottom"/>
          </w:tcPr>
          <w:p w14:paraId="33A48E3E"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(36.1)</w:t>
            </w:r>
          </w:p>
        </w:tc>
        <w:tc>
          <w:tcPr>
            <w:tcW w:w="964" w:type="dxa"/>
            <w:tcBorders>
              <w:top w:val="single" w:sz="2" w:space="0" w:color="3D7FE0" w:themeColor="accent1"/>
              <w:bottom w:val="single" w:sz="8" w:space="0" w:color="3D7FE0" w:themeColor="accent1"/>
            </w:tcBorders>
            <w:vAlign w:val="bottom"/>
          </w:tcPr>
          <w:p w14:paraId="4AF1BEEF"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(6.6)</w:t>
            </w:r>
          </w:p>
        </w:tc>
        <w:tc>
          <w:tcPr>
            <w:tcW w:w="964" w:type="dxa"/>
            <w:tcBorders>
              <w:top w:val="single" w:sz="2" w:space="0" w:color="3D7FE0" w:themeColor="accent1"/>
              <w:bottom w:val="single" w:sz="8" w:space="0" w:color="3D7FE0" w:themeColor="accent1"/>
            </w:tcBorders>
            <w:shd w:val="clear" w:color="auto" w:fill="FFFFFF"/>
            <w:vAlign w:val="bottom"/>
          </w:tcPr>
          <w:p w14:paraId="3736AB92"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(42.7)</w:t>
            </w:r>
          </w:p>
        </w:tc>
        <w:tc>
          <w:tcPr>
            <w:tcW w:w="964" w:type="dxa"/>
            <w:tcBorders>
              <w:top w:val="single" w:sz="2" w:space="0" w:color="3D7FE0" w:themeColor="accent1"/>
              <w:bottom w:val="single" w:sz="8" w:space="0" w:color="3D7FE0" w:themeColor="accent1"/>
            </w:tcBorders>
            <w:shd w:val="clear" w:color="auto" w:fill="FFFFFF"/>
            <w:vAlign w:val="bottom"/>
          </w:tcPr>
          <w:p w14:paraId="4760C439" w14:textId="77777777" w:rsidR="00AE1E5C" w:rsidRPr="00024B10" w:rsidRDefault="00AE1E5C" w:rsidP="00024B10">
            <w:pPr>
              <w:pStyle w:val="TableFiguresBrackets"/>
              <w:rPr>
                <w:rFonts w:ascii="IBM Plex Sans Light" w:hAnsi="IBM Plex Sans Light"/>
                <w:bCs/>
                <w:color w:val="000000" w:themeColor="text1"/>
                <w:sz w:val="18"/>
                <w:szCs w:val="18"/>
              </w:rPr>
            </w:pPr>
            <w:r w:rsidRPr="00024B10">
              <w:rPr>
                <w:rFonts w:ascii="IBM Plex Sans Light" w:hAnsi="IBM Plex Sans Light"/>
                <w:bCs/>
                <w:color w:val="000000" w:themeColor="text1"/>
                <w:sz w:val="18"/>
                <w:szCs w:val="18"/>
              </w:rPr>
              <w:t>(63.0)</w:t>
            </w:r>
          </w:p>
        </w:tc>
        <w:tc>
          <w:tcPr>
            <w:tcW w:w="964" w:type="dxa"/>
            <w:tcBorders>
              <w:top w:val="single" w:sz="2" w:space="0" w:color="3D7FE0" w:themeColor="accent1"/>
              <w:bottom w:val="single" w:sz="8" w:space="0" w:color="3D7FE0" w:themeColor="accent1"/>
            </w:tcBorders>
            <w:shd w:val="clear" w:color="auto" w:fill="FFFFFF"/>
            <w:vAlign w:val="bottom"/>
          </w:tcPr>
          <w:p w14:paraId="6654A3C9" w14:textId="77777777" w:rsidR="00AE1E5C" w:rsidRPr="00024B10" w:rsidRDefault="00AE1E5C" w:rsidP="00024B10">
            <w:pPr>
              <w:pStyle w:val="TableFiguresBrackets"/>
              <w:rPr>
                <w:rFonts w:ascii="IBM Plex Sans Light" w:hAnsi="IBM Plex Sans Light"/>
                <w:bCs/>
                <w:color w:val="000000" w:themeColor="text1"/>
                <w:spacing w:val="-4"/>
                <w:sz w:val="18"/>
                <w:szCs w:val="18"/>
              </w:rPr>
            </w:pPr>
            <w:r w:rsidRPr="00024B10">
              <w:rPr>
                <w:rFonts w:ascii="IBM Plex Sans Light" w:hAnsi="IBM Plex Sans Light"/>
                <w:bCs/>
                <w:color w:val="000000" w:themeColor="text1"/>
                <w:spacing w:val="-4"/>
                <w:sz w:val="18"/>
                <w:szCs w:val="18"/>
              </w:rPr>
              <w:t>(2.6)</w:t>
            </w:r>
          </w:p>
        </w:tc>
        <w:tc>
          <w:tcPr>
            <w:tcW w:w="964" w:type="dxa"/>
            <w:tcBorders>
              <w:top w:val="single" w:sz="2" w:space="0" w:color="3D7FE0" w:themeColor="accent1"/>
              <w:bottom w:val="single" w:sz="8" w:space="0" w:color="3D7FE0" w:themeColor="accent1"/>
            </w:tcBorders>
            <w:shd w:val="clear" w:color="auto" w:fill="FFFFFF" w:themeFill="background1"/>
            <w:vAlign w:val="bottom"/>
          </w:tcPr>
          <w:p w14:paraId="581C3122" w14:textId="77777777" w:rsidR="00AE1E5C" w:rsidRPr="00024B10" w:rsidRDefault="00AE1E5C" w:rsidP="00024B10">
            <w:pPr>
              <w:pStyle w:val="TableFiguresBrackets"/>
              <w:rPr>
                <w:rFonts w:ascii="IBM Plex Sans Light" w:hAnsi="IBM Plex Sans Light"/>
                <w:b/>
                <w:bCs/>
                <w:color w:val="000000" w:themeColor="text1"/>
                <w:sz w:val="18"/>
                <w:szCs w:val="18"/>
              </w:rPr>
            </w:pPr>
            <w:r w:rsidRPr="00024B10">
              <w:rPr>
                <w:rFonts w:ascii="IBM Plex Sans Light" w:hAnsi="IBM Plex Sans Light"/>
                <w:bCs/>
                <w:color w:val="000000" w:themeColor="text1"/>
                <w:sz w:val="18"/>
                <w:szCs w:val="18"/>
              </w:rPr>
              <w:t>(65.6)</w:t>
            </w:r>
          </w:p>
        </w:tc>
      </w:tr>
    </w:tbl>
    <w:p w14:paraId="271C94C0" w14:textId="77777777" w:rsidR="00AE1E5C" w:rsidRDefault="00AE1E5C" w:rsidP="00AE1E5C">
      <w:pPr>
        <w:pStyle w:val="04BodyCopyFronttext9105"/>
      </w:pPr>
    </w:p>
    <w:p w14:paraId="0E835E59" w14:textId="77777777" w:rsidR="00AE1E5C" w:rsidRDefault="00AE1E5C" w:rsidP="00AE1E5C">
      <w:pPr>
        <w:pStyle w:val="04BodyCopyFronttext9105"/>
      </w:pPr>
      <w:r>
        <w:t xml:space="preserve">Adjusted net finance costs were £45.9m, a decrease of £8.1m compared with 2022. The decrease was driven by the benefits of deleveraging since the start of 2022, early repayment of debt utilising proceeds from disposals, the related restructuring of hedging derivatives and higher interest income from cash deposits benefiting from the higher interest rate environment. </w:t>
      </w:r>
    </w:p>
    <w:p w14:paraId="60C73294" w14:textId="558DF7FB" w:rsidR="00AE1E5C" w:rsidRDefault="00AE1E5C" w:rsidP="00AE1E5C">
      <w:pPr>
        <w:pStyle w:val="04BodyCopyFronttext9105"/>
        <w:spacing w:before="120"/>
      </w:pPr>
      <w:r>
        <w:t xml:space="preserve">In the second half of 2023, we repurchased £12m of the Group’s £350m 3.5% bonds maturing in 2025 and £88m of the Group’s 6.0% bonds maturing in 2026 at £4.3m below book value. This latter amount has been recognised in finance income in 2023, and given its one-off nature has been excluded from the Group’s </w:t>
      </w:r>
      <w:r w:rsidR="008B3C5C">
        <w:t>A</w:t>
      </w:r>
      <w:r>
        <w:t>djusted earnings.</w:t>
      </w:r>
    </w:p>
    <w:p w14:paraId="54EC4516" w14:textId="77777777" w:rsidR="00AE1E5C" w:rsidRDefault="00AE1E5C" w:rsidP="00AE1E5C">
      <w:pPr>
        <w:pStyle w:val="04BodyCopyFronttext9105"/>
      </w:pPr>
    </w:p>
    <w:p w14:paraId="0723375C" w14:textId="77777777" w:rsidR="00AE1E5C" w:rsidRPr="00EE22AA" w:rsidRDefault="00AE1E5C" w:rsidP="00AE1E5C">
      <w:pPr>
        <w:pStyle w:val="06SubHeading2Fronttext9105"/>
        <w:rPr>
          <w:color w:val="3D7FE0" w:themeColor="accent1"/>
        </w:rPr>
      </w:pPr>
      <w:r w:rsidRPr="00EE22AA">
        <w:rPr>
          <w:color w:val="3D7FE0" w:themeColor="accent1"/>
        </w:rPr>
        <w:t xml:space="preserve">Tax </w:t>
      </w:r>
    </w:p>
    <w:p w14:paraId="6D0F7A25" w14:textId="77777777" w:rsidR="00AE1E5C" w:rsidRDefault="00AE1E5C" w:rsidP="00AE1E5C">
      <w:pPr>
        <w:pStyle w:val="04BodyCopyFronttext9105"/>
      </w:pPr>
      <w:r>
        <w:t>Due to the Group having tax exempt status in its principal operating countries the tax charge, on a proportionally consolidated basis, remained low at £0.8m (2022: £0.5m).</w:t>
      </w:r>
    </w:p>
    <w:p w14:paraId="05CDC05A" w14:textId="77777777" w:rsidR="00AE1E5C" w:rsidRPr="00EE22AA" w:rsidRDefault="00AE1E5C" w:rsidP="00AE1E5C">
      <w:pPr>
        <w:pStyle w:val="04BodyCopyFronttext9105"/>
        <w:spacing w:before="120"/>
        <w:rPr>
          <w:rFonts w:ascii="IBM Plex Sans" w:hAnsi="IBM Plex Sans" w:cs="IBM Plex Sans"/>
          <w:b/>
          <w:bCs/>
          <w:color w:val="auto"/>
        </w:rPr>
      </w:pPr>
      <w:r>
        <w:t>The low tax charge reflects that the Group benefits from being a UK REIT and French SIIC and its Irish assets are held in a QIAIF. The Group is committed to remaining in these tax exempt regimes and further details on these regimes are given in note 7 to the financial statements. In order to satisfy the REIT conditions, the Company is required, on an annual basis, to pass certain business tests. The Group is expected to meet all requirements for maintaining its REIT status for the year ended 31 December 2023.</w:t>
      </w:r>
    </w:p>
    <w:p w14:paraId="4158E72E" w14:textId="77777777" w:rsidR="00AE1E5C" w:rsidRPr="00EE22AA" w:rsidRDefault="00AE1E5C" w:rsidP="00AE1E5C">
      <w:pPr>
        <w:pStyle w:val="04BodyCopyFronttext9105"/>
        <w:rPr>
          <w:rFonts w:ascii="IBM Plex Sans" w:hAnsi="IBM Plex Sans" w:cs="IBM Plex Sans"/>
          <w:b/>
          <w:bCs/>
          <w:color w:val="3D7FE0" w:themeColor="accent1"/>
        </w:rPr>
      </w:pPr>
    </w:p>
    <w:p w14:paraId="0AA9A92E" w14:textId="77777777" w:rsidR="00AE1E5C" w:rsidRPr="00EE22AA" w:rsidRDefault="00AE1E5C" w:rsidP="00AE1E5C">
      <w:pPr>
        <w:pStyle w:val="06SubHeading2Fronttext9105"/>
        <w:rPr>
          <w:color w:val="3D7FE0" w:themeColor="accent1"/>
        </w:rPr>
      </w:pPr>
      <w:r w:rsidRPr="00EE22AA">
        <w:rPr>
          <w:color w:val="3D7FE0" w:themeColor="accent1"/>
        </w:rPr>
        <w:t>Dividends</w:t>
      </w:r>
    </w:p>
    <w:p w14:paraId="29CBF88B" w14:textId="426F2BA7" w:rsidR="00AE1E5C" w:rsidRDefault="00AE1E5C" w:rsidP="00AE1E5C">
      <w:pPr>
        <w:pStyle w:val="04BodyCopyFronttext9105"/>
      </w:pPr>
      <w:r>
        <w:t xml:space="preserve">As explained in the Chair of the Board’s Statement, the Group announced a new sustainable dividend policy of 60-70% of annual </w:t>
      </w:r>
      <w:r w:rsidR="008B3C5C">
        <w:lastRenderedPageBreak/>
        <w:t>A</w:t>
      </w:r>
      <w:r>
        <w:t xml:space="preserve">djusted earnings during the year with an interim cash dividend of 0.72p per share paid in October. </w:t>
      </w:r>
    </w:p>
    <w:p w14:paraId="110AB421" w14:textId="06D78B39" w:rsidR="00AE1E5C" w:rsidRDefault="00AE1E5C" w:rsidP="00AE1E5C">
      <w:pPr>
        <w:pStyle w:val="04BodyCopyFronttext9105"/>
        <w:spacing w:before="120"/>
      </w:pPr>
      <w:r>
        <w:t xml:space="preserve">The Board has proposed a final cash dividend of 0.78p per share, payable as an ordinary dividend on 10 May 2024 to shareholders on the register on </w:t>
      </w:r>
      <w:r w:rsidR="003660B9">
        <w:t>5 April</w:t>
      </w:r>
      <w:r>
        <w:t xml:space="preserve"> 2024. A dividend reinvestment plan (‘DRIP’) remains available to shareholders.</w:t>
      </w:r>
    </w:p>
    <w:p w14:paraId="62AD2257" w14:textId="77777777" w:rsidR="00AE1E5C" w:rsidRDefault="00AE1E5C" w:rsidP="00AE1E5C">
      <w:pPr>
        <w:pStyle w:val="06SubHeading1Fronttext9105"/>
      </w:pPr>
    </w:p>
    <w:p w14:paraId="270B40F8" w14:textId="00C98B45" w:rsidR="00AE1E5C" w:rsidRPr="00EE22AA" w:rsidRDefault="00AE1E5C" w:rsidP="00AE1E5C">
      <w:pPr>
        <w:pStyle w:val="06SubHeading1Fronttext9105"/>
        <w:spacing w:after="0"/>
        <w:rPr>
          <w:color w:val="3D7FE0" w:themeColor="accent1"/>
          <w:sz w:val="20"/>
          <w:szCs w:val="20"/>
        </w:rPr>
      </w:pPr>
      <w:r w:rsidRPr="00EE22AA">
        <w:rPr>
          <w:color w:val="3D7FE0" w:themeColor="accent1"/>
          <w:sz w:val="20"/>
          <w:szCs w:val="20"/>
        </w:rPr>
        <w:t>NET ASSETS</w:t>
      </w:r>
    </w:p>
    <w:p w14:paraId="75C82A01" w14:textId="77777777" w:rsidR="00AE1E5C" w:rsidRDefault="00AE1E5C" w:rsidP="00AE1E5C">
      <w:pPr>
        <w:pStyle w:val="04BodyCopyFronttext9105"/>
        <w:spacing w:before="120"/>
      </w:pPr>
      <w:r>
        <w:t>A detailed analysis of the balance sheet on a proportionally consolidated basis is set out in Table 12 of the Additional information with a summary reconciling to EPRA NTA set out in the table below:</w:t>
      </w:r>
    </w:p>
    <w:tbl>
      <w:tblPr>
        <w:tblW w:w="10025" w:type="dxa"/>
        <w:tblLayout w:type="fixed"/>
        <w:tblCellMar>
          <w:left w:w="0" w:type="dxa"/>
          <w:right w:w="0" w:type="dxa"/>
        </w:tblCellMar>
        <w:tblLook w:val="00A0" w:firstRow="1" w:lastRow="0" w:firstColumn="1" w:lastColumn="0" w:noHBand="0" w:noVBand="0"/>
      </w:tblPr>
      <w:tblGrid>
        <w:gridCol w:w="2058"/>
        <w:gridCol w:w="1104"/>
        <w:gridCol w:w="240"/>
        <w:gridCol w:w="784"/>
        <w:gridCol w:w="9"/>
        <w:gridCol w:w="6"/>
        <w:gridCol w:w="835"/>
        <w:gridCol w:w="9"/>
        <w:gridCol w:w="6"/>
        <w:gridCol w:w="892"/>
        <w:gridCol w:w="9"/>
        <w:gridCol w:w="6"/>
        <w:gridCol w:w="722"/>
        <w:gridCol w:w="9"/>
        <w:gridCol w:w="6"/>
        <w:gridCol w:w="779"/>
        <w:gridCol w:w="9"/>
        <w:gridCol w:w="6"/>
        <w:gridCol w:w="922"/>
        <w:gridCol w:w="9"/>
        <w:gridCol w:w="6"/>
        <w:gridCol w:w="835"/>
        <w:gridCol w:w="9"/>
        <w:gridCol w:w="6"/>
        <w:gridCol w:w="724"/>
        <w:gridCol w:w="14"/>
        <w:gridCol w:w="11"/>
      </w:tblGrid>
      <w:tr w:rsidR="00AE1E5C" w:rsidRPr="00FC2914" w14:paraId="6DB03B55" w14:textId="77777777" w:rsidTr="004203CD">
        <w:trPr>
          <w:gridAfter w:val="2"/>
          <w:wAfter w:w="25" w:type="dxa"/>
        </w:trPr>
        <w:tc>
          <w:tcPr>
            <w:tcW w:w="3162" w:type="dxa"/>
            <w:gridSpan w:val="2"/>
            <w:tcBorders>
              <w:bottom w:val="single" w:sz="2" w:space="0" w:color="3D7FE0" w:themeColor="accent1"/>
            </w:tcBorders>
            <w:vAlign w:val="bottom"/>
          </w:tcPr>
          <w:p w14:paraId="1B00663F" w14:textId="77777777" w:rsidR="00AE1E5C" w:rsidRPr="00EE22AA" w:rsidRDefault="00AE1E5C" w:rsidP="004203CD">
            <w:pPr>
              <w:pStyle w:val="Tabletext"/>
              <w:rPr>
                <w:rFonts w:ascii="IBM Plex Sans Light" w:hAnsi="IBM Plex Sans Light"/>
                <w:b/>
                <w:bCs/>
                <w:color w:val="4472C4"/>
                <w:szCs w:val="16"/>
                <w:lang w:eastAsia="en-US"/>
              </w:rPr>
            </w:pPr>
          </w:p>
        </w:tc>
        <w:tc>
          <w:tcPr>
            <w:tcW w:w="240" w:type="dxa"/>
            <w:tcBorders>
              <w:bottom w:val="single" w:sz="2" w:space="0" w:color="3D7FE0" w:themeColor="accent1"/>
            </w:tcBorders>
            <w:vAlign w:val="bottom"/>
          </w:tcPr>
          <w:p w14:paraId="795F385B" w14:textId="77777777" w:rsidR="00AE1E5C" w:rsidRPr="00EE22AA" w:rsidRDefault="00AE1E5C" w:rsidP="004203CD">
            <w:pPr>
              <w:pStyle w:val="Tabletext"/>
              <w:jc w:val="right"/>
              <w:rPr>
                <w:rFonts w:ascii="IBM Plex Sans Medium" w:hAnsi="IBM Plex Sans Medium"/>
                <w:b/>
                <w:bCs/>
                <w:color w:val="4472C4"/>
                <w:spacing w:val="-4"/>
                <w:sz w:val="18"/>
              </w:rPr>
            </w:pPr>
          </w:p>
        </w:tc>
        <w:tc>
          <w:tcPr>
            <w:tcW w:w="784" w:type="dxa"/>
            <w:tcBorders>
              <w:bottom w:val="single" w:sz="2" w:space="0" w:color="3D7FE0" w:themeColor="accent1"/>
            </w:tcBorders>
            <w:vAlign w:val="bottom"/>
          </w:tcPr>
          <w:p w14:paraId="5501E11C" w14:textId="77777777" w:rsidR="00AE1E5C" w:rsidRPr="008E5BF0" w:rsidRDefault="00AE1E5C" w:rsidP="004203CD">
            <w:pPr>
              <w:pStyle w:val="12TBRightColHeaderTableBack"/>
              <w:rPr>
                <w:rStyle w:val="BoldBlue"/>
                <w:rFonts w:cs="IBM Plex Sans"/>
                <w:b w:val="0"/>
                <w:color w:val="4472C4"/>
                <w:sz w:val="16"/>
                <w:szCs w:val="16"/>
              </w:rPr>
            </w:pPr>
          </w:p>
        </w:tc>
        <w:tc>
          <w:tcPr>
            <w:tcW w:w="850" w:type="dxa"/>
            <w:gridSpan w:val="3"/>
            <w:tcBorders>
              <w:bottom w:val="single" w:sz="2" w:space="0" w:color="3D7FE0" w:themeColor="accent1"/>
            </w:tcBorders>
          </w:tcPr>
          <w:p w14:paraId="4425D84C" w14:textId="77777777" w:rsidR="00AE1E5C" w:rsidRPr="008E5BF0" w:rsidRDefault="00AE1E5C" w:rsidP="004203CD">
            <w:pPr>
              <w:pStyle w:val="12TBRightColHeaderTableBack"/>
              <w:rPr>
                <w:rStyle w:val="BoldBlue"/>
                <w:rFonts w:cs="IBM Plex Sans"/>
                <w:b w:val="0"/>
                <w:color w:val="4472C4"/>
                <w:sz w:val="16"/>
                <w:szCs w:val="16"/>
              </w:rPr>
            </w:pPr>
          </w:p>
        </w:tc>
        <w:tc>
          <w:tcPr>
            <w:tcW w:w="907" w:type="dxa"/>
            <w:gridSpan w:val="3"/>
            <w:tcBorders>
              <w:bottom w:val="single" w:sz="2" w:space="0" w:color="3D7FE0" w:themeColor="accent1"/>
            </w:tcBorders>
            <w:vAlign w:val="bottom"/>
          </w:tcPr>
          <w:p w14:paraId="7AE7AF60" w14:textId="77777777" w:rsidR="00AE1E5C" w:rsidRPr="008E5BF0" w:rsidRDefault="00AE1E5C" w:rsidP="004203CD">
            <w:pPr>
              <w:pStyle w:val="Tabletext"/>
              <w:jc w:val="right"/>
              <w:rPr>
                <w:rStyle w:val="BoldBlue"/>
                <w:rFonts w:ascii="IBM Plex Sans Light" w:hAnsi="IBM Plex Sans Light" w:cs="IBM Plex Sans"/>
                <w:b w:val="0"/>
                <w:color w:val="4472C4"/>
                <w:spacing w:val="-3"/>
                <w:szCs w:val="16"/>
              </w:rPr>
            </w:pPr>
          </w:p>
        </w:tc>
        <w:tc>
          <w:tcPr>
            <w:tcW w:w="737" w:type="dxa"/>
            <w:gridSpan w:val="3"/>
            <w:tcBorders>
              <w:bottom w:val="single" w:sz="2" w:space="0" w:color="3D7FE0" w:themeColor="accent1"/>
            </w:tcBorders>
            <w:shd w:val="clear" w:color="auto" w:fill="FFFFFF"/>
            <w:vAlign w:val="bottom"/>
          </w:tcPr>
          <w:p w14:paraId="253FF8ED" w14:textId="77777777" w:rsidR="00AE1E5C" w:rsidRPr="008E5BF0" w:rsidRDefault="00AE1E5C" w:rsidP="004203CD">
            <w:pPr>
              <w:pStyle w:val="12TBRightColHeaderTableBack"/>
              <w:rPr>
                <w:rStyle w:val="BoldBlue"/>
                <w:rFonts w:cs="IBM Plex Sans"/>
                <w:b w:val="0"/>
                <w:color w:val="4472C4"/>
                <w:sz w:val="16"/>
                <w:szCs w:val="16"/>
              </w:rPr>
            </w:pPr>
            <w:r>
              <w:rPr>
                <w:rStyle w:val="BoldBlue"/>
                <w:rFonts w:cs="IBM Plex Sans"/>
                <w:b w:val="0"/>
                <w:color w:val="4472C4"/>
                <w:sz w:val="16"/>
                <w:szCs w:val="16"/>
              </w:rPr>
              <w:t>2023</w:t>
            </w:r>
          </w:p>
        </w:tc>
        <w:tc>
          <w:tcPr>
            <w:tcW w:w="794" w:type="dxa"/>
            <w:gridSpan w:val="3"/>
            <w:tcBorders>
              <w:bottom w:val="single" w:sz="2" w:space="0" w:color="3D7FE0" w:themeColor="accent1"/>
            </w:tcBorders>
            <w:shd w:val="clear" w:color="auto" w:fill="FFFFFF"/>
            <w:vAlign w:val="bottom"/>
          </w:tcPr>
          <w:p w14:paraId="223D6A1A" w14:textId="77777777" w:rsidR="00AE1E5C" w:rsidRPr="008E5BF0" w:rsidRDefault="00AE1E5C" w:rsidP="004203CD">
            <w:pPr>
              <w:pStyle w:val="12TBRightColHeaderTableBack"/>
              <w:rPr>
                <w:rStyle w:val="BoldBlue"/>
                <w:rFonts w:cs="IBM Plex Sans"/>
                <w:b w:val="0"/>
                <w:color w:val="auto"/>
                <w:sz w:val="16"/>
                <w:szCs w:val="16"/>
              </w:rPr>
            </w:pPr>
          </w:p>
        </w:tc>
        <w:tc>
          <w:tcPr>
            <w:tcW w:w="937" w:type="dxa"/>
            <w:gridSpan w:val="3"/>
            <w:tcBorders>
              <w:bottom w:val="single" w:sz="2" w:space="0" w:color="3D7FE0" w:themeColor="accent1"/>
            </w:tcBorders>
            <w:shd w:val="clear" w:color="auto" w:fill="FFFFFF"/>
          </w:tcPr>
          <w:p w14:paraId="291C1E4B" w14:textId="77777777" w:rsidR="00AE1E5C" w:rsidRPr="008E5BF0" w:rsidRDefault="00AE1E5C" w:rsidP="004203CD">
            <w:pPr>
              <w:pStyle w:val="12TBRightColHeaderTableBack"/>
              <w:rPr>
                <w:rStyle w:val="BoldBlue"/>
                <w:rFonts w:cs="IBM Plex Sans"/>
                <w:b w:val="0"/>
                <w:color w:val="auto"/>
                <w:sz w:val="16"/>
                <w:szCs w:val="16"/>
              </w:rPr>
            </w:pPr>
          </w:p>
        </w:tc>
        <w:tc>
          <w:tcPr>
            <w:tcW w:w="850" w:type="dxa"/>
            <w:gridSpan w:val="3"/>
            <w:tcBorders>
              <w:bottom w:val="single" w:sz="2" w:space="0" w:color="3D7FE0" w:themeColor="accent1"/>
            </w:tcBorders>
            <w:shd w:val="clear" w:color="auto" w:fill="FFFFFF"/>
            <w:vAlign w:val="bottom"/>
          </w:tcPr>
          <w:p w14:paraId="36C2FB96" w14:textId="77777777" w:rsidR="00AE1E5C" w:rsidRPr="008E5BF0" w:rsidRDefault="00AE1E5C" w:rsidP="004203CD">
            <w:pPr>
              <w:pStyle w:val="12TBRightColHeaderTableBack"/>
              <w:rPr>
                <w:rStyle w:val="BoldBlue"/>
                <w:rFonts w:cs="IBM Plex Sans"/>
                <w:b w:val="0"/>
                <w:color w:val="auto"/>
                <w:sz w:val="16"/>
                <w:szCs w:val="16"/>
              </w:rPr>
            </w:pPr>
          </w:p>
        </w:tc>
        <w:tc>
          <w:tcPr>
            <w:tcW w:w="739" w:type="dxa"/>
            <w:gridSpan w:val="3"/>
            <w:tcBorders>
              <w:bottom w:val="single" w:sz="2" w:space="0" w:color="3D7FE0" w:themeColor="accent1"/>
            </w:tcBorders>
            <w:shd w:val="clear" w:color="auto" w:fill="FFFFFF" w:themeFill="background1"/>
            <w:vAlign w:val="bottom"/>
          </w:tcPr>
          <w:p w14:paraId="713A893F" w14:textId="77777777" w:rsidR="00AE1E5C" w:rsidRPr="008E5BF0" w:rsidRDefault="00AE1E5C" w:rsidP="004203CD">
            <w:pPr>
              <w:pStyle w:val="12TBRightColHeaderTableBack"/>
              <w:rPr>
                <w:rStyle w:val="BoldBlue"/>
                <w:rFonts w:cs="IBM Plex Sans"/>
                <w:b w:val="0"/>
                <w:color w:val="auto"/>
                <w:sz w:val="16"/>
                <w:szCs w:val="16"/>
              </w:rPr>
            </w:pPr>
            <w:r>
              <w:rPr>
                <w:rStyle w:val="BoldBlue"/>
                <w:rFonts w:cs="IBM Plex Sans"/>
                <w:b w:val="0"/>
                <w:color w:val="auto"/>
                <w:sz w:val="16"/>
                <w:szCs w:val="16"/>
              </w:rPr>
              <w:t>2022</w:t>
            </w:r>
          </w:p>
        </w:tc>
      </w:tr>
      <w:tr w:rsidR="00AE1E5C" w:rsidRPr="00FC2914" w14:paraId="6117DE03" w14:textId="77777777" w:rsidTr="004203CD">
        <w:trPr>
          <w:gridAfter w:val="1"/>
          <w:wAfter w:w="11" w:type="dxa"/>
        </w:trPr>
        <w:tc>
          <w:tcPr>
            <w:tcW w:w="3402" w:type="dxa"/>
            <w:gridSpan w:val="3"/>
            <w:tcBorders>
              <w:bottom w:val="single" w:sz="2" w:space="0" w:color="3D7FE0" w:themeColor="accent1"/>
            </w:tcBorders>
            <w:vAlign w:val="bottom"/>
          </w:tcPr>
          <w:p w14:paraId="1CE1190D" w14:textId="77777777" w:rsidR="00AE1E5C" w:rsidRPr="00EE22AA" w:rsidRDefault="00AE1E5C" w:rsidP="004203CD">
            <w:pPr>
              <w:pStyle w:val="Tabletext"/>
              <w:rPr>
                <w:rFonts w:ascii="IBM Plex Sans Medium" w:hAnsi="IBM Plex Sans Medium"/>
                <w:b/>
                <w:bCs/>
                <w:color w:val="4472C4"/>
                <w:spacing w:val="-4"/>
                <w:sz w:val="18"/>
              </w:rPr>
            </w:pPr>
            <w:r w:rsidRPr="00EE22AA">
              <w:rPr>
                <w:rFonts w:ascii="IBM Plex Sans Light" w:hAnsi="IBM Plex Sans Light"/>
                <w:b/>
                <w:bCs/>
                <w:color w:val="4472C4"/>
                <w:szCs w:val="16"/>
                <w:lang w:eastAsia="en-US"/>
              </w:rPr>
              <w:t>Summary net assets</w:t>
            </w:r>
          </w:p>
        </w:tc>
        <w:tc>
          <w:tcPr>
            <w:tcW w:w="793" w:type="dxa"/>
            <w:gridSpan w:val="2"/>
            <w:tcBorders>
              <w:bottom w:val="single" w:sz="2" w:space="0" w:color="3D7FE0" w:themeColor="accent1"/>
            </w:tcBorders>
            <w:vAlign w:val="bottom"/>
          </w:tcPr>
          <w:p w14:paraId="028AD43B" w14:textId="77777777" w:rsidR="00AE1E5C" w:rsidRPr="008E5BF0" w:rsidRDefault="00AE1E5C" w:rsidP="004203CD">
            <w:pPr>
              <w:pStyle w:val="12TBRightColHeaderTableBack"/>
              <w:rPr>
                <w:rStyle w:val="BoldBlue"/>
                <w:rFonts w:cs="IBM Plex Sans"/>
                <w:b w:val="0"/>
                <w:color w:val="4472C4"/>
                <w:sz w:val="16"/>
                <w:szCs w:val="16"/>
              </w:rPr>
            </w:pPr>
            <w:r w:rsidRPr="008E5BF0">
              <w:rPr>
                <w:rStyle w:val="BoldBlue"/>
                <w:rFonts w:cs="IBM Plex Sans"/>
                <w:b w:val="0"/>
                <w:color w:val="4472C4"/>
                <w:sz w:val="16"/>
                <w:szCs w:val="16"/>
              </w:rPr>
              <w:t>Reported Group</w:t>
            </w:r>
            <w:r w:rsidRPr="008E5BF0">
              <w:rPr>
                <w:rStyle w:val="BoldBlue"/>
                <w:rFonts w:cs="IBM Plex Sans"/>
                <w:b w:val="0"/>
                <w:color w:val="4472C4"/>
                <w:sz w:val="16"/>
                <w:szCs w:val="16"/>
              </w:rPr>
              <w:br/>
              <w:t>£m</w:t>
            </w:r>
          </w:p>
        </w:tc>
        <w:tc>
          <w:tcPr>
            <w:tcW w:w="850" w:type="dxa"/>
            <w:gridSpan w:val="3"/>
            <w:tcBorders>
              <w:bottom w:val="single" w:sz="2" w:space="0" w:color="3D7FE0" w:themeColor="accent1"/>
            </w:tcBorders>
            <w:vAlign w:val="bottom"/>
          </w:tcPr>
          <w:p w14:paraId="22FC7A02" w14:textId="77777777" w:rsidR="00AE1E5C" w:rsidRPr="008E5BF0" w:rsidRDefault="00AE1E5C" w:rsidP="004203CD">
            <w:pPr>
              <w:pStyle w:val="12TBRightColHeaderTableBack"/>
              <w:rPr>
                <w:rStyle w:val="BoldBlue"/>
                <w:rFonts w:cs="IBM Plex Sans"/>
                <w:b w:val="0"/>
                <w:color w:val="4472C4"/>
                <w:sz w:val="16"/>
                <w:szCs w:val="16"/>
              </w:rPr>
            </w:pPr>
            <w:r w:rsidRPr="008E5BF0">
              <w:rPr>
                <w:rStyle w:val="BoldBlue"/>
                <w:rFonts w:cs="IBM Plex Sans"/>
                <w:b w:val="0"/>
                <w:color w:val="4472C4"/>
                <w:sz w:val="16"/>
                <w:szCs w:val="16"/>
              </w:rPr>
              <w:t>Share of Property interests</w:t>
            </w:r>
            <w:r w:rsidRPr="008E5BF0">
              <w:rPr>
                <w:rStyle w:val="BoldBlue"/>
                <w:rFonts w:cs="IBM Plex Sans"/>
                <w:b w:val="0"/>
                <w:color w:val="4472C4"/>
                <w:sz w:val="16"/>
                <w:szCs w:val="16"/>
              </w:rPr>
              <w:br/>
              <w:t>£m</w:t>
            </w:r>
          </w:p>
        </w:tc>
        <w:tc>
          <w:tcPr>
            <w:tcW w:w="907" w:type="dxa"/>
            <w:gridSpan w:val="3"/>
            <w:tcBorders>
              <w:bottom w:val="single" w:sz="2" w:space="0" w:color="3D7FE0" w:themeColor="accent1"/>
            </w:tcBorders>
            <w:vAlign w:val="bottom"/>
          </w:tcPr>
          <w:p w14:paraId="4AE15666" w14:textId="77777777" w:rsidR="00AE1E5C" w:rsidRPr="008E5BF0" w:rsidRDefault="00AE1E5C" w:rsidP="004203CD">
            <w:pPr>
              <w:pStyle w:val="Tabletext"/>
              <w:jc w:val="right"/>
              <w:rPr>
                <w:rStyle w:val="BoldBlue"/>
                <w:rFonts w:ascii="IBM Plex Sans Light" w:hAnsi="IBM Plex Sans Light" w:cs="IBM Plex Sans"/>
                <w:b w:val="0"/>
                <w:color w:val="4472C4"/>
                <w:spacing w:val="-3"/>
                <w:szCs w:val="16"/>
              </w:rPr>
            </w:pPr>
            <w:r w:rsidRPr="008E5BF0">
              <w:rPr>
                <w:rStyle w:val="BoldBlue"/>
                <w:rFonts w:ascii="IBM Plex Sans Light" w:hAnsi="IBM Plex Sans Light" w:cs="IBM Plex Sans"/>
                <w:b w:val="0"/>
                <w:color w:val="4472C4"/>
                <w:spacing w:val="-3"/>
                <w:szCs w:val="16"/>
              </w:rPr>
              <w:t xml:space="preserve">EPRA </w:t>
            </w:r>
            <w:r w:rsidRPr="008E5BF0">
              <w:rPr>
                <w:rStyle w:val="BoldBlue"/>
                <w:rFonts w:ascii="IBM Plex Sans Light" w:hAnsi="IBM Plex Sans Light" w:cs="IBM Plex Sans"/>
                <w:b w:val="0"/>
                <w:color w:val="4472C4"/>
                <w:spacing w:val="-3"/>
                <w:szCs w:val="16"/>
              </w:rPr>
              <w:br/>
              <w:t>adjustments</w:t>
            </w:r>
            <w:r w:rsidRPr="008E5BF0">
              <w:rPr>
                <w:rStyle w:val="BoldBlue"/>
                <w:rFonts w:ascii="IBM Plex Sans Light" w:hAnsi="IBM Plex Sans Light" w:cs="IBM Plex Sans"/>
                <w:b w:val="0"/>
                <w:color w:val="4472C4"/>
                <w:spacing w:val="-3"/>
                <w:szCs w:val="16"/>
              </w:rPr>
              <w:br/>
              <w:t>£m</w:t>
            </w:r>
          </w:p>
        </w:tc>
        <w:tc>
          <w:tcPr>
            <w:tcW w:w="737" w:type="dxa"/>
            <w:gridSpan w:val="3"/>
            <w:tcBorders>
              <w:bottom w:val="single" w:sz="2" w:space="0" w:color="3D7FE0" w:themeColor="accent1"/>
            </w:tcBorders>
            <w:shd w:val="clear" w:color="auto" w:fill="FFFFFF"/>
            <w:vAlign w:val="bottom"/>
          </w:tcPr>
          <w:p w14:paraId="41BC7653" w14:textId="708FD8B2" w:rsidR="00AE1E5C" w:rsidRPr="008E5BF0" w:rsidRDefault="00907934" w:rsidP="004203CD">
            <w:pPr>
              <w:pStyle w:val="12TBRightColHeaderTableBack"/>
              <w:rPr>
                <w:rFonts w:ascii="IBM Plex Sans Medium" w:hAnsi="IBM Plex Sans Medium"/>
                <w:color w:val="4472C4"/>
                <w:spacing w:val="-4"/>
                <w:sz w:val="18"/>
              </w:rPr>
            </w:pPr>
            <w:r>
              <w:rPr>
                <w:rStyle w:val="BoldBlue"/>
                <w:rFonts w:cs="IBM Plex Sans"/>
                <w:b w:val="0"/>
                <w:color w:val="4472C4"/>
                <w:sz w:val="16"/>
                <w:szCs w:val="16"/>
              </w:rPr>
              <w:t xml:space="preserve">EPRA NTA </w:t>
            </w:r>
            <w:r w:rsidR="00AE1E5C" w:rsidRPr="008E5BF0">
              <w:rPr>
                <w:rStyle w:val="BoldBlue"/>
                <w:rFonts w:cs="IBM Plex Sans"/>
                <w:b w:val="0"/>
                <w:color w:val="4472C4"/>
                <w:sz w:val="16"/>
                <w:szCs w:val="16"/>
              </w:rPr>
              <w:t>Total</w:t>
            </w:r>
            <w:r w:rsidR="00AE1E5C" w:rsidRPr="008E5BF0">
              <w:rPr>
                <w:rStyle w:val="BoldBlue"/>
                <w:rFonts w:cs="IBM Plex Sans"/>
                <w:b w:val="0"/>
                <w:color w:val="4472C4"/>
                <w:sz w:val="16"/>
                <w:szCs w:val="16"/>
              </w:rPr>
              <w:br/>
              <w:t>£m</w:t>
            </w:r>
          </w:p>
        </w:tc>
        <w:tc>
          <w:tcPr>
            <w:tcW w:w="794" w:type="dxa"/>
            <w:gridSpan w:val="3"/>
            <w:tcBorders>
              <w:bottom w:val="single" w:sz="2" w:space="0" w:color="3D7FE0" w:themeColor="accent1"/>
            </w:tcBorders>
            <w:shd w:val="clear" w:color="auto" w:fill="FFFFFF"/>
            <w:vAlign w:val="bottom"/>
          </w:tcPr>
          <w:p w14:paraId="76141DE0" w14:textId="77777777" w:rsidR="00AE1E5C" w:rsidRPr="008E5BF0" w:rsidRDefault="00AE1E5C" w:rsidP="004203CD">
            <w:pPr>
              <w:pStyle w:val="12TBRightColHeaderTableBack"/>
              <w:rPr>
                <w:sz w:val="18"/>
                <w:szCs w:val="18"/>
              </w:rPr>
            </w:pPr>
            <w:r w:rsidRPr="008E5BF0">
              <w:rPr>
                <w:rStyle w:val="BoldBlue"/>
                <w:rFonts w:cs="IBM Plex Sans"/>
                <w:b w:val="0"/>
                <w:color w:val="auto"/>
                <w:sz w:val="16"/>
                <w:szCs w:val="16"/>
              </w:rPr>
              <w:t>Reported Group</w:t>
            </w:r>
            <w:r w:rsidRPr="008E5BF0">
              <w:rPr>
                <w:rStyle w:val="BoldBlue"/>
                <w:rFonts w:cs="IBM Plex Sans"/>
                <w:b w:val="0"/>
                <w:color w:val="auto"/>
                <w:sz w:val="16"/>
                <w:szCs w:val="16"/>
              </w:rPr>
              <w:br/>
              <w:t>£m</w:t>
            </w:r>
          </w:p>
        </w:tc>
        <w:tc>
          <w:tcPr>
            <w:tcW w:w="937" w:type="dxa"/>
            <w:gridSpan w:val="3"/>
            <w:tcBorders>
              <w:bottom w:val="single" w:sz="2" w:space="0" w:color="3D7FE0" w:themeColor="accent1"/>
            </w:tcBorders>
            <w:shd w:val="clear" w:color="auto" w:fill="FFFFFF"/>
            <w:vAlign w:val="bottom"/>
          </w:tcPr>
          <w:p w14:paraId="7CCAFE67" w14:textId="77777777" w:rsidR="00AE1E5C" w:rsidRPr="008E5BF0" w:rsidRDefault="00AE1E5C" w:rsidP="004203CD">
            <w:pPr>
              <w:pStyle w:val="12TBRightColHeaderTableBack"/>
              <w:rPr>
                <w:rStyle w:val="BoldBlue"/>
                <w:rFonts w:cs="IBM Plex Sans"/>
                <w:b w:val="0"/>
                <w:color w:val="auto"/>
                <w:sz w:val="16"/>
                <w:szCs w:val="16"/>
              </w:rPr>
            </w:pPr>
            <w:r w:rsidRPr="008E5BF0">
              <w:rPr>
                <w:rStyle w:val="BoldBlue"/>
                <w:rFonts w:cs="IBM Plex Sans"/>
                <w:b w:val="0"/>
                <w:color w:val="auto"/>
                <w:sz w:val="16"/>
                <w:szCs w:val="16"/>
              </w:rPr>
              <w:t xml:space="preserve">EPRA </w:t>
            </w:r>
            <w:r w:rsidRPr="008E5BF0">
              <w:rPr>
                <w:rStyle w:val="BoldBlue"/>
                <w:rFonts w:cs="IBM Plex Sans"/>
                <w:b w:val="0"/>
                <w:color w:val="auto"/>
                <w:szCs w:val="16"/>
              </w:rPr>
              <w:br/>
            </w:r>
            <w:r w:rsidRPr="008E5BF0">
              <w:rPr>
                <w:rStyle w:val="BoldBlue"/>
                <w:rFonts w:cs="IBM Plex Sans"/>
                <w:b w:val="0"/>
                <w:color w:val="auto"/>
                <w:sz w:val="16"/>
                <w:szCs w:val="16"/>
              </w:rPr>
              <w:t>adjustments</w:t>
            </w:r>
            <w:r w:rsidRPr="008E5BF0">
              <w:rPr>
                <w:rStyle w:val="BoldBlue"/>
                <w:rFonts w:cs="IBM Plex Sans"/>
                <w:b w:val="0"/>
                <w:color w:val="auto"/>
                <w:szCs w:val="16"/>
              </w:rPr>
              <w:br/>
            </w:r>
            <w:r w:rsidRPr="008E5BF0">
              <w:rPr>
                <w:rStyle w:val="BoldBlue"/>
                <w:rFonts w:cs="IBM Plex Sans"/>
                <w:b w:val="0"/>
                <w:color w:val="auto"/>
                <w:sz w:val="16"/>
                <w:szCs w:val="16"/>
              </w:rPr>
              <w:t>£m</w:t>
            </w:r>
          </w:p>
        </w:tc>
        <w:tc>
          <w:tcPr>
            <w:tcW w:w="850" w:type="dxa"/>
            <w:gridSpan w:val="3"/>
            <w:tcBorders>
              <w:bottom w:val="single" w:sz="2" w:space="0" w:color="3D7FE0" w:themeColor="accent1"/>
            </w:tcBorders>
            <w:shd w:val="clear" w:color="auto" w:fill="FFFFFF"/>
            <w:vAlign w:val="bottom"/>
          </w:tcPr>
          <w:p w14:paraId="128EA224" w14:textId="77777777" w:rsidR="00AE1E5C" w:rsidRPr="008E5BF0" w:rsidRDefault="00AE1E5C" w:rsidP="004203CD">
            <w:pPr>
              <w:pStyle w:val="12TBRightColHeaderTableBack"/>
              <w:rPr>
                <w:sz w:val="18"/>
                <w:szCs w:val="18"/>
              </w:rPr>
            </w:pPr>
            <w:r w:rsidRPr="008E5BF0">
              <w:rPr>
                <w:rStyle w:val="BoldBlue"/>
                <w:rFonts w:cs="IBM Plex Sans"/>
                <w:b w:val="0"/>
                <w:color w:val="auto"/>
                <w:sz w:val="16"/>
                <w:szCs w:val="16"/>
              </w:rPr>
              <w:t>Share of Property interests</w:t>
            </w:r>
            <w:r>
              <w:rPr>
                <w:rStyle w:val="BoldBlue"/>
                <w:rFonts w:cs="IBM Plex Sans"/>
                <w:b w:val="0"/>
                <w:color w:val="auto"/>
                <w:sz w:val="16"/>
                <w:szCs w:val="16"/>
              </w:rPr>
              <w:br/>
            </w:r>
            <w:r w:rsidRPr="008E5BF0">
              <w:rPr>
                <w:rStyle w:val="BoldBlue"/>
                <w:rFonts w:cs="IBM Plex Sans"/>
                <w:b w:val="0"/>
                <w:color w:val="auto"/>
                <w:sz w:val="16"/>
                <w:szCs w:val="16"/>
              </w:rPr>
              <w:t>£m</w:t>
            </w:r>
          </w:p>
        </w:tc>
        <w:tc>
          <w:tcPr>
            <w:tcW w:w="744" w:type="dxa"/>
            <w:gridSpan w:val="3"/>
            <w:tcBorders>
              <w:bottom w:val="single" w:sz="2" w:space="0" w:color="3D7FE0" w:themeColor="accent1"/>
            </w:tcBorders>
            <w:shd w:val="clear" w:color="auto" w:fill="FFFFFF" w:themeFill="background1"/>
            <w:vAlign w:val="bottom"/>
          </w:tcPr>
          <w:p w14:paraId="04EF0823" w14:textId="0211890E" w:rsidR="00AE1E5C" w:rsidRPr="008E5BF0" w:rsidRDefault="00907934" w:rsidP="004203CD">
            <w:pPr>
              <w:pStyle w:val="12TBRightColHeaderTableBack"/>
              <w:rPr>
                <w:rFonts w:ascii="IBM Plex Sans Medium" w:hAnsi="IBM Plex Sans Medium"/>
                <w:color w:val="4472C4"/>
                <w:spacing w:val="-4"/>
                <w:sz w:val="18"/>
              </w:rPr>
            </w:pPr>
            <w:r>
              <w:rPr>
                <w:rStyle w:val="BoldBlue"/>
                <w:rFonts w:cs="IBM Plex Sans"/>
                <w:b w:val="0"/>
                <w:color w:val="auto"/>
                <w:sz w:val="16"/>
                <w:szCs w:val="16"/>
              </w:rPr>
              <w:t>EPRA NTA</w:t>
            </w:r>
            <w:r>
              <w:rPr>
                <w:rStyle w:val="BoldBlue"/>
                <w:rFonts w:cs="IBM Plex Sans"/>
                <w:b w:val="0"/>
                <w:color w:val="auto"/>
                <w:sz w:val="16"/>
                <w:szCs w:val="16"/>
              </w:rPr>
              <w:br/>
            </w:r>
            <w:r w:rsidR="00AE1E5C" w:rsidRPr="008E5BF0">
              <w:rPr>
                <w:rStyle w:val="BoldBlue"/>
                <w:rFonts w:cs="IBM Plex Sans"/>
                <w:b w:val="0"/>
                <w:color w:val="auto"/>
                <w:sz w:val="16"/>
                <w:szCs w:val="16"/>
              </w:rPr>
              <w:t>Total</w:t>
            </w:r>
            <w:r w:rsidR="00AE1E5C">
              <w:rPr>
                <w:rStyle w:val="BoldBlue"/>
                <w:rFonts w:cs="IBM Plex Sans"/>
                <w:b w:val="0"/>
                <w:color w:val="auto"/>
                <w:sz w:val="16"/>
                <w:szCs w:val="16"/>
              </w:rPr>
              <w:br/>
            </w:r>
            <w:r w:rsidR="00AE1E5C" w:rsidRPr="008E5BF0">
              <w:rPr>
                <w:rStyle w:val="BoldBlue"/>
                <w:rFonts w:cs="IBM Plex Sans"/>
                <w:b w:val="0"/>
                <w:color w:val="auto"/>
                <w:sz w:val="16"/>
                <w:szCs w:val="16"/>
              </w:rPr>
              <w:t>£m</w:t>
            </w:r>
          </w:p>
        </w:tc>
      </w:tr>
      <w:tr w:rsidR="00AE1E5C" w:rsidRPr="00EE22AA" w14:paraId="25217124" w14:textId="77777777" w:rsidTr="004203CD">
        <w:trPr>
          <w:gridAfter w:val="1"/>
          <w:wAfter w:w="11" w:type="dxa"/>
        </w:trPr>
        <w:tc>
          <w:tcPr>
            <w:tcW w:w="3402" w:type="dxa"/>
            <w:gridSpan w:val="3"/>
            <w:tcBorders>
              <w:top w:val="single" w:sz="2" w:space="0" w:color="3D7FE0" w:themeColor="accent1"/>
            </w:tcBorders>
            <w:vAlign w:val="bottom"/>
          </w:tcPr>
          <w:p w14:paraId="6BACF4E0" w14:textId="77777777" w:rsidR="00AE1E5C" w:rsidRPr="00EE22AA" w:rsidRDefault="00AE1E5C" w:rsidP="004203CD">
            <w:pPr>
              <w:pStyle w:val="Tabletext"/>
              <w:rPr>
                <w:rFonts w:ascii="IBM Plex Sans Light" w:hAnsi="IBM Plex Sans Light"/>
                <w:color w:val="4472C4"/>
                <w:spacing w:val="-4"/>
                <w:sz w:val="18"/>
                <w:szCs w:val="18"/>
              </w:rPr>
            </w:pPr>
            <w:r w:rsidRPr="008E5BF0">
              <w:rPr>
                <w:rFonts w:ascii="IBM Plex Sans Light" w:hAnsi="IBM Plex Sans Light"/>
                <w:sz w:val="18"/>
                <w:szCs w:val="24"/>
              </w:rPr>
              <w:t>Investment and trading properties</w:t>
            </w:r>
          </w:p>
        </w:tc>
        <w:tc>
          <w:tcPr>
            <w:tcW w:w="793" w:type="dxa"/>
            <w:gridSpan w:val="2"/>
            <w:tcBorders>
              <w:top w:val="single" w:sz="2" w:space="0" w:color="3D7FE0" w:themeColor="accent1"/>
              <w:left w:val="nil"/>
            </w:tcBorders>
            <w:vAlign w:val="bottom"/>
          </w:tcPr>
          <w:p w14:paraId="653B22C5"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1,396</w:t>
            </w:r>
          </w:p>
        </w:tc>
        <w:tc>
          <w:tcPr>
            <w:tcW w:w="850" w:type="dxa"/>
            <w:gridSpan w:val="3"/>
            <w:tcBorders>
              <w:top w:val="single" w:sz="2" w:space="0" w:color="3D7FE0" w:themeColor="accent1"/>
            </w:tcBorders>
            <w:vAlign w:val="bottom"/>
          </w:tcPr>
          <w:p w14:paraId="28B1C0E6"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1,380</w:t>
            </w:r>
          </w:p>
        </w:tc>
        <w:tc>
          <w:tcPr>
            <w:tcW w:w="907" w:type="dxa"/>
            <w:gridSpan w:val="3"/>
            <w:tcBorders>
              <w:top w:val="single" w:sz="2" w:space="0" w:color="3D7FE0" w:themeColor="accent1"/>
            </w:tcBorders>
            <w:vAlign w:val="bottom"/>
          </w:tcPr>
          <w:p w14:paraId="46420F85"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737" w:type="dxa"/>
            <w:gridSpan w:val="3"/>
            <w:tcBorders>
              <w:top w:val="single" w:sz="2" w:space="0" w:color="3D7FE0" w:themeColor="accent1"/>
            </w:tcBorders>
            <w:shd w:val="clear" w:color="auto" w:fill="FFFFFF"/>
            <w:vAlign w:val="bottom"/>
          </w:tcPr>
          <w:p w14:paraId="6F5A4498"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2,776</w:t>
            </w:r>
          </w:p>
        </w:tc>
        <w:tc>
          <w:tcPr>
            <w:tcW w:w="794" w:type="dxa"/>
            <w:gridSpan w:val="3"/>
            <w:tcBorders>
              <w:top w:val="single" w:sz="2" w:space="0" w:color="3D7FE0" w:themeColor="accent1"/>
            </w:tcBorders>
            <w:shd w:val="clear" w:color="auto" w:fill="FFFFFF"/>
            <w:vAlign w:val="bottom"/>
          </w:tcPr>
          <w:p w14:paraId="75066EE8"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1,497</w:t>
            </w:r>
          </w:p>
        </w:tc>
        <w:tc>
          <w:tcPr>
            <w:tcW w:w="937" w:type="dxa"/>
            <w:gridSpan w:val="3"/>
            <w:tcBorders>
              <w:top w:val="single" w:sz="2" w:space="0" w:color="3D7FE0" w:themeColor="accent1"/>
            </w:tcBorders>
            <w:shd w:val="clear" w:color="auto" w:fill="FFFFFF"/>
            <w:vAlign w:val="bottom"/>
          </w:tcPr>
          <w:p w14:paraId="12D9A582"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1,723</w:t>
            </w:r>
          </w:p>
        </w:tc>
        <w:tc>
          <w:tcPr>
            <w:tcW w:w="850" w:type="dxa"/>
            <w:gridSpan w:val="3"/>
            <w:tcBorders>
              <w:top w:val="single" w:sz="2" w:space="0" w:color="3D7FE0" w:themeColor="accent1"/>
            </w:tcBorders>
            <w:shd w:val="clear" w:color="auto" w:fill="FFFFFF"/>
            <w:vAlign w:val="bottom"/>
          </w:tcPr>
          <w:p w14:paraId="42AF1D01" w14:textId="77777777" w:rsidR="00AE1E5C" w:rsidRPr="00024B10" w:rsidRDefault="00AE1E5C" w:rsidP="00024B10">
            <w:pPr>
              <w:pStyle w:val="TableFiguresBold"/>
              <w:rPr>
                <w:rFonts w:ascii="IBM Plex Sans Light" w:hAnsi="IBM Plex Sans Light"/>
                <w:sz w:val="18"/>
                <w:szCs w:val="24"/>
              </w:rPr>
            </w:pPr>
            <w:r w:rsidRPr="00024B10">
              <w:rPr>
                <w:rFonts w:ascii="IBM Plex Sans Light" w:hAnsi="IBM Plex Sans Light"/>
                <w:b w:val="0"/>
                <w:bCs w:val="0"/>
                <w:sz w:val="18"/>
                <w:szCs w:val="24"/>
              </w:rPr>
              <w:t>–</w:t>
            </w:r>
          </w:p>
        </w:tc>
        <w:tc>
          <w:tcPr>
            <w:tcW w:w="744" w:type="dxa"/>
            <w:gridSpan w:val="3"/>
            <w:tcBorders>
              <w:top w:val="single" w:sz="2" w:space="0" w:color="3D7FE0" w:themeColor="accent1"/>
            </w:tcBorders>
            <w:shd w:val="clear" w:color="auto" w:fill="FFFFFF" w:themeFill="background1"/>
            <w:vAlign w:val="bottom"/>
          </w:tcPr>
          <w:p w14:paraId="52F892B8" w14:textId="77777777" w:rsidR="00AE1E5C" w:rsidRPr="00024B10" w:rsidRDefault="00AE1E5C" w:rsidP="00024B10">
            <w:pPr>
              <w:pStyle w:val="Tabletext"/>
              <w:jc w:val="right"/>
              <w:rPr>
                <w:rFonts w:ascii="IBM Plex Sans Light" w:hAnsi="IBM Plex Sans Light"/>
                <w:b/>
                <w:bCs/>
                <w:sz w:val="18"/>
                <w:szCs w:val="18"/>
              </w:rPr>
            </w:pPr>
            <w:r w:rsidRPr="008E5BF0">
              <w:rPr>
                <w:rFonts w:ascii="IBM Plex Sans Light" w:hAnsi="IBM Plex Sans Light"/>
                <w:sz w:val="18"/>
                <w:szCs w:val="18"/>
              </w:rPr>
              <w:t>3,220</w:t>
            </w:r>
          </w:p>
        </w:tc>
      </w:tr>
      <w:tr w:rsidR="00AE1E5C" w:rsidRPr="00EE22AA" w14:paraId="1A61AB71" w14:textId="77777777" w:rsidTr="004203CD">
        <w:trPr>
          <w:gridAfter w:val="1"/>
          <w:wAfter w:w="11" w:type="dxa"/>
        </w:trPr>
        <w:tc>
          <w:tcPr>
            <w:tcW w:w="3402" w:type="dxa"/>
            <w:gridSpan w:val="3"/>
            <w:vAlign w:val="bottom"/>
          </w:tcPr>
          <w:p w14:paraId="0EFE32D2" w14:textId="77777777" w:rsidR="00AE1E5C" w:rsidRPr="00EE22AA" w:rsidRDefault="00AE1E5C" w:rsidP="004203CD">
            <w:pPr>
              <w:pStyle w:val="Tabletext"/>
              <w:rPr>
                <w:rFonts w:ascii="IBM Plex Sans Light" w:hAnsi="IBM Plex Sans Light"/>
                <w:color w:val="4472C4"/>
                <w:spacing w:val="-4"/>
                <w:sz w:val="18"/>
                <w:szCs w:val="18"/>
              </w:rPr>
            </w:pPr>
            <w:r w:rsidRPr="008E5BF0">
              <w:rPr>
                <w:rFonts w:ascii="IBM Plex Sans Light" w:hAnsi="IBM Plex Sans Light"/>
                <w:sz w:val="18"/>
                <w:szCs w:val="24"/>
              </w:rPr>
              <w:t>Investment in joint ventures</w:t>
            </w:r>
          </w:p>
        </w:tc>
        <w:tc>
          <w:tcPr>
            <w:tcW w:w="793" w:type="dxa"/>
            <w:gridSpan w:val="2"/>
            <w:tcBorders>
              <w:left w:val="nil"/>
            </w:tcBorders>
            <w:vAlign w:val="bottom"/>
          </w:tcPr>
          <w:p w14:paraId="48F0535E"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1,193</w:t>
            </w:r>
          </w:p>
        </w:tc>
        <w:tc>
          <w:tcPr>
            <w:tcW w:w="850" w:type="dxa"/>
            <w:gridSpan w:val="3"/>
            <w:vAlign w:val="bottom"/>
          </w:tcPr>
          <w:p w14:paraId="46BB1603"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(1,193)</w:t>
            </w:r>
          </w:p>
        </w:tc>
        <w:tc>
          <w:tcPr>
            <w:tcW w:w="907" w:type="dxa"/>
            <w:gridSpan w:val="3"/>
            <w:vAlign w:val="bottom"/>
          </w:tcPr>
          <w:p w14:paraId="12485B44"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737" w:type="dxa"/>
            <w:gridSpan w:val="3"/>
            <w:shd w:val="clear" w:color="auto" w:fill="FFFFFF"/>
            <w:vAlign w:val="bottom"/>
          </w:tcPr>
          <w:p w14:paraId="7CE201F0"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w:t>
            </w:r>
          </w:p>
        </w:tc>
        <w:tc>
          <w:tcPr>
            <w:tcW w:w="794" w:type="dxa"/>
            <w:gridSpan w:val="3"/>
            <w:shd w:val="clear" w:color="auto" w:fill="FFFFFF"/>
            <w:vAlign w:val="bottom"/>
          </w:tcPr>
          <w:p w14:paraId="057143E9"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1,342</w:t>
            </w:r>
          </w:p>
        </w:tc>
        <w:tc>
          <w:tcPr>
            <w:tcW w:w="937" w:type="dxa"/>
            <w:gridSpan w:val="3"/>
            <w:shd w:val="clear" w:color="auto" w:fill="FFFFFF"/>
            <w:vAlign w:val="bottom"/>
          </w:tcPr>
          <w:p w14:paraId="6546EE86" w14:textId="77777777" w:rsidR="00AE1E5C" w:rsidRPr="008E5BF0" w:rsidRDefault="00AE1E5C" w:rsidP="00024B10">
            <w:pPr>
              <w:pStyle w:val="TableFiguresBrackets"/>
              <w:rPr>
                <w:rFonts w:ascii="IBM Plex Sans Light" w:hAnsi="IBM Plex Sans Light"/>
                <w:color w:val="auto"/>
                <w:sz w:val="18"/>
                <w:szCs w:val="18"/>
              </w:rPr>
            </w:pPr>
            <w:r w:rsidRPr="008E5BF0">
              <w:rPr>
                <w:rFonts w:ascii="IBM Plex Sans Light" w:hAnsi="IBM Plex Sans Light"/>
                <w:sz w:val="18"/>
                <w:szCs w:val="18"/>
              </w:rPr>
              <w:t>(1,342)</w:t>
            </w:r>
          </w:p>
        </w:tc>
        <w:tc>
          <w:tcPr>
            <w:tcW w:w="850" w:type="dxa"/>
            <w:gridSpan w:val="3"/>
            <w:shd w:val="clear" w:color="auto" w:fill="FFFFFF"/>
            <w:vAlign w:val="bottom"/>
          </w:tcPr>
          <w:p w14:paraId="6D398350" w14:textId="77777777" w:rsidR="00AE1E5C" w:rsidRPr="00024B10" w:rsidRDefault="00AE1E5C" w:rsidP="00024B10">
            <w:pPr>
              <w:pStyle w:val="TableFiguresBold"/>
              <w:rPr>
                <w:rFonts w:ascii="IBM Plex Sans Light" w:hAnsi="IBM Plex Sans Light"/>
                <w:sz w:val="18"/>
                <w:szCs w:val="24"/>
              </w:rPr>
            </w:pPr>
            <w:r w:rsidRPr="00024B10">
              <w:rPr>
                <w:rFonts w:ascii="IBM Plex Sans Light" w:hAnsi="IBM Plex Sans Light"/>
                <w:b w:val="0"/>
                <w:bCs w:val="0"/>
                <w:sz w:val="18"/>
                <w:szCs w:val="24"/>
              </w:rPr>
              <w:t>–</w:t>
            </w:r>
          </w:p>
        </w:tc>
        <w:tc>
          <w:tcPr>
            <w:tcW w:w="744" w:type="dxa"/>
            <w:gridSpan w:val="3"/>
            <w:shd w:val="clear" w:color="auto" w:fill="FFFFFF" w:themeFill="background1"/>
            <w:vAlign w:val="bottom"/>
          </w:tcPr>
          <w:p w14:paraId="526F7ED6" w14:textId="77777777" w:rsidR="00AE1E5C" w:rsidRPr="00024B10" w:rsidRDefault="00AE1E5C" w:rsidP="00024B10">
            <w:pPr>
              <w:pStyle w:val="Tabletext"/>
              <w:jc w:val="right"/>
              <w:rPr>
                <w:rFonts w:ascii="IBM Plex Sans Light" w:hAnsi="IBM Plex Sans Light"/>
                <w:b/>
                <w:bCs/>
                <w:sz w:val="18"/>
                <w:szCs w:val="18"/>
              </w:rPr>
            </w:pPr>
            <w:r w:rsidRPr="008E5BF0">
              <w:rPr>
                <w:rFonts w:ascii="IBM Plex Sans Light" w:hAnsi="IBM Plex Sans Light"/>
                <w:sz w:val="18"/>
                <w:szCs w:val="18"/>
              </w:rPr>
              <w:t>–</w:t>
            </w:r>
          </w:p>
        </w:tc>
      </w:tr>
      <w:tr w:rsidR="00AE1E5C" w:rsidRPr="00EE22AA" w14:paraId="086750E6" w14:textId="77777777" w:rsidTr="004203CD">
        <w:tc>
          <w:tcPr>
            <w:tcW w:w="2058" w:type="dxa"/>
            <w:vAlign w:val="bottom"/>
          </w:tcPr>
          <w:p w14:paraId="2FFABD68"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Investment in associates</w:t>
            </w:r>
          </w:p>
        </w:tc>
        <w:tc>
          <w:tcPr>
            <w:tcW w:w="1344" w:type="dxa"/>
            <w:gridSpan w:val="2"/>
            <w:vAlign w:val="bottom"/>
          </w:tcPr>
          <w:p w14:paraId="414110D4" w14:textId="77777777" w:rsidR="00AE1E5C" w:rsidRPr="00274099" w:rsidRDefault="00AE1E5C" w:rsidP="004203CD">
            <w:pPr>
              <w:pStyle w:val="Tabletext"/>
              <w:rPr>
                <w:rFonts w:ascii="IBM Plex Sans Light" w:hAnsi="IBM Plex Sans Light"/>
                <w:b/>
                <w:bCs/>
                <w:color w:val="4472C4"/>
                <w:spacing w:val="-4"/>
                <w:sz w:val="18"/>
                <w:szCs w:val="18"/>
              </w:rPr>
            </w:pPr>
            <w:r w:rsidRPr="00274099">
              <w:rPr>
                <w:rFonts w:ascii="IBM Plex Sans Light" w:hAnsi="IBM Plex Sans Light"/>
                <w:sz w:val="18"/>
                <w:szCs w:val="18"/>
              </w:rPr>
              <w:t>- Value Retail</w:t>
            </w:r>
          </w:p>
        </w:tc>
        <w:tc>
          <w:tcPr>
            <w:tcW w:w="799" w:type="dxa"/>
            <w:gridSpan w:val="3"/>
            <w:tcBorders>
              <w:left w:val="nil"/>
            </w:tcBorders>
            <w:vAlign w:val="bottom"/>
          </w:tcPr>
          <w:p w14:paraId="782F6AE1"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1,115</w:t>
            </w:r>
          </w:p>
        </w:tc>
        <w:tc>
          <w:tcPr>
            <w:tcW w:w="850" w:type="dxa"/>
            <w:gridSpan w:val="3"/>
            <w:vAlign w:val="bottom"/>
          </w:tcPr>
          <w:p w14:paraId="4E244016" w14:textId="77777777" w:rsidR="00AE1E5C" w:rsidRPr="00024B10" w:rsidRDefault="00AE1E5C" w:rsidP="004203CD">
            <w:pPr>
              <w:pStyle w:val="Tabletext"/>
              <w:jc w:val="right"/>
              <w:rPr>
                <w:rStyle w:val="BoldBlue"/>
                <w:rFonts w:cs="IBM Plex Sans"/>
                <w:color w:val="3D7FE0" w:themeColor="accent1"/>
              </w:rPr>
            </w:pPr>
            <w:r w:rsidRPr="007C0BC1">
              <w:rPr>
                <w:rStyle w:val="BoldBlue"/>
                <w:rFonts w:ascii="IBM Plex Sans Light" w:hAnsi="IBM Plex Sans Light" w:cs="IBM Plex Sans"/>
                <w:bCs w:val="0"/>
                <w:color w:val="3D7FE0" w:themeColor="accent1"/>
                <w:sz w:val="18"/>
                <w:szCs w:val="18"/>
              </w:rPr>
              <w:t>–</w:t>
            </w:r>
          </w:p>
        </w:tc>
        <w:tc>
          <w:tcPr>
            <w:tcW w:w="907" w:type="dxa"/>
            <w:gridSpan w:val="3"/>
            <w:vAlign w:val="bottom"/>
          </w:tcPr>
          <w:p w14:paraId="5FBB59B1"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79</w:t>
            </w:r>
          </w:p>
        </w:tc>
        <w:tc>
          <w:tcPr>
            <w:tcW w:w="737" w:type="dxa"/>
            <w:gridSpan w:val="3"/>
            <w:shd w:val="clear" w:color="auto" w:fill="FFFFFF"/>
            <w:vAlign w:val="bottom"/>
          </w:tcPr>
          <w:p w14:paraId="316CC301" w14:textId="77777777" w:rsidR="00AE1E5C" w:rsidRPr="00024B10" w:rsidRDefault="00AE1E5C" w:rsidP="004203CD">
            <w:pPr>
              <w:pStyle w:val="Tabletext"/>
              <w:jc w:val="right"/>
              <w:rPr>
                <w:rStyle w:val="BoldBlue"/>
                <w:rFonts w:cs="IBM Plex Sans"/>
                <w:color w:val="3D7FE0" w:themeColor="accent1"/>
              </w:rPr>
            </w:pPr>
            <w:r w:rsidRPr="007C0BC1">
              <w:rPr>
                <w:rStyle w:val="BoldBlue"/>
                <w:rFonts w:ascii="IBM Plex Sans Light" w:hAnsi="IBM Plex Sans Light" w:cs="IBM Plex Sans"/>
                <w:bCs w:val="0"/>
                <w:color w:val="3D7FE0" w:themeColor="accent1"/>
                <w:sz w:val="18"/>
                <w:szCs w:val="18"/>
              </w:rPr>
              <w:t>1,194</w:t>
            </w:r>
          </w:p>
        </w:tc>
        <w:tc>
          <w:tcPr>
            <w:tcW w:w="794" w:type="dxa"/>
            <w:gridSpan w:val="3"/>
            <w:shd w:val="clear" w:color="auto" w:fill="FFFFFF"/>
            <w:vAlign w:val="bottom"/>
          </w:tcPr>
          <w:p w14:paraId="3481BFD3"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1,189</w:t>
            </w:r>
          </w:p>
        </w:tc>
        <w:tc>
          <w:tcPr>
            <w:tcW w:w="937" w:type="dxa"/>
            <w:gridSpan w:val="3"/>
            <w:shd w:val="clear" w:color="auto" w:fill="FFFFFF"/>
            <w:vAlign w:val="bottom"/>
          </w:tcPr>
          <w:p w14:paraId="70A8DFE9" w14:textId="77777777" w:rsidR="00AE1E5C" w:rsidRPr="00024B10" w:rsidRDefault="00AE1E5C" w:rsidP="004203CD">
            <w:pPr>
              <w:pStyle w:val="Tabletext"/>
              <w:jc w:val="right"/>
              <w:rPr>
                <w:rFonts w:ascii="IBM Plex Sans Light" w:hAnsi="IBM Plex Sans Light"/>
                <w:sz w:val="18"/>
                <w:szCs w:val="18"/>
              </w:rPr>
            </w:pPr>
            <w:r w:rsidRPr="008E5BF0">
              <w:rPr>
                <w:rFonts w:ascii="IBM Plex Sans Light" w:hAnsi="IBM Plex Sans Light"/>
                <w:sz w:val="18"/>
                <w:szCs w:val="18"/>
              </w:rPr>
              <w:t>–</w:t>
            </w:r>
          </w:p>
        </w:tc>
        <w:tc>
          <w:tcPr>
            <w:tcW w:w="850" w:type="dxa"/>
            <w:gridSpan w:val="3"/>
            <w:shd w:val="clear" w:color="auto" w:fill="FFFFFF"/>
            <w:vAlign w:val="bottom"/>
          </w:tcPr>
          <w:p w14:paraId="19A2DAD1" w14:textId="77777777" w:rsidR="00AE1E5C" w:rsidRPr="00024B10" w:rsidRDefault="00AE1E5C" w:rsidP="00F66A6D">
            <w:pPr>
              <w:pStyle w:val="Tabletext"/>
              <w:jc w:val="right"/>
              <w:rPr>
                <w:rFonts w:ascii="IBM Plex Sans Light" w:hAnsi="IBM Plex Sans Light"/>
                <w:sz w:val="18"/>
                <w:szCs w:val="18"/>
              </w:rPr>
            </w:pPr>
            <w:r w:rsidRPr="00F66A6D">
              <w:rPr>
                <w:rFonts w:ascii="IBM Plex Sans Light" w:hAnsi="IBM Plex Sans Light"/>
                <w:sz w:val="18"/>
                <w:szCs w:val="18"/>
              </w:rPr>
              <w:t>52</w:t>
            </w:r>
          </w:p>
        </w:tc>
        <w:tc>
          <w:tcPr>
            <w:tcW w:w="749" w:type="dxa"/>
            <w:gridSpan w:val="3"/>
            <w:shd w:val="clear" w:color="auto" w:fill="FFFFFF" w:themeFill="background1"/>
            <w:vAlign w:val="bottom"/>
          </w:tcPr>
          <w:p w14:paraId="17B1506E" w14:textId="77777777" w:rsidR="00AE1E5C" w:rsidRPr="00024B10" w:rsidRDefault="00AE1E5C" w:rsidP="00024B10">
            <w:pPr>
              <w:pStyle w:val="Tabletext"/>
              <w:jc w:val="right"/>
              <w:rPr>
                <w:rFonts w:ascii="IBM Plex Sans Light" w:hAnsi="IBM Plex Sans Light"/>
                <w:b/>
                <w:bCs/>
                <w:sz w:val="18"/>
                <w:szCs w:val="18"/>
              </w:rPr>
            </w:pPr>
            <w:r w:rsidRPr="008E5BF0">
              <w:rPr>
                <w:rFonts w:ascii="IBM Plex Sans Light" w:hAnsi="IBM Plex Sans Light"/>
                <w:sz w:val="18"/>
                <w:szCs w:val="18"/>
              </w:rPr>
              <w:t>1,241</w:t>
            </w:r>
          </w:p>
        </w:tc>
      </w:tr>
      <w:tr w:rsidR="00AE1E5C" w:rsidRPr="00EE22AA" w14:paraId="3AF530FD" w14:textId="77777777" w:rsidTr="004203CD">
        <w:tc>
          <w:tcPr>
            <w:tcW w:w="2058" w:type="dxa"/>
            <w:vAlign w:val="bottom"/>
          </w:tcPr>
          <w:p w14:paraId="7E973F39" w14:textId="77777777" w:rsidR="00AE1E5C" w:rsidRPr="008E5BF0" w:rsidRDefault="00AE1E5C" w:rsidP="004203CD">
            <w:pPr>
              <w:pStyle w:val="Tabletext"/>
              <w:rPr>
                <w:rFonts w:ascii="IBM Plex Sans Light" w:hAnsi="IBM Plex Sans Light"/>
                <w:sz w:val="18"/>
                <w:szCs w:val="24"/>
              </w:rPr>
            </w:pPr>
          </w:p>
        </w:tc>
        <w:tc>
          <w:tcPr>
            <w:tcW w:w="1344" w:type="dxa"/>
            <w:gridSpan w:val="2"/>
            <w:vAlign w:val="bottom"/>
          </w:tcPr>
          <w:p w14:paraId="0B616C57" w14:textId="77777777" w:rsidR="00AE1E5C" w:rsidRPr="00274099" w:rsidRDefault="00AE1E5C" w:rsidP="004203CD">
            <w:pPr>
              <w:pStyle w:val="Tabletext"/>
              <w:rPr>
                <w:rFonts w:ascii="IBM Plex Sans Light" w:hAnsi="IBM Plex Sans Light"/>
                <w:b/>
                <w:bCs/>
                <w:color w:val="4472C4"/>
                <w:spacing w:val="-4"/>
                <w:sz w:val="18"/>
                <w:szCs w:val="18"/>
              </w:rPr>
            </w:pPr>
            <w:r>
              <w:rPr>
                <w:rFonts w:ascii="IBM Plex Sans Light" w:hAnsi="IBM Plex Sans Light"/>
                <w:sz w:val="18"/>
                <w:szCs w:val="24"/>
              </w:rPr>
              <w:t>-</w:t>
            </w:r>
            <w:r w:rsidRPr="008E5BF0">
              <w:rPr>
                <w:rFonts w:ascii="IBM Plex Sans Light" w:hAnsi="IBM Plex Sans Light"/>
                <w:sz w:val="18"/>
                <w:szCs w:val="24"/>
              </w:rPr>
              <w:t xml:space="preserve"> Italie Deux</w:t>
            </w:r>
          </w:p>
        </w:tc>
        <w:tc>
          <w:tcPr>
            <w:tcW w:w="799" w:type="dxa"/>
            <w:gridSpan w:val="3"/>
            <w:tcBorders>
              <w:left w:val="nil"/>
            </w:tcBorders>
            <w:vAlign w:val="bottom"/>
          </w:tcPr>
          <w:p w14:paraId="3385F82F"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850" w:type="dxa"/>
            <w:gridSpan w:val="3"/>
            <w:vAlign w:val="bottom"/>
          </w:tcPr>
          <w:p w14:paraId="358EEDDB" w14:textId="77777777" w:rsidR="00AE1E5C" w:rsidRPr="00024B10" w:rsidRDefault="00AE1E5C" w:rsidP="004203CD">
            <w:pPr>
              <w:pStyle w:val="Tabletext"/>
              <w:jc w:val="right"/>
              <w:rPr>
                <w:rStyle w:val="BoldBlue"/>
                <w:rFonts w:cs="IBM Plex Sans"/>
                <w:color w:val="3D7FE0" w:themeColor="accent1"/>
              </w:rPr>
            </w:pPr>
            <w:r w:rsidRPr="007C0BC1">
              <w:rPr>
                <w:rStyle w:val="BoldBlue"/>
                <w:rFonts w:ascii="IBM Plex Sans Light" w:hAnsi="IBM Plex Sans Light" w:cs="IBM Plex Sans"/>
                <w:bCs w:val="0"/>
                <w:color w:val="3D7FE0" w:themeColor="accent1"/>
                <w:sz w:val="18"/>
                <w:szCs w:val="18"/>
              </w:rPr>
              <w:t>–</w:t>
            </w:r>
          </w:p>
        </w:tc>
        <w:tc>
          <w:tcPr>
            <w:tcW w:w="907" w:type="dxa"/>
            <w:gridSpan w:val="3"/>
            <w:vAlign w:val="bottom"/>
          </w:tcPr>
          <w:p w14:paraId="4747A8AD"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737" w:type="dxa"/>
            <w:gridSpan w:val="3"/>
            <w:shd w:val="clear" w:color="auto" w:fill="FFFFFF"/>
            <w:vAlign w:val="bottom"/>
          </w:tcPr>
          <w:p w14:paraId="231EBE94"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w:t>
            </w:r>
          </w:p>
        </w:tc>
        <w:tc>
          <w:tcPr>
            <w:tcW w:w="794" w:type="dxa"/>
            <w:gridSpan w:val="3"/>
            <w:shd w:val="clear" w:color="auto" w:fill="FFFFFF"/>
            <w:vAlign w:val="bottom"/>
          </w:tcPr>
          <w:p w14:paraId="6D820369"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108</w:t>
            </w:r>
          </w:p>
        </w:tc>
        <w:tc>
          <w:tcPr>
            <w:tcW w:w="937" w:type="dxa"/>
            <w:gridSpan w:val="3"/>
            <w:shd w:val="clear" w:color="auto" w:fill="FFFFFF"/>
            <w:vAlign w:val="bottom"/>
          </w:tcPr>
          <w:p w14:paraId="2FC9D692"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(108)</w:t>
            </w:r>
          </w:p>
        </w:tc>
        <w:tc>
          <w:tcPr>
            <w:tcW w:w="850" w:type="dxa"/>
            <w:gridSpan w:val="3"/>
            <w:shd w:val="clear" w:color="auto" w:fill="FFFFFF"/>
            <w:vAlign w:val="bottom"/>
          </w:tcPr>
          <w:p w14:paraId="6D396997" w14:textId="77777777" w:rsidR="00AE1E5C" w:rsidRPr="00024B10" w:rsidRDefault="00AE1E5C" w:rsidP="00F66A6D">
            <w:pPr>
              <w:pStyle w:val="Tabletext"/>
              <w:jc w:val="right"/>
              <w:rPr>
                <w:rFonts w:ascii="IBM Plex Sans Light" w:hAnsi="IBM Plex Sans Light"/>
                <w:sz w:val="18"/>
                <w:szCs w:val="18"/>
              </w:rPr>
            </w:pPr>
            <w:r w:rsidRPr="00F66A6D">
              <w:rPr>
                <w:rFonts w:ascii="IBM Plex Sans Light" w:hAnsi="IBM Plex Sans Light"/>
                <w:sz w:val="18"/>
                <w:szCs w:val="18"/>
              </w:rPr>
              <w:t>–</w:t>
            </w:r>
          </w:p>
        </w:tc>
        <w:tc>
          <w:tcPr>
            <w:tcW w:w="749" w:type="dxa"/>
            <w:gridSpan w:val="3"/>
            <w:shd w:val="clear" w:color="auto" w:fill="FFFFFF" w:themeFill="background1"/>
            <w:vAlign w:val="bottom"/>
          </w:tcPr>
          <w:p w14:paraId="4E94BBCB" w14:textId="77777777" w:rsidR="00AE1E5C" w:rsidRPr="00024B10" w:rsidRDefault="00AE1E5C" w:rsidP="00024B10">
            <w:pPr>
              <w:pStyle w:val="Tabletext"/>
              <w:jc w:val="right"/>
              <w:rPr>
                <w:rFonts w:ascii="IBM Plex Sans Light" w:hAnsi="IBM Plex Sans Light"/>
                <w:b/>
                <w:bCs/>
                <w:sz w:val="18"/>
                <w:szCs w:val="18"/>
              </w:rPr>
            </w:pPr>
            <w:r w:rsidRPr="008E5BF0">
              <w:rPr>
                <w:rFonts w:ascii="IBM Plex Sans Light" w:hAnsi="IBM Plex Sans Light"/>
                <w:sz w:val="18"/>
                <w:szCs w:val="18"/>
              </w:rPr>
              <w:t>–</w:t>
            </w:r>
          </w:p>
        </w:tc>
      </w:tr>
      <w:tr w:rsidR="00AE1E5C" w:rsidRPr="00EE22AA" w14:paraId="1EE5A4E2" w14:textId="77777777" w:rsidTr="004203CD">
        <w:trPr>
          <w:gridAfter w:val="1"/>
          <w:wAfter w:w="11" w:type="dxa"/>
        </w:trPr>
        <w:tc>
          <w:tcPr>
            <w:tcW w:w="3402" w:type="dxa"/>
            <w:gridSpan w:val="3"/>
            <w:vAlign w:val="bottom"/>
          </w:tcPr>
          <w:p w14:paraId="6B65365F" w14:textId="77777777" w:rsidR="00AE1E5C" w:rsidRPr="00EE22AA" w:rsidRDefault="00AE1E5C" w:rsidP="004203CD">
            <w:pPr>
              <w:pStyle w:val="Tabletext"/>
              <w:rPr>
                <w:rFonts w:ascii="IBM Plex Sans Light" w:hAnsi="IBM Plex Sans Light"/>
                <w:color w:val="4472C4"/>
                <w:spacing w:val="-4"/>
                <w:sz w:val="18"/>
                <w:szCs w:val="18"/>
              </w:rPr>
            </w:pPr>
            <w:r w:rsidRPr="008E5BF0">
              <w:rPr>
                <w:rFonts w:ascii="IBM Plex Sans Light" w:hAnsi="IBM Plex Sans Light"/>
                <w:sz w:val="18"/>
                <w:szCs w:val="24"/>
              </w:rPr>
              <w:t xml:space="preserve">Net trade receivables </w:t>
            </w:r>
          </w:p>
        </w:tc>
        <w:tc>
          <w:tcPr>
            <w:tcW w:w="793" w:type="dxa"/>
            <w:gridSpan w:val="2"/>
            <w:tcBorders>
              <w:left w:val="nil"/>
            </w:tcBorders>
            <w:vAlign w:val="bottom"/>
          </w:tcPr>
          <w:p w14:paraId="24E3B9E6" w14:textId="02336CA5"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2</w:t>
            </w:r>
            <w:r w:rsidR="00CB2690" w:rsidRPr="007C0BC1">
              <w:rPr>
                <w:rStyle w:val="BoldBlue"/>
                <w:rFonts w:ascii="IBM Plex Sans Light" w:hAnsi="IBM Plex Sans Light" w:cs="IBM Plex Sans"/>
                <w:bCs w:val="0"/>
                <w:color w:val="3D7FE0" w:themeColor="accent1"/>
                <w:sz w:val="18"/>
                <w:szCs w:val="18"/>
              </w:rPr>
              <w:t>8</w:t>
            </w:r>
          </w:p>
        </w:tc>
        <w:tc>
          <w:tcPr>
            <w:tcW w:w="850" w:type="dxa"/>
            <w:gridSpan w:val="3"/>
            <w:vAlign w:val="bottom"/>
          </w:tcPr>
          <w:p w14:paraId="4F5F68DF" w14:textId="09DBAF0A" w:rsidR="00AE1E5C" w:rsidRPr="00024B10" w:rsidRDefault="00AE1E5C" w:rsidP="004203CD">
            <w:pPr>
              <w:pStyle w:val="Tabletext"/>
              <w:jc w:val="right"/>
              <w:rPr>
                <w:rStyle w:val="BoldBlue"/>
                <w:rFonts w:cs="IBM Plex Sans"/>
                <w:bCs w:val="0"/>
                <w:color w:val="3D7FE0" w:themeColor="accent1"/>
              </w:rPr>
            </w:pPr>
            <w:r w:rsidRPr="007C0BC1">
              <w:rPr>
                <w:rStyle w:val="BoldBlue"/>
                <w:rFonts w:ascii="IBM Plex Sans Light" w:hAnsi="IBM Plex Sans Light" w:cs="IBM Plex Sans"/>
                <w:bCs w:val="0"/>
                <w:color w:val="3D7FE0" w:themeColor="accent1"/>
                <w:sz w:val="18"/>
                <w:szCs w:val="18"/>
              </w:rPr>
              <w:t>1</w:t>
            </w:r>
            <w:r w:rsidR="00CB2690" w:rsidRPr="007C0BC1">
              <w:rPr>
                <w:rStyle w:val="BoldBlue"/>
                <w:rFonts w:ascii="IBM Plex Sans Light" w:hAnsi="IBM Plex Sans Light" w:cs="IBM Plex Sans"/>
                <w:bCs w:val="0"/>
                <w:color w:val="3D7FE0" w:themeColor="accent1"/>
                <w:sz w:val="18"/>
                <w:szCs w:val="18"/>
              </w:rPr>
              <w:t>5</w:t>
            </w:r>
          </w:p>
        </w:tc>
        <w:tc>
          <w:tcPr>
            <w:tcW w:w="907" w:type="dxa"/>
            <w:gridSpan w:val="3"/>
            <w:vAlign w:val="bottom"/>
          </w:tcPr>
          <w:p w14:paraId="1A471552" w14:textId="77777777" w:rsidR="00AE1E5C" w:rsidRPr="00024B10" w:rsidRDefault="00AE1E5C" w:rsidP="004203CD">
            <w:pPr>
              <w:pStyle w:val="Tabletext"/>
              <w:jc w:val="right"/>
              <w:rPr>
                <w:rStyle w:val="BoldBlue"/>
                <w:rFonts w:cs="IBM Plex Sans"/>
                <w:bCs w:val="0"/>
                <w:color w:val="3D7FE0" w:themeColor="accent1"/>
              </w:rPr>
            </w:pPr>
            <w:r w:rsidRPr="007C0BC1">
              <w:rPr>
                <w:rStyle w:val="BoldBlue"/>
                <w:rFonts w:ascii="IBM Plex Sans Light" w:hAnsi="IBM Plex Sans Light" w:cs="IBM Plex Sans"/>
                <w:bCs w:val="0"/>
                <w:color w:val="3D7FE0" w:themeColor="accent1"/>
                <w:sz w:val="18"/>
                <w:szCs w:val="18"/>
              </w:rPr>
              <w:t>–</w:t>
            </w:r>
          </w:p>
        </w:tc>
        <w:tc>
          <w:tcPr>
            <w:tcW w:w="737" w:type="dxa"/>
            <w:gridSpan w:val="3"/>
            <w:shd w:val="clear" w:color="auto" w:fill="FFFFFF"/>
            <w:vAlign w:val="bottom"/>
          </w:tcPr>
          <w:p w14:paraId="3409AA41"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43</w:t>
            </w:r>
          </w:p>
        </w:tc>
        <w:tc>
          <w:tcPr>
            <w:tcW w:w="794" w:type="dxa"/>
            <w:gridSpan w:val="3"/>
            <w:shd w:val="clear" w:color="auto" w:fill="FFFFFF"/>
            <w:vAlign w:val="bottom"/>
          </w:tcPr>
          <w:p w14:paraId="71D553AE"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23</w:t>
            </w:r>
          </w:p>
        </w:tc>
        <w:tc>
          <w:tcPr>
            <w:tcW w:w="937" w:type="dxa"/>
            <w:gridSpan w:val="3"/>
            <w:shd w:val="clear" w:color="auto" w:fill="FFFFFF"/>
            <w:vAlign w:val="bottom"/>
          </w:tcPr>
          <w:p w14:paraId="1FF832C6" w14:textId="77777777" w:rsidR="00AE1E5C" w:rsidRPr="008E5BF0" w:rsidRDefault="00AE1E5C" w:rsidP="004203CD">
            <w:pPr>
              <w:pStyle w:val="Tabletext"/>
              <w:jc w:val="right"/>
              <w:rPr>
                <w:rFonts w:ascii="IBM Plex Sans Light" w:hAnsi="IBM Plex Sans Light"/>
                <w:color w:val="auto"/>
                <w:sz w:val="18"/>
                <w:szCs w:val="18"/>
              </w:rPr>
            </w:pPr>
            <w:r w:rsidRPr="008E5BF0">
              <w:rPr>
                <w:rFonts w:ascii="IBM Plex Sans Light" w:hAnsi="IBM Plex Sans Light"/>
                <w:sz w:val="18"/>
                <w:szCs w:val="18"/>
              </w:rPr>
              <w:t>19</w:t>
            </w:r>
          </w:p>
        </w:tc>
        <w:tc>
          <w:tcPr>
            <w:tcW w:w="850" w:type="dxa"/>
            <w:gridSpan w:val="3"/>
            <w:shd w:val="clear" w:color="auto" w:fill="FFFFFF"/>
            <w:vAlign w:val="bottom"/>
          </w:tcPr>
          <w:p w14:paraId="0FC09373" w14:textId="77777777" w:rsidR="00AE1E5C" w:rsidRPr="00024B10" w:rsidRDefault="00AE1E5C" w:rsidP="004203CD">
            <w:pPr>
              <w:pStyle w:val="Tabletext"/>
              <w:jc w:val="right"/>
              <w:rPr>
                <w:rFonts w:ascii="IBM Plex Sans Light" w:hAnsi="IBM Plex Sans Light"/>
                <w:sz w:val="18"/>
                <w:szCs w:val="18"/>
              </w:rPr>
            </w:pPr>
            <w:r w:rsidRPr="008E5BF0">
              <w:rPr>
                <w:rFonts w:ascii="IBM Plex Sans Light" w:hAnsi="IBM Plex Sans Light"/>
                <w:sz w:val="18"/>
                <w:szCs w:val="18"/>
              </w:rPr>
              <w:t>–</w:t>
            </w:r>
          </w:p>
        </w:tc>
        <w:tc>
          <w:tcPr>
            <w:tcW w:w="744" w:type="dxa"/>
            <w:gridSpan w:val="3"/>
            <w:shd w:val="clear" w:color="auto" w:fill="FFFFFF" w:themeFill="background1"/>
            <w:vAlign w:val="bottom"/>
          </w:tcPr>
          <w:p w14:paraId="69E55B1F" w14:textId="77777777" w:rsidR="00AE1E5C" w:rsidRPr="00024B10" w:rsidRDefault="00AE1E5C" w:rsidP="00024B10">
            <w:pPr>
              <w:pStyle w:val="Tabletext"/>
              <w:jc w:val="right"/>
              <w:rPr>
                <w:rFonts w:ascii="IBM Plex Sans Light" w:hAnsi="IBM Plex Sans Light"/>
                <w:b/>
                <w:bCs/>
                <w:sz w:val="18"/>
                <w:szCs w:val="18"/>
              </w:rPr>
            </w:pPr>
            <w:r w:rsidRPr="008E5BF0">
              <w:rPr>
                <w:rFonts w:ascii="IBM Plex Sans Light" w:hAnsi="IBM Plex Sans Light"/>
                <w:sz w:val="18"/>
                <w:szCs w:val="18"/>
              </w:rPr>
              <w:t>42</w:t>
            </w:r>
          </w:p>
        </w:tc>
      </w:tr>
      <w:tr w:rsidR="00AE1E5C" w:rsidRPr="00EE22AA" w14:paraId="2A6D0A2F" w14:textId="77777777" w:rsidTr="004203CD">
        <w:trPr>
          <w:gridAfter w:val="1"/>
          <w:wAfter w:w="11" w:type="dxa"/>
        </w:trPr>
        <w:tc>
          <w:tcPr>
            <w:tcW w:w="3402" w:type="dxa"/>
            <w:gridSpan w:val="3"/>
            <w:vAlign w:val="bottom"/>
          </w:tcPr>
          <w:p w14:paraId="6AF325CD" w14:textId="77777777" w:rsidR="00AE1E5C" w:rsidRPr="008E5BF0" w:rsidRDefault="00AE1E5C" w:rsidP="004203CD">
            <w:pPr>
              <w:pStyle w:val="Tabletext"/>
              <w:rPr>
                <w:rFonts w:ascii="IBM Plex Sans Light" w:hAnsi="IBM Plex Sans Light"/>
                <w:color w:val="auto"/>
                <w:spacing w:val="-4"/>
                <w:szCs w:val="16"/>
              </w:rPr>
            </w:pPr>
            <w:r w:rsidRPr="008E5BF0">
              <w:rPr>
                <w:rFonts w:ascii="IBM Plex Sans Light" w:hAnsi="IBM Plex Sans Light"/>
                <w:sz w:val="18"/>
                <w:szCs w:val="24"/>
              </w:rPr>
              <w:t>Net debt</w:t>
            </w:r>
            <w:r w:rsidRPr="00274099">
              <w:rPr>
                <w:rFonts w:ascii="IBM Plex Sans Light" w:hAnsi="IBM Plex Sans Light"/>
                <w:sz w:val="18"/>
                <w:szCs w:val="24"/>
                <w:vertAlign w:val="superscript"/>
              </w:rPr>
              <w:t>1</w:t>
            </w:r>
          </w:p>
        </w:tc>
        <w:tc>
          <w:tcPr>
            <w:tcW w:w="793" w:type="dxa"/>
            <w:gridSpan w:val="2"/>
            <w:tcBorders>
              <w:left w:val="nil"/>
            </w:tcBorders>
            <w:vAlign w:val="bottom"/>
          </w:tcPr>
          <w:p w14:paraId="0CFE100E"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(1,163)</w:t>
            </w:r>
          </w:p>
        </w:tc>
        <w:tc>
          <w:tcPr>
            <w:tcW w:w="850" w:type="dxa"/>
            <w:gridSpan w:val="3"/>
            <w:vAlign w:val="bottom"/>
          </w:tcPr>
          <w:p w14:paraId="09BA8FD4"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(163)</w:t>
            </w:r>
          </w:p>
        </w:tc>
        <w:tc>
          <w:tcPr>
            <w:tcW w:w="907" w:type="dxa"/>
            <w:gridSpan w:val="3"/>
            <w:vAlign w:val="bottom"/>
          </w:tcPr>
          <w:p w14:paraId="552C67F8"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737" w:type="dxa"/>
            <w:gridSpan w:val="3"/>
            <w:shd w:val="clear" w:color="auto" w:fill="FFFFFF"/>
            <w:vAlign w:val="bottom"/>
          </w:tcPr>
          <w:p w14:paraId="239D7887"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(1,326)</w:t>
            </w:r>
          </w:p>
        </w:tc>
        <w:tc>
          <w:tcPr>
            <w:tcW w:w="794" w:type="dxa"/>
            <w:gridSpan w:val="3"/>
            <w:shd w:val="clear" w:color="auto" w:fill="FFFFFF"/>
            <w:vAlign w:val="bottom"/>
          </w:tcPr>
          <w:p w14:paraId="6B2587F1"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(1,458)</w:t>
            </w:r>
          </w:p>
        </w:tc>
        <w:tc>
          <w:tcPr>
            <w:tcW w:w="937" w:type="dxa"/>
            <w:gridSpan w:val="3"/>
            <w:shd w:val="clear" w:color="auto" w:fill="FFFFFF"/>
            <w:vAlign w:val="bottom"/>
          </w:tcPr>
          <w:p w14:paraId="19DD0B89"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(274)</w:t>
            </w:r>
          </w:p>
        </w:tc>
        <w:tc>
          <w:tcPr>
            <w:tcW w:w="850" w:type="dxa"/>
            <w:gridSpan w:val="3"/>
            <w:shd w:val="clear" w:color="auto" w:fill="FFFFFF"/>
            <w:vAlign w:val="bottom"/>
          </w:tcPr>
          <w:p w14:paraId="5010384C"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(1)</w:t>
            </w:r>
          </w:p>
        </w:tc>
        <w:tc>
          <w:tcPr>
            <w:tcW w:w="744" w:type="dxa"/>
            <w:gridSpan w:val="3"/>
            <w:shd w:val="clear" w:color="auto" w:fill="FFFFFF" w:themeFill="background1"/>
            <w:vAlign w:val="bottom"/>
          </w:tcPr>
          <w:p w14:paraId="194C97EC" w14:textId="77777777" w:rsidR="00AE1E5C" w:rsidRPr="00024B10" w:rsidRDefault="00AE1E5C" w:rsidP="00024B10">
            <w:pPr>
              <w:pStyle w:val="TableFiguresBrackets"/>
              <w:rPr>
                <w:rFonts w:ascii="IBM Plex Sans Light" w:hAnsi="IBM Plex Sans Light"/>
                <w:b/>
                <w:bCs/>
                <w:sz w:val="18"/>
                <w:szCs w:val="18"/>
              </w:rPr>
            </w:pPr>
            <w:r w:rsidRPr="008E5BF0">
              <w:rPr>
                <w:rFonts w:ascii="IBM Plex Sans Light" w:hAnsi="IBM Plex Sans Light"/>
                <w:sz w:val="18"/>
                <w:szCs w:val="18"/>
              </w:rPr>
              <w:t>(1,733)</w:t>
            </w:r>
          </w:p>
        </w:tc>
      </w:tr>
      <w:tr w:rsidR="00AE1E5C" w:rsidRPr="00EE22AA" w14:paraId="41D56150" w14:textId="77777777" w:rsidTr="004203CD">
        <w:trPr>
          <w:gridAfter w:val="1"/>
          <w:wAfter w:w="11" w:type="dxa"/>
        </w:trPr>
        <w:tc>
          <w:tcPr>
            <w:tcW w:w="3402" w:type="dxa"/>
            <w:gridSpan w:val="3"/>
            <w:tcBorders>
              <w:bottom w:val="single" w:sz="2" w:space="0" w:color="3D7FE0" w:themeColor="accent1"/>
            </w:tcBorders>
            <w:vAlign w:val="bottom"/>
          </w:tcPr>
          <w:p w14:paraId="342C718F" w14:textId="77777777" w:rsidR="00AE1E5C" w:rsidRPr="008E5BF0" w:rsidRDefault="00AE1E5C" w:rsidP="004203CD">
            <w:pPr>
              <w:pStyle w:val="Tabletext"/>
              <w:rPr>
                <w:rFonts w:ascii="IBM Plex Sans Light" w:hAnsi="IBM Plex Sans Light"/>
                <w:color w:val="auto"/>
                <w:spacing w:val="-4"/>
                <w:szCs w:val="16"/>
              </w:rPr>
            </w:pPr>
            <w:r w:rsidRPr="008E5BF0">
              <w:rPr>
                <w:rFonts w:ascii="IBM Plex Sans Light" w:hAnsi="IBM Plex Sans Light"/>
                <w:sz w:val="18"/>
                <w:szCs w:val="24"/>
              </w:rPr>
              <w:t>Other net liabilities</w:t>
            </w:r>
          </w:p>
        </w:tc>
        <w:tc>
          <w:tcPr>
            <w:tcW w:w="793" w:type="dxa"/>
            <w:gridSpan w:val="2"/>
            <w:tcBorders>
              <w:left w:val="nil"/>
              <w:bottom w:val="single" w:sz="2" w:space="0" w:color="3D7FE0" w:themeColor="accent1"/>
            </w:tcBorders>
            <w:vAlign w:val="bottom"/>
          </w:tcPr>
          <w:p w14:paraId="280D558A" w14:textId="4BD6D5D8"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(10</w:t>
            </w:r>
            <w:r w:rsidR="00CB2690" w:rsidRPr="008F2AF2">
              <w:rPr>
                <w:rFonts w:ascii="IBM Plex Sans Light" w:hAnsi="IBM Plex Sans Light"/>
                <w:b/>
                <w:bCs/>
                <w:color w:val="3D7FE0" w:themeColor="accent1"/>
                <w:spacing w:val="-4"/>
                <w:sz w:val="18"/>
                <w:szCs w:val="18"/>
              </w:rPr>
              <w:t>6</w:t>
            </w:r>
            <w:r w:rsidRPr="008F2AF2">
              <w:rPr>
                <w:rFonts w:ascii="IBM Plex Sans Light" w:hAnsi="IBM Plex Sans Light"/>
                <w:b/>
                <w:bCs/>
                <w:color w:val="3D7FE0" w:themeColor="accent1"/>
                <w:spacing w:val="-4"/>
                <w:sz w:val="18"/>
                <w:szCs w:val="18"/>
              </w:rPr>
              <w:t>)</w:t>
            </w:r>
          </w:p>
        </w:tc>
        <w:tc>
          <w:tcPr>
            <w:tcW w:w="850" w:type="dxa"/>
            <w:gridSpan w:val="3"/>
            <w:tcBorders>
              <w:bottom w:val="single" w:sz="2" w:space="0" w:color="3D7FE0" w:themeColor="accent1"/>
            </w:tcBorders>
            <w:vAlign w:val="bottom"/>
          </w:tcPr>
          <w:p w14:paraId="229759C3" w14:textId="0BD6ADAF"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w:t>
            </w:r>
            <w:r w:rsidR="00CB2690" w:rsidRPr="008F2AF2">
              <w:rPr>
                <w:rFonts w:ascii="IBM Plex Sans Light" w:hAnsi="IBM Plex Sans Light"/>
                <w:b/>
                <w:bCs/>
                <w:color w:val="3D7FE0" w:themeColor="accent1"/>
                <w:spacing w:val="-4"/>
                <w:sz w:val="18"/>
                <w:szCs w:val="18"/>
              </w:rPr>
              <w:t>39</w:t>
            </w:r>
            <w:r w:rsidRPr="008F2AF2">
              <w:rPr>
                <w:rFonts w:ascii="IBM Plex Sans Light" w:hAnsi="IBM Plex Sans Light"/>
                <w:b/>
                <w:bCs/>
                <w:color w:val="3D7FE0" w:themeColor="accent1"/>
                <w:spacing w:val="-4"/>
                <w:sz w:val="18"/>
                <w:szCs w:val="18"/>
              </w:rPr>
              <w:t>)</w:t>
            </w:r>
          </w:p>
        </w:tc>
        <w:tc>
          <w:tcPr>
            <w:tcW w:w="907" w:type="dxa"/>
            <w:gridSpan w:val="3"/>
            <w:tcBorders>
              <w:bottom w:val="single" w:sz="2" w:space="0" w:color="3D7FE0" w:themeColor="accent1"/>
            </w:tcBorders>
            <w:vAlign w:val="bottom"/>
          </w:tcPr>
          <w:p w14:paraId="235B6462"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737" w:type="dxa"/>
            <w:gridSpan w:val="3"/>
            <w:tcBorders>
              <w:bottom w:val="single" w:sz="2" w:space="0" w:color="3D7FE0" w:themeColor="accent1"/>
            </w:tcBorders>
            <w:shd w:val="clear" w:color="auto" w:fill="FFFFFF"/>
            <w:vAlign w:val="bottom"/>
          </w:tcPr>
          <w:p w14:paraId="0426D594" w14:textId="77777777" w:rsidR="00AE1E5C" w:rsidRPr="008F2AF2" w:rsidRDefault="00AE1E5C" w:rsidP="00024B10">
            <w:pPr>
              <w:pStyle w:val="TableFiguresBrackets"/>
              <w:rPr>
                <w:rFonts w:ascii="IBM Plex Sans Light" w:hAnsi="IBM Plex Sans Light"/>
                <w:b/>
                <w:bCs/>
                <w:color w:val="3D7FE0" w:themeColor="accent1"/>
                <w:spacing w:val="-4"/>
                <w:sz w:val="18"/>
                <w:szCs w:val="18"/>
              </w:rPr>
            </w:pPr>
            <w:r w:rsidRPr="008F2AF2">
              <w:rPr>
                <w:rFonts w:ascii="IBM Plex Sans Light" w:hAnsi="IBM Plex Sans Light"/>
                <w:b/>
                <w:bCs/>
                <w:color w:val="3D7FE0" w:themeColor="accent1"/>
                <w:spacing w:val="-4"/>
                <w:sz w:val="18"/>
                <w:szCs w:val="18"/>
              </w:rPr>
              <w:t>(145)</w:t>
            </w:r>
          </w:p>
        </w:tc>
        <w:tc>
          <w:tcPr>
            <w:tcW w:w="794" w:type="dxa"/>
            <w:gridSpan w:val="3"/>
            <w:tcBorders>
              <w:bottom w:val="single" w:sz="2" w:space="0" w:color="3D7FE0" w:themeColor="accent1"/>
            </w:tcBorders>
            <w:shd w:val="clear" w:color="auto" w:fill="FFFFFF"/>
            <w:vAlign w:val="bottom"/>
          </w:tcPr>
          <w:p w14:paraId="60DC374D"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(115)</w:t>
            </w:r>
          </w:p>
        </w:tc>
        <w:tc>
          <w:tcPr>
            <w:tcW w:w="937" w:type="dxa"/>
            <w:gridSpan w:val="3"/>
            <w:tcBorders>
              <w:bottom w:val="single" w:sz="2" w:space="0" w:color="3D7FE0" w:themeColor="accent1"/>
            </w:tcBorders>
            <w:shd w:val="clear" w:color="auto" w:fill="FFFFFF"/>
            <w:vAlign w:val="bottom"/>
          </w:tcPr>
          <w:p w14:paraId="7B426913"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(18)</w:t>
            </w:r>
          </w:p>
        </w:tc>
        <w:tc>
          <w:tcPr>
            <w:tcW w:w="850" w:type="dxa"/>
            <w:gridSpan w:val="3"/>
            <w:tcBorders>
              <w:bottom w:val="single" w:sz="2" w:space="0" w:color="3D7FE0" w:themeColor="accent1"/>
            </w:tcBorders>
            <w:shd w:val="clear" w:color="auto" w:fill="FFFFFF"/>
            <w:vAlign w:val="bottom"/>
          </w:tcPr>
          <w:p w14:paraId="3DC5F184" w14:textId="77777777" w:rsidR="00AE1E5C" w:rsidRPr="00024B10" w:rsidRDefault="00AE1E5C" w:rsidP="00024B10">
            <w:pPr>
              <w:pStyle w:val="TableFiguresBrackets"/>
              <w:rPr>
                <w:rFonts w:ascii="IBM Plex Sans Light" w:hAnsi="IBM Plex Sans Light"/>
                <w:sz w:val="18"/>
                <w:szCs w:val="18"/>
              </w:rPr>
            </w:pPr>
            <w:r w:rsidRPr="008E5BF0">
              <w:rPr>
                <w:rFonts w:ascii="IBM Plex Sans Light" w:hAnsi="IBM Plex Sans Light"/>
                <w:sz w:val="18"/>
                <w:szCs w:val="18"/>
              </w:rPr>
              <w:t>(3)</w:t>
            </w:r>
          </w:p>
        </w:tc>
        <w:tc>
          <w:tcPr>
            <w:tcW w:w="744" w:type="dxa"/>
            <w:gridSpan w:val="3"/>
            <w:tcBorders>
              <w:bottom w:val="single" w:sz="2" w:space="0" w:color="3D7FE0" w:themeColor="accent1"/>
            </w:tcBorders>
            <w:shd w:val="clear" w:color="auto" w:fill="FFFFFF" w:themeFill="background1"/>
            <w:vAlign w:val="bottom"/>
          </w:tcPr>
          <w:p w14:paraId="6DCF3948" w14:textId="77777777" w:rsidR="00AE1E5C" w:rsidRPr="00024B10" w:rsidRDefault="00AE1E5C" w:rsidP="00024B10">
            <w:pPr>
              <w:pStyle w:val="TableFiguresBrackets"/>
              <w:rPr>
                <w:rFonts w:ascii="IBM Plex Sans Light" w:hAnsi="IBM Plex Sans Light"/>
                <w:b/>
                <w:bCs/>
                <w:sz w:val="18"/>
                <w:szCs w:val="18"/>
              </w:rPr>
            </w:pPr>
            <w:r w:rsidRPr="008E5BF0">
              <w:rPr>
                <w:rFonts w:ascii="IBM Plex Sans Light" w:hAnsi="IBM Plex Sans Light"/>
                <w:sz w:val="18"/>
                <w:szCs w:val="18"/>
              </w:rPr>
              <w:t>(136)</w:t>
            </w:r>
          </w:p>
        </w:tc>
      </w:tr>
      <w:tr w:rsidR="00AE1E5C" w:rsidRPr="00EE22AA" w14:paraId="4802090F" w14:textId="77777777" w:rsidTr="004203CD">
        <w:trPr>
          <w:gridAfter w:val="1"/>
          <w:wAfter w:w="11" w:type="dxa"/>
        </w:trPr>
        <w:tc>
          <w:tcPr>
            <w:tcW w:w="3402" w:type="dxa"/>
            <w:gridSpan w:val="3"/>
            <w:tcBorders>
              <w:top w:val="single" w:sz="2" w:space="0" w:color="3D7FE0" w:themeColor="accent1"/>
              <w:bottom w:val="single" w:sz="8" w:space="0" w:color="3D7FE0" w:themeColor="accent1"/>
            </w:tcBorders>
            <w:vAlign w:val="bottom"/>
          </w:tcPr>
          <w:p w14:paraId="3203121B" w14:textId="77777777" w:rsidR="00AE1E5C" w:rsidRPr="008E5BF0" w:rsidRDefault="00AE1E5C" w:rsidP="004203CD">
            <w:pPr>
              <w:pStyle w:val="Tabletext"/>
              <w:rPr>
                <w:rFonts w:ascii="IBM Plex Sans Light" w:hAnsi="IBM Plex Sans Light"/>
                <w:color w:val="auto"/>
                <w:spacing w:val="-4"/>
                <w:szCs w:val="16"/>
              </w:rPr>
            </w:pPr>
            <w:r w:rsidRPr="008E5BF0">
              <w:rPr>
                <w:rStyle w:val="Bold"/>
                <w:rFonts w:ascii="IBM Plex Sans Light" w:hAnsi="IBM Plex Sans Light" w:cs="IBM Plex Sans"/>
                <w:bCs/>
                <w:sz w:val="18"/>
                <w:szCs w:val="24"/>
              </w:rPr>
              <w:t>Net assets</w:t>
            </w:r>
          </w:p>
        </w:tc>
        <w:tc>
          <w:tcPr>
            <w:tcW w:w="793" w:type="dxa"/>
            <w:gridSpan w:val="2"/>
            <w:tcBorders>
              <w:top w:val="single" w:sz="2" w:space="0" w:color="3D7FE0" w:themeColor="accent1"/>
              <w:left w:val="nil"/>
              <w:bottom w:val="single" w:sz="8" w:space="0" w:color="3D7FE0" w:themeColor="accent1"/>
            </w:tcBorders>
            <w:vAlign w:val="bottom"/>
          </w:tcPr>
          <w:p w14:paraId="3ADA59B2"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2,463</w:t>
            </w:r>
          </w:p>
        </w:tc>
        <w:tc>
          <w:tcPr>
            <w:tcW w:w="850" w:type="dxa"/>
            <w:gridSpan w:val="3"/>
            <w:tcBorders>
              <w:top w:val="single" w:sz="2" w:space="0" w:color="3D7FE0" w:themeColor="accent1"/>
              <w:bottom w:val="single" w:sz="8" w:space="0" w:color="3D7FE0" w:themeColor="accent1"/>
            </w:tcBorders>
            <w:vAlign w:val="bottom"/>
          </w:tcPr>
          <w:p w14:paraId="65AFCADE"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w:t>
            </w:r>
          </w:p>
        </w:tc>
        <w:tc>
          <w:tcPr>
            <w:tcW w:w="907" w:type="dxa"/>
            <w:gridSpan w:val="3"/>
            <w:tcBorders>
              <w:top w:val="single" w:sz="2" w:space="0" w:color="3D7FE0" w:themeColor="accent1"/>
              <w:bottom w:val="single" w:sz="8" w:space="0" w:color="3D7FE0" w:themeColor="accent1"/>
            </w:tcBorders>
            <w:vAlign w:val="bottom"/>
          </w:tcPr>
          <w:p w14:paraId="2406923F"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79</w:t>
            </w:r>
          </w:p>
        </w:tc>
        <w:tc>
          <w:tcPr>
            <w:tcW w:w="737" w:type="dxa"/>
            <w:gridSpan w:val="3"/>
            <w:tcBorders>
              <w:top w:val="single" w:sz="2" w:space="0" w:color="3D7FE0" w:themeColor="accent1"/>
              <w:bottom w:val="single" w:sz="8" w:space="0" w:color="3D7FE0" w:themeColor="accent1"/>
            </w:tcBorders>
            <w:shd w:val="clear" w:color="auto" w:fill="FFFFFF"/>
            <w:vAlign w:val="bottom"/>
          </w:tcPr>
          <w:p w14:paraId="2B254E6F"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2,542</w:t>
            </w:r>
          </w:p>
        </w:tc>
        <w:tc>
          <w:tcPr>
            <w:tcW w:w="794" w:type="dxa"/>
            <w:gridSpan w:val="3"/>
            <w:tcBorders>
              <w:top w:val="single" w:sz="2" w:space="0" w:color="3D7FE0" w:themeColor="accent1"/>
              <w:bottom w:val="single" w:sz="8" w:space="0" w:color="3D7FE0" w:themeColor="accent1"/>
            </w:tcBorders>
            <w:shd w:val="clear" w:color="auto" w:fill="FFFFFF"/>
            <w:vAlign w:val="bottom"/>
          </w:tcPr>
          <w:p w14:paraId="513EC01B" w14:textId="77777777" w:rsidR="00AE1E5C" w:rsidRPr="00653D8F" w:rsidRDefault="00AE1E5C" w:rsidP="004203CD">
            <w:pPr>
              <w:pStyle w:val="Tabletext"/>
              <w:jc w:val="right"/>
              <w:rPr>
                <w:rFonts w:ascii="IBM Plex Sans Light" w:hAnsi="IBM Plex Sans Light"/>
                <w:b/>
                <w:bCs/>
                <w:color w:val="auto"/>
                <w:sz w:val="18"/>
                <w:szCs w:val="18"/>
              </w:rPr>
            </w:pPr>
            <w:r w:rsidRPr="00653D8F">
              <w:rPr>
                <w:rFonts w:ascii="IBM Plex Sans Light" w:hAnsi="IBM Plex Sans Light"/>
                <w:b/>
                <w:bCs/>
                <w:sz w:val="18"/>
                <w:szCs w:val="18"/>
              </w:rPr>
              <w:t>2,586</w:t>
            </w:r>
          </w:p>
        </w:tc>
        <w:tc>
          <w:tcPr>
            <w:tcW w:w="937" w:type="dxa"/>
            <w:gridSpan w:val="3"/>
            <w:tcBorders>
              <w:top w:val="single" w:sz="2" w:space="0" w:color="3D7FE0" w:themeColor="accent1"/>
              <w:bottom w:val="single" w:sz="8" w:space="0" w:color="3D7FE0" w:themeColor="accent1"/>
            </w:tcBorders>
            <w:shd w:val="clear" w:color="auto" w:fill="FFFFFF"/>
            <w:vAlign w:val="bottom"/>
          </w:tcPr>
          <w:p w14:paraId="6F5CA618" w14:textId="77777777" w:rsidR="00AE1E5C" w:rsidRPr="00653D8F" w:rsidRDefault="00AE1E5C" w:rsidP="004203CD">
            <w:pPr>
              <w:pStyle w:val="Tabletext"/>
              <w:jc w:val="right"/>
              <w:rPr>
                <w:rFonts w:ascii="IBM Plex Sans Light" w:hAnsi="IBM Plex Sans Light"/>
                <w:b/>
                <w:bCs/>
                <w:color w:val="auto"/>
                <w:sz w:val="18"/>
                <w:szCs w:val="18"/>
              </w:rPr>
            </w:pPr>
            <w:r w:rsidRPr="00653D8F">
              <w:rPr>
                <w:rFonts w:ascii="IBM Plex Sans Light" w:hAnsi="IBM Plex Sans Light"/>
                <w:b/>
                <w:bCs/>
                <w:sz w:val="18"/>
                <w:szCs w:val="18"/>
              </w:rPr>
              <w:t>–</w:t>
            </w:r>
          </w:p>
        </w:tc>
        <w:tc>
          <w:tcPr>
            <w:tcW w:w="850" w:type="dxa"/>
            <w:gridSpan w:val="3"/>
            <w:tcBorders>
              <w:top w:val="single" w:sz="2" w:space="0" w:color="3D7FE0" w:themeColor="accent1"/>
              <w:bottom w:val="single" w:sz="8" w:space="0" w:color="3D7FE0" w:themeColor="accent1"/>
            </w:tcBorders>
            <w:shd w:val="clear" w:color="auto" w:fill="FFFFFF"/>
            <w:vAlign w:val="bottom"/>
          </w:tcPr>
          <w:p w14:paraId="505CE233" w14:textId="77777777" w:rsidR="00AE1E5C" w:rsidRPr="00653D8F" w:rsidRDefault="00AE1E5C" w:rsidP="004203CD">
            <w:pPr>
              <w:pStyle w:val="Tabletext"/>
              <w:jc w:val="right"/>
              <w:rPr>
                <w:rFonts w:ascii="IBM Plex Sans Light" w:hAnsi="IBM Plex Sans Light"/>
                <w:b/>
                <w:bCs/>
                <w:color w:val="auto"/>
                <w:sz w:val="18"/>
                <w:szCs w:val="18"/>
              </w:rPr>
            </w:pPr>
            <w:r w:rsidRPr="00653D8F">
              <w:rPr>
                <w:rFonts w:ascii="IBM Plex Sans Light" w:hAnsi="IBM Plex Sans Light"/>
                <w:b/>
                <w:bCs/>
                <w:sz w:val="18"/>
                <w:szCs w:val="18"/>
              </w:rPr>
              <w:t>48</w:t>
            </w:r>
          </w:p>
        </w:tc>
        <w:tc>
          <w:tcPr>
            <w:tcW w:w="744" w:type="dxa"/>
            <w:gridSpan w:val="3"/>
            <w:tcBorders>
              <w:top w:val="single" w:sz="2" w:space="0" w:color="3D7FE0" w:themeColor="accent1"/>
              <w:bottom w:val="single" w:sz="8" w:space="0" w:color="3D7FE0" w:themeColor="accent1"/>
            </w:tcBorders>
            <w:shd w:val="clear" w:color="auto" w:fill="FFFFFF" w:themeFill="background1"/>
            <w:vAlign w:val="bottom"/>
          </w:tcPr>
          <w:p w14:paraId="165EA58E" w14:textId="77777777" w:rsidR="00AE1E5C" w:rsidRPr="00653D8F" w:rsidRDefault="00AE1E5C" w:rsidP="004203CD">
            <w:pPr>
              <w:pStyle w:val="TableFiguresBold"/>
              <w:rPr>
                <w:rFonts w:ascii="IBM Plex Sans Light" w:hAnsi="IBM Plex Sans Light"/>
                <w:color w:val="auto"/>
                <w:spacing w:val="-4"/>
                <w:sz w:val="18"/>
                <w:szCs w:val="18"/>
              </w:rPr>
            </w:pPr>
            <w:r w:rsidRPr="00653D8F">
              <w:rPr>
                <w:rFonts w:ascii="IBM Plex Sans Light" w:hAnsi="IBM Plex Sans Light"/>
                <w:sz w:val="18"/>
                <w:szCs w:val="18"/>
              </w:rPr>
              <w:t>2,634</w:t>
            </w:r>
          </w:p>
        </w:tc>
      </w:tr>
      <w:tr w:rsidR="00AE1E5C" w:rsidRPr="00EE22AA" w14:paraId="0FB77ACE" w14:textId="77777777" w:rsidTr="004203CD">
        <w:trPr>
          <w:gridAfter w:val="1"/>
          <w:wAfter w:w="11" w:type="dxa"/>
        </w:trPr>
        <w:tc>
          <w:tcPr>
            <w:tcW w:w="3402" w:type="dxa"/>
            <w:gridSpan w:val="3"/>
            <w:tcBorders>
              <w:top w:val="single" w:sz="8" w:space="0" w:color="3D7FE0" w:themeColor="accent1"/>
            </w:tcBorders>
            <w:vAlign w:val="bottom"/>
          </w:tcPr>
          <w:p w14:paraId="11226170" w14:textId="77777777" w:rsidR="00AE1E5C" w:rsidRPr="008E5BF0" w:rsidRDefault="00AE1E5C" w:rsidP="004203CD">
            <w:pPr>
              <w:pStyle w:val="Tabletext"/>
              <w:rPr>
                <w:rFonts w:ascii="IBM Plex Sans Light" w:hAnsi="IBM Plex Sans Light"/>
                <w:color w:val="auto"/>
                <w:spacing w:val="-4"/>
                <w:szCs w:val="16"/>
              </w:rPr>
            </w:pPr>
          </w:p>
        </w:tc>
        <w:tc>
          <w:tcPr>
            <w:tcW w:w="793" w:type="dxa"/>
            <w:gridSpan w:val="2"/>
            <w:tcBorders>
              <w:top w:val="single" w:sz="8" w:space="0" w:color="3D7FE0" w:themeColor="accent1"/>
              <w:left w:val="nil"/>
            </w:tcBorders>
            <w:vAlign w:val="bottom"/>
          </w:tcPr>
          <w:p w14:paraId="6F00C91F"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p>
        </w:tc>
        <w:tc>
          <w:tcPr>
            <w:tcW w:w="850" w:type="dxa"/>
            <w:gridSpan w:val="3"/>
            <w:tcBorders>
              <w:top w:val="single" w:sz="8" w:space="0" w:color="3D7FE0" w:themeColor="accent1"/>
            </w:tcBorders>
            <w:vAlign w:val="bottom"/>
          </w:tcPr>
          <w:p w14:paraId="0C309663"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p>
        </w:tc>
        <w:tc>
          <w:tcPr>
            <w:tcW w:w="907" w:type="dxa"/>
            <w:gridSpan w:val="3"/>
            <w:tcBorders>
              <w:top w:val="single" w:sz="8" w:space="0" w:color="3D7FE0" w:themeColor="accent1"/>
            </w:tcBorders>
            <w:vAlign w:val="bottom"/>
          </w:tcPr>
          <w:p w14:paraId="3F060BA3"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p>
        </w:tc>
        <w:tc>
          <w:tcPr>
            <w:tcW w:w="737" w:type="dxa"/>
            <w:gridSpan w:val="3"/>
            <w:tcBorders>
              <w:top w:val="single" w:sz="8" w:space="0" w:color="3D7FE0" w:themeColor="accent1"/>
            </w:tcBorders>
            <w:shd w:val="clear" w:color="auto" w:fill="FFFFFF"/>
            <w:vAlign w:val="bottom"/>
          </w:tcPr>
          <w:p w14:paraId="65F9447A" w14:textId="77777777" w:rsidR="00AE1E5C" w:rsidRPr="007C0BC1" w:rsidRDefault="00AE1E5C" w:rsidP="004203CD">
            <w:pPr>
              <w:pStyle w:val="Tabletext"/>
              <w:jc w:val="right"/>
              <w:rPr>
                <w:rFonts w:ascii="IBM Plex Sans Light" w:hAnsi="IBM Plex Sans Light"/>
                <w:b/>
                <w:color w:val="3D7FE0" w:themeColor="accent1"/>
                <w:sz w:val="18"/>
                <w:szCs w:val="18"/>
              </w:rPr>
            </w:pPr>
          </w:p>
        </w:tc>
        <w:tc>
          <w:tcPr>
            <w:tcW w:w="794" w:type="dxa"/>
            <w:gridSpan w:val="3"/>
            <w:tcBorders>
              <w:top w:val="single" w:sz="8" w:space="0" w:color="3D7FE0" w:themeColor="accent1"/>
            </w:tcBorders>
            <w:shd w:val="clear" w:color="auto" w:fill="FFFFFF"/>
            <w:vAlign w:val="bottom"/>
          </w:tcPr>
          <w:p w14:paraId="26C4FB7A" w14:textId="77777777" w:rsidR="00AE1E5C" w:rsidRPr="008E5BF0" w:rsidRDefault="00AE1E5C" w:rsidP="004203CD">
            <w:pPr>
              <w:pStyle w:val="Tabletext"/>
              <w:jc w:val="right"/>
              <w:rPr>
                <w:rFonts w:ascii="IBM Plex Sans Light" w:hAnsi="IBM Plex Sans Light"/>
                <w:color w:val="auto"/>
                <w:sz w:val="18"/>
                <w:szCs w:val="18"/>
              </w:rPr>
            </w:pPr>
          </w:p>
        </w:tc>
        <w:tc>
          <w:tcPr>
            <w:tcW w:w="937" w:type="dxa"/>
            <w:gridSpan w:val="3"/>
            <w:tcBorders>
              <w:top w:val="single" w:sz="8" w:space="0" w:color="3D7FE0" w:themeColor="accent1"/>
            </w:tcBorders>
            <w:shd w:val="clear" w:color="auto" w:fill="FFFFFF"/>
            <w:vAlign w:val="bottom"/>
          </w:tcPr>
          <w:p w14:paraId="6DF03429" w14:textId="77777777" w:rsidR="00AE1E5C" w:rsidRPr="008E5BF0" w:rsidRDefault="00AE1E5C" w:rsidP="004203CD">
            <w:pPr>
              <w:pStyle w:val="Tabletext"/>
              <w:jc w:val="right"/>
              <w:rPr>
                <w:rFonts w:ascii="IBM Plex Sans Light" w:hAnsi="IBM Plex Sans Light"/>
                <w:color w:val="auto"/>
                <w:sz w:val="18"/>
                <w:szCs w:val="18"/>
              </w:rPr>
            </w:pPr>
          </w:p>
        </w:tc>
        <w:tc>
          <w:tcPr>
            <w:tcW w:w="850" w:type="dxa"/>
            <w:gridSpan w:val="3"/>
            <w:tcBorders>
              <w:top w:val="single" w:sz="8" w:space="0" w:color="3D7FE0" w:themeColor="accent1"/>
            </w:tcBorders>
            <w:shd w:val="clear" w:color="auto" w:fill="FFFFFF"/>
            <w:vAlign w:val="bottom"/>
          </w:tcPr>
          <w:p w14:paraId="330DF59E" w14:textId="77777777" w:rsidR="00AE1E5C" w:rsidRPr="008E5BF0" w:rsidRDefault="00AE1E5C" w:rsidP="004203CD">
            <w:pPr>
              <w:pStyle w:val="Tabletext"/>
              <w:jc w:val="right"/>
              <w:rPr>
                <w:rFonts w:ascii="IBM Plex Sans Light" w:hAnsi="IBM Plex Sans Light"/>
                <w:color w:val="auto"/>
                <w:sz w:val="18"/>
                <w:szCs w:val="18"/>
              </w:rPr>
            </w:pPr>
          </w:p>
        </w:tc>
        <w:tc>
          <w:tcPr>
            <w:tcW w:w="744" w:type="dxa"/>
            <w:gridSpan w:val="3"/>
            <w:tcBorders>
              <w:top w:val="single" w:sz="8" w:space="0" w:color="3D7FE0" w:themeColor="accent1"/>
            </w:tcBorders>
            <w:shd w:val="clear" w:color="auto" w:fill="FFFFFF" w:themeFill="background1"/>
            <w:vAlign w:val="bottom"/>
          </w:tcPr>
          <w:p w14:paraId="39947774" w14:textId="77777777" w:rsidR="00AE1E5C" w:rsidRPr="008E5BF0" w:rsidRDefault="00AE1E5C" w:rsidP="004203CD">
            <w:pPr>
              <w:pStyle w:val="TableFiguresBold"/>
              <w:rPr>
                <w:rFonts w:ascii="IBM Plex Sans Light" w:hAnsi="IBM Plex Sans Light"/>
                <w:b w:val="0"/>
                <w:bCs w:val="0"/>
                <w:color w:val="auto"/>
                <w:spacing w:val="-4"/>
                <w:sz w:val="18"/>
                <w:szCs w:val="18"/>
              </w:rPr>
            </w:pPr>
          </w:p>
        </w:tc>
      </w:tr>
      <w:tr w:rsidR="00AE1E5C" w:rsidRPr="00EE22AA" w14:paraId="6D837147" w14:textId="77777777" w:rsidTr="004203CD">
        <w:trPr>
          <w:gridAfter w:val="1"/>
          <w:wAfter w:w="11" w:type="dxa"/>
        </w:trPr>
        <w:tc>
          <w:tcPr>
            <w:tcW w:w="3402" w:type="dxa"/>
            <w:gridSpan w:val="3"/>
            <w:tcBorders>
              <w:bottom w:val="single" w:sz="8" w:space="0" w:color="3D7FE0" w:themeColor="accent1"/>
            </w:tcBorders>
            <w:vAlign w:val="bottom"/>
          </w:tcPr>
          <w:p w14:paraId="0CEEE643" w14:textId="77777777" w:rsidR="00AE1E5C" w:rsidRPr="008E5BF0" w:rsidRDefault="00AE1E5C" w:rsidP="004203CD">
            <w:pPr>
              <w:pStyle w:val="Tabletext"/>
              <w:rPr>
                <w:rFonts w:ascii="IBM Plex Sans Light" w:hAnsi="IBM Plex Sans Light"/>
                <w:color w:val="auto"/>
                <w:spacing w:val="-4"/>
                <w:szCs w:val="16"/>
              </w:rPr>
            </w:pPr>
            <w:r w:rsidRPr="008E5BF0">
              <w:rPr>
                <w:rStyle w:val="Bold"/>
                <w:rFonts w:ascii="IBM Plex Sans Light" w:hAnsi="IBM Plex Sans Light" w:cs="IBM Plex Sans"/>
                <w:bCs/>
                <w:sz w:val="18"/>
                <w:szCs w:val="24"/>
              </w:rPr>
              <w:t>EPRA NTA per share</w:t>
            </w:r>
            <w:r w:rsidRPr="00274099">
              <w:rPr>
                <w:rStyle w:val="Bold"/>
                <w:rFonts w:ascii="IBM Plex Sans Light" w:hAnsi="IBM Plex Sans Light" w:cs="IBM Plex Sans"/>
                <w:bCs/>
                <w:sz w:val="18"/>
                <w:szCs w:val="24"/>
                <w:vertAlign w:val="superscript"/>
              </w:rPr>
              <w:t>2</w:t>
            </w:r>
          </w:p>
        </w:tc>
        <w:tc>
          <w:tcPr>
            <w:tcW w:w="793" w:type="dxa"/>
            <w:gridSpan w:val="2"/>
            <w:tcBorders>
              <w:left w:val="nil"/>
              <w:bottom w:val="single" w:sz="8" w:space="0" w:color="3D7FE0" w:themeColor="accent1"/>
            </w:tcBorders>
            <w:vAlign w:val="bottom"/>
          </w:tcPr>
          <w:p w14:paraId="44045F5F"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p>
        </w:tc>
        <w:tc>
          <w:tcPr>
            <w:tcW w:w="850" w:type="dxa"/>
            <w:gridSpan w:val="3"/>
            <w:tcBorders>
              <w:bottom w:val="single" w:sz="8" w:space="0" w:color="3D7FE0" w:themeColor="accent1"/>
            </w:tcBorders>
            <w:vAlign w:val="bottom"/>
          </w:tcPr>
          <w:p w14:paraId="76CBA0D7"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p>
        </w:tc>
        <w:tc>
          <w:tcPr>
            <w:tcW w:w="907" w:type="dxa"/>
            <w:gridSpan w:val="3"/>
            <w:tcBorders>
              <w:bottom w:val="single" w:sz="8" w:space="0" w:color="3D7FE0" w:themeColor="accent1"/>
            </w:tcBorders>
            <w:vAlign w:val="bottom"/>
          </w:tcPr>
          <w:p w14:paraId="7CE6566E"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p>
        </w:tc>
        <w:tc>
          <w:tcPr>
            <w:tcW w:w="737" w:type="dxa"/>
            <w:gridSpan w:val="3"/>
            <w:tcBorders>
              <w:bottom w:val="single" w:sz="8" w:space="0" w:color="3D7FE0" w:themeColor="accent1"/>
            </w:tcBorders>
            <w:shd w:val="clear" w:color="auto" w:fill="FFFFFF"/>
            <w:vAlign w:val="bottom"/>
          </w:tcPr>
          <w:p w14:paraId="2B8EC3C1"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51p</w:t>
            </w:r>
          </w:p>
        </w:tc>
        <w:tc>
          <w:tcPr>
            <w:tcW w:w="794" w:type="dxa"/>
            <w:gridSpan w:val="3"/>
            <w:tcBorders>
              <w:bottom w:val="single" w:sz="8" w:space="0" w:color="3D7FE0" w:themeColor="accent1"/>
            </w:tcBorders>
            <w:shd w:val="clear" w:color="auto" w:fill="FFFFFF"/>
            <w:vAlign w:val="bottom"/>
          </w:tcPr>
          <w:p w14:paraId="1EF89E74" w14:textId="77777777" w:rsidR="00AE1E5C" w:rsidRPr="008E5BF0" w:rsidRDefault="00AE1E5C" w:rsidP="004203CD">
            <w:pPr>
              <w:pStyle w:val="Tabletext"/>
              <w:jc w:val="right"/>
              <w:rPr>
                <w:rFonts w:ascii="IBM Plex Sans Light" w:hAnsi="IBM Plex Sans Light"/>
                <w:color w:val="auto"/>
                <w:sz w:val="18"/>
                <w:szCs w:val="18"/>
              </w:rPr>
            </w:pPr>
          </w:p>
        </w:tc>
        <w:tc>
          <w:tcPr>
            <w:tcW w:w="937" w:type="dxa"/>
            <w:gridSpan w:val="3"/>
            <w:tcBorders>
              <w:bottom w:val="single" w:sz="8" w:space="0" w:color="3D7FE0" w:themeColor="accent1"/>
            </w:tcBorders>
            <w:shd w:val="clear" w:color="auto" w:fill="FFFFFF"/>
            <w:vAlign w:val="bottom"/>
          </w:tcPr>
          <w:p w14:paraId="42E38BBA" w14:textId="77777777" w:rsidR="00AE1E5C" w:rsidRPr="008E5BF0" w:rsidRDefault="00AE1E5C" w:rsidP="004203CD">
            <w:pPr>
              <w:pStyle w:val="Tabletext"/>
              <w:jc w:val="right"/>
              <w:rPr>
                <w:rFonts w:ascii="IBM Plex Sans Light" w:hAnsi="IBM Plex Sans Light"/>
                <w:color w:val="auto"/>
                <w:sz w:val="18"/>
                <w:szCs w:val="18"/>
              </w:rPr>
            </w:pPr>
          </w:p>
        </w:tc>
        <w:tc>
          <w:tcPr>
            <w:tcW w:w="850" w:type="dxa"/>
            <w:gridSpan w:val="3"/>
            <w:tcBorders>
              <w:bottom w:val="single" w:sz="8" w:space="0" w:color="3D7FE0" w:themeColor="accent1"/>
            </w:tcBorders>
            <w:shd w:val="clear" w:color="auto" w:fill="FFFFFF"/>
            <w:vAlign w:val="bottom"/>
          </w:tcPr>
          <w:p w14:paraId="2E743244" w14:textId="77777777" w:rsidR="00AE1E5C" w:rsidRPr="008E5BF0" w:rsidRDefault="00AE1E5C" w:rsidP="004203CD">
            <w:pPr>
              <w:pStyle w:val="Tabletext"/>
              <w:jc w:val="right"/>
              <w:rPr>
                <w:rFonts w:ascii="IBM Plex Sans Light" w:hAnsi="IBM Plex Sans Light"/>
                <w:color w:val="auto"/>
                <w:sz w:val="18"/>
                <w:szCs w:val="18"/>
              </w:rPr>
            </w:pPr>
          </w:p>
        </w:tc>
        <w:tc>
          <w:tcPr>
            <w:tcW w:w="744" w:type="dxa"/>
            <w:gridSpan w:val="3"/>
            <w:tcBorders>
              <w:bottom w:val="single" w:sz="8" w:space="0" w:color="3D7FE0" w:themeColor="accent1"/>
            </w:tcBorders>
            <w:shd w:val="clear" w:color="auto" w:fill="FFFFFF" w:themeFill="background1"/>
            <w:vAlign w:val="bottom"/>
          </w:tcPr>
          <w:p w14:paraId="3AB9306C" w14:textId="77777777" w:rsidR="00AE1E5C" w:rsidRPr="00653D8F" w:rsidRDefault="00AE1E5C" w:rsidP="004203CD">
            <w:pPr>
              <w:pStyle w:val="TableFiguresBold"/>
              <w:rPr>
                <w:rFonts w:ascii="IBM Plex Sans Light" w:hAnsi="IBM Plex Sans Light"/>
                <w:color w:val="auto"/>
                <w:spacing w:val="-4"/>
                <w:sz w:val="18"/>
                <w:szCs w:val="18"/>
              </w:rPr>
            </w:pPr>
            <w:r w:rsidRPr="00653D8F">
              <w:rPr>
                <w:rFonts w:ascii="IBM Plex Sans Light" w:hAnsi="IBM Plex Sans Light"/>
                <w:sz w:val="18"/>
                <w:szCs w:val="18"/>
              </w:rPr>
              <w:t>53p</w:t>
            </w:r>
          </w:p>
        </w:tc>
      </w:tr>
    </w:tbl>
    <w:p w14:paraId="669DAD06" w14:textId="77777777" w:rsidR="00AE1E5C" w:rsidRDefault="00AE1E5C" w:rsidP="00AE1E5C">
      <w:pPr>
        <w:pStyle w:val="11GeneralFootnotes"/>
        <w:spacing w:before="40"/>
      </w:pPr>
      <w:r>
        <w:t>1</w:t>
      </w:r>
      <w:r>
        <w:tab/>
        <w:t>See Table 13 in Additional Information for further details.</w:t>
      </w:r>
    </w:p>
    <w:p w14:paraId="4A039F50" w14:textId="1604B4CB" w:rsidR="00AE1E5C" w:rsidRDefault="00AE1E5C" w:rsidP="00AE1E5C">
      <w:pPr>
        <w:pStyle w:val="11GeneralFootnotes"/>
      </w:pPr>
      <w:r>
        <w:t>2</w:t>
      </w:r>
      <w:r>
        <w:tab/>
        <w:t xml:space="preserve">EPRA adjustments in accordance with EPRA best practice, principally in relation to deferred tax, as shown in note </w:t>
      </w:r>
      <w:r w:rsidR="0084584E">
        <w:t>9</w:t>
      </w:r>
      <w:r>
        <w:t>B to the financial statements.</w:t>
      </w:r>
    </w:p>
    <w:p w14:paraId="08039BA1" w14:textId="77777777" w:rsidR="00AE1E5C" w:rsidRDefault="00AE1E5C" w:rsidP="00AE1E5C">
      <w:pPr>
        <w:pStyle w:val="04BodyCopyFronttext9105"/>
      </w:pPr>
    </w:p>
    <w:p w14:paraId="0D76219E" w14:textId="2792E466" w:rsidR="00AE1E5C" w:rsidRDefault="00AE1E5C" w:rsidP="00AE1E5C">
      <w:pPr>
        <w:pStyle w:val="04BodyCopyFronttext9105"/>
      </w:pPr>
      <w:r>
        <w:t xml:space="preserve">During 2023, net assets decreased 5% to £2,463m (2022: £2,586m). Net assets, calculated on an EPRA Net Tangible Assets (NTA) basis, were £2,542m, or 51p per share, a reduction of 2p compared to 31 December 2022 and is equivalent to a total accounting return of </w:t>
      </w:r>
      <w:r>
        <w:rPr>
          <w:sz w:val="17"/>
          <w:szCs w:val="17"/>
        </w:rPr>
        <w:t>–</w:t>
      </w:r>
      <w:r>
        <w:t>2.1%</w:t>
      </w:r>
      <w:r w:rsidR="0084584E">
        <w:t xml:space="preserve"> (see Table 15 in Additional Information)</w:t>
      </w:r>
      <w:r>
        <w:t>. The key components of the movement in Reported Group net assets and EPRA NTA are shown in the table below:</w:t>
      </w:r>
    </w:p>
    <w:p w14:paraId="07F471BC" w14:textId="77777777" w:rsidR="00AE1E5C" w:rsidRDefault="00AE1E5C" w:rsidP="00AE1E5C">
      <w:pPr>
        <w:pStyle w:val="04BodyCopyFronttext9105"/>
      </w:pPr>
    </w:p>
    <w:p w14:paraId="47BBE9C6" w14:textId="77777777" w:rsidR="00AE1E5C" w:rsidRDefault="00AE1E5C" w:rsidP="00AE1E5C">
      <w:pPr>
        <w:pStyle w:val="06SubHeading2Fronttext9105"/>
        <w:rPr>
          <w:color w:val="3D7FE0" w:themeColor="accent1"/>
        </w:rPr>
      </w:pPr>
      <w:r w:rsidRPr="008E5BF0">
        <w:rPr>
          <w:color w:val="3D7FE0" w:themeColor="accent1"/>
        </w:rPr>
        <w:t>Movement in net assets</w:t>
      </w:r>
    </w:p>
    <w:p w14:paraId="0F043EC7" w14:textId="77777777" w:rsidR="00AE1E5C" w:rsidRDefault="00AE1E5C" w:rsidP="00AE1E5C">
      <w:pPr>
        <w:pStyle w:val="06SubHeading2Fronttext9105"/>
        <w:rPr>
          <w:color w:val="3D7FE0" w:themeColor="accent1"/>
        </w:rPr>
      </w:pPr>
    </w:p>
    <w:tbl>
      <w:tblPr>
        <w:tblW w:w="9865" w:type="dxa"/>
        <w:tblLayout w:type="fixed"/>
        <w:tblCellMar>
          <w:left w:w="0" w:type="dxa"/>
          <w:right w:w="0" w:type="dxa"/>
        </w:tblCellMar>
        <w:tblLook w:val="00A0" w:firstRow="1" w:lastRow="0" w:firstColumn="1" w:lastColumn="0" w:noHBand="0" w:noVBand="0"/>
      </w:tblPr>
      <w:tblGrid>
        <w:gridCol w:w="1701"/>
        <w:gridCol w:w="5272"/>
        <w:gridCol w:w="964"/>
        <w:gridCol w:w="964"/>
        <w:gridCol w:w="964"/>
      </w:tblGrid>
      <w:tr w:rsidR="00AE1E5C" w:rsidRPr="00FC2914" w14:paraId="6D30E145" w14:textId="77777777" w:rsidTr="004203CD">
        <w:tc>
          <w:tcPr>
            <w:tcW w:w="6973" w:type="dxa"/>
            <w:gridSpan w:val="2"/>
            <w:tcBorders>
              <w:bottom w:val="single" w:sz="2" w:space="0" w:color="3D7FE0" w:themeColor="accent1"/>
            </w:tcBorders>
            <w:vAlign w:val="bottom"/>
          </w:tcPr>
          <w:p w14:paraId="30E916B6" w14:textId="77777777" w:rsidR="00AE1E5C" w:rsidRPr="00FC2914" w:rsidRDefault="00AE1E5C" w:rsidP="004203CD">
            <w:pPr>
              <w:pStyle w:val="TableColHeadsLeft"/>
              <w:spacing w:before="40"/>
              <w:rPr>
                <w:rFonts w:ascii="IBM Plex Sans Light" w:hAnsi="IBM Plex Sans Light"/>
                <w:b/>
                <w:bCs/>
                <w:color w:val="4472C4"/>
                <w:szCs w:val="14"/>
              </w:rPr>
            </w:pPr>
            <w:r w:rsidRPr="00FC2914">
              <w:rPr>
                <w:rFonts w:ascii="IBM Plex Sans Light" w:hAnsi="IBM Plex Sans Light"/>
                <w:b/>
                <w:bCs/>
                <w:color w:val="4472C4"/>
                <w:szCs w:val="14"/>
              </w:rPr>
              <w:br w:type="page"/>
            </w:r>
          </w:p>
        </w:tc>
        <w:tc>
          <w:tcPr>
            <w:tcW w:w="964" w:type="dxa"/>
            <w:tcBorders>
              <w:bottom w:val="single" w:sz="2" w:space="0" w:color="3D7FE0" w:themeColor="accent1"/>
            </w:tcBorders>
            <w:vAlign w:val="bottom"/>
          </w:tcPr>
          <w:p w14:paraId="7919035A" w14:textId="4D98943B" w:rsidR="00AE1E5C" w:rsidRPr="00FC2914" w:rsidRDefault="00F82829" w:rsidP="004203CD">
            <w:pPr>
              <w:pStyle w:val="12TBRightColHeaderTableBack"/>
              <w:rPr>
                <w:b/>
                <w:bCs/>
                <w:color w:val="4472C4"/>
              </w:rPr>
            </w:pPr>
            <w:r>
              <w:rPr>
                <w:rStyle w:val="BoldBlue"/>
                <w:rFonts w:cs="IBM Plex Sans"/>
                <w:b w:val="0"/>
                <w:color w:val="4472C4"/>
                <w:sz w:val="16"/>
                <w:szCs w:val="16"/>
              </w:rPr>
              <w:t>Group net assets</w:t>
            </w:r>
            <w:r w:rsidR="00AE1E5C" w:rsidRPr="008E5BF0">
              <w:rPr>
                <w:rStyle w:val="BoldBlue"/>
                <w:rFonts w:cs="IBM Plex Sans"/>
                <w:b w:val="0"/>
                <w:color w:val="4472C4"/>
                <w:sz w:val="16"/>
                <w:szCs w:val="16"/>
              </w:rPr>
              <w:br/>
              <w:t>£m</w:t>
            </w:r>
          </w:p>
        </w:tc>
        <w:tc>
          <w:tcPr>
            <w:tcW w:w="964" w:type="dxa"/>
            <w:tcBorders>
              <w:bottom w:val="single" w:sz="2" w:space="0" w:color="3D7FE0" w:themeColor="accent1"/>
            </w:tcBorders>
            <w:shd w:val="clear" w:color="auto" w:fill="FFFFFF"/>
            <w:vAlign w:val="bottom"/>
          </w:tcPr>
          <w:p w14:paraId="4FA29F96" w14:textId="77777777" w:rsidR="00AE1E5C" w:rsidRPr="00FC2914" w:rsidRDefault="00AE1E5C" w:rsidP="004203CD">
            <w:pPr>
              <w:pStyle w:val="12TBRightColHeaderTableBack"/>
              <w:rPr>
                <w:b/>
                <w:bCs/>
                <w:color w:val="4472C4"/>
              </w:rPr>
            </w:pPr>
            <w:r w:rsidRPr="008E5BF0">
              <w:rPr>
                <w:rStyle w:val="BoldBlue"/>
                <w:rFonts w:cs="IBM Plex Sans"/>
                <w:b w:val="0"/>
                <w:color w:val="4472C4"/>
                <w:sz w:val="16"/>
                <w:szCs w:val="16"/>
              </w:rPr>
              <w:t xml:space="preserve">EPRA </w:t>
            </w:r>
            <w:r w:rsidRPr="008E5BF0">
              <w:rPr>
                <w:rStyle w:val="BoldBlue"/>
                <w:rFonts w:cs="IBM Plex Sans"/>
                <w:b w:val="0"/>
                <w:color w:val="4472C4"/>
                <w:szCs w:val="16"/>
              </w:rPr>
              <w:br/>
            </w:r>
            <w:r w:rsidRPr="008E5BF0">
              <w:rPr>
                <w:rStyle w:val="BoldBlue"/>
                <w:rFonts w:cs="IBM Plex Sans"/>
                <w:b w:val="0"/>
                <w:color w:val="4472C4"/>
                <w:sz w:val="16"/>
                <w:szCs w:val="16"/>
              </w:rPr>
              <w:t>adjustments</w:t>
            </w:r>
            <w:r w:rsidRPr="008E5BF0">
              <w:rPr>
                <w:rStyle w:val="BoldBlue"/>
                <w:rFonts w:cs="IBM Plex Sans"/>
                <w:b w:val="0"/>
                <w:color w:val="4472C4"/>
                <w:szCs w:val="16"/>
              </w:rPr>
              <w:br/>
            </w:r>
            <w:r w:rsidRPr="008E5BF0">
              <w:rPr>
                <w:rStyle w:val="BoldBlue"/>
                <w:rFonts w:cs="IBM Plex Sans"/>
                <w:b w:val="0"/>
                <w:color w:val="4472C4"/>
                <w:sz w:val="16"/>
                <w:szCs w:val="16"/>
              </w:rPr>
              <w:t>£m</w:t>
            </w:r>
          </w:p>
        </w:tc>
        <w:tc>
          <w:tcPr>
            <w:tcW w:w="964" w:type="dxa"/>
            <w:tcBorders>
              <w:bottom w:val="single" w:sz="2" w:space="0" w:color="3D7FE0" w:themeColor="accent1"/>
            </w:tcBorders>
            <w:shd w:val="clear" w:color="auto" w:fill="FFFFFF"/>
            <w:vAlign w:val="bottom"/>
          </w:tcPr>
          <w:p w14:paraId="2CD11C21" w14:textId="77777777" w:rsidR="00AE1E5C" w:rsidRPr="00FC2914" w:rsidRDefault="00AE1E5C" w:rsidP="004203CD">
            <w:pPr>
              <w:pStyle w:val="12TBRightColHeaderTableBack"/>
              <w:rPr>
                <w:color w:val="4472C4"/>
              </w:rPr>
            </w:pPr>
            <w:r w:rsidRPr="008E5BF0">
              <w:rPr>
                <w:rStyle w:val="BoldBlue"/>
                <w:rFonts w:cs="IBM Plex Sans"/>
                <w:b w:val="0"/>
                <w:color w:val="4472C4"/>
                <w:sz w:val="16"/>
                <w:szCs w:val="16"/>
              </w:rPr>
              <w:t xml:space="preserve">EPRA </w:t>
            </w:r>
            <w:r w:rsidRPr="008E5BF0">
              <w:rPr>
                <w:rStyle w:val="BoldBlue"/>
                <w:rFonts w:cs="IBM Plex Sans"/>
                <w:b w:val="0"/>
                <w:color w:val="4472C4"/>
                <w:szCs w:val="16"/>
              </w:rPr>
              <w:br/>
            </w:r>
            <w:r>
              <w:rPr>
                <w:rStyle w:val="BoldBlue"/>
                <w:rFonts w:cs="IBM Plex Sans"/>
                <w:b w:val="0"/>
                <w:color w:val="4472C4"/>
                <w:sz w:val="16"/>
                <w:szCs w:val="16"/>
              </w:rPr>
              <w:t>NTA</w:t>
            </w:r>
            <w:r w:rsidRPr="008E5BF0">
              <w:rPr>
                <w:rStyle w:val="BoldBlue"/>
                <w:rFonts w:cs="IBM Plex Sans"/>
                <w:b w:val="0"/>
                <w:color w:val="4472C4"/>
                <w:szCs w:val="16"/>
              </w:rPr>
              <w:br/>
            </w:r>
            <w:r w:rsidRPr="008E5BF0">
              <w:rPr>
                <w:rStyle w:val="BoldBlue"/>
                <w:rFonts w:cs="IBM Plex Sans"/>
                <w:b w:val="0"/>
                <w:color w:val="4472C4"/>
                <w:sz w:val="16"/>
                <w:szCs w:val="16"/>
              </w:rPr>
              <w:t>£m</w:t>
            </w:r>
          </w:p>
        </w:tc>
      </w:tr>
      <w:tr w:rsidR="00AE1E5C" w:rsidRPr="00FC2914" w14:paraId="12D8B9A3" w14:textId="77777777" w:rsidTr="004203CD">
        <w:tc>
          <w:tcPr>
            <w:tcW w:w="6973" w:type="dxa"/>
            <w:gridSpan w:val="2"/>
            <w:tcBorders>
              <w:top w:val="single" w:sz="2" w:space="0" w:color="3D7FE0" w:themeColor="accent1"/>
            </w:tcBorders>
            <w:vAlign w:val="bottom"/>
          </w:tcPr>
          <w:p w14:paraId="073F189E"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 xml:space="preserve">1 January 2023 </w:t>
            </w:r>
          </w:p>
        </w:tc>
        <w:tc>
          <w:tcPr>
            <w:tcW w:w="964" w:type="dxa"/>
            <w:tcBorders>
              <w:top w:val="single" w:sz="2" w:space="0" w:color="3D7FE0" w:themeColor="accent1"/>
            </w:tcBorders>
            <w:vAlign w:val="bottom"/>
          </w:tcPr>
          <w:p w14:paraId="1AA02551" w14:textId="77777777" w:rsidR="00AE1E5C" w:rsidRPr="00152242" w:rsidRDefault="00AE1E5C" w:rsidP="00152242">
            <w:pPr>
              <w:pStyle w:val="TableFiguresBold"/>
              <w:rPr>
                <w:rStyle w:val="BoldBlue"/>
                <w:rFonts w:ascii="IBM Plex Sans Light" w:hAnsi="IBM Plex Sans Light" w:cs="IBM Plex Sans"/>
                <w:b/>
                <w:color w:val="3D7FE0" w:themeColor="accent1"/>
                <w:sz w:val="18"/>
                <w:szCs w:val="18"/>
              </w:rPr>
            </w:pPr>
            <w:r w:rsidRPr="00152242">
              <w:rPr>
                <w:rStyle w:val="BoldBlue"/>
                <w:rFonts w:ascii="IBM Plex Sans Light" w:hAnsi="IBM Plex Sans Light" w:cs="IBM Plex Sans"/>
                <w:b/>
                <w:color w:val="3D7FE0" w:themeColor="accent1"/>
                <w:sz w:val="18"/>
                <w:szCs w:val="18"/>
              </w:rPr>
              <w:t>2,586</w:t>
            </w:r>
          </w:p>
        </w:tc>
        <w:tc>
          <w:tcPr>
            <w:tcW w:w="964" w:type="dxa"/>
            <w:tcBorders>
              <w:top w:val="single" w:sz="2" w:space="0" w:color="3D7FE0" w:themeColor="accent1"/>
            </w:tcBorders>
            <w:shd w:val="clear" w:color="auto" w:fill="FFFFFF"/>
            <w:vAlign w:val="bottom"/>
          </w:tcPr>
          <w:p w14:paraId="0CC44595"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48</w:t>
            </w:r>
          </w:p>
        </w:tc>
        <w:tc>
          <w:tcPr>
            <w:tcW w:w="964" w:type="dxa"/>
            <w:tcBorders>
              <w:top w:val="single" w:sz="2" w:space="0" w:color="3D7FE0" w:themeColor="accent1"/>
            </w:tcBorders>
            <w:shd w:val="clear" w:color="auto" w:fill="FFFFFF"/>
            <w:vAlign w:val="bottom"/>
          </w:tcPr>
          <w:p w14:paraId="60AE1E99" w14:textId="77777777" w:rsidR="00AE1E5C" w:rsidRPr="007C0BC1" w:rsidRDefault="00AE1E5C" w:rsidP="004203CD">
            <w:pPr>
              <w:pStyle w:val="TableFiguresBold"/>
              <w:rPr>
                <w:rFonts w:ascii="IBM Plex Sans Light" w:hAnsi="IBM Plex Sans Light"/>
                <w:bCs w:val="0"/>
                <w:color w:val="3D7FE0" w:themeColor="accent1"/>
                <w:spacing w:val="-4"/>
                <w:sz w:val="18"/>
                <w:szCs w:val="18"/>
              </w:rPr>
            </w:pPr>
            <w:r w:rsidRPr="007C0BC1">
              <w:rPr>
                <w:rStyle w:val="BoldBlue"/>
                <w:rFonts w:ascii="IBM Plex Sans Light" w:hAnsi="IBM Plex Sans Light" w:cs="IBM Plex Sans"/>
                <w:b/>
                <w:color w:val="3D7FE0" w:themeColor="accent1"/>
                <w:sz w:val="18"/>
                <w:szCs w:val="18"/>
              </w:rPr>
              <w:t>2,634</w:t>
            </w:r>
          </w:p>
        </w:tc>
      </w:tr>
      <w:tr w:rsidR="00AE1E5C" w:rsidRPr="00FC2914" w14:paraId="1736110C" w14:textId="77777777" w:rsidTr="004203CD">
        <w:tc>
          <w:tcPr>
            <w:tcW w:w="1701" w:type="dxa"/>
            <w:vAlign w:val="bottom"/>
          </w:tcPr>
          <w:p w14:paraId="1F5664D4"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Property revaluation</w:t>
            </w:r>
          </w:p>
        </w:tc>
        <w:tc>
          <w:tcPr>
            <w:tcW w:w="5272" w:type="dxa"/>
            <w:vAlign w:val="bottom"/>
          </w:tcPr>
          <w:p w14:paraId="5066DED9"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 Managed portfolio</w:t>
            </w:r>
          </w:p>
        </w:tc>
        <w:tc>
          <w:tcPr>
            <w:tcW w:w="964" w:type="dxa"/>
            <w:vAlign w:val="bottom"/>
          </w:tcPr>
          <w:p w14:paraId="15800FC3" w14:textId="77777777" w:rsidR="00AE1E5C" w:rsidRPr="008F2AF2" w:rsidRDefault="00AE1E5C" w:rsidP="008F2AF2">
            <w:pPr>
              <w:pStyle w:val="Tabletext"/>
              <w:jc w:val="right"/>
              <w:rPr>
                <w:rStyle w:val="BoldBlue"/>
                <w:rFonts w:ascii="IBM Plex Sans Light" w:hAnsi="IBM Plex Sans Light" w:cs="IBM Plex Sans"/>
                <w:b w:val="0"/>
                <w:color w:val="3D7FE0" w:themeColor="accent1"/>
              </w:rPr>
            </w:pPr>
            <w:r w:rsidRPr="008F2AF2">
              <w:rPr>
                <w:rStyle w:val="BoldBlue"/>
                <w:rFonts w:ascii="IBM Plex Sans Light" w:hAnsi="IBM Plex Sans Light" w:cs="IBM Plex Sans"/>
                <w:color w:val="3D7FE0" w:themeColor="accent1"/>
                <w:sz w:val="18"/>
              </w:rPr>
              <w:t>(119)</w:t>
            </w:r>
          </w:p>
        </w:tc>
        <w:tc>
          <w:tcPr>
            <w:tcW w:w="964" w:type="dxa"/>
            <w:shd w:val="clear" w:color="auto" w:fill="FFFFFF"/>
            <w:vAlign w:val="bottom"/>
          </w:tcPr>
          <w:p w14:paraId="6CE97903"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w:t>
            </w:r>
          </w:p>
        </w:tc>
        <w:tc>
          <w:tcPr>
            <w:tcW w:w="964" w:type="dxa"/>
            <w:shd w:val="clear" w:color="auto" w:fill="FFFFFF"/>
            <w:vAlign w:val="bottom"/>
          </w:tcPr>
          <w:p w14:paraId="53D46BBD" w14:textId="77777777" w:rsidR="00AE1E5C" w:rsidRPr="00152242" w:rsidRDefault="00AE1E5C" w:rsidP="00024B10">
            <w:pPr>
              <w:pStyle w:val="TableFiguresBrackets"/>
              <w:rPr>
                <w:rFonts w:ascii="IBM Plex Sans Light" w:hAnsi="IBM Plex Sans Light"/>
                <w:b/>
                <w:bCs/>
                <w:color w:val="3D7FE0" w:themeColor="accent1"/>
                <w:spacing w:val="-4"/>
                <w:sz w:val="18"/>
                <w:szCs w:val="18"/>
              </w:rPr>
            </w:pPr>
            <w:r w:rsidRPr="00152242">
              <w:rPr>
                <w:rFonts w:ascii="IBM Plex Sans Light" w:hAnsi="IBM Plex Sans Light"/>
                <w:b/>
                <w:bCs/>
                <w:color w:val="3D7FE0" w:themeColor="accent1"/>
                <w:spacing w:val="-4"/>
                <w:sz w:val="18"/>
                <w:szCs w:val="18"/>
              </w:rPr>
              <w:t>(119)</w:t>
            </w:r>
          </w:p>
        </w:tc>
      </w:tr>
      <w:tr w:rsidR="00AE1E5C" w:rsidRPr="00FC2914" w14:paraId="66F4931E" w14:textId="77777777" w:rsidTr="004203CD">
        <w:tc>
          <w:tcPr>
            <w:tcW w:w="1701" w:type="dxa"/>
            <w:vAlign w:val="bottom"/>
          </w:tcPr>
          <w:p w14:paraId="1038B59B" w14:textId="77777777" w:rsidR="00AE1E5C" w:rsidRPr="008E5BF0" w:rsidRDefault="00AE1E5C" w:rsidP="004203CD">
            <w:pPr>
              <w:pStyle w:val="Tabletext"/>
              <w:rPr>
                <w:rFonts w:ascii="IBM Plex Sans Light" w:hAnsi="IBM Plex Sans Light"/>
                <w:b/>
                <w:bCs/>
                <w:sz w:val="18"/>
                <w:szCs w:val="24"/>
              </w:rPr>
            </w:pPr>
          </w:p>
        </w:tc>
        <w:tc>
          <w:tcPr>
            <w:tcW w:w="5272" w:type="dxa"/>
            <w:vAlign w:val="bottom"/>
          </w:tcPr>
          <w:p w14:paraId="6A9BB048" w14:textId="77777777" w:rsidR="00AE1E5C" w:rsidRPr="008E5BF0" w:rsidRDefault="00AE1E5C" w:rsidP="004203CD">
            <w:pPr>
              <w:pStyle w:val="Tabletext"/>
              <w:jc w:val="both"/>
              <w:rPr>
                <w:rFonts w:ascii="IBM Plex Sans Light" w:hAnsi="IBM Plex Sans Light"/>
                <w:b/>
                <w:bCs/>
                <w:sz w:val="18"/>
                <w:szCs w:val="24"/>
              </w:rPr>
            </w:pPr>
            <w:r w:rsidRPr="008E5BF0">
              <w:rPr>
                <w:rFonts w:ascii="IBM Plex Sans Light" w:hAnsi="IBM Plex Sans Light"/>
                <w:sz w:val="18"/>
                <w:szCs w:val="24"/>
              </w:rPr>
              <w:t>– Value Retail</w:t>
            </w:r>
          </w:p>
        </w:tc>
        <w:tc>
          <w:tcPr>
            <w:tcW w:w="964" w:type="dxa"/>
            <w:shd w:val="clear" w:color="auto" w:fill="FFFFFF"/>
            <w:vAlign w:val="bottom"/>
          </w:tcPr>
          <w:p w14:paraId="71C6A41A" w14:textId="77777777" w:rsidR="00AE1E5C" w:rsidRPr="008F2AF2" w:rsidRDefault="00AE1E5C" w:rsidP="008F2AF2">
            <w:pPr>
              <w:pStyle w:val="Tabletext"/>
              <w:jc w:val="right"/>
              <w:rPr>
                <w:rStyle w:val="BoldBlue"/>
                <w:rFonts w:cs="IBM Plex Sans"/>
                <w:b w:val="0"/>
                <w:color w:val="3D7FE0" w:themeColor="accent1"/>
              </w:rPr>
            </w:pPr>
            <w:r w:rsidRPr="008F2AF2">
              <w:rPr>
                <w:rStyle w:val="BoldBlue"/>
                <w:rFonts w:ascii="IBM Plex Sans Light" w:hAnsi="IBM Plex Sans Light" w:cs="IBM Plex Sans"/>
                <w:color w:val="3D7FE0" w:themeColor="accent1"/>
                <w:sz w:val="18"/>
              </w:rPr>
              <w:t>(8)</w:t>
            </w:r>
          </w:p>
        </w:tc>
        <w:tc>
          <w:tcPr>
            <w:tcW w:w="964" w:type="dxa"/>
            <w:shd w:val="clear" w:color="auto" w:fill="FFFFFF"/>
            <w:vAlign w:val="bottom"/>
          </w:tcPr>
          <w:p w14:paraId="6C927380"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w:t>
            </w:r>
          </w:p>
        </w:tc>
        <w:tc>
          <w:tcPr>
            <w:tcW w:w="964" w:type="dxa"/>
            <w:shd w:val="clear" w:color="auto" w:fill="FFFFFF" w:themeFill="background1"/>
            <w:vAlign w:val="bottom"/>
          </w:tcPr>
          <w:p w14:paraId="4965F1A8" w14:textId="77777777" w:rsidR="00AE1E5C" w:rsidRPr="00152242" w:rsidRDefault="00AE1E5C" w:rsidP="00024B10">
            <w:pPr>
              <w:pStyle w:val="TableFiguresBrackets"/>
              <w:rPr>
                <w:rFonts w:ascii="IBM Plex Sans Light" w:hAnsi="IBM Plex Sans Light"/>
                <w:b/>
                <w:bCs/>
                <w:color w:val="3D7FE0" w:themeColor="accent1"/>
                <w:spacing w:val="-4"/>
                <w:sz w:val="18"/>
                <w:szCs w:val="18"/>
              </w:rPr>
            </w:pPr>
            <w:r w:rsidRPr="00152242">
              <w:rPr>
                <w:rFonts w:ascii="IBM Plex Sans Light" w:hAnsi="IBM Plex Sans Light"/>
                <w:b/>
                <w:bCs/>
                <w:color w:val="3D7FE0" w:themeColor="accent1"/>
                <w:spacing w:val="-4"/>
                <w:sz w:val="18"/>
                <w:szCs w:val="18"/>
              </w:rPr>
              <w:t>(8)</w:t>
            </w:r>
          </w:p>
        </w:tc>
      </w:tr>
      <w:tr w:rsidR="00AE1E5C" w:rsidRPr="00FC2914" w14:paraId="16F40164" w14:textId="77777777" w:rsidTr="004203CD">
        <w:tc>
          <w:tcPr>
            <w:tcW w:w="6973" w:type="dxa"/>
            <w:gridSpan w:val="2"/>
            <w:vAlign w:val="bottom"/>
          </w:tcPr>
          <w:p w14:paraId="4FBCE4FA"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Adjusted earnings</w:t>
            </w:r>
          </w:p>
        </w:tc>
        <w:tc>
          <w:tcPr>
            <w:tcW w:w="964" w:type="dxa"/>
            <w:vAlign w:val="bottom"/>
          </w:tcPr>
          <w:p w14:paraId="1CA9270F" w14:textId="77777777" w:rsidR="00AE1E5C" w:rsidRPr="00907934" w:rsidRDefault="00AE1E5C" w:rsidP="00907934">
            <w:pPr>
              <w:pStyle w:val="TableFiguresBold"/>
              <w:rPr>
                <w:rStyle w:val="BoldBlue"/>
                <w:rFonts w:ascii="IBM Plex Sans Light" w:hAnsi="IBM Plex Sans Light" w:cs="IBM Plex Sans"/>
                <w:b/>
                <w:color w:val="3D7FE0" w:themeColor="accent1"/>
                <w:sz w:val="18"/>
                <w:szCs w:val="18"/>
              </w:rPr>
            </w:pPr>
            <w:r w:rsidRPr="00907934">
              <w:rPr>
                <w:rStyle w:val="BoldBlue"/>
                <w:rFonts w:ascii="IBM Plex Sans Light" w:hAnsi="IBM Plex Sans Light" w:cs="IBM Plex Sans"/>
                <w:b/>
                <w:color w:val="3D7FE0" w:themeColor="accent1"/>
                <w:sz w:val="18"/>
                <w:szCs w:val="18"/>
              </w:rPr>
              <w:t>116</w:t>
            </w:r>
          </w:p>
        </w:tc>
        <w:tc>
          <w:tcPr>
            <w:tcW w:w="964" w:type="dxa"/>
            <w:shd w:val="clear" w:color="auto" w:fill="FFFFFF"/>
            <w:vAlign w:val="bottom"/>
          </w:tcPr>
          <w:p w14:paraId="204C34EE"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w:t>
            </w:r>
          </w:p>
        </w:tc>
        <w:tc>
          <w:tcPr>
            <w:tcW w:w="964" w:type="dxa"/>
            <w:shd w:val="clear" w:color="auto" w:fill="FFFFFF"/>
            <w:vAlign w:val="bottom"/>
          </w:tcPr>
          <w:p w14:paraId="26975711" w14:textId="77777777" w:rsidR="00AE1E5C" w:rsidRPr="00024B10" w:rsidRDefault="00AE1E5C" w:rsidP="00024B10">
            <w:pPr>
              <w:pStyle w:val="Tabletext"/>
              <w:jc w:val="right"/>
              <w:rPr>
                <w:rStyle w:val="BoldBlue"/>
                <w:rFonts w:cs="IBM Plex Sans"/>
                <w:color w:val="3D7FE0" w:themeColor="accent1"/>
                <w:szCs w:val="18"/>
              </w:rPr>
            </w:pPr>
            <w:r w:rsidRPr="00FC6179">
              <w:rPr>
                <w:rStyle w:val="BoldBlue"/>
                <w:rFonts w:ascii="IBM Plex Sans Light" w:hAnsi="IBM Plex Sans Light" w:cs="IBM Plex Sans"/>
                <w:bCs w:val="0"/>
                <w:color w:val="3D7FE0" w:themeColor="accent1"/>
                <w:sz w:val="18"/>
                <w:szCs w:val="18"/>
              </w:rPr>
              <w:t>116</w:t>
            </w:r>
          </w:p>
        </w:tc>
      </w:tr>
      <w:tr w:rsidR="00AE1E5C" w:rsidRPr="00FC2914" w14:paraId="6CBA041C" w14:textId="77777777" w:rsidTr="004203CD">
        <w:tc>
          <w:tcPr>
            <w:tcW w:w="6973" w:type="dxa"/>
            <w:gridSpan w:val="2"/>
            <w:vAlign w:val="bottom"/>
          </w:tcPr>
          <w:p w14:paraId="29E6277B"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Disposal and impairment losses</w:t>
            </w:r>
          </w:p>
        </w:tc>
        <w:tc>
          <w:tcPr>
            <w:tcW w:w="964" w:type="dxa"/>
            <w:vAlign w:val="bottom"/>
          </w:tcPr>
          <w:p w14:paraId="7D855E77" w14:textId="390E2B8D" w:rsidR="00AE1E5C" w:rsidRPr="008F2AF2" w:rsidRDefault="00AE1E5C" w:rsidP="008F2AF2">
            <w:pPr>
              <w:pStyle w:val="Tabletext"/>
              <w:jc w:val="right"/>
              <w:rPr>
                <w:rStyle w:val="BoldBlue"/>
                <w:rFonts w:cs="IBM Plex Sans"/>
                <w:b w:val="0"/>
                <w:color w:val="3D7FE0" w:themeColor="accent1"/>
              </w:rPr>
            </w:pPr>
            <w:r w:rsidRPr="008F2AF2">
              <w:rPr>
                <w:rStyle w:val="BoldBlue"/>
                <w:rFonts w:ascii="IBM Plex Sans Light" w:hAnsi="IBM Plex Sans Light" w:cs="IBM Plex Sans"/>
                <w:color w:val="3D7FE0" w:themeColor="accent1"/>
                <w:sz w:val="18"/>
              </w:rPr>
              <w:t>(</w:t>
            </w:r>
            <w:r w:rsidR="009B6985" w:rsidRPr="008F2AF2">
              <w:rPr>
                <w:rStyle w:val="BoldBlue"/>
                <w:rFonts w:ascii="IBM Plex Sans Light" w:hAnsi="IBM Plex Sans Light" w:cs="IBM Plex Sans"/>
                <w:color w:val="3D7FE0" w:themeColor="accent1"/>
                <w:sz w:val="18"/>
              </w:rPr>
              <w:t>40</w:t>
            </w:r>
            <w:r w:rsidRPr="008F2AF2">
              <w:rPr>
                <w:rStyle w:val="BoldBlue"/>
                <w:rFonts w:ascii="IBM Plex Sans Light" w:hAnsi="IBM Plex Sans Light" w:cs="IBM Plex Sans"/>
                <w:color w:val="3D7FE0" w:themeColor="accent1"/>
                <w:sz w:val="18"/>
              </w:rPr>
              <w:t>)</w:t>
            </w:r>
          </w:p>
        </w:tc>
        <w:tc>
          <w:tcPr>
            <w:tcW w:w="964" w:type="dxa"/>
            <w:shd w:val="clear" w:color="auto" w:fill="FFFFFF"/>
            <w:vAlign w:val="bottom"/>
          </w:tcPr>
          <w:p w14:paraId="0085F1B2"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w:t>
            </w:r>
          </w:p>
        </w:tc>
        <w:tc>
          <w:tcPr>
            <w:tcW w:w="964" w:type="dxa"/>
            <w:shd w:val="clear" w:color="auto" w:fill="FFFFFF"/>
            <w:vAlign w:val="bottom"/>
          </w:tcPr>
          <w:p w14:paraId="2D95F3E3" w14:textId="610C9474" w:rsidR="00AE1E5C" w:rsidRPr="00152242" w:rsidRDefault="00AE1E5C" w:rsidP="00024B10">
            <w:pPr>
              <w:pStyle w:val="TableFiguresBrackets"/>
              <w:rPr>
                <w:rFonts w:ascii="IBM Plex Sans Light" w:hAnsi="IBM Plex Sans Light"/>
                <w:b/>
                <w:bCs/>
                <w:color w:val="3D7FE0" w:themeColor="accent1"/>
                <w:spacing w:val="-4"/>
                <w:sz w:val="18"/>
                <w:szCs w:val="18"/>
              </w:rPr>
            </w:pPr>
            <w:r w:rsidRPr="00152242">
              <w:rPr>
                <w:rFonts w:ascii="IBM Plex Sans Light" w:hAnsi="IBM Plex Sans Light"/>
                <w:b/>
                <w:bCs/>
                <w:color w:val="3D7FE0" w:themeColor="accent1"/>
                <w:spacing w:val="-4"/>
                <w:sz w:val="18"/>
                <w:szCs w:val="18"/>
              </w:rPr>
              <w:t>(</w:t>
            </w:r>
            <w:r w:rsidR="009B6985" w:rsidRPr="00152242">
              <w:rPr>
                <w:rFonts w:ascii="IBM Plex Sans Light" w:hAnsi="IBM Plex Sans Light"/>
                <w:b/>
                <w:bCs/>
                <w:color w:val="3D7FE0" w:themeColor="accent1"/>
                <w:spacing w:val="-4"/>
                <w:sz w:val="18"/>
                <w:szCs w:val="18"/>
              </w:rPr>
              <w:t>40</w:t>
            </w:r>
            <w:r w:rsidRPr="00152242">
              <w:rPr>
                <w:rFonts w:ascii="IBM Plex Sans Light" w:hAnsi="IBM Plex Sans Light"/>
                <w:b/>
                <w:bCs/>
                <w:color w:val="3D7FE0" w:themeColor="accent1"/>
                <w:spacing w:val="-4"/>
                <w:sz w:val="18"/>
                <w:szCs w:val="18"/>
              </w:rPr>
              <w:t>)</w:t>
            </w:r>
          </w:p>
        </w:tc>
      </w:tr>
      <w:tr w:rsidR="00AE1E5C" w:rsidRPr="00FC2914" w14:paraId="57879A1B" w14:textId="77777777" w:rsidTr="004203CD">
        <w:tc>
          <w:tcPr>
            <w:tcW w:w="6973" w:type="dxa"/>
            <w:gridSpan w:val="2"/>
            <w:vAlign w:val="bottom"/>
          </w:tcPr>
          <w:p w14:paraId="373C97CD" w14:textId="77777777" w:rsidR="00AE1E5C" w:rsidRPr="008E5BF0" w:rsidRDefault="00AE1E5C" w:rsidP="004203CD">
            <w:pPr>
              <w:pStyle w:val="Tabletext"/>
              <w:rPr>
                <w:rFonts w:ascii="IBM Plex Sans Light" w:hAnsi="IBM Plex Sans Light"/>
                <w:b/>
                <w:bCs/>
                <w:sz w:val="18"/>
                <w:szCs w:val="24"/>
              </w:rPr>
            </w:pPr>
            <w:r w:rsidRPr="008E5BF0">
              <w:rPr>
                <w:rFonts w:ascii="IBM Plex Sans Light" w:hAnsi="IBM Plex Sans Light"/>
                <w:sz w:val="18"/>
                <w:szCs w:val="24"/>
              </w:rPr>
              <w:t>Change in deferred tax</w:t>
            </w:r>
          </w:p>
        </w:tc>
        <w:tc>
          <w:tcPr>
            <w:tcW w:w="964" w:type="dxa"/>
            <w:vAlign w:val="bottom"/>
          </w:tcPr>
          <w:p w14:paraId="2A986BD1" w14:textId="77777777" w:rsidR="00AE1E5C" w:rsidRPr="008F2AF2" w:rsidRDefault="00AE1E5C" w:rsidP="008F2AF2">
            <w:pPr>
              <w:pStyle w:val="Tabletext"/>
              <w:jc w:val="right"/>
              <w:rPr>
                <w:rStyle w:val="BoldBlue"/>
                <w:rFonts w:cs="IBM Plex Sans"/>
                <w:b w:val="0"/>
                <w:color w:val="3D7FE0" w:themeColor="accent1"/>
              </w:rPr>
            </w:pPr>
            <w:r w:rsidRPr="008F2AF2">
              <w:rPr>
                <w:rStyle w:val="BoldBlue"/>
                <w:rFonts w:ascii="IBM Plex Sans Light" w:hAnsi="IBM Plex Sans Light" w:cs="IBM Plex Sans"/>
                <w:color w:val="3D7FE0" w:themeColor="accent1"/>
                <w:sz w:val="18"/>
              </w:rPr>
              <w:t>(2)</w:t>
            </w:r>
          </w:p>
        </w:tc>
        <w:tc>
          <w:tcPr>
            <w:tcW w:w="964" w:type="dxa"/>
            <w:shd w:val="clear" w:color="auto" w:fill="FFFFFF"/>
            <w:vAlign w:val="bottom"/>
          </w:tcPr>
          <w:p w14:paraId="346CEA52"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1</w:t>
            </w:r>
          </w:p>
        </w:tc>
        <w:tc>
          <w:tcPr>
            <w:tcW w:w="964" w:type="dxa"/>
            <w:shd w:val="clear" w:color="auto" w:fill="FFFFFF"/>
            <w:vAlign w:val="bottom"/>
          </w:tcPr>
          <w:p w14:paraId="51662ADF" w14:textId="77777777" w:rsidR="00AE1E5C" w:rsidRPr="00152242" w:rsidRDefault="00AE1E5C" w:rsidP="00024B10">
            <w:pPr>
              <w:pStyle w:val="TableFiguresBrackets"/>
              <w:rPr>
                <w:rFonts w:ascii="IBM Plex Sans Light" w:hAnsi="IBM Plex Sans Light"/>
                <w:b/>
                <w:bCs/>
                <w:color w:val="3D7FE0" w:themeColor="accent1"/>
                <w:spacing w:val="-4"/>
                <w:sz w:val="18"/>
                <w:szCs w:val="18"/>
              </w:rPr>
            </w:pPr>
            <w:r w:rsidRPr="00152242">
              <w:rPr>
                <w:rFonts w:ascii="IBM Plex Sans Light" w:hAnsi="IBM Plex Sans Light"/>
                <w:b/>
                <w:bCs/>
                <w:color w:val="3D7FE0" w:themeColor="accent1"/>
                <w:spacing w:val="-4"/>
                <w:sz w:val="18"/>
                <w:szCs w:val="18"/>
              </w:rPr>
              <w:t>(1)</w:t>
            </w:r>
          </w:p>
        </w:tc>
      </w:tr>
      <w:tr w:rsidR="00AE1E5C" w:rsidRPr="00FC2914" w14:paraId="1DB10FC8" w14:textId="77777777" w:rsidTr="004203CD">
        <w:tc>
          <w:tcPr>
            <w:tcW w:w="6973" w:type="dxa"/>
            <w:gridSpan w:val="2"/>
            <w:vAlign w:val="bottom"/>
          </w:tcPr>
          <w:p w14:paraId="082FE9A2"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 xml:space="preserve">Dividends </w:t>
            </w:r>
          </w:p>
        </w:tc>
        <w:tc>
          <w:tcPr>
            <w:tcW w:w="964" w:type="dxa"/>
            <w:vAlign w:val="bottom"/>
          </w:tcPr>
          <w:p w14:paraId="3122ADF1" w14:textId="77777777" w:rsidR="00AE1E5C" w:rsidRPr="008F2AF2" w:rsidRDefault="00AE1E5C" w:rsidP="008F2AF2">
            <w:pPr>
              <w:pStyle w:val="Tabletext"/>
              <w:jc w:val="right"/>
              <w:rPr>
                <w:rStyle w:val="BoldBlue"/>
                <w:rFonts w:cs="IBM Plex Sans"/>
                <w:b w:val="0"/>
                <w:color w:val="3D7FE0" w:themeColor="accent1"/>
              </w:rPr>
            </w:pPr>
            <w:r w:rsidRPr="008F2AF2">
              <w:rPr>
                <w:rStyle w:val="BoldBlue"/>
                <w:rFonts w:ascii="IBM Plex Sans Light" w:hAnsi="IBM Plex Sans Light" w:cs="IBM Plex Sans"/>
                <w:color w:val="3D7FE0" w:themeColor="accent1"/>
                <w:sz w:val="18"/>
              </w:rPr>
              <w:t>(36)</w:t>
            </w:r>
          </w:p>
        </w:tc>
        <w:tc>
          <w:tcPr>
            <w:tcW w:w="964" w:type="dxa"/>
            <w:shd w:val="clear" w:color="auto" w:fill="FFFFFF"/>
            <w:vAlign w:val="bottom"/>
          </w:tcPr>
          <w:p w14:paraId="1A77B1F9"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w:t>
            </w:r>
          </w:p>
        </w:tc>
        <w:tc>
          <w:tcPr>
            <w:tcW w:w="964" w:type="dxa"/>
            <w:shd w:val="clear" w:color="auto" w:fill="FFFFFF"/>
            <w:vAlign w:val="bottom"/>
          </w:tcPr>
          <w:p w14:paraId="7CF35281" w14:textId="77777777" w:rsidR="00AE1E5C" w:rsidRPr="00152242" w:rsidRDefault="00AE1E5C" w:rsidP="00024B10">
            <w:pPr>
              <w:pStyle w:val="TableFiguresBrackets"/>
              <w:rPr>
                <w:rFonts w:ascii="IBM Plex Sans Light" w:hAnsi="IBM Plex Sans Light"/>
                <w:b/>
                <w:bCs/>
                <w:color w:val="3D7FE0" w:themeColor="accent1"/>
                <w:spacing w:val="-4"/>
                <w:sz w:val="18"/>
                <w:szCs w:val="18"/>
              </w:rPr>
            </w:pPr>
            <w:r w:rsidRPr="00152242">
              <w:rPr>
                <w:rFonts w:ascii="IBM Plex Sans Light" w:hAnsi="IBM Plex Sans Light"/>
                <w:b/>
                <w:bCs/>
                <w:color w:val="3D7FE0" w:themeColor="accent1"/>
                <w:spacing w:val="-4"/>
                <w:sz w:val="18"/>
                <w:szCs w:val="18"/>
              </w:rPr>
              <w:t>(36)</w:t>
            </w:r>
          </w:p>
        </w:tc>
      </w:tr>
      <w:tr w:rsidR="00AE1E5C" w:rsidRPr="00FC2914" w14:paraId="30D7BA33" w14:textId="77777777" w:rsidTr="004203CD">
        <w:tc>
          <w:tcPr>
            <w:tcW w:w="6973" w:type="dxa"/>
            <w:gridSpan w:val="2"/>
            <w:tcBorders>
              <w:bottom w:val="single" w:sz="2" w:space="0" w:color="3D7FE0" w:themeColor="accent1"/>
            </w:tcBorders>
            <w:vAlign w:val="bottom"/>
          </w:tcPr>
          <w:p w14:paraId="2CB73B4E" w14:textId="77777777" w:rsidR="00AE1E5C" w:rsidRPr="008E5BF0" w:rsidRDefault="00AE1E5C" w:rsidP="004203CD">
            <w:pPr>
              <w:pStyle w:val="Tabletext"/>
              <w:rPr>
                <w:rFonts w:ascii="IBM Plex Sans Light" w:hAnsi="IBM Plex Sans Light"/>
                <w:sz w:val="18"/>
                <w:szCs w:val="24"/>
              </w:rPr>
            </w:pPr>
            <w:r w:rsidRPr="008E5BF0">
              <w:rPr>
                <w:rFonts w:ascii="IBM Plex Sans Light" w:hAnsi="IBM Plex Sans Light"/>
                <w:sz w:val="18"/>
                <w:szCs w:val="24"/>
              </w:rPr>
              <w:t>Foreign exchange and other movements</w:t>
            </w:r>
          </w:p>
        </w:tc>
        <w:tc>
          <w:tcPr>
            <w:tcW w:w="964" w:type="dxa"/>
            <w:tcBorders>
              <w:bottom w:val="single" w:sz="2" w:space="0" w:color="3D7FE0" w:themeColor="accent1"/>
            </w:tcBorders>
            <w:vAlign w:val="bottom"/>
          </w:tcPr>
          <w:p w14:paraId="0C6AFC66" w14:textId="2B052CA0" w:rsidR="00AE1E5C" w:rsidRPr="008F2AF2" w:rsidRDefault="00AE1E5C" w:rsidP="008F2AF2">
            <w:pPr>
              <w:pStyle w:val="Tabletext"/>
              <w:jc w:val="right"/>
              <w:rPr>
                <w:rStyle w:val="BoldBlue"/>
                <w:rFonts w:cs="IBM Plex Sans"/>
                <w:b w:val="0"/>
                <w:color w:val="3D7FE0" w:themeColor="accent1"/>
              </w:rPr>
            </w:pPr>
            <w:r w:rsidRPr="008F2AF2">
              <w:rPr>
                <w:rStyle w:val="BoldBlue"/>
                <w:rFonts w:ascii="IBM Plex Sans Light" w:hAnsi="IBM Plex Sans Light" w:cs="IBM Plex Sans"/>
                <w:color w:val="3D7FE0" w:themeColor="accent1"/>
                <w:sz w:val="18"/>
              </w:rPr>
              <w:t>(</w:t>
            </w:r>
            <w:r w:rsidR="009B6985" w:rsidRPr="008F2AF2">
              <w:rPr>
                <w:rStyle w:val="BoldBlue"/>
                <w:rFonts w:ascii="IBM Plex Sans Light" w:hAnsi="IBM Plex Sans Light" w:cs="IBM Plex Sans"/>
                <w:color w:val="3D7FE0" w:themeColor="accent1"/>
                <w:sz w:val="18"/>
              </w:rPr>
              <w:t>34</w:t>
            </w:r>
            <w:r w:rsidRPr="008F2AF2">
              <w:rPr>
                <w:rStyle w:val="BoldBlue"/>
                <w:rFonts w:ascii="IBM Plex Sans Light" w:hAnsi="IBM Plex Sans Light" w:cs="IBM Plex Sans"/>
                <w:color w:val="3D7FE0" w:themeColor="accent1"/>
                <w:sz w:val="18"/>
              </w:rPr>
              <w:t>)</w:t>
            </w:r>
          </w:p>
        </w:tc>
        <w:tc>
          <w:tcPr>
            <w:tcW w:w="964" w:type="dxa"/>
            <w:tcBorders>
              <w:bottom w:val="single" w:sz="2" w:space="0" w:color="3D7FE0" w:themeColor="accent1"/>
            </w:tcBorders>
            <w:shd w:val="clear" w:color="auto" w:fill="FFFFFF"/>
            <w:vAlign w:val="bottom"/>
          </w:tcPr>
          <w:p w14:paraId="7F619F74"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30</w:t>
            </w:r>
          </w:p>
        </w:tc>
        <w:tc>
          <w:tcPr>
            <w:tcW w:w="964" w:type="dxa"/>
            <w:tcBorders>
              <w:bottom w:val="single" w:sz="2" w:space="0" w:color="3D7FE0" w:themeColor="accent1"/>
            </w:tcBorders>
            <w:shd w:val="clear" w:color="auto" w:fill="FFFFFF"/>
            <w:vAlign w:val="bottom"/>
          </w:tcPr>
          <w:p w14:paraId="5F2F3381" w14:textId="5C6D3180" w:rsidR="00AE1E5C" w:rsidRPr="00152242" w:rsidRDefault="00AE1E5C" w:rsidP="00024B10">
            <w:pPr>
              <w:pStyle w:val="TableFiguresBrackets"/>
              <w:rPr>
                <w:rFonts w:ascii="IBM Plex Sans Light" w:hAnsi="IBM Plex Sans Light"/>
                <w:b/>
                <w:bCs/>
                <w:color w:val="3D7FE0" w:themeColor="accent1"/>
                <w:spacing w:val="-4"/>
                <w:sz w:val="18"/>
                <w:szCs w:val="18"/>
              </w:rPr>
            </w:pPr>
            <w:r w:rsidRPr="00152242">
              <w:rPr>
                <w:rFonts w:ascii="IBM Plex Sans Light" w:hAnsi="IBM Plex Sans Light"/>
                <w:b/>
                <w:bCs/>
                <w:color w:val="3D7FE0" w:themeColor="accent1"/>
                <w:spacing w:val="-4"/>
                <w:sz w:val="18"/>
                <w:szCs w:val="18"/>
              </w:rPr>
              <w:t>(</w:t>
            </w:r>
            <w:r w:rsidR="009B6985" w:rsidRPr="00152242">
              <w:rPr>
                <w:rFonts w:ascii="IBM Plex Sans Light" w:hAnsi="IBM Plex Sans Light"/>
                <w:b/>
                <w:bCs/>
                <w:color w:val="3D7FE0" w:themeColor="accent1"/>
                <w:spacing w:val="-4"/>
                <w:sz w:val="18"/>
                <w:szCs w:val="18"/>
              </w:rPr>
              <w:t>4</w:t>
            </w:r>
            <w:r w:rsidRPr="00152242">
              <w:rPr>
                <w:rFonts w:ascii="IBM Plex Sans Light" w:hAnsi="IBM Plex Sans Light"/>
                <w:b/>
                <w:bCs/>
                <w:color w:val="3D7FE0" w:themeColor="accent1"/>
                <w:spacing w:val="-4"/>
                <w:sz w:val="18"/>
                <w:szCs w:val="18"/>
              </w:rPr>
              <w:t>)</w:t>
            </w:r>
          </w:p>
        </w:tc>
      </w:tr>
      <w:tr w:rsidR="00AE1E5C" w:rsidRPr="00FC2914" w14:paraId="2ACF0B09" w14:textId="77777777" w:rsidTr="004203CD">
        <w:tc>
          <w:tcPr>
            <w:tcW w:w="6973" w:type="dxa"/>
            <w:gridSpan w:val="2"/>
            <w:tcBorders>
              <w:top w:val="single" w:sz="2" w:space="0" w:color="3D7FE0" w:themeColor="accent1"/>
              <w:bottom w:val="single" w:sz="8" w:space="0" w:color="3D7FE0" w:themeColor="accent1"/>
            </w:tcBorders>
            <w:vAlign w:val="bottom"/>
          </w:tcPr>
          <w:p w14:paraId="5F0F044D" w14:textId="77777777" w:rsidR="00AE1E5C" w:rsidRPr="008E5BF0" w:rsidRDefault="00AE1E5C" w:rsidP="004203CD">
            <w:pPr>
              <w:pStyle w:val="Tabletext"/>
              <w:rPr>
                <w:rFonts w:ascii="IBM Plex Sans Light" w:hAnsi="IBM Plex Sans Light"/>
                <w:sz w:val="18"/>
                <w:szCs w:val="24"/>
              </w:rPr>
            </w:pPr>
            <w:r w:rsidRPr="008E5BF0">
              <w:rPr>
                <w:rStyle w:val="Bold"/>
                <w:rFonts w:ascii="IBM Plex Sans Light" w:hAnsi="IBM Plex Sans Light" w:cs="IBM Plex Sans"/>
                <w:bCs/>
                <w:sz w:val="18"/>
                <w:szCs w:val="24"/>
              </w:rPr>
              <w:t xml:space="preserve">31 December 2023 </w:t>
            </w:r>
          </w:p>
        </w:tc>
        <w:tc>
          <w:tcPr>
            <w:tcW w:w="964" w:type="dxa"/>
            <w:tcBorders>
              <w:top w:val="single" w:sz="2" w:space="0" w:color="3D7FE0" w:themeColor="accent1"/>
              <w:bottom w:val="single" w:sz="8" w:space="0" w:color="3D7FE0" w:themeColor="accent1"/>
            </w:tcBorders>
            <w:vAlign w:val="bottom"/>
          </w:tcPr>
          <w:p w14:paraId="5E24ECA4" w14:textId="77777777" w:rsidR="00AE1E5C" w:rsidRPr="00152242" w:rsidRDefault="00AE1E5C" w:rsidP="00152242">
            <w:pPr>
              <w:pStyle w:val="TableFiguresBold"/>
              <w:rPr>
                <w:rStyle w:val="BoldBlue"/>
                <w:rFonts w:cs="IBM Plex Sans"/>
                <w:color w:val="3D7FE0" w:themeColor="accent1"/>
              </w:rPr>
            </w:pPr>
            <w:r w:rsidRPr="00152242">
              <w:rPr>
                <w:rStyle w:val="BoldBlue"/>
                <w:rFonts w:ascii="IBM Plex Sans Light" w:hAnsi="IBM Plex Sans Light" w:cs="IBM Plex Sans"/>
                <w:b/>
                <w:color w:val="3D7FE0" w:themeColor="accent1"/>
                <w:sz w:val="18"/>
                <w:szCs w:val="18"/>
              </w:rPr>
              <w:t>2,463</w:t>
            </w:r>
          </w:p>
        </w:tc>
        <w:tc>
          <w:tcPr>
            <w:tcW w:w="964" w:type="dxa"/>
            <w:tcBorders>
              <w:top w:val="single" w:sz="2" w:space="0" w:color="3D7FE0" w:themeColor="accent1"/>
              <w:bottom w:val="single" w:sz="8" w:space="0" w:color="3D7FE0" w:themeColor="accent1"/>
            </w:tcBorders>
            <w:shd w:val="clear" w:color="auto" w:fill="FFFFFF"/>
            <w:vAlign w:val="bottom"/>
          </w:tcPr>
          <w:p w14:paraId="49973448" w14:textId="77777777" w:rsidR="00AE1E5C" w:rsidRPr="00024B10" w:rsidRDefault="00AE1E5C" w:rsidP="004203CD">
            <w:pPr>
              <w:pStyle w:val="Tabletext"/>
              <w:jc w:val="right"/>
              <w:rPr>
                <w:rStyle w:val="BoldBlue"/>
                <w:rFonts w:cs="IBM Plex Sans"/>
                <w:color w:val="3D7FE0" w:themeColor="accent1"/>
                <w:szCs w:val="18"/>
              </w:rPr>
            </w:pPr>
            <w:r w:rsidRPr="007C0BC1">
              <w:rPr>
                <w:rStyle w:val="BoldBlue"/>
                <w:rFonts w:ascii="IBM Plex Sans Light" w:hAnsi="IBM Plex Sans Light" w:cs="IBM Plex Sans"/>
                <w:bCs w:val="0"/>
                <w:color w:val="3D7FE0" w:themeColor="accent1"/>
                <w:sz w:val="18"/>
                <w:szCs w:val="18"/>
              </w:rPr>
              <w:t>79</w:t>
            </w:r>
          </w:p>
        </w:tc>
        <w:tc>
          <w:tcPr>
            <w:tcW w:w="964" w:type="dxa"/>
            <w:tcBorders>
              <w:top w:val="single" w:sz="2" w:space="0" w:color="3D7FE0" w:themeColor="accent1"/>
              <w:bottom w:val="single" w:sz="8" w:space="0" w:color="3D7FE0" w:themeColor="accent1"/>
            </w:tcBorders>
            <w:shd w:val="clear" w:color="auto" w:fill="FFFFFF"/>
            <w:vAlign w:val="bottom"/>
          </w:tcPr>
          <w:p w14:paraId="48BD8CCA" w14:textId="77777777" w:rsidR="00AE1E5C" w:rsidRPr="007C0BC1" w:rsidRDefault="00AE1E5C" w:rsidP="004203CD">
            <w:pPr>
              <w:pStyle w:val="TableFiguresBold"/>
              <w:rPr>
                <w:rFonts w:ascii="IBM Plex Sans Light" w:hAnsi="IBM Plex Sans Light"/>
                <w:bCs w:val="0"/>
                <w:color w:val="3D7FE0" w:themeColor="accent1"/>
                <w:spacing w:val="-4"/>
                <w:sz w:val="18"/>
                <w:szCs w:val="18"/>
              </w:rPr>
            </w:pPr>
            <w:r w:rsidRPr="007C0BC1">
              <w:rPr>
                <w:rStyle w:val="BoldBlue"/>
                <w:rFonts w:ascii="IBM Plex Sans Light" w:hAnsi="IBM Plex Sans Light" w:cs="IBM Plex Sans"/>
                <w:b/>
                <w:color w:val="3D7FE0" w:themeColor="accent1"/>
                <w:sz w:val="18"/>
                <w:szCs w:val="18"/>
              </w:rPr>
              <w:t>2,542</w:t>
            </w:r>
          </w:p>
        </w:tc>
      </w:tr>
    </w:tbl>
    <w:p w14:paraId="06671BD4" w14:textId="77777777" w:rsidR="00884A51" w:rsidRDefault="00884A51" w:rsidP="00AE1E5C">
      <w:pPr>
        <w:pStyle w:val="06SubHeading1Fronttext9105"/>
        <w:spacing w:after="0"/>
        <w:rPr>
          <w:color w:val="3D7FE0" w:themeColor="accent1"/>
          <w:sz w:val="20"/>
          <w:szCs w:val="20"/>
        </w:rPr>
      </w:pPr>
    </w:p>
    <w:p w14:paraId="63E71017" w14:textId="7F12918F" w:rsidR="00AE1E5C" w:rsidRPr="008E5BF0" w:rsidRDefault="00AE1E5C" w:rsidP="00AE1E5C">
      <w:pPr>
        <w:pStyle w:val="06SubHeading1Fronttext9105"/>
        <w:spacing w:after="0"/>
        <w:rPr>
          <w:color w:val="3D7FE0" w:themeColor="accent1"/>
          <w:sz w:val="20"/>
          <w:szCs w:val="20"/>
        </w:rPr>
      </w:pPr>
      <w:r w:rsidRPr="008E5BF0">
        <w:rPr>
          <w:color w:val="3D7FE0" w:themeColor="accent1"/>
          <w:sz w:val="20"/>
          <w:szCs w:val="20"/>
        </w:rPr>
        <w:t>PROPERTY PORTFOLIO ANALYSIS</w:t>
      </w:r>
    </w:p>
    <w:p w14:paraId="3261288F" w14:textId="77777777" w:rsidR="00AE1E5C" w:rsidRPr="008E5BF0" w:rsidRDefault="00AE1E5C" w:rsidP="00AE1E5C">
      <w:pPr>
        <w:pStyle w:val="06SubHeading2Fronttext9105"/>
        <w:spacing w:before="120"/>
        <w:rPr>
          <w:color w:val="3D7FE0" w:themeColor="accent1"/>
        </w:rPr>
      </w:pPr>
      <w:r w:rsidRPr="008E5BF0">
        <w:rPr>
          <w:color w:val="3D7FE0" w:themeColor="accent1"/>
        </w:rPr>
        <w:t>Portfolio valuation</w:t>
      </w:r>
    </w:p>
    <w:p w14:paraId="545DC67F" w14:textId="77777777" w:rsidR="00AE1E5C" w:rsidRDefault="00AE1E5C" w:rsidP="00AE1E5C">
      <w:pPr>
        <w:pStyle w:val="04BodyCopyFronttext9105"/>
        <w:spacing w:before="120"/>
      </w:pPr>
      <w:r>
        <w:t xml:space="preserve">The Group’s external valuations continue to be conducted by CBRE Limited (CBRE), Cushman and Wakefield LLP (C&amp;W) and Jones Lang LaSalle Limited (JLL), providing diversification of valuation expertise across the Group. At 31 December 2023 the majority of our UK flagship destinations have been valued by JLL and CBRE, the French portfolio by JLL, and the Irish portfolio, Value Retail and Brent Cross have been valued by C&amp;W. This is unchanged from 31 December 2022. </w:t>
      </w:r>
    </w:p>
    <w:p w14:paraId="2C94DA18" w14:textId="77777777" w:rsidR="00AE1E5C" w:rsidRDefault="00AE1E5C" w:rsidP="00AE1E5C">
      <w:pPr>
        <w:pStyle w:val="04BodyCopyFronttext9105"/>
        <w:spacing w:before="120"/>
      </w:pPr>
      <w:r>
        <w:t xml:space="preserve">There have been a limited number of comparable transactions in the Group’s investment markets during 2023, with the higher interest rate environment and lower levels of liquidity resulting in an outward movement in valuation yields. However, there has been a growing polarisation based on asset quality from both an occupational and investment perspective, with the outward yield movements being more pronounced for less prime assets. Valuers have also begun to differentiate between properties based on </w:t>
      </w:r>
      <w:r>
        <w:lastRenderedPageBreak/>
        <w:t xml:space="preserve">future capital expenditure requirements. </w:t>
      </w:r>
    </w:p>
    <w:p w14:paraId="657F8A08" w14:textId="77777777" w:rsidR="00AE1E5C" w:rsidRDefault="00AE1E5C" w:rsidP="00AE1E5C">
      <w:pPr>
        <w:pStyle w:val="04BodyCopyFronttext9105"/>
        <w:spacing w:before="120"/>
        <w:rPr>
          <w:rFonts w:ascii="IBM Plex Sans" w:hAnsi="IBM Plex Sans" w:cs="IBM Plex Sans"/>
          <w:b/>
          <w:bCs/>
          <w:color w:val="00B3D1"/>
        </w:rPr>
      </w:pPr>
      <w:r>
        <w:t xml:space="preserve">At 31 December 2023, the Group’s portfolio was valued at £4,662m, a reduction of £445m since 31 December 2022. This movement was primarily due to disposals, including the derecognition of Highcross and O’Parinor, of £331m; revaluation losses of £127m; adverse foreign exchange losses of £61m, partly offset by capital expenditure of £74m. Movements in the portfolio valuation are shown in the table below. </w:t>
      </w:r>
    </w:p>
    <w:p w14:paraId="68DF4166" w14:textId="77777777" w:rsidR="00AE1E5C" w:rsidRDefault="00AE1E5C" w:rsidP="00AE1E5C">
      <w:pPr>
        <w:pStyle w:val="04BodyCopyFronttext9105"/>
      </w:pPr>
    </w:p>
    <w:p w14:paraId="57DCE6DB" w14:textId="77777777" w:rsidR="00AE1E5C" w:rsidRPr="008E5BF0" w:rsidRDefault="00AE1E5C" w:rsidP="00AE1E5C">
      <w:pPr>
        <w:pStyle w:val="06SubHeading2Fronttext9105"/>
        <w:rPr>
          <w:color w:val="3D7FE0" w:themeColor="accent1"/>
        </w:rPr>
      </w:pPr>
      <w:r w:rsidRPr="008E5BF0">
        <w:rPr>
          <w:color w:val="3D7FE0" w:themeColor="accent1"/>
        </w:rPr>
        <w:t xml:space="preserve">Movements in property valuation </w:t>
      </w:r>
    </w:p>
    <w:tbl>
      <w:tblPr>
        <w:tblW w:w="9924" w:type="dxa"/>
        <w:tblLayout w:type="fixed"/>
        <w:tblCellMar>
          <w:left w:w="0" w:type="dxa"/>
          <w:right w:w="0" w:type="dxa"/>
        </w:tblCellMar>
        <w:tblLook w:val="00A0" w:firstRow="1" w:lastRow="0" w:firstColumn="1" w:lastColumn="0" w:noHBand="0" w:noVBand="0"/>
      </w:tblPr>
      <w:tblGrid>
        <w:gridCol w:w="3572"/>
        <w:gridCol w:w="794"/>
        <w:gridCol w:w="794"/>
        <w:gridCol w:w="794"/>
        <w:gridCol w:w="794"/>
        <w:gridCol w:w="794"/>
        <w:gridCol w:w="794"/>
        <w:gridCol w:w="794"/>
        <w:gridCol w:w="794"/>
      </w:tblGrid>
      <w:tr w:rsidR="00AE1E5C" w:rsidRPr="008E5BF0" w14:paraId="6B918477" w14:textId="77777777" w:rsidTr="004203CD">
        <w:tc>
          <w:tcPr>
            <w:tcW w:w="3572" w:type="dxa"/>
            <w:tcBorders>
              <w:bottom w:val="single" w:sz="2" w:space="0" w:color="3D7FE0" w:themeColor="accent1"/>
            </w:tcBorders>
            <w:vAlign w:val="bottom"/>
          </w:tcPr>
          <w:p w14:paraId="5091429D" w14:textId="77777777" w:rsidR="00AE1E5C" w:rsidRPr="00965F9A" w:rsidRDefault="00AE1E5C" w:rsidP="004203CD">
            <w:pPr>
              <w:pStyle w:val="Tabletext"/>
              <w:rPr>
                <w:rFonts w:ascii="IBM Plex Sans Light" w:hAnsi="IBM Plex Sans Light"/>
                <w:b/>
                <w:bCs/>
                <w:color w:val="3D7FE0" w:themeColor="accent1"/>
                <w:spacing w:val="-4"/>
                <w:sz w:val="18"/>
                <w:szCs w:val="24"/>
              </w:rPr>
            </w:pPr>
            <w:r w:rsidRPr="00965F9A">
              <w:rPr>
                <w:rFonts w:ascii="IBM Plex Sans Light" w:hAnsi="IBM Plex Sans Light"/>
                <w:color w:val="3D7FE0" w:themeColor="accent1"/>
              </w:rPr>
              <w:t>Proportionally consolidated including Value Retail</w:t>
            </w:r>
          </w:p>
        </w:tc>
        <w:tc>
          <w:tcPr>
            <w:tcW w:w="794" w:type="dxa"/>
            <w:tcBorders>
              <w:bottom w:val="single" w:sz="2" w:space="0" w:color="3D7FE0" w:themeColor="accent1"/>
            </w:tcBorders>
            <w:vAlign w:val="bottom"/>
          </w:tcPr>
          <w:p w14:paraId="6FB55FD1"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UK</w:t>
            </w:r>
          </w:p>
          <w:p w14:paraId="1C29CC84"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£m</w:t>
            </w:r>
          </w:p>
        </w:tc>
        <w:tc>
          <w:tcPr>
            <w:tcW w:w="794" w:type="dxa"/>
            <w:tcBorders>
              <w:bottom w:val="single" w:sz="2" w:space="0" w:color="3D7FE0" w:themeColor="accent1"/>
            </w:tcBorders>
            <w:vAlign w:val="bottom"/>
          </w:tcPr>
          <w:p w14:paraId="0A979389"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France</w:t>
            </w:r>
          </w:p>
          <w:p w14:paraId="7403AF5B"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£m</w:t>
            </w:r>
          </w:p>
        </w:tc>
        <w:tc>
          <w:tcPr>
            <w:tcW w:w="794" w:type="dxa"/>
            <w:tcBorders>
              <w:bottom w:val="single" w:sz="2" w:space="0" w:color="3D7FE0" w:themeColor="accent1"/>
            </w:tcBorders>
            <w:vAlign w:val="bottom"/>
          </w:tcPr>
          <w:p w14:paraId="4C6B25ED"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Ireland</w:t>
            </w:r>
          </w:p>
          <w:p w14:paraId="459AD648" w14:textId="77777777" w:rsidR="00AE1E5C" w:rsidRPr="006B43AF" w:rsidRDefault="00AE1E5C" w:rsidP="004203CD">
            <w:pPr>
              <w:pStyle w:val="Tabletext"/>
              <w:jc w:val="right"/>
              <w:rPr>
                <w:rStyle w:val="BoldBlue"/>
                <w:rFonts w:ascii="IBM Plex Sans Light" w:hAnsi="IBM Plex Sans Light" w:cs="IBM Plex Sans"/>
                <w:b w:val="0"/>
                <w:color w:val="3D7FE0" w:themeColor="accent1"/>
                <w:spacing w:val="-3"/>
                <w:szCs w:val="16"/>
              </w:rPr>
            </w:pPr>
            <w:r w:rsidRPr="006B43AF">
              <w:rPr>
                <w:rStyle w:val="BoldBlue"/>
                <w:rFonts w:ascii="IBM Plex Sans Light" w:hAnsi="IBM Plex Sans Light" w:cs="IBM Plex Sans"/>
                <w:b w:val="0"/>
                <w:color w:val="3D7FE0" w:themeColor="accent1"/>
                <w:szCs w:val="16"/>
              </w:rPr>
              <w:t>£m</w:t>
            </w:r>
          </w:p>
        </w:tc>
        <w:tc>
          <w:tcPr>
            <w:tcW w:w="794" w:type="dxa"/>
            <w:tcBorders>
              <w:bottom w:val="single" w:sz="2" w:space="0" w:color="3D7FE0" w:themeColor="accent1"/>
            </w:tcBorders>
            <w:shd w:val="clear" w:color="auto" w:fill="FFFFFF"/>
            <w:vAlign w:val="bottom"/>
          </w:tcPr>
          <w:p w14:paraId="601B522F" w14:textId="77777777" w:rsidR="00AE1E5C" w:rsidRPr="006B43AF" w:rsidRDefault="00AE1E5C" w:rsidP="004203CD">
            <w:pPr>
              <w:pStyle w:val="12TBRightColHeaderTableBack"/>
              <w:rPr>
                <w:rStyle w:val="BoldBlue"/>
                <w:rFonts w:cs="IBM Plex Sans"/>
                <w:bCs w:val="0"/>
                <w:color w:val="3D7FE0" w:themeColor="accent1"/>
                <w:sz w:val="16"/>
                <w:szCs w:val="16"/>
              </w:rPr>
            </w:pPr>
            <w:r w:rsidRPr="006B43AF">
              <w:rPr>
                <w:rStyle w:val="BoldBlue"/>
                <w:rFonts w:cs="IBM Plex Sans"/>
                <w:bCs w:val="0"/>
                <w:color w:val="3D7FE0" w:themeColor="accent1"/>
                <w:sz w:val="16"/>
                <w:szCs w:val="16"/>
              </w:rPr>
              <w:t>Total flagships</w:t>
            </w:r>
          </w:p>
          <w:p w14:paraId="132CC099" w14:textId="77777777" w:rsidR="00AE1E5C" w:rsidRPr="006B43AF" w:rsidRDefault="00AE1E5C" w:rsidP="004203CD">
            <w:pPr>
              <w:pStyle w:val="12TBRightColHeaderTableBack"/>
              <w:rPr>
                <w:b/>
                <w:bCs/>
                <w:color w:val="3D7FE0" w:themeColor="accent1"/>
                <w:spacing w:val="-4"/>
                <w:sz w:val="16"/>
                <w:szCs w:val="16"/>
              </w:rPr>
            </w:pPr>
            <w:r w:rsidRPr="006B43AF">
              <w:rPr>
                <w:rStyle w:val="BoldBlue"/>
                <w:rFonts w:cs="IBM Plex Sans"/>
                <w:bCs w:val="0"/>
                <w:color w:val="3D7FE0" w:themeColor="accent1"/>
                <w:sz w:val="16"/>
                <w:szCs w:val="16"/>
              </w:rPr>
              <w:t>£m</w:t>
            </w:r>
          </w:p>
        </w:tc>
        <w:tc>
          <w:tcPr>
            <w:tcW w:w="794" w:type="dxa"/>
            <w:tcBorders>
              <w:bottom w:val="single" w:sz="2" w:space="0" w:color="3D7FE0" w:themeColor="accent1"/>
            </w:tcBorders>
            <w:shd w:val="clear" w:color="auto" w:fill="FFFFFF"/>
            <w:vAlign w:val="bottom"/>
          </w:tcPr>
          <w:p w14:paraId="36E57A29"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Develop-</w:t>
            </w:r>
            <w:proofErr w:type="spellStart"/>
            <w:r w:rsidRPr="006B43AF">
              <w:rPr>
                <w:rStyle w:val="BoldBlue"/>
                <w:rFonts w:cs="IBM Plex Sans"/>
                <w:b w:val="0"/>
                <w:color w:val="3D7FE0" w:themeColor="accent1"/>
                <w:sz w:val="16"/>
                <w:szCs w:val="16"/>
              </w:rPr>
              <w:t>ments</w:t>
            </w:r>
            <w:proofErr w:type="spellEnd"/>
            <w:r w:rsidRPr="006B43AF">
              <w:rPr>
                <w:rStyle w:val="BoldBlue"/>
                <w:rFonts w:cs="IBM Plex Sans"/>
                <w:b w:val="0"/>
                <w:color w:val="3D7FE0" w:themeColor="accent1"/>
                <w:sz w:val="16"/>
                <w:szCs w:val="16"/>
              </w:rPr>
              <w:t xml:space="preserve"> and other</w:t>
            </w:r>
          </w:p>
          <w:p w14:paraId="1C8C42CD" w14:textId="77777777"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£m</w:t>
            </w:r>
          </w:p>
        </w:tc>
        <w:tc>
          <w:tcPr>
            <w:tcW w:w="794" w:type="dxa"/>
            <w:tcBorders>
              <w:bottom w:val="single" w:sz="2" w:space="0" w:color="3D7FE0" w:themeColor="accent1"/>
            </w:tcBorders>
            <w:shd w:val="clear" w:color="auto" w:fill="FFFFFF"/>
            <w:vAlign w:val="bottom"/>
          </w:tcPr>
          <w:p w14:paraId="4BEB6606" w14:textId="77777777" w:rsidR="00AE1E5C" w:rsidRPr="006B43AF" w:rsidRDefault="00AE1E5C" w:rsidP="004203CD">
            <w:pPr>
              <w:pStyle w:val="12TBRightColHeaderTableBack"/>
              <w:rPr>
                <w:rStyle w:val="BoldBlue"/>
                <w:rFonts w:cs="IBM Plex Sans"/>
                <w:bCs w:val="0"/>
                <w:color w:val="3D7FE0" w:themeColor="accent1"/>
                <w:sz w:val="16"/>
                <w:szCs w:val="16"/>
              </w:rPr>
            </w:pPr>
            <w:r w:rsidRPr="006B43AF">
              <w:rPr>
                <w:rStyle w:val="BoldBlue"/>
                <w:rFonts w:cs="IBM Plex Sans"/>
                <w:bCs w:val="0"/>
                <w:color w:val="3D7FE0" w:themeColor="accent1"/>
                <w:sz w:val="16"/>
                <w:szCs w:val="16"/>
              </w:rPr>
              <w:t>Managed portfolio</w:t>
            </w:r>
          </w:p>
          <w:p w14:paraId="20B5CCD2"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Cs w:val="0"/>
                <w:color w:val="3D7FE0" w:themeColor="accent1"/>
                <w:sz w:val="16"/>
                <w:szCs w:val="16"/>
              </w:rPr>
              <w:t>£m</w:t>
            </w:r>
            <w:r w:rsidRPr="006B43AF">
              <w:rPr>
                <w:rStyle w:val="BoldBlue"/>
                <w:rFonts w:cs="IBM Plex Sans"/>
                <w:b w:val="0"/>
                <w:color w:val="3D7FE0" w:themeColor="accent1"/>
                <w:sz w:val="16"/>
                <w:szCs w:val="16"/>
              </w:rPr>
              <w:t xml:space="preserve"> </w:t>
            </w:r>
          </w:p>
        </w:tc>
        <w:tc>
          <w:tcPr>
            <w:tcW w:w="794" w:type="dxa"/>
            <w:tcBorders>
              <w:bottom w:val="single" w:sz="2" w:space="0" w:color="3D7FE0" w:themeColor="accent1"/>
            </w:tcBorders>
            <w:shd w:val="clear" w:color="auto" w:fill="FFFFFF"/>
            <w:vAlign w:val="bottom"/>
          </w:tcPr>
          <w:p w14:paraId="797F698E"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 xml:space="preserve">Value </w:t>
            </w:r>
          </w:p>
          <w:p w14:paraId="2801618D"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Retail</w:t>
            </w:r>
          </w:p>
          <w:p w14:paraId="58082687" w14:textId="77777777"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 xml:space="preserve">£m </w:t>
            </w:r>
          </w:p>
        </w:tc>
        <w:tc>
          <w:tcPr>
            <w:tcW w:w="794" w:type="dxa"/>
            <w:tcBorders>
              <w:bottom w:val="single" w:sz="2" w:space="0" w:color="3D7FE0" w:themeColor="accent1"/>
            </w:tcBorders>
            <w:shd w:val="clear" w:color="auto" w:fill="FFFFFF"/>
            <w:vAlign w:val="bottom"/>
          </w:tcPr>
          <w:p w14:paraId="4BBAEDBF" w14:textId="77777777" w:rsidR="00AE1E5C" w:rsidRPr="006B43AF" w:rsidRDefault="00AE1E5C" w:rsidP="004203CD">
            <w:pPr>
              <w:pStyle w:val="12TBRightColHeaderTableBack"/>
              <w:rPr>
                <w:rStyle w:val="BoldBlue"/>
                <w:rFonts w:cs="IBM Plex Sans"/>
                <w:bCs w:val="0"/>
                <w:color w:val="3D7FE0" w:themeColor="accent1"/>
                <w:sz w:val="16"/>
                <w:szCs w:val="16"/>
              </w:rPr>
            </w:pPr>
            <w:r w:rsidRPr="006B43AF">
              <w:rPr>
                <w:rStyle w:val="BoldBlue"/>
                <w:rFonts w:cs="IBM Plex Sans"/>
                <w:bCs w:val="0"/>
                <w:color w:val="3D7FE0" w:themeColor="accent1"/>
                <w:sz w:val="16"/>
                <w:szCs w:val="16"/>
              </w:rPr>
              <w:t>Group portfolio</w:t>
            </w:r>
          </w:p>
          <w:p w14:paraId="5D3F9705" w14:textId="77777777" w:rsidR="00AE1E5C" w:rsidRPr="006B43AF" w:rsidRDefault="00AE1E5C" w:rsidP="004203CD">
            <w:pPr>
              <w:pStyle w:val="12TBRightColHeaderTableBack"/>
              <w:rPr>
                <w:b/>
                <w:bCs/>
                <w:color w:val="3D7FE0" w:themeColor="accent1"/>
                <w:spacing w:val="-4"/>
                <w:sz w:val="16"/>
                <w:szCs w:val="16"/>
              </w:rPr>
            </w:pPr>
            <w:r w:rsidRPr="006B43AF">
              <w:rPr>
                <w:rStyle w:val="BoldBlue"/>
                <w:rFonts w:cs="IBM Plex Sans"/>
                <w:bCs w:val="0"/>
                <w:color w:val="3D7FE0" w:themeColor="accent1"/>
                <w:sz w:val="16"/>
                <w:szCs w:val="16"/>
              </w:rPr>
              <w:t>£m</w:t>
            </w:r>
            <w:r w:rsidRPr="006B43AF">
              <w:rPr>
                <w:rStyle w:val="BoldBlue"/>
                <w:rFonts w:cs="IBM Plex Sans"/>
                <w:b w:val="0"/>
                <w:color w:val="3D7FE0" w:themeColor="accent1"/>
                <w:sz w:val="16"/>
                <w:szCs w:val="16"/>
              </w:rPr>
              <w:t xml:space="preserve"> </w:t>
            </w:r>
          </w:p>
        </w:tc>
      </w:tr>
      <w:tr w:rsidR="00AE1E5C" w:rsidRPr="008E5BF0" w14:paraId="5079BDB5" w14:textId="77777777" w:rsidTr="004203CD">
        <w:tc>
          <w:tcPr>
            <w:tcW w:w="3572" w:type="dxa"/>
            <w:tcBorders>
              <w:top w:val="single" w:sz="2" w:space="0" w:color="3D7FE0" w:themeColor="accent1"/>
            </w:tcBorders>
            <w:vAlign w:val="bottom"/>
          </w:tcPr>
          <w:p w14:paraId="4893A76A" w14:textId="77777777" w:rsidR="00AE1E5C" w:rsidRPr="00274099" w:rsidRDefault="00AE1E5C" w:rsidP="004203CD">
            <w:pPr>
              <w:pStyle w:val="Tabletext"/>
              <w:rPr>
                <w:rFonts w:ascii="IBM Plex Sans Light" w:hAnsi="IBM Plex Sans Light"/>
                <w:sz w:val="18"/>
                <w:szCs w:val="24"/>
              </w:rPr>
            </w:pPr>
            <w:r w:rsidRPr="00274099">
              <w:rPr>
                <w:rFonts w:ascii="IBM Plex Sans Light" w:hAnsi="IBM Plex Sans Light"/>
                <w:sz w:val="18"/>
                <w:szCs w:val="24"/>
              </w:rPr>
              <w:t>At 1 January 2023</w:t>
            </w:r>
          </w:p>
        </w:tc>
        <w:tc>
          <w:tcPr>
            <w:tcW w:w="794" w:type="dxa"/>
            <w:tcBorders>
              <w:top w:val="single" w:sz="2" w:space="0" w:color="3D7FE0" w:themeColor="accent1"/>
            </w:tcBorders>
            <w:vAlign w:val="bottom"/>
          </w:tcPr>
          <w:p w14:paraId="638A73C8"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024B10">
              <w:rPr>
                <w:rStyle w:val="BoldBlue"/>
                <w:rFonts w:ascii="IBM Plex Sans Light" w:hAnsi="IBM Plex Sans Light" w:cs="IBM Plex Sans"/>
                <w:bCs w:val="0"/>
                <w:color w:val="3D7FE0" w:themeColor="accent1"/>
                <w:sz w:val="18"/>
                <w:szCs w:val="18"/>
              </w:rPr>
              <w:t>871</w:t>
            </w:r>
          </w:p>
        </w:tc>
        <w:tc>
          <w:tcPr>
            <w:tcW w:w="794" w:type="dxa"/>
            <w:tcBorders>
              <w:top w:val="single" w:sz="2" w:space="0" w:color="3D7FE0" w:themeColor="accent1"/>
            </w:tcBorders>
            <w:vAlign w:val="bottom"/>
          </w:tcPr>
          <w:p w14:paraId="5188BD89"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024B10">
              <w:rPr>
                <w:rStyle w:val="BoldBlue"/>
                <w:rFonts w:ascii="IBM Plex Sans Light" w:hAnsi="IBM Plex Sans Light" w:cs="IBM Plex Sans"/>
                <w:bCs w:val="0"/>
                <w:color w:val="3D7FE0" w:themeColor="accent1"/>
                <w:sz w:val="18"/>
                <w:szCs w:val="18"/>
              </w:rPr>
              <w:t>1,241</w:t>
            </w:r>
          </w:p>
        </w:tc>
        <w:tc>
          <w:tcPr>
            <w:tcW w:w="794" w:type="dxa"/>
            <w:tcBorders>
              <w:top w:val="single" w:sz="2" w:space="0" w:color="3D7FE0" w:themeColor="accent1"/>
            </w:tcBorders>
            <w:vAlign w:val="bottom"/>
          </w:tcPr>
          <w:p w14:paraId="05DC109B"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024B10">
              <w:rPr>
                <w:rStyle w:val="BoldBlue"/>
                <w:rFonts w:ascii="IBM Plex Sans Light" w:hAnsi="IBM Plex Sans Light" w:cs="IBM Plex Sans"/>
                <w:bCs w:val="0"/>
                <w:color w:val="3D7FE0" w:themeColor="accent1"/>
                <w:sz w:val="18"/>
                <w:szCs w:val="18"/>
              </w:rPr>
              <w:t>676</w:t>
            </w:r>
          </w:p>
        </w:tc>
        <w:tc>
          <w:tcPr>
            <w:tcW w:w="794" w:type="dxa"/>
            <w:tcBorders>
              <w:top w:val="single" w:sz="2" w:space="0" w:color="3D7FE0" w:themeColor="accent1"/>
              <w:left w:val="nil"/>
            </w:tcBorders>
            <w:shd w:val="clear" w:color="auto" w:fill="FFFFFF"/>
            <w:vAlign w:val="bottom"/>
          </w:tcPr>
          <w:p w14:paraId="6675C9FF"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2,788</w:t>
            </w:r>
          </w:p>
        </w:tc>
        <w:tc>
          <w:tcPr>
            <w:tcW w:w="794" w:type="dxa"/>
            <w:tcBorders>
              <w:top w:val="single" w:sz="2" w:space="0" w:color="3D7FE0" w:themeColor="accent1"/>
            </w:tcBorders>
            <w:shd w:val="clear" w:color="auto" w:fill="FFFFFF"/>
            <w:vAlign w:val="bottom"/>
          </w:tcPr>
          <w:p w14:paraId="4FD3249C"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432</w:t>
            </w:r>
          </w:p>
        </w:tc>
        <w:tc>
          <w:tcPr>
            <w:tcW w:w="794" w:type="dxa"/>
            <w:tcBorders>
              <w:top w:val="single" w:sz="2" w:space="0" w:color="3D7FE0" w:themeColor="accent1"/>
              <w:left w:val="nil"/>
            </w:tcBorders>
            <w:shd w:val="clear" w:color="auto" w:fill="FFFFFF"/>
            <w:vAlign w:val="bottom"/>
          </w:tcPr>
          <w:p w14:paraId="723060DE"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3,220</w:t>
            </w:r>
          </w:p>
        </w:tc>
        <w:tc>
          <w:tcPr>
            <w:tcW w:w="794" w:type="dxa"/>
            <w:tcBorders>
              <w:top w:val="single" w:sz="2" w:space="0" w:color="3D7FE0" w:themeColor="accent1"/>
            </w:tcBorders>
            <w:shd w:val="clear" w:color="auto" w:fill="FFFFFF"/>
            <w:vAlign w:val="bottom"/>
          </w:tcPr>
          <w:p w14:paraId="45010994"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1,887</w:t>
            </w:r>
          </w:p>
        </w:tc>
        <w:tc>
          <w:tcPr>
            <w:tcW w:w="794" w:type="dxa"/>
            <w:tcBorders>
              <w:top w:val="single" w:sz="2" w:space="0" w:color="3D7FE0" w:themeColor="accent1"/>
              <w:left w:val="nil"/>
            </w:tcBorders>
            <w:shd w:val="clear" w:color="auto" w:fill="FFFFFF"/>
            <w:vAlign w:val="bottom"/>
          </w:tcPr>
          <w:p w14:paraId="53D94004" w14:textId="77777777" w:rsidR="00AE1E5C" w:rsidRPr="00024B10" w:rsidRDefault="00AE1E5C" w:rsidP="004203CD">
            <w:pPr>
              <w:pStyle w:val="TableFiguresBold"/>
              <w:rPr>
                <w:rFonts w:ascii="IBM Plex Sans Light" w:hAnsi="IBM Plex Sans Light"/>
                <w:bCs w:val="0"/>
                <w:color w:val="3D7FE0" w:themeColor="accent1"/>
                <w:spacing w:val="-4"/>
                <w:sz w:val="18"/>
                <w:szCs w:val="18"/>
              </w:rPr>
            </w:pPr>
            <w:r w:rsidRPr="00024B10">
              <w:rPr>
                <w:rStyle w:val="BoldBlue"/>
                <w:rFonts w:ascii="IBM Plex Sans Light" w:hAnsi="IBM Plex Sans Light" w:cs="IBM Plex Sans"/>
                <w:b/>
                <w:color w:val="3D7FE0" w:themeColor="accent1"/>
                <w:sz w:val="18"/>
                <w:szCs w:val="18"/>
              </w:rPr>
              <w:t>5,107</w:t>
            </w:r>
          </w:p>
        </w:tc>
      </w:tr>
      <w:tr w:rsidR="00AE1E5C" w:rsidRPr="008E5BF0" w14:paraId="49CFD84A" w14:textId="77777777" w:rsidTr="004203CD">
        <w:tc>
          <w:tcPr>
            <w:tcW w:w="3572" w:type="dxa"/>
            <w:vAlign w:val="bottom"/>
          </w:tcPr>
          <w:p w14:paraId="696FA3F0" w14:textId="77777777" w:rsidR="00AE1E5C" w:rsidRPr="00274099" w:rsidRDefault="00AE1E5C" w:rsidP="004203CD">
            <w:pPr>
              <w:pStyle w:val="Tabletext"/>
              <w:rPr>
                <w:rFonts w:ascii="IBM Plex Sans Light" w:hAnsi="IBM Plex Sans Light"/>
                <w:sz w:val="18"/>
                <w:szCs w:val="24"/>
              </w:rPr>
            </w:pPr>
            <w:r w:rsidRPr="00274099">
              <w:rPr>
                <w:rFonts w:ascii="IBM Plex Sans Light" w:hAnsi="IBM Plex Sans Light"/>
                <w:sz w:val="18"/>
                <w:szCs w:val="24"/>
              </w:rPr>
              <w:t>Capital expenditure</w:t>
            </w:r>
          </w:p>
        </w:tc>
        <w:tc>
          <w:tcPr>
            <w:tcW w:w="794" w:type="dxa"/>
            <w:vAlign w:val="bottom"/>
          </w:tcPr>
          <w:p w14:paraId="7AF1308F"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14</w:t>
            </w:r>
          </w:p>
        </w:tc>
        <w:tc>
          <w:tcPr>
            <w:tcW w:w="794" w:type="dxa"/>
            <w:vAlign w:val="bottom"/>
          </w:tcPr>
          <w:p w14:paraId="11E0E041"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14</w:t>
            </w:r>
          </w:p>
        </w:tc>
        <w:tc>
          <w:tcPr>
            <w:tcW w:w="794" w:type="dxa"/>
            <w:vAlign w:val="bottom"/>
          </w:tcPr>
          <w:p w14:paraId="7B07CC4A"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6</w:t>
            </w:r>
          </w:p>
        </w:tc>
        <w:tc>
          <w:tcPr>
            <w:tcW w:w="794" w:type="dxa"/>
            <w:tcBorders>
              <w:left w:val="nil"/>
            </w:tcBorders>
            <w:shd w:val="clear" w:color="auto" w:fill="FFFFFF"/>
            <w:vAlign w:val="bottom"/>
          </w:tcPr>
          <w:p w14:paraId="7535394D"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34</w:t>
            </w:r>
          </w:p>
        </w:tc>
        <w:tc>
          <w:tcPr>
            <w:tcW w:w="794" w:type="dxa"/>
            <w:shd w:val="clear" w:color="auto" w:fill="FFFFFF"/>
            <w:vAlign w:val="bottom"/>
          </w:tcPr>
          <w:p w14:paraId="15E43A15"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13</w:t>
            </w:r>
          </w:p>
        </w:tc>
        <w:tc>
          <w:tcPr>
            <w:tcW w:w="794" w:type="dxa"/>
            <w:tcBorders>
              <w:left w:val="nil"/>
            </w:tcBorders>
            <w:shd w:val="clear" w:color="auto" w:fill="FFFFFF"/>
            <w:vAlign w:val="bottom"/>
          </w:tcPr>
          <w:p w14:paraId="6F94FBE3"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47</w:t>
            </w:r>
          </w:p>
        </w:tc>
        <w:tc>
          <w:tcPr>
            <w:tcW w:w="794" w:type="dxa"/>
            <w:shd w:val="clear" w:color="auto" w:fill="FFFFFF"/>
            <w:vAlign w:val="bottom"/>
          </w:tcPr>
          <w:p w14:paraId="41901F83"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27</w:t>
            </w:r>
          </w:p>
        </w:tc>
        <w:tc>
          <w:tcPr>
            <w:tcW w:w="794" w:type="dxa"/>
            <w:tcBorders>
              <w:left w:val="nil"/>
            </w:tcBorders>
            <w:shd w:val="clear" w:color="auto" w:fill="FFFFFF"/>
            <w:vAlign w:val="bottom"/>
          </w:tcPr>
          <w:p w14:paraId="5115BBBB" w14:textId="77777777" w:rsidR="00AE1E5C" w:rsidRPr="00024B10" w:rsidRDefault="00AE1E5C" w:rsidP="004203CD">
            <w:pPr>
              <w:pStyle w:val="TableFiguresBold"/>
              <w:rPr>
                <w:rFonts w:ascii="IBM Plex Sans Light" w:hAnsi="IBM Plex Sans Light"/>
                <w:bCs w:val="0"/>
                <w:color w:val="3D7FE0" w:themeColor="accent1"/>
                <w:sz w:val="18"/>
                <w:szCs w:val="18"/>
              </w:rPr>
            </w:pPr>
            <w:r w:rsidRPr="00024B10">
              <w:rPr>
                <w:rStyle w:val="BoldBlue"/>
                <w:rFonts w:ascii="IBM Plex Sans Light" w:hAnsi="IBM Plex Sans Light" w:cs="IBM Plex Sans"/>
                <w:b/>
                <w:color w:val="3D7FE0" w:themeColor="accent1"/>
                <w:sz w:val="18"/>
                <w:szCs w:val="18"/>
              </w:rPr>
              <w:t>74</w:t>
            </w:r>
          </w:p>
        </w:tc>
      </w:tr>
      <w:tr w:rsidR="00AE1E5C" w:rsidRPr="008E5BF0" w14:paraId="25412388" w14:textId="77777777" w:rsidTr="004203CD">
        <w:tc>
          <w:tcPr>
            <w:tcW w:w="3572" w:type="dxa"/>
            <w:vAlign w:val="bottom"/>
          </w:tcPr>
          <w:p w14:paraId="45A9632D" w14:textId="77777777" w:rsidR="00AE1E5C" w:rsidRPr="00274099" w:rsidRDefault="00AE1E5C" w:rsidP="004203CD">
            <w:pPr>
              <w:pStyle w:val="Tabletext"/>
              <w:rPr>
                <w:rFonts w:ascii="IBM Plex Sans Light" w:hAnsi="IBM Plex Sans Light"/>
                <w:sz w:val="18"/>
                <w:szCs w:val="24"/>
              </w:rPr>
            </w:pPr>
            <w:r w:rsidRPr="00274099">
              <w:rPr>
                <w:rFonts w:ascii="IBM Plex Sans Light" w:hAnsi="IBM Plex Sans Light"/>
                <w:sz w:val="18"/>
                <w:szCs w:val="24"/>
              </w:rPr>
              <w:t>Disposals</w:t>
            </w:r>
          </w:p>
        </w:tc>
        <w:tc>
          <w:tcPr>
            <w:tcW w:w="794" w:type="dxa"/>
            <w:vAlign w:val="bottom"/>
          </w:tcPr>
          <w:p w14:paraId="0E4E9C74"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vAlign w:val="bottom"/>
          </w:tcPr>
          <w:p w14:paraId="78D4BF37"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(151)</w:t>
            </w:r>
          </w:p>
        </w:tc>
        <w:tc>
          <w:tcPr>
            <w:tcW w:w="794" w:type="dxa"/>
            <w:vAlign w:val="bottom"/>
          </w:tcPr>
          <w:p w14:paraId="14B8A036"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left w:val="nil"/>
            </w:tcBorders>
            <w:shd w:val="clear" w:color="auto" w:fill="FFFFFF"/>
            <w:vAlign w:val="bottom"/>
          </w:tcPr>
          <w:p w14:paraId="09E6FB95"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(151)</w:t>
            </w:r>
          </w:p>
        </w:tc>
        <w:tc>
          <w:tcPr>
            <w:tcW w:w="794" w:type="dxa"/>
            <w:shd w:val="clear" w:color="auto" w:fill="FFFFFF"/>
            <w:vAlign w:val="bottom"/>
          </w:tcPr>
          <w:p w14:paraId="7D4E2CEF" w14:textId="77777777" w:rsidR="00AE1E5C" w:rsidRPr="00024B10" w:rsidRDefault="00AE1E5C">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(55)</w:t>
            </w:r>
          </w:p>
        </w:tc>
        <w:tc>
          <w:tcPr>
            <w:tcW w:w="794" w:type="dxa"/>
            <w:tcBorders>
              <w:left w:val="nil"/>
            </w:tcBorders>
            <w:shd w:val="clear" w:color="auto" w:fill="FFFFFF"/>
            <w:vAlign w:val="bottom"/>
          </w:tcPr>
          <w:p w14:paraId="3B1EDAAA" w14:textId="77777777" w:rsidR="00AE1E5C" w:rsidRPr="00024B10" w:rsidRDefault="00AE1E5C">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(206)</w:t>
            </w:r>
          </w:p>
        </w:tc>
        <w:tc>
          <w:tcPr>
            <w:tcW w:w="794" w:type="dxa"/>
            <w:shd w:val="clear" w:color="auto" w:fill="FFFFFF"/>
            <w:vAlign w:val="bottom"/>
          </w:tcPr>
          <w:p w14:paraId="29B77FC1" w14:textId="77777777" w:rsidR="00AE1E5C" w:rsidRPr="00024B10" w:rsidRDefault="00AE1E5C" w:rsidP="004203CD">
            <w:pPr>
              <w:pStyle w:val="Tabletext"/>
              <w:jc w:val="right"/>
              <w:rPr>
                <w:rFonts w:ascii="IBM Plex Sans Light" w:hAnsi="IBM Plex Sans Light"/>
                <w:bCs/>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left w:val="nil"/>
            </w:tcBorders>
            <w:shd w:val="clear" w:color="auto" w:fill="FFFFFF"/>
            <w:vAlign w:val="bottom"/>
          </w:tcPr>
          <w:p w14:paraId="7FACDA56" w14:textId="77777777" w:rsidR="00AE1E5C" w:rsidRPr="00024B10" w:rsidRDefault="00AE1E5C" w:rsidP="00024B10">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(206)</w:t>
            </w:r>
          </w:p>
        </w:tc>
      </w:tr>
      <w:tr w:rsidR="00AE1E5C" w:rsidRPr="008E5BF0" w14:paraId="12F1763A" w14:textId="77777777" w:rsidTr="00024B10">
        <w:tc>
          <w:tcPr>
            <w:tcW w:w="3572" w:type="dxa"/>
            <w:tcBorders>
              <w:bottom w:val="single" w:sz="2" w:space="0" w:color="3D7FE0" w:themeColor="accent1"/>
            </w:tcBorders>
            <w:vAlign w:val="bottom"/>
          </w:tcPr>
          <w:p w14:paraId="4EFCEFD9" w14:textId="77777777" w:rsidR="00AE1E5C" w:rsidRPr="00274099" w:rsidRDefault="00AE1E5C" w:rsidP="004203CD">
            <w:pPr>
              <w:pStyle w:val="Tabletext"/>
              <w:rPr>
                <w:rFonts w:ascii="IBM Plex Sans Light" w:hAnsi="IBM Plex Sans Light"/>
                <w:sz w:val="18"/>
                <w:szCs w:val="24"/>
              </w:rPr>
            </w:pPr>
            <w:r w:rsidRPr="00274099">
              <w:rPr>
                <w:rFonts w:ascii="IBM Plex Sans Light" w:hAnsi="IBM Plex Sans Light"/>
                <w:sz w:val="18"/>
                <w:szCs w:val="24"/>
              </w:rPr>
              <w:t>Derecognition of Highcross and O’Parinor</w:t>
            </w:r>
          </w:p>
        </w:tc>
        <w:tc>
          <w:tcPr>
            <w:tcW w:w="794" w:type="dxa"/>
            <w:tcBorders>
              <w:bottom w:val="single" w:sz="2" w:space="0" w:color="3D7FE0" w:themeColor="accent1"/>
            </w:tcBorders>
            <w:vAlign w:val="bottom"/>
          </w:tcPr>
          <w:p w14:paraId="588A30B2"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bottom w:val="single" w:sz="2" w:space="0" w:color="3D7FE0" w:themeColor="accent1"/>
            </w:tcBorders>
            <w:vAlign w:val="bottom"/>
          </w:tcPr>
          <w:p w14:paraId="487B06D6"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(62)</w:t>
            </w:r>
          </w:p>
        </w:tc>
        <w:tc>
          <w:tcPr>
            <w:tcW w:w="794" w:type="dxa"/>
            <w:tcBorders>
              <w:bottom w:val="single" w:sz="2" w:space="0" w:color="3D7FE0" w:themeColor="accent1"/>
            </w:tcBorders>
            <w:vAlign w:val="bottom"/>
          </w:tcPr>
          <w:p w14:paraId="32C22858"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left w:val="nil"/>
              <w:bottom w:val="single" w:sz="2" w:space="0" w:color="3D7FE0" w:themeColor="accent1"/>
            </w:tcBorders>
            <w:shd w:val="clear" w:color="auto" w:fill="FFFFFF"/>
            <w:vAlign w:val="bottom"/>
          </w:tcPr>
          <w:p w14:paraId="5D928152"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(62)</w:t>
            </w:r>
          </w:p>
        </w:tc>
        <w:tc>
          <w:tcPr>
            <w:tcW w:w="794" w:type="dxa"/>
            <w:tcBorders>
              <w:bottom w:val="single" w:sz="2" w:space="0" w:color="3D7FE0" w:themeColor="accent1"/>
            </w:tcBorders>
            <w:shd w:val="clear" w:color="auto" w:fill="FFFFFF"/>
            <w:vAlign w:val="bottom"/>
          </w:tcPr>
          <w:p w14:paraId="58782052" w14:textId="77777777" w:rsidR="00AE1E5C" w:rsidRPr="00024B10" w:rsidRDefault="00AE1E5C">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(63)</w:t>
            </w:r>
          </w:p>
        </w:tc>
        <w:tc>
          <w:tcPr>
            <w:tcW w:w="794" w:type="dxa"/>
            <w:tcBorders>
              <w:left w:val="nil"/>
              <w:bottom w:val="single" w:sz="2" w:space="0" w:color="3D7FE0" w:themeColor="accent1"/>
            </w:tcBorders>
            <w:shd w:val="clear" w:color="auto" w:fill="FFFFFF"/>
            <w:vAlign w:val="bottom"/>
          </w:tcPr>
          <w:p w14:paraId="137CDB75" w14:textId="77777777" w:rsidR="00AE1E5C" w:rsidRPr="00024B10" w:rsidRDefault="00AE1E5C">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(125)</w:t>
            </w:r>
          </w:p>
        </w:tc>
        <w:tc>
          <w:tcPr>
            <w:tcW w:w="794" w:type="dxa"/>
            <w:tcBorders>
              <w:bottom w:val="single" w:sz="2" w:space="0" w:color="3D7FE0" w:themeColor="accent1"/>
            </w:tcBorders>
            <w:shd w:val="clear" w:color="auto" w:fill="FFFFFF"/>
            <w:vAlign w:val="bottom"/>
          </w:tcPr>
          <w:p w14:paraId="37FBE009" w14:textId="77777777" w:rsidR="00AE1E5C" w:rsidRPr="00024B10" w:rsidRDefault="00AE1E5C" w:rsidP="004203CD">
            <w:pPr>
              <w:pStyle w:val="Tabletext"/>
              <w:jc w:val="right"/>
              <w:rPr>
                <w:rFonts w:ascii="IBM Plex Sans Light" w:hAnsi="IBM Plex Sans Light"/>
                <w:bCs/>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left w:val="nil"/>
              <w:bottom w:val="single" w:sz="2" w:space="0" w:color="3D7FE0" w:themeColor="accent1"/>
            </w:tcBorders>
            <w:shd w:val="clear" w:color="auto" w:fill="FFFFFF"/>
            <w:vAlign w:val="bottom"/>
          </w:tcPr>
          <w:p w14:paraId="54CE8C84" w14:textId="77777777" w:rsidR="00AE1E5C" w:rsidRPr="00024B10" w:rsidRDefault="00AE1E5C" w:rsidP="00024B10">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(125)</w:t>
            </w:r>
          </w:p>
        </w:tc>
      </w:tr>
      <w:tr w:rsidR="00AE1E5C" w:rsidRPr="008E5BF0" w14:paraId="325D767B" w14:textId="77777777" w:rsidTr="00024B10">
        <w:tc>
          <w:tcPr>
            <w:tcW w:w="3572" w:type="dxa"/>
            <w:tcBorders>
              <w:top w:val="single" w:sz="2" w:space="0" w:color="3D7FE0" w:themeColor="accent1"/>
              <w:left w:val="single" w:sz="2" w:space="0" w:color="3D7FE0" w:themeColor="accent1"/>
            </w:tcBorders>
            <w:vAlign w:val="bottom"/>
          </w:tcPr>
          <w:p w14:paraId="5451537B" w14:textId="77777777" w:rsidR="00AE1E5C" w:rsidRPr="00274099" w:rsidRDefault="00AE1E5C" w:rsidP="00024B10">
            <w:pPr>
              <w:pStyle w:val="Tabletext"/>
              <w:ind w:left="142" w:firstLine="142"/>
              <w:rPr>
                <w:rFonts w:ascii="IBM Plex Sans Light" w:hAnsi="IBM Plex Sans Light"/>
                <w:sz w:val="18"/>
                <w:szCs w:val="24"/>
              </w:rPr>
            </w:pPr>
            <w:r w:rsidRPr="00274099">
              <w:rPr>
                <w:rFonts w:ascii="IBM Plex Sans Light" w:hAnsi="IBM Plex Sans Light"/>
                <w:sz w:val="18"/>
                <w:szCs w:val="24"/>
              </w:rPr>
              <w:t>Yield</w:t>
            </w:r>
          </w:p>
        </w:tc>
        <w:tc>
          <w:tcPr>
            <w:tcW w:w="794" w:type="dxa"/>
            <w:tcBorders>
              <w:top w:val="single" w:sz="2" w:space="0" w:color="3D7FE0" w:themeColor="accent1"/>
            </w:tcBorders>
            <w:vAlign w:val="bottom"/>
          </w:tcPr>
          <w:p w14:paraId="4EFC694E"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(17)</w:t>
            </w:r>
          </w:p>
        </w:tc>
        <w:tc>
          <w:tcPr>
            <w:tcW w:w="794" w:type="dxa"/>
            <w:tcBorders>
              <w:top w:val="single" w:sz="2" w:space="0" w:color="3D7FE0" w:themeColor="accent1"/>
            </w:tcBorders>
            <w:vAlign w:val="bottom"/>
          </w:tcPr>
          <w:p w14:paraId="4460A416"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(27)</w:t>
            </w:r>
          </w:p>
        </w:tc>
        <w:tc>
          <w:tcPr>
            <w:tcW w:w="794" w:type="dxa"/>
            <w:tcBorders>
              <w:top w:val="single" w:sz="2" w:space="0" w:color="3D7FE0" w:themeColor="accent1"/>
            </w:tcBorders>
            <w:vAlign w:val="bottom"/>
          </w:tcPr>
          <w:p w14:paraId="4A83B629"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(36)</w:t>
            </w:r>
          </w:p>
        </w:tc>
        <w:tc>
          <w:tcPr>
            <w:tcW w:w="794" w:type="dxa"/>
            <w:tcBorders>
              <w:top w:val="single" w:sz="2" w:space="0" w:color="3D7FE0" w:themeColor="accent1"/>
              <w:left w:val="nil"/>
            </w:tcBorders>
            <w:shd w:val="clear" w:color="auto" w:fill="FFFFFF"/>
            <w:vAlign w:val="bottom"/>
          </w:tcPr>
          <w:p w14:paraId="39F01863" w14:textId="77777777" w:rsidR="00AE1E5C" w:rsidRPr="00024B10" w:rsidRDefault="00AE1E5C">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(80)</w:t>
            </w:r>
          </w:p>
        </w:tc>
        <w:tc>
          <w:tcPr>
            <w:tcW w:w="794" w:type="dxa"/>
            <w:tcBorders>
              <w:top w:val="single" w:sz="2" w:space="0" w:color="3D7FE0" w:themeColor="accent1"/>
            </w:tcBorders>
            <w:shd w:val="clear" w:color="auto" w:fill="FFFFFF"/>
            <w:vAlign w:val="bottom"/>
          </w:tcPr>
          <w:p w14:paraId="4AE47178" w14:textId="77777777" w:rsidR="00AE1E5C" w:rsidRPr="00024B10" w:rsidRDefault="00AE1E5C">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(1)</w:t>
            </w:r>
          </w:p>
        </w:tc>
        <w:tc>
          <w:tcPr>
            <w:tcW w:w="794" w:type="dxa"/>
            <w:tcBorders>
              <w:top w:val="single" w:sz="2" w:space="0" w:color="3D7FE0" w:themeColor="accent1"/>
              <w:left w:val="nil"/>
            </w:tcBorders>
            <w:shd w:val="clear" w:color="auto" w:fill="FFFFFF"/>
            <w:vAlign w:val="bottom"/>
          </w:tcPr>
          <w:p w14:paraId="38E1EAD3" w14:textId="77777777" w:rsidR="00AE1E5C" w:rsidRPr="00024B10" w:rsidRDefault="00AE1E5C">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(81)</w:t>
            </w:r>
          </w:p>
        </w:tc>
        <w:tc>
          <w:tcPr>
            <w:tcW w:w="794" w:type="dxa"/>
            <w:tcBorders>
              <w:top w:val="single" w:sz="2" w:space="0" w:color="3D7FE0" w:themeColor="accent1"/>
            </w:tcBorders>
            <w:shd w:val="clear" w:color="auto" w:fill="FFFFFF"/>
            <w:vAlign w:val="bottom"/>
          </w:tcPr>
          <w:p w14:paraId="4DFA7F83"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top w:val="single" w:sz="2" w:space="0" w:color="3D7FE0" w:themeColor="accent1"/>
              <w:left w:val="nil"/>
              <w:right w:val="single" w:sz="2" w:space="0" w:color="3D7FE0" w:themeColor="accent1"/>
            </w:tcBorders>
            <w:shd w:val="clear" w:color="auto" w:fill="FFFFFF"/>
            <w:vAlign w:val="bottom"/>
          </w:tcPr>
          <w:p w14:paraId="1DFA9CC8" w14:textId="77777777" w:rsidR="00AE1E5C" w:rsidRPr="00024B10" w:rsidRDefault="00AE1E5C" w:rsidP="00024B10">
            <w:pPr>
              <w:pStyle w:val="Tabletext"/>
              <w:jc w:val="right"/>
              <w:rPr>
                <w:rStyle w:val="BoldBlue"/>
                <w:rFonts w:cs="IBM Plex Sans"/>
                <w:bCs w:val="0"/>
                <w:color w:val="3D7FE0" w:themeColor="accent1"/>
              </w:rPr>
            </w:pPr>
            <w:r w:rsidRPr="00024B10">
              <w:rPr>
                <w:rStyle w:val="BoldBlue"/>
                <w:rFonts w:ascii="IBM Plex Sans Light" w:hAnsi="IBM Plex Sans Light" w:cs="IBM Plex Sans"/>
                <w:bCs w:val="0"/>
                <w:color w:val="3D7FE0" w:themeColor="accent1"/>
                <w:sz w:val="18"/>
                <w:szCs w:val="18"/>
              </w:rPr>
              <w:t>(81)</w:t>
            </w:r>
          </w:p>
        </w:tc>
      </w:tr>
      <w:tr w:rsidR="00AE1E5C" w:rsidRPr="008E5BF0" w14:paraId="46008645" w14:textId="77777777" w:rsidTr="00024B10">
        <w:tc>
          <w:tcPr>
            <w:tcW w:w="3572" w:type="dxa"/>
            <w:tcBorders>
              <w:left w:val="single" w:sz="2" w:space="0" w:color="3D7FE0" w:themeColor="accent1"/>
            </w:tcBorders>
            <w:vAlign w:val="bottom"/>
          </w:tcPr>
          <w:p w14:paraId="46970DA5" w14:textId="77777777" w:rsidR="00AE1E5C" w:rsidRPr="00274099" w:rsidRDefault="00AE1E5C" w:rsidP="00024B10">
            <w:pPr>
              <w:pStyle w:val="Tabletext"/>
              <w:ind w:left="142" w:firstLine="142"/>
              <w:rPr>
                <w:rFonts w:ascii="IBM Plex Sans Light" w:hAnsi="IBM Plex Sans Light"/>
                <w:sz w:val="18"/>
                <w:szCs w:val="24"/>
              </w:rPr>
            </w:pPr>
            <w:r w:rsidRPr="00274099">
              <w:rPr>
                <w:rFonts w:ascii="IBM Plex Sans Light" w:hAnsi="IBM Plex Sans Light"/>
                <w:sz w:val="18"/>
                <w:szCs w:val="24"/>
              </w:rPr>
              <w:t>Income</w:t>
            </w:r>
          </w:p>
        </w:tc>
        <w:tc>
          <w:tcPr>
            <w:tcW w:w="794" w:type="dxa"/>
            <w:vAlign w:val="bottom"/>
          </w:tcPr>
          <w:p w14:paraId="2BF35F4A"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w:t>
            </w:r>
          </w:p>
        </w:tc>
        <w:tc>
          <w:tcPr>
            <w:tcW w:w="794" w:type="dxa"/>
            <w:vAlign w:val="bottom"/>
          </w:tcPr>
          <w:p w14:paraId="329B6663"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12</w:t>
            </w:r>
          </w:p>
        </w:tc>
        <w:tc>
          <w:tcPr>
            <w:tcW w:w="794" w:type="dxa"/>
            <w:vAlign w:val="bottom"/>
          </w:tcPr>
          <w:p w14:paraId="0EB3A8E7"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w:t>
            </w:r>
          </w:p>
        </w:tc>
        <w:tc>
          <w:tcPr>
            <w:tcW w:w="794" w:type="dxa"/>
            <w:tcBorders>
              <w:left w:val="nil"/>
            </w:tcBorders>
            <w:shd w:val="clear" w:color="auto" w:fill="FFFFFF"/>
            <w:vAlign w:val="bottom"/>
          </w:tcPr>
          <w:p w14:paraId="1D635D98"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12</w:t>
            </w:r>
          </w:p>
        </w:tc>
        <w:tc>
          <w:tcPr>
            <w:tcW w:w="794" w:type="dxa"/>
            <w:shd w:val="clear" w:color="auto" w:fill="FFFFFF"/>
            <w:vAlign w:val="bottom"/>
          </w:tcPr>
          <w:p w14:paraId="080A4220"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(4)</w:t>
            </w:r>
          </w:p>
        </w:tc>
        <w:tc>
          <w:tcPr>
            <w:tcW w:w="794" w:type="dxa"/>
            <w:tcBorders>
              <w:left w:val="nil"/>
            </w:tcBorders>
            <w:shd w:val="clear" w:color="auto" w:fill="FFFFFF"/>
            <w:vAlign w:val="bottom"/>
          </w:tcPr>
          <w:p w14:paraId="0C97780E"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8</w:t>
            </w:r>
          </w:p>
        </w:tc>
        <w:tc>
          <w:tcPr>
            <w:tcW w:w="794" w:type="dxa"/>
            <w:shd w:val="clear" w:color="auto" w:fill="FFFFFF"/>
            <w:vAlign w:val="bottom"/>
          </w:tcPr>
          <w:p w14:paraId="29E56DEE"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(4)</w:t>
            </w:r>
          </w:p>
        </w:tc>
        <w:tc>
          <w:tcPr>
            <w:tcW w:w="794" w:type="dxa"/>
            <w:tcBorders>
              <w:left w:val="nil"/>
              <w:right w:val="single" w:sz="2" w:space="0" w:color="3D7FE0" w:themeColor="accent1"/>
            </w:tcBorders>
            <w:shd w:val="clear" w:color="auto" w:fill="FFFFFF"/>
            <w:vAlign w:val="bottom"/>
          </w:tcPr>
          <w:p w14:paraId="61B709D1" w14:textId="77777777" w:rsidR="00AE1E5C" w:rsidRPr="00024B10" w:rsidRDefault="00AE1E5C" w:rsidP="004203CD">
            <w:pPr>
              <w:pStyle w:val="TableFiguresBold"/>
              <w:rPr>
                <w:rFonts w:ascii="IBM Plex Sans Light" w:hAnsi="IBM Plex Sans Light"/>
                <w:bCs w:val="0"/>
                <w:color w:val="3D7FE0" w:themeColor="accent1"/>
                <w:sz w:val="18"/>
                <w:szCs w:val="18"/>
              </w:rPr>
            </w:pPr>
            <w:r w:rsidRPr="00024B10">
              <w:rPr>
                <w:rStyle w:val="BoldBlue"/>
                <w:rFonts w:ascii="IBM Plex Sans Light" w:hAnsi="IBM Plex Sans Light" w:cs="IBM Plex Sans"/>
                <w:b/>
                <w:color w:val="3D7FE0" w:themeColor="accent1"/>
                <w:sz w:val="18"/>
                <w:szCs w:val="18"/>
              </w:rPr>
              <w:t>4</w:t>
            </w:r>
          </w:p>
        </w:tc>
      </w:tr>
      <w:tr w:rsidR="00AE1E5C" w:rsidRPr="008E5BF0" w14:paraId="00CC5FFE" w14:textId="77777777" w:rsidTr="00024B10">
        <w:tc>
          <w:tcPr>
            <w:tcW w:w="3572" w:type="dxa"/>
            <w:tcBorders>
              <w:left w:val="single" w:sz="2" w:space="0" w:color="3D7FE0" w:themeColor="accent1"/>
              <w:bottom w:val="single" w:sz="2" w:space="0" w:color="3D7FE0" w:themeColor="accent1"/>
            </w:tcBorders>
            <w:vAlign w:val="bottom"/>
          </w:tcPr>
          <w:p w14:paraId="1D2BDBC3" w14:textId="77777777" w:rsidR="00AE1E5C" w:rsidRPr="00274099" w:rsidRDefault="00AE1E5C" w:rsidP="00024B10">
            <w:pPr>
              <w:pStyle w:val="Tabletext"/>
              <w:ind w:left="142" w:firstLine="142"/>
              <w:rPr>
                <w:rFonts w:ascii="IBM Plex Sans Light" w:hAnsi="IBM Plex Sans Light"/>
                <w:sz w:val="18"/>
                <w:szCs w:val="24"/>
              </w:rPr>
            </w:pPr>
            <w:r w:rsidRPr="00274099">
              <w:rPr>
                <w:rFonts w:ascii="IBM Plex Sans Light" w:hAnsi="IBM Plex Sans Light"/>
                <w:sz w:val="18"/>
                <w:szCs w:val="24"/>
              </w:rPr>
              <w:t>Development and other costs</w:t>
            </w:r>
          </w:p>
        </w:tc>
        <w:tc>
          <w:tcPr>
            <w:tcW w:w="794" w:type="dxa"/>
            <w:tcBorders>
              <w:bottom w:val="single" w:sz="2" w:space="0" w:color="3D7FE0" w:themeColor="accent1"/>
            </w:tcBorders>
            <w:vAlign w:val="bottom"/>
          </w:tcPr>
          <w:p w14:paraId="369A8163"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(6)</w:t>
            </w:r>
          </w:p>
        </w:tc>
        <w:tc>
          <w:tcPr>
            <w:tcW w:w="794" w:type="dxa"/>
            <w:tcBorders>
              <w:bottom w:val="single" w:sz="2" w:space="0" w:color="3D7FE0" w:themeColor="accent1"/>
            </w:tcBorders>
            <w:vAlign w:val="bottom"/>
          </w:tcPr>
          <w:p w14:paraId="6062799F"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bottom w:val="single" w:sz="2" w:space="0" w:color="3D7FE0" w:themeColor="accent1"/>
            </w:tcBorders>
            <w:vAlign w:val="bottom"/>
          </w:tcPr>
          <w:p w14:paraId="3CE0AD9E" w14:textId="77777777" w:rsidR="00AE1E5C" w:rsidRPr="00024B10" w:rsidRDefault="00AE1E5C" w:rsidP="004203C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left w:val="nil"/>
              <w:bottom w:val="single" w:sz="2" w:space="0" w:color="3D7FE0" w:themeColor="accent1"/>
            </w:tcBorders>
            <w:shd w:val="clear" w:color="auto" w:fill="FFFFFF"/>
            <w:vAlign w:val="bottom"/>
          </w:tcPr>
          <w:p w14:paraId="12714C9C"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(6)</w:t>
            </w:r>
          </w:p>
        </w:tc>
        <w:tc>
          <w:tcPr>
            <w:tcW w:w="794" w:type="dxa"/>
            <w:tcBorders>
              <w:bottom w:val="single" w:sz="2" w:space="0" w:color="3D7FE0" w:themeColor="accent1"/>
            </w:tcBorders>
            <w:shd w:val="clear" w:color="auto" w:fill="FFFFFF"/>
            <w:vAlign w:val="bottom"/>
          </w:tcPr>
          <w:p w14:paraId="1F94B7B8"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(40)</w:t>
            </w:r>
          </w:p>
        </w:tc>
        <w:tc>
          <w:tcPr>
            <w:tcW w:w="794" w:type="dxa"/>
            <w:tcBorders>
              <w:left w:val="nil"/>
              <w:bottom w:val="single" w:sz="2" w:space="0" w:color="3D7FE0" w:themeColor="accent1"/>
            </w:tcBorders>
            <w:shd w:val="clear" w:color="auto" w:fill="FFFFFF"/>
            <w:vAlign w:val="bottom"/>
          </w:tcPr>
          <w:p w14:paraId="2758C66B"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(46)</w:t>
            </w:r>
          </w:p>
        </w:tc>
        <w:tc>
          <w:tcPr>
            <w:tcW w:w="794" w:type="dxa"/>
            <w:tcBorders>
              <w:bottom w:val="single" w:sz="2" w:space="0" w:color="3D7FE0" w:themeColor="accent1"/>
            </w:tcBorders>
            <w:shd w:val="clear" w:color="auto" w:fill="FFFFFF"/>
            <w:vAlign w:val="bottom"/>
          </w:tcPr>
          <w:p w14:paraId="13C0AFAB"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(4)</w:t>
            </w:r>
          </w:p>
        </w:tc>
        <w:tc>
          <w:tcPr>
            <w:tcW w:w="794" w:type="dxa"/>
            <w:tcBorders>
              <w:left w:val="nil"/>
              <w:bottom w:val="single" w:sz="2" w:space="0" w:color="3D7FE0" w:themeColor="accent1"/>
              <w:right w:val="single" w:sz="2" w:space="0" w:color="3D7FE0" w:themeColor="accent1"/>
            </w:tcBorders>
            <w:shd w:val="clear" w:color="auto" w:fill="FFFFFF"/>
            <w:vAlign w:val="bottom"/>
          </w:tcPr>
          <w:p w14:paraId="622000D2"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(50)</w:t>
            </w:r>
          </w:p>
        </w:tc>
      </w:tr>
      <w:tr w:rsidR="00AE1E5C" w:rsidRPr="008E5BF0" w14:paraId="255AB52A" w14:textId="77777777" w:rsidTr="00024B10">
        <w:tc>
          <w:tcPr>
            <w:tcW w:w="3572" w:type="dxa"/>
            <w:tcBorders>
              <w:top w:val="single" w:sz="2" w:space="0" w:color="3D7FE0" w:themeColor="accent1"/>
            </w:tcBorders>
            <w:vAlign w:val="bottom"/>
          </w:tcPr>
          <w:p w14:paraId="3B8B55BC" w14:textId="77777777" w:rsidR="00AE1E5C" w:rsidRPr="00274099" w:rsidRDefault="00AE1E5C" w:rsidP="004203CD">
            <w:pPr>
              <w:pStyle w:val="Tabletext"/>
              <w:rPr>
                <w:rFonts w:ascii="IBM Plex Sans Light" w:hAnsi="IBM Plex Sans Light"/>
                <w:sz w:val="18"/>
                <w:szCs w:val="24"/>
              </w:rPr>
            </w:pPr>
            <w:r w:rsidRPr="00274099">
              <w:rPr>
                <w:rFonts w:ascii="IBM Plex Sans Light" w:hAnsi="IBM Plex Sans Light"/>
                <w:sz w:val="18"/>
                <w:szCs w:val="24"/>
              </w:rPr>
              <w:t xml:space="preserve">Revaluation losses </w:t>
            </w:r>
          </w:p>
        </w:tc>
        <w:tc>
          <w:tcPr>
            <w:tcW w:w="794" w:type="dxa"/>
            <w:tcBorders>
              <w:top w:val="single" w:sz="2" w:space="0" w:color="3D7FE0" w:themeColor="accent1"/>
            </w:tcBorders>
            <w:vAlign w:val="bottom"/>
          </w:tcPr>
          <w:p w14:paraId="6B64EB8E"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(22)</w:t>
            </w:r>
          </w:p>
        </w:tc>
        <w:tc>
          <w:tcPr>
            <w:tcW w:w="794" w:type="dxa"/>
            <w:tcBorders>
              <w:top w:val="single" w:sz="2" w:space="0" w:color="3D7FE0" w:themeColor="accent1"/>
            </w:tcBorders>
            <w:vAlign w:val="bottom"/>
          </w:tcPr>
          <w:p w14:paraId="19AD9F39"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(15)</w:t>
            </w:r>
          </w:p>
        </w:tc>
        <w:tc>
          <w:tcPr>
            <w:tcW w:w="794" w:type="dxa"/>
            <w:tcBorders>
              <w:top w:val="single" w:sz="2" w:space="0" w:color="3D7FE0" w:themeColor="accent1"/>
            </w:tcBorders>
            <w:vAlign w:val="bottom"/>
          </w:tcPr>
          <w:p w14:paraId="34C21244"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(37)</w:t>
            </w:r>
          </w:p>
        </w:tc>
        <w:tc>
          <w:tcPr>
            <w:tcW w:w="794" w:type="dxa"/>
            <w:tcBorders>
              <w:top w:val="single" w:sz="2" w:space="0" w:color="3D7FE0" w:themeColor="accent1"/>
              <w:left w:val="nil"/>
            </w:tcBorders>
            <w:shd w:val="clear" w:color="auto" w:fill="FFFFFF"/>
            <w:vAlign w:val="bottom"/>
          </w:tcPr>
          <w:p w14:paraId="14439C43"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(74)</w:t>
            </w:r>
          </w:p>
        </w:tc>
        <w:tc>
          <w:tcPr>
            <w:tcW w:w="794" w:type="dxa"/>
            <w:tcBorders>
              <w:top w:val="single" w:sz="2" w:space="0" w:color="3D7FE0" w:themeColor="accent1"/>
            </w:tcBorders>
            <w:shd w:val="clear" w:color="auto" w:fill="FFFFFF"/>
            <w:vAlign w:val="bottom"/>
          </w:tcPr>
          <w:p w14:paraId="00CE7CDA"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(45)</w:t>
            </w:r>
          </w:p>
        </w:tc>
        <w:tc>
          <w:tcPr>
            <w:tcW w:w="794" w:type="dxa"/>
            <w:tcBorders>
              <w:top w:val="single" w:sz="2" w:space="0" w:color="3D7FE0" w:themeColor="accent1"/>
              <w:left w:val="nil"/>
            </w:tcBorders>
            <w:shd w:val="clear" w:color="auto" w:fill="FFFFFF"/>
            <w:vAlign w:val="bottom"/>
          </w:tcPr>
          <w:p w14:paraId="0C9867C1"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(119)</w:t>
            </w:r>
          </w:p>
        </w:tc>
        <w:tc>
          <w:tcPr>
            <w:tcW w:w="794" w:type="dxa"/>
            <w:tcBorders>
              <w:top w:val="single" w:sz="2" w:space="0" w:color="3D7FE0" w:themeColor="accent1"/>
            </w:tcBorders>
            <w:shd w:val="clear" w:color="auto" w:fill="FFFFFF"/>
            <w:vAlign w:val="bottom"/>
          </w:tcPr>
          <w:p w14:paraId="4DD0FF33"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(8)</w:t>
            </w:r>
          </w:p>
        </w:tc>
        <w:tc>
          <w:tcPr>
            <w:tcW w:w="794" w:type="dxa"/>
            <w:tcBorders>
              <w:top w:val="single" w:sz="2" w:space="0" w:color="3D7FE0" w:themeColor="accent1"/>
              <w:left w:val="nil"/>
            </w:tcBorders>
            <w:shd w:val="clear" w:color="auto" w:fill="FFFFFF"/>
            <w:vAlign w:val="bottom"/>
          </w:tcPr>
          <w:p w14:paraId="65DB33AF"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(127)</w:t>
            </w:r>
          </w:p>
        </w:tc>
      </w:tr>
      <w:tr w:rsidR="00AE1E5C" w:rsidRPr="008E5BF0" w14:paraId="4EEA5D81" w14:textId="77777777" w:rsidTr="004203CD">
        <w:tc>
          <w:tcPr>
            <w:tcW w:w="3572" w:type="dxa"/>
            <w:tcBorders>
              <w:bottom w:val="single" w:sz="2" w:space="0" w:color="3D7FE0" w:themeColor="accent1"/>
            </w:tcBorders>
            <w:vAlign w:val="bottom"/>
          </w:tcPr>
          <w:p w14:paraId="23E4D803" w14:textId="77777777" w:rsidR="00AE1E5C" w:rsidRPr="00274099" w:rsidRDefault="00AE1E5C" w:rsidP="004203CD">
            <w:pPr>
              <w:pStyle w:val="Tabletext"/>
              <w:rPr>
                <w:rFonts w:ascii="IBM Plex Sans Light" w:hAnsi="IBM Plex Sans Light"/>
                <w:sz w:val="18"/>
                <w:szCs w:val="24"/>
              </w:rPr>
            </w:pPr>
            <w:r w:rsidRPr="00274099">
              <w:rPr>
                <w:rFonts w:ascii="IBM Plex Sans Light" w:hAnsi="IBM Plex Sans Light"/>
                <w:sz w:val="18"/>
                <w:szCs w:val="24"/>
              </w:rPr>
              <w:t>Foreign exchange</w:t>
            </w:r>
          </w:p>
        </w:tc>
        <w:tc>
          <w:tcPr>
            <w:tcW w:w="794" w:type="dxa"/>
            <w:tcBorders>
              <w:bottom w:val="single" w:sz="2" w:space="0" w:color="3D7FE0" w:themeColor="accent1"/>
            </w:tcBorders>
            <w:vAlign w:val="bottom"/>
          </w:tcPr>
          <w:p w14:paraId="1D3FB712" w14:textId="77777777" w:rsidR="00AE1E5C" w:rsidRPr="00024B10" w:rsidRDefault="00AE1E5C" w:rsidP="00F66A6D">
            <w:pPr>
              <w:pStyle w:val="Tabletext"/>
              <w:jc w:val="right"/>
              <w:rPr>
                <w:rStyle w:val="BoldBlue"/>
                <w:rFonts w:ascii="IBM Plex Sans Light" w:hAnsi="IBM Plex Sans Light" w:cs="IBM Plex Sans"/>
                <w:bCs w:val="0"/>
                <w:color w:val="3D7FE0" w:themeColor="accent1"/>
                <w:sz w:val="18"/>
                <w:szCs w:val="18"/>
              </w:rPr>
            </w:pPr>
            <w:r w:rsidRPr="00024B10">
              <w:rPr>
                <w:rStyle w:val="BoldBlue"/>
                <w:rFonts w:ascii="IBM Plex Sans Light" w:hAnsi="IBM Plex Sans Light" w:cs="IBM Plex Sans"/>
                <w:bCs w:val="0"/>
                <w:color w:val="3D7FE0" w:themeColor="accent1"/>
                <w:sz w:val="18"/>
                <w:szCs w:val="18"/>
              </w:rPr>
              <w:t>–</w:t>
            </w:r>
          </w:p>
        </w:tc>
        <w:tc>
          <w:tcPr>
            <w:tcW w:w="794" w:type="dxa"/>
            <w:tcBorders>
              <w:bottom w:val="single" w:sz="2" w:space="0" w:color="3D7FE0" w:themeColor="accent1"/>
            </w:tcBorders>
            <w:vAlign w:val="bottom"/>
          </w:tcPr>
          <w:p w14:paraId="305EE80F"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(24)</w:t>
            </w:r>
          </w:p>
        </w:tc>
        <w:tc>
          <w:tcPr>
            <w:tcW w:w="794" w:type="dxa"/>
            <w:tcBorders>
              <w:bottom w:val="single" w:sz="2" w:space="0" w:color="3D7FE0" w:themeColor="accent1"/>
            </w:tcBorders>
            <w:vAlign w:val="bottom"/>
          </w:tcPr>
          <w:p w14:paraId="43F95BF8"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(15)</w:t>
            </w:r>
          </w:p>
        </w:tc>
        <w:tc>
          <w:tcPr>
            <w:tcW w:w="794" w:type="dxa"/>
            <w:tcBorders>
              <w:left w:val="nil"/>
              <w:bottom w:val="single" w:sz="2" w:space="0" w:color="3D7FE0" w:themeColor="accent1"/>
            </w:tcBorders>
            <w:shd w:val="clear" w:color="auto" w:fill="FFFFFF"/>
            <w:vAlign w:val="bottom"/>
          </w:tcPr>
          <w:p w14:paraId="504A0EBC"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(39)</w:t>
            </w:r>
          </w:p>
        </w:tc>
        <w:tc>
          <w:tcPr>
            <w:tcW w:w="794" w:type="dxa"/>
            <w:tcBorders>
              <w:bottom w:val="single" w:sz="2" w:space="0" w:color="3D7FE0" w:themeColor="accent1"/>
            </w:tcBorders>
            <w:shd w:val="clear" w:color="auto" w:fill="FFFFFF"/>
            <w:vAlign w:val="bottom"/>
          </w:tcPr>
          <w:p w14:paraId="442433BD"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(2)</w:t>
            </w:r>
          </w:p>
        </w:tc>
        <w:tc>
          <w:tcPr>
            <w:tcW w:w="794" w:type="dxa"/>
            <w:tcBorders>
              <w:left w:val="nil"/>
              <w:bottom w:val="single" w:sz="2" w:space="0" w:color="3D7FE0" w:themeColor="accent1"/>
            </w:tcBorders>
            <w:shd w:val="clear" w:color="auto" w:fill="FFFFFF"/>
            <w:vAlign w:val="bottom"/>
          </w:tcPr>
          <w:p w14:paraId="3BE1B3A6"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(41)</w:t>
            </w:r>
          </w:p>
        </w:tc>
        <w:tc>
          <w:tcPr>
            <w:tcW w:w="794" w:type="dxa"/>
            <w:tcBorders>
              <w:bottom w:val="single" w:sz="2" w:space="0" w:color="3D7FE0" w:themeColor="accent1"/>
            </w:tcBorders>
            <w:shd w:val="clear" w:color="auto" w:fill="FFFFFF"/>
            <w:vAlign w:val="bottom"/>
          </w:tcPr>
          <w:p w14:paraId="5CB5C6E9"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(20)</w:t>
            </w:r>
          </w:p>
        </w:tc>
        <w:tc>
          <w:tcPr>
            <w:tcW w:w="794" w:type="dxa"/>
            <w:tcBorders>
              <w:left w:val="nil"/>
              <w:bottom w:val="single" w:sz="2" w:space="0" w:color="3D7FE0" w:themeColor="accent1"/>
            </w:tcBorders>
            <w:shd w:val="clear" w:color="auto" w:fill="FFFFFF"/>
            <w:vAlign w:val="bottom"/>
          </w:tcPr>
          <w:p w14:paraId="449CD028" w14:textId="77777777" w:rsidR="00AE1E5C" w:rsidRPr="00024B10" w:rsidRDefault="00AE1E5C" w:rsidP="00024B10">
            <w:pPr>
              <w:pStyle w:val="TableFiguresBrackets"/>
              <w:rPr>
                <w:rFonts w:ascii="IBM Plex Sans Light" w:hAnsi="IBM Plex Sans Light"/>
                <w:b/>
                <w:color w:val="3D7FE0" w:themeColor="accent1"/>
                <w:spacing w:val="-4"/>
                <w:sz w:val="18"/>
                <w:szCs w:val="18"/>
              </w:rPr>
            </w:pPr>
            <w:r w:rsidRPr="00024B10">
              <w:rPr>
                <w:rFonts w:ascii="IBM Plex Sans Light" w:hAnsi="IBM Plex Sans Light"/>
                <w:b/>
                <w:color w:val="3D7FE0" w:themeColor="accent1"/>
                <w:spacing w:val="-4"/>
                <w:sz w:val="18"/>
                <w:szCs w:val="18"/>
              </w:rPr>
              <w:t>(61)</w:t>
            </w:r>
          </w:p>
        </w:tc>
      </w:tr>
      <w:tr w:rsidR="00AE1E5C" w:rsidRPr="008E5BF0" w14:paraId="692CDCE9" w14:textId="77777777" w:rsidTr="004203CD">
        <w:tc>
          <w:tcPr>
            <w:tcW w:w="3572" w:type="dxa"/>
            <w:tcBorders>
              <w:top w:val="single" w:sz="2" w:space="0" w:color="3D7FE0" w:themeColor="accent1"/>
              <w:bottom w:val="single" w:sz="8" w:space="0" w:color="3D7FE0" w:themeColor="accent1"/>
            </w:tcBorders>
            <w:vAlign w:val="bottom"/>
          </w:tcPr>
          <w:p w14:paraId="101208F0" w14:textId="77777777" w:rsidR="00AE1E5C" w:rsidRPr="00274099" w:rsidRDefault="00AE1E5C" w:rsidP="004203CD">
            <w:pPr>
              <w:pStyle w:val="Tabletext"/>
              <w:rPr>
                <w:rFonts w:ascii="IBM Plex Sans Light" w:hAnsi="IBM Plex Sans Light"/>
                <w:color w:val="3D7FE0" w:themeColor="accent1"/>
                <w:sz w:val="18"/>
                <w:szCs w:val="24"/>
              </w:rPr>
            </w:pPr>
            <w:r w:rsidRPr="00274099">
              <w:rPr>
                <w:rStyle w:val="Bold"/>
                <w:rFonts w:ascii="IBM Plex Sans Light" w:hAnsi="IBM Plex Sans Light" w:cs="IBM Plex Sans"/>
                <w:bCs/>
                <w:color w:val="3D7FE0" w:themeColor="accent1"/>
                <w:sz w:val="18"/>
                <w:szCs w:val="24"/>
              </w:rPr>
              <w:t>At 31 December 2023</w:t>
            </w:r>
          </w:p>
        </w:tc>
        <w:tc>
          <w:tcPr>
            <w:tcW w:w="794" w:type="dxa"/>
            <w:tcBorders>
              <w:top w:val="single" w:sz="2" w:space="0" w:color="3D7FE0" w:themeColor="accent1"/>
              <w:bottom w:val="single" w:sz="8" w:space="0" w:color="3D7FE0" w:themeColor="accent1"/>
            </w:tcBorders>
            <w:vAlign w:val="bottom"/>
          </w:tcPr>
          <w:p w14:paraId="1EEDA852"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024B10">
              <w:rPr>
                <w:rStyle w:val="BoldBlue"/>
                <w:rFonts w:ascii="IBM Plex Sans Light" w:hAnsi="IBM Plex Sans Light" w:cs="IBM Plex Sans"/>
                <w:bCs w:val="0"/>
                <w:color w:val="3D7FE0" w:themeColor="accent1"/>
                <w:sz w:val="18"/>
                <w:szCs w:val="18"/>
              </w:rPr>
              <w:t>863</w:t>
            </w:r>
          </w:p>
        </w:tc>
        <w:tc>
          <w:tcPr>
            <w:tcW w:w="794" w:type="dxa"/>
            <w:tcBorders>
              <w:top w:val="single" w:sz="2" w:space="0" w:color="3D7FE0" w:themeColor="accent1"/>
              <w:bottom w:val="single" w:sz="8" w:space="0" w:color="3D7FE0" w:themeColor="accent1"/>
            </w:tcBorders>
            <w:vAlign w:val="bottom"/>
          </w:tcPr>
          <w:p w14:paraId="1E5F100F"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024B10">
              <w:rPr>
                <w:rStyle w:val="BoldBlue"/>
                <w:rFonts w:ascii="IBM Plex Sans Light" w:hAnsi="IBM Plex Sans Light" w:cs="IBM Plex Sans"/>
                <w:bCs w:val="0"/>
                <w:color w:val="3D7FE0" w:themeColor="accent1"/>
                <w:sz w:val="18"/>
                <w:szCs w:val="18"/>
              </w:rPr>
              <w:t>1,003</w:t>
            </w:r>
          </w:p>
        </w:tc>
        <w:tc>
          <w:tcPr>
            <w:tcW w:w="794" w:type="dxa"/>
            <w:tcBorders>
              <w:top w:val="single" w:sz="2" w:space="0" w:color="3D7FE0" w:themeColor="accent1"/>
              <w:bottom w:val="single" w:sz="8" w:space="0" w:color="3D7FE0" w:themeColor="accent1"/>
            </w:tcBorders>
            <w:vAlign w:val="bottom"/>
          </w:tcPr>
          <w:p w14:paraId="3FF7C0C1" w14:textId="77777777" w:rsidR="00AE1E5C" w:rsidRPr="00024B10" w:rsidRDefault="00AE1E5C" w:rsidP="004203CD">
            <w:pPr>
              <w:pStyle w:val="Tabletext"/>
              <w:jc w:val="right"/>
              <w:rPr>
                <w:rFonts w:ascii="IBM Plex Sans Light" w:hAnsi="IBM Plex Sans Light"/>
                <w:b/>
                <w:color w:val="3D7FE0" w:themeColor="accent1"/>
                <w:spacing w:val="-4"/>
                <w:sz w:val="18"/>
                <w:szCs w:val="18"/>
              </w:rPr>
            </w:pPr>
            <w:r w:rsidRPr="00024B10">
              <w:rPr>
                <w:rStyle w:val="BoldBlue"/>
                <w:rFonts w:ascii="IBM Plex Sans Light" w:hAnsi="IBM Plex Sans Light" w:cs="IBM Plex Sans"/>
                <w:bCs w:val="0"/>
                <w:color w:val="3D7FE0" w:themeColor="accent1"/>
                <w:sz w:val="18"/>
                <w:szCs w:val="18"/>
              </w:rPr>
              <w:t>630</w:t>
            </w:r>
          </w:p>
        </w:tc>
        <w:tc>
          <w:tcPr>
            <w:tcW w:w="794" w:type="dxa"/>
            <w:tcBorders>
              <w:top w:val="single" w:sz="2" w:space="0" w:color="3D7FE0" w:themeColor="accent1"/>
              <w:left w:val="nil"/>
              <w:bottom w:val="single" w:sz="8" w:space="0" w:color="3D7FE0" w:themeColor="accent1"/>
            </w:tcBorders>
            <w:shd w:val="clear" w:color="auto" w:fill="FFFFFF"/>
            <w:vAlign w:val="bottom"/>
          </w:tcPr>
          <w:p w14:paraId="1EAA7386"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2,496</w:t>
            </w:r>
          </w:p>
        </w:tc>
        <w:tc>
          <w:tcPr>
            <w:tcW w:w="794" w:type="dxa"/>
            <w:tcBorders>
              <w:top w:val="single" w:sz="2" w:space="0" w:color="3D7FE0" w:themeColor="accent1"/>
              <w:bottom w:val="single" w:sz="8" w:space="0" w:color="3D7FE0" w:themeColor="accent1"/>
            </w:tcBorders>
            <w:shd w:val="clear" w:color="auto" w:fill="FFFFFF"/>
            <w:vAlign w:val="bottom"/>
          </w:tcPr>
          <w:p w14:paraId="0C1E9321"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280</w:t>
            </w:r>
          </w:p>
        </w:tc>
        <w:tc>
          <w:tcPr>
            <w:tcW w:w="794" w:type="dxa"/>
            <w:tcBorders>
              <w:top w:val="single" w:sz="2" w:space="0" w:color="3D7FE0" w:themeColor="accent1"/>
              <w:left w:val="nil"/>
              <w:bottom w:val="single" w:sz="8" w:space="0" w:color="3D7FE0" w:themeColor="accent1"/>
            </w:tcBorders>
            <w:shd w:val="clear" w:color="auto" w:fill="FFFFFF"/>
            <w:vAlign w:val="bottom"/>
          </w:tcPr>
          <w:p w14:paraId="0BFF1C5A"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2,776</w:t>
            </w:r>
          </w:p>
        </w:tc>
        <w:tc>
          <w:tcPr>
            <w:tcW w:w="794" w:type="dxa"/>
            <w:tcBorders>
              <w:top w:val="single" w:sz="2" w:space="0" w:color="3D7FE0" w:themeColor="accent1"/>
              <w:bottom w:val="single" w:sz="8" w:space="0" w:color="3D7FE0" w:themeColor="accent1"/>
            </w:tcBorders>
            <w:shd w:val="clear" w:color="auto" w:fill="FFFFFF"/>
            <w:vAlign w:val="bottom"/>
          </w:tcPr>
          <w:p w14:paraId="54EF677C" w14:textId="77777777" w:rsidR="00AE1E5C" w:rsidRPr="00024B10" w:rsidRDefault="00AE1E5C" w:rsidP="004203CD">
            <w:pPr>
              <w:pStyle w:val="Tabletext"/>
              <w:jc w:val="right"/>
              <w:rPr>
                <w:rFonts w:ascii="IBM Plex Sans Light" w:hAnsi="IBM Plex Sans Light"/>
                <w:b/>
                <w:color w:val="3D7FE0" w:themeColor="accent1"/>
                <w:sz w:val="18"/>
                <w:szCs w:val="18"/>
              </w:rPr>
            </w:pPr>
            <w:r w:rsidRPr="00024B10">
              <w:rPr>
                <w:rStyle w:val="BoldBlue"/>
                <w:rFonts w:ascii="IBM Plex Sans Light" w:hAnsi="IBM Plex Sans Light" w:cs="IBM Plex Sans"/>
                <w:bCs w:val="0"/>
                <w:color w:val="3D7FE0" w:themeColor="accent1"/>
                <w:sz w:val="18"/>
                <w:szCs w:val="18"/>
              </w:rPr>
              <w:t>1,886</w:t>
            </w:r>
          </w:p>
        </w:tc>
        <w:tc>
          <w:tcPr>
            <w:tcW w:w="794" w:type="dxa"/>
            <w:tcBorders>
              <w:top w:val="single" w:sz="2" w:space="0" w:color="3D7FE0" w:themeColor="accent1"/>
              <w:left w:val="nil"/>
              <w:bottom w:val="single" w:sz="8" w:space="0" w:color="3D7FE0" w:themeColor="accent1"/>
            </w:tcBorders>
            <w:shd w:val="clear" w:color="auto" w:fill="FFFFFF"/>
            <w:vAlign w:val="bottom"/>
          </w:tcPr>
          <w:p w14:paraId="7F61E220" w14:textId="77777777" w:rsidR="00AE1E5C" w:rsidRPr="00024B10" w:rsidRDefault="00AE1E5C" w:rsidP="004203CD">
            <w:pPr>
              <w:pStyle w:val="TableFiguresBold"/>
              <w:rPr>
                <w:rFonts w:ascii="IBM Plex Sans Light" w:hAnsi="IBM Plex Sans Light"/>
                <w:bCs w:val="0"/>
                <w:color w:val="3D7FE0" w:themeColor="accent1"/>
                <w:spacing w:val="-4"/>
                <w:sz w:val="18"/>
                <w:szCs w:val="18"/>
              </w:rPr>
            </w:pPr>
            <w:r w:rsidRPr="00024B10">
              <w:rPr>
                <w:rStyle w:val="BoldBlue"/>
                <w:rFonts w:ascii="IBM Plex Sans Light" w:hAnsi="IBM Plex Sans Light" w:cs="IBM Plex Sans"/>
                <w:b/>
                <w:color w:val="3D7FE0" w:themeColor="accent1"/>
                <w:sz w:val="18"/>
                <w:szCs w:val="18"/>
              </w:rPr>
              <w:t>4,662</w:t>
            </w:r>
          </w:p>
        </w:tc>
      </w:tr>
    </w:tbl>
    <w:p w14:paraId="7923B713" w14:textId="77777777" w:rsidR="00AE1E5C" w:rsidRDefault="00AE1E5C" w:rsidP="00AE1E5C">
      <w:pPr>
        <w:pStyle w:val="04BodyCopyFronttext9105"/>
      </w:pPr>
    </w:p>
    <w:p w14:paraId="6A334B56" w14:textId="77777777" w:rsidR="00AE1E5C" w:rsidRPr="00274099" w:rsidRDefault="00AE1E5C" w:rsidP="00AE1E5C">
      <w:pPr>
        <w:pStyle w:val="06SubHeading2Fronttext9105"/>
        <w:rPr>
          <w:color w:val="3D7FE0" w:themeColor="accent1"/>
        </w:rPr>
      </w:pPr>
      <w:r w:rsidRPr="00274099">
        <w:rPr>
          <w:color w:val="3D7FE0" w:themeColor="accent1"/>
        </w:rPr>
        <w:t>Capital expenditure</w:t>
      </w:r>
    </w:p>
    <w:p w14:paraId="4CDE10C3" w14:textId="77777777" w:rsidR="00AE1E5C" w:rsidRDefault="00AE1E5C" w:rsidP="00AE1E5C">
      <w:pPr>
        <w:pStyle w:val="04BodyCopyFronttext9105"/>
        <w:spacing w:before="120"/>
      </w:pPr>
      <w:r>
        <w:t>During the year, capital expenditure on the Managed portfolio was £47m, of which £34m was on the Group’s Flagship portfolio reflecting reconfiguration works, including the repurposing of the former Debenhams at Bullring where M&amp;S and TOCA Social opened in the year, and lease incentives directly related to the Group’s record leasing volume in 2023. In addition, £13m was invested in the Group’s Developments and other portfolio, with £5m spent on the on-site development of the Ironworks residential scheme at Dundrum. Other key areas of expenditure were to advance planning at Bishopsgate Goodsyard and Dublin Central. Table 11 of the Additional information analyses the spend between the creation of additional area and that relating to the enhancement of existing space.</w:t>
      </w:r>
    </w:p>
    <w:p w14:paraId="7E35DF9A" w14:textId="77777777" w:rsidR="00AE1E5C" w:rsidRDefault="00AE1E5C" w:rsidP="00AE1E5C">
      <w:pPr>
        <w:pStyle w:val="04BodyCopyFronttext9105"/>
        <w:spacing w:before="120"/>
      </w:pPr>
      <w:r>
        <w:t xml:space="preserve">Disposals, principally the Group’s share of Italie Deux (including the Italik extension) and Croydon in the first half of the year, reduced the portfolio by £206m, with a further £125m reduction due to the derecognition of Highcross and O’Parinor. </w:t>
      </w:r>
    </w:p>
    <w:p w14:paraId="73D0242F" w14:textId="77777777" w:rsidR="00AE1E5C" w:rsidRDefault="00AE1E5C" w:rsidP="00AE1E5C">
      <w:pPr>
        <w:pStyle w:val="04BodyCopyFronttext9105"/>
      </w:pPr>
    </w:p>
    <w:p w14:paraId="1309080D" w14:textId="77777777" w:rsidR="00AE1E5C" w:rsidRPr="00274099" w:rsidRDefault="00AE1E5C" w:rsidP="00AE1E5C">
      <w:pPr>
        <w:pStyle w:val="06SubHeading2Fronttext9105"/>
        <w:rPr>
          <w:color w:val="3D7FE0" w:themeColor="accent1"/>
        </w:rPr>
      </w:pPr>
      <w:r w:rsidRPr="00274099">
        <w:rPr>
          <w:color w:val="3D7FE0" w:themeColor="accent1"/>
        </w:rPr>
        <w:t>Revaluation losses</w:t>
      </w:r>
    </w:p>
    <w:p w14:paraId="5C86A0A1" w14:textId="77777777" w:rsidR="00AE1E5C" w:rsidRDefault="00AE1E5C" w:rsidP="00AE1E5C">
      <w:pPr>
        <w:pStyle w:val="04BodyCopyFronttext9105"/>
        <w:spacing w:before="120"/>
      </w:pPr>
      <w:r>
        <w:t>In 2023, we recognised a total revaluation loss across the Group portfolio of £127m, comprising £119m in respect of the Managed portfolio and £8m in Value Retail. £81m, or 64%, of these losses was due to the Group’s valuers moving out yields to reflect the higher interest rate environment and lower levels of market liquidity. The remainder of the losses related to development and other cost factors, principally adverse changes to residual valuations on the Developments and other portfolio associated with outward yield shift on end values and project cost inflation.</w:t>
      </w:r>
    </w:p>
    <w:p w14:paraId="33CD2C63" w14:textId="6F244391" w:rsidR="00AE1E5C" w:rsidRDefault="00AE1E5C" w:rsidP="00AE1E5C">
      <w:pPr>
        <w:pStyle w:val="04BodyCopyFronttext9105"/>
        <w:spacing w:before="120"/>
      </w:pPr>
      <w:r>
        <w:t>UK flagship destinations reported a revaluation deficit of £22m, £17m was due to outward yield shift averaging 10 basis points (‘bp</w:t>
      </w:r>
      <w:r w:rsidR="00B2340B">
        <w:t>s</w:t>
      </w:r>
      <w:r>
        <w:t xml:space="preserve">’), with the remaining £5m associated with capital expenditure, principally the recognition of a cladding allowance at Union Square. Bullring saw a revaluation gain in the year of £11m, the yield was stable reflecting the recent investment to repurpose the former Debenhams and the strong leasing performance leading to higher ERVs. </w:t>
      </w:r>
    </w:p>
    <w:p w14:paraId="612C9B05" w14:textId="77777777" w:rsidR="00AE1E5C" w:rsidRDefault="00AE1E5C" w:rsidP="00AE1E5C">
      <w:pPr>
        <w:pStyle w:val="04BodyCopyFronttext9105"/>
        <w:spacing w:before="120"/>
      </w:pPr>
      <w:r>
        <w:t>In France, yields moved out by 10bp equivalent to a revaluation deficit of £27m, this was partly offset by income growth, with like-for-like ERVs 2.5% higher, equivalent to a revaluation gain of £12m. While Ireland reported a revaluation deficit of £37m, of which £36m was due to outward yield shift averaging 30bp.</w:t>
      </w:r>
    </w:p>
    <w:p w14:paraId="0743EC7B" w14:textId="77777777" w:rsidR="00AE1E5C" w:rsidRDefault="00AE1E5C" w:rsidP="00AE1E5C">
      <w:pPr>
        <w:pStyle w:val="04BodyCopyFronttext9105"/>
      </w:pPr>
    </w:p>
    <w:p w14:paraId="53D3E01B" w14:textId="77777777" w:rsidR="00AE1E5C" w:rsidRDefault="00AE1E5C" w:rsidP="00AE1E5C">
      <w:pPr>
        <w:pStyle w:val="04BodyCopyFronttext9105"/>
      </w:pPr>
      <w:r>
        <w:t>Value Retail values were broadly flat during the year, with capital expenditure offset by a marginal revaluation loss of £8m and adverse foreign exchange of £20m.</w:t>
      </w:r>
    </w:p>
    <w:p w14:paraId="02495935" w14:textId="77777777" w:rsidR="00AE1E5C" w:rsidRDefault="00AE1E5C" w:rsidP="00AE1E5C">
      <w:pPr>
        <w:pStyle w:val="04BodyCopyFronttext9105"/>
        <w:spacing w:before="120"/>
        <w:rPr>
          <w:rFonts w:ascii="IBM Plex Sans" w:hAnsi="IBM Plex Sans" w:cs="IBM Plex Sans"/>
          <w:b/>
          <w:bCs/>
          <w:color w:val="00B3D1"/>
        </w:rPr>
      </w:pPr>
      <w:r>
        <w:t>Further valuation analysis is included in Table 9 of the Additional information.</w:t>
      </w:r>
    </w:p>
    <w:p w14:paraId="52F00139" w14:textId="77777777" w:rsidR="00AE1E5C" w:rsidRDefault="00AE1E5C" w:rsidP="00AE1E5C">
      <w:pPr>
        <w:pStyle w:val="06SubHeading2Fronttext9105"/>
      </w:pPr>
    </w:p>
    <w:p w14:paraId="5C6BBFAC" w14:textId="77777777" w:rsidR="00AE1E5C" w:rsidRPr="00274099" w:rsidRDefault="00AE1E5C" w:rsidP="00AE1E5C">
      <w:pPr>
        <w:pStyle w:val="06SubHeading2Fronttext9105"/>
        <w:rPr>
          <w:color w:val="3D7FE0" w:themeColor="accent1"/>
        </w:rPr>
      </w:pPr>
      <w:r w:rsidRPr="00274099">
        <w:rPr>
          <w:color w:val="3D7FE0" w:themeColor="accent1"/>
        </w:rPr>
        <w:t>Like-for-like ERV</w:t>
      </w:r>
      <w:r w:rsidRPr="00CC1E26">
        <w:rPr>
          <w:color w:val="3D7FE0" w:themeColor="accent1"/>
          <w:vertAlign w:val="superscript"/>
        </w:rPr>
        <w:t>1</w:t>
      </w:r>
    </w:p>
    <w:tbl>
      <w:tblPr>
        <w:tblW w:w="9809" w:type="dxa"/>
        <w:tblLayout w:type="fixed"/>
        <w:tblCellMar>
          <w:left w:w="0" w:type="dxa"/>
          <w:right w:w="0" w:type="dxa"/>
        </w:tblCellMar>
        <w:tblLook w:val="00A0" w:firstRow="1" w:lastRow="0" w:firstColumn="1" w:lastColumn="0" w:noHBand="0" w:noVBand="0"/>
      </w:tblPr>
      <w:tblGrid>
        <w:gridCol w:w="7671"/>
        <w:gridCol w:w="1069"/>
        <w:gridCol w:w="1069"/>
      </w:tblGrid>
      <w:tr w:rsidR="00AE1E5C" w:rsidRPr="00CC1E26" w14:paraId="557BCC05" w14:textId="77777777" w:rsidTr="004203CD">
        <w:tc>
          <w:tcPr>
            <w:tcW w:w="7671" w:type="dxa"/>
            <w:tcBorders>
              <w:bottom w:val="single" w:sz="2" w:space="0" w:color="3D7FE0" w:themeColor="accent1"/>
            </w:tcBorders>
            <w:vAlign w:val="bottom"/>
          </w:tcPr>
          <w:p w14:paraId="2CA523C5" w14:textId="77777777" w:rsidR="00AE1E5C" w:rsidRPr="00CC1E26" w:rsidRDefault="00AE1E5C" w:rsidP="004203CD">
            <w:pPr>
              <w:pStyle w:val="TableColHeadsLeft"/>
              <w:spacing w:before="40"/>
              <w:rPr>
                <w:rFonts w:ascii="IBM Plex Sans Light" w:hAnsi="IBM Plex Sans Light"/>
                <w:b/>
                <w:bCs/>
                <w:color w:val="4472C4"/>
                <w:sz w:val="16"/>
                <w:szCs w:val="16"/>
              </w:rPr>
            </w:pPr>
            <w:r w:rsidRPr="00CC1E26">
              <w:rPr>
                <w:rFonts w:ascii="IBM Plex Sans Light" w:hAnsi="IBM Plex Sans Light"/>
                <w:b/>
                <w:bCs/>
                <w:color w:val="4472C4"/>
                <w:sz w:val="16"/>
                <w:szCs w:val="16"/>
              </w:rPr>
              <w:br w:type="page"/>
              <w:t>Flagship destinations</w:t>
            </w:r>
          </w:p>
        </w:tc>
        <w:tc>
          <w:tcPr>
            <w:tcW w:w="1069" w:type="dxa"/>
            <w:tcBorders>
              <w:bottom w:val="single" w:sz="2" w:space="0" w:color="3D7FE0" w:themeColor="accent1"/>
            </w:tcBorders>
            <w:vAlign w:val="bottom"/>
          </w:tcPr>
          <w:p w14:paraId="565A00D3" w14:textId="404BF826" w:rsidR="00AE1E5C" w:rsidRPr="00CC1E26" w:rsidRDefault="00AE1E5C" w:rsidP="004203CD">
            <w:pPr>
              <w:pStyle w:val="12TBRightColHeaderTableBack"/>
              <w:rPr>
                <w:rFonts w:cs="Times New Roman"/>
                <w:b/>
                <w:bCs/>
                <w:color w:val="4472C4"/>
                <w:spacing w:val="0"/>
                <w:kern w:val="2"/>
                <w:sz w:val="16"/>
                <w:szCs w:val="16"/>
                <w:lang w:eastAsia="en-US"/>
              </w:rPr>
            </w:pPr>
            <w:r w:rsidRPr="00CC1E26">
              <w:rPr>
                <w:rFonts w:cs="Times New Roman"/>
                <w:b/>
                <w:bCs/>
                <w:color w:val="4472C4"/>
                <w:spacing w:val="0"/>
                <w:kern w:val="2"/>
                <w:sz w:val="16"/>
                <w:szCs w:val="16"/>
                <w:lang w:eastAsia="en-US"/>
              </w:rPr>
              <w:t>2023</w:t>
            </w:r>
            <w:r w:rsidRPr="00CC1E26">
              <w:rPr>
                <w:rFonts w:cs="Times New Roman"/>
                <w:b/>
                <w:bCs/>
                <w:color w:val="4472C4"/>
                <w:spacing w:val="0"/>
                <w:kern w:val="2"/>
                <w:sz w:val="16"/>
                <w:szCs w:val="16"/>
                <w:lang w:eastAsia="en-US"/>
              </w:rPr>
              <w:br/>
            </w:r>
            <w:r w:rsidR="00907934">
              <w:rPr>
                <w:rFonts w:cs="Times New Roman"/>
                <w:b/>
                <w:bCs/>
                <w:color w:val="4472C4"/>
                <w:spacing w:val="0"/>
                <w:kern w:val="2"/>
                <w:sz w:val="16"/>
                <w:szCs w:val="16"/>
                <w:lang w:eastAsia="en-US"/>
              </w:rPr>
              <w:t>%</w:t>
            </w:r>
          </w:p>
        </w:tc>
        <w:tc>
          <w:tcPr>
            <w:tcW w:w="1069" w:type="dxa"/>
            <w:tcBorders>
              <w:bottom w:val="single" w:sz="2" w:space="0" w:color="3D7FE0" w:themeColor="accent1"/>
            </w:tcBorders>
            <w:shd w:val="clear" w:color="auto" w:fill="FFFFFF"/>
            <w:vAlign w:val="bottom"/>
          </w:tcPr>
          <w:p w14:paraId="55DE8AB3" w14:textId="782AA4F2" w:rsidR="00AE1E5C" w:rsidRPr="00907934" w:rsidRDefault="00AE1E5C" w:rsidP="004203CD">
            <w:pPr>
              <w:pStyle w:val="12TBRightColHeaderTableBack"/>
              <w:rPr>
                <w:rFonts w:cs="Times New Roman"/>
                <w:color w:val="4472C4"/>
                <w:spacing w:val="0"/>
                <w:kern w:val="2"/>
                <w:sz w:val="16"/>
                <w:szCs w:val="16"/>
                <w:lang w:eastAsia="en-US"/>
              </w:rPr>
            </w:pPr>
            <w:r w:rsidRPr="00907934">
              <w:rPr>
                <w:rFonts w:cs="Times New Roman"/>
                <w:color w:val="auto"/>
                <w:spacing w:val="0"/>
                <w:kern w:val="2"/>
                <w:sz w:val="16"/>
                <w:szCs w:val="16"/>
                <w:lang w:eastAsia="en-US"/>
              </w:rPr>
              <w:t>2022</w:t>
            </w:r>
            <w:r w:rsidRPr="00907934">
              <w:rPr>
                <w:rFonts w:cs="Times New Roman"/>
                <w:color w:val="auto"/>
                <w:spacing w:val="0"/>
                <w:kern w:val="2"/>
                <w:sz w:val="16"/>
                <w:szCs w:val="16"/>
                <w:lang w:eastAsia="en-US"/>
              </w:rPr>
              <w:br/>
            </w:r>
            <w:r w:rsidR="00907934" w:rsidRPr="00907934">
              <w:rPr>
                <w:rFonts w:cs="Times New Roman"/>
                <w:color w:val="auto"/>
                <w:spacing w:val="0"/>
                <w:kern w:val="2"/>
                <w:sz w:val="16"/>
                <w:szCs w:val="16"/>
                <w:lang w:eastAsia="en-US"/>
              </w:rPr>
              <w:t>%</w:t>
            </w:r>
          </w:p>
        </w:tc>
      </w:tr>
      <w:tr w:rsidR="00AE1E5C" w:rsidRPr="006843DC" w14:paraId="59838BEB" w14:textId="77777777" w:rsidTr="004203CD">
        <w:tc>
          <w:tcPr>
            <w:tcW w:w="7671" w:type="dxa"/>
            <w:tcBorders>
              <w:top w:val="single" w:sz="2" w:space="0" w:color="3D7FE0" w:themeColor="accent1"/>
            </w:tcBorders>
            <w:vAlign w:val="bottom"/>
          </w:tcPr>
          <w:p w14:paraId="094EB13D" w14:textId="77777777" w:rsidR="00AE1E5C" w:rsidRPr="00CC1E26" w:rsidRDefault="00AE1E5C" w:rsidP="004203CD">
            <w:pPr>
              <w:pStyle w:val="Tabletext"/>
              <w:rPr>
                <w:rFonts w:ascii="IBM Plex Sans Light" w:hAnsi="IBM Plex Sans Light"/>
                <w:sz w:val="18"/>
                <w:szCs w:val="24"/>
              </w:rPr>
            </w:pPr>
            <w:r w:rsidRPr="00CC1E26">
              <w:rPr>
                <w:rFonts w:ascii="IBM Plex Sans Light" w:hAnsi="IBM Plex Sans Light"/>
                <w:sz w:val="18"/>
                <w:szCs w:val="24"/>
              </w:rPr>
              <w:t>UK</w:t>
            </w:r>
          </w:p>
        </w:tc>
        <w:tc>
          <w:tcPr>
            <w:tcW w:w="1069" w:type="dxa"/>
            <w:tcBorders>
              <w:top w:val="single" w:sz="2" w:space="0" w:color="3D7FE0" w:themeColor="accent1"/>
            </w:tcBorders>
            <w:vAlign w:val="bottom"/>
          </w:tcPr>
          <w:p w14:paraId="2AF22756" w14:textId="77777777" w:rsidR="00AE1E5C" w:rsidRPr="00CC1E26" w:rsidRDefault="00AE1E5C" w:rsidP="004203CD">
            <w:pPr>
              <w:pStyle w:val="Tabletext"/>
              <w:jc w:val="right"/>
              <w:rPr>
                <w:rFonts w:ascii="IBM Plex Sans Light" w:hAnsi="IBM Plex Sans Light"/>
                <w:color w:val="3D7FE0" w:themeColor="accent1"/>
                <w:sz w:val="18"/>
                <w:szCs w:val="24"/>
              </w:rPr>
            </w:pPr>
            <w:r w:rsidRPr="00CC1E26">
              <w:rPr>
                <w:rStyle w:val="BoldBlue"/>
                <w:rFonts w:ascii="IBM Plex Sans Light" w:hAnsi="IBM Plex Sans Light" w:cs="IBM Plex Sans"/>
                <w:bCs w:val="0"/>
                <w:color w:val="3D7FE0" w:themeColor="accent1"/>
                <w:sz w:val="18"/>
                <w:szCs w:val="24"/>
              </w:rPr>
              <w:t>1.8</w:t>
            </w:r>
          </w:p>
        </w:tc>
        <w:tc>
          <w:tcPr>
            <w:tcW w:w="1069" w:type="dxa"/>
            <w:tcBorders>
              <w:top w:val="single" w:sz="2" w:space="0" w:color="3D7FE0" w:themeColor="accent1"/>
            </w:tcBorders>
            <w:shd w:val="clear" w:color="auto" w:fill="FFFFFF"/>
            <w:vAlign w:val="bottom"/>
          </w:tcPr>
          <w:p w14:paraId="26DBCE3C" w14:textId="77777777" w:rsidR="00AE1E5C" w:rsidRPr="00F66A6D"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(3.8)</w:t>
            </w:r>
          </w:p>
        </w:tc>
      </w:tr>
      <w:tr w:rsidR="00AE1E5C" w:rsidRPr="006843DC" w14:paraId="56D711B9" w14:textId="77777777" w:rsidTr="004203CD">
        <w:tc>
          <w:tcPr>
            <w:tcW w:w="7671" w:type="dxa"/>
            <w:vAlign w:val="bottom"/>
          </w:tcPr>
          <w:p w14:paraId="269B9216" w14:textId="77777777" w:rsidR="00AE1E5C" w:rsidRPr="00CC1E26" w:rsidRDefault="00AE1E5C" w:rsidP="004203CD">
            <w:pPr>
              <w:pStyle w:val="Tabletext"/>
              <w:rPr>
                <w:rFonts w:ascii="IBM Plex Sans Light" w:hAnsi="IBM Plex Sans Light"/>
                <w:spacing w:val="-4"/>
                <w:sz w:val="18"/>
                <w:szCs w:val="24"/>
              </w:rPr>
            </w:pPr>
            <w:r w:rsidRPr="00CC1E26">
              <w:rPr>
                <w:rFonts w:ascii="IBM Plex Sans Light" w:hAnsi="IBM Plex Sans Light"/>
                <w:sz w:val="18"/>
                <w:szCs w:val="24"/>
              </w:rPr>
              <w:t>France</w:t>
            </w:r>
          </w:p>
        </w:tc>
        <w:tc>
          <w:tcPr>
            <w:tcW w:w="1069" w:type="dxa"/>
            <w:vAlign w:val="bottom"/>
          </w:tcPr>
          <w:p w14:paraId="3940160E" w14:textId="77777777" w:rsidR="00AE1E5C" w:rsidRPr="00CC1E26" w:rsidRDefault="00AE1E5C" w:rsidP="004203CD">
            <w:pPr>
              <w:pStyle w:val="Tabletext"/>
              <w:jc w:val="right"/>
              <w:rPr>
                <w:rFonts w:ascii="IBM Plex Sans Light" w:hAnsi="IBM Plex Sans Light"/>
                <w:b/>
                <w:bCs/>
                <w:color w:val="3D7FE0" w:themeColor="accent1"/>
                <w:spacing w:val="-4"/>
                <w:sz w:val="18"/>
                <w:szCs w:val="24"/>
              </w:rPr>
            </w:pPr>
            <w:r w:rsidRPr="00CC1E26">
              <w:rPr>
                <w:rStyle w:val="BoldBlue"/>
                <w:rFonts w:ascii="IBM Plex Sans Light" w:hAnsi="IBM Plex Sans Light" w:cs="IBM Plex Sans"/>
                <w:bCs w:val="0"/>
                <w:color w:val="3D7FE0" w:themeColor="accent1"/>
                <w:sz w:val="18"/>
                <w:szCs w:val="24"/>
              </w:rPr>
              <w:t>2.5</w:t>
            </w:r>
          </w:p>
        </w:tc>
        <w:tc>
          <w:tcPr>
            <w:tcW w:w="1069" w:type="dxa"/>
            <w:shd w:val="clear" w:color="auto" w:fill="FFFFFF"/>
            <w:vAlign w:val="bottom"/>
          </w:tcPr>
          <w:p w14:paraId="6A9AFC89" w14:textId="77777777" w:rsidR="00AE1E5C" w:rsidRPr="00024B10"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(1.6)</w:t>
            </w:r>
          </w:p>
        </w:tc>
      </w:tr>
      <w:tr w:rsidR="00AE1E5C" w:rsidRPr="006843DC" w14:paraId="1BBB8EEA" w14:textId="77777777" w:rsidTr="004203CD">
        <w:tc>
          <w:tcPr>
            <w:tcW w:w="7671" w:type="dxa"/>
            <w:tcBorders>
              <w:bottom w:val="single" w:sz="2" w:space="0" w:color="3D7FE0" w:themeColor="accent1"/>
            </w:tcBorders>
            <w:vAlign w:val="bottom"/>
          </w:tcPr>
          <w:p w14:paraId="13CFCD03" w14:textId="77777777" w:rsidR="00AE1E5C" w:rsidRPr="00CC1E26" w:rsidRDefault="00AE1E5C" w:rsidP="004203CD">
            <w:pPr>
              <w:pStyle w:val="Tabletext"/>
              <w:rPr>
                <w:rFonts w:ascii="IBM Plex Sans Light" w:hAnsi="IBM Plex Sans Light"/>
                <w:spacing w:val="-4"/>
                <w:sz w:val="18"/>
                <w:szCs w:val="24"/>
              </w:rPr>
            </w:pPr>
            <w:r w:rsidRPr="00CC1E26">
              <w:rPr>
                <w:rFonts w:ascii="IBM Plex Sans Light" w:hAnsi="IBM Plex Sans Light"/>
                <w:sz w:val="18"/>
                <w:szCs w:val="24"/>
              </w:rPr>
              <w:t>Ireland</w:t>
            </w:r>
          </w:p>
        </w:tc>
        <w:tc>
          <w:tcPr>
            <w:tcW w:w="1069" w:type="dxa"/>
            <w:tcBorders>
              <w:bottom w:val="single" w:sz="2" w:space="0" w:color="3D7FE0" w:themeColor="accent1"/>
            </w:tcBorders>
            <w:vAlign w:val="bottom"/>
          </w:tcPr>
          <w:p w14:paraId="25F8A7A9" w14:textId="77777777" w:rsidR="00AE1E5C" w:rsidRPr="00CC1E26" w:rsidRDefault="00AE1E5C" w:rsidP="004203CD">
            <w:pPr>
              <w:pStyle w:val="Tabletext"/>
              <w:jc w:val="right"/>
              <w:rPr>
                <w:rFonts w:ascii="IBM Plex Sans Light" w:hAnsi="IBM Plex Sans Light"/>
                <w:b/>
                <w:bCs/>
                <w:color w:val="3D7FE0" w:themeColor="accent1"/>
                <w:spacing w:val="-4"/>
                <w:sz w:val="18"/>
                <w:szCs w:val="24"/>
              </w:rPr>
            </w:pPr>
            <w:r w:rsidRPr="00CC1E26">
              <w:rPr>
                <w:rStyle w:val="BoldBlue"/>
                <w:rFonts w:ascii="IBM Plex Sans Light" w:hAnsi="IBM Plex Sans Light" w:cs="IBM Plex Sans"/>
                <w:bCs w:val="0"/>
                <w:color w:val="3D7FE0" w:themeColor="accent1"/>
                <w:sz w:val="18"/>
                <w:szCs w:val="24"/>
              </w:rPr>
              <w:t>0.2</w:t>
            </w:r>
          </w:p>
        </w:tc>
        <w:tc>
          <w:tcPr>
            <w:tcW w:w="1069" w:type="dxa"/>
            <w:tcBorders>
              <w:bottom w:val="single" w:sz="2" w:space="0" w:color="3D7FE0" w:themeColor="accent1"/>
            </w:tcBorders>
            <w:shd w:val="clear" w:color="auto" w:fill="FFFFFF"/>
            <w:vAlign w:val="bottom"/>
          </w:tcPr>
          <w:p w14:paraId="4F44C161" w14:textId="77777777" w:rsidR="00AE1E5C" w:rsidRPr="00CC1E26" w:rsidRDefault="00AE1E5C" w:rsidP="004203CD">
            <w:pPr>
              <w:pStyle w:val="Tabletext"/>
              <w:jc w:val="right"/>
              <w:rPr>
                <w:rFonts w:ascii="IBM Plex Sans Light" w:hAnsi="IBM Plex Sans Light"/>
                <w:color w:val="auto"/>
                <w:spacing w:val="-4"/>
                <w:sz w:val="18"/>
                <w:szCs w:val="24"/>
              </w:rPr>
            </w:pPr>
            <w:r w:rsidRPr="00CC1E26">
              <w:rPr>
                <w:rFonts w:ascii="IBM Plex Sans Light" w:hAnsi="IBM Plex Sans Light"/>
                <w:sz w:val="18"/>
                <w:szCs w:val="24"/>
              </w:rPr>
              <w:t>0.3</w:t>
            </w:r>
          </w:p>
        </w:tc>
      </w:tr>
      <w:tr w:rsidR="00AE1E5C" w:rsidRPr="006843DC" w14:paraId="41D67E16" w14:textId="77777777" w:rsidTr="004203CD">
        <w:tc>
          <w:tcPr>
            <w:tcW w:w="7671" w:type="dxa"/>
            <w:tcBorders>
              <w:top w:val="single" w:sz="2" w:space="0" w:color="3D7FE0" w:themeColor="accent1"/>
              <w:bottom w:val="single" w:sz="8" w:space="0" w:color="3D7FE0" w:themeColor="accent1"/>
            </w:tcBorders>
            <w:vAlign w:val="bottom"/>
          </w:tcPr>
          <w:p w14:paraId="05667756" w14:textId="77777777" w:rsidR="00AE1E5C" w:rsidRPr="00CC1E26" w:rsidRDefault="00AE1E5C" w:rsidP="004203CD">
            <w:pPr>
              <w:pStyle w:val="Tabletext"/>
              <w:rPr>
                <w:rFonts w:ascii="IBM Plex Sans Light" w:hAnsi="IBM Plex Sans Light"/>
                <w:sz w:val="18"/>
                <w:szCs w:val="24"/>
              </w:rPr>
            </w:pPr>
          </w:p>
        </w:tc>
        <w:tc>
          <w:tcPr>
            <w:tcW w:w="1069" w:type="dxa"/>
            <w:tcBorders>
              <w:top w:val="single" w:sz="2" w:space="0" w:color="3D7FE0" w:themeColor="accent1"/>
              <w:bottom w:val="single" w:sz="8" w:space="0" w:color="3D7FE0" w:themeColor="accent1"/>
            </w:tcBorders>
            <w:vAlign w:val="bottom"/>
          </w:tcPr>
          <w:p w14:paraId="46FCC6EE" w14:textId="77777777" w:rsidR="00AE1E5C" w:rsidRPr="00CC1E26" w:rsidRDefault="00AE1E5C" w:rsidP="004203CD">
            <w:pPr>
              <w:pStyle w:val="Tabletext"/>
              <w:jc w:val="right"/>
              <w:rPr>
                <w:rStyle w:val="BoldBlue"/>
                <w:rFonts w:ascii="IBM Plex Sans Light" w:hAnsi="IBM Plex Sans Light" w:cs="IBM Plex Sans"/>
                <w:bCs w:val="0"/>
                <w:color w:val="3D7FE0" w:themeColor="accent1"/>
                <w:sz w:val="18"/>
                <w:szCs w:val="24"/>
              </w:rPr>
            </w:pPr>
            <w:r w:rsidRPr="00CC1E26">
              <w:rPr>
                <w:rStyle w:val="BoldBlue"/>
                <w:rFonts w:ascii="IBM Plex Sans Light" w:hAnsi="IBM Plex Sans Light" w:cs="IBM Plex Sans"/>
                <w:bCs w:val="0"/>
                <w:color w:val="3D7FE0" w:themeColor="accent1"/>
                <w:sz w:val="18"/>
                <w:szCs w:val="24"/>
              </w:rPr>
              <w:t>1.7</w:t>
            </w:r>
          </w:p>
        </w:tc>
        <w:tc>
          <w:tcPr>
            <w:tcW w:w="1069" w:type="dxa"/>
            <w:tcBorders>
              <w:top w:val="single" w:sz="2" w:space="0" w:color="3D7FE0" w:themeColor="accent1"/>
              <w:bottom w:val="single" w:sz="8" w:space="0" w:color="3D7FE0" w:themeColor="accent1"/>
            </w:tcBorders>
            <w:shd w:val="clear" w:color="auto" w:fill="FFFFFF"/>
            <w:vAlign w:val="bottom"/>
          </w:tcPr>
          <w:p w14:paraId="6A686423" w14:textId="77777777" w:rsidR="00AE1E5C" w:rsidRPr="00F66A6D"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(2.2)</w:t>
            </w:r>
          </w:p>
        </w:tc>
      </w:tr>
    </w:tbl>
    <w:p w14:paraId="5CAFF6FE" w14:textId="77777777" w:rsidR="00AE1E5C" w:rsidRDefault="00AE1E5C" w:rsidP="00AE1E5C">
      <w:pPr>
        <w:pStyle w:val="11GeneralFootnotes"/>
        <w:spacing w:before="40"/>
      </w:pPr>
      <w:r>
        <w:t>1</w:t>
      </w:r>
      <w:r>
        <w:tab/>
        <w:t xml:space="preserve">Calculated on a constant currency basis for properties owned throughout the relevant reporting period. </w:t>
      </w:r>
    </w:p>
    <w:p w14:paraId="65A368C7" w14:textId="77777777" w:rsidR="00AE1E5C" w:rsidRDefault="00AE1E5C" w:rsidP="00AE1E5C">
      <w:pPr>
        <w:pStyle w:val="04BodyCopyFronttext9105"/>
      </w:pPr>
    </w:p>
    <w:p w14:paraId="48F799D2" w14:textId="4B477E05" w:rsidR="00AE1E5C" w:rsidRDefault="00AE1E5C" w:rsidP="00AE1E5C">
      <w:pPr>
        <w:pStyle w:val="04BodyCopyFronttext9105"/>
      </w:pPr>
      <w:r>
        <w:t>Like-for-like ERVs grew by 1.7% during 2023. In the second half of the year ERVs were marked up at all of the Group’s flagship destinations, equivalent to growth of 1.6%.</w:t>
      </w:r>
    </w:p>
    <w:p w14:paraId="5DD4ECF9" w14:textId="77777777" w:rsidR="00AE1E5C" w:rsidRDefault="00AE1E5C" w:rsidP="00AE1E5C">
      <w:pPr>
        <w:pStyle w:val="04BodyCopyFronttext9105"/>
        <w:spacing w:before="120"/>
      </w:pPr>
      <w:r>
        <w:t>UK ERVs were 1.8% higher, reflecting the strong leasing performance and investment to attract ‘best-in-</w:t>
      </w:r>
      <w:proofErr w:type="spellStart"/>
      <w:r>
        <w:t>class’</w:t>
      </w:r>
      <w:proofErr w:type="spellEnd"/>
      <w:r>
        <w:t xml:space="preserve"> occupiers. Bullring had the strongest growth at 5.0% over the year with occupiers seeking space following the opening of the repurposed former Debenhams space. We signed 23 permanent leases at the asset in 2023 at an average net effective rent 9% above prevailing ERVs. </w:t>
      </w:r>
    </w:p>
    <w:p w14:paraId="4C93E492" w14:textId="77777777" w:rsidR="00AE1E5C" w:rsidRDefault="00AE1E5C" w:rsidP="00AE1E5C">
      <w:pPr>
        <w:pStyle w:val="04BodyCopyFronttext9105"/>
        <w:spacing w:before="120"/>
      </w:pPr>
      <w:r>
        <w:t xml:space="preserve">ERVs in France grew by 2.5%, driven by indexation and leasing demand at both of our two wholly owned assets. At Les Terrasses du Port we have secured over 70% of the expected income from the expiring leases which were signed when the destination opened in 2014. The new deals have been signed at an average of 6% above ERV. </w:t>
      </w:r>
    </w:p>
    <w:p w14:paraId="60B4A641" w14:textId="77777777" w:rsidR="00AE1E5C" w:rsidRDefault="00AE1E5C" w:rsidP="00AE1E5C">
      <w:pPr>
        <w:pStyle w:val="04BodyCopyFronttext9105"/>
        <w:spacing w:before="120"/>
        <w:rPr>
          <w:rFonts w:ascii="IBM Plex Sans" w:hAnsi="IBM Plex Sans" w:cs="IBM Plex Sans"/>
          <w:b/>
          <w:bCs/>
          <w:color w:val="00B3D1"/>
        </w:rPr>
      </w:pPr>
      <w:r>
        <w:t xml:space="preserve">In Ireland, ERVs were up 0.2%, the lower vacancy levels in the Irish portfolio meant that it was more challenging to provide multiple sources of evidence for the valuers to </w:t>
      </w:r>
      <w:proofErr w:type="spellStart"/>
      <w:r>
        <w:t>mark up</w:t>
      </w:r>
      <w:proofErr w:type="spellEnd"/>
      <w:r>
        <w:t xml:space="preserve"> ERVs in 2023. However, the leasing pipeline for space remains strong, particularly at Dundrum Town Centre where there have been a number of major asset management initiatives, the most significant being the opening of Brown Thomas in the former House of Fraser unit in February 2023. </w:t>
      </w:r>
    </w:p>
    <w:p w14:paraId="0D5AF710" w14:textId="77777777" w:rsidR="00AE1E5C" w:rsidRDefault="00AE1E5C" w:rsidP="00AE1E5C">
      <w:pPr>
        <w:pStyle w:val="04BodyCopyFronttext9105"/>
      </w:pPr>
    </w:p>
    <w:p w14:paraId="75C4E66B" w14:textId="77777777" w:rsidR="00AE1E5C" w:rsidRPr="00CC1E26" w:rsidRDefault="00AE1E5C" w:rsidP="00AE1E5C">
      <w:pPr>
        <w:pStyle w:val="06SubHeading2Fronttext9105"/>
        <w:rPr>
          <w:color w:val="3D7FE0" w:themeColor="accent1"/>
        </w:rPr>
      </w:pPr>
      <w:r w:rsidRPr="00CC1E26">
        <w:rPr>
          <w:color w:val="3D7FE0" w:themeColor="accent1"/>
        </w:rPr>
        <w:t xml:space="preserve">Property returns analysis </w:t>
      </w:r>
    </w:p>
    <w:p w14:paraId="1DC88D43" w14:textId="77777777" w:rsidR="00AE1E5C" w:rsidRDefault="00AE1E5C" w:rsidP="00AE1E5C">
      <w:pPr>
        <w:pStyle w:val="04BodyCopyFronttext9105"/>
        <w:spacing w:before="120"/>
      </w:pPr>
      <w:r>
        <w:t>The Group’s managed property portfolio generated a total property return of 1.6%, comprising an income return of 5.9% offset by a capital return of –4.1%. Incorporating the income and capital returns from the Value Retail portfolio, this brought the Group’s income return to 6.0% and the capital return to –2.6%, to generate a total return of 3.2% (2022: –0.7%).</w:t>
      </w:r>
    </w:p>
    <w:tbl>
      <w:tblPr>
        <w:tblW w:w="9924" w:type="dxa"/>
        <w:tblLayout w:type="fixed"/>
        <w:tblCellMar>
          <w:left w:w="0" w:type="dxa"/>
          <w:right w:w="0" w:type="dxa"/>
        </w:tblCellMar>
        <w:tblLook w:val="00A0" w:firstRow="1" w:lastRow="0" w:firstColumn="1" w:lastColumn="0" w:noHBand="0" w:noVBand="0"/>
      </w:tblPr>
      <w:tblGrid>
        <w:gridCol w:w="3572"/>
        <w:gridCol w:w="794"/>
        <w:gridCol w:w="794"/>
        <w:gridCol w:w="794"/>
        <w:gridCol w:w="794"/>
        <w:gridCol w:w="794"/>
        <w:gridCol w:w="794"/>
        <w:gridCol w:w="794"/>
        <w:gridCol w:w="794"/>
      </w:tblGrid>
      <w:tr w:rsidR="00AE1E5C" w:rsidRPr="00274099" w14:paraId="2F667EFB" w14:textId="77777777" w:rsidTr="004203CD">
        <w:tc>
          <w:tcPr>
            <w:tcW w:w="3572" w:type="dxa"/>
            <w:tcBorders>
              <w:bottom w:val="single" w:sz="4" w:space="0" w:color="4472C4"/>
            </w:tcBorders>
            <w:vAlign w:val="bottom"/>
          </w:tcPr>
          <w:p w14:paraId="31DFF684" w14:textId="77777777" w:rsidR="00AE1E5C" w:rsidRPr="001124F3" w:rsidRDefault="00AE1E5C" w:rsidP="004203CD">
            <w:pPr>
              <w:pStyle w:val="Tabletext"/>
              <w:rPr>
                <w:rFonts w:ascii="IBM Plex Sans Light" w:hAnsi="IBM Plex Sans Light"/>
                <w:color w:val="4472C4"/>
              </w:rPr>
            </w:pPr>
          </w:p>
        </w:tc>
        <w:tc>
          <w:tcPr>
            <w:tcW w:w="794" w:type="dxa"/>
            <w:tcBorders>
              <w:bottom w:val="single" w:sz="4" w:space="0" w:color="4472C4"/>
            </w:tcBorders>
            <w:vAlign w:val="bottom"/>
          </w:tcPr>
          <w:p w14:paraId="7801021D"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vAlign w:val="bottom"/>
          </w:tcPr>
          <w:p w14:paraId="59BAFC68"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vAlign w:val="bottom"/>
          </w:tcPr>
          <w:p w14:paraId="757214F1"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shd w:val="clear" w:color="auto" w:fill="FFFFFF"/>
            <w:vAlign w:val="bottom"/>
          </w:tcPr>
          <w:p w14:paraId="349A68B9"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shd w:val="clear" w:color="auto" w:fill="FFFFFF"/>
            <w:vAlign w:val="bottom"/>
          </w:tcPr>
          <w:p w14:paraId="22B04EC3"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shd w:val="clear" w:color="auto" w:fill="FFFFFF"/>
            <w:vAlign w:val="bottom"/>
          </w:tcPr>
          <w:p w14:paraId="60CA423D"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shd w:val="clear" w:color="auto" w:fill="FFFFFF"/>
            <w:vAlign w:val="bottom"/>
          </w:tcPr>
          <w:p w14:paraId="4A5C0F3A" w14:textId="77777777" w:rsidR="00AE1E5C" w:rsidRPr="00274099" w:rsidRDefault="00AE1E5C" w:rsidP="004203CD">
            <w:pPr>
              <w:pStyle w:val="12TBRightColHeaderTableBack"/>
              <w:rPr>
                <w:rStyle w:val="BoldBlue"/>
                <w:rFonts w:cs="IBM Plex Sans"/>
                <w:b w:val="0"/>
                <w:sz w:val="16"/>
                <w:szCs w:val="16"/>
              </w:rPr>
            </w:pPr>
          </w:p>
        </w:tc>
        <w:tc>
          <w:tcPr>
            <w:tcW w:w="794" w:type="dxa"/>
            <w:tcBorders>
              <w:bottom w:val="single" w:sz="4" w:space="0" w:color="4472C4"/>
            </w:tcBorders>
            <w:shd w:val="clear" w:color="auto" w:fill="FFFFFF"/>
            <w:vAlign w:val="bottom"/>
          </w:tcPr>
          <w:p w14:paraId="48C10195" w14:textId="77777777" w:rsidR="00AE1E5C" w:rsidRPr="00274099" w:rsidRDefault="00AE1E5C" w:rsidP="004203CD">
            <w:pPr>
              <w:pStyle w:val="12TBRightColHeaderTableBack"/>
              <w:rPr>
                <w:rStyle w:val="BoldBlue"/>
                <w:rFonts w:cs="IBM Plex Sans"/>
                <w:b w:val="0"/>
                <w:sz w:val="16"/>
                <w:szCs w:val="16"/>
              </w:rPr>
            </w:pPr>
            <w:r w:rsidRPr="00907934">
              <w:rPr>
                <w:rStyle w:val="BoldBlue"/>
                <w:rFonts w:cs="IBM Plex Sans"/>
                <w:b w:val="0"/>
                <w:color w:val="3D7FE0" w:themeColor="accent1"/>
                <w:sz w:val="16"/>
                <w:szCs w:val="16"/>
              </w:rPr>
              <w:t>2023</w:t>
            </w:r>
          </w:p>
        </w:tc>
      </w:tr>
      <w:tr w:rsidR="00AE1E5C" w:rsidRPr="00653D8F" w14:paraId="6DF7BE95" w14:textId="77777777" w:rsidTr="004203CD">
        <w:tc>
          <w:tcPr>
            <w:tcW w:w="3572" w:type="dxa"/>
            <w:tcBorders>
              <w:top w:val="single" w:sz="4" w:space="0" w:color="4472C4"/>
              <w:bottom w:val="single" w:sz="2" w:space="0" w:color="3D7FE0" w:themeColor="accent1"/>
            </w:tcBorders>
            <w:vAlign w:val="bottom"/>
          </w:tcPr>
          <w:p w14:paraId="0A223276" w14:textId="77777777" w:rsidR="00AE1E5C" w:rsidRPr="001124F3" w:rsidRDefault="00AE1E5C" w:rsidP="004203CD">
            <w:pPr>
              <w:pStyle w:val="Tabletext"/>
              <w:rPr>
                <w:rFonts w:ascii="IBM Plex Sans Light" w:hAnsi="IBM Plex Sans Light"/>
                <w:b/>
                <w:bCs/>
                <w:color w:val="4472C4"/>
                <w:spacing w:val="-4"/>
                <w:sz w:val="18"/>
                <w:szCs w:val="24"/>
              </w:rPr>
            </w:pPr>
            <w:r w:rsidRPr="001124F3">
              <w:rPr>
                <w:rFonts w:ascii="IBM Plex Sans Light" w:hAnsi="IBM Plex Sans Light"/>
                <w:color w:val="4472C4"/>
              </w:rPr>
              <w:t>Proportionally consolidated including Value Retail</w:t>
            </w:r>
          </w:p>
        </w:tc>
        <w:tc>
          <w:tcPr>
            <w:tcW w:w="794" w:type="dxa"/>
            <w:tcBorders>
              <w:top w:val="single" w:sz="4" w:space="0" w:color="4472C4"/>
              <w:bottom w:val="single" w:sz="2" w:space="0" w:color="3D7FE0" w:themeColor="accent1"/>
            </w:tcBorders>
            <w:vAlign w:val="bottom"/>
          </w:tcPr>
          <w:p w14:paraId="5CF69316" w14:textId="71E189C5"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UK</w:t>
            </w:r>
            <w:r w:rsidRPr="006B43AF">
              <w:rPr>
                <w:rStyle w:val="BoldBlue"/>
                <w:rFonts w:cs="IBM Plex Sans"/>
                <w:b w:val="0"/>
                <w:color w:val="3D7FE0" w:themeColor="accent1"/>
                <w:sz w:val="16"/>
                <w:szCs w:val="16"/>
              </w:rPr>
              <w:br/>
            </w:r>
            <w:r w:rsidR="00907934">
              <w:rPr>
                <w:rStyle w:val="BoldBlue"/>
                <w:rFonts w:cs="IBM Plex Sans"/>
                <w:b w:val="0"/>
                <w:color w:val="3D7FE0" w:themeColor="accent1"/>
                <w:sz w:val="16"/>
                <w:szCs w:val="16"/>
              </w:rPr>
              <w:t>%</w:t>
            </w:r>
          </w:p>
        </w:tc>
        <w:tc>
          <w:tcPr>
            <w:tcW w:w="794" w:type="dxa"/>
            <w:tcBorders>
              <w:top w:val="single" w:sz="4" w:space="0" w:color="4472C4"/>
              <w:bottom w:val="single" w:sz="2" w:space="0" w:color="3D7FE0" w:themeColor="accent1"/>
            </w:tcBorders>
            <w:vAlign w:val="bottom"/>
          </w:tcPr>
          <w:p w14:paraId="7A7591FF" w14:textId="194D5F4F"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France</w:t>
            </w:r>
            <w:r w:rsidRPr="006B43AF">
              <w:rPr>
                <w:rStyle w:val="BoldBlue"/>
                <w:rFonts w:cs="IBM Plex Sans"/>
                <w:b w:val="0"/>
                <w:color w:val="3D7FE0" w:themeColor="accent1"/>
                <w:sz w:val="16"/>
                <w:szCs w:val="16"/>
              </w:rPr>
              <w:br/>
            </w:r>
            <w:r w:rsidR="00907934">
              <w:rPr>
                <w:rStyle w:val="BoldBlue"/>
                <w:rFonts w:cs="IBM Plex Sans"/>
                <w:b w:val="0"/>
                <w:color w:val="3D7FE0" w:themeColor="accent1"/>
                <w:sz w:val="16"/>
                <w:szCs w:val="16"/>
              </w:rPr>
              <w:t>%</w:t>
            </w:r>
          </w:p>
        </w:tc>
        <w:tc>
          <w:tcPr>
            <w:tcW w:w="794" w:type="dxa"/>
            <w:tcBorders>
              <w:top w:val="single" w:sz="4" w:space="0" w:color="4472C4"/>
              <w:bottom w:val="single" w:sz="2" w:space="0" w:color="3D7FE0" w:themeColor="accent1"/>
            </w:tcBorders>
            <w:vAlign w:val="bottom"/>
          </w:tcPr>
          <w:p w14:paraId="0B6EF021" w14:textId="40D2EAF6"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Ireland</w:t>
            </w:r>
            <w:r w:rsidRPr="006B43AF">
              <w:rPr>
                <w:rStyle w:val="BoldBlue"/>
                <w:rFonts w:cs="IBM Plex Sans"/>
                <w:b w:val="0"/>
                <w:color w:val="3D7FE0" w:themeColor="accent1"/>
                <w:sz w:val="16"/>
                <w:szCs w:val="16"/>
              </w:rPr>
              <w:br/>
            </w:r>
            <w:r w:rsidR="00907934">
              <w:rPr>
                <w:rStyle w:val="BoldBlue"/>
                <w:rFonts w:cs="IBM Plex Sans"/>
                <w:b w:val="0"/>
                <w:color w:val="3D7FE0" w:themeColor="accent1"/>
                <w:sz w:val="16"/>
                <w:szCs w:val="16"/>
              </w:rPr>
              <w:t>%</w:t>
            </w:r>
          </w:p>
        </w:tc>
        <w:tc>
          <w:tcPr>
            <w:tcW w:w="794" w:type="dxa"/>
            <w:tcBorders>
              <w:top w:val="single" w:sz="4" w:space="0" w:color="4472C4"/>
              <w:bottom w:val="single" w:sz="2" w:space="0" w:color="3D7FE0" w:themeColor="accent1"/>
            </w:tcBorders>
            <w:shd w:val="clear" w:color="auto" w:fill="FFFFFF"/>
            <w:vAlign w:val="bottom"/>
          </w:tcPr>
          <w:p w14:paraId="39FEEBA5" w14:textId="35759D17" w:rsidR="00AE1E5C" w:rsidRPr="006B43AF" w:rsidRDefault="00AE1E5C" w:rsidP="004203CD">
            <w:pPr>
              <w:pStyle w:val="12TBRightColHeaderTableBack"/>
              <w:rPr>
                <w:color w:val="3D7FE0" w:themeColor="accent1"/>
                <w:spacing w:val="-4"/>
                <w:sz w:val="16"/>
                <w:szCs w:val="16"/>
              </w:rPr>
            </w:pPr>
            <w:r w:rsidRPr="006B43AF">
              <w:rPr>
                <w:rStyle w:val="BoldBlue"/>
                <w:rFonts w:cs="IBM Plex Sans"/>
                <w:bCs w:val="0"/>
                <w:color w:val="3D7FE0" w:themeColor="accent1"/>
                <w:sz w:val="16"/>
                <w:szCs w:val="16"/>
              </w:rPr>
              <w:t>Total flagships</w:t>
            </w:r>
            <w:r w:rsidRPr="006B43AF">
              <w:rPr>
                <w:rStyle w:val="BoldBlue"/>
                <w:rFonts w:cs="IBM Plex Sans"/>
                <w:bCs w:val="0"/>
                <w:color w:val="3D7FE0" w:themeColor="accent1"/>
                <w:sz w:val="16"/>
                <w:szCs w:val="16"/>
              </w:rPr>
              <w:br/>
            </w:r>
            <w:r w:rsidR="00907934">
              <w:rPr>
                <w:rStyle w:val="BoldBlue"/>
                <w:rFonts w:cs="IBM Plex Sans"/>
                <w:bCs w:val="0"/>
                <w:color w:val="3D7FE0" w:themeColor="accent1"/>
                <w:sz w:val="16"/>
                <w:szCs w:val="16"/>
              </w:rPr>
              <w:t>%</w:t>
            </w:r>
          </w:p>
        </w:tc>
        <w:tc>
          <w:tcPr>
            <w:tcW w:w="794" w:type="dxa"/>
            <w:tcBorders>
              <w:top w:val="single" w:sz="4" w:space="0" w:color="4472C4"/>
              <w:bottom w:val="single" w:sz="2" w:space="0" w:color="3D7FE0" w:themeColor="accent1"/>
            </w:tcBorders>
            <w:shd w:val="clear" w:color="auto" w:fill="FFFFFF"/>
            <w:vAlign w:val="bottom"/>
          </w:tcPr>
          <w:p w14:paraId="03A2E1A0" w14:textId="52284520"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Develop-</w:t>
            </w:r>
            <w:proofErr w:type="spellStart"/>
            <w:r w:rsidRPr="006B43AF">
              <w:rPr>
                <w:rStyle w:val="BoldBlue"/>
                <w:rFonts w:cs="IBM Plex Sans"/>
                <w:b w:val="0"/>
                <w:color w:val="3D7FE0" w:themeColor="accent1"/>
                <w:sz w:val="16"/>
                <w:szCs w:val="16"/>
              </w:rPr>
              <w:t>ments</w:t>
            </w:r>
            <w:proofErr w:type="spellEnd"/>
            <w:r w:rsidRPr="006B43AF">
              <w:rPr>
                <w:rStyle w:val="BoldBlue"/>
                <w:rFonts w:cs="IBM Plex Sans"/>
                <w:b w:val="0"/>
                <w:color w:val="3D7FE0" w:themeColor="accent1"/>
                <w:sz w:val="16"/>
                <w:szCs w:val="16"/>
              </w:rPr>
              <w:t xml:space="preserve"> and other</w:t>
            </w:r>
            <w:r w:rsidRPr="006B43AF">
              <w:rPr>
                <w:rStyle w:val="BoldBlue"/>
                <w:rFonts w:cs="IBM Plex Sans"/>
                <w:b w:val="0"/>
                <w:color w:val="3D7FE0" w:themeColor="accent1"/>
                <w:sz w:val="16"/>
                <w:szCs w:val="16"/>
              </w:rPr>
              <w:br/>
            </w:r>
            <w:r w:rsidR="00907934">
              <w:rPr>
                <w:rStyle w:val="BoldBlue"/>
                <w:rFonts w:cs="IBM Plex Sans"/>
                <w:b w:val="0"/>
                <w:color w:val="3D7FE0" w:themeColor="accent1"/>
                <w:sz w:val="16"/>
                <w:szCs w:val="16"/>
              </w:rPr>
              <w:t>%</w:t>
            </w:r>
          </w:p>
        </w:tc>
        <w:tc>
          <w:tcPr>
            <w:tcW w:w="794" w:type="dxa"/>
            <w:tcBorders>
              <w:top w:val="single" w:sz="4" w:space="0" w:color="4472C4"/>
              <w:bottom w:val="single" w:sz="2" w:space="0" w:color="3D7FE0" w:themeColor="accent1"/>
            </w:tcBorders>
            <w:shd w:val="clear" w:color="auto" w:fill="FFFFFF"/>
            <w:vAlign w:val="bottom"/>
          </w:tcPr>
          <w:p w14:paraId="1AB671F2" w14:textId="68315FC4" w:rsidR="00AE1E5C" w:rsidRPr="006B43AF" w:rsidRDefault="00AE1E5C" w:rsidP="004203CD">
            <w:pPr>
              <w:pStyle w:val="12TBRightColHeaderTableBack"/>
              <w:rPr>
                <w:rStyle w:val="BoldBlue"/>
                <w:rFonts w:cs="IBM Plex Sans"/>
                <w:bCs w:val="0"/>
                <w:color w:val="3D7FE0" w:themeColor="accent1"/>
                <w:sz w:val="16"/>
                <w:szCs w:val="16"/>
              </w:rPr>
            </w:pPr>
            <w:r w:rsidRPr="006B43AF">
              <w:rPr>
                <w:rStyle w:val="BoldBlue"/>
                <w:rFonts w:cs="IBM Plex Sans"/>
                <w:bCs w:val="0"/>
                <w:color w:val="3D7FE0" w:themeColor="accent1"/>
                <w:sz w:val="16"/>
                <w:szCs w:val="16"/>
              </w:rPr>
              <w:t>Managed portfolio</w:t>
            </w:r>
            <w:r w:rsidRPr="006B43AF">
              <w:rPr>
                <w:rStyle w:val="BoldBlue"/>
                <w:rFonts w:cs="IBM Plex Sans"/>
                <w:bCs w:val="0"/>
                <w:color w:val="3D7FE0" w:themeColor="accent1"/>
                <w:sz w:val="16"/>
                <w:szCs w:val="16"/>
              </w:rPr>
              <w:br/>
            </w:r>
            <w:r w:rsidR="00907934">
              <w:rPr>
                <w:rStyle w:val="BoldBlue"/>
                <w:rFonts w:cs="IBM Plex Sans"/>
                <w:bCs w:val="0"/>
                <w:color w:val="3D7FE0" w:themeColor="accent1"/>
                <w:sz w:val="16"/>
                <w:szCs w:val="16"/>
              </w:rPr>
              <w:t>%</w:t>
            </w:r>
            <w:r w:rsidRPr="006B43AF">
              <w:rPr>
                <w:rStyle w:val="BoldBlue"/>
                <w:rFonts w:cs="IBM Plex Sans"/>
                <w:bCs w:val="0"/>
                <w:color w:val="3D7FE0" w:themeColor="accent1"/>
                <w:sz w:val="16"/>
                <w:szCs w:val="16"/>
              </w:rPr>
              <w:t xml:space="preserve"> </w:t>
            </w:r>
          </w:p>
        </w:tc>
        <w:tc>
          <w:tcPr>
            <w:tcW w:w="794" w:type="dxa"/>
            <w:tcBorders>
              <w:top w:val="single" w:sz="4" w:space="0" w:color="4472C4"/>
              <w:bottom w:val="single" w:sz="2" w:space="0" w:color="3D7FE0" w:themeColor="accent1"/>
            </w:tcBorders>
            <w:shd w:val="clear" w:color="auto" w:fill="FFFFFF"/>
            <w:vAlign w:val="bottom"/>
          </w:tcPr>
          <w:p w14:paraId="643E1AF1"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 xml:space="preserve">Value </w:t>
            </w:r>
          </w:p>
          <w:p w14:paraId="3D9C7B13" w14:textId="4C6FC143"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Retail</w:t>
            </w:r>
            <w:r w:rsidRPr="006B43AF">
              <w:rPr>
                <w:rStyle w:val="BoldBlue"/>
                <w:rFonts w:cs="IBM Plex Sans"/>
                <w:b w:val="0"/>
                <w:color w:val="3D7FE0" w:themeColor="accent1"/>
                <w:sz w:val="16"/>
                <w:szCs w:val="16"/>
              </w:rPr>
              <w:br/>
            </w:r>
            <w:r w:rsidR="00907934">
              <w:rPr>
                <w:rStyle w:val="BoldBlue"/>
                <w:rFonts w:cs="IBM Plex Sans"/>
                <w:b w:val="0"/>
                <w:color w:val="3D7FE0" w:themeColor="accent1"/>
                <w:sz w:val="16"/>
                <w:szCs w:val="16"/>
              </w:rPr>
              <w:t>%</w:t>
            </w:r>
            <w:r w:rsidRPr="006B43AF">
              <w:rPr>
                <w:rStyle w:val="BoldBlue"/>
                <w:rFonts w:cs="IBM Plex Sans"/>
                <w:b w:val="0"/>
                <w:color w:val="3D7FE0" w:themeColor="accent1"/>
                <w:sz w:val="16"/>
                <w:szCs w:val="16"/>
              </w:rPr>
              <w:t xml:space="preserve"> </w:t>
            </w:r>
          </w:p>
        </w:tc>
        <w:tc>
          <w:tcPr>
            <w:tcW w:w="794" w:type="dxa"/>
            <w:tcBorders>
              <w:top w:val="single" w:sz="4" w:space="0" w:color="4472C4"/>
              <w:bottom w:val="single" w:sz="2" w:space="0" w:color="3D7FE0" w:themeColor="accent1"/>
            </w:tcBorders>
            <w:shd w:val="clear" w:color="auto" w:fill="FFFFFF"/>
            <w:vAlign w:val="bottom"/>
          </w:tcPr>
          <w:p w14:paraId="372A547B" w14:textId="755C66C6" w:rsidR="00AE1E5C" w:rsidRPr="006B43AF" w:rsidRDefault="00AE1E5C" w:rsidP="004203CD">
            <w:pPr>
              <w:pStyle w:val="12TBRightColHeaderTableBack"/>
              <w:rPr>
                <w:b/>
                <w:bCs/>
                <w:color w:val="3D7FE0" w:themeColor="accent1"/>
                <w:spacing w:val="-4"/>
                <w:sz w:val="16"/>
                <w:szCs w:val="16"/>
              </w:rPr>
            </w:pPr>
            <w:r w:rsidRPr="006B43AF">
              <w:rPr>
                <w:rStyle w:val="BoldBlue"/>
                <w:rFonts w:cs="IBM Plex Sans"/>
                <w:bCs w:val="0"/>
                <w:color w:val="3D7FE0" w:themeColor="accent1"/>
                <w:sz w:val="16"/>
                <w:szCs w:val="16"/>
              </w:rPr>
              <w:t>Group portfolio</w:t>
            </w:r>
            <w:r w:rsidRPr="006B43AF">
              <w:rPr>
                <w:rStyle w:val="BoldBlue"/>
                <w:rFonts w:cs="IBM Plex Sans"/>
                <w:bCs w:val="0"/>
                <w:color w:val="3D7FE0" w:themeColor="accent1"/>
                <w:sz w:val="16"/>
                <w:szCs w:val="16"/>
              </w:rPr>
              <w:br/>
            </w:r>
            <w:r w:rsidR="00907934">
              <w:rPr>
                <w:rStyle w:val="BoldBlue"/>
                <w:rFonts w:cs="IBM Plex Sans"/>
                <w:bCs w:val="0"/>
                <w:color w:val="3D7FE0" w:themeColor="accent1"/>
                <w:sz w:val="16"/>
                <w:szCs w:val="16"/>
              </w:rPr>
              <w:t>%</w:t>
            </w:r>
            <w:r w:rsidRPr="006B43AF">
              <w:rPr>
                <w:rStyle w:val="BoldBlue"/>
                <w:rFonts w:cs="IBM Plex Sans"/>
                <w:bCs w:val="0"/>
                <w:color w:val="3D7FE0" w:themeColor="accent1"/>
                <w:sz w:val="16"/>
                <w:szCs w:val="16"/>
              </w:rPr>
              <w:t xml:space="preserve"> </w:t>
            </w:r>
          </w:p>
        </w:tc>
      </w:tr>
      <w:tr w:rsidR="00AE1E5C" w:rsidRPr="001124F3" w14:paraId="6CAAB4A7" w14:textId="77777777" w:rsidTr="004203CD">
        <w:tc>
          <w:tcPr>
            <w:tcW w:w="3572" w:type="dxa"/>
            <w:tcBorders>
              <w:top w:val="single" w:sz="2" w:space="0" w:color="3D7FE0" w:themeColor="accent1"/>
            </w:tcBorders>
            <w:vAlign w:val="bottom"/>
          </w:tcPr>
          <w:p w14:paraId="54575A68" w14:textId="77777777" w:rsidR="00AE1E5C" w:rsidRPr="001124F3" w:rsidRDefault="00AE1E5C" w:rsidP="004203CD">
            <w:pPr>
              <w:pStyle w:val="Tabletext"/>
              <w:rPr>
                <w:rFonts w:ascii="IBM Plex Sans Light" w:hAnsi="IBM Plex Sans Light"/>
                <w:sz w:val="18"/>
                <w:szCs w:val="24"/>
              </w:rPr>
            </w:pPr>
            <w:r w:rsidRPr="001124F3">
              <w:rPr>
                <w:rFonts w:ascii="IBM Plex Sans Light" w:hAnsi="IBM Plex Sans Light"/>
                <w:sz w:val="18"/>
                <w:szCs w:val="24"/>
              </w:rPr>
              <w:t>Income return</w:t>
            </w:r>
          </w:p>
        </w:tc>
        <w:tc>
          <w:tcPr>
            <w:tcW w:w="794" w:type="dxa"/>
            <w:tcBorders>
              <w:top w:val="single" w:sz="2" w:space="0" w:color="3D7FE0" w:themeColor="accent1"/>
            </w:tcBorders>
            <w:vAlign w:val="bottom"/>
          </w:tcPr>
          <w:p w14:paraId="3634206C"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8.7</w:t>
            </w:r>
          </w:p>
        </w:tc>
        <w:tc>
          <w:tcPr>
            <w:tcW w:w="794" w:type="dxa"/>
            <w:tcBorders>
              <w:top w:val="single" w:sz="2" w:space="0" w:color="3D7FE0" w:themeColor="accent1"/>
            </w:tcBorders>
            <w:vAlign w:val="bottom"/>
          </w:tcPr>
          <w:p w14:paraId="08CCA482"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4.6</w:t>
            </w:r>
          </w:p>
        </w:tc>
        <w:tc>
          <w:tcPr>
            <w:tcW w:w="794" w:type="dxa"/>
            <w:tcBorders>
              <w:top w:val="single" w:sz="2" w:space="0" w:color="3D7FE0" w:themeColor="accent1"/>
            </w:tcBorders>
            <w:vAlign w:val="bottom"/>
          </w:tcPr>
          <w:p w14:paraId="2DCFB777" w14:textId="77777777" w:rsidR="00AE1E5C" w:rsidRPr="007C0BC1" w:rsidRDefault="00AE1E5C" w:rsidP="004203CD">
            <w:pPr>
              <w:pStyle w:val="Tabletext"/>
              <w:jc w:val="right"/>
              <w:rPr>
                <w:rFonts w:ascii="IBM Plex Sans Light" w:hAnsi="IBM Plex Sans Light"/>
                <w:b/>
                <w:color w:val="3D7FE0" w:themeColor="accent1"/>
                <w:spacing w:val="-4"/>
                <w:sz w:val="18"/>
                <w:szCs w:val="18"/>
              </w:rPr>
            </w:pPr>
            <w:r w:rsidRPr="007C0BC1">
              <w:rPr>
                <w:rStyle w:val="BoldBlue"/>
                <w:rFonts w:ascii="IBM Plex Sans Light" w:hAnsi="IBM Plex Sans Light" w:cs="IBM Plex Sans"/>
                <w:bCs w:val="0"/>
                <w:color w:val="3D7FE0" w:themeColor="accent1"/>
                <w:sz w:val="18"/>
                <w:szCs w:val="18"/>
              </w:rPr>
              <w:t>5.7</w:t>
            </w:r>
          </w:p>
        </w:tc>
        <w:tc>
          <w:tcPr>
            <w:tcW w:w="794" w:type="dxa"/>
            <w:tcBorders>
              <w:top w:val="single" w:sz="2" w:space="0" w:color="3D7FE0" w:themeColor="accent1"/>
              <w:left w:val="nil"/>
            </w:tcBorders>
            <w:shd w:val="clear" w:color="auto" w:fill="FFFFFF"/>
            <w:vAlign w:val="bottom"/>
          </w:tcPr>
          <w:p w14:paraId="14BE1877"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6.3</w:t>
            </w:r>
          </w:p>
        </w:tc>
        <w:tc>
          <w:tcPr>
            <w:tcW w:w="794" w:type="dxa"/>
            <w:tcBorders>
              <w:top w:val="single" w:sz="2" w:space="0" w:color="3D7FE0" w:themeColor="accent1"/>
            </w:tcBorders>
            <w:shd w:val="clear" w:color="auto" w:fill="FFFFFF"/>
            <w:vAlign w:val="bottom"/>
          </w:tcPr>
          <w:p w14:paraId="5BBD449A"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2.7</w:t>
            </w:r>
          </w:p>
        </w:tc>
        <w:tc>
          <w:tcPr>
            <w:tcW w:w="794" w:type="dxa"/>
            <w:tcBorders>
              <w:top w:val="single" w:sz="2" w:space="0" w:color="3D7FE0" w:themeColor="accent1"/>
              <w:left w:val="nil"/>
            </w:tcBorders>
            <w:shd w:val="clear" w:color="auto" w:fill="FFFFFF"/>
            <w:vAlign w:val="bottom"/>
          </w:tcPr>
          <w:p w14:paraId="06FDAAB4"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5.9</w:t>
            </w:r>
          </w:p>
        </w:tc>
        <w:tc>
          <w:tcPr>
            <w:tcW w:w="794" w:type="dxa"/>
            <w:tcBorders>
              <w:top w:val="single" w:sz="2" w:space="0" w:color="3D7FE0" w:themeColor="accent1"/>
            </w:tcBorders>
            <w:shd w:val="clear" w:color="auto" w:fill="FFFFFF"/>
            <w:vAlign w:val="bottom"/>
          </w:tcPr>
          <w:p w14:paraId="4C8A7E4D"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6.2</w:t>
            </w:r>
          </w:p>
        </w:tc>
        <w:tc>
          <w:tcPr>
            <w:tcW w:w="794" w:type="dxa"/>
            <w:tcBorders>
              <w:top w:val="single" w:sz="2" w:space="0" w:color="3D7FE0" w:themeColor="accent1"/>
              <w:left w:val="nil"/>
            </w:tcBorders>
            <w:shd w:val="clear" w:color="auto" w:fill="FFFFFF"/>
            <w:vAlign w:val="bottom"/>
          </w:tcPr>
          <w:p w14:paraId="781C31AD" w14:textId="77777777" w:rsidR="00AE1E5C" w:rsidRPr="007C0BC1" w:rsidRDefault="00AE1E5C" w:rsidP="004203CD">
            <w:pPr>
              <w:pStyle w:val="TableFiguresBold"/>
              <w:rPr>
                <w:rFonts w:ascii="IBM Plex Sans Light" w:hAnsi="IBM Plex Sans Light"/>
                <w:bCs w:val="0"/>
                <w:color w:val="3D7FE0" w:themeColor="accent1"/>
                <w:spacing w:val="-4"/>
                <w:sz w:val="18"/>
                <w:szCs w:val="18"/>
              </w:rPr>
            </w:pPr>
            <w:r w:rsidRPr="007C0BC1">
              <w:rPr>
                <w:rStyle w:val="BoldBlue"/>
                <w:rFonts w:ascii="IBM Plex Sans Light" w:hAnsi="IBM Plex Sans Light" w:cs="IBM Plex Sans"/>
                <w:b/>
                <w:color w:val="3D7FE0" w:themeColor="accent1"/>
                <w:sz w:val="18"/>
                <w:szCs w:val="18"/>
              </w:rPr>
              <w:t>6.0</w:t>
            </w:r>
          </w:p>
        </w:tc>
      </w:tr>
      <w:tr w:rsidR="00AE1E5C" w:rsidRPr="001124F3" w14:paraId="40D347EC" w14:textId="77777777" w:rsidTr="004203CD">
        <w:tc>
          <w:tcPr>
            <w:tcW w:w="3572" w:type="dxa"/>
            <w:vAlign w:val="bottom"/>
          </w:tcPr>
          <w:p w14:paraId="6BE15FC7" w14:textId="77777777" w:rsidR="00AE1E5C" w:rsidRPr="001124F3" w:rsidRDefault="00AE1E5C" w:rsidP="004203CD">
            <w:pPr>
              <w:pStyle w:val="Tabletext"/>
              <w:rPr>
                <w:rFonts w:ascii="IBM Plex Sans Light" w:hAnsi="IBM Plex Sans Light"/>
                <w:sz w:val="18"/>
                <w:szCs w:val="24"/>
              </w:rPr>
            </w:pPr>
            <w:r w:rsidRPr="001124F3">
              <w:rPr>
                <w:rFonts w:ascii="IBM Plex Sans Light" w:hAnsi="IBM Plex Sans Light"/>
                <w:sz w:val="18"/>
                <w:szCs w:val="24"/>
              </w:rPr>
              <w:t>Capital return</w:t>
            </w:r>
          </w:p>
        </w:tc>
        <w:tc>
          <w:tcPr>
            <w:tcW w:w="794" w:type="dxa"/>
            <w:vAlign w:val="bottom"/>
          </w:tcPr>
          <w:p w14:paraId="402451E6"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(2.4)</w:t>
            </w:r>
          </w:p>
        </w:tc>
        <w:tc>
          <w:tcPr>
            <w:tcW w:w="794" w:type="dxa"/>
            <w:vAlign w:val="bottom"/>
          </w:tcPr>
          <w:p w14:paraId="4C66C117"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(4.3)</w:t>
            </w:r>
          </w:p>
        </w:tc>
        <w:tc>
          <w:tcPr>
            <w:tcW w:w="794" w:type="dxa"/>
            <w:vAlign w:val="bottom"/>
          </w:tcPr>
          <w:p w14:paraId="1D0A75B6"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(5.6)</w:t>
            </w:r>
          </w:p>
        </w:tc>
        <w:tc>
          <w:tcPr>
            <w:tcW w:w="794" w:type="dxa"/>
            <w:tcBorders>
              <w:left w:val="nil"/>
            </w:tcBorders>
            <w:shd w:val="clear" w:color="auto" w:fill="FFFFFF"/>
            <w:vAlign w:val="bottom"/>
          </w:tcPr>
          <w:p w14:paraId="35527F3D"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(4.0)</w:t>
            </w:r>
          </w:p>
        </w:tc>
        <w:tc>
          <w:tcPr>
            <w:tcW w:w="794" w:type="dxa"/>
            <w:shd w:val="clear" w:color="auto" w:fill="FFFFFF"/>
            <w:vAlign w:val="bottom"/>
          </w:tcPr>
          <w:p w14:paraId="38E822E0"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(6.2)</w:t>
            </w:r>
          </w:p>
        </w:tc>
        <w:tc>
          <w:tcPr>
            <w:tcW w:w="794" w:type="dxa"/>
            <w:tcBorders>
              <w:left w:val="nil"/>
            </w:tcBorders>
            <w:shd w:val="clear" w:color="auto" w:fill="FFFFFF"/>
            <w:vAlign w:val="bottom"/>
          </w:tcPr>
          <w:p w14:paraId="3C8EAB70"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(4.1)</w:t>
            </w:r>
          </w:p>
        </w:tc>
        <w:tc>
          <w:tcPr>
            <w:tcW w:w="794" w:type="dxa"/>
            <w:shd w:val="clear" w:color="auto" w:fill="FFFFFF"/>
            <w:vAlign w:val="bottom"/>
          </w:tcPr>
          <w:p w14:paraId="4853CD24" w14:textId="77777777" w:rsidR="00AE1E5C" w:rsidRPr="00024B10"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(0.4)</w:t>
            </w:r>
          </w:p>
        </w:tc>
        <w:tc>
          <w:tcPr>
            <w:tcW w:w="794" w:type="dxa"/>
            <w:tcBorders>
              <w:left w:val="nil"/>
            </w:tcBorders>
            <w:shd w:val="clear" w:color="auto" w:fill="FFFFFF"/>
            <w:vAlign w:val="bottom"/>
          </w:tcPr>
          <w:p w14:paraId="51F1B5AB"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(2.6)</w:t>
            </w:r>
          </w:p>
        </w:tc>
      </w:tr>
      <w:tr w:rsidR="00AE1E5C" w:rsidRPr="001124F3" w14:paraId="1B694C6F" w14:textId="77777777" w:rsidTr="004203CD">
        <w:tc>
          <w:tcPr>
            <w:tcW w:w="3572" w:type="dxa"/>
            <w:tcBorders>
              <w:bottom w:val="single" w:sz="8" w:space="0" w:color="3D7FE0" w:themeColor="accent1"/>
            </w:tcBorders>
            <w:vAlign w:val="bottom"/>
          </w:tcPr>
          <w:p w14:paraId="047B0AAB" w14:textId="77777777" w:rsidR="00AE1E5C" w:rsidRPr="001124F3" w:rsidRDefault="00AE1E5C" w:rsidP="004203CD">
            <w:pPr>
              <w:pStyle w:val="Tabletext"/>
              <w:rPr>
                <w:rFonts w:ascii="IBM Plex Sans Light" w:hAnsi="IBM Plex Sans Light"/>
                <w:sz w:val="18"/>
                <w:szCs w:val="24"/>
              </w:rPr>
            </w:pPr>
            <w:r w:rsidRPr="001124F3">
              <w:rPr>
                <w:rFonts w:ascii="IBM Plex Sans Light" w:hAnsi="IBM Plex Sans Light"/>
                <w:sz w:val="18"/>
                <w:szCs w:val="24"/>
              </w:rPr>
              <w:t>Total return</w:t>
            </w:r>
          </w:p>
        </w:tc>
        <w:tc>
          <w:tcPr>
            <w:tcW w:w="794" w:type="dxa"/>
            <w:tcBorders>
              <w:bottom w:val="single" w:sz="8" w:space="0" w:color="3D7FE0" w:themeColor="accent1"/>
            </w:tcBorders>
            <w:vAlign w:val="bottom"/>
          </w:tcPr>
          <w:p w14:paraId="7F55051A" w14:textId="77777777" w:rsidR="00AE1E5C" w:rsidRPr="007C0BC1" w:rsidRDefault="00AE1E5C" w:rsidP="004203CD">
            <w:pPr>
              <w:pStyle w:val="Tabletext"/>
              <w:jc w:val="right"/>
              <w:rPr>
                <w:rStyle w:val="BoldBlue"/>
                <w:rFonts w:ascii="IBM Plex Sans Light" w:hAnsi="IBM Plex Sans Light" w:cs="IBM Plex Sans"/>
                <w:bCs w:val="0"/>
                <w:color w:val="3D7FE0" w:themeColor="accent1"/>
                <w:sz w:val="18"/>
                <w:szCs w:val="18"/>
              </w:rPr>
            </w:pPr>
            <w:r w:rsidRPr="007C0BC1">
              <w:rPr>
                <w:rStyle w:val="BoldBlue"/>
                <w:rFonts w:ascii="IBM Plex Sans Light" w:hAnsi="IBM Plex Sans Light" w:cs="IBM Plex Sans"/>
                <w:bCs w:val="0"/>
                <w:color w:val="3D7FE0" w:themeColor="accent1"/>
                <w:sz w:val="18"/>
                <w:szCs w:val="18"/>
              </w:rPr>
              <w:t>6.1</w:t>
            </w:r>
          </w:p>
        </w:tc>
        <w:tc>
          <w:tcPr>
            <w:tcW w:w="794" w:type="dxa"/>
            <w:tcBorders>
              <w:bottom w:val="single" w:sz="8" w:space="0" w:color="3D7FE0" w:themeColor="accent1"/>
            </w:tcBorders>
            <w:vAlign w:val="bottom"/>
          </w:tcPr>
          <w:p w14:paraId="7BB1C57B" w14:textId="77777777" w:rsidR="00AE1E5C" w:rsidRPr="007C0BC1" w:rsidRDefault="00AE1E5C" w:rsidP="004203CD">
            <w:pPr>
              <w:pStyle w:val="Tabletext"/>
              <w:jc w:val="right"/>
              <w:rPr>
                <w:rStyle w:val="BoldBlue"/>
                <w:rFonts w:ascii="IBM Plex Sans Light" w:hAnsi="IBM Plex Sans Light" w:cs="IBM Plex Sans"/>
                <w:bCs w:val="0"/>
                <w:color w:val="3D7FE0" w:themeColor="accent1"/>
                <w:sz w:val="18"/>
                <w:szCs w:val="18"/>
              </w:rPr>
            </w:pPr>
            <w:r w:rsidRPr="007C0BC1">
              <w:rPr>
                <w:rStyle w:val="BoldBlue"/>
                <w:rFonts w:ascii="IBM Plex Sans Light" w:hAnsi="IBM Plex Sans Light" w:cs="IBM Plex Sans"/>
                <w:bCs w:val="0"/>
                <w:color w:val="3D7FE0" w:themeColor="accent1"/>
                <w:sz w:val="18"/>
                <w:szCs w:val="18"/>
              </w:rPr>
              <w:t>0.1</w:t>
            </w:r>
          </w:p>
        </w:tc>
        <w:tc>
          <w:tcPr>
            <w:tcW w:w="794" w:type="dxa"/>
            <w:tcBorders>
              <w:bottom w:val="single" w:sz="8" w:space="0" w:color="3D7FE0" w:themeColor="accent1"/>
            </w:tcBorders>
            <w:vAlign w:val="bottom"/>
          </w:tcPr>
          <w:p w14:paraId="6DF1F671" w14:textId="77777777" w:rsidR="00AE1E5C" w:rsidRPr="007C0BC1" w:rsidRDefault="00AE1E5C" w:rsidP="00024B10">
            <w:pPr>
              <w:pStyle w:val="TableFiguresBrackets"/>
              <w:rPr>
                <w:rStyle w:val="BoldBlue"/>
                <w:rFonts w:ascii="IBM Plex Sans Light" w:hAnsi="IBM Plex Sans Light" w:cs="IBM Plex Sans"/>
                <w:bCs w:val="0"/>
                <w:color w:val="3D7FE0" w:themeColor="accent1"/>
                <w:sz w:val="18"/>
                <w:szCs w:val="18"/>
              </w:rPr>
            </w:pPr>
            <w:r w:rsidRPr="007C0BC1">
              <w:rPr>
                <w:rStyle w:val="BoldBlue"/>
                <w:rFonts w:ascii="IBM Plex Sans Light" w:hAnsi="IBM Plex Sans Light" w:cs="IBM Plex Sans"/>
                <w:bCs w:val="0"/>
                <w:color w:val="3D7FE0" w:themeColor="accent1"/>
                <w:sz w:val="18"/>
                <w:szCs w:val="18"/>
              </w:rPr>
              <w:t>(0.2)</w:t>
            </w:r>
          </w:p>
        </w:tc>
        <w:tc>
          <w:tcPr>
            <w:tcW w:w="794" w:type="dxa"/>
            <w:tcBorders>
              <w:left w:val="nil"/>
              <w:bottom w:val="single" w:sz="8" w:space="0" w:color="3D7FE0" w:themeColor="accent1"/>
            </w:tcBorders>
            <w:shd w:val="clear" w:color="auto" w:fill="FFFFFF"/>
            <w:vAlign w:val="bottom"/>
          </w:tcPr>
          <w:p w14:paraId="76884981" w14:textId="77777777" w:rsidR="00AE1E5C" w:rsidRPr="007C0BC1" w:rsidRDefault="00AE1E5C" w:rsidP="004203CD">
            <w:pPr>
              <w:pStyle w:val="Tabletext"/>
              <w:jc w:val="right"/>
              <w:rPr>
                <w:rStyle w:val="BoldBlue"/>
                <w:rFonts w:ascii="IBM Plex Sans Light" w:hAnsi="IBM Plex Sans Light" w:cs="IBM Plex Sans"/>
                <w:bCs w:val="0"/>
                <w:color w:val="3D7FE0" w:themeColor="accent1"/>
                <w:sz w:val="18"/>
                <w:szCs w:val="18"/>
              </w:rPr>
            </w:pPr>
            <w:r w:rsidRPr="007C0BC1">
              <w:rPr>
                <w:rStyle w:val="BoldBlue"/>
                <w:rFonts w:ascii="IBM Plex Sans Light" w:hAnsi="IBM Plex Sans Light" w:cs="IBM Plex Sans"/>
                <w:bCs w:val="0"/>
                <w:color w:val="3D7FE0" w:themeColor="accent1"/>
                <w:sz w:val="18"/>
                <w:szCs w:val="18"/>
              </w:rPr>
              <w:t>2.0</w:t>
            </w:r>
          </w:p>
        </w:tc>
        <w:tc>
          <w:tcPr>
            <w:tcW w:w="794" w:type="dxa"/>
            <w:tcBorders>
              <w:bottom w:val="single" w:sz="8" w:space="0" w:color="3D7FE0" w:themeColor="accent1"/>
            </w:tcBorders>
            <w:shd w:val="clear" w:color="auto" w:fill="FFFFFF"/>
            <w:vAlign w:val="bottom"/>
          </w:tcPr>
          <w:p w14:paraId="6578CED3" w14:textId="77777777" w:rsidR="00AE1E5C" w:rsidRPr="007C0BC1" w:rsidRDefault="00AE1E5C" w:rsidP="00024B10">
            <w:pPr>
              <w:pStyle w:val="TableFiguresBrackets"/>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(3.6)</w:t>
            </w:r>
          </w:p>
        </w:tc>
        <w:tc>
          <w:tcPr>
            <w:tcW w:w="794" w:type="dxa"/>
            <w:tcBorders>
              <w:left w:val="nil"/>
              <w:bottom w:val="single" w:sz="8" w:space="0" w:color="3D7FE0" w:themeColor="accent1"/>
            </w:tcBorders>
            <w:shd w:val="clear" w:color="auto" w:fill="FFFFFF"/>
            <w:vAlign w:val="bottom"/>
          </w:tcPr>
          <w:p w14:paraId="66A36352"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1.6</w:t>
            </w:r>
          </w:p>
        </w:tc>
        <w:tc>
          <w:tcPr>
            <w:tcW w:w="794" w:type="dxa"/>
            <w:tcBorders>
              <w:bottom w:val="single" w:sz="8" w:space="0" w:color="3D7FE0" w:themeColor="accent1"/>
            </w:tcBorders>
            <w:shd w:val="clear" w:color="auto" w:fill="FFFFFF"/>
            <w:vAlign w:val="bottom"/>
          </w:tcPr>
          <w:p w14:paraId="2526257F"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5.8</w:t>
            </w:r>
          </w:p>
        </w:tc>
        <w:tc>
          <w:tcPr>
            <w:tcW w:w="794" w:type="dxa"/>
            <w:tcBorders>
              <w:left w:val="nil"/>
              <w:bottom w:val="single" w:sz="8" w:space="0" w:color="3D7FE0" w:themeColor="accent1"/>
            </w:tcBorders>
            <w:shd w:val="clear" w:color="auto" w:fill="FFFFFF"/>
            <w:vAlign w:val="bottom"/>
          </w:tcPr>
          <w:p w14:paraId="43793168" w14:textId="77777777" w:rsidR="00AE1E5C" w:rsidRPr="007C0BC1" w:rsidRDefault="00AE1E5C" w:rsidP="004203CD">
            <w:pPr>
              <w:pStyle w:val="TableFiguresBold"/>
              <w:rPr>
                <w:rFonts w:ascii="IBM Plex Sans Light" w:hAnsi="IBM Plex Sans Light"/>
                <w:bCs w:val="0"/>
                <w:color w:val="3D7FE0" w:themeColor="accent1"/>
                <w:sz w:val="18"/>
                <w:szCs w:val="18"/>
              </w:rPr>
            </w:pPr>
            <w:r w:rsidRPr="007C0BC1">
              <w:rPr>
                <w:rStyle w:val="BoldBlue"/>
                <w:rFonts w:ascii="IBM Plex Sans Light" w:hAnsi="IBM Plex Sans Light" w:cs="IBM Plex Sans"/>
                <w:b/>
                <w:color w:val="3D7FE0" w:themeColor="accent1"/>
                <w:sz w:val="18"/>
                <w:szCs w:val="18"/>
              </w:rPr>
              <w:t>3.2</w:t>
            </w:r>
          </w:p>
        </w:tc>
      </w:tr>
    </w:tbl>
    <w:p w14:paraId="31A5F626" w14:textId="77777777" w:rsidR="00AE1E5C" w:rsidRDefault="00AE1E5C" w:rsidP="00AE1E5C">
      <w:pPr>
        <w:pStyle w:val="04BodyCopyFronttext9105"/>
      </w:pPr>
    </w:p>
    <w:tbl>
      <w:tblPr>
        <w:tblW w:w="9924" w:type="dxa"/>
        <w:tblLayout w:type="fixed"/>
        <w:tblCellMar>
          <w:left w:w="0" w:type="dxa"/>
          <w:right w:w="0" w:type="dxa"/>
        </w:tblCellMar>
        <w:tblLook w:val="00A0" w:firstRow="1" w:lastRow="0" w:firstColumn="1" w:lastColumn="0" w:noHBand="0" w:noVBand="0"/>
      </w:tblPr>
      <w:tblGrid>
        <w:gridCol w:w="3572"/>
        <w:gridCol w:w="794"/>
        <w:gridCol w:w="794"/>
        <w:gridCol w:w="794"/>
        <w:gridCol w:w="794"/>
        <w:gridCol w:w="794"/>
        <w:gridCol w:w="794"/>
        <w:gridCol w:w="794"/>
        <w:gridCol w:w="794"/>
      </w:tblGrid>
      <w:tr w:rsidR="00AE1E5C" w:rsidRPr="00274099" w14:paraId="3FDF897A" w14:textId="77777777" w:rsidTr="004203CD">
        <w:tc>
          <w:tcPr>
            <w:tcW w:w="3572" w:type="dxa"/>
            <w:tcBorders>
              <w:bottom w:val="single" w:sz="4" w:space="0" w:color="4472C4"/>
            </w:tcBorders>
            <w:vAlign w:val="bottom"/>
          </w:tcPr>
          <w:p w14:paraId="46E0CFA5" w14:textId="77777777" w:rsidR="00AE1E5C" w:rsidRPr="001124F3" w:rsidRDefault="00AE1E5C" w:rsidP="004203CD">
            <w:pPr>
              <w:pStyle w:val="Tabletext"/>
              <w:rPr>
                <w:rFonts w:ascii="IBM Plex Sans Light" w:hAnsi="IBM Plex Sans Light"/>
                <w:color w:val="auto"/>
              </w:rPr>
            </w:pPr>
          </w:p>
        </w:tc>
        <w:tc>
          <w:tcPr>
            <w:tcW w:w="794" w:type="dxa"/>
            <w:tcBorders>
              <w:bottom w:val="single" w:sz="4" w:space="0" w:color="4472C4"/>
            </w:tcBorders>
            <w:vAlign w:val="bottom"/>
          </w:tcPr>
          <w:p w14:paraId="398ABD7D"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vAlign w:val="bottom"/>
          </w:tcPr>
          <w:p w14:paraId="1A94485E"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vAlign w:val="bottom"/>
          </w:tcPr>
          <w:p w14:paraId="45A8FD76"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shd w:val="clear" w:color="auto" w:fill="FFFFFF"/>
            <w:vAlign w:val="bottom"/>
          </w:tcPr>
          <w:p w14:paraId="7F10845C"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shd w:val="clear" w:color="auto" w:fill="FFFFFF"/>
            <w:vAlign w:val="bottom"/>
          </w:tcPr>
          <w:p w14:paraId="37B2BE39"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shd w:val="clear" w:color="auto" w:fill="FFFFFF"/>
            <w:vAlign w:val="bottom"/>
          </w:tcPr>
          <w:p w14:paraId="5F3873D6"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shd w:val="clear" w:color="auto" w:fill="FFFFFF"/>
            <w:vAlign w:val="bottom"/>
          </w:tcPr>
          <w:p w14:paraId="13C0BE7F" w14:textId="77777777" w:rsidR="00AE1E5C" w:rsidRPr="001124F3" w:rsidRDefault="00AE1E5C" w:rsidP="004203CD">
            <w:pPr>
              <w:pStyle w:val="12TBRightColHeaderTableBack"/>
              <w:rPr>
                <w:rStyle w:val="BoldBlue"/>
                <w:rFonts w:cs="IBM Plex Sans"/>
                <w:b w:val="0"/>
                <w:color w:val="auto"/>
                <w:sz w:val="16"/>
                <w:szCs w:val="16"/>
              </w:rPr>
            </w:pPr>
          </w:p>
        </w:tc>
        <w:tc>
          <w:tcPr>
            <w:tcW w:w="794" w:type="dxa"/>
            <w:tcBorders>
              <w:bottom w:val="single" w:sz="4" w:space="0" w:color="4472C4"/>
            </w:tcBorders>
            <w:shd w:val="clear" w:color="auto" w:fill="FFFFFF"/>
            <w:vAlign w:val="bottom"/>
          </w:tcPr>
          <w:p w14:paraId="6458DB3C" w14:textId="77777777" w:rsidR="00AE1E5C" w:rsidRPr="001124F3" w:rsidRDefault="00AE1E5C" w:rsidP="004203CD">
            <w:pPr>
              <w:pStyle w:val="12TBRightColHeaderTableBack"/>
              <w:rPr>
                <w:rStyle w:val="BoldBlue"/>
                <w:rFonts w:cs="IBM Plex Sans"/>
                <w:b w:val="0"/>
                <w:color w:val="auto"/>
                <w:sz w:val="16"/>
                <w:szCs w:val="16"/>
              </w:rPr>
            </w:pPr>
            <w:r w:rsidRPr="001124F3">
              <w:rPr>
                <w:rStyle w:val="BoldBlue"/>
                <w:rFonts w:cs="IBM Plex Sans"/>
                <w:b w:val="0"/>
                <w:color w:val="auto"/>
                <w:sz w:val="16"/>
                <w:szCs w:val="16"/>
              </w:rPr>
              <w:t>2022</w:t>
            </w:r>
          </w:p>
        </w:tc>
      </w:tr>
      <w:tr w:rsidR="00AE1E5C" w:rsidRPr="00274099" w14:paraId="528CFEF5" w14:textId="77777777" w:rsidTr="004203CD">
        <w:tc>
          <w:tcPr>
            <w:tcW w:w="3572" w:type="dxa"/>
            <w:tcBorders>
              <w:top w:val="single" w:sz="4" w:space="0" w:color="4472C4"/>
              <w:bottom w:val="single" w:sz="2" w:space="0" w:color="3D7FE0" w:themeColor="accent1"/>
            </w:tcBorders>
            <w:vAlign w:val="bottom"/>
          </w:tcPr>
          <w:p w14:paraId="7DA9F0BF" w14:textId="77777777" w:rsidR="00AE1E5C" w:rsidRPr="001124F3" w:rsidRDefault="00AE1E5C" w:rsidP="004203CD">
            <w:pPr>
              <w:pStyle w:val="Tabletext"/>
              <w:rPr>
                <w:rFonts w:ascii="IBM Plex Sans Light" w:hAnsi="IBM Plex Sans Light"/>
                <w:b/>
                <w:bCs/>
                <w:color w:val="auto"/>
                <w:spacing w:val="-4"/>
                <w:sz w:val="18"/>
                <w:szCs w:val="24"/>
              </w:rPr>
            </w:pPr>
            <w:r w:rsidRPr="001124F3">
              <w:rPr>
                <w:rFonts w:ascii="IBM Plex Sans Light" w:hAnsi="IBM Plex Sans Light"/>
                <w:color w:val="auto"/>
              </w:rPr>
              <w:t>Proportionally consolidated including Value Retail</w:t>
            </w:r>
          </w:p>
        </w:tc>
        <w:tc>
          <w:tcPr>
            <w:tcW w:w="794" w:type="dxa"/>
            <w:tcBorders>
              <w:top w:val="single" w:sz="4" w:space="0" w:color="4472C4"/>
              <w:bottom w:val="single" w:sz="2" w:space="0" w:color="3D7FE0" w:themeColor="accent1"/>
            </w:tcBorders>
            <w:vAlign w:val="bottom"/>
          </w:tcPr>
          <w:p w14:paraId="7B85D102" w14:textId="37C47567" w:rsidR="00AE1E5C" w:rsidRPr="001124F3" w:rsidRDefault="00AE1E5C" w:rsidP="004203CD">
            <w:pPr>
              <w:pStyle w:val="12TBRightColHeaderTableBack"/>
              <w:rPr>
                <w:rStyle w:val="BoldBlue"/>
                <w:rFonts w:cs="IBM Plex Sans"/>
                <w:b w:val="0"/>
                <w:color w:val="auto"/>
                <w:sz w:val="16"/>
                <w:szCs w:val="16"/>
              </w:rPr>
            </w:pPr>
            <w:r w:rsidRPr="001124F3">
              <w:rPr>
                <w:rStyle w:val="BoldBlue"/>
                <w:rFonts w:cs="IBM Plex Sans"/>
                <w:b w:val="0"/>
                <w:color w:val="auto"/>
                <w:sz w:val="16"/>
                <w:szCs w:val="16"/>
              </w:rPr>
              <w:t>UK</w:t>
            </w:r>
            <w:r>
              <w:rPr>
                <w:rStyle w:val="BoldBlue"/>
                <w:rFonts w:cs="IBM Plex Sans"/>
                <w:b w:val="0"/>
                <w:color w:val="auto"/>
                <w:sz w:val="16"/>
                <w:szCs w:val="16"/>
              </w:rPr>
              <w:br/>
            </w:r>
            <w:r w:rsidR="00907934">
              <w:rPr>
                <w:rStyle w:val="BoldBlue"/>
                <w:rFonts w:cs="IBM Plex Sans"/>
                <w:b w:val="0"/>
                <w:color w:val="auto"/>
                <w:sz w:val="16"/>
                <w:szCs w:val="16"/>
              </w:rPr>
              <w:t>%</w:t>
            </w:r>
          </w:p>
        </w:tc>
        <w:tc>
          <w:tcPr>
            <w:tcW w:w="794" w:type="dxa"/>
            <w:tcBorders>
              <w:top w:val="single" w:sz="4" w:space="0" w:color="4472C4"/>
              <w:bottom w:val="single" w:sz="2" w:space="0" w:color="3D7FE0" w:themeColor="accent1"/>
            </w:tcBorders>
            <w:vAlign w:val="bottom"/>
          </w:tcPr>
          <w:p w14:paraId="57B04338" w14:textId="0655AACF" w:rsidR="00AE1E5C" w:rsidRPr="001124F3" w:rsidRDefault="00AE1E5C" w:rsidP="004203CD">
            <w:pPr>
              <w:pStyle w:val="12TBRightColHeaderTableBack"/>
              <w:rPr>
                <w:rStyle w:val="BoldBlue"/>
                <w:rFonts w:cs="IBM Plex Sans"/>
                <w:b w:val="0"/>
                <w:color w:val="auto"/>
                <w:sz w:val="16"/>
                <w:szCs w:val="16"/>
              </w:rPr>
            </w:pPr>
            <w:r w:rsidRPr="001124F3">
              <w:rPr>
                <w:rStyle w:val="BoldBlue"/>
                <w:rFonts w:cs="IBM Plex Sans"/>
                <w:b w:val="0"/>
                <w:color w:val="auto"/>
                <w:sz w:val="16"/>
                <w:szCs w:val="16"/>
              </w:rPr>
              <w:t>France</w:t>
            </w:r>
            <w:r>
              <w:rPr>
                <w:rStyle w:val="BoldBlue"/>
                <w:rFonts w:cs="IBM Plex Sans"/>
                <w:b w:val="0"/>
                <w:color w:val="auto"/>
                <w:sz w:val="16"/>
                <w:szCs w:val="16"/>
              </w:rPr>
              <w:br/>
            </w:r>
            <w:r w:rsidR="00907934">
              <w:rPr>
                <w:rStyle w:val="BoldBlue"/>
                <w:rFonts w:cs="IBM Plex Sans"/>
                <w:b w:val="0"/>
                <w:color w:val="auto"/>
                <w:sz w:val="16"/>
                <w:szCs w:val="16"/>
              </w:rPr>
              <w:t>%</w:t>
            </w:r>
          </w:p>
        </w:tc>
        <w:tc>
          <w:tcPr>
            <w:tcW w:w="794" w:type="dxa"/>
            <w:tcBorders>
              <w:top w:val="single" w:sz="4" w:space="0" w:color="4472C4"/>
              <w:bottom w:val="single" w:sz="2" w:space="0" w:color="3D7FE0" w:themeColor="accent1"/>
            </w:tcBorders>
            <w:vAlign w:val="bottom"/>
          </w:tcPr>
          <w:p w14:paraId="200FA12C" w14:textId="5B0D6933" w:rsidR="00AE1E5C" w:rsidRPr="001124F3" w:rsidRDefault="00AE1E5C" w:rsidP="004203CD">
            <w:pPr>
              <w:pStyle w:val="12TBRightColHeaderTableBack"/>
              <w:rPr>
                <w:rStyle w:val="BoldBlue"/>
                <w:rFonts w:cs="IBM Plex Sans"/>
                <w:b w:val="0"/>
                <w:color w:val="auto"/>
                <w:sz w:val="16"/>
                <w:szCs w:val="16"/>
              </w:rPr>
            </w:pPr>
            <w:r w:rsidRPr="001124F3">
              <w:rPr>
                <w:rStyle w:val="BoldBlue"/>
                <w:rFonts w:cs="IBM Plex Sans"/>
                <w:b w:val="0"/>
                <w:color w:val="auto"/>
                <w:sz w:val="16"/>
                <w:szCs w:val="16"/>
              </w:rPr>
              <w:t>Ireland</w:t>
            </w:r>
            <w:r>
              <w:rPr>
                <w:rStyle w:val="BoldBlue"/>
                <w:rFonts w:cs="IBM Plex Sans"/>
                <w:b w:val="0"/>
                <w:color w:val="auto"/>
                <w:sz w:val="16"/>
                <w:szCs w:val="16"/>
              </w:rPr>
              <w:br/>
            </w:r>
            <w:r w:rsidR="00907934">
              <w:rPr>
                <w:rStyle w:val="BoldBlue"/>
                <w:rFonts w:cs="IBM Plex Sans"/>
                <w:b w:val="0"/>
                <w:color w:val="auto"/>
                <w:sz w:val="16"/>
                <w:szCs w:val="16"/>
              </w:rPr>
              <w:t>%</w:t>
            </w:r>
          </w:p>
        </w:tc>
        <w:tc>
          <w:tcPr>
            <w:tcW w:w="794" w:type="dxa"/>
            <w:tcBorders>
              <w:top w:val="single" w:sz="4" w:space="0" w:color="4472C4"/>
              <w:bottom w:val="single" w:sz="2" w:space="0" w:color="3D7FE0" w:themeColor="accent1"/>
            </w:tcBorders>
            <w:shd w:val="clear" w:color="auto" w:fill="FFFFFF"/>
            <w:vAlign w:val="bottom"/>
          </w:tcPr>
          <w:p w14:paraId="12A6E90F" w14:textId="61113A6E" w:rsidR="00AE1E5C" w:rsidRPr="00653D8F" w:rsidRDefault="00AE1E5C" w:rsidP="004203CD">
            <w:pPr>
              <w:pStyle w:val="12TBRightColHeaderTableBack"/>
              <w:rPr>
                <w:color w:val="auto"/>
                <w:spacing w:val="-4"/>
                <w:sz w:val="16"/>
                <w:szCs w:val="16"/>
              </w:rPr>
            </w:pPr>
            <w:r w:rsidRPr="00653D8F">
              <w:rPr>
                <w:rStyle w:val="BoldBlue"/>
                <w:rFonts w:cs="IBM Plex Sans"/>
                <w:bCs w:val="0"/>
                <w:color w:val="auto"/>
                <w:sz w:val="16"/>
                <w:szCs w:val="16"/>
              </w:rPr>
              <w:t>Total flagships</w:t>
            </w:r>
            <w:r w:rsidRPr="00653D8F">
              <w:rPr>
                <w:rStyle w:val="BoldBlue"/>
                <w:rFonts w:cs="IBM Plex Sans"/>
                <w:bCs w:val="0"/>
                <w:color w:val="auto"/>
                <w:sz w:val="16"/>
                <w:szCs w:val="16"/>
              </w:rPr>
              <w:br/>
            </w:r>
            <w:r w:rsidR="00907934">
              <w:rPr>
                <w:rStyle w:val="BoldBlue"/>
                <w:rFonts w:cs="IBM Plex Sans"/>
                <w:bCs w:val="0"/>
                <w:color w:val="auto"/>
                <w:sz w:val="16"/>
                <w:szCs w:val="16"/>
              </w:rPr>
              <w:t>%</w:t>
            </w:r>
          </w:p>
        </w:tc>
        <w:tc>
          <w:tcPr>
            <w:tcW w:w="794" w:type="dxa"/>
            <w:tcBorders>
              <w:top w:val="single" w:sz="4" w:space="0" w:color="4472C4"/>
              <w:bottom w:val="single" w:sz="2" w:space="0" w:color="3D7FE0" w:themeColor="accent1"/>
            </w:tcBorders>
            <w:shd w:val="clear" w:color="auto" w:fill="FFFFFF"/>
            <w:vAlign w:val="bottom"/>
          </w:tcPr>
          <w:p w14:paraId="28479049" w14:textId="0B1789EF" w:rsidR="00AE1E5C" w:rsidRPr="001124F3" w:rsidRDefault="00AE1E5C" w:rsidP="004203CD">
            <w:pPr>
              <w:pStyle w:val="12TBRightColHeaderTableBack"/>
              <w:rPr>
                <w:b/>
                <w:bCs/>
                <w:color w:val="auto"/>
                <w:sz w:val="16"/>
                <w:szCs w:val="16"/>
              </w:rPr>
            </w:pPr>
            <w:r w:rsidRPr="001124F3">
              <w:rPr>
                <w:rStyle w:val="BoldBlue"/>
                <w:rFonts w:cs="IBM Plex Sans"/>
                <w:b w:val="0"/>
                <w:color w:val="auto"/>
                <w:sz w:val="16"/>
                <w:szCs w:val="16"/>
              </w:rPr>
              <w:t>Develop-</w:t>
            </w:r>
            <w:proofErr w:type="spellStart"/>
            <w:r w:rsidRPr="001124F3">
              <w:rPr>
                <w:rStyle w:val="BoldBlue"/>
                <w:rFonts w:cs="IBM Plex Sans"/>
                <w:b w:val="0"/>
                <w:color w:val="auto"/>
                <w:sz w:val="16"/>
                <w:szCs w:val="16"/>
              </w:rPr>
              <w:t>ments</w:t>
            </w:r>
            <w:proofErr w:type="spellEnd"/>
            <w:r w:rsidRPr="001124F3">
              <w:rPr>
                <w:rStyle w:val="BoldBlue"/>
                <w:rFonts w:cs="IBM Plex Sans"/>
                <w:b w:val="0"/>
                <w:color w:val="auto"/>
                <w:sz w:val="16"/>
                <w:szCs w:val="16"/>
              </w:rPr>
              <w:t xml:space="preserve"> and other</w:t>
            </w:r>
            <w:r>
              <w:rPr>
                <w:rStyle w:val="BoldBlue"/>
                <w:rFonts w:cs="IBM Plex Sans"/>
                <w:b w:val="0"/>
                <w:color w:val="auto"/>
                <w:sz w:val="16"/>
                <w:szCs w:val="16"/>
              </w:rPr>
              <w:br/>
            </w:r>
            <w:r w:rsidR="00907934">
              <w:rPr>
                <w:rStyle w:val="BoldBlue"/>
                <w:rFonts w:cs="IBM Plex Sans"/>
                <w:b w:val="0"/>
                <w:color w:val="auto"/>
                <w:sz w:val="16"/>
                <w:szCs w:val="16"/>
              </w:rPr>
              <w:t>%</w:t>
            </w:r>
          </w:p>
        </w:tc>
        <w:tc>
          <w:tcPr>
            <w:tcW w:w="794" w:type="dxa"/>
            <w:tcBorders>
              <w:top w:val="single" w:sz="4" w:space="0" w:color="4472C4"/>
              <w:bottom w:val="single" w:sz="2" w:space="0" w:color="3D7FE0" w:themeColor="accent1"/>
            </w:tcBorders>
            <w:shd w:val="clear" w:color="auto" w:fill="FFFFFF"/>
            <w:vAlign w:val="bottom"/>
          </w:tcPr>
          <w:p w14:paraId="5C76FDF6" w14:textId="58427230" w:rsidR="00AE1E5C" w:rsidRPr="00653D8F" w:rsidRDefault="00AE1E5C" w:rsidP="004203CD">
            <w:pPr>
              <w:pStyle w:val="12TBRightColHeaderTableBack"/>
              <w:rPr>
                <w:rStyle w:val="BoldBlue"/>
                <w:rFonts w:cs="IBM Plex Sans"/>
                <w:bCs w:val="0"/>
                <w:color w:val="auto"/>
                <w:sz w:val="16"/>
                <w:szCs w:val="16"/>
              </w:rPr>
            </w:pPr>
            <w:r w:rsidRPr="00653D8F">
              <w:rPr>
                <w:rStyle w:val="BoldBlue"/>
                <w:rFonts w:cs="IBM Plex Sans"/>
                <w:bCs w:val="0"/>
                <w:color w:val="auto"/>
                <w:sz w:val="16"/>
                <w:szCs w:val="16"/>
              </w:rPr>
              <w:t>Managed portfolio</w:t>
            </w:r>
            <w:r w:rsidRPr="00653D8F">
              <w:rPr>
                <w:rStyle w:val="BoldBlue"/>
                <w:rFonts w:cs="IBM Plex Sans"/>
                <w:bCs w:val="0"/>
                <w:color w:val="auto"/>
                <w:sz w:val="16"/>
                <w:szCs w:val="16"/>
              </w:rPr>
              <w:br/>
            </w:r>
            <w:r w:rsidR="00907934">
              <w:rPr>
                <w:rStyle w:val="BoldBlue"/>
                <w:rFonts w:cs="IBM Plex Sans"/>
                <w:bCs w:val="0"/>
                <w:color w:val="auto"/>
                <w:sz w:val="16"/>
                <w:szCs w:val="16"/>
              </w:rPr>
              <w:t>%</w:t>
            </w:r>
            <w:r w:rsidRPr="00653D8F">
              <w:rPr>
                <w:rStyle w:val="BoldBlue"/>
                <w:rFonts w:cs="IBM Plex Sans"/>
                <w:bCs w:val="0"/>
                <w:color w:val="auto"/>
                <w:sz w:val="16"/>
                <w:szCs w:val="16"/>
              </w:rPr>
              <w:t xml:space="preserve"> </w:t>
            </w:r>
          </w:p>
        </w:tc>
        <w:tc>
          <w:tcPr>
            <w:tcW w:w="794" w:type="dxa"/>
            <w:tcBorders>
              <w:top w:val="single" w:sz="4" w:space="0" w:color="4472C4"/>
              <w:bottom w:val="single" w:sz="2" w:space="0" w:color="3D7FE0" w:themeColor="accent1"/>
            </w:tcBorders>
            <w:shd w:val="clear" w:color="auto" w:fill="FFFFFF"/>
            <w:vAlign w:val="bottom"/>
          </w:tcPr>
          <w:p w14:paraId="5BF99E1B" w14:textId="77777777" w:rsidR="00AE1E5C" w:rsidRPr="001124F3" w:rsidRDefault="00AE1E5C" w:rsidP="004203CD">
            <w:pPr>
              <w:pStyle w:val="12TBRightColHeaderTableBack"/>
              <w:rPr>
                <w:rStyle w:val="BoldBlue"/>
                <w:rFonts w:cs="IBM Plex Sans"/>
                <w:b w:val="0"/>
                <w:color w:val="auto"/>
                <w:sz w:val="16"/>
                <w:szCs w:val="16"/>
              </w:rPr>
            </w:pPr>
            <w:r w:rsidRPr="001124F3">
              <w:rPr>
                <w:rStyle w:val="BoldBlue"/>
                <w:rFonts w:cs="IBM Plex Sans"/>
                <w:b w:val="0"/>
                <w:color w:val="auto"/>
                <w:sz w:val="16"/>
                <w:szCs w:val="16"/>
              </w:rPr>
              <w:t xml:space="preserve">Value </w:t>
            </w:r>
          </w:p>
          <w:p w14:paraId="1233668D" w14:textId="1D0631DF" w:rsidR="00AE1E5C" w:rsidRPr="001124F3" w:rsidRDefault="00AE1E5C" w:rsidP="004203CD">
            <w:pPr>
              <w:pStyle w:val="12TBRightColHeaderTableBack"/>
              <w:rPr>
                <w:b/>
                <w:bCs/>
                <w:color w:val="auto"/>
                <w:sz w:val="16"/>
                <w:szCs w:val="16"/>
              </w:rPr>
            </w:pPr>
            <w:r w:rsidRPr="001124F3">
              <w:rPr>
                <w:rStyle w:val="BoldBlue"/>
                <w:rFonts w:cs="IBM Plex Sans"/>
                <w:b w:val="0"/>
                <w:color w:val="auto"/>
                <w:sz w:val="16"/>
                <w:szCs w:val="16"/>
              </w:rPr>
              <w:t>Retai</w:t>
            </w:r>
            <w:r>
              <w:rPr>
                <w:rStyle w:val="BoldBlue"/>
                <w:rFonts w:cs="IBM Plex Sans"/>
                <w:b w:val="0"/>
                <w:color w:val="auto"/>
                <w:sz w:val="16"/>
                <w:szCs w:val="16"/>
              </w:rPr>
              <w:t>l</w:t>
            </w:r>
            <w:r>
              <w:rPr>
                <w:rStyle w:val="BoldBlue"/>
                <w:rFonts w:cs="IBM Plex Sans"/>
                <w:b w:val="0"/>
                <w:color w:val="auto"/>
                <w:sz w:val="16"/>
                <w:szCs w:val="16"/>
              </w:rPr>
              <w:br/>
            </w:r>
            <w:r w:rsidR="00907934">
              <w:rPr>
                <w:rStyle w:val="BoldBlue"/>
                <w:rFonts w:cs="IBM Plex Sans"/>
                <w:b w:val="0"/>
                <w:color w:val="auto"/>
                <w:sz w:val="16"/>
                <w:szCs w:val="16"/>
              </w:rPr>
              <w:t>%</w:t>
            </w:r>
            <w:r w:rsidRPr="001124F3">
              <w:rPr>
                <w:rStyle w:val="BoldBlue"/>
                <w:rFonts w:cs="IBM Plex Sans"/>
                <w:b w:val="0"/>
                <w:color w:val="auto"/>
                <w:sz w:val="16"/>
                <w:szCs w:val="16"/>
              </w:rPr>
              <w:t xml:space="preserve"> </w:t>
            </w:r>
          </w:p>
        </w:tc>
        <w:tc>
          <w:tcPr>
            <w:tcW w:w="794" w:type="dxa"/>
            <w:tcBorders>
              <w:top w:val="single" w:sz="4" w:space="0" w:color="4472C4"/>
              <w:bottom w:val="single" w:sz="2" w:space="0" w:color="3D7FE0" w:themeColor="accent1"/>
            </w:tcBorders>
            <w:shd w:val="clear" w:color="auto" w:fill="FFFFFF"/>
            <w:vAlign w:val="bottom"/>
          </w:tcPr>
          <w:p w14:paraId="58F1E28C" w14:textId="1A65203B" w:rsidR="00AE1E5C" w:rsidRPr="00653D8F" w:rsidRDefault="00AE1E5C" w:rsidP="004203CD">
            <w:pPr>
              <w:pStyle w:val="12TBRightColHeaderTableBack"/>
              <w:rPr>
                <w:color w:val="auto"/>
                <w:spacing w:val="-4"/>
                <w:sz w:val="16"/>
                <w:szCs w:val="16"/>
              </w:rPr>
            </w:pPr>
            <w:r w:rsidRPr="00653D8F">
              <w:rPr>
                <w:rStyle w:val="BoldBlue"/>
                <w:rFonts w:cs="IBM Plex Sans"/>
                <w:bCs w:val="0"/>
                <w:color w:val="auto"/>
                <w:sz w:val="16"/>
                <w:szCs w:val="16"/>
              </w:rPr>
              <w:t>Group portfolio</w:t>
            </w:r>
            <w:r w:rsidRPr="00653D8F">
              <w:rPr>
                <w:rStyle w:val="BoldBlue"/>
                <w:rFonts w:cs="IBM Plex Sans"/>
                <w:bCs w:val="0"/>
                <w:color w:val="auto"/>
                <w:sz w:val="16"/>
                <w:szCs w:val="16"/>
              </w:rPr>
              <w:br/>
            </w:r>
            <w:r w:rsidR="00907934">
              <w:rPr>
                <w:rStyle w:val="BoldBlue"/>
                <w:rFonts w:cs="IBM Plex Sans"/>
                <w:bCs w:val="0"/>
                <w:color w:val="auto"/>
                <w:sz w:val="16"/>
                <w:szCs w:val="16"/>
              </w:rPr>
              <w:t>%</w:t>
            </w:r>
            <w:r w:rsidRPr="00653D8F">
              <w:rPr>
                <w:rStyle w:val="BoldBlue"/>
                <w:rFonts w:cs="IBM Plex Sans"/>
                <w:bCs w:val="0"/>
                <w:color w:val="auto"/>
                <w:sz w:val="16"/>
                <w:szCs w:val="16"/>
              </w:rPr>
              <w:t xml:space="preserve"> </w:t>
            </w:r>
          </w:p>
        </w:tc>
      </w:tr>
      <w:tr w:rsidR="00AE1E5C" w:rsidRPr="001124F3" w14:paraId="68D38D96" w14:textId="77777777" w:rsidTr="004203CD">
        <w:tc>
          <w:tcPr>
            <w:tcW w:w="3572" w:type="dxa"/>
            <w:tcBorders>
              <w:top w:val="single" w:sz="2" w:space="0" w:color="3D7FE0" w:themeColor="accent1"/>
            </w:tcBorders>
            <w:vAlign w:val="bottom"/>
          </w:tcPr>
          <w:p w14:paraId="061DDEA4" w14:textId="77777777" w:rsidR="00AE1E5C" w:rsidRPr="001124F3" w:rsidRDefault="00AE1E5C" w:rsidP="004203CD">
            <w:pPr>
              <w:pStyle w:val="Tabletext"/>
              <w:rPr>
                <w:rFonts w:ascii="IBM Plex Sans Light" w:hAnsi="IBM Plex Sans Light"/>
                <w:color w:val="auto"/>
                <w:sz w:val="18"/>
                <w:szCs w:val="24"/>
              </w:rPr>
            </w:pPr>
            <w:r w:rsidRPr="001124F3">
              <w:rPr>
                <w:rFonts w:ascii="IBM Plex Sans Light" w:hAnsi="IBM Plex Sans Light"/>
                <w:color w:val="auto"/>
                <w:sz w:val="18"/>
                <w:szCs w:val="24"/>
              </w:rPr>
              <w:t>Income return</w:t>
            </w:r>
          </w:p>
        </w:tc>
        <w:tc>
          <w:tcPr>
            <w:tcW w:w="794" w:type="dxa"/>
            <w:tcBorders>
              <w:top w:val="single" w:sz="2" w:space="0" w:color="3D7FE0" w:themeColor="accent1"/>
            </w:tcBorders>
            <w:vAlign w:val="bottom"/>
          </w:tcPr>
          <w:p w14:paraId="42F2E0B1" w14:textId="77777777" w:rsidR="00AE1E5C" w:rsidRPr="004F77A4" w:rsidRDefault="00AE1E5C" w:rsidP="004203CD">
            <w:pPr>
              <w:pStyle w:val="Tabletext"/>
              <w:jc w:val="right"/>
              <w:rPr>
                <w:rFonts w:ascii="IBM Plex Sans Light" w:hAnsi="IBM Plex Sans Light"/>
                <w:b/>
                <w:bCs/>
                <w:color w:val="auto"/>
                <w:spacing w:val="-4"/>
                <w:sz w:val="18"/>
                <w:szCs w:val="24"/>
              </w:rPr>
            </w:pPr>
            <w:r w:rsidRPr="004F77A4">
              <w:rPr>
                <w:rFonts w:ascii="IBM Plex Sans Light" w:hAnsi="IBM Plex Sans Light"/>
                <w:sz w:val="18"/>
                <w:szCs w:val="24"/>
              </w:rPr>
              <w:t>7.9</w:t>
            </w:r>
          </w:p>
        </w:tc>
        <w:tc>
          <w:tcPr>
            <w:tcW w:w="794" w:type="dxa"/>
            <w:tcBorders>
              <w:top w:val="single" w:sz="2" w:space="0" w:color="3D7FE0" w:themeColor="accent1"/>
            </w:tcBorders>
            <w:vAlign w:val="bottom"/>
          </w:tcPr>
          <w:p w14:paraId="7AA2B918" w14:textId="77777777" w:rsidR="00AE1E5C" w:rsidRPr="00024B10" w:rsidRDefault="00AE1E5C" w:rsidP="004203CD">
            <w:pPr>
              <w:pStyle w:val="Tabletext"/>
              <w:jc w:val="right"/>
              <w:rPr>
                <w:rFonts w:ascii="IBM Plex Sans Light" w:hAnsi="IBM Plex Sans Light"/>
                <w:sz w:val="18"/>
                <w:szCs w:val="24"/>
              </w:rPr>
            </w:pPr>
            <w:r w:rsidRPr="004F77A4">
              <w:rPr>
                <w:rFonts w:ascii="IBM Plex Sans Light" w:hAnsi="IBM Plex Sans Light"/>
                <w:sz w:val="18"/>
                <w:szCs w:val="24"/>
              </w:rPr>
              <w:t>4.8</w:t>
            </w:r>
          </w:p>
        </w:tc>
        <w:tc>
          <w:tcPr>
            <w:tcW w:w="794" w:type="dxa"/>
            <w:tcBorders>
              <w:top w:val="single" w:sz="2" w:space="0" w:color="3D7FE0" w:themeColor="accent1"/>
            </w:tcBorders>
            <w:vAlign w:val="bottom"/>
          </w:tcPr>
          <w:p w14:paraId="4FA3C2E8" w14:textId="77777777" w:rsidR="00AE1E5C" w:rsidRPr="00024B10" w:rsidRDefault="00AE1E5C" w:rsidP="004203CD">
            <w:pPr>
              <w:pStyle w:val="Tabletext"/>
              <w:jc w:val="right"/>
              <w:rPr>
                <w:rFonts w:ascii="IBM Plex Sans Light" w:hAnsi="IBM Plex Sans Light"/>
                <w:sz w:val="18"/>
                <w:szCs w:val="24"/>
              </w:rPr>
            </w:pPr>
            <w:r w:rsidRPr="004F77A4">
              <w:rPr>
                <w:rFonts w:ascii="IBM Plex Sans Light" w:hAnsi="IBM Plex Sans Light"/>
                <w:sz w:val="18"/>
                <w:szCs w:val="24"/>
              </w:rPr>
              <w:t>5.2</w:t>
            </w:r>
          </w:p>
        </w:tc>
        <w:tc>
          <w:tcPr>
            <w:tcW w:w="794" w:type="dxa"/>
            <w:tcBorders>
              <w:top w:val="single" w:sz="2" w:space="0" w:color="3D7FE0" w:themeColor="accent1"/>
              <w:left w:val="nil"/>
            </w:tcBorders>
            <w:shd w:val="clear" w:color="auto" w:fill="FFFFFF"/>
            <w:vAlign w:val="bottom"/>
          </w:tcPr>
          <w:p w14:paraId="58791B6A" w14:textId="77777777" w:rsidR="00AE1E5C" w:rsidRPr="00024B10" w:rsidRDefault="00AE1E5C" w:rsidP="004203CD">
            <w:pPr>
              <w:pStyle w:val="Tabletext"/>
              <w:jc w:val="right"/>
              <w:rPr>
                <w:rFonts w:ascii="IBM Plex Sans Light" w:hAnsi="IBM Plex Sans Light"/>
                <w:sz w:val="18"/>
                <w:szCs w:val="24"/>
              </w:rPr>
            </w:pPr>
            <w:r w:rsidRPr="004F77A4">
              <w:rPr>
                <w:rFonts w:ascii="IBM Plex Sans Light" w:hAnsi="IBM Plex Sans Light"/>
                <w:sz w:val="18"/>
                <w:szCs w:val="24"/>
              </w:rPr>
              <w:t>6.0</w:t>
            </w:r>
          </w:p>
        </w:tc>
        <w:tc>
          <w:tcPr>
            <w:tcW w:w="794" w:type="dxa"/>
            <w:tcBorders>
              <w:top w:val="single" w:sz="2" w:space="0" w:color="3D7FE0" w:themeColor="accent1"/>
            </w:tcBorders>
            <w:shd w:val="clear" w:color="auto" w:fill="FFFFFF"/>
            <w:vAlign w:val="bottom"/>
          </w:tcPr>
          <w:p w14:paraId="391DA93E" w14:textId="77777777" w:rsidR="00AE1E5C" w:rsidRPr="00024B10" w:rsidRDefault="00AE1E5C" w:rsidP="004203CD">
            <w:pPr>
              <w:pStyle w:val="Tabletext"/>
              <w:jc w:val="right"/>
              <w:rPr>
                <w:rFonts w:ascii="IBM Plex Sans Light" w:hAnsi="IBM Plex Sans Light"/>
                <w:sz w:val="18"/>
                <w:szCs w:val="24"/>
              </w:rPr>
            </w:pPr>
            <w:r w:rsidRPr="004F77A4">
              <w:rPr>
                <w:rFonts w:ascii="IBM Plex Sans Light" w:hAnsi="IBM Plex Sans Light"/>
                <w:sz w:val="18"/>
                <w:szCs w:val="24"/>
              </w:rPr>
              <w:t>2.3</w:t>
            </w:r>
          </w:p>
        </w:tc>
        <w:tc>
          <w:tcPr>
            <w:tcW w:w="794" w:type="dxa"/>
            <w:tcBorders>
              <w:top w:val="single" w:sz="2" w:space="0" w:color="3D7FE0" w:themeColor="accent1"/>
              <w:left w:val="nil"/>
            </w:tcBorders>
            <w:shd w:val="clear" w:color="auto" w:fill="FFFFFF"/>
            <w:vAlign w:val="bottom"/>
          </w:tcPr>
          <w:p w14:paraId="41F29367" w14:textId="77777777" w:rsidR="00AE1E5C" w:rsidRPr="00024B10" w:rsidRDefault="00AE1E5C" w:rsidP="004203CD">
            <w:pPr>
              <w:pStyle w:val="Tabletext"/>
              <w:jc w:val="right"/>
              <w:rPr>
                <w:rFonts w:ascii="IBM Plex Sans Light" w:hAnsi="IBM Plex Sans Light"/>
                <w:sz w:val="18"/>
                <w:szCs w:val="24"/>
              </w:rPr>
            </w:pPr>
            <w:r w:rsidRPr="004F77A4">
              <w:rPr>
                <w:rFonts w:ascii="IBM Plex Sans Light" w:hAnsi="IBM Plex Sans Light"/>
                <w:sz w:val="18"/>
                <w:szCs w:val="24"/>
              </w:rPr>
              <w:t>5.4</w:t>
            </w:r>
          </w:p>
        </w:tc>
        <w:tc>
          <w:tcPr>
            <w:tcW w:w="794" w:type="dxa"/>
            <w:tcBorders>
              <w:top w:val="single" w:sz="2" w:space="0" w:color="3D7FE0" w:themeColor="accent1"/>
            </w:tcBorders>
            <w:shd w:val="clear" w:color="auto" w:fill="FFFFFF"/>
            <w:vAlign w:val="bottom"/>
          </w:tcPr>
          <w:p w14:paraId="120DB521" w14:textId="77777777" w:rsidR="00AE1E5C" w:rsidRPr="00024B10" w:rsidRDefault="00AE1E5C" w:rsidP="004203CD">
            <w:pPr>
              <w:pStyle w:val="Tabletext"/>
              <w:jc w:val="right"/>
              <w:rPr>
                <w:rFonts w:ascii="IBM Plex Sans Light" w:hAnsi="IBM Plex Sans Light"/>
                <w:sz w:val="18"/>
                <w:szCs w:val="24"/>
              </w:rPr>
            </w:pPr>
            <w:r w:rsidRPr="004F77A4">
              <w:rPr>
                <w:rFonts w:ascii="IBM Plex Sans Light" w:hAnsi="IBM Plex Sans Light"/>
                <w:sz w:val="18"/>
                <w:szCs w:val="24"/>
              </w:rPr>
              <w:t>5.3</w:t>
            </w:r>
          </w:p>
        </w:tc>
        <w:tc>
          <w:tcPr>
            <w:tcW w:w="794" w:type="dxa"/>
            <w:tcBorders>
              <w:top w:val="single" w:sz="2" w:space="0" w:color="3D7FE0" w:themeColor="accent1"/>
              <w:left w:val="nil"/>
            </w:tcBorders>
            <w:shd w:val="clear" w:color="auto" w:fill="FFFFFF"/>
            <w:vAlign w:val="bottom"/>
          </w:tcPr>
          <w:p w14:paraId="32EA7D3E" w14:textId="77777777" w:rsidR="00AE1E5C" w:rsidRPr="00024B10" w:rsidRDefault="00AE1E5C" w:rsidP="004203CD">
            <w:pPr>
              <w:pStyle w:val="TableFiguresBold"/>
              <w:rPr>
                <w:rFonts w:ascii="IBM Plex Sans Light" w:hAnsi="IBM Plex Sans Light"/>
                <w:b w:val="0"/>
                <w:bCs w:val="0"/>
                <w:sz w:val="18"/>
                <w:szCs w:val="24"/>
              </w:rPr>
            </w:pPr>
            <w:r w:rsidRPr="00653D8F">
              <w:rPr>
                <w:rFonts w:ascii="IBM Plex Sans Light" w:hAnsi="IBM Plex Sans Light"/>
                <w:b w:val="0"/>
                <w:bCs w:val="0"/>
                <w:sz w:val="18"/>
                <w:szCs w:val="24"/>
              </w:rPr>
              <w:t>5.3</w:t>
            </w:r>
          </w:p>
        </w:tc>
      </w:tr>
      <w:tr w:rsidR="00AE1E5C" w:rsidRPr="001124F3" w14:paraId="110A6F86" w14:textId="77777777" w:rsidTr="004203CD">
        <w:tc>
          <w:tcPr>
            <w:tcW w:w="3572" w:type="dxa"/>
            <w:vAlign w:val="bottom"/>
          </w:tcPr>
          <w:p w14:paraId="16EB9A12" w14:textId="77777777" w:rsidR="00AE1E5C" w:rsidRPr="001124F3" w:rsidRDefault="00AE1E5C" w:rsidP="004203CD">
            <w:pPr>
              <w:pStyle w:val="Tabletext"/>
              <w:rPr>
                <w:rFonts w:ascii="IBM Plex Sans Light" w:hAnsi="IBM Plex Sans Light"/>
                <w:color w:val="auto"/>
                <w:sz w:val="18"/>
                <w:szCs w:val="24"/>
              </w:rPr>
            </w:pPr>
            <w:r w:rsidRPr="001124F3">
              <w:rPr>
                <w:rFonts w:ascii="IBM Plex Sans Light" w:hAnsi="IBM Plex Sans Light"/>
                <w:color w:val="auto"/>
                <w:sz w:val="18"/>
                <w:szCs w:val="24"/>
              </w:rPr>
              <w:t>Capital return</w:t>
            </w:r>
          </w:p>
        </w:tc>
        <w:tc>
          <w:tcPr>
            <w:tcW w:w="794" w:type="dxa"/>
            <w:vAlign w:val="bottom"/>
          </w:tcPr>
          <w:p w14:paraId="67827190" w14:textId="77777777" w:rsidR="00AE1E5C" w:rsidRPr="00024B10" w:rsidRDefault="00AE1E5C" w:rsidP="00024B10">
            <w:pPr>
              <w:pStyle w:val="TableFiguresBrackets"/>
              <w:rPr>
                <w:szCs w:val="18"/>
              </w:rPr>
            </w:pPr>
            <w:r w:rsidRPr="00F66A6D">
              <w:rPr>
                <w:rFonts w:ascii="IBM Plex Sans Light" w:hAnsi="IBM Plex Sans Light"/>
                <w:sz w:val="18"/>
                <w:szCs w:val="18"/>
              </w:rPr>
              <w:t>(9.4)</w:t>
            </w:r>
          </w:p>
        </w:tc>
        <w:tc>
          <w:tcPr>
            <w:tcW w:w="794" w:type="dxa"/>
            <w:vAlign w:val="bottom"/>
          </w:tcPr>
          <w:p w14:paraId="124B9707" w14:textId="77777777" w:rsidR="00AE1E5C" w:rsidRPr="00024B10" w:rsidRDefault="00AE1E5C" w:rsidP="00024B10">
            <w:pPr>
              <w:pStyle w:val="TableFiguresBrackets"/>
              <w:rPr>
                <w:szCs w:val="18"/>
              </w:rPr>
            </w:pPr>
            <w:r w:rsidRPr="00F66A6D">
              <w:rPr>
                <w:rFonts w:ascii="IBM Plex Sans Light" w:hAnsi="IBM Plex Sans Light"/>
                <w:sz w:val="18"/>
                <w:szCs w:val="18"/>
              </w:rPr>
              <w:t>(4.6)</w:t>
            </w:r>
          </w:p>
        </w:tc>
        <w:tc>
          <w:tcPr>
            <w:tcW w:w="794" w:type="dxa"/>
            <w:vAlign w:val="bottom"/>
          </w:tcPr>
          <w:p w14:paraId="78EDA8BA" w14:textId="77777777" w:rsidR="00AE1E5C" w:rsidRPr="00024B10" w:rsidRDefault="00AE1E5C" w:rsidP="00024B10">
            <w:pPr>
              <w:pStyle w:val="TableFiguresBrackets"/>
              <w:rPr>
                <w:szCs w:val="18"/>
              </w:rPr>
            </w:pPr>
            <w:r w:rsidRPr="00F66A6D">
              <w:rPr>
                <w:rFonts w:ascii="IBM Plex Sans Light" w:hAnsi="IBM Plex Sans Light"/>
                <w:sz w:val="18"/>
                <w:szCs w:val="18"/>
              </w:rPr>
              <w:t>(3.0)</w:t>
            </w:r>
          </w:p>
        </w:tc>
        <w:tc>
          <w:tcPr>
            <w:tcW w:w="794" w:type="dxa"/>
            <w:tcBorders>
              <w:left w:val="nil"/>
            </w:tcBorders>
            <w:shd w:val="clear" w:color="auto" w:fill="FFFFFF"/>
            <w:vAlign w:val="bottom"/>
          </w:tcPr>
          <w:p w14:paraId="506EE8D2" w14:textId="77777777" w:rsidR="00AE1E5C" w:rsidRPr="00024B10" w:rsidRDefault="00AE1E5C" w:rsidP="00024B10">
            <w:pPr>
              <w:pStyle w:val="TableFiguresBrackets"/>
              <w:rPr>
                <w:szCs w:val="18"/>
              </w:rPr>
            </w:pPr>
            <w:r w:rsidRPr="00F66A6D">
              <w:rPr>
                <w:rFonts w:ascii="IBM Plex Sans Light" w:hAnsi="IBM Plex Sans Light"/>
                <w:sz w:val="18"/>
                <w:szCs w:val="18"/>
              </w:rPr>
              <w:t>(5.9)</w:t>
            </w:r>
          </w:p>
        </w:tc>
        <w:tc>
          <w:tcPr>
            <w:tcW w:w="794" w:type="dxa"/>
            <w:shd w:val="clear" w:color="auto" w:fill="FFFFFF"/>
            <w:vAlign w:val="bottom"/>
          </w:tcPr>
          <w:p w14:paraId="49E6A6DE" w14:textId="77777777" w:rsidR="00AE1E5C" w:rsidRPr="00024B10"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(14.8)</w:t>
            </w:r>
          </w:p>
        </w:tc>
        <w:tc>
          <w:tcPr>
            <w:tcW w:w="794" w:type="dxa"/>
            <w:tcBorders>
              <w:left w:val="nil"/>
            </w:tcBorders>
            <w:shd w:val="clear" w:color="auto" w:fill="FFFFFF"/>
            <w:vAlign w:val="bottom"/>
          </w:tcPr>
          <w:p w14:paraId="309C5FAD" w14:textId="77777777" w:rsidR="00AE1E5C" w:rsidRPr="00024B10"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(7.3)</w:t>
            </w:r>
          </w:p>
        </w:tc>
        <w:tc>
          <w:tcPr>
            <w:tcW w:w="794" w:type="dxa"/>
            <w:shd w:val="clear" w:color="auto" w:fill="FFFFFF"/>
            <w:vAlign w:val="bottom"/>
          </w:tcPr>
          <w:p w14:paraId="7A0F3F32" w14:textId="77777777" w:rsidR="00AE1E5C" w:rsidRPr="00024B10"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(3.1)</w:t>
            </w:r>
          </w:p>
        </w:tc>
        <w:tc>
          <w:tcPr>
            <w:tcW w:w="794" w:type="dxa"/>
            <w:tcBorders>
              <w:left w:val="nil"/>
            </w:tcBorders>
            <w:shd w:val="clear" w:color="auto" w:fill="FFFFFF"/>
            <w:vAlign w:val="bottom"/>
          </w:tcPr>
          <w:p w14:paraId="35F848B7" w14:textId="77777777" w:rsidR="00AE1E5C" w:rsidRPr="00024B10" w:rsidRDefault="00AE1E5C" w:rsidP="00024B10">
            <w:pPr>
              <w:pStyle w:val="TableFiguresBrackets"/>
              <w:rPr>
                <w:rFonts w:ascii="IBM Plex Sans Light" w:hAnsi="IBM Plex Sans Light"/>
                <w:b/>
                <w:bCs/>
                <w:sz w:val="18"/>
                <w:szCs w:val="18"/>
              </w:rPr>
            </w:pPr>
            <w:r w:rsidRPr="00F66A6D">
              <w:rPr>
                <w:rFonts w:ascii="IBM Plex Sans Light" w:hAnsi="IBM Plex Sans Light"/>
                <w:sz w:val="18"/>
                <w:szCs w:val="18"/>
              </w:rPr>
              <w:t>(5.8)</w:t>
            </w:r>
          </w:p>
        </w:tc>
      </w:tr>
      <w:tr w:rsidR="00AE1E5C" w:rsidRPr="001124F3" w14:paraId="528AD070" w14:textId="77777777" w:rsidTr="004203CD">
        <w:tc>
          <w:tcPr>
            <w:tcW w:w="3572" w:type="dxa"/>
            <w:tcBorders>
              <w:bottom w:val="single" w:sz="8" w:space="0" w:color="3D7FE0" w:themeColor="accent1"/>
            </w:tcBorders>
            <w:vAlign w:val="bottom"/>
          </w:tcPr>
          <w:p w14:paraId="58650F64" w14:textId="77777777" w:rsidR="00AE1E5C" w:rsidRPr="001124F3" w:rsidRDefault="00AE1E5C" w:rsidP="004203CD">
            <w:pPr>
              <w:pStyle w:val="Tabletext"/>
              <w:rPr>
                <w:rFonts w:ascii="IBM Plex Sans Light" w:hAnsi="IBM Plex Sans Light"/>
                <w:color w:val="auto"/>
                <w:sz w:val="18"/>
                <w:szCs w:val="24"/>
              </w:rPr>
            </w:pPr>
            <w:r w:rsidRPr="001124F3">
              <w:rPr>
                <w:rFonts w:ascii="IBM Plex Sans Light" w:hAnsi="IBM Plex Sans Light"/>
                <w:color w:val="auto"/>
                <w:sz w:val="18"/>
                <w:szCs w:val="24"/>
              </w:rPr>
              <w:t>Total return</w:t>
            </w:r>
          </w:p>
        </w:tc>
        <w:tc>
          <w:tcPr>
            <w:tcW w:w="794" w:type="dxa"/>
            <w:tcBorders>
              <w:bottom w:val="single" w:sz="8" w:space="0" w:color="3D7FE0" w:themeColor="accent1"/>
            </w:tcBorders>
            <w:vAlign w:val="bottom"/>
          </w:tcPr>
          <w:p w14:paraId="380C5382" w14:textId="77777777" w:rsidR="00AE1E5C" w:rsidRPr="00024B10" w:rsidRDefault="00AE1E5C" w:rsidP="00024B10">
            <w:pPr>
              <w:pStyle w:val="TableFiguresBrackets"/>
              <w:rPr>
                <w:szCs w:val="18"/>
              </w:rPr>
            </w:pPr>
            <w:r w:rsidRPr="00F66A6D">
              <w:rPr>
                <w:rFonts w:ascii="IBM Plex Sans Light" w:hAnsi="IBM Plex Sans Light"/>
                <w:sz w:val="18"/>
                <w:szCs w:val="18"/>
              </w:rPr>
              <w:t>(2.1)</w:t>
            </w:r>
          </w:p>
        </w:tc>
        <w:tc>
          <w:tcPr>
            <w:tcW w:w="794" w:type="dxa"/>
            <w:tcBorders>
              <w:bottom w:val="single" w:sz="8" w:space="0" w:color="3D7FE0" w:themeColor="accent1"/>
            </w:tcBorders>
            <w:vAlign w:val="bottom"/>
          </w:tcPr>
          <w:p w14:paraId="4BEC7672" w14:textId="77777777" w:rsidR="00AE1E5C" w:rsidRPr="00024B10" w:rsidRDefault="00AE1E5C" w:rsidP="00F66A6D">
            <w:pPr>
              <w:pStyle w:val="Tabletext"/>
              <w:jc w:val="right"/>
            </w:pPr>
            <w:r w:rsidRPr="00F66A6D">
              <w:rPr>
                <w:rFonts w:ascii="IBM Plex Sans Light" w:hAnsi="IBM Plex Sans Light"/>
                <w:sz w:val="18"/>
                <w:szCs w:val="24"/>
              </w:rPr>
              <w:t>–</w:t>
            </w:r>
          </w:p>
        </w:tc>
        <w:tc>
          <w:tcPr>
            <w:tcW w:w="794" w:type="dxa"/>
            <w:tcBorders>
              <w:bottom w:val="single" w:sz="8" w:space="0" w:color="3D7FE0" w:themeColor="accent1"/>
            </w:tcBorders>
            <w:vAlign w:val="bottom"/>
          </w:tcPr>
          <w:p w14:paraId="4988D38C" w14:textId="77777777" w:rsidR="00AE1E5C" w:rsidRPr="00024B10" w:rsidRDefault="00AE1E5C" w:rsidP="00024B10">
            <w:pPr>
              <w:pStyle w:val="TableFiguresBrackets"/>
              <w:rPr>
                <w:szCs w:val="18"/>
              </w:rPr>
            </w:pPr>
            <w:r w:rsidRPr="00F66A6D">
              <w:rPr>
                <w:rFonts w:ascii="IBM Plex Sans Light" w:hAnsi="IBM Plex Sans Light"/>
                <w:sz w:val="18"/>
                <w:szCs w:val="18"/>
              </w:rPr>
              <w:t>2.1</w:t>
            </w:r>
          </w:p>
        </w:tc>
        <w:tc>
          <w:tcPr>
            <w:tcW w:w="794" w:type="dxa"/>
            <w:tcBorders>
              <w:left w:val="nil"/>
              <w:bottom w:val="single" w:sz="8" w:space="0" w:color="3D7FE0" w:themeColor="accent1"/>
            </w:tcBorders>
            <w:shd w:val="clear" w:color="auto" w:fill="FFFFFF"/>
            <w:vAlign w:val="bottom"/>
          </w:tcPr>
          <w:p w14:paraId="21287D6D" w14:textId="77777777" w:rsidR="00AE1E5C" w:rsidRPr="00024B10" w:rsidRDefault="00AE1E5C" w:rsidP="00024B10">
            <w:pPr>
              <w:pStyle w:val="TableFiguresBrackets"/>
              <w:rPr>
                <w:szCs w:val="18"/>
              </w:rPr>
            </w:pPr>
            <w:r w:rsidRPr="00F66A6D">
              <w:rPr>
                <w:rFonts w:ascii="IBM Plex Sans Light" w:hAnsi="IBM Plex Sans Light"/>
                <w:sz w:val="18"/>
                <w:szCs w:val="18"/>
              </w:rPr>
              <w:t>(0.2)</w:t>
            </w:r>
          </w:p>
        </w:tc>
        <w:tc>
          <w:tcPr>
            <w:tcW w:w="794" w:type="dxa"/>
            <w:tcBorders>
              <w:bottom w:val="single" w:sz="8" w:space="0" w:color="3D7FE0" w:themeColor="accent1"/>
            </w:tcBorders>
            <w:shd w:val="clear" w:color="auto" w:fill="FFFFFF"/>
            <w:vAlign w:val="bottom"/>
          </w:tcPr>
          <w:p w14:paraId="296070BA" w14:textId="77777777" w:rsidR="00AE1E5C" w:rsidRPr="00024B10"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(12.8)</w:t>
            </w:r>
          </w:p>
        </w:tc>
        <w:tc>
          <w:tcPr>
            <w:tcW w:w="794" w:type="dxa"/>
            <w:tcBorders>
              <w:left w:val="nil"/>
              <w:bottom w:val="single" w:sz="8" w:space="0" w:color="3D7FE0" w:themeColor="accent1"/>
            </w:tcBorders>
            <w:shd w:val="clear" w:color="auto" w:fill="FFFFFF"/>
            <w:vAlign w:val="bottom"/>
          </w:tcPr>
          <w:p w14:paraId="73D156E6" w14:textId="77777777" w:rsidR="00AE1E5C" w:rsidRPr="00024B10" w:rsidRDefault="00AE1E5C" w:rsidP="00024B10">
            <w:pPr>
              <w:pStyle w:val="TableFiguresBrackets"/>
              <w:rPr>
                <w:rFonts w:ascii="IBM Plex Sans Light" w:hAnsi="IBM Plex Sans Light"/>
                <w:sz w:val="18"/>
                <w:szCs w:val="18"/>
              </w:rPr>
            </w:pPr>
            <w:r w:rsidRPr="00F66A6D">
              <w:rPr>
                <w:rFonts w:ascii="IBM Plex Sans Light" w:hAnsi="IBM Plex Sans Light"/>
                <w:sz w:val="18"/>
                <w:szCs w:val="18"/>
              </w:rPr>
              <w:t>(2.3)</w:t>
            </w:r>
          </w:p>
        </w:tc>
        <w:tc>
          <w:tcPr>
            <w:tcW w:w="794" w:type="dxa"/>
            <w:tcBorders>
              <w:bottom w:val="single" w:sz="8" w:space="0" w:color="3D7FE0" w:themeColor="accent1"/>
            </w:tcBorders>
            <w:shd w:val="clear" w:color="auto" w:fill="FFFFFF"/>
            <w:vAlign w:val="bottom"/>
          </w:tcPr>
          <w:p w14:paraId="40FFB2C3" w14:textId="77777777" w:rsidR="00AE1E5C" w:rsidRPr="00024B10" w:rsidRDefault="00AE1E5C" w:rsidP="00F66A6D">
            <w:pPr>
              <w:pStyle w:val="Tabletext"/>
              <w:jc w:val="right"/>
              <w:rPr>
                <w:rFonts w:ascii="IBM Plex Sans Light" w:hAnsi="IBM Plex Sans Light"/>
                <w:sz w:val="18"/>
                <w:szCs w:val="24"/>
              </w:rPr>
            </w:pPr>
            <w:r w:rsidRPr="00F66A6D">
              <w:rPr>
                <w:rFonts w:ascii="IBM Plex Sans Light" w:hAnsi="IBM Plex Sans Light"/>
                <w:sz w:val="18"/>
                <w:szCs w:val="24"/>
              </w:rPr>
              <w:t>2.0</w:t>
            </w:r>
          </w:p>
        </w:tc>
        <w:tc>
          <w:tcPr>
            <w:tcW w:w="794" w:type="dxa"/>
            <w:tcBorders>
              <w:left w:val="nil"/>
              <w:bottom w:val="single" w:sz="8" w:space="0" w:color="3D7FE0" w:themeColor="accent1"/>
            </w:tcBorders>
            <w:shd w:val="clear" w:color="auto" w:fill="FFFFFF"/>
            <w:vAlign w:val="bottom"/>
          </w:tcPr>
          <w:p w14:paraId="2C79AA66" w14:textId="77777777" w:rsidR="00AE1E5C" w:rsidRPr="00024B10" w:rsidRDefault="00AE1E5C" w:rsidP="00024B10">
            <w:pPr>
              <w:pStyle w:val="TableFiguresBrackets"/>
              <w:rPr>
                <w:rFonts w:ascii="IBM Plex Sans Light" w:hAnsi="IBM Plex Sans Light"/>
                <w:b/>
                <w:bCs/>
                <w:sz w:val="18"/>
                <w:szCs w:val="18"/>
              </w:rPr>
            </w:pPr>
            <w:r w:rsidRPr="00F66A6D">
              <w:rPr>
                <w:rFonts w:ascii="IBM Plex Sans Light" w:hAnsi="IBM Plex Sans Light"/>
                <w:sz w:val="18"/>
                <w:szCs w:val="18"/>
              </w:rPr>
              <w:t>(0.7)</w:t>
            </w:r>
          </w:p>
        </w:tc>
      </w:tr>
    </w:tbl>
    <w:p w14:paraId="326B3A2C" w14:textId="77777777" w:rsidR="00AE1E5C" w:rsidRDefault="00AE1E5C" w:rsidP="00AE1E5C">
      <w:pPr>
        <w:pStyle w:val="04BodyCopyFronttext9105"/>
      </w:pPr>
    </w:p>
    <w:p w14:paraId="56A36986" w14:textId="3CA357AD" w:rsidR="00AE1E5C" w:rsidRPr="004F77A4" w:rsidRDefault="00AE1E5C" w:rsidP="00AE1E5C">
      <w:pPr>
        <w:pStyle w:val="06SubHeading2Fronttext9105"/>
        <w:rPr>
          <w:color w:val="3D7FE0" w:themeColor="accent1"/>
        </w:rPr>
      </w:pPr>
      <w:r w:rsidRPr="004F77A4">
        <w:rPr>
          <w:color w:val="3D7FE0" w:themeColor="accent1"/>
        </w:rPr>
        <w:t xml:space="preserve">Shareholder returns analysis </w:t>
      </w:r>
    </w:p>
    <w:tbl>
      <w:tblPr>
        <w:tblW w:w="9695" w:type="dxa"/>
        <w:tblLayout w:type="fixed"/>
        <w:tblCellMar>
          <w:left w:w="0" w:type="dxa"/>
          <w:right w:w="0" w:type="dxa"/>
        </w:tblCellMar>
        <w:tblLook w:val="00A0" w:firstRow="1" w:lastRow="0" w:firstColumn="1" w:lastColumn="0" w:noHBand="0" w:noVBand="0"/>
      </w:tblPr>
      <w:tblGrid>
        <w:gridCol w:w="5953"/>
        <w:gridCol w:w="1361"/>
        <w:gridCol w:w="1361"/>
        <w:gridCol w:w="1020"/>
      </w:tblGrid>
      <w:tr w:rsidR="00AE1E5C" w:rsidRPr="00FC2914" w14:paraId="350A02B5" w14:textId="77777777" w:rsidTr="004203CD">
        <w:tc>
          <w:tcPr>
            <w:tcW w:w="5953" w:type="dxa"/>
            <w:tcBorders>
              <w:bottom w:val="single" w:sz="2" w:space="0" w:color="3D7FE0" w:themeColor="accent1"/>
            </w:tcBorders>
            <w:vAlign w:val="bottom"/>
          </w:tcPr>
          <w:p w14:paraId="561414B7" w14:textId="77777777" w:rsidR="00AE1E5C" w:rsidRPr="004F77A4" w:rsidRDefault="00AE1E5C" w:rsidP="004203CD">
            <w:pPr>
              <w:pStyle w:val="TableColHeadsLeft"/>
              <w:spacing w:before="40"/>
              <w:rPr>
                <w:rFonts w:ascii="IBM Plex Sans Light" w:hAnsi="IBM Plex Sans Light"/>
                <w:b/>
                <w:bCs/>
                <w:color w:val="3D7FE0" w:themeColor="accent1"/>
                <w:szCs w:val="14"/>
              </w:rPr>
            </w:pPr>
            <w:r w:rsidRPr="004F77A4">
              <w:rPr>
                <w:rFonts w:ascii="IBM Plex Sans Light" w:hAnsi="IBM Plex Sans Light"/>
                <w:b/>
                <w:bCs/>
                <w:color w:val="3D7FE0" w:themeColor="accent1"/>
                <w:sz w:val="16"/>
                <w:szCs w:val="16"/>
              </w:rPr>
              <w:br w:type="page"/>
            </w:r>
            <w:r w:rsidRPr="004F77A4">
              <w:rPr>
                <w:rFonts w:ascii="IBM Plex Sans Light" w:hAnsi="IBM Plex Sans Light"/>
                <w:color w:val="3D7FE0" w:themeColor="accent1"/>
                <w:sz w:val="16"/>
                <w:szCs w:val="24"/>
              </w:rPr>
              <w:t>Return per annum over</w:t>
            </w:r>
          </w:p>
        </w:tc>
        <w:tc>
          <w:tcPr>
            <w:tcW w:w="1361" w:type="dxa"/>
            <w:tcBorders>
              <w:bottom w:val="single" w:sz="2" w:space="0" w:color="3D7FE0" w:themeColor="accent1"/>
            </w:tcBorders>
            <w:vAlign w:val="bottom"/>
          </w:tcPr>
          <w:p w14:paraId="5B6BA4EB"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 xml:space="preserve">Total shareholder return </w:t>
            </w:r>
          </w:p>
          <w:p w14:paraId="4BA2AF8D" w14:textId="77777777"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Cash basis</w:t>
            </w:r>
            <w:r w:rsidRPr="006B43AF">
              <w:rPr>
                <w:rStyle w:val="BoldBlue"/>
                <w:rFonts w:cs="IBM Plex Sans"/>
                <w:b w:val="0"/>
                <w:color w:val="3D7FE0" w:themeColor="accent1"/>
                <w:sz w:val="16"/>
                <w:szCs w:val="16"/>
                <w:vertAlign w:val="superscript"/>
              </w:rPr>
              <w:t>1</w:t>
            </w:r>
            <w:r w:rsidRPr="006B43AF">
              <w:rPr>
                <w:rStyle w:val="BoldBlue"/>
                <w:rFonts w:cs="IBM Plex Sans"/>
                <w:b w:val="0"/>
                <w:color w:val="3D7FE0" w:themeColor="accent1"/>
                <w:sz w:val="16"/>
                <w:szCs w:val="16"/>
                <w:vertAlign w:val="superscript"/>
              </w:rPr>
              <w:br/>
            </w:r>
            <w:r w:rsidRPr="006B43AF">
              <w:rPr>
                <w:rStyle w:val="BoldBlue"/>
                <w:rFonts w:cs="IBM Plex Sans"/>
                <w:b w:val="0"/>
                <w:color w:val="3D7FE0" w:themeColor="accent1"/>
                <w:sz w:val="16"/>
                <w:szCs w:val="16"/>
              </w:rPr>
              <w:t>%</w:t>
            </w:r>
          </w:p>
        </w:tc>
        <w:tc>
          <w:tcPr>
            <w:tcW w:w="1361" w:type="dxa"/>
            <w:tcBorders>
              <w:bottom w:val="single" w:sz="2" w:space="0" w:color="3D7FE0" w:themeColor="accent1"/>
            </w:tcBorders>
            <w:shd w:val="clear" w:color="auto" w:fill="FFFFFF"/>
            <w:vAlign w:val="bottom"/>
          </w:tcPr>
          <w:p w14:paraId="3B358871" w14:textId="77777777" w:rsidR="00AE1E5C" w:rsidRPr="006B43AF" w:rsidRDefault="00AE1E5C" w:rsidP="004203CD">
            <w:pPr>
              <w:pStyle w:val="12TBRightColHeaderTableBack"/>
              <w:rPr>
                <w:rStyle w:val="BoldBlue"/>
                <w:rFonts w:cs="IBM Plex Sans"/>
                <w:b w:val="0"/>
                <w:color w:val="3D7FE0" w:themeColor="accent1"/>
                <w:sz w:val="16"/>
                <w:szCs w:val="16"/>
              </w:rPr>
            </w:pPr>
            <w:r w:rsidRPr="006B43AF">
              <w:rPr>
                <w:rStyle w:val="BoldBlue"/>
                <w:rFonts w:cs="IBM Plex Sans"/>
                <w:b w:val="0"/>
                <w:color w:val="3D7FE0" w:themeColor="accent1"/>
                <w:sz w:val="16"/>
                <w:szCs w:val="16"/>
              </w:rPr>
              <w:t xml:space="preserve">Total shareholder return </w:t>
            </w:r>
          </w:p>
          <w:p w14:paraId="0FC03730" w14:textId="77777777"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Scrip basis</w:t>
            </w:r>
            <w:r w:rsidRPr="006B43AF">
              <w:rPr>
                <w:rStyle w:val="BoldBlue"/>
                <w:rFonts w:cs="IBM Plex Sans"/>
                <w:b w:val="0"/>
                <w:color w:val="3D7FE0" w:themeColor="accent1"/>
                <w:sz w:val="16"/>
                <w:szCs w:val="16"/>
                <w:vertAlign w:val="superscript"/>
              </w:rPr>
              <w:t>1</w:t>
            </w:r>
            <w:r w:rsidRPr="006B43AF">
              <w:rPr>
                <w:rStyle w:val="BoldBlue"/>
                <w:rFonts w:cs="IBM Plex Sans"/>
                <w:b w:val="0"/>
                <w:color w:val="3D7FE0" w:themeColor="accent1"/>
                <w:sz w:val="16"/>
                <w:szCs w:val="16"/>
                <w:vertAlign w:val="superscript"/>
              </w:rPr>
              <w:br/>
            </w:r>
            <w:r w:rsidRPr="006B43AF">
              <w:rPr>
                <w:rStyle w:val="BoldBlue"/>
                <w:rFonts w:cs="IBM Plex Sans"/>
                <w:b w:val="0"/>
                <w:color w:val="3D7FE0" w:themeColor="accent1"/>
                <w:sz w:val="16"/>
                <w:szCs w:val="16"/>
              </w:rPr>
              <w:t>%</w:t>
            </w:r>
          </w:p>
        </w:tc>
        <w:tc>
          <w:tcPr>
            <w:tcW w:w="1020" w:type="dxa"/>
            <w:tcBorders>
              <w:bottom w:val="single" w:sz="2" w:space="0" w:color="3D7FE0" w:themeColor="accent1"/>
            </w:tcBorders>
            <w:shd w:val="clear" w:color="auto" w:fill="FFFFFF"/>
            <w:vAlign w:val="bottom"/>
          </w:tcPr>
          <w:p w14:paraId="5C11E1A3" w14:textId="77777777" w:rsidR="00AE1E5C" w:rsidRPr="006B43AF" w:rsidRDefault="00AE1E5C" w:rsidP="004203CD">
            <w:pPr>
              <w:pStyle w:val="12TBRightColHeaderTableBack"/>
              <w:rPr>
                <w:b/>
                <w:bCs/>
                <w:color w:val="3D7FE0" w:themeColor="accent1"/>
                <w:sz w:val="16"/>
                <w:szCs w:val="16"/>
              </w:rPr>
            </w:pPr>
            <w:r w:rsidRPr="006B43AF">
              <w:rPr>
                <w:rStyle w:val="BoldBlue"/>
                <w:rFonts w:cs="IBM Plex Sans"/>
                <w:b w:val="0"/>
                <w:color w:val="3D7FE0" w:themeColor="accent1"/>
                <w:sz w:val="16"/>
                <w:szCs w:val="16"/>
              </w:rPr>
              <w:t>Benchmark</w:t>
            </w:r>
            <w:r w:rsidRPr="006B43AF">
              <w:rPr>
                <w:rStyle w:val="BoldBlue"/>
                <w:rFonts w:cs="IBM Plex Sans"/>
                <w:b w:val="0"/>
                <w:color w:val="3D7FE0" w:themeColor="accent1"/>
                <w:sz w:val="16"/>
                <w:szCs w:val="16"/>
                <w:vertAlign w:val="superscript"/>
              </w:rPr>
              <w:t>2</w:t>
            </w:r>
            <w:r w:rsidRPr="006B43AF">
              <w:rPr>
                <w:rStyle w:val="BoldBlue"/>
                <w:rFonts w:cs="IBM Plex Sans"/>
                <w:b w:val="0"/>
                <w:color w:val="3D7FE0" w:themeColor="accent1"/>
                <w:sz w:val="16"/>
                <w:szCs w:val="16"/>
              </w:rPr>
              <w:br/>
            </w:r>
            <w:r w:rsidRPr="006B43AF">
              <w:rPr>
                <w:b/>
                <w:bCs/>
                <w:color w:val="3D7FE0" w:themeColor="accent1"/>
                <w:sz w:val="16"/>
                <w:szCs w:val="16"/>
              </w:rPr>
              <w:t>%</w:t>
            </w:r>
          </w:p>
        </w:tc>
      </w:tr>
      <w:tr w:rsidR="00AE1E5C" w:rsidRPr="004F77A4" w14:paraId="0AF50978" w14:textId="77777777" w:rsidTr="004203CD">
        <w:tc>
          <w:tcPr>
            <w:tcW w:w="5953" w:type="dxa"/>
            <w:tcBorders>
              <w:top w:val="single" w:sz="2" w:space="0" w:color="3D7FE0" w:themeColor="accent1"/>
            </w:tcBorders>
            <w:vAlign w:val="bottom"/>
          </w:tcPr>
          <w:p w14:paraId="5C16A116" w14:textId="77777777" w:rsidR="00AE1E5C" w:rsidRPr="008E5BF0" w:rsidRDefault="00AE1E5C" w:rsidP="004203CD">
            <w:pPr>
              <w:pStyle w:val="Tabletext"/>
              <w:rPr>
                <w:rFonts w:ascii="IBM Plex Sans Light" w:hAnsi="IBM Plex Sans Light"/>
                <w:sz w:val="18"/>
                <w:szCs w:val="24"/>
              </w:rPr>
            </w:pPr>
            <w:r>
              <w:rPr>
                <w:rFonts w:ascii="IBM Plex Sans Light" w:hAnsi="IBM Plex Sans Light"/>
                <w:sz w:val="18"/>
                <w:szCs w:val="24"/>
              </w:rPr>
              <w:t>One year</w:t>
            </w:r>
          </w:p>
        </w:tc>
        <w:tc>
          <w:tcPr>
            <w:tcW w:w="1361" w:type="dxa"/>
            <w:tcBorders>
              <w:top w:val="single" w:sz="2" w:space="0" w:color="3D7FE0" w:themeColor="accent1"/>
            </w:tcBorders>
            <w:vAlign w:val="bottom"/>
          </w:tcPr>
          <w:p w14:paraId="6B2E9FD5"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22.8</w:t>
            </w:r>
          </w:p>
        </w:tc>
        <w:tc>
          <w:tcPr>
            <w:tcW w:w="1361" w:type="dxa"/>
            <w:tcBorders>
              <w:top w:val="single" w:sz="2" w:space="0" w:color="3D7FE0" w:themeColor="accent1"/>
            </w:tcBorders>
            <w:shd w:val="clear" w:color="auto" w:fill="FFFFFF"/>
            <w:vAlign w:val="bottom"/>
          </w:tcPr>
          <w:p w14:paraId="76B69C39"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22.8</w:t>
            </w:r>
          </w:p>
        </w:tc>
        <w:tc>
          <w:tcPr>
            <w:tcW w:w="1020" w:type="dxa"/>
            <w:tcBorders>
              <w:top w:val="single" w:sz="2" w:space="0" w:color="3D7FE0" w:themeColor="accent1"/>
            </w:tcBorders>
            <w:shd w:val="clear" w:color="auto" w:fill="FFFFFF"/>
            <w:vAlign w:val="bottom"/>
          </w:tcPr>
          <w:p w14:paraId="56941BA2" w14:textId="77777777" w:rsidR="00AE1E5C" w:rsidRPr="007C0BC1" w:rsidRDefault="00AE1E5C" w:rsidP="004203CD">
            <w:pPr>
              <w:pStyle w:val="TableFiguresBold"/>
              <w:rPr>
                <w:rFonts w:ascii="IBM Plex Sans Light" w:hAnsi="IBM Plex Sans Light"/>
                <w:bCs w:val="0"/>
                <w:color w:val="3D7FE0" w:themeColor="accent1"/>
                <w:spacing w:val="-4"/>
                <w:sz w:val="18"/>
                <w:szCs w:val="18"/>
              </w:rPr>
            </w:pPr>
            <w:r w:rsidRPr="007C0BC1">
              <w:rPr>
                <w:rStyle w:val="BoldBlue"/>
                <w:rFonts w:ascii="IBM Plex Sans Light" w:hAnsi="IBM Plex Sans Light" w:cs="IBM Plex Sans"/>
                <w:b/>
                <w:color w:val="3D7FE0" w:themeColor="accent1"/>
                <w:sz w:val="18"/>
                <w:szCs w:val="18"/>
              </w:rPr>
              <w:t>5.5</w:t>
            </w:r>
          </w:p>
        </w:tc>
      </w:tr>
      <w:tr w:rsidR="00AE1E5C" w:rsidRPr="004F77A4" w14:paraId="75222992" w14:textId="77777777" w:rsidTr="004203CD">
        <w:tc>
          <w:tcPr>
            <w:tcW w:w="5953" w:type="dxa"/>
            <w:tcBorders>
              <w:bottom w:val="single" w:sz="8" w:space="0" w:color="3D7FE0" w:themeColor="accent1"/>
            </w:tcBorders>
            <w:vAlign w:val="bottom"/>
          </w:tcPr>
          <w:p w14:paraId="7578FE7B" w14:textId="77777777" w:rsidR="00AE1E5C" w:rsidRPr="008E5BF0" w:rsidRDefault="00AE1E5C" w:rsidP="004203CD">
            <w:pPr>
              <w:pStyle w:val="Tabletext"/>
              <w:rPr>
                <w:rFonts w:ascii="IBM Plex Sans Light" w:hAnsi="IBM Plex Sans Light"/>
                <w:sz w:val="18"/>
                <w:szCs w:val="24"/>
              </w:rPr>
            </w:pPr>
            <w:r>
              <w:rPr>
                <w:rFonts w:ascii="IBM Plex Sans Light" w:hAnsi="IBM Plex Sans Light"/>
                <w:sz w:val="18"/>
                <w:szCs w:val="24"/>
              </w:rPr>
              <w:t>Three years</w:t>
            </w:r>
          </w:p>
        </w:tc>
        <w:tc>
          <w:tcPr>
            <w:tcW w:w="1361" w:type="dxa"/>
            <w:tcBorders>
              <w:bottom w:val="single" w:sz="8" w:space="0" w:color="3D7FE0" w:themeColor="accent1"/>
            </w:tcBorders>
            <w:vAlign w:val="bottom"/>
          </w:tcPr>
          <w:p w14:paraId="3DC7B63C"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6.6</w:t>
            </w:r>
          </w:p>
        </w:tc>
        <w:tc>
          <w:tcPr>
            <w:tcW w:w="1361" w:type="dxa"/>
            <w:tcBorders>
              <w:bottom w:val="single" w:sz="8" w:space="0" w:color="3D7FE0" w:themeColor="accent1"/>
            </w:tcBorders>
            <w:shd w:val="clear" w:color="auto" w:fill="FFFFFF"/>
            <w:vAlign w:val="bottom"/>
          </w:tcPr>
          <w:p w14:paraId="31A6F7E3" w14:textId="77777777" w:rsidR="00AE1E5C" w:rsidRPr="007C0BC1" w:rsidRDefault="00AE1E5C" w:rsidP="004203CD">
            <w:pPr>
              <w:pStyle w:val="Tabletext"/>
              <w:jc w:val="right"/>
              <w:rPr>
                <w:rFonts w:ascii="IBM Plex Sans Light" w:hAnsi="IBM Plex Sans Light"/>
                <w:b/>
                <w:color w:val="3D7FE0" w:themeColor="accent1"/>
                <w:sz w:val="18"/>
                <w:szCs w:val="18"/>
              </w:rPr>
            </w:pPr>
            <w:r w:rsidRPr="007C0BC1">
              <w:rPr>
                <w:rStyle w:val="BoldBlue"/>
                <w:rFonts w:ascii="IBM Plex Sans Light" w:hAnsi="IBM Plex Sans Light" w:cs="IBM Plex Sans"/>
                <w:bCs w:val="0"/>
                <w:color w:val="3D7FE0" w:themeColor="accent1"/>
                <w:sz w:val="18"/>
                <w:szCs w:val="18"/>
              </w:rPr>
              <w:t>16.5</w:t>
            </w:r>
          </w:p>
        </w:tc>
        <w:tc>
          <w:tcPr>
            <w:tcW w:w="1020" w:type="dxa"/>
            <w:tcBorders>
              <w:bottom w:val="single" w:sz="8" w:space="0" w:color="3D7FE0" w:themeColor="accent1"/>
            </w:tcBorders>
            <w:shd w:val="clear" w:color="auto" w:fill="FFFFFF"/>
            <w:vAlign w:val="bottom"/>
          </w:tcPr>
          <w:p w14:paraId="6D807C01"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(4.6)</w:t>
            </w:r>
          </w:p>
        </w:tc>
      </w:tr>
    </w:tbl>
    <w:p w14:paraId="3AA1C5F1" w14:textId="77777777" w:rsidR="00AE1E5C" w:rsidRDefault="00AE1E5C" w:rsidP="00AE1E5C">
      <w:pPr>
        <w:pStyle w:val="11GeneralFootnotes"/>
        <w:spacing w:before="40" w:after="40"/>
      </w:pPr>
      <w:r>
        <w:t>1</w:t>
      </w:r>
      <w:r>
        <w:tab/>
        <w:t>Cash and scrip bases represent the return assuming investors opted for either cash or scrip dividends with the assumption that those opting for scrip dividends continued to hold the additional shares issued.</w:t>
      </w:r>
    </w:p>
    <w:p w14:paraId="6B338AC9" w14:textId="77777777" w:rsidR="00AE1E5C" w:rsidRDefault="00AE1E5C" w:rsidP="00AE1E5C">
      <w:pPr>
        <w:pStyle w:val="11GeneralFootnotes"/>
      </w:pPr>
      <w:r>
        <w:t>2</w:t>
      </w:r>
      <w:r>
        <w:tab/>
        <w:t>Benchmark is the FTSE EPRA/NAREIT UK index.</w:t>
      </w:r>
    </w:p>
    <w:p w14:paraId="336031DD" w14:textId="77777777" w:rsidR="00AE1E5C" w:rsidRDefault="00AE1E5C" w:rsidP="00AE1E5C">
      <w:pPr>
        <w:pStyle w:val="11GeneralFootnotes"/>
        <w:spacing w:after="0"/>
      </w:pPr>
    </w:p>
    <w:p w14:paraId="0C65B40B" w14:textId="77777777" w:rsidR="00AE1E5C" w:rsidRDefault="00AE1E5C" w:rsidP="00AE1E5C">
      <w:pPr>
        <w:pStyle w:val="04BodyCopyFronttext9105"/>
      </w:pPr>
      <w:r>
        <w:t>The Group’s total shareholder return in 2023 over one year was 22.8%, outperforming the FTSE EPRA/NAREIT UK index of 5.5%. Over three years the Group also outperformed the benchmark of -4.6% with shareholder returns of 6.6% and 16.5% on a cash and scrip basis, respectively.</w:t>
      </w:r>
    </w:p>
    <w:p w14:paraId="34B8CBC9" w14:textId="77777777" w:rsidR="00AE1E5C" w:rsidRDefault="00AE1E5C" w:rsidP="00AE1E5C">
      <w:pPr>
        <w:pStyle w:val="06SubHeading1Fronttext9105"/>
      </w:pPr>
    </w:p>
    <w:p w14:paraId="306EA3EE" w14:textId="77777777" w:rsidR="00AE1E5C" w:rsidRPr="00D7302C" w:rsidRDefault="00AE1E5C" w:rsidP="00AE1E5C">
      <w:pPr>
        <w:pStyle w:val="06SubHeading1Fronttext9105"/>
        <w:spacing w:after="0"/>
        <w:rPr>
          <w:color w:val="3D7FE0" w:themeColor="accent1"/>
          <w:sz w:val="20"/>
          <w:szCs w:val="20"/>
        </w:rPr>
      </w:pPr>
      <w:r w:rsidRPr="00D7302C">
        <w:rPr>
          <w:color w:val="3D7FE0" w:themeColor="accent1"/>
          <w:sz w:val="20"/>
          <w:szCs w:val="20"/>
        </w:rPr>
        <w:t>INVESTMENT IN JOINT VENTURES AND ASSOCIATES</w:t>
      </w:r>
    </w:p>
    <w:p w14:paraId="1F93A6FF" w14:textId="77777777" w:rsidR="00AE1E5C" w:rsidRDefault="00AE1E5C" w:rsidP="00AE1E5C">
      <w:pPr>
        <w:pStyle w:val="04BodyCopyFronttext9105"/>
        <w:spacing w:before="120"/>
      </w:pPr>
      <w:r>
        <w:t xml:space="preserve">Details of the Group’s joint ventures and associates are shown in notes 12 and 13, respectively to the financial statements. </w:t>
      </w:r>
    </w:p>
    <w:p w14:paraId="7E7A4DB0" w14:textId="77777777" w:rsidR="00AE1E5C" w:rsidRDefault="00AE1E5C" w:rsidP="00AE1E5C">
      <w:pPr>
        <w:pStyle w:val="06FinsSubHeading2Fronttext9105"/>
      </w:pPr>
    </w:p>
    <w:p w14:paraId="35035CF6" w14:textId="77777777" w:rsidR="00AE1E5C" w:rsidRPr="00E01528" w:rsidRDefault="00AE1E5C" w:rsidP="00AE1E5C">
      <w:pPr>
        <w:pStyle w:val="06SubHeading2Fronttext9105"/>
        <w:rPr>
          <w:color w:val="3D7FE0" w:themeColor="accent1"/>
        </w:rPr>
      </w:pPr>
      <w:r w:rsidRPr="00E01528">
        <w:rPr>
          <w:color w:val="3D7FE0" w:themeColor="accent1"/>
        </w:rPr>
        <w:t>Reported Group</w:t>
      </w:r>
    </w:p>
    <w:p w14:paraId="5D12254E" w14:textId="77777777" w:rsidR="00AE1E5C" w:rsidRDefault="00AE1E5C" w:rsidP="00AE1E5C">
      <w:pPr>
        <w:pStyle w:val="06SubHeading3Fronttext9105"/>
      </w:pPr>
      <w:r>
        <w:t>Joint ventures</w:t>
      </w:r>
    </w:p>
    <w:p w14:paraId="1C2DF64F" w14:textId="286B8ECF" w:rsidR="00AE1E5C" w:rsidRDefault="00AE1E5C" w:rsidP="00AE1E5C">
      <w:pPr>
        <w:pStyle w:val="04BodyCopyFronttext9105"/>
        <w:spacing w:before="120"/>
      </w:pPr>
      <w:r>
        <w:lastRenderedPageBreak/>
        <w:t xml:space="preserve">During the year, our investment in joint ventures decreased by £149m to £1,193m (2022: £1,342m). £99m of the reduction related to the disposal of Croydon and </w:t>
      </w:r>
      <w:proofErr w:type="spellStart"/>
      <w:r>
        <w:t>derecogntion</w:t>
      </w:r>
      <w:proofErr w:type="spellEnd"/>
      <w:r>
        <w:t xml:space="preserve"> of O’Parinor; revaluation losses totalled £74m and cash distributions to the Group were £55m. These reductions were partly offset by the Group’s share of </w:t>
      </w:r>
      <w:r w:rsidR="008B3C5C">
        <w:t>A</w:t>
      </w:r>
      <w:r>
        <w:t>djusted earnings of £85m.</w:t>
      </w:r>
    </w:p>
    <w:p w14:paraId="2A4EE76D" w14:textId="77777777" w:rsidR="00AE1E5C" w:rsidRDefault="00AE1E5C" w:rsidP="00AE1E5C">
      <w:pPr>
        <w:pStyle w:val="04BodyCopyFronttext9105"/>
      </w:pPr>
    </w:p>
    <w:p w14:paraId="30111950" w14:textId="77777777" w:rsidR="00AE1E5C" w:rsidRDefault="00AE1E5C" w:rsidP="00AE1E5C">
      <w:pPr>
        <w:pStyle w:val="06SubHeading3Fronttext9105"/>
      </w:pPr>
      <w:r>
        <w:t>Associates</w:t>
      </w:r>
    </w:p>
    <w:p w14:paraId="1B04EE4D" w14:textId="415271BE" w:rsidR="00AE1E5C" w:rsidRDefault="00AE1E5C" w:rsidP="00AE1E5C">
      <w:pPr>
        <w:pStyle w:val="04BodyCopyFronttext9105"/>
        <w:spacing w:before="120"/>
      </w:pPr>
      <w:r>
        <w:t xml:space="preserve">Our investment in associates decreased by £182m to £1,115m (2022: £1,297m). £109m of the reduction was due to the disposal of Italie Deux in March, a further £74m due to distributions from Value Retail , partly offset by the Group’s share of </w:t>
      </w:r>
      <w:r w:rsidR="008B3C5C">
        <w:t>A</w:t>
      </w:r>
      <w:r>
        <w:t xml:space="preserve">djusted earnings of £33m. </w:t>
      </w:r>
    </w:p>
    <w:p w14:paraId="2736CA74" w14:textId="77777777" w:rsidR="00AE1E5C" w:rsidRDefault="00AE1E5C" w:rsidP="00AE1E5C">
      <w:pPr>
        <w:pStyle w:val="04BodyCopyFronttext9105"/>
      </w:pPr>
    </w:p>
    <w:p w14:paraId="7C018CBE" w14:textId="77777777" w:rsidR="00AE1E5C" w:rsidRPr="00E01528" w:rsidRDefault="00AE1E5C" w:rsidP="00AE1E5C">
      <w:pPr>
        <w:pStyle w:val="06SubHeading1Fronttext9105"/>
        <w:rPr>
          <w:color w:val="3D7FE0" w:themeColor="accent1"/>
          <w:sz w:val="20"/>
          <w:szCs w:val="20"/>
        </w:rPr>
      </w:pPr>
      <w:r w:rsidRPr="00E01528">
        <w:rPr>
          <w:color w:val="3D7FE0" w:themeColor="accent1"/>
          <w:sz w:val="20"/>
          <w:szCs w:val="20"/>
        </w:rPr>
        <w:t>TRADE RECEIVABLES</w:t>
      </w:r>
    </w:p>
    <w:p w14:paraId="62815599" w14:textId="094F1F5D" w:rsidR="00AE1E5C" w:rsidRDefault="00AE1E5C" w:rsidP="00AE1E5C">
      <w:pPr>
        <w:pStyle w:val="04BodyCopyFronttext9105"/>
      </w:pPr>
      <w:r>
        <w:t>Collection rates improved over the course of the year such that 9</w:t>
      </w:r>
      <w:r w:rsidR="00B2340B">
        <w:t>6</w:t>
      </w:r>
      <w:r>
        <w:t xml:space="preserve">% of the rental income due in 2023 (as at </w:t>
      </w:r>
      <w:r w:rsidR="00B2340B">
        <w:t xml:space="preserve">23 </w:t>
      </w:r>
      <w:r>
        <w:t xml:space="preserve">February 2024) has been collected. As a result we reduced the provisioning rates for amounts overdue by 3–12 months, although this did not have a significant financial impact to property outgoings. </w:t>
      </w:r>
    </w:p>
    <w:p w14:paraId="16BDC319" w14:textId="77777777" w:rsidR="00AE1E5C" w:rsidRDefault="00AE1E5C" w:rsidP="00AE1E5C">
      <w:pPr>
        <w:pStyle w:val="04BodyCopyFronttext9105"/>
        <w:spacing w:before="120"/>
      </w:pPr>
      <w:r>
        <w:t xml:space="preserve">On a proportionally consolidated basis, net trade receivables at 31 December 2023 were £43m (2022: £42m), reflecting gross trade receivables of £62m (2022: £74m) against which a provision of £19m (2022: £32m) has been applied. </w:t>
      </w:r>
    </w:p>
    <w:p w14:paraId="08F25ADF" w14:textId="77777777" w:rsidR="00AE1E5C" w:rsidRDefault="00AE1E5C" w:rsidP="00AE1E5C">
      <w:pPr>
        <w:pStyle w:val="04BodyCopyFronttext9105"/>
      </w:pPr>
    </w:p>
    <w:p w14:paraId="5494C6BF" w14:textId="77777777" w:rsidR="00AE1E5C" w:rsidRPr="00E01528" w:rsidRDefault="00AE1E5C" w:rsidP="00AE1E5C">
      <w:pPr>
        <w:pStyle w:val="06SubHeading1Fronttext9105"/>
        <w:rPr>
          <w:color w:val="3D7FE0" w:themeColor="accent1"/>
          <w:sz w:val="20"/>
          <w:szCs w:val="20"/>
        </w:rPr>
      </w:pPr>
      <w:r w:rsidRPr="00E01528">
        <w:rPr>
          <w:color w:val="3D7FE0" w:themeColor="accent1"/>
          <w:sz w:val="20"/>
          <w:szCs w:val="20"/>
        </w:rPr>
        <w:t>PENSIONS</w:t>
      </w:r>
    </w:p>
    <w:p w14:paraId="6A996DE4" w14:textId="77777777" w:rsidR="00AE1E5C" w:rsidRDefault="00AE1E5C" w:rsidP="00AE1E5C">
      <w:pPr>
        <w:pStyle w:val="04BodyCopyFronttext9105"/>
      </w:pPr>
      <w:r>
        <w:t xml:space="preserve">On 8 December 2022, the Trustees of the Group’s principal defined benefit pension scheme (‘the Scheme’), with the Company’s support, purchased a bulk annuity policy (‘buy-in’) with Just Retirement Limited (‘Just’) for a premium of £87.3m. This contract fully insured all future payments to members of the Scheme, with the premium met from the Scheme’s assets. </w:t>
      </w:r>
    </w:p>
    <w:p w14:paraId="1B19C23C" w14:textId="77777777" w:rsidR="00AE1E5C" w:rsidRDefault="00AE1E5C" w:rsidP="00AE1E5C">
      <w:pPr>
        <w:pStyle w:val="04BodyCopyFronttext9105"/>
      </w:pPr>
    </w:p>
    <w:p w14:paraId="463D3BAF" w14:textId="12E25800" w:rsidR="00AE1E5C" w:rsidRDefault="00AE1E5C" w:rsidP="00AE1E5C">
      <w:pPr>
        <w:pStyle w:val="04BodyCopyFronttext9105"/>
      </w:pPr>
      <w:r>
        <w:t>During 2023, a data cleansing process was completed and subsequently verified by Just, resulting in a small balancing premium receipt to the Scheme. Given the successful completion of the buy-in and for the Trustees to trigger the winding-up of the Scheme, on 20 December 2023 the Company terminated its liability to make further contributions to the Scheme. This initiated a process for the Trustees to assign the bulk annuity policy to individual Scheme members and to transfer the administration to Just which is expected to take place in the first quarter of 2024, after which the final steps to wind</w:t>
      </w:r>
      <w:r w:rsidR="003660B9">
        <w:t xml:space="preserve"> </w:t>
      </w:r>
      <w:r>
        <w:t xml:space="preserve">up the Scheme can be undertaken. </w:t>
      </w:r>
    </w:p>
    <w:p w14:paraId="362771C8" w14:textId="77777777" w:rsidR="00AE1E5C" w:rsidRDefault="00AE1E5C" w:rsidP="00AE1E5C">
      <w:pPr>
        <w:pStyle w:val="04BodyCopyFronttext9105"/>
      </w:pPr>
    </w:p>
    <w:p w14:paraId="2244CAE4" w14:textId="77777777" w:rsidR="00AE1E5C" w:rsidRDefault="00AE1E5C" w:rsidP="00AE1E5C">
      <w:pPr>
        <w:pStyle w:val="04BodyCopyFronttext9105"/>
      </w:pPr>
      <w:r>
        <w:t>This material balance sheet de-risking exercise is in line with the Group’s long term strategy to strengthen the resilience of the Group’s balance sheet.</w:t>
      </w:r>
    </w:p>
    <w:p w14:paraId="5C060AA8" w14:textId="77777777" w:rsidR="00AE1E5C" w:rsidRDefault="00AE1E5C" w:rsidP="00AE1E5C">
      <w:pPr>
        <w:pStyle w:val="06SubHeading1Fronttext9105"/>
      </w:pPr>
    </w:p>
    <w:p w14:paraId="6ED3A951" w14:textId="61676282" w:rsidR="00AE1E5C" w:rsidRPr="00E01528" w:rsidRDefault="00AE1E5C" w:rsidP="00AE1E5C">
      <w:pPr>
        <w:pStyle w:val="06SubHeading1Fronttext9105"/>
        <w:spacing w:after="0"/>
        <w:rPr>
          <w:color w:val="3D7FE0" w:themeColor="accent1"/>
          <w:sz w:val="20"/>
          <w:szCs w:val="20"/>
        </w:rPr>
      </w:pPr>
      <w:r w:rsidRPr="00E01528">
        <w:rPr>
          <w:color w:val="3D7FE0" w:themeColor="accent1"/>
          <w:sz w:val="20"/>
          <w:szCs w:val="20"/>
        </w:rPr>
        <w:t>FINANCING AND CASH FLOW</w:t>
      </w:r>
    </w:p>
    <w:p w14:paraId="491383E8" w14:textId="77777777" w:rsidR="00AE1E5C" w:rsidRPr="00E01528" w:rsidRDefault="00AE1E5C" w:rsidP="00AE1E5C">
      <w:pPr>
        <w:pStyle w:val="06SubHeading2Fronttext9105"/>
        <w:spacing w:before="120"/>
        <w:rPr>
          <w:color w:val="3D7FE0" w:themeColor="accent1"/>
        </w:rPr>
      </w:pPr>
      <w:r w:rsidRPr="00E01528">
        <w:rPr>
          <w:color w:val="3D7FE0" w:themeColor="accent1"/>
        </w:rPr>
        <w:t>Financing strategy</w:t>
      </w:r>
    </w:p>
    <w:p w14:paraId="0CB84250" w14:textId="77777777" w:rsidR="00AE1E5C" w:rsidRDefault="00AE1E5C" w:rsidP="00AE1E5C">
      <w:pPr>
        <w:pStyle w:val="04BodyCopyFronttext9105"/>
        <w:spacing w:before="120"/>
      </w:pPr>
      <w:r>
        <w:t>Our financing strategy is to borrow predominantly on an unsecured basis to maintain flexibility. Secured loans are occasionally used, mainly in conjunction with joint venture partners. Value Retail also uses predominantly secured debt in its financing strategy. All secured debt is non-recourse to the rest of the Group.</w:t>
      </w:r>
    </w:p>
    <w:p w14:paraId="13D4A12D" w14:textId="77777777" w:rsidR="00AE1E5C" w:rsidRDefault="00AE1E5C" w:rsidP="00AE1E5C">
      <w:pPr>
        <w:pStyle w:val="04BodyCopyFronttext9105"/>
        <w:spacing w:before="120"/>
      </w:pPr>
      <w:r>
        <w:t>The Group’s debt is arranged to maintain access to short term liquidity and long term financing. Short term liquidity is principally through syndicated revolving credit facilities. Long term debt comprises the Group’s fixed rate unsecured bonds and private placement notes. At 31 December 2023, the Group also had secured loans in the Dundrum joint venture and Value Retail. Acquisitions may initially be financed using short term funds before being refinanced with longer term funding depending on the Group’s financing position in terms of maturities, future commitments or disposals, and market conditions.</w:t>
      </w:r>
    </w:p>
    <w:p w14:paraId="5F37F1F8" w14:textId="77777777" w:rsidR="00AE1E5C" w:rsidRDefault="00AE1E5C" w:rsidP="00AE1E5C">
      <w:pPr>
        <w:pStyle w:val="04BodyCopyFronttext9105"/>
        <w:spacing w:before="120"/>
      </w:pPr>
      <w:r>
        <w:t xml:space="preserve">Derivative financial instruments are used to manage exposure to fluctuations in foreign currency exchange rates and interest rates but are not employed for speculative purposes. </w:t>
      </w:r>
    </w:p>
    <w:p w14:paraId="004AA0E6" w14:textId="77777777" w:rsidR="00AE1E5C" w:rsidRDefault="00AE1E5C" w:rsidP="00AE1E5C">
      <w:pPr>
        <w:pStyle w:val="04BodyCopyFronttext9105"/>
        <w:spacing w:before="120"/>
      </w:pPr>
      <w:r>
        <w:t>The Board regularly reviews the Group’s financing strategy and approves financing guidelines against which it monitors the Group’s financial structure. Where there is any non-compliance with the guidelines, this should not be for an extended period but the Group objective is to maintain an investment grade credit rating. The key financing metrics are set out below.</w:t>
      </w:r>
    </w:p>
    <w:p w14:paraId="4A0B36F3" w14:textId="77777777" w:rsidR="00AE1E5C" w:rsidRPr="00E01528" w:rsidRDefault="00AE1E5C" w:rsidP="00AE1E5C">
      <w:pPr>
        <w:pStyle w:val="06SubHeading2Fronttext9105"/>
        <w:rPr>
          <w:color w:val="auto"/>
        </w:rPr>
      </w:pPr>
    </w:p>
    <w:p w14:paraId="2B47E63E" w14:textId="77777777" w:rsidR="00AE1E5C" w:rsidRDefault="00AE1E5C" w:rsidP="00AE1E5C">
      <w:pPr>
        <w:pStyle w:val="06SubHeading2Fronttext9105"/>
        <w:rPr>
          <w:color w:val="3D7FE0" w:themeColor="accent1"/>
        </w:rPr>
      </w:pPr>
      <w:r w:rsidRPr="00E01528">
        <w:rPr>
          <w:color w:val="3D7FE0" w:themeColor="accent1"/>
        </w:rPr>
        <w:t xml:space="preserve">Key financial metrics </w:t>
      </w:r>
    </w:p>
    <w:tbl>
      <w:tblPr>
        <w:tblW w:w="9774" w:type="dxa"/>
        <w:tblLayout w:type="fixed"/>
        <w:tblCellMar>
          <w:left w:w="0" w:type="dxa"/>
          <w:right w:w="0" w:type="dxa"/>
        </w:tblCellMar>
        <w:tblLook w:val="00A0" w:firstRow="1" w:lastRow="0" w:firstColumn="1" w:lastColumn="0" w:noHBand="0" w:noVBand="0"/>
      </w:tblPr>
      <w:tblGrid>
        <w:gridCol w:w="5596"/>
        <w:gridCol w:w="1044"/>
        <w:gridCol w:w="1045"/>
        <w:gridCol w:w="1044"/>
        <w:gridCol w:w="1045"/>
      </w:tblGrid>
      <w:tr w:rsidR="00AE1E5C" w:rsidRPr="000F2E24" w14:paraId="5BC76739" w14:textId="77777777" w:rsidTr="004203CD">
        <w:trPr>
          <w:trHeight w:val="367"/>
        </w:trPr>
        <w:tc>
          <w:tcPr>
            <w:tcW w:w="5596" w:type="dxa"/>
            <w:tcBorders>
              <w:bottom w:val="single" w:sz="2" w:space="0" w:color="3D7FE0" w:themeColor="accent1"/>
            </w:tcBorders>
            <w:vAlign w:val="bottom"/>
          </w:tcPr>
          <w:p w14:paraId="005891D9" w14:textId="77777777" w:rsidR="00AE1E5C" w:rsidRPr="0089230A" w:rsidRDefault="00AE1E5C" w:rsidP="004203CD">
            <w:pPr>
              <w:pStyle w:val="TableColHeadsLeft"/>
              <w:rPr>
                <w:rFonts w:ascii="IBM Plex Sans Light" w:hAnsi="IBM Plex Sans Light"/>
                <w:b/>
                <w:bCs/>
                <w:color w:val="4472C4"/>
                <w:sz w:val="16"/>
                <w:szCs w:val="16"/>
              </w:rPr>
            </w:pPr>
            <w:r w:rsidRPr="0089230A">
              <w:rPr>
                <w:rFonts w:ascii="IBM Plex Sans Light" w:hAnsi="IBM Plex Sans Light"/>
                <w:b/>
                <w:bCs/>
                <w:color w:val="4472C4"/>
                <w:sz w:val="16"/>
                <w:szCs w:val="16"/>
              </w:rPr>
              <w:t>Proportionally consolidated</w:t>
            </w:r>
            <w:r>
              <w:rPr>
                <w:rFonts w:ascii="IBM Plex Sans Light" w:hAnsi="IBM Plex Sans Light"/>
                <w:b/>
                <w:bCs/>
                <w:color w:val="4472C4"/>
                <w:sz w:val="16"/>
                <w:szCs w:val="16"/>
              </w:rPr>
              <w:t xml:space="preserve"> unless otherwise stated</w:t>
            </w:r>
          </w:p>
        </w:tc>
        <w:tc>
          <w:tcPr>
            <w:tcW w:w="1044" w:type="dxa"/>
            <w:tcBorders>
              <w:bottom w:val="single" w:sz="2" w:space="0" w:color="3D7FE0" w:themeColor="accent1"/>
            </w:tcBorders>
            <w:vAlign w:val="bottom"/>
          </w:tcPr>
          <w:p w14:paraId="60DFE395" w14:textId="77777777" w:rsidR="00AE1E5C" w:rsidRPr="0089230A" w:rsidRDefault="00AE1E5C" w:rsidP="004203CD">
            <w:pPr>
              <w:pStyle w:val="12TBRightColHeaderTableBack"/>
              <w:rPr>
                <w:color w:val="4472C4"/>
                <w:sz w:val="16"/>
                <w:szCs w:val="16"/>
              </w:rPr>
            </w:pPr>
          </w:p>
        </w:tc>
        <w:tc>
          <w:tcPr>
            <w:tcW w:w="1045" w:type="dxa"/>
            <w:tcBorders>
              <w:bottom w:val="single" w:sz="2" w:space="0" w:color="3D7FE0" w:themeColor="accent1"/>
            </w:tcBorders>
            <w:shd w:val="clear" w:color="auto" w:fill="FFFFFF"/>
            <w:vAlign w:val="bottom"/>
          </w:tcPr>
          <w:p w14:paraId="082ABC5A" w14:textId="77777777" w:rsidR="00AE1E5C" w:rsidRPr="0089230A" w:rsidRDefault="00AE1E5C" w:rsidP="004203CD">
            <w:pPr>
              <w:pStyle w:val="12TBRightColHeaderTableBack"/>
              <w:rPr>
                <w:sz w:val="16"/>
                <w:szCs w:val="16"/>
              </w:rPr>
            </w:pPr>
            <w:r w:rsidRPr="0089230A">
              <w:rPr>
                <w:sz w:val="16"/>
                <w:szCs w:val="16"/>
              </w:rPr>
              <w:t xml:space="preserve">Calculation </w:t>
            </w:r>
          </w:p>
          <w:p w14:paraId="6A8875CD" w14:textId="77777777" w:rsidR="00AE1E5C" w:rsidRPr="0089230A" w:rsidRDefault="00AE1E5C" w:rsidP="004203CD">
            <w:pPr>
              <w:pStyle w:val="TableColHeadsBold"/>
              <w:rPr>
                <w:rFonts w:ascii="IBM Plex Sans Light" w:hAnsi="IBM Plex Sans Light"/>
                <w:b w:val="0"/>
                <w:bCs w:val="0"/>
                <w:sz w:val="16"/>
                <w:szCs w:val="16"/>
              </w:rPr>
            </w:pPr>
            <w:r w:rsidRPr="0089230A">
              <w:rPr>
                <w:rFonts w:ascii="IBM Plex Sans Light" w:hAnsi="IBM Plex Sans Light"/>
                <w:b w:val="0"/>
                <w:bCs w:val="0"/>
                <w:sz w:val="16"/>
                <w:szCs w:val="16"/>
              </w:rPr>
              <w:t>(References to Additional information)</w:t>
            </w:r>
          </w:p>
        </w:tc>
        <w:tc>
          <w:tcPr>
            <w:tcW w:w="1044" w:type="dxa"/>
            <w:tcBorders>
              <w:bottom w:val="single" w:sz="2" w:space="0" w:color="3D7FE0" w:themeColor="accent1"/>
            </w:tcBorders>
            <w:shd w:val="clear" w:color="auto" w:fill="FFFFFF"/>
            <w:vAlign w:val="bottom"/>
          </w:tcPr>
          <w:p w14:paraId="101C20A7" w14:textId="77777777" w:rsidR="00AE1E5C" w:rsidRPr="0089230A" w:rsidRDefault="00AE1E5C" w:rsidP="004203CD">
            <w:pPr>
              <w:pStyle w:val="12TBRightColHeaderTableBack"/>
              <w:rPr>
                <w:color w:val="4472C4"/>
                <w:sz w:val="16"/>
                <w:szCs w:val="16"/>
              </w:rPr>
            </w:pPr>
            <w:r w:rsidRPr="00024B10">
              <w:rPr>
                <w:rStyle w:val="BoldBlue"/>
                <w:rFonts w:cs="IBM Plex Sans"/>
                <w:b w:val="0"/>
                <w:color w:val="3D7FE0" w:themeColor="accent1"/>
                <w:sz w:val="16"/>
                <w:szCs w:val="16"/>
              </w:rPr>
              <w:t>2023</w:t>
            </w:r>
          </w:p>
        </w:tc>
        <w:tc>
          <w:tcPr>
            <w:tcW w:w="1045" w:type="dxa"/>
            <w:tcBorders>
              <w:bottom w:val="single" w:sz="2" w:space="0" w:color="3D7FE0" w:themeColor="accent1"/>
            </w:tcBorders>
            <w:shd w:val="clear" w:color="auto" w:fill="FFFFFF"/>
            <w:vAlign w:val="bottom"/>
          </w:tcPr>
          <w:p w14:paraId="221D5EB7" w14:textId="77777777" w:rsidR="00AE1E5C" w:rsidRPr="0089230A" w:rsidRDefault="00AE1E5C" w:rsidP="004203CD">
            <w:pPr>
              <w:pStyle w:val="TableColHeadsBold"/>
              <w:rPr>
                <w:rFonts w:ascii="IBM Plex Sans Light" w:hAnsi="IBM Plex Sans Light"/>
                <w:b w:val="0"/>
                <w:bCs w:val="0"/>
                <w:i/>
                <w:iCs/>
                <w:sz w:val="16"/>
                <w:szCs w:val="16"/>
              </w:rPr>
            </w:pPr>
            <w:r w:rsidRPr="0089230A">
              <w:rPr>
                <w:rFonts w:ascii="IBM Plex Sans Light" w:hAnsi="IBM Plex Sans Light"/>
                <w:b w:val="0"/>
                <w:bCs w:val="0"/>
                <w:sz w:val="16"/>
                <w:szCs w:val="16"/>
              </w:rPr>
              <w:t>2022</w:t>
            </w:r>
          </w:p>
        </w:tc>
      </w:tr>
      <w:tr w:rsidR="00AE1E5C" w:rsidRPr="000F2E24" w14:paraId="176631E7" w14:textId="77777777" w:rsidTr="004203CD">
        <w:tc>
          <w:tcPr>
            <w:tcW w:w="5596" w:type="dxa"/>
            <w:tcBorders>
              <w:top w:val="single" w:sz="2" w:space="0" w:color="3D7FE0" w:themeColor="accent1"/>
            </w:tcBorders>
            <w:vAlign w:val="bottom"/>
          </w:tcPr>
          <w:p w14:paraId="0BCFE042"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 xml:space="preserve">Net debt </w:t>
            </w:r>
          </w:p>
        </w:tc>
        <w:tc>
          <w:tcPr>
            <w:tcW w:w="1044" w:type="dxa"/>
            <w:tcBorders>
              <w:top w:val="single" w:sz="2" w:space="0" w:color="3D7FE0" w:themeColor="accent1"/>
            </w:tcBorders>
            <w:vAlign w:val="bottom"/>
          </w:tcPr>
          <w:p w14:paraId="40DB02B1"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tcBorders>
              <w:top w:val="single" w:sz="2" w:space="0" w:color="3D7FE0" w:themeColor="accent1"/>
            </w:tcBorders>
            <w:shd w:val="clear" w:color="auto" w:fill="FFFFFF"/>
            <w:vAlign w:val="bottom"/>
          </w:tcPr>
          <w:p w14:paraId="2D031B6A" w14:textId="77777777" w:rsidR="00AE1E5C" w:rsidRPr="0089230A" w:rsidRDefault="00AE1E5C" w:rsidP="004203CD">
            <w:pPr>
              <w:pStyle w:val="TableFiguresBold"/>
              <w:rPr>
                <w:rFonts w:ascii="IBM Plex Sans Light" w:hAnsi="IBM Plex Sans Light"/>
                <w:b w:val="0"/>
                <w:bCs w:val="0"/>
                <w:color w:val="auto"/>
                <w:spacing w:val="-4"/>
                <w:sz w:val="18"/>
                <w:szCs w:val="24"/>
              </w:rPr>
            </w:pPr>
            <w:r w:rsidRPr="0089230A">
              <w:rPr>
                <w:rFonts w:ascii="IBM Plex Sans Light" w:hAnsi="IBM Plex Sans Light"/>
                <w:b w:val="0"/>
                <w:bCs w:val="0"/>
                <w:sz w:val="18"/>
                <w:szCs w:val="24"/>
              </w:rPr>
              <w:t>Table 13</w:t>
            </w:r>
          </w:p>
        </w:tc>
        <w:tc>
          <w:tcPr>
            <w:tcW w:w="1044" w:type="dxa"/>
            <w:tcBorders>
              <w:top w:val="single" w:sz="2" w:space="0" w:color="3D7FE0" w:themeColor="accent1"/>
            </w:tcBorders>
            <w:shd w:val="clear" w:color="auto" w:fill="FFFFFF"/>
            <w:vAlign w:val="bottom"/>
          </w:tcPr>
          <w:p w14:paraId="6B3F868D" w14:textId="77777777" w:rsidR="00AE1E5C" w:rsidRPr="0089230A" w:rsidRDefault="00AE1E5C" w:rsidP="004203CD">
            <w:pPr>
              <w:pStyle w:val="TableFigures"/>
              <w:rPr>
                <w:rFonts w:ascii="IBM Plex Sans Light" w:hAnsi="IBM Plex Sans Light"/>
                <w:color w:val="3D7FE0" w:themeColor="accent1"/>
                <w:spacing w:val="-4"/>
                <w:sz w:val="18"/>
                <w:szCs w:val="24"/>
              </w:rPr>
            </w:pPr>
            <w:r w:rsidRPr="0089230A">
              <w:rPr>
                <w:rStyle w:val="BoldBlue"/>
                <w:rFonts w:ascii="IBM Plex Sans Light" w:hAnsi="IBM Plex Sans Light" w:cs="IBM Plex Sans"/>
                <w:bCs w:val="0"/>
                <w:color w:val="3D7FE0" w:themeColor="accent1"/>
                <w:sz w:val="18"/>
                <w:szCs w:val="24"/>
              </w:rPr>
              <w:t>£1,326m</w:t>
            </w:r>
          </w:p>
        </w:tc>
        <w:tc>
          <w:tcPr>
            <w:tcW w:w="1045" w:type="dxa"/>
            <w:tcBorders>
              <w:top w:val="single" w:sz="2" w:space="0" w:color="3D7FE0" w:themeColor="accent1"/>
            </w:tcBorders>
            <w:shd w:val="clear" w:color="auto" w:fill="FFFFFF"/>
            <w:vAlign w:val="bottom"/>
          </w:tcPr>
          <w:p w14:paraId="7F19AF47" w14:textId="77777777" w:rsidR="00AE1E5C" w:rsidRPr="0089230A" w:rsidRDefault="00AE1E5C" w:rsidP="004203CD">
            <w:pPr>
              <w:pStyle w:val="TableFigures"/>
              <w:rPr>
                <w:rFonts w:ascii="IBM Plex Sans Light" w:hAnsi="IBM Plex Sans Light"/>
                <w:i/>
                <w:iCs/>
                <w:color w:val="auto"/>
                <w:spacing w:val="-4"/>
                <w:sz w:val="18"/>
                <w:szCs w:val="24"/>
              </w:rPr>
            </w:pPr>
            <w:r w:rsidRPr="0089230A">
              <w:rPr>
                <w:rFonts w:ascii="IBM Plex Sans Light" w:hAnsi="IBM Plex Sans Light"/>
                <w:sz w:val="18"/>
                <w:szCs w:val="24"/>
              </w:rPr>
              <w:t>£1,732m</w:t>
            </w:r>
          </w:p>
        </w:tc>
      </w:tr>
      <w:tr w:rsidR="00AE1E5C" w:rsidRPr="000F2E24" w14:paraId="5EDBCF8D" w14:textId="77777777" w:rsidTr="004203CD">
        <w:tc>
          <w:tcPr>
            <w:tcW w:w="5596" w:type="dxa"/>
            <w:vAlign w:val="bottom"/>
          </w:tcPr>
          <w:p w14:paraId="46952F2D" w14:textId="77777777" w:rsidR="00AE1E5C" w:rsidRPr="0089230A" w:rsidRDefault="00AE1E5C" w:rsidP="004203CD">
            <w:pPr>
              <w:pStyle w:val="Tabletext"/>
              <w:rPr>
                <w:rFonts w:ascii="IBM Plex Sans Light" w:hAnsi="IBM Plex Sans Light"/>
                <w:color w:val="auto"/>
                <w:sz w:val="18"/>
                <w:szCs w:val="24"/>
              </w:rPr>
            </w:pPr>
            <w:r w:rsidRPr="0089230A">
              <w:rPr>
                <w:rFonts w:ascii="IBM Plex Sans Light" w:hAnsi="IBM Plex Sans Light"/>
                <w:sz w:val="18"/>
                <w:szCs w:val="24"/>
              </w:rPr>
              <w:t>Liquidity</w:t>
            </w:r>
          </w:p>
        </w:tc>
        <w:tc>
          <w:tcPr>
            <w:tcW w:w="1044" w:type="dxa"/>
            <w:vAlign w:val="bottom"/>
          </w:tcPr>
          <w:p w14:paraId="643FBD64"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7C51A2AE" w14:textId="77777777" w:rsidR="00AE1E5C" w:rsidRPr="0089230A" w:rsidRDefault="00AE1E5C" w:rsidP="004203CD">
            <w:pPr>
              <w:pStyle w:val="TableFiguresBold"/>
              <w:rPr>
                <w:rFonts w:ascii="IBM Plex Sans Light" w:hAnsi="IBM Plex Sans Light"/>
                <w:b w:val="0"/>
                <w:bCs w:val="0"/>
                <w:color w:val="auto"/>
                <w:spacing w:val="-4"/>
                <w:sz w:val="18"/>
                <w:szCs w:val="24"/>
              </w:rPr>
            </w:pPr>
          </w:p>
        </w:tc>
        <w:tc>
          <w:tcPr>
            <w:tcW w:w="1044" w:type="dxa"/>
            <w:shd w:val="clear" w:color="auto" w:fill="FFFFFF"/>
            <w:vAlign w:val="bottom"/>
          </w:tcPr>
          <w:p w14:paraId="62DAE8FE" w14:textId="77777777" w:rsidR="00AE1E5C" w:rsidRPr="0089230A" w:rsidRDefault="00AE1E5C" w:rsidP="004203CD">
            <w:pPr>
              <w:pStyle w:val="TableFigures"/>
              <w:rPr>
                <w:rFonts w:ascii="IBM Plex Sans Light" w:hAnsi="IBM Plex Sans Light"/>
                <w:color w:val="3D7FE0" w:themeColor="accent1"/>
                <w:spacing w:val="-4"/>
                <w:sz w:val="18"/>
                <w:szCs w:val="24"/>
              </w:rPr>
            </w:pPr>
            <w:r w:rsidRPr="0089230A">
              <w:rPr>
                <w:rStyle w:val="BoldBlue"/>
                <w:rFonts w:ascii="IBM Plex Sans Light" w:hAnsi="IBM Plex Sans Light" w:cs="IBM Plex Sans"/>
                <w:bCs w:val="0"/>
                <w:color w:val="3D7FE0" w:themeColor="accent1"/>
                <w:sz w:val="18"/>
                <w:szCs w:val="24"/>
              </w:rPr>
              <w:t>£1,225m</w:t>
            </w:r>
          </w:p>
        </w:tc>
        <w:tc>
          <w:tcPr>
            <w:tcW w:w="1045" w:type="dxa"/>
            <w:shd w:val="clear" w:color="auto" w:fill="FFFFFF"/>
            <w:vAlign w:val="bottom"/>
          </w:tcPr>
          <w:p w14:paraId="032934D0" w14:textId="77777777" w:rsidR="00AE1E5C" w:rsidRPr="0089230A" w:rsidRDefault="00AE1E5C" w:rsidP="004203CD">
            <w:pPr>
              <w:pStyle w:val="TableFigures"/>
              <w:rPr>
                <w:rFonts w:ascii="IBM Plex Sans Light" w:hAnsi="IBM Plex Sans Light"/>
                <w:i/>
                <w:iCs/>
                <w:color w:val="auto"/>
                <w:spacing w:val="-4"/>
                <w:sz w:val="18"/>
                <w:szCs w:val="24"/>
              </w:rPr>
            </w:pPr>
            <w:r w:rsidRPr="0089230A">
              <w:rPr>
                <w:rFonts w:ascii="IBM Plex Sans Light" w:hAnsi="IBM Plex Sans Light"/>
                <w:sz w:val="18"/>
                <w:szCs w:val="24"/>
              </w:rPr>
              <w:t>£996m</w:t>
            </w:r>
          </w:p>
        </w:tc>
      </w:tr>
      <w:tr w:rsidR="00AE1E5C" w:rsidRPr="000F2E24" w14:paraId="075ED44D" w14:textId="77777777" w:rsidTr="004203CD">
        <w:tc>
          <w:tcPr>
            <w:tcW w:w="5596" w:type="dxa"/>
            <w:vAlign w:val="bottom"/>
          </w:tcPr>
          <w:p w14:paraId="31B632B6" w14:textId="77777777" w:rsidR="00AE1E5C" w:rsidRPr="0089230A" w:rsidRDefault="00AE1E5C" w:rsidP="004203CD">
            <w:pPr>
              <w:pStyle w:val="Tabletext"/>
              <w:rPr>
                <w:rFonts w:ascii="IBM Plex Sans Light" w:hAnsi="IBM Plex Sans Light"/>
                <w:color w:val="auto"/>
                <w:sz w:val="18"/>
                <w:szCs w:val="24"/>
              </w:rPr>
            </w:pPr>
            <w:r w:rsidRPr="0089230A">
              <w:rPr>
                <w:rFonts w:ascii="IBM Plex Sans Light" w:hAnsi="IBM Plex Sans Light"/>
                <w:sz w:val="18"/>
                <w:szCs w:val="24"/>
              </w:rPr>
              <w:t>Weighted average interest rate – net debt</w:t>
            </w:r>
          </w:p>
        </w:tc>
        <w:tc>
          <w:tcPr>
            <w:tcW w:w="1044" w:type="dxa"/>
            <w:vAlign w:val="bottom"/>
          </w:tcPr>
          <w:p w14:paraId="35C43C78"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4450A4F4" w14:textId="77777777" w:rsidR="00AE1E5C" w:rsidRPr="0089230A" w:rsidRDefault="00AE1E5C" w:rsidP="004203CD">
            <w:pPr>
              <w:pStyle w:val="TableFiguresBold"/>
              <w:rPr>
                <w:rFonts w:ascii="IBM Plex Sans Light" w:hAnsi="IBM Plex Sans Light"/>
                <w:b w:val="0"/>
                <w:bCs w:val="0"/>
                <w:color w:val="auto"/>
                <w:spacing w:val="-4"/>
                <w:sz w:val="18"/>
                <w:szCs w:val="24"/>
              </w:rPr>
            </w:pPr>
          </w:p>
        </w:tc>
        <w:tc>
          <w:tcPr>
            <w:tcW w:w="1044" w:type="dxa"/>
            <w:shd w:val="clear" w:color="auto" w:fill="FFFFFF"/>
            <w:vAlign w:val="bottom"/>
          </w:tcPr>
          <w:p w14:paraId="64D50AEA" w14:textId="77777777" w:rsidR="00AE1E5C" w:rsidRPr="0089230A" w:rsidRDefault="00AE1E5C" w:rsidP="004203CD">
            <w:pPr>
              <w:pStyle w:val="TableFigures"/>
              <w:rPr>
                <w:rFonts w:ascii="IBM Plex Sans Light" w:hAnsi="IBM Plex Sans Light"/>
                <w:color w:val="3D7FE0" w:themeColor="accent1"/>
                <w:spacing w:val="-4"/>
                <w:sz w:val="18"/>
                <w:szCs w:val="24"/>
              </w:rPr>
            </w:pPr>
            <w:r w:rsidRPr="0089230A">
              <w:rPr>
                <w:rStyle w:val="BoldBlue"/>
                <w:rFonts w:ascii="IBM Plex Sans Light" w:hAnsi="IBM Plex Sans Light" w:cs="IBM Plex Sans"/>
                <w:bCs w:val="0"/>
                <w:color w:val="3D7FE0" w:themeColor="accent1"/>
                <w:sz w:val="18"/>
                <w:szCs w:val="24"/>
              </w:rPr>
              <w:t>2.4%</w:t>
            </w:r>
          </w:p>
        </w:tc>
        <w:tc>
          <w:tcPr>
            <w:tcW w:w="1045" w:type="dxa"/>
            <w:shd w:val="clear" w:color="auto" w:fill="FFFFFF"/>
            <w:vAlign w:val="bottom"/>
          </w:tcPr>
          <w:p w14:paraId="5C10B0E3" w14:textId="77777777" w:rsidR="00AE1E5C" w:rsidRPr="0089230A" w:rsidRDefault="00AE1E5C" w:rsidP="004203CD">
            <w:pPr>
              <w:pStyle w:val="TableFigures"/>
              <w:rPr>
                <w:rFonts w:ascii="IBM Plex Sans Light" w:hAnsi="IBM Plex Sans Light"/>
                <w:i/>
                <w:iCs/>
                <w:color w:val="auto"/>
                <w:spacing w:val="-4"/>
                <w:sz w:val="18"/>
                <w:szCs w:val="24"/>
              </w:rPr>
            </w:pPr>
            <w:r w:rsidRPr="0089230A">
              <w:rPr>
                <w:rFonts w:ascii="IBM Plex Sans Light" w:hAnsi="IBM Plex Sans Light"/>
                <w:sz w:val="18"/>
                <w:szCs w:val="24"/>
              </w:rPr>
              <w:t>2.4%</w:t>
            </w:r>
          </w:p>
        </w:tc>
      </w:tr>
      <w:tr w:rsidR="00AE1E5C" w:rsidRPr="000F2E24" w14:paraId="38B69A38" w14:textId="77777777" w:rsidTr="004203CD">
        <w:tc>
          <w:tcPr>
            <w:tcW w:w="5596" w:type="dxa"/>
            <w:vAlign w:val="bottom"/>
          </w:tcPr>
          <w:p w14:paraId="5C034DA9" w14:textId="2F21B1EA"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Weighted average interest rate</w:t>
            </w:r>
            <w:r w:rsidR="003660B9">
              <w:rPr>
                <w:rFonts w:ascii="IBM Plex Sans Light" w:hAnsi="IBM Plex Sans Light"/>
                <w:sz w:val="18"/>
                <w:szCs w:val="24"/>
              </w:rPr>
              <w:t xml:space="preserve"> </w:t>
            </w:r>
            <w:r w:rsidRPr="0089230A">
              <w:rPr>
                <w:rFonts w:ascii="IBM Plex Sans Light" w:hAnsi="IBM Plex Sans Light"/>
                <w:sz w:val="18"/>
                <w:szCs w:val="24"/>
              </w:rPr>
              <w:t>– gross debt</w:t>
            </w:r>
          </w:p>
        </w:tc>
        <w:tc>
          <w:tcPr>
            <w:tcW w:w="1044" w:type="dxa"/>
            <w:vAlign w:val="bottom"/>
          </w:tcPr>
          <w:p w14:paraId="05C7355F"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46574358" w14:textId="77777777" w:rsidR="00AE1E5C" w:rsidRPr="0089230A" w:rsidRDefault="00AE1E5C" w:rsidP="004203CD">
            <w:pPr>
              <w:pStyle w:val="TableFiguresBold"/>
              <w:rPr>
                <w:rFonts w:ascii="IBM Plex Sans Light" w:hAnsi="IBM Plex Sans Light"/>
                <w:b w:val="0"/>
                <w:bCs w:val="0"/>
                <w:color w:val="auto"/>
                <w:sz w:val="18"/>
                <w:szCs w:val="24"/>
              </w:rPr>
            </w:pPr>
          </w:p>
        </w:tc>
        <w:tc>
          <w:tcPr>
            <w:tcW w:w="1044" w:type="dxa"/>
            <w:shd w:val="clear" w:color="auto" w:fill="FFFFFF"/>
            <w:vAlign w:val="bottom"/>
          </w:tcPr>
          <w:p w14:paraId="1CBF6BE6"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3.3%</w:t>
            </w:r>
          </w:p>
        </w:tc>
        <w:tc>
          <w:tcPr>
            <w:tcW w:w="1045" w:type="dxa"/>
            <w:shd w:val="clear" w:color="auto" w:fill="FFFFFF"/>
            <w:vAlign w:val="bottom"/>
          </w:tcPr>
          <w:p w14:paraId="769B23BA" w14:textId="77777777" w:rsidR="00AE1E5C" w:rsidRPr="0089230A" w:rsidRDefault="00AE1E5C" w:rsidP="004203CD">
            <w:pPr>
              <w:pStyle w:val="TableFigures"/>
              <w:rPr>
                <w:rFonts w:ascii="IBM Plex Sans Light" w:hAnsi="IBM Plex Sans Light"/>
                <w:color w:val="auto"/>
                <w:sz w:val="18"/>
                <w:szCs w:val="24"/>
              </w:rPr>
            </w:pPr>
            <w:r w:rsidRPr="0089230A">
              <w:rPr>
                <w:rFonts w:ascii="IBM Plex Sans Light" w:hAnsi="IBM Plex Sans Light"/>
                <w:sz w:val="18"/>
                <w:szCs w:val="24"/>
              </w:rPr>
              <w:t>2.6%</w:t>
            </w:r>
          </w:p>
        </w:tc>
      </w:tr>
      <w:tr w:rsidR="00AE1E5C" w:rsidRPr="000F2E24" w14:paraId="13276B99" w14:textId="77777777" w:rsidTr="004203CD">
        <w:tc>
          <w:tcPr>
            <w:tcW w:w="5596" w:type="dxa"/>
            <w:vAlign w:val="bottom"/>
          </w:tcPr>
          <w:p w14:paraId="504735BA"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 xml:space="preserve">Weighted average maturity of debt </w:t>
            </w:r>
          </w:p>
        </w:tc>
        <w:tc>
          <w:tcPr>
            <w:tcW w:w="1044" w:type="dxa"/>
            <w:vAlign w:val="bottom"/>
          </w:tcPr>
          <w:p w14:paraId="56E5032D"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2AB7B0B0" w14:textId="77777777" w:rsidR="00AE1E5C" w:rsidRPr="0089230A" w:rsidRDefault="00AE1E5C" w:rsidP="004203CD">
            <w:pPr>
              <w:pStyle w:val="TableFiguresBold"/>
              <w:rPr>
                <w:rFonts w:ascii="IBM Plex Sans Light" w:hAnsi="IBM Plex Sans Light"/>
                <w:b w:val="0"/>
                <w:bCs w:val="0"/>
                <w:color w:val="auto"/>
                <w:sz w:val="18"/>
                <w:szCs w:val="24"/>
              </w:rPr>
            </w:pPr>
          </w:p>
        </w:tc>
        <w:tc>
          <w:tcPr>
            <w:tcW w:w="1044" w:type="dxa"/>
            <w:shd w:val="clear" w:color="auto" w:fill="FFFFFF"/>
            <w:vAlign w:val="bottom"/>
          </w:tcPr>
          <w:p w14:paraId="64021385"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2.5 years</w:t>
            </w:r>
          </w:p>
        </w:tc>
        <w:tc>
          <w:tcPr>
            <w:tcW w:w="1045" w:type="dxa"/>
            <w:shd w:val="clear" w:color="auto" w:fill="FFFFFF"/>
            <w:vAlign w:val="bottom"/>
          </w:tcPr>
          <w:p w14:paraId="3EB3CF60" w14:textId="77777777" w:rsidR="00AE1E5C" w:rsidRPr="0089230A" w:rsidRDefault="00AE1E5C" w:rsidP="004203CD">
            <w:pPr>
              <w:pStyle w:val="TableFigures"/>
              <w:rPr>
                <w:rFonts w:ascii="IBM Plex Sans Light" w:hAnsi="IBM Plex Sans Light"/>
                <w:color w:val="auto"/>
                <w:sz w:val="18"/>
                <w:szCs w:val="24"/>
              </w:rPr>
            </w:pPr>
            <w:r w:rsidRPr="0089230A">
              <w:rPr>
                <w:rFonts w:ascii="IBM Plex Sans Light" w:hAnsi="IBM Plex Sans Light"/>
                <w:sz w:val="18"/>
                <w:szCs w:val="24"/>
              </w:rPr>
              <w:t>3.4 years</w:t>
            </w:r>
          </w:p>
        </w:tc>
      </w:tr>
      <w:tr w:rsidR="00AE1E5C" w:rsidRPr="000F2E24" w14:paraId="020F58A0" w14:textId="77777777" w:rsidTr="004203CD">
        <w:tc>
          <w:tcPr>
            <w:tcW w:w="5596" w:type="dxa"/>
            <w:vAlign w:val="bottom"/>
          </w:tcPr>
          <w:p w14:paraId="6A577843"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FX hedging</w:t>
            </w:r>
          </w:p>
        </w:tc>
        <w:tc>
          <w:tcPr>
            <w:tcW w:w="1044" w:type="dxa"/>
            <w:vAlign w:val="bottom"/>
          </w:tcPr>
          <w:p w14:paraId="38AD9E92"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77A92705" w14:textId="77777777" w:rsidR="00AE1E5C" w:rsidRPr="0089230A" w:rsidRDefault="00AE1E5C" w:rsidP="004203CD">
            <w:pPr>
              <w:pStyle w:val="TableFiguresBold"/>
              <w:rPr>
                <w:rFonts w:ascii="IBM Plex Sans Light" w:hAnsi="IBM Plex Sans Light"/>
                <w:b w:val="0"/>
                <w:bCs w:val="0"/>
                <w:color w:val="auto"/>
                <w:sz w:val="18"/>
                <w:szCs w:val="24"/>
              </w:rPr>
            </w:pPr>
          </w:p>
        </w:tc>
        <w:tc>
          <w:tcPr>
            <w:tcW w:w="1044" w:type="dxa"/>
            <w:shd w:val="clear" w:color="auto" w:fill="FFFFFF"/>
            <w:vAlign w:val="bottom"/>
          </w:tcPr>
          <w:p w14:paraId="2F4ADECF"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91%</w:t>
            </w:r>
          </w:p>
        </w:tc>
        <w:tc>
          <w:tcPr>
            <w:tcW w:w="1045" w:type="dxa"/>
            <w:shd w:val="clear" w:color="auto" w:fill="FFFFFF"/>
            <w:vAlign w:val="bottom"/>
          </w:tcPr>
          <w:p w14:paraId="66526591" w14:textId="77777777" w:rsidR="00AE1E5C" w:rsidRPr="0089230A" w:rsidRDefault="00AE1E5C" w:rsidP="004203CD">
            <w:pPr>
              <w:pStyle w:val="TableFigures"/>
              <w:rPr>
                <w:rFonts w:ascii="IBM Plex Sans Light" w:hAnsi="IBM Plex Sans Light"/>
                <w:color w:val="auto"/>
                <w:sz w:val="18"/>
                <w:szCs w:val="24"/>
              </w:rPr>
            </w:pPr>
            <w:r w:rsidRPr="0089230A">
              <w:rPr>
                <w:rFonts w:ascii="IBM Plex Sans Light" w:hAnsi="IBM Plex Sans Light"/>
                <w:sz w:val="18"/>
                <w:szCs w:val="24"/>
              </w:rPr>
              <w:t>91%</w:t>
            </w:r>
          </w:p>
        </w:tc>
      </w:tr>
      <w:tr w:rsidR="00AE1E5C" w:rsidRPr="000F2E24" w14:paraId="238FA7C6" w14:textId="77777777" w:rsidTr="004203CD">
        <w:tc>
          <w:tcPr>
            <w:tcW w:w="5596" w:type="dxa"/>
            <w:vAlign w:val="bottom"/>
          </w:tcPr>
          <w:p w14:paraId="21C7A9A6" w14:textId="66598BDF"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lastRenderedPageBreak/>
              <w:t xml:space="preserve">Net </w:t>
            </w:r>
            <w:proofErr w:type="spellStart"/>
            <w:r w:rsidRPr="0089230A">
              <w:rPr>
                <w:rFonts w:ascii="IBM Plex Sans Light" w:hAnsi="IBM Plex Sans Light"/>
                <w:sz w:val="18"/>
                <w:szCs w:val="24"/>
              </w:rPr>
              <w:t>debt:EBITDA</w:t>
            </w:r>
            <w:proofErr w:type="spellEnd"/>
            <w:r w:rsidRPr="0089230A">
              <w:rPr>
                <w:rFonts w:ascii="IBM Plex Sans Light" w:hAnsi="IBM Plex Sans Light"/>
                <w:sz w:val="18"/>
                <w:szCs w:val="24"/>
              </w:rPr>
              <w:t xml:space="preserve"> </w:t>
            </w:r>
          </w:p>
        </w:tc>
        <w:tc>
          <w:tcPr>
            <w:tcW w:w="1044" w:type="dxa"/>
            <w:vAlign w:val="bottom"/>
          </w:tcPr>
          <w:p w14:paraId="03C40FA4"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1398B1E4" w14:textId="77777777" w:rsidR="00AE1E5C" w:rsidRPr="0089230A" w:rsidRDefault="00AE1E5C" w:rsidP="004203CD">
            <w:pPr>
              <w:pStyle w:val="TableFiguresBold"/>
              <w:rPr>
                <w:rFonts w:ascii="IBM Plex Sans Light" w:hAnsi="IBM Plex Sans Light"/>
                <w:b w:val="0"/>
                <w:bCs w:val="0"/>
                <w:color w:val="auto"/>
                <w:sz w:val="18"/>
                <w:szCs w:val="24"/>
              </w:rPr>
            </w:pPr>
            <w:r w:rsidRPr="0089230A">
              <w:rPr>
                <w:rFonts w:ascii="IBM Plex Sans Light" w:hAnsi="IBM Plex Sans Light"/>
                <w:b w:val="0"/>
                <w:bCs w:val="0"/>
                <w:sz w:val="18"/>
                <w:szCs w:val="24"/>
              </w:rPr>
              <w:t>Table 16</w:t>
            </w:r>
          </w:p>
        </w:tc>
        <w:tc>
          <w:tcPr>
            <w:tcW w:w="1044" w:type="dxa"/>
            <w:shd w:val="clear" w:color="auto" w:fill="FFFFFF"/>
            <w:vAlign w:val="bottom"/>
          </w:tcPr>
          <w:p w14:paraId="63ED2ADA"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8.0x</w:t>
            </w:r>
          </w:p>
        </w:tc>
        <w:tc>
          <w:tcPr>
            <w:tcW w:w="1045" w:type="dxa"/>
            <w:shd w:val="clear" w:color="auto" w:fill="FFFFFF"/>
            <w:vAlign w:val="bottom"/>
          </w:tcPr>
          <w:p w14:paraId="1C91E1C9" w14:textId="77777777" w:rsidR="00AE1E5C" w:rsidRPr="0089230A" w:rsidRDefault="00AE1E5C" w:rsidP="004203CD">
            <w:pPr>
              <w:pStyle w:val="TableFigures"/>
              <w:rPr>
                <w:rFonts w:ascii="IBM Plex Sans Light" w:hAnsi="IBM Plex Sans Light"/>
                <w:color w:val="auto"/>
                <w:sz w:val="18"/>
                <w:szCs w:val="24"/>
              </w:rPr>
            </w:pPr>
            <w:r w:rsidRPr="0089230A">
              <w:rPr>
                <w:rFonts w:ascii="IBM Plex Sans Light" w:hAnsi="IBM Plex Sans Light"/>
                <w:sz w:val="18"/>
                <w:szCs w:val="24"/>
              </w:rPr>
              <w:t>10.4x</w:t>
            </w:r>
          </w:p>
        </w:tc>
      </w:tr>
      <w:tr w:rsidR="00AE1E5C" w:rsidRPr="000F2E24" w14:paraId="50AD6DB1" w14:textId="77777777" w:rsidTr="004203CD">
        <w:tc>
          <w:tcPr>
            <w:tcW w:w="5596" w:type="dxa"/>
            <w:vAlign w:val="bottom"/>
          </w:tcPr>
          <w:p w14:paraId="592422E8"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Loan to value – Headline</w:t>
            </w:r>
            <w:r w:rsidRPr="0089230A">
              <w:rPr>
                <w:rFonts w:ascii="IBM Plex Sans Light" w:hAnsi="IBM Plex Sans Light"/>
                <w:sz w:val="18"/>
                <w:szCs w:val="24"/>
                <w:vertAlign w:val="superscript"/>
              </w:rPr>
              <w:t>1</w:t>
            </w:r>
            <w:r w:rsidRPr="0089230A">
              <w:rPr>
                <w:rFonts w:ascii="IBM Plex Sans Light" w:hAnsi="IBM Plex Sans Light"/>
                <w:sz w:val="18"/>
                <w:szCs w:val="24"/>
              </w:rPr>
              <w:t xml:space="preserve"> </w:t>
            </w:r>
          </w:p>
        </w:tc>
        <w:tc>
          <w:tcPr>
            <w:tcW w:w="1044" w:type="dxa"/>
            <w:vAlign w:val="bottom"/>
          </w:tcPr>
          <w:p w14:paraId="5A5BFF2A"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shd w:val="clear" w:color="auto" w:fill="FFFFFF"/>
            <w:vAlign w:val="bottom"/>
          </w:tcPr>
          <w:p w14:paraId="1658C2C8" w14:textId="77777777" w:rsidR="00AE1E5C" w:rsidRPr="0089230A" w:rsidRDefault="00AE1E5C" w:rsidP="004203CD">
            <w:pPr>
              <w:pStyle w:val="TableFiguresBold"/>
              <w:rPr>
                <w:rFonts w:ascii="IBM Plex Sans Light" w:hAnsi="IBM Plex Sans Light"/>
                <w:b w:val="0"/>
                <w:bCs w:val="0"/>
                <w:color w:val="auto"/>
                <w:sz w:val="18"/>
                <w:szCs w:val="24"/>
              </w:rPr>
            </w:pPr>
            <w:r w:rsidRPr="0089230A">
              <w:rPr>
                <w:rFonts w:ascii="IBM Plex Sans Light" w:hAnsi="IBM Plex Sans Light"/>
                <w:b w:val="0"/>
                <w:bCs w:val="0"/>
                <w:sz w:val="18"/>
                <w:szCs w:val="24"/>
              </w:rPr>
              <w:t>Table 19</w:t>
            </w:r>
          </w:p>
        </w:tc>
        <w:tc>
          <w:tcPr>
            <w:tcW w:w="1044" w:type="dxa"/>
            <w:shd w:val="clear" w:color="auto" w:fill="FFFFFF"/>
            <w:vAlign w:val="bottom"/>
          </w:tcPr>
          <w:p w14:paraId="663521EF"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34%</w:t>
            </w:r>
          </w:p>
        </w:tc>
        <w:tc>
          <w:tcPr>
            <w:tcW w:w="1045" w:type="dxa"/>
            <w:shd w:val="clear" w:color="auto" w:fill="FFFFFF"/>
            <w:vAlign w:val="bottom"/>
          </w:tcPr>
          <w:p w14:paraId="1F63BF45" w14:textId="77777777" w:rsidR="00AE1E5C" w:rsidRPr="0089230A" w:rsidRDefault="00AE1E5C" w:rsidP="004203CD">
            <w:pPr>
              <w:pStyle w:val="TableFigures"/>
              <w:rPr>
                <w:rFonts w:ascii="IBM Plex Sans Light" w:hAnsi="IBM Plex Sans Light"/>
                <w:color w:val="auto"/>
                <w:sz w:val="18"/>
                <w:szCs w:val="24"/>
              </w:rPr>
            </w:pPr>
            <w:r w:rsidRPr="0089230A">
              <w:rPr>
                <w:rFonts w:ascii="IBM Plex Sans Light" w:hAnsi="IBM Plex Sans Light"/>
                <w:sz w:val="18"/>
                <w:szCs w:val="24"/>
              </w:rPr>
              <w:t>39%</w:t>
            </w:r>
          </w:p>
        </w:tc>
      </w:tr>
      <w:tr w:rsidR="00AE1E5C" w:rsidRPr="000F2E24" w14:paraId="19242B22" w14:textId="77777777" w:rsidTr="004203CD">
        <w:tc>
          <w:tcPr>
            <w:tcW w:w="5596" w:type="dxa"/>
            <w:tcBorders>
              <w:bottom w:val="single" w:sz="2" w:space="0" w:color="3D7FE0" w:themeColor="accent1"/>
            </w:tcBorders>
            <w:vAlign w:val="bottom"/>
          </w:tcPr>
          <w:p w14:paraId="2855FEE9" w14:textId="77777777" w:rsidR="00AE1E5C" w:rsidRPr="0089230A" w:rsidRDefault="00AE1E5C" w:rsidP="004203CD">
            <w:pPr>
              <w:pStyle w:val="Tabletext"/>
              <w:rPr>
                <w:rFonts w:ascii="IBM Plex Sans Light" w:hAnsi="IBM Plex Sans Light"/>
                <w:color w:val="auto"/>
                <w:sz w:val="18"/>
                <w:szCs w:val="24"/>
              </w:rPr>
            </w:pPr>
            <w:r w:rsidRPr="0089230A">
              <w:rPr>
                <w:rFonts w:ascii="IBM Plex Sans Light" w:hAnsi="IBM Plex Sans Light"/>
                <w:sz w:val="18"/>
                <w:szCs w:val="24"/>
              </w:rPr>
              <w:t>Loan to value – Full proportional consolidation (of Value Retail)</w:t>
            </w:r>
            <w:r w:rsidRPr="0089230A">
              <w:rPr>
                <w:rFonts w:ascii="IBM Plex Sans Light" w:hAnsi="IBM Plex Sans Light"/>
                <w:sz w:val="18"/>
                <w:szCs w:val="24"/>
                <w:vertAlign w:val="superscript"/>
              </w:rPr>
              <w:t>2</w:t>
            </w:r>
          </w:p>
        </w:tc>
        <w:tc>
          <w:tcPr>
            <w:tcW w:w="1044" w:type="dxa"/>
            <w:tcBorders>
              <w:bottom w:val="single" w:sz="2" w:space="0" w:color="3D7FE0" w:themeColor="accent1"/>
            </w:tcBorders>
            <w:vAlign w:val="bottom"/>
          </w:tcPr>
          <w:p w14:paraId="062101CC" w14:textId="77777777" w:rsidR="00AE1E5C" w:rsidRPr="0089230A" w:rsidRDefault="00AE1E5C" w:rsidP="004203CD">
            <w:pPr>
              <w:pStyle w:val="Tabletext"/>
              <w:jc w:val="right"/>
              <w:rPr>
                <w:rFonts w:ascii="IBM Plex Sans Light" w:hAnsi="IBM Plex Sans Light"/>
                <w:color w:val="4472C4"/>
                <w:sz w:val="18"/>
                <w:szCs w:val="18"/>
              </w:rPr>
            </w:pPr>
          </w:p>
        </w:tc>
        <w:tc>
          <w:tcPr>
            <w:tcW w:w="1045" w:type="dxa"/>
            <w:tcBorders>
              <w:bottom w:val="single" w:sz="2" w:space="0" w:color="3D7FE0" w:themeColor="accent1"/>
            </w:tcBorders>
            <w:shd w:val="clear" w:color="auto" w:fill="FFFFFF"/>
            <w:vAlign w:val="bottom"/>
          </w:tcPr>
          <w:p w14:paraId="3B4E97B9" w14:textId="77777777" w:rsidR="00AE1E5C" w:rsidRPr="0089230A" w:rsidRDefault="00AE1E5C" w:rsidP="004203CD">
            <w:pPr>
              <w:pStyle w:val="TableFiguresBold"/>
              <w:rPr>
                <w:rFonts w:ascii="IBM Plex Sans Light" w:hAnsi="IBM Plex Sans Light"/>
                <w:b w:val="0"/>
                <w:bCs w:val="0"/>
                <w:color w:val="auto"/>
                <w:spacing w:val="-4"/>
                <w:sz w:val="18"/>
                <w:szCs w:val="24"/>
              </w:rPr>
            </w:pPr>
            <w:r w:rsidRPr="0089230A">
              <w:rPr>
                <w:rFonts w:ascii="IBM Plex Sans Light" w:hAnsi="IBM Plex Sans Light"/>
                <w:b w:val="0"/>
                <w:bCs w:val="0"/>
                <w:sz w:val="18"/>
                <w:szCs w:val="24"/>
              </w:rPr>
              <w:t>Table 19</w:t>
            </w:r>
          </w:p>
        </w:tc>
        <w:tc>
          <w:tcPr>
            <w:tcW w:w="1044" w:type="dxa"/>
            <w:tcBorders>
              <w:bottom w:val="single" w:sz="2" w:space="0" w:color="3D7FE0" w:themeColor="accent1"/>
            </w:tcBorders>
            <w:shd w:val="clear" w:color="auto" w:fill="FFFFFF"/>
            <w:vAlign w:val="bottom"/>
          </w:tcPr>
          <w:p w14:paraId="511F58EA" w14:textId="77777777" w:rsidR="00AE1E5C" w:rsidRPr="0089230A" w:rsidRDefault="00AE1E5C" w:rsidP="004203CD">
            <w:pPr>
              <w:pStyle w:val="TableFigures"/>
              <w:rPr>
                <w:rFonts w:ascii="IBM Plex Sans Light" w:hAnsi="IBM Plex Sans Light"/>
                <w:color w:val="3D7FE0" w:themeColor="accent1"/>
                <w:spacing w:val="-4"/>
                <w:sz w:val="18"/>
                <w:szCs w:val="24"/>
              </w:rPr>
            </w:pPr>
            <w:r w:rsidRPr="0089230A">
              <w:rPr>
                <w:rStyle w:val="BoldBlue"/>
                <w:rFonts w:ascii="IBM Plex Sans Light" w:hAnsi="IBM Plex Sans Light" w:cs="IBM Plex Sans"/>
                <w:bCs w:val="0"/>
                <w:color w:val="3D7FE0" w:themeColor="accent1"/>
                <w:sz w:val="18"/>
                <w:szCs w:val="24"/>
              </w:rPr>
              <w:t>44%</w:t>
            </w:r>
          </w:p>
        </w:tc>
        <w:tc>
          <w:tcPr>
            <w:tcW w:w="1045" w:type="dxa"/>
            <w:tcBorders>
              <w:bottom w:val="single" w:sz="2" w:space="0" w:color="3D7FE0" w:themeColor="accent1"/>
            </w:tcBorders>
            <w:shd w:val="clear" w:color="auto" w:fill="FFFFFF"/>
            <w:vAlign w:val="bottom"/>
          </w:tcPr>
          <w:p w14:paraId="3AA2F880" w14:textId="77777777" w:rsidR="00AE1E5C" w:rsidRPr="0089230A" w:rsidRDefault="00AE1E5C" w:rsidP="004203CD">
            <w:pPr>
              <w:pStyle w:val="TableFigures"/>
              <w:rPr>
                <w:rFonts w:ascii="IBM Plex Sans Light" w:hAnsi="IBM Plex Sans Light"/>
                <w:i/>
                <w:iCs/>
                <w:color w:val="auto"/>
                <w:spacing w:val="-4"/>
                <w:sz w:val="18"/>
                <w:szCs w:val="24"/>
              </w:rPr>
            </w:pPr>
            <w:r w:rsidRPr="0089230A">
              <w:rPr>
                <w:rFonts w:ascii="IBM Plex Sans Light" w:hAnsi="IBM Plex Sans Light"/>
                <w:sz w:val="18"/>
                <w:szCs w:val="24"/>
              </w:rPr>
              <w:t>47%</w:t>
            </w:r>
          </w:p>
        </w:tc>
      </w:tr>
      <w:tr w:rsidR="00AE1E5C" w:rsidRPr="000F2E24" w14:paraId="577FF6FB" w14:textId="77777777" w:rsidTr="004203CD">
        <w:tc>
          <w:tcPr>
            <w:tcW w:w="5596" w:type="dxa"/>
            <w:tcBorders>
              <w:top w:val="single" w:sz="2" w:space="0" w:color="3D7FE0" w:themeColor="accent1"/>
              <w:bottom w:val="single" w:sz="2" w:space="0" w:color="3D7FE0" w:themeColor="accent1"/>
            </w:tcBorders>
            <w:vAlign w:val="bottom"/>
          </w:tcPr>
          <w:p w14:paraId="1B9768A8" w14:textId="77777777" w:rsidR="00AE1E5C" w:rsidRPr="0089230A" w:rsidRDefault="00AE1E5C" w:rsidP="004203CD">
            <w:pPr>
              <w:pStyle w:val="Tabletext"/>
              <w:rPr>
                <w:rFonts w:ascii="IBM Plex Sans Light" w:hAnsi="IBM Plex Sans Light"/>
                <w:color w:val="3D7FE0" w:themeColor="accent1"/>
                <w:sz w:val="18"/>
                <w:szCs w:val="24"/>
              </w:rPr>
            </w:pPr>
            <w:r w:rsidRPr="0089230A">
              <w:rPr>
                <w:rFonts w:ascii="IBM Plex Sans Light" w:hAnsi="IBM Plex Sans Light"/>
                <w:color w:val="3D7FE0" w:themeColor="accent1"/>
              </w:rPr>
              <w:t>Metrics with associated financial covenants</w:t>
            </w:r>
          </w:p>
        </w:tc>
        <w:tc>
          <w:tcPr>
            <w:tcW w:w="1044" w:type="dxa"/>
            <w:tcBorders>
              <w:top w:val="single" w:sz="2" w:space="0" w:color="3D7FE0" w:themeColor="accent1"/>
              <w:bottom w:val="single" w:sz="2" w:space="0" w:color="3D7FE0" w:themeColor="accent1"/>
            </w:tcBorders>
            <w:vAlign w:val="bottom"/>
          </w:tcPr>
          <w:p w14:paraId="1A96BC71" w14:textId="77777777" w:rsidR="00AE1E5C" w:rsidRPr="0089230A" w:rsidRDefault="00AE1E5C" w:rsidP="004203CD">
            <w:pPr>
              <w:pStyle w:val="Tabletext"/>
              <w:jc w:val="right"/>
              <w:rPr>
                <w:rFonts w:ascii="IBM Plex Sans Light" w:hAnsi="IBM Plex Sans Light"/>
                <w:color w:val="4472C4"/>
                <w:sz w:val="18"/>
                <w:szCs w:val="18"/>
              </w:rPr>
            </w:pPr>
            <w:r>
              <w:rPr>
                <w:rFonts w:ascii="IBM Plex Sans Light" w:hAnsi="IBM Plex Sans Light"/>
                <w:color w:val="4472C4"/>
              </w:rPr>
              <w:t>C</w:t>
            </w:r>
            <w:r w:rsidRPr="0089230A">
              <w:rPr>
                <w:rFonts w:ascii="IBM Plex Sans Light" w:hAnsi="IBM Plex Sans Light"/>
                <w:color w:val="4472C4"/>
              </w:rPr>
              <w:t>ovenants</w:t>
            </w:r>
          </w:p>
        </w:tc>
        <w:tc>
          <w:tcPr>
            <w:tcW w:w="1045" w:type="dxa"/>
            <w:tcBorders>
              <w:top w:val="single" w:sz="2" w:space="0" w:color="3D7FE0" w:themeColor="accent1"/>
              <w:bottom w:val="single" w:sz="2" w:space="0" w:color="3D7FE0" w:themeColor="accent1"/>
            </w:tcBorders>
            <w:shd w:val="clear" w:color="auto" w:fill="FFFFFF"/>
            <w:vAlign w:val="bottom"/>
          </w:tcPr>
          <w:p w14:paraId="23C7F280" w14:textId="77777777" w:rsidR="00AE1E5C" w:rsidRPr="0089230A" w:rsidRDefault="00AE1E5C" w:rsidP="004203CD">
            <w:pPr>
              <w:pStyle w:val="TableFiguresBold"/>
              <w:rPr>
                <w:rFonts w:ascii="IBM Plex Sans Light" w:hAnsi="IBM Plex Sans Light"/>
                <w:b w:val="0"/>
                <w:bCs w:val="0"/>
                <w:sz w:val="18"/>
                <w:szCs w:val="24"/>
              </w:rPr>
            </w:pPr>
          </w:p>
        </w:tc>
        <w:tc>
          <w:tcPr>
            <w:tcW w:w="1044" w:type="dxa"/>
            <w:tcBorders>
              <w:top w:val="single" w:sz="2" w:space="0" w:color="3D7FE0" w:themeColor="accent1"/>
              <w:bottom w:val="single" w:sz="2" w:space="0" w:color="3D7FE0" w:themeColor="accent1"/>
            </w:tcBorders>
            <w:shd w:val="clear" w:color="auto" w:fill="FFFFFF"/>
            <w:vAlign w:val="bottom"/>
          </w:tcPr>
          <w:p w14:paraId="48AEDBDC"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p>
        </w:tc>
        <w:tc>
          <w:tcPr>
            <w:tcW w:w="1045" w:type="dxa"/>
            <w:tcBorders>
              <w:top w:val="single" w:sz="2" w:space="0" w:color="3D7FE0" w:themeColor="accent1"/>
              <w:bottom w:val="single" w:sz="2" w:space="0" w:color="3D7FE0" w:themeColor="accent1"/>
            </w:tcBorders>
            <w:shd w:val="clear" w:color="auto" w:fill="FFFFFF"/>
            <w:vAlign w:val="bottom"/>
          </w:tcPr>
          <w:p w14:paraId="77356C12" w14:textId="77777777" w:rsidR="00AE1E5C" w:rsidRPr="0089230A" w:rsidRDefault="00AE1E5C" w:rsidP="004203CD">
            <w:pPr>
              <w:pStyle w:val="TableFigures"/>
              <w:rPr>
                <w:rFonts w:ascii="IBM Plex Sans Light" w:hAnsi="IBM Plex Sans Light"/>
                <w:sz w:val="18"/>
                <w:szCs w:val="24"/>
              </w:rPr>
            </w:pPr>
          </w:p>
        </w:tc>
      </w:tr>
      <w:tr w:rsidR="00AE1E5C" w:rsidRPr="000F2E24" w14:paraId="45528CC6" w14:textId="77777777" w:rsidTr="004203CD">
        <w:tc>
          <w:tcPr>
            <w:tcW w:w="5596" w:type="dxa"/>
            <w:tcBorders>
              <w:top w:val="single" w:sz="2" w:space="0" w:color="3D7FE0" w:themeColor="accent1"/>
            </w:tcBorders>
            <w:vAlign w:val="bottom"/>
          </w:tcPr>
          <w:p w14:paraId="6332F28B"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 xml:space="preserve">Interest cover </w:t>
            </w:r>
          </w:p>
        </w:tc>
        <w:tc>
          <w:tcPr>
            <w:tcW w:w="1044" w:type="dxa"/>
            <w:tcBorders>
              <w:top w:val="single" w:sz="2" w:space="0" w:color="3D7FE0" w:themeColor="accent1"/>
            </w:tcBorders>
            <w:vAlign w:val="bottom"/>
          </w:tcPr>
          <w:p w14:paraId="348FA5E6" w14:textId="77777777" w:rsidR="00AE1E5C" w:rsidRPr="0089230A" w:rsidRDefault="00AE1E5C" w:rsidP="004203CD">
            <w:pPr>
              <w:pStyle w:val="Tabletext"/>
              <w:jc w:val="right"/>
              <w:rPr>
                <w:rFonts w:ascii="IBM Plex Sans Light" w:hAnsi="IBM Plex Sans Light"/>
                <w:color w:val="4472C4"/>
                <w:sz w:val="18"/>
                <w:szCs w:val="24"/>
              </w:rPr>
            </w:pPr>
            <w:r w:rsidRPr="0089230A">
              <w:rPr>
                <w:rFonts w:ascii="IBM Plex Sans Light" w:hAnsi="IBM Plex Sans Light"/>
                <w:sz w:val="18"/>
                <w:szCs w:val="24"/>
              </w:rPr>
              <w:t>≥ 1.25x</w:t>
            </w:r>
          </w:p>
        </w:tc>
        <w:tc>
          <w:tcPr>
            <w:tcW w:w="1045" w:type="dxa"/>
            <w:tcBorders>
              <w:top w:val="single" w:sz="2" w:space="0" w:color="3D7FE0" w:themeColor="accent1"/>
            </w:tcBorders>
            <w:shd w:val="clear" w:color="auto" w:fill="FFFFFF"/>
            <w:vAlign w:val="bottom"/>
          </w:tcPr>
          <w:p w14:paraId="05DC3583" w14:textId="77777777" w:rsidR="00AE1E5C" w:rsidRPr="00653D8F" w:rsidRDefault="00AE1E5C" w:rsidP="004203CD">
            <w:pPr>
              <w:pStyle w:val="TableFiguresBold"/>
              <w:rPr>
                <w:rFonts w:ascii="IBM Plex Sans Light" w:hAnsi="IBM Plex Sans Light"/>
                <w:b w:val="0"/>
                <w:bCs w:val="0"/>
                <w:sz w:val="18"/>
                <w:szCs w:val="24"/>
              </w:rPr>
            </w:pPr>
            <w:r w:rsidRPr="00653D8F">
              <w:rPr>
                <w:rFonts w:ascii="IBM Plex Sans Light" w:hAnsi="IBM Plex Sans Light"/>
                <w:b w:val="0"/>
                <w:bCs w:val="0"/>
                <w:sz w:val="18"/>
                <w:szCs w:val="24"/>
              </w:rPr>
              <w:t>Table 17</w:t>
            </w:r>
          </w:p>
        </w:tc>
        <w:tc>
          <w:tcPr>
            <w:tcW w:w="1044" w:type="dxa"/>
            <w:tcBorders>
              <w:top w:val="single" w:sz="2" w:space="0" w:color="3D7FE0" w:themeColor="accent1"/>
            </w:tcBorders>
            <w:shd w:val="clear" w:color="auto" w:fill="FFFFFF"/>
            <w:vAlign w:val="bottom"/>
          </w:tcPr>
          <w:p w14:paraId="6BFD849B"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3.91x</w:t>
            </w:r>
          </w:p>
        </w:tc>
        <w:tc>
          <w:tcPr>
            <w:tcW w:w="1045" w:type="dxa"/>
            <w:tcBorders>
              <w:top w:val="single" w:sz="2" w:space="0" w:color="3D7FE0" w:themeColor="accent1"/>
            </w:tcBorders>
            <w:shd w:val="clear" w:color="auto" w:fill="FFFFFF"/>
            <w:vAlign w:val="bottom"/>
          </w:tcPr>
          <w:p w14:paraId="77D519FA" w14:textId="77777777" w:rsidR="00AE1E5C" w:rsidRPr="0089230A" w:rsidRDefault="00AE1E5C" w:rsidP="004203CD">
            <w:pPr>
              <w:pStyle w:val="TableFigures"/>
              <w:rPr>
                <w:rFonts w:ascii="IBM Plex Sans Light" w:hAnsi="IBM Plex Sans Light"/>
                <w:sz w:val="18"/>
                <w:szCs w:val="24"/>
              </w:rPr>
            </w:pPr>
            <w:r w:rsidRPr="0089230A">
              <w:rPr>
                <w:rFonts w:ascii="IBM Plex Sans Light" w:hAnsi="IBM Plex Sans Light"/>
                <w:sz w:val="18"/>
                <w:szCs w:val="24"/>
              </w:rPr>
              <w:t>3.24x</w:t>
            </w:r>
          </w:p>
        </w:tc>
      </w:tr>
      <w:tr w:rsidR="00AE1E5C" w:rsidRPr="000F2E24" w14:paraId="21011907" w14:textId="77777777" w:rsidTr="004203CD">
        <w:tc>
          <w:tcPr>
            <w:tcW w:w="5596" w:type="dxa"/>
            <w:vAlign w:val="bottom"/>
          </w:tcPr>
          <w:p w14:paraId="0AEF52A3" w14:textId="6410E96B"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Gearing</w:t>
            </w:r>
            <w:r w:rsidRPr="0089230A">
              <w:rPr>
                <w:rFonts w:ascii="IBM Plex Sans Light" w:hAnsi="IBM Plex Sans Light"/>
                <w:sz w:val="18"/>
                <w:szCs w:val="24"/>
              </w:rPr>
              <w:tab/>
              <w:t>– Selected bonds</w:t>
            </w:r>
            <w:r w:rsidR="009B6985">
              <w:rPr>
                <w:rFonts w:ascii="IBM Plex Sans Light" w:hAnsi="IBM Plex Sans Light"/>
                <w:sz w:val="18"/>
                <w:szCs w:val="24"/>
                <w:vertAlign w:val="superscript"/>
              </w:rPr>
              <w:t>3</w:t>
            </w:r>
            <w:r w:rsidRPr="0089230A">
              <w:rPr>
                <w:rFonts w:ascii="IBM Plex Sans Light" w:hAnsi="IBM Plex Sans Light"/>
                <w:sz w:val="18"/>
                <w:szCs w:val="24"/>
              </w:rPr>
              <w:t xml:space="preserve"> </w:t>
            </w:r>
          </w:p>
        </w:tc>
        <w:tc>
          <w:tcPr>
            <w:tcW w:w="1044" w:type="dxa"/>
            <w:vAlign w:val="bottom"/>
          </w:tcPr>
          <w:p w14:paraId="1A41EE5D" w14:textId="77777777" w:rsidR="00AE1E5C" w:rsidRPr="0089230A" w:rsidRDefault="00AE1E5C" w:rsidP="004203CD">
            <w:pPr>
              <w:pStyle w:val="Tabletext"/>
              <w:jc w:val="right"/>
              <w:rPr>
                <w:rFonts w:ascii="IBM Plex Sans Light" w:hAnsi="IBM Plex Sans Light"/>
                <w:color w:val="4472C4"/>
                <w:sz w:val="18"/>
                <w:szCs w:val="24"/>
              </w:rPr>
            </w:pPr>
            <w:r w:rsidRPr="0089230A">
              <w:rPr>
                <w:rFonts w:ascii="IBM Plex Sans Light" w:hAnsi="IBM Plex Sans Light"/>
                <w:sz w:val="18"/>
                <w:szCs w:val="24"/>
              </w:rPr>
              <w:t>≤ 175%</w:t>
            </w:r>
          </w:p>
        </w:tc>
        <w:tc>
          <w:tcPr>
            <w:tcW w:w="1045" w:type="dxa"/>
            <w:shd w:val="clear" w:color="auto" w:fill="FFFFFF"/>
            <w:vAlign w:val="bottom"/>
          </w:tcPr>
          <w:p w14:paraId="6E6233A2" w14:textId="77777777" w:rsidR="00AE1E5C" w:rsidRPr="00653D8F" w:rsidRDefault="00AE1E5C" w:rsidP="004203CD">
            <w:pPr>
              <w:pStyle w:val="TableFiguresBold"/>
              <w:rPr>
                <w:rFonts w:ascii="IBM Plex Sans Light" w:hAnsi="IBM Plex Sans Light"/>
                <w:b w:val="0"/>
                <w:bCs w:val="0"/>
                <w:sz w:val="18"/>
                <w:szCs w:val="24"/>
              </w:rPr>
            </w:pPr>
            <w:r w:rsidRPr="00653D8F">
              <w:rPr>
                <w:rFonts w:ascii="IBM Plex Sans Light" w:hAnsi="IBM Plex Sans Light"/>
                <w:b w:val="0"/>
                <w:bCs w:val="0"/>
                <w:sz w:val="18"/>
                <w:szCs w:val="24"/>
              </w:rPr>
              <w:t>Table 18</w:t>
            </w:r>
          </w:p>
        </w:tc>
        <w:tc>
          <w:tcPr>
            <w:tcW w:w="1044" w:type="dxa"/>
            <w:shd w:val="clear" w:color="auto" w:fill="FFFFFF"/>
            <w:vAlign w:val="bottom"/>
          </w:tcPr>
          <w:p w14:paraId="4863C37D"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55%</w:t>
            </w:r>
          </w:p>
        </w:tc>
        <w:tc>
          <w:tcPr>
            <w:tcW w:w="1045" w:type="dxa"/>
            <w:shd w:val="clear" w:color="auto" w:fill="FFFFFF"/>
            <w:vAlign w:val="bottom"/>
          </w:tcPr>
          <w:p w14:paraId="364F7325" w14:textId="77777777" w:rsidR="00AE1E5C" w:rsidRPr="0089230A" w:rsidRDefault="00AE1E5C" w:rsidP="004203CD">
            <w:pPr>
              <w:pStyle w:val="TableFigures"/>
              <w:rPr>
                <w:rFonts w:ascii="IBM Plex Sans Light" w:hAnsi="IBM Plex Sans Light"/>
                <w:sz w:val="18"/>
                <w:szCs w:val="24"/>
              </w:rPr>
            </w:pPr>
            <w:r w:rsidRPr="0089230A">
              <w:rPr>
                <w:rFonts w:ascii="IBM Plex Sans Light" w:hAnsi="IBM Plex Sans Light"/>
                <w:sz w:val="18"/>
                <w:szCs w:val="24"/>
              </w:rPr>
              <w:t>68%</w:t>
            </w:r>
          </w:p>
        </w:tc>
      </w:tr>
      <w:tr w:rsidR="00AE1E5C" w:rsidRPr="000F2E24" w14:paraId="2A83B353" w14:textId="77777777" w:rsidTr="004203CD">
        <w:tc>
          <w:tcPr>
            <w:tcW w:w="5596" w:type="dxa"/>
            <w:vAlign w:val="bottom"/>
          </w:tcPr>
          <w:p w14:paraId="4229D911"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ab/>
            </w:r>
            <w:r w:rsidRPr="0089230A">
              <w:rPr>
                <w:rFonts w:ascii="IBM Plex Sans Light" w:hAnsi="IBM Plex Sans Light"/>
                <w:sz w:val="18"/>
                <w:szCs w:val="24"/>
              </w:rPr>
              <w:tab/>
              <w:t>– Other borrowings and facilities</w:t>
            </w:r>
          </w:p>
        </w:tc>
        <w:tc>
          <w:tcPr>
            <w:tcW w:w="1044" w:type="dxa"/>
            <w:vAlign w:val="bottom"/>
          </w:tcPr>
          <w:p w14:paraId="5A792B81" w14:textId="77777777" w:rsidR="00AE1E5C" w:rsidRPr="0089230A" w:rsidRDefault="00AE1E5C" w:rsidP="004203CD">
            <w:pPr>
              <w:pStyle w:val="Tabletext"/>
              <w:jc w:val="right"/>
              <w:rPr>
                <w:rFonts w:ascii="IBM Plex Sans Light" w:hAnsi="IBM Plex Sans Light"/>
                <w:color w:val="4472C4"/>
                <w:sz w:val="18"/>
                <w:szCs w:val="24"/>
              </w:rPr>
            </w:pPr>
            <w:r w:rsidRPr="0089230A">
              <w:rPr>
                <w:rFonts w:ascii="IBM Plex Sans Light" w:hAnsi="IBM Plex Sans Light"/>
                <w:sz w:val="18"/>
                <w:szCs w:val="24"/>
              </w:rPr>
              <w:t>≤ 150%</w:t>
            </w:r>
          </w:p>
        </w:tc>
        <w:tc>
          <w:tcPr>
            <w:tcW w:w="1045" w:type="dxa"/>
            <w:shd w:val="clear" w:color="auto" w:fill="FFFFFF"/>
            <w:vAlign w:val="bottom"/>
          </w:tcPr>
          <w:p w14:paraId="7586D4E4" w14:textId="77777777" w:rsidR="00AE1E5C" w:rsidRPr="00653D8F" w:rsidRDefault="00AE1E5C" w:rsidP="004203CD">
            <w:pPr>
              <w:pStyle w:val="TableFiguresBold"/>
              <w:rPr>
                <w:rFonts w:ascii="IBM Plex Sans Light" w:hAnsi="IBM Plex Sans Light"/>
                <w:b w:val="0"/>
                <w:bCs w:val="0"/>
                <w:sz w:val="18"/>
                <w:szCs w:val="24"/>
              </w:rPr>
            </w:pPr>
            <w:r w:rsidRPr="00653D8F">
              <w:rPr>
                <w:rFonts w:ascii="IBM Plex Sans Light" w:hAnsi="IBM Plex Sans Light"/>
                <w:b w:val="0"/>
                <w:bCs w:val="0"/>
                <w:sz w:val="18"/>
                <w:szCs w:val="24"/>
              </w:rPr>
              <w:t>Table 18</w:t>
            </w:r>
          </w:p>
        </w:tc>
        <w:tc>
          <w:tcPr>
            <w:tcW w:w="1044" w:type="dxa"/>
            <w:shd w:val="clear" w:color="auto" w:fill="FFFFFF"/>
            <w:vAlign w:val="bottom"/>
          </w:tcPr>
          <w:p w14:paraId="50A237A6"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55%</w:t>
            </w:r>
          </w:p>
        </w:tc>
        <w:tc>
          <w:tcPr>
            <w:tcW w:w="1045" w:type="dxa"/>
            <w:shd w:val="clear" w:color="auto" w:fill="FFFFFF"/>
            <w:vAlign w:val="bottom"/>
          </w:tcPr>
          <w:p w14:paraId="7A3DA8DA" w14:textId="77777777" w:rsidR="00AE1E5C" w:rsidRPr="0089230A" w:rsidRDefault="00AE1E5C" w:rsidP="004203CD">
            <w:pPr>
              <w:pStyle w:val="TableFigures"/>
              <w:rPr>
                <w:rFonts w:ascii="IBM Plex Sans Light" w:hAnsi="IBM Plex Sans Light"/>
                <w:sz w:val="18"/>
                <w:szCs w:val="24"/>
              </w:rPr>
            </w:pPr>
            <w:r w:rsidRPr="0089230A">
              <w:rPr>
                <w:rFonts w:ascii="IBM Plex Sans Light" w:hAnsi="IBM Plex Sans Light"/>
                <w:sz w:val="18"/>
                <w:szCs w:val="24"/>
              </w:rPr>
              <w:t>68%</w:t>
            </w:r>
          </w:p>
        </w:tc>
      </w:tr>
      <w:tr w:rsidR="00AE1E5C" w:rsidRPr="000F2E24" w14:paraId="662832DE" w14:textId="77777777" w:rsidTr="004203CD">
        <w:tc>
          <w:tcPr>
            <w:tcW w:w="5596" w:type="dxa"/>
            <w:vAlign w:val="bottom"/>
          </w:tcPr>
          <w:p w14:paraId="19834202"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Unencumbered asset ratio</w:t>
            </w:r>
          </w:p>
        </w:tc>
        <w:tc>
          <w:tcPr>
            <w:tcW w:w="1044" w:type="dxa"/>
            <w:vAlign w:val="bottom"/>
          </w:tcPr>
          <w:p w14:paraId="5B880BCF" w14:textId="77777777" w:rsidR="00AE1E5C" w:rsidRPr="0089230A" w:rsidRDefault="00AE1E5C" w:rsidP="004203CD">
            <w:pPr>
              <w:pStyle w:val="Tabletext"/>
              <w:jc w:val="right"/>
              <w:rPr>
                <w:rFonts w:ascii="IBM Plex Sans Light" w:hAnsi="IBM Plex Sans Light"/>
                <w:color w:val="4472C4"/>
                <w:sz w:val="18"/>
                <w:szCs w:val="24"/>
              </w:rPr>
            </w:pPr>
            <w:r w:rsidRPr="0089230A">
              <w:rPr>
                <w:rFonts w:ascii="IBM Plex Sans Light" w:hAnsi="IBM Plex Sans Light"/>
                <w:sz w:val="18"/>
                <w:szCs w:val="24"/>
              </w:rPr>
              <w:t>≥ 1.5x</w:t>
            </w:r>
          </w:p>
        </w:tc>
        <w:tc>
          <w:tcPr>
            <w:tcW w:w="1045" w:type="dxa"/>
            <w:shd w:val="clear" w:color="auto" w:fill="FFFFFF"/>
            <w:vAlign w:val="bottom"/>
          </w:tcPr>
          <w:p w14:paraId="0D39F02D" w14:textId="77777777" w:rsidR="00AE1E5C" w:rsidRPr="00653D8F" w:rsidRDefault="00AE1E5C" w:rsidP="004203CD">
            <w:pPr>
              <w:pStyle w:val="TableFiguresBold"/>
              <w:rPr>
                <w:rFonts w:ascii="IBM Plex Sans Light" w:hAnsi="IBM Plex Sans Light"/>
                <w:b w:val="0"/>
                <w:bCs w:val="0"/>
                <w:sz w:val="18"/>
                <w:szCs w:val="24"/>
              </w:rPr>
            </w:pPr>
            <w:r w:rsidRPr="00653D8F">
              <w:rPr>
                <w:rFonts w:ascii="IBM Plex Sans Light" w:hAnsi="IBM Plex Sans Light"/>
                <w:b w:val="0"/>
                <w:bCs w:val="0"/>
                <w:sz w:val="18"/>
                <w:szCs w:val="24"/>
              </w:rPr>
              <w:t>Table 20</w:t>
            </w:r>
          </w:p>
        </w:tc>
        <w:tc>
          <w:tcPr>
            <w:tcW w:w="1044" w:type="dxa"/>
            <w:shd w:val="clear" w:color="auto" w:fill="FFFFFF"/>
            <w:vAlign w:val="bottom"/>
          </w:tcPr>
          <w:p w14:paraId="02BF9803"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2.04x</w:t>
            </w:r>
          </w:p>
        </w:tc>
        <w:tc>
          <w:tcPr>
            <w:tcW w:w="1045" w:type="dxa"/>
            <w:shd w:val="clear" w:color="auto" w:fill="FFFFFF"/>
            <w:vAlign w:val="bottom"/>
          </w:tcPr>
          <w:p w14:paraId="0B375E45" w14:textId="77777777" w:rsidR="00AE1E5C" w:rsidRPr="0089230A" w:rsidRDefault="00AE1E5C" w:rsidP="004203CD">
            <w:pPr>
              <w:pStyle w:val="TableFigures"/>
              <w:rPr>
                <w:rFonts w:ascii="IBM Plex Sans Light" w:hAnsi="IBM Plex Sans Light"/>
                <w:sz w:val="18"/>
                <w:szCs w:val="24"/>
              </w:rPr>
            </w:pPr>
            <w:r w:rsidRPr="0089230A">
              <w:rPr>
                <w:rFonts w:ascii="IBM Plex Sans Light" w:hAnsi="IBM Plex Sans Light"/>
                <w:sz w:val="18"/>
                <w:szCs w:val="24"/>
              </w:rPr>
              <w:t>1.74x</w:t>
            </w:r>
          </w:p>
        </w:tc>
      </w:tr>
      <w:tr w:rsidR="00AE1E5C" w:rsidRPr="000F2E24" w14:paraId="38041DC2" w14:textId="77777777" w:rsidTr="004203CD">
        <w:tc>
          <w:tcPr>
            <w:tcW w:w="5596" w:type="dxa"/>
            <w:vAlign w:val="bottom"/>
          </w:tcPr>
          <w:p w14:paraId="2F344927"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Secured debt/equity shareholders’ funds</w:t>
            </w:r>
          </w:p>
        </w:tc>
        <w:tc>
          <w:tcPr>
            <w:tcW w:w="1044" w:type="dxa"/>
            <w:vAlign w:val="bottom"/>
          </w:tcPr>
          <w:p w14:paraId="03E737E9" w14:textId="77777777" w:rsidR="00AE1E5C" w:rsidRPr="0089230A" w:rsidRDefault="00AE1E5C" w:rsidP="004203CD">
            <w:pPr>
              <w:pStyle w:val="Tabletext"/>
              <w:jc w:val="right"/>
              <w:rPr>
                <w:rFonts w:ascii="IBM Plex Sans Light" w:hAnsi="IBM Plex Sans Light"/>
                <w:color w:val="4472C4"/>
                <w:sz w:val="18"/>
                <w:szCs w:val="24"/>
              </w:rPr>
            </w:pPr>
            <w:r w:rsidRPr="0089230A">
              <w:rPr>
                <w:rFonts w:ascii="IBM Plex Sans Light" w:hAnsi="IBM Plex Sans Light"/>
                <w:sz w:val="18"/>
                <w:szCs w:val="24"/>
              </w:rPr>
              <w:t>≤ 50%</w:t>
            </w:r>
          </w:p>
        </w:tc>
        <w:tc>
          <w:tcPr>
            <w:tcW w:w="1045" w:type="dxa"/>
            <w:shd w:val="clear" w:color="auto" w:fill="FFFFFF"/>
            <w:vAlign w:val="bottom"/>
          </w:tcPr>
          <w:p w14:paraId="585897D8" w14:textId="77777777" w:rsidR="00AE1E5C" w:rsidRPr="0089230A" w:rsidRDefault="00AE1E5C" w:rsidP="004203CD">
            <w:pPr>
              <w:pStyle w:val="TableFiguresBold"/>
              <w:rPr>
                <w:rFonts w:ascii="IBM Plex Sans Light" w:hAnsi="IBM Plex Sans Light"/>
                <w:b w:val="0"/>
                <w:bCs w:val="0"/>
                <w:sz w:val="18"/>
                <w:szCs w:val="24"/>
              </w:rPr>
            </w:pPr>
          </w:p>
        </w:tc>
        <w:tc>
          <w:tcPr>
            <w:tcW w:w="1044" w:type="dxa"/>
            <w:shd w:val="clear" w:color="auto" w:fill="FFFFFF"/>
            <w:vAlign w:val="bottom"/>
          </w:tcPr>
          <w:p w14:paraId="59C62E21"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11%</w:t>
            </w:r>
          </w:p>
        </w:tc>
        <w:tc>
          <w:tcPr>
            <w:tcW w:w="1045" w:type="dxa"/>
            <w:shd w:val="clear" w:color="auto" w:fill="FFFFFF"/>
            <w:vAlign w:val="bottom"/>
          </w:tcPr>
          <w:p w14:paraId="22E4A113" w14:textId="77777777" w:rsidR="00AE1E5C" w:rsidRPr="0089230A" w:rsidRDefault="00AE1E5C" w:rsidP="004203CD">
            <w:pPr>
              <w:pStyle w:val="TableFigures"/>
              <w:rPr>
                <w:rFonts w:ascii="IBM Plex Sans Light" w:hAnsi="IBM Plex Sans Light"/>
                <w:sz w:val="18"/>
                <w:szCs w:val="24"/>
              </w:rPr>
            </w:pPr>
            <w:r w:rsidRPr="0089230A">
              <w:rPr>
                <w:rFonts w:ascii="IBM Plex Sans Light" w:hAnsi="IBM Plex Sans Light"/>
                <w:sz w:val="18"/>
                <w:szCs w:val="24"/>
              </w:rPr>
              <w:t>15%</w:t>
            </w:r>
          </w:p>
        </w:tc>
      </w:tr>
      <w:tr w:rsidR="00AE1E5C" w:rsidRPr="000F2E24" w14:paraId="5D47ECE1" w14:textId="77777777" w:rsidTr="004203CD">
        <w:tc>
          <w:tcPr>
            <w:tcW w:w="5596" w:type="dxa"/>
            <w:tcBorders>
              <w:bottom w:val="single" w:sz="8" w:space="0" w:color="3D7FE0" w:themeColor="accent1"/>
            </w:tcBorders>
            <w:vAlign w:val="bottom"/>
          </w:tcPr>
          <w:p w14:paraId="10F67CBD" w14:textId="77777777" w:rsidR="00AE1E5C" w:rsidRPr="0089230A" w:rsidRDefault="00AE1E5C" w:rsidP="004203CD">
            <w:pPr>
              <w:pStyle w:val="Tabletext"/>
              <w:rPr>
                <w:rFonts w:ascii="IBM Plex Sans Light" w:hAnsi="IBM Plex Sans Light"/>
                <w:sz w:val="18"/>
                <w:szCs w:val="24"/>
              </w:rPr>
            </w:pPr>
            <w:r w:rsidRPr="0089230A">
              <w:rPr>
                <w:rFonts w:ascii="IBM Plex Sans Light" w:hAnsi="IBM Plex Sans Light"/>
                <w:sz w:val="18"/>
                <w:szCs w:val="24"/>
              </w:rPr>
              <w:t>Fixed rate debt as a proportion of total debt</w:t>
            </w:r>
          </w:p>
        </w:tc>
        <w:tc>
          <w:tcPr>
            <w:tcW w:w="1044" w:type="dxa"/>
            <w:tcBorders>
              <w:bottom w:val="single" w:sz="8" w:space="0" w:color="3D7FE0" w:themeColor="accent1"/>
            </w:tcBorders>
            <w:vAlign w:val="bottom"/>
          </w:tcPr>
          <w:p w14:paraId="5B1C094B" w14:textId="77777777" w:rsidR="00AE1E5C" w:rsidRPr="0089230A" w:rsidRDefault="00AE1E5C" w:rsidP="004203CD">
            <w:pPr>
              <w:pStyle w:val="Tabletext"/>
              <w:jc w:val="right"/>
              <w:rPr>
                <w:rFonts w:ascii="IBM Plex Sans Light" w:hAnsi="IBM Plex Sans Light"/>
                <w:color w:val="4472C4"/>
                <w:sz w:val="18"/>
                <w:szCs w:val="24"/>
              </w:rPr>
            </w:pPr>
            <w:r w:rsidRPr="0089230A">
              <w:rPr>
                <w:rFonts w:ascii="IBM Plex Sans Light" w:hAnsi="IBM Plex Sans Light"/>
                <w:sz w:val="18"/>
                <w:szCs w:val="24"/>
              </w:rPr>
              <w:t>n/a</w:t>
            </w:r>
          </w:p>
        </w:tc>
        <w:tc>
          <w:tcPr>
            <w:tcW w:w="1045" w:type="dxa"/>
            <w:tcBorders>
              <w:bottom w:val="single" w:sz="8" w:space="0" w:color="3D7FE0" w:themeColor="accent1"/>
            </w:tcBorders>
            <w:shd w:val="clear" w:color="auto" w:fill="FFFFFF"/>
            <w:vAlign w:val="bottom"/>
          </w:tcPr>
          <w:p w14:paraId="5D9D69A5" w14:textId="77777777" w:rsidR="00AE1E5C" w:rsidRPr="0089230A" w:rsidRDefault="00AE1E5C" w:rsidP="004203CD">
            <w:pPr>
              <w:pStyle w:val="TableFiguresBold"/>
              <w:rPr>
                <w:rFonts w:ascii="IBM Plex Sans Light" w:hAnsi="IBM Plex Sans Light"/>
                <w:b w:val="0"/>
                <w:bCs w:val="0"/>
                <w:sz w:val="18"/>
                <w:szCs w:val="24"/>
              </w:rPr>
            </w:pPr>
          </w:p>
        </w:tc>
        <w:tc>
          <w:tcPr>
            <w:tcW w:w="1044" w:type="dxa"/>
            <w:tcBorders>
              <w:bottom w:val="single" w:sz="8" w:space="0" w:color="3D7FE0" w:themeColor="accent1"/>
            </w:tcBorders>
            <w:shd w:val="clear" w:color="auto" w:fill="FFFFFF"/>
            <w:vAlign w:val="bottom"/>
          </w:tcPr>
          <w:p w14:paraId="7AEAD241" w14:textId="77777777" w:rsidR="00AE1E5C" w:rsidRPr="0089230A" w:rsidRDefault="00AE1E5C" w:rsidP="004203CD">
            <w:pPr>
              <w:pStyle w:val="TableFigures"/>
              <w:rPr>
                <w:rStyle w:val="BoldBlue"/>
                <w:rFonts w:ascii="IBM Plex Sans Light" w:hAnsi="IBM Plex Sans Light" w:cs="IBM Plex Sans"/>
                <w:bCs w:val="0"/>
                <w:color w:val="3D7FE0" w:themeColor="accent1"/>
                <w:sz w:val="18"/>
                <w:szCs w:val="24"/>
              </w:rPr>
            </w:pPr>
            <w:r w:rsidRPr="0089230A">
              <w:rPr>
                <w:rStyle w:val="BoldBlue"/>
                <w:rFonts w:ascii="IBM Plex Sans Light" w:hAnsi="IBM Plex Sans Light" w:cs="IBM Plex Sans"/>
                <w:bCs w:val="0"/>
                <w:color w:val="3D7FE0" w:themeColor="accent1"/>
                <w:sz w:val="18"/>
                <w:szCs w:val="24"/>
              </w:rPr>
              <w:t>84%</w:t>
            </w:r>
          </w:p>
        </w:tc>
        <w:tc>
          <w:tcPr>
            <w:tcW w:w="1045" w:type="dxa"/>
            <w:tcBorders>
              <w:bottom w:val="single" w:sz="8" w:space="0" w:color="3D7FE0" w:themeColor="accent1"/>
            </w:tcBorders>
            <w:shd w:val="clear" w:color="auto" w:fill="FFFFFF"/>
            <w:vAlign w:val="bottom"/>
          </w:tcPr>
          <w:p w14:paraId="1D90F65C" w14:textId="77777777" w:rsidR="00AE1E5C" w:rsidRPr="0089230A" w:rsidRDefault="00AE1E5C" w:rsidP="004203CD">
            <w:pPr>
              <w:pStyle w:val="TableFigures"/>
              <w:rPr>
                <w:rFonts w:ascii="IBM Plex Sans Light" w:hAnsi="IBM Plex Sans Light"/>
                <w:sz w:val="18"/>
                <w:szCs w:val="24"/>
              </w:rPr>
            </w:pPr>
            <w:r w:rsidRPr="0089230A">
              <w:rPr>
                <w:rFonts w:ascii="IBM Plex Sans Light" w:hAnsi="IBM Plex Sans Light"/>
                <w:sz w:val="18"/>
                <w:szCs w:val="24"/>
              </w:rPr>
              <w:t>84%</w:t>
            </w:r>
          </w:p>
        </w:tc>
      </w:tr>
    </w:tbl>
    <w:p w14:paraId="2B575C31" w14:textId="77777777" w:rsidR="00AE1E5C" w:rsidRDefault="00AE1E5C" w:rsidP="00AE1E5C">
      <w:pPr>
        <w:pStyle w:val="11GeneralFootnotes"/>
        <w:spacing w:before="40" w:after="40"/>
      </w:pPr>
      <w:r>
        <w:t>1</w:t>
      </w:r>
      <w:r>
        <w:tab/>
        <w:t>Headline: ‘Loan’ excludes Value Retail net debt and ‘Value’ includes Value Retail net assets.</w:t>
      </w:r>
    </w:p>
    <w:p w14:paraId="51787F38" w14:textId="77777777" w:rsidR="00AE1E5C" w:rsidRDefault="00AE1E5C" w:rsidP="00AE1E5C">
      <w:pPr>
        <w:pStyle w:val="11GeneralFootnotes"/>
        <w:spacing w:before="40" w:after="40"/>
      </w:pPr>
      <w:r>
        <w:t>2</w:t>
      </w:r>
      <w:r>
        <w:tab/>
        <w:t>Full proportional consolidation of VR: ‘Loan’ includes Value Retail net debt and ‘Value’ includes Value Retail property values.</w:t>
      </w:r>
    </w:p>
    <w:p w14:paraId="16B562C2" w14:textId="77777777" w:rsidR="00AE1E5C" w:rsidRDefault="00AE1E5C" w:rsidP="00AE1E5C">
      <w:pPr>
        <w:pStyle w:val="11GeneralFootnotes"/>
        <w:spacing w:before="40" w:after="40"/>
      </w:pPr>
      <w:r>
        <w:t>3</w:t>
      </w:r>
      <w:r>
        <w:tab/>
        <w:t>Applicable to bonds maturing in 2025 and 2027 (as set out in note 16 to the financial statements).</w:t>
      </w:r>
    </w:p>
    <w:p w14:paraId="479A7708" w14:textId="77777777" w:rsidR="00AE1E5C" w:rsidRDefault="00AE1E5C" w:rsidP="00AE1E5C">
      <w:pPr>
        <w:pStyle w:val="04BodyCopyFronttext9105"/>
      </w:pPr>
    </w:p>
    <w:p w14:paraId="0BD53D7C" w14:textId="77777777" w:rsidR="00AE1E5C" w:rsidRPr="0089230A" w:rsidRDefault="00AE1E5C" w:rsidP="00AE1E5C">
      <w:pPr>
        <w:pStyle w:val="06SubHeading2Fronttext9105"/>
        <w:rPr>
          <w:color w:val="3D7FE0" w:themeColor="accent1"/>
        </w:rPr>
      </w:pPr>
      <w:r w:rsidRPr="0089230A">
        <w:rPr>
          <w:color w:val="3D7FE0" w:themeColor="accent1"/>
        </w:rPr>
        <w:t xml:space="preserve">Credit ratings </w:t>
      </w:r>
    </w:p>
    <w:p w14:paraId="0EA46DC8" w14:textId="77777777" w:rsidR="00AE1E5C" w:rsidRDefault="00AE1E5C" w:rsidP="00AE1E5C">
      <w:pPr>
        <w:pStyle w:val="04BodyCopyFronttext9105"/>
        <w:spacing w:before="120"/>
      </w:pPr>
      <w:r>
        <w:t xml:space="preserve">During the year, Moody’s and Fitch’s senior unsecured investment grade credit ratings were re-affirmed as Baa3 and BBB+ respectively. </w:t>
      </w:r>
    </w:p>
    <w:p w14:paraId="551439D1" w14:textId="77777777" w:rsidR="00AE1E5C" w:rsidRDefault="00AE1E5C" w:rsidP="00AE1E5C">
      <w:pPr>
        <w:pStyle w:val="04BodyCopyFronttext9105"/>
      </w:pPr>
    </w:p>
    <w:p w14:paraId="03FAEE8E" w14:textId="77777777" w:rsidR="00AE1E5C" w:rsidRPr="0089230A" w:rsidRDefault="00AE1E5C" w:rsidP="00AE1E5C">
      <w:pPr>
        <w:pStyle w:val="06SubHeading2Fronttext9105"/>
        <w:rPr>
          <w:color w:val="3D7FE0" w:themeColor="accent1"/>
        </w:rPr>
      </w:pPr>
      <w:r w:rsidRPr="0089230A">
        <w:rPr>
          <w:color w:val="3D7FE0" w:themeColor="accent1"/>
        </w:rPr>
        <w:t>Leverage</w:t>
      </w:r>
    </w:p>
    <w:p w14:paraId="4C9E7914" w14:textId="77777777" w:rsidR="00AE1E5C" w:rsidRDefault="00AE1E5C" w:rsidP="00AE1E5C">
      <w:pPr>
        <w:pStyle w:val="04BodyCopyFronttext9105"/>
        <w:spacing w:before="120"/>
      </w:pPr>
      <w:r>
        <w:t xml:space="preserve">At 31 December 2023, the Group’s gearing was 55% (2022: 68%) and Headline loan to value ratio was 34% (2022: 39%). </w:t>
      </w:r>
    </w:p>
    <w:p w14:paraId="7697D6A5" w14:textId="77777777" w:rsidR="00AE1E5C" w:rsidRDefault="00AE1E5C" w:rsidP="00AE1E5C">
      <w:pPr>
        <w:pStyle w:val="04BodyCopyFronttext9105"/>
        <w:spacing w:before="120"/>
      </w:pPr>
      <w:r>
        <w:t xml:space="preserve">The Group’s share of net debt in Value Retail totalled £730m (2022: £675m). Fully proportionally consolidating Value Retail’s net debt, the Group’s loan to value ratio was 44% (2022: 47%). </w:t>
      </w:r>
    </w:p>
    <w:p w14:paraId="3A1264BD" w14:textId="77777777" w:rsidR="00AE1E5C" w:rsidRDefault="00AE1E5C" w:rsidP="00AE1E5C">
      <w:pPr>
        <w:pStyle w:val="04BodyCopyFronttext9105"/>
      </w:pPr>
    </w:p>
    <w:p w14:paraId="6EAF769B" w14:textId="77777777" w:rsidR="00AE1E5C" w:rsidRDefault="00AE1E5C" w:rsidP="00AE1E5C">
      <w:pPr>
        <w:pStyle w:val="04BodyCopyFronttext9105"/>
      </w:pPr>
      <w:r>
        <w:t>Calculations for gearing and loan to value are set out in Tables 18 and 19 of the Additional information, respectively.</w:t>
      </w:r>
    </w:p>
    <w:p w14:paraId="5C66113E" w14:textId="77777777" w:rsidR="00AE1E5C" w:rsidRDefault="00AE1E5C" w:rsidP="00AE1E5C">
      <w:pPr>
        <w:pStyle w:val="04BodyCopyFronttext9105"/>
      </w:pPr>
    </w:p>
    <w:p w14:paraId="52B057F5" w14:textId="74E78DA0" w:rsidR="00AE1E5C" w:rsidRPr="0089230A" w:rsidRDefault="00AE1E5C" w:rsidP="00AE1E5C">
      <w:pPr>
        <w:pStyle w:val="06SubHeading2Fronttext9105"/>
        <w:rPr>
          <w:color w:val="3D7FE0" w:themeColor="accent1"/>
        </w:rPr>
      </w:pPr>
      <w:r w:rsidRPr="0089230A">
        <w:rPr>
          <w:color w:val="3D7FE0" w:themeColor="accent1"/>
        </w:rPr>
        <w:t xml:space="preserve">Borrowings and covenants </w:t>
      </w:r>
    </w:p>
    <w:p w14:paraId="522B2313" w14:textId="77777777" w:rsidR="00AE1E5C" w:rsidRDefault="00AE1E5C" w:rsidP="00AE1E5C">
      <w:pPr>
        <w:pStyle w:val="04BodyCopyFronttext9105"/>
        <w:spacing w:before="120"/>
      </w:pPr>
      <w:r>
        <w:t>The terms of the Group’s unsecured borrowings contain a number of covenants which provide protection to the lenders and bondholders as set out in the Key financial metrics table above. At 31 December 2023, the Group had significant headroom against these metrics.</w:t>
      </w:r>
    </w:p>
    <w:p w14:paraId="5BED7E45" w14:textId="77777777" w:rsidR="00AE1E5C" w:rsidRDefault="00AE1E5C" w:rsidP="00AE1E5C">
      <w:pPr>
        <w:pStyle w:val="04BodyCopyFronttext9105"/>
        <w:spacing w:before="120"/>
      </w:pPr>
      <w:r>
        <w:t>In addition, Dundrum and Value Retail have secured debt facilities which include covenants specific to those properties, including covenants for loan to value and interest cover. However, there is no recourse to the Group.</w:t>
      </w:r>
    </w:p>
    <w:p w14:paraId="41120C43" w14:textId="77777777" w:rsidR="00AE1E5C" w:rsidRPr="001B6AC8" w:rsidRDefault="00AE1E5C" w:rsidP="00AE1E5C">
      <w:pPr>
        <w:pStyle w:val="06SubHeading2Fronttext9105"/>
        <w:rPr>
          <w:color w:val="3D7FE0" w:themeColor="accent1"/>
        </w:rPr>
      </w:pPr>
    </w:p>
    <w:p w14:paraId="6C6D2F18" w14:textId="77777777" w:rsidR="00AE1E5C" w:rsidRPr="001B6AC8" w:rsidRDefault="00AE1E5C" w:rsidP="00AE1E5C">
      <w:pPr>
        <w:pStyle w:val="06SubHeading2Fronttext9105"/>
        <w:rPr>
          <w:color w:val="3D7FE0" w:themeColor="accent1"/>
        </w:rPr>
      </w:pPr>
      <w:r w:rsidRPr="001B6AC8">
        <w:rPr>
          <w:color w:val="3D7FE0" w:themeColor="accent1"/>
        </w:rPr>
        <w:t>Managing foreign exchange exposure</w:t>
      </w:r>
    </w:p>
    <w:p w14:paraId="33B493DF" w14:textId="77777777" w:rsidR="00AE1E5C" w:rsidRDefault="00AE1E5C" w:rsidP="00AE1E5C">
      <w:pPr>
        <w:pStyle w:val="04BodyCopyFronttext9105"/>
        <w:spacing w:before="120"/>
        <w:rPr>
          <w:rFonts w:ascii="IBM Plex Sans" w:hAnsi="IBM Plex Sans" w:cs="IBM Plex Sans"/>
          <w:b/>
          <w:bCs/>
          <w:caps/>
          <w:color w:val="1B3E92"/>
        </w:rPr>
      </w:pPr>
      <w:r>
        <w:t>The Group’s exposure to foreign exchange translation differences on euro-denominated assets is managed through a combination of euro borrowings and derivatives. At 31 December 2023, the value of euro-denominated liabilities as a proportion of the value of euro-denominated assets was 91% the same level as at the beginning of the year. Interest on euro-denominated debt also acts as a partial hedge against exchange differences arising on net income from our overseas operations. Sterling strengthened against the euro during the year by 2%.</w:t>
      </w:r>
    </w:p>
    <w:p w14:paraId="31999812" w14:textId="77777777" w:rsidR="00AE1E5C" w:rsidRDefault="00AE1E5C" w:rsidP="00AE1E5C">
      <w:pPr>
        <w:pStyle w:val="04BodyCopyFronttext9105"/>
        <w:rPr>
          <w:rFonts w:ascii="IBM Plex Sans" w:hAnsi="IBM Plex Sans" w:cs="IBM Plex Sans"/>
          <w:b/>
          <w:bCs/>
          <w:caps/>
          <w:color w:val="1B3E92"/>
        </w:rPr>
      </w:pPr>
    </w:p>
    <w:p w14:paraId="6C6BBE02" w14:textId="77777777" w:rsidR="00AE1E5C" w:rsidRPr="001B6AC8" w:rsidRDefault="00AE1E5C" w:rsidP="00AE1E5C">
      <w:pPr>
        <w:pStyle w:val="06SubHeading1Fronttext9105"/>
        <w:rPr>
          <w:color w:val="3D7FE0" w:themeColor="accent1"/>
          <w:sz w:val="20"/>
          <w:szCs w:val="20"/>
        </w:rPr>
      </w:pPr>
      <w:r w:rsidRPr="001B6AC8">
        <w:rPr>
          <w:color w:val="3D7FE0" w:themeColor="accent1"/>
          <w:sz w:val="20"/>
          <w:szCs w:val="20"/>
        </w:rPr>
        <w:t>CASH FLOW AND NET DEBT</w:t>
      </w:r>
    </w:p>
    <w:p w14:paraId="7C6539E6" w14:textId="77777777" w:rsidR="00AE1E5C" w:rsidRPr="001B6AC8" w:rsidRDefault="00AE1E5C" w:rsidP="00AE1E5C">
      <w:pPr>
        <w:pStyle w:val="06SubHeading2Fronttext9105"/>
        <w:rPr>
          <w:color w:val="3D7FE0" w:themeColor="accent1"/>
        </w:rPr>
      </w:pPr>
      <w:r w:rsidRPr="001B6AC8">
        <w:rPr>
          <w:color w:val="3D7FE0" w:themeColor="accent1"/>
        </w:rPr>
        <w:t>Proportionally consolidated net debt</w:t>
      </w:r>
    </w:p>
    <w:p w14:paraId="526B3167" w14:textId="77777777" w:rsidR="00AE1E5C" w:rsidRDefault="00AE1E5C" w:rsidP="00AE1E5C">
      <w:pPr>
        <w:pStyle w:val="06FinsSubHeading2Fronttext9105"/>
      </w:pPr>
    </w:p>
    <w:p w14:paraId="75531834" w14:textId="0CABC9C8" w:rsidR="00AE1E5C" w:rsidRDefault="00AE1E5C" w:rsidP="00AE1E5C">
      <w:pPr>
        <w:pStyle w:val="06FinsSubHeading2Fronttext9105"/>
      </w:pPr>
      <w:r w:rsidRPr="002A78DB">
        <w:rPr>
          <w:noProof/>
        </w:rPr>
        <w:lastRenderedPageBreak/>
        <w:drawing>
          <wp:inline distT="0" distB="0" distL="0" distR="0" wp14:anchorId="4363CA78" wp14:editId="79F6D08E">
            <wp:extent cx="6162675" cy="3333750"/>
            <wp:effectExtent l="0" t="0" r="9525" b="0"/>
            <wp:docPr id="2068158462" name="Picture 2" descr="A graph of a number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58462" name="Picture 2" descr="A graph of a number of different colored square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3333750"/>
                    </a:xfrm>
                    <a:prstGeom prst="rect">
                      <a:avLst/>
                    </a:prstGeom>
                    <a:noFill/>
                    <a:ln>
                      <a:noFill/>
                    </a:ln>
                  </pic:spPr>
                </pic:pic>
              </a:graphicData>
            </a:graphic>
          </wp:inline>
        </w:drawing>
      </w:r>
    </w:p>
    <w:p w14:paraId="0FD4704A" w14:textId="77777777" w:rsidR="00AE1E5C" w:rsidRPr="001B6AC8" w:rsidRDefault="00AE1E5C" w:rsidP="00AE1E5C">
      <w:pPr>
        <w:pStyle w:val="06FinsSubHeading2Fronttext9105"/>
        <w:spacing w:before="120"/>
        <w:rPr>
          <w:rFonts w:ascii="IBM Plex Sans Light" w:hAnsi="IBM Plex Sans Light" w:cs="IBM Plex Sans Light"/>
          <w:b w:val="0"/>
          <w:bCs w:val="0"/>
          <w:color w:val="000000"/>
        </w:rPr>
      </w:pPr>
      <w:r w:rsidRPr="001B6AC8">
        <w:rPr>
          <w:rFonts w:ascii="IBM Plex Sans Light" w:hAnsi="IBM Plex Sans Light" w:cs="IBM Plex Sans Light"/>
          <w:b w:val="0"/>
          <w:bCs w:val="0"/>
          <w:color w:val="000000"/>
        </w:rPr>
        <w:t>On a proportionally consolidated basis, net debt decreased by 23% to £1,326m (2022: £1,732m). At 31 December 2023 the Group’s net debt comprised loans of £1,885m and the fair value of currency swaps of £11m, less cash and cash equivalents of £570m, of which £472m is held by the Reported Group. Disposals during the year generated proceeds of £216m. Cash generated from operations of £104m comprised profit from operating activities of £117m less a net £13m reduction in working capital and other non-cash items. We also received £74m of distributions from Value Retail. These cash inflows were partly offset by cash dividends paid of £30m, capital expenditure of £43m and net interest of £46m.</w:t>
      </w:r>
    </w:p>
    <w:p w14:paraId="63E481D9" w14:textId="77777777" w:rsidR="00AE1E5C" w:rsidRDefault="00AE1E5C" w:rsidP="00AE1E5C">
      <w:pPr>
        <w:pStyle w:val="06FinsSubHeading2Fronttext9105"/>
      </w:pPr>
    </w:p>
    <w:p w14:paraId="50566029" w14:textId="77777777" w:rsidR="00AE1E5C" w:rsidRPr="001B6AC8" w:rsidRDefault="00AE1E5C" w:rsidP="00AE1E5C">
      <w:pPr>
        <w:pStyle w:val="06SubHeading2Fronttext9105"/>
        <w:rPr>
          <w:color w:val="3D7FE0" w:themeColor="accent1"/>
        </w:rPr>
      </w:pPr>
      <w:r w:rsidRPr="001B6AC8">
        <w:rPr>
          <w:color w:val="3D7FE0" w:themeColor="accent1"/>
        </w:rPr>
        <w:t>Refinancing</w:t>
      </w:r>
    </w:p>
    <w:p w14:paraId="1CB3E82D" w14:textId="77777777" w:rsidR="00AE1E5C" w:rsidRDefault="00AE1E5C" w:rsidP="00AE1E5C">
      <w:pPr>
        <w:pStyle w:val="04BodyCopyFronttext9105"/>
      </w:pPr>
      <w:r>
        <w:t>During the first half of the year, £605m of revolving credit facilities were extended by one year such that they now mature in 2026.</w:t>
      </w:r>
    </w:p>
    <w:p w14:paraId="3CDED3AD" w14:textId="77777777" w:rsidR="00AE1E5C" w:rsidRDefault="00AE1E5C" w:rsidP="00AE1E5C">
      <w:pPr>
        <w:pStyle w:val="04BodyCopyFronttext9105"/>
        <w:spacing w:before="120"/>
      </w:pPr>
      <w:r>
        <w:t xml:space="preserve">In the second half of 2023, we extended our debt maturity profile through the issuance of a £100m bond tap of our existing £200m 7.25% bonds maturing in 2028 resulting in a new outstanding notional of £300m. The issuance was at a discount of £6.7m, meaning the newly issued bonds were priced at an effective yield of 9.1%. At the same time a matching tender was launched for the £350m 3.5% bonds maturing in 2025 and the £300m 6.0% bonds maturing in 2026 for which we repurchased £12m and £88m at yields of 7.7% and 8.1% respectively, in total £4.3m below book value. </w:t>
      </w:r>
    </w:p>
    <w:p w14:paraId="4B6B58B5" w14:textId="77777777" w:rsidR="00AE1E5C" w:rsidRDefault="00AE1E5C" w:rsidP="00AE1E5C">
      <w:pPr>
        <w:pStyle w:val="04BodyCopyFronttext9105"/>
      </w:pPr>
    </w:p>
    <w:p w14:paraId="7036EED1" w14:textId="77777777" w:rsidR="00AE1E5C" w:rsidRPr="001B6AC8" w:rsidRDefault="00AE1E5C" w:rsidP="00AE1E5C">
      <w:pPr>
        <w:pStyle w:val="06SubHeading2Fronttext9105"/>
        <w:rPr>
          <w:color w:val="3D7FE0" w:themeColor="accent1"/>
        </w:rPr>
      </w:pPr>
      <w:r w:rsidRPr="001B6AC8">
        <w:rPr>
          <w:color w:val="3D7FE0" w:themeColor="accent1"/>
        </w:rPr>
        <w:t>Liquidity</w:t>
      </w:r>
    </w:p>
    <w:p w14:paraId="0674CAAE" w14:textId="77777777" w:rsidR="00AE1E5C" w:rsidRDefault="00AE1E5C" w:rsidP="00AE1E5C">
      <w:pPr>
        <w:pStyle w:val="04BodyCopyFronttext9105"/>
        <w:spacing w:before="120"/>
      </w:pPr>
      <w:r>
        <w:rPr>
          <w:spacing w:val="-6"/>
        </w:rPr>
        <w:t>The Group’s liquidity at 31 December 2023, calculated on a proportionally consolidated basis comprising cash of £570m and unutilised committed</w:t>
      </w:r>
      <w:r>
        <w:t xml:space="preserve"> facilities of £655m, was £1,225m, £229m higher than at the beginning of the year. This was primarily due to proceeds from disposals.</w:t>
      </w:r>
    </w:p>
    <w:p w14:paraId="49902756" w14:textId="77777777" w:rsidR="00AE1E5C" w:rsidRDefault="00AE1E5C" w:rsidP="00AE1E5C">
      <w:pPr>
        <w:pStyle w:val="06SubHeading2Fronttext9105"/>
      </w:pPr>
    </w:p>
    <w:p w14:paraId="3A41FBF0" w14:textId="77777777" w:rsidR="00AE1E5C" w:rsidRDefault="00AE1E5C" w:rsidP="00AE1E5C">
      <w:pPr>
        <w:pStyle w:val="06SubHeading3Fronttext9105"/>
        <w:spacing w:before="120"/>
        <w:rPr>
          <w:color w:val="3D7FE0" w:themeColor="accent1"/>
        </w:rPr>
      </w:pPr>
      <w:r>
        <w:rPr>
          <w:color w:val="3D7FE0" w:themeColor="accent1"/>
        </w:rPr>
        <w:t>Debt and facility profile</w:t>
      </w:r>
    </w:p>
    <w:p w14:paraId="106AFD08" w14:textId="77777777" w:rsidR="00AE1E5C" w:rsidRDefault="00AE1E5C" w:rsidP="00AE1E5C">
      <w:pPr>
        <w:pStyle w:val="06SubHeading3Fronttext9105"/>
        <w:spacing w:before="120" w:after="120"/>
        <w:rPr>
          <w:rStyle w:val="BoldBlue"/>
          <w:bCs/>
        </w:rPr>
      </w:pPr>
      <w:r w:rsidRPr="00290D6B">
        <w:rPr>
          <w:color w:val="auto"/>
        </w:rPr>
        <w:t>Maturity profile of loans and facilities</w:t>
      </w:r>
    </w:p>
    <w:p w14:paraId="7379E363" w14:textId="1BC473CB" w:rsidR="00AE1E5C" w:rsidRDefault="00AE1E5C" w:rsidP="00AE1E5C">
      <w:pPr>
        <w:pStyle w:val="04BodyCopyFronttext9105"/>
      </w:pPr>
      <w:r w:rsidRPr="002A78DB">
        <w:rPr>
          <w:noProof/>
        </w:rPr>
        <w:lastRenderedPageBreak/>
        <w:drawing>
          <wp:inline distT="0" distB="0" distL="0" distR="0" wp14:anchorId="665B34A9" wp14:editId="2503BF09">
            <wp:extent cx="6143625" cy="3343275"/>
            <wp:effectExtent l="0" t="0" r="9525" b="9525"/>
            <wp:docPr id="897877007"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77007" name="Picture 1" descr="A graph of a number of peopl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3343275"/>
                    </a:xfrm>
                    <a:prstGeom prst="rect">
                      <a:avLst/>
                    </a:prstGeom>
                    <a:noFill/>
                    <a:ln>
                      <a:noFill/>
                    </a:ln>
                  </pic:spPr>
                </pic:pic>
              </a:graphicData>
            </a:graphic>
          </wp:inline>
        </w:drawing>
      </w:r>
    </w:p>
    <w:p w14:paraId="261531BF" w14:textId="77777777" w:rsidR="00AE1E5C" w:rsidRDefault="00AE1E5C" w:rsidP="00AE1E5C">
      <w:pPr>
        <w:pStyle w:val="04BodyCopyFronttext9105"/>
        <w:spacing w:before="120"/>
      </w:pPr>
      <w:r>
        <w:t>The Group’s weighted average maturity of debt is 2.5 years (2022: 3.4 years). The near-term unsecured maturities including the £109m of private placement notes due in 2024 and the £337m sterling bonds due in 2025 are covered by existing cash with the Group.</w:t>
      </w:r>
    </w:p>
    <w:p w14:paraId="16222BB4" w14:textId="77777777" w:rsidR="00AE1E5C" w:rsidRDefault="00AE1E5C" w:rsidP="00AE1E5C">
      <w:pPr>
        <w:pStyle w:val="04BodyCopyFronttext9105"/>
        <w:spacing w:before="120"/>
      </w:pPr>
      <w:r>
        <w:t>Refinancing discussions are progressing in relation to the €600m (Group’s 50% share €300m) secured loan held by the Dundrum joint venture which matures in September 2024.</w:t>
      </w:r>
    </w:p>
    <w:p w14:paraId="37F35E86" w14:textId="77777777" w:rsidR="00AE1E5C" w:rsidRDefault="00AE1E5C" w:rsidP="00AE1E5C">
      <w:pPr>
        <w:pStyle w:val="06SubHeading3Fronttext9105"/>
      </w:pPr>
    </w:p>
    <w:p w14:paraId="0E7E151F" w14:textId="77777777" w:rsidR="00AE1E5C" w:rsidRDefault="00AE1E5C" w:rsidP="00AE1E5C">
      <w:pPr>
        <w:pStyle w:val="06SubHeading3Fronttext9105"/>
      </w:pPr>
      <w:r>
        <w:t>Maturity analysis of loans and reconciliation to net debt</w:t>
      </w:r>
    </w:p>
    <w:p w14:paraId="15FD02F5" w14:textId="77777777" w:rsidR="00AE1E5C" w:rsidRDefault="00AE1E5C" w:rsidP="00AE1E5C">
      <w:pPr>
        <w:pStyle w:val="04BodyCopyFronttext9105"/>
      </w:pPr>
    </w:p>
    <w:tbl>
      <w:tblPr>
        <w:tblW w:w="9639" w:type="dxa"/>
        <w:tblLayout w:type="fixed"/>
        <w:tblCellMar>
          <w:left w:w="0" w:type="dxa"/>
          <w:right w:w="0" w:type="dxa"/>
        </w:tblCellMar>
        <w:tblLook w:val="00A0" w:firstRow="1" w:lastRow="0" w:firstColumn="1" w:lastColumn="0" w:noHBand="0" w:noVBand="0"/>
      </w:tblPr>
      <w:tblGrid>
        <w:gridCol w:w="3742"/>
        <w:gridCol w:w="3969"/>
        <w:gridCol w:w="964"/>
        <w:gridCol w:w="964"/>
      </w:tblGrid>
      <w:tr w:rsidR="00AE1E5C" w:rsidRPr="004F77A4" w14:paraId="048E1A79" w14:textId="77777777" w:rsidTr="004203CD">
        <w:tc>
          <w:tcPr>
            <w:tcW w:w="3742" w:type="dxa"/>
            <w:tcBorders>
              <w:bottom w:val="single" w:sz="2" w:space="0" w:color="3D7FE0" w:themeColor="accent1"/>
            </w:tcBorders>
            <w:vAlign w:val="bottom"/>
          </w:tcPr>
          <w:p w14:paraId="2667296D" w14:textId="77777777" w:rsidR="00AE1E5C" w:rsidRPr="00A079EF" w:rsidRDefault="00AE1E5C" w:rsidP="004203CD">
            <w:pPr>
              <w:pStyle w:val="TableColHeadsLeft"/>
              <w:spacing w:before="40"/>
              <w:rPr>
                <w:rFonts w:ascii="IBM Plex Sans Light" w:hAnsi="IBM Plex Sans Light"/>
                <w:b/>
                <w:bCs/>
                <w:color w:val="4472C4"/>
                <w:szCs w:val="14"/>
              </w:rPr>
            </w:pPr>
            <w:r w:rsidRPr="00A079EF">
              <w:rPr>
                <w:rFonts w:ascii="IBM Plex Sans Light" w:hAnsi="IBM Plex Sans Light"/>
                <w:b/>
                <w:bCs/>
                <w:color w:val="4472C4"/>
                <w:sz w:val="16"/>
                <w:szCs w:val="16"/>
              </w:rPr>
              <w:br w:type="page"/>
            </w:r>
            <w:r>
              <w:rPr>
                <w:rFonts w:ascii="IBM Plex Sans Light" w:hAnsi="IBM Plex Sans Light"/>
                <w:color w:val="4472C4"/>
                <w:sz w:val="16"/>
                <w:szCs w:val="24"/>
              </w:rPr>
              <w:t>Loan</w:t>
            </w:r>
          </w:p>
        </w:tc>
        <w:tc>
          <w:tcPr>
            <w:tcW w:w="3969" w:type="dxa"/>
            <w:tcBorders>
              <w:bottom w:val="single" w:sz="2" w:space="0" w:color="3D7FE0" w:themeColor="accent1"/>
            </w:tcBorders>
            <w:vAlign w:val="bottom"/>
          </w:tcPr>
          <w:p w14:paraId="5EAD0BD2" w14:textId="0A47EDA5" w:rsidR="00AE1E5C" w:rsidRPr="004F77A4" w:rsidRDefault="00AE1E5C" w:rsidP="004203CD">
            <w:pPr>
              <w:pStyle w:val="12TBRightColHeaderTableBack"/>
              <w:jc w:val="left"/>
              <w:rPr>
                <w:b/>
                <w:bCs/>
                <w:color w:val="4472C4"/>
                <w:sz w:val="16"/>
                <w:szCs w:val="16"/>
              </w:rPr>
            </w:pPr>
            <w:r>
              <w:rPr>
                <w:color w:val="4472C4"/>
                <w:sz w:val="16"/>
                <w:szCs w:val="24"/>
              </w:rPr>
              <w:t>Maturity</w:t>
            </w:r>
            <w:r w:rsidR="0084584E" w:rsidRPr="00CC1E26">
              <w:rPr>
                <w:color w:val="3D7FE0" w:themeColor="accent1"/>
                <w:vertAlign w:val="superscript"/>
              </w:rPr>
              <w:t>1</w:t>
            </w:r>
          </w:p>
        </w:tc>
        <w:tc>
          <w:tcPr>
            <w:tcW w:w="964" w:type="dxa"/>
            <w:tcBorders>
              <w:bottom w:val="single" w:sz="2" w:space="0" w:color="3D7FE0" w:themeColor="accent1"/>
            </w:tcBorders>
            <w:shd w:val="clear" w:color="auto" w:fill="FFFFFF"/>
            <w:vAlign w:val="bottom"/>
          </w:tcPr>
          <w:p w14:paraId="2FAB4D3C" w14:textId="448F57C8" w:rsidR="00AE1E5C" w:rsidRPr="004F77A4" w:rsidRDefault="00AE1E5C" w:rsidP="004203CD">
            <w:pPr>
              <w:pStyle w:val="12TBRightColHeaderTableBack"/>
              <w:rPr>
                <w:b/>
                <w:bCs/>
                <w:color w:val="4472C4"/>
                <w:sz w:val="16"/>
                <w:szCs w:val="16"/>
              </w:rPr>
            </w:pPr>
            <w:r>
              <w:rPr>
                <w:color w:val="4472C4"/>
                <w:sz w:val="16"/>
                <w:szCs w:val="24"/>
              </w:rPr>
              <w:t>2023</w:t>
            </w:r>
            <w:r w:rsidR="00907934">
              <w:rPr>
                <w:color w:val="4472C4"/>
                <w:sz w:val="16"/>
                <w:szCs w:val="24"/>
              </w:rPr>
              <w:br/>
              <w:t>£m</w:t>
            </w:r>
          </w:p>
        </w:tc>
        <w:tc>
          <w:tcPr>
            <w:tcW w:w="964" w:type="dxa"/>
            <w:tcBorders>
              <w:bottom w:val="single" w:sz="2" w:space="0" w:color="3D7FE0" w:themeColor="accent1"/>
            </w:tcBorders>
            <w:shd w:val="clear" w:color="auto" w:fill="FFFFFF"/>
            <w:vAlign w:val="bottom"/>
          </w:tcPr>
          <w:p w14:paraId="59BEB762" w14:textId="02CD5C63" w:rsidR="00AE1E5C" w:rsidRPr="00A079EF" w:rsidRDefault="00AE1E5C" w:rsidP="004203CD">
            <w:pPr>
              <w:pStyle w:val="12TBRightColHeaderTableBack"/>
              <w:rPr>
                <w:b/>
                <w:bCs/>
                <w:color w:val="auto"/>
                <w:sz w:val="16"/>
                <w:szCs w:val="16"/>
              </w:rPr>
            </w:pPr>
            <w:r w:rsidRPr="00A079EF">
              <w:rPr>
                <w:color w:val="auto"/>
                <w:sz w:val="16"/>
                <w:szCs w:val="24"/>
              </w:rPr>
              <w:t>2022</w:t>
            </w:r>
            <w:r w:rsidR="00907934">
              <w:rPr>
                <w:color w:val="auto"/>
                <w:sz w:val="16"/>
                <w:szCs w:val="24"/>
              </w:rPr>
              <w:br/>
              <w:t>£m</w:t>
            </w:r>
          </w:p>
        </w:tc>
      </w:tr>
      <w:tr w:rsidR="00AE1E5C" w:rsidRPr="00A079EF" w14:paraId="3B5DA3DA" w14:textId="77777777" w:rsidTr="004203CD">
        <w:tc>
          <w:tcPr>
            <w:tcW w:w="3742" w:type="dxa"/>
            <w:tcBorders>
              <w:top w:val="single" w:sz="2" w:space="0" w:color="3D7FE0" w:themeColor="accent1"/>
            </w:tcBorders>
            <w:vAlign w:val="bottom"/>
          </w:tcPr>
          <w:p w14:paraId="5A9A4EB3"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 xml:space="preserve">Sterling bonds </w:t>
            </w:r>
          </w:p>
        </w:tc>
        <w:tc>
          <w:tcPr>
            <w:tcW w:w="3969" w:type="dxa"/>
            <w:tcBorders>
              <w:top w:val="single" w:sz="2" w:space="0" w:color="3D7FE0" w:themeColor="accent1"/>
            </w:tcBorders>
            <w:vAlign w:val="bottom"/>
          </w:tcPr>
          <w:p w14:paraId="6CCA1273" w14:textId="77777777" w:rsidR="00AE1E5C" w:rsidRPr="00A079EF" w:rsidRDefault="00AE1E5C" w:rsidP="004203CD">
            <w:pPr>
              <w:pStyle w:val="Tabletext"/>
              <w:rPr>
                <w:rFonts w:ascii="IBM Plex Sans Light" w:hAnsi="IBM Plex Sans Light"/>
                <w:b/>
                <w:bCs/>
                <w:color w:val="4472C4"/>
                <w:sz w:val="18"/>
                <w:szCs w:val="24"/>
              </w:rPr>
            </w:pPr>
            <w:r w:rsidRPr="00A079EF">
              <w:rPr>
                <w:rFonts w:ascii="IBM Plex Sans Light" w:hAnsi="IBM Plex Sans Light"/>
                <w:sz w:val="18"/>
                <w:szCs w:val="24"/>
              </w:rPr>
              <w:t>2025–2028</w:t>
            </w:r>
          </w:p>
        </w:tc>
        <w:tc>
          <w:tcPr>
            <w:tcW w:w="964" w:type="dxa"/>
            <w:tcBorders>
              <w:top w:val="single" w:sz="2" w:space="0" w:color="3D7FE0" w:themeColor="accent1"/>
            </w:tcBorders>
            <w:shd w:val="clear" w:color="auto" w:fill="FFFFFF"/>
            <w:vAlign w:val="bottom"/>
          </w:tcPr>
          <w:p w14:paraId="1F32B56C" w14:textId="77777777" w:rsidR="00AE1E5C" w:rsidRPr="00A079EF" w:rsidRDefault="00AE1E5C" w:rsidP="004203CD">
            <w:pPr>
              <w:pStyle w:val="Tabletext"/>
              <w:jc w:val="right"/>
              <w:rPr>
                <w:rFonts w:ascii="IBM Plex Sans Light" w:hAnsi="IBM Plex Sans Light"/>
                <w:b/>
                <w:bCs/>
                <w:color w:val="3D7FE0" w:themeColor="accent1"/>
                <w:sz w:val="18"/>
                <w:szCs w:val="24"/>
              </w:rPr>
            </w:pPr>
            <w:r w:rsidRPr="00A079EF">
              <w:rPr>
                <w:rStyle w:val="BoldBlue"/>
                <w:rFonts w:ascii="IBM Plex Sans Light" w:hAnsi="IBM Plex Sans Light" w:cs="IBM Plex Sans"/>
                <w:bCs w:val="0"/>
                <w:color w:val="3D7FE0" w:themeColor="accent1"/>
                <w:sz w:val="18"/>
                <w:szCs w:val="24"/>
              </w:rPr>
              <w:t>840.6</w:t>
            </w:r>
          </w:p>
        </w:tc>
        <w:tc>
          <w:tcPr>
            <w:tcW w:w="964" w:type="dxa"/>
            <w:tcBorders>
              <w:top w:val="single" w:sz="2" w:space="0" w:color="3D7FE0" w:themeColor="accent1"/>
            </w:tcBorders>
            <w:shd w:val="clear" w:color="auto" w:fill="FFFFFF"/>
            <w:vAlign w:val="bottom"/>
          </w:tcPr>
          <w:p w14:paraId="7766BC95" w14:textId="77777777" w:rsidR="00AE1E5C" w:rsidRPr="00A079EF" w:rsidRDefault="00AE1E5C" w:rsidP="004203CD">
            <w:pPr>
              <w:pStyle w:val="TableFiguresBold"/>
              <w:rPr>
                <w:rFonts w:ascii="IBM Plex Sans Light" w:hAnsi="IBM Plex Sans Light"/>
                <w:b w:val="0"/>
                <w:bCs w:val="0"/>
                <w:color w:val="4472C4"/>
                <w:spacing w:val="-4"/>
                <w:sz w:val="18"/>
                <w:szCs w:val="24"/>
              </w:rPr>
            </w:pPr>
            <w:r w:rsidRPr="00A079EF">
              <w:rPr>
                <w:rFonts w:ascii="IBM Plex Sans Light" w:hAnsi="IBM Plex Sans Light"/>
                <w:b w:val="0"/>
                <w:bCs w:val="0"/>
                <w:sz w:val="18"/>
                <w:szCs w:val="24"/>
              </w:rPr>
              <w:t>846.4</w:t>
            </w:r>
          </w:p>
        </w:tc>
      </w:tr>
      <w:tr w:rsidR="00AE1E5C" w:rsidRPr="00A079EF" w14:paraId="7B95C709" w14:textId="77777777" w:rsidTr="004203CD">
        <w:tc>
          <w:tcPr>
            <w:tcW w:w="3742" w:type="dxa"/>
            <w:vAlign w:val="bottom"/>
          </w:tcPr>
          <w:p w14:paraId="1263C8A0"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 xml:space="preserve">Sustainability-linked </w:t>
            </w:r>
            <w:proofErr w:type="spellStart"/>
            <w:r w:rsidRPr="00A079EF">
              <w:rPr>
                <w:rFonts w:ascii="IBM Plex Sans Light" w:hAnsi="IBM Plex Sans Light"/>
                <w:sz w:val="18"/>
                <w:szCs w:val="24"/>
              </w:rPr>
              <w:t>eurobond</w:t>
            </w:r>
            <w:proofErr w:type="spellEnd"/>
            <w:r w:rsidRPr="00A079EF">
              <w:rPr>
                <w:rFonts w:ascii="IBM Plex Sans Light" w:hAnsi="IBM Plex Sans Light"/>
                <w:sz w:val="18"/>
                <w:szCs w:val="24"/>
              </w:rPr>
              <w:t xml:space="preserve"> </w:t>
            </w:r>
          </w:p>
        </w:tc>
        <w:tc>
          <w:tcPr>
            <w:tcW w:w="3969" w:type="dxa"/>
            <w:vAlign w:val="bottom"/>
          </w:tcPr>
          <w:p w14:paraId="19146138"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r w:rsidRPr="00A079EF">
              <w:rPr>
                <w:rFonts w:ascii="IBM Plex Sans Light" w:hAnsi="IBM Plex Sans Light"/>
                <w:sz w:val="18"/>
                <w:szCs w:val="24"/>
              </w:rPr>
              <w:t>2027</w:t>
            </w:r>
          </w:p>
        </w:tc>
        <w:tc>
          <w:tcPr>
            <w:tcW w:w="964" w:type="dxa"/>
            <w:shd w:val="clear" w:color="auto" w:fill="FFFFFF"/>
            <w:vAlign w:val="bottom"/>
          </w:tcPr>
          <w:p w14:paraId="3DE25292"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600.8</w:t>
            </w:r>
          </w:p>
        </w:tc>
        <w:tc>
          <w:tcPr>
            <w:tcW w:w="964" w:type="dxa"/>
            <w:shd w:val="clear" w:color="auto" w:fill="FFFFFF"/>
            <w:vAlign w:val="bottom"/>
          </w:tcPr>
          <w:p w14:paraId="2E8691D8"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612.3</w:t>
            </w:r>
          </w:p>
        </w:tc>
      </w:tr>
      <w:tr w:rsidR="00AE1E5C" w:rsidRPr="00A079EF" w14:paraId="0B704D59" w14:textId="77777777" w:rsidTr="004203CD">
        <w:tc>
          <w:tcPr>
            <w:tcW w:w="3742" w:type="dxa"/>
            <w:vAlign w:val="bottom"/>
          </w:tcPr>
          <w:p w14:paraId="3C018D9F"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Unamortised facility fees</w:t>
            </w:r>
          </w:p>
        </w:tc>
        <w:tc>
          <w:tcPr>
            <w:tcW w:w="3969" w:type="dxa"/>
            <w:vAlign w:val="bottom"/>
          </w:tcPr>
          <w:p w14:paraId="22A2CF3A"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r w:rsidRPr="00A079EF">
              <w:rPr>
                <w:rFonts w:ascii="IBM Plex Sans Light" w:hAnsi="IBM Plex Sans Light"/>
                <w:sz w:val="18"/>
                <w:szCs w:val="24"/>
              </w:rPr>
              <w:t>2024–</w:t>
            </w:r>
            <w:r>
              <w:rPr>
                <w:rFonts w:ascii="IBM Plex Sans Light" w:hAnsi="IBM Plex Sans Light"/>
                <w:sz w:val="18"/>
                <w:szCs w:val="24"/>
              </w:rPr>
              <w:t>20</w:t>
            </w:r>
            <w:r w:rsidRPr="00A079EF">
              <w:rPr>
                <w:rFonts w:ascii="IBM Plex Sans Light" w:hAnsi="IBM Plex Sans Light"/>
                <w:sz w:val="18"/>
                <w:szCs w:val="24"/>
              </w:rPr>
              <w:t>26</w:t>
            </w:r>
          </w:p>
        </w:tc>
        <w:tc>
          <w:tcPr>
            <w:tcW w:w="964" w:type="dxa"/>
            <w:shd w:val="clear" w:color="auto" w:fill="FFFFFF"/>
            <w:vAlign w:val="bottom"/>
          </w:tcPr>
          <w:p w14:paraId="5AF49BF7"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(2.2)</w:t>
            </w:r>
          </w:p>
        </w:tc>
        <w:tc>
          <w:tcPr>
            <w:tcW w:w="964" w:type="dxa"/>
            <w:shd w:val="clear" w:color="auto" w:fill="FFFFFF"/>
            <w:vAlign w:val="bottom"/>
          </w:tcPr>
          <w:p w14:paraId="75103FE6" w14:textId="77777777" w:rsidR="00AE1E5C" w:rsidRPr="00024B10" w:rsidRDefault="00AE1E5C" w:rsidP="00024B10">
            <w:pPr>
              <w:pStyle w:val="TableFiguresBrackets"/>
              <w:rPr>
                <w:szCs w:val="18"/>
              </w:rPr>
            </w:pPr>
            <w:r w:rsidRPr="00F66A6D">
              <w:rPr>
                <w:rFonts w:ascii="IBM Plex Sans Light" w:hAnsi="IBM Plex Sans Light"/>
                <w:sz w:val="18"/>
                <w:szCs w:val="18"/>
              </w:rPr>
              <w:t>(3.1)</w:t>
            </w:r>
          </w:p>
        </w:tc>
      </w:tr>
      <w:tr w:rsidR="00AE1E5C" w:rsidRPr="00A079EF" w14:paraId="25EE7E49" w14:textId="77777777" w:rsidTr="004203CD">
        <w:tc>
          <w:tcPr>
            <w:tcW w:w="3742" w:type="dxa"/>
            <w:tcBorders>
              <w:bottom w:val="single" w:sz="2" w:space="0" w:color="3D7FE0" w:themeColor="accent1"/>
            </w:tcBorders>
            <w:vAlign w:val="bottom"/>
          </w:tcPr>
          <w:p w14:paraId="6E540D4C"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Senior notes (US private placements)</w:t>
            </w:r>
          </w:p>
        </w:tc>
        <w:tc>
          <w:tcPr>
            <w:tcW w:w="3969" w:type="dxa"/>
            <w:tcBorders>
              <w:bottom w:val="single" w:sz="2" w:space="0" w:color="3D7FE0" w:themeColor="accent1"/>
            </w:tcBorders>
            <w:vAlign w:val="bottom"/>
          </w:tcPr>
          <w:p w14:paraId="298EFEC4"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r w:rsidRPr="00A079EF">
              <w:rPr>
                <w:rFonts w:ascii="IBM Plex Sans Light" w:hAnsi="IBM Plex Sans Light"/>
                <w:sz w:val="18"/>
                <w:szCs w:val="24"/>
              </w:rPr>
              <w:t>2024–2031</w:t>
            </w:r>
          </w:p>
        </w:tc>
        <w:tc>
          <w:tcPr>
            <w:tcW w:w="964" w:type="dxa"/>
            <w:tcBorders>
              <w:bottom w:val="single" w:sz="2" w:space="0" w:color="3D7FE0" w:themeColor="accent1"/>
            </w:tcBorders>
            <w:shd w:val="clear" w:color="auto" w:fill="FFFFFF"/>
            <w:vAlign w:val="bottom"/>
          </w:tcPr>
          <w:p w14:paraId="6DD07D3E"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185.3</w:t>
            </w:r>
          </w:p>
        </w:tc>
        <w:tc>
          <w:tcPr>
            <w:tcW w:w="964" w:type="dxa"/>
            <w:tcBorders>
              <w:bottom w:val="single" w:sz="2" w:space="0" w:color="3D7FE0" w:themeColor="accent1"/>
            </w:tcBorders>
            <w:shd w:val="clear" w:color="auto" w:fill="FFFFFF"/>
            <w:vAlign w:val="bottom"/>
          </w:tcPr>
          <w:p w14:paraId="72619DC5"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190.8</w:t>
            </w:r>
          </w:p>
        </w:tc>
      </w:tr>
      <w:tr w:rsidR="00AE1E5C" w:rsidRPr="00A079EF" w14:paraId="09B42557" w14:textId="77777777" w:rsidTr="004203CD">
        <w:tc>
          <w:tcPr>
            <w:tcW w:w="3742" w:type="dxa"/>
            <w:tcBorders>
              <w:top w:val="single" w:sz="2" w:space="0" w:color="3D7FE0" w:themeColor="accent1"/>
            </w:tcBorders>
            <w:vAlign w:val="bottom"/>
          </w:tcPr>
          <w:p w14:paraId="496F89C4" w14:textId="77777777" w:rsidR="00AE1E5C" w:rsidRPr="00A079EF" w:rsidRDefault="00AE1E5C" w:rsidP="004203CD">
            <w:pPr>
              <w:pStyle w:val="Tabletext"/>
              <w:rPr>
                <w:rFonts w:ascii="IBM Plex Sans Light" w:hAnsi="IBM Plex Sans Light"/>
                <w:sz w:val="18"/>
                <w:szCs w:val="24"/>
              </w:rPr>
            </w:pPr>
            <w:r w:rsidRPr="00A079EF">
              <w:rPr>
                <w:rStyle w:val="Bold"/>
                <w:rFonts w:ascii="IBM Plex Sans Light" w:hAnsi="IBM Plex Sans Light" w:cs="IBM Plex Sans"/>
                <w:bCs/>
                <w:sz w:val="18"/>
                <w:szCs w:val="24"/>
              </w:rPr>
              <w:t xml:space="preserve">Total loans – Reported Group </w:t>
            </w:r>
          </w:p>
        </w:tc>
        <w:tc>
          <w:tcPr>
            <w:tcW w:w="3969" w:type="dxa"/>
            <w:tcBorders>
              <w:top w:val="single" w:sz="2" w:space="0" w:color="3D7FE0" w:themeColor="accent1"/>
            </w:tcBorders>
            <w:vAlign w:val="bottom"/>
          </w:tcPr>
          <w:p w14:paraId="5704F679"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p>
        </w:tc>
        <w:tc>
          <w:tcPr>
            <w:tcW w:w="964" w:type="dxa"/>
            <w:tcBorders>
              <w:top w:val="single" w:sz="2" w:space="0" w:color="3D7FE0" w:themeColor="accent1"/>
            </w:tcBorders>
            <w:shd w:val="clear" w:color="auto" w:fill="FFFFFF"/>
            <w:vAlign w:val="bottom"/>
          </w:tcPr>
          <w:p w14:paraId="74706ABA"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1,624.5</w:t>
            </w:r>
          </w:p>
        </w:tc>
        <w:tc>
          <w:tcPr>
            <w:tcW w:w="964" w:type="dxa"/>
            <w:tcBorders>
              <w:top w:val="single" w:sz="2" w:space="0" w:color="3D7FE0" w:themeColor="accent1"/>
            </w:tcBorders>
            <w:shd w:val="clear" w:color="auto" w:fill="FFFFFF"/>
            <w:vAlign w:val="bottom"/>
          </w:tcPr>
          <w:p w14:paraId="17BB5B8E"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1,646.4</w:t>
            </w:r>
          </w:p>
        </w:tc>
      </w:tr>
      <w:tr w:rsidR="00AE1E5C" w:rsidRPr="00A079EF" w14:paraId="68B427C2" w14:textId="77777777" w:rsidTr="004203CD">
        <w:tc>
          <w:tcPr>
            <w:tcW w:w="3742" w:type="dxa"/>
            <w:tcBorders>
              <w:bottom w:val="single" w:sz="2" w:space="0" w:color="3D7FE0" w:themeColor="accent1"/>
            </w:tcBorders>
            <w:vAlign w:val="bottom"/>
          </w:tcPr>
          <w:p w14:paraId="5F092A68"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Share of Property interests</w:t>
            </w:r>
          </w:p>
        </w:tc>
        <w:tc>
          <w:tcPr>
            <w:tcW w:w="3969" w:type="dxa"/>
            <w:tcBorders>
              <w:bottom w:val="single" w:sz="2" w:space="0" w:color="3D7FE0" w:themeColor="accent1"/>
            </w:tcBorders>
            <w:vAlign w:val="bottom"/>
          </w:tcPr>
          <w:p w14:paraId="7DACD3A2" w14:textId="1457DDA1" w:rsidR="00AE1E5C" w:rsidRPr="00A079EF" w:rsidRDefault="00AE1E5C" w:rsidP="004203CD">
            <w:pPr>
              <w:pStyle w:val="Tabletext"/>
              <w:rPr>
                <w:rStyle w:val="BoldBlue"/>
                <w:rFonts w:ascii="IBM Plex Sans Light" w:hAnsi="IBM Plex Sans Light" w:cs="IBM Plex Sans"/>
                <w:bCs w:val="0"/>
                <w:color w:val="4472C4"/>
                <w:sz w:val="18"/>
                <w:szCs w:val="24"/>
              </w:rPr>
            </w:pPr>
            <w:r w:rsidRPr="00A079EF">
              <w:rPr>
                <w:rFonts w:ascii="IBM Plex Sans Light" w:hAnsi="IBM Plex Sans Light"/>
                <w:sz w:val="18"/>
                <w:szCs w:val="24"/>
              </w:rPr>
              <w:t>2024</w:t>
            </w:r>
          </w:p>
        </w:tc>
        <w:tc>
          <w:tcPr>
            <w:tcW w:w="964" w:type="dxa"/>
            <w:tcBorders>
              <w:bottom w:val="single" w:sz="2" w:space="0" w:color="3D7FE0" w:themeColor="accent1"/>
            </w:tcBorders>
            <w:shd w:val="clear" w:color="auto" w:fill="FFFFFF"/>
            <w:vAlign w:val="bottom"/>
          </w:tcPr>
          <w:p w14:paraId="6A3FF7B8"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260.0</w:t>
            </w:r>
          </w:p>
        </w:tc>
        <w:tc>
          <w:tcPr>
            <w:tcW w:w="964" w:type="dxa"/>
            <w:tcBorders>
              <w:bottom w:val="single" w:sz="2" w:space="0" w:color="3D7FE0" w:themeColor="accent1"/>
            </w:tcBorders>
            <w:shd w:val="clear" w:color="auto" w:fill="FFFFFF"/>
            <w:vAlign w:val="bottom"/>
          </w:tcPr>
          <w:p w14:paraId="330F3013"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391.6</w:t>
            </w:r>
          </w:p>
        </w:tc>
      </w:tr>
      <w:tr w:rsidR="00AE1E5C" w:rsidRPr="00A079EF" w14:paraId="638B29A2" w14:textId="77777777" w:rsidTr="004203CD">
        <w:tc>
          <w:tcPr>
            <w:tcW w:w="3742" w:type="dxa"/>
            <w:tcBorders>
              <w:top w:val="single" w:sz="2" w:space="0" w:color="3D7FE0" w:themeColor="accent1"/>
            </w:tcBorders>
            <w:vAlign w:val="bottom"/>
          </w:tcPr>
          <w:p w14:paraId="62663C07" w14:textId="77777777" w:rsidR="00AE1E5C" w:rsidRPr="00A079EF" w:rsidRDefault="00AE1E5C" w:rsidP="004203CD">
            <w:pPr>
              <w:pStyle w:val="Tabletext"/>
              <w:rPr>
                <w:rFonts w:ascii="IBM Plex Sans Light" w:hAnsi="IBM Plex Sans Light"/>
                <w:sz w:val="18"/>
                <w:szCs w:val="24"/>
              </w:rPr>
            </w:pPr>
            <w:r w:rsidRPr="00A079EF">
              <w:rPr>
                <w:rStyle w:val="Bold"/>
                <w:rFonts w:ascii="IBM Plex Sans Light" w:hAnsi="IBM Plex Sans Light" w:cs="IBM Plex Sans"/>
                <w:bCs/>
                <w:sz w:val="18"/>
                <w:szCs w:val="24"/>
              </w:rPr>
              <w:t>Total loans – proportionally consolidated</w:t>
            </w:r>
          </w:p>
        </w:tc>
        <w:tc>
          <w:tcPr>
            <w:tcW w:w="3969" w:type="dxa"/>
            <w:tcBorders>
              <w:top w:val="single" w:sz="2" w:space="0" w:color="3D7FE0" w:themeColor="accent1"/>
            </w:tcBorders>
            <w:vAlign w:val="bottom"/>
          </w:tcPr>
          <w:p w14:paraId="0719D0BB"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p>
        </w:tc>
        <w:tc>
          <w:tcPr>
            <w:tcW w:w="964" w:type="dxa"/>
            <w:tcBorders>
              <w:top w:val="single" w:sz="2" w:space="0" w:color="3D7FE0" w:themeColor="accent1"/>
            </w:tcBorders>
            <w:shd w:val="clear" w:color="auto" w:fill="FFFFFF"/>
            <w:vAlign w:val="bottom"/>
          </w:tcPr>
          <w:p w14:paraId="046956E6"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1,884.5</w:t>
            </w:r>
          </w:p>
        </w:tc>
        <w:tc>
          <w:tcPr>
            <w:tcW w:w="964" w:type="dxa"/>
            <w:tcBorders>
              <w:top w:val="single" w:sz="2" w:space="0" w:color="3D7FE0" w:themeColor="accent1"/>
            </w:tcBorders>
            <w:shd w:val="clear" w:color="auto" w:fill="FFFFFF"/>
            <w:vAlign w:val="bottom"/>
          </w:tcPr>
          <w:p w14:paraId="58377B89"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2,038.0</w:t>
            </w:r>
          </w:p>
        </w:tc>
      </w:tr>
      <w:tr w:rsidR="00AE1E5C" w:rsidRPr="00A079EF" w14:paraId="6F0979F0" w14:textId="77777777" w:rsidTr="004203CD">
        <w:tc>
          <w:tcPr>
            <w:tcW w:w="3742" w:type="dxa"/>
            <w:vAlign w:val="bottom"/>
          </w:tcPr>
          <w:p w14:paraId="6CC91725"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Cash and cash equivalents</w:t>
            </w:r>
          </w:p>
        </w:tc>
        <w:tc>
          <w:tcPr>
            <w:tcW w:w="3969" w:type="dxa"/>
            <w:vAlign w:val="bottom"/>
          </w:tcPr>
          <w:p w14:paraId="7989EAD6"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p>
        </w:tc>
        <w:tc>
          <w:tcPr>
            <w:tcW w:w="964" w:type="dxa"/>
            <w:shd w:val="clear" w:color="auto" w:fill="FFFFFF"/>
            <w:vAlign w:val="bottom"/>
          </w:tcPr>
          <w:p w14:paraId="3B031272" w14:textId="77777777" w:rsidR="00AE1E5C" w:rsidRPr="00907934" w:rsidRDefault="00AE1E5C" w:rsidP="00024B10">
            <w:pPr>
              <w:pStyle w:val="TableFiguresBrackets"/>
              <w:rPr>
                <w:rFonts w:ascii="IBM Plex Sans Light" w:hAnsi="IBM Plex Sans Light"/>
                <w:b/>
                <w:bCs/>
                <w:color w:val="3D7FE0" w:themeColor="accent1"/>
                <w:spacing w:val="-4"/>
                <w:sz w:val="18"/>
                <w:szCs w:val="18"/>
              </w:rPr>
            </w:pPr>
            <w:r w:rsidRPr="00907934">
              <w:rPr>
                <w:rFonts w:ascii="IBM Plex Sans Light" w:hAnsi="IBM Plex Sans Light"/>
                <w:b/>
                <w:bCs/>
                <w:color w:val="3D7FE0" w:themeColor="accent1"/>
                <w:spacing w:val="-4"/>
                <w:sz w:val="18"/>
                <w:szCs w:val="18"/>
              </w:rPr>
              <w:t>(569.6)</w:t>
            </w:r>
          </w:p>
        </w:tc>
        <w:tc>
          <w:tcPr>
            <w:tcW w:w="964" w:type="dxa"/>
            <w:shd w:val="clear" w:color="auto" w:fill="FFFFFF"/>
            <w:vAlign w:val="bottom"/>
          </w:tcPr>
          <w:p w14:paraId="7FE77F3E" w14:textId="77777777" w:rsidR="00AE1E5C" w:rsidRPr="00024B10" w:rsidRDefault="00AE1E5C" w:rsidP="00024B10">
            <w:pPr>
              <w:pStyle w:val="TableFiguresBrackets"/>
              <w:rPr>
                <w:szCs w:val="18"/>
              </w:rPr>
            </w:pPr>
            <w:r w:rsidRPr="00F66A6D">
              <w:rPr>
                <w:rFonts w:ascii="IBM Plex Sans Light" w:hAnsi="IBM Plex Sans Light"/>
                <w:sz w:val="18"/>
                <w:szCs w:val="18"/>
              </w:rPr>
              <w:t>(336.5)</w:t>
            </w:r>
          </w:p>
        </w:tc>
      </w:tr>
      <w:tr w:rsidR="00AE1E5C" w:rsidRPr="00A079EF" w14:paraId="0DC1BAF8" w14:textId="77777777" w:rsidTr="004203CD">
        <w:tc>
          <w:tcPr>
            <w:tcW w:w="3742" w:type="dxa"/>
            <w:tcBorders>
              <w:bottom w:val="single" w:sz="2" w:space="0" w:color="3D7FE0" w:themeColor="accent1"/>
            </w:tcBorders>
            <w:vAlign w:val="bottom"/>
          </w:tcPr>
          <w:p w14:paraId="5997D550" w14:textId="77777777" w:rsidR="00AE1E5C" w:rsidRPr="00A079EF" w:rsidRDefault="00AE1E5C" w:rsidP="004203CD">
            <w:pPr>
              <w:pStyle w:val="Tabletext"/>
              <w:rPr>
                <w:rFonts w:ascii="IBM Plex Sans Light" w:hAnsi="IBM Plex Sans Light"/>
                <w:sz w:val="18"/>
                <w:szCs w:val="24"/>
              </w:rPr>
            </w:pPr>
            <w:r w:rsidRPr="00A079EF">
              <w:rPr>
                <w:rFonts w:ascii="IBM Plex Sans Light" w:hAnsi="IBM Plex Sans Light"/>
                <w:sz w:val="18"/>
                <w:szCs w:val="24"/>
              </w:rPr>
              <w:t>Fair value of currency swaps</w:t>
            </w:r>
          </w:p>
        </w:tc>
        <w:tc>
          <w:tcPr>
            <w:tcW w:w="3969" w:type="dxa"/>
            <w:tcBorders>
              <w:bottom w:val="single" w:sz="2" w:space="0" w:color="3D7FE0" w:themeColor="accent1"/>
            </w:tcBorders>
            <w:vAlign w:val="bottom"/>
          </w:tcPr>
          <w:p w14:paraId="30DF31E9"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p>
        </w:tc>
        <w:tc>
          <w:tcPr>
            <w:tcW w:w="964" w:type="dxa"/>
            <w:tcBorders>
              <w:bottom w:val="single" w:sz="2" w:space="0" w:color="3D7FE0" w:themeColor="accent1"/>
            </w:tcBorders>
            <w:shd w:val="clear" w:color="auto" w:fill="FFFFFF"/>
            <w:vAlign w:val="bottom"/>
          </w:tcPr>
          <w:p w14:paraId="7D8A74EF"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11.4</w:t>
            </w:r>
          </w:p>
        </w:tc>
        <w:tc>
          <w:tcPr>
            <w:tcW w:w="964" w:type="dxa"/>
            <w:tcBorders>
              <w:bottom w:val="single" w:sz="2" w:space="0" w:color="3D7FE0" w:themeColor="accent1"/>
            </w:tcBorders>
            <w:shd w:val="clear" w:color="auto" w:fill="FFFFFF"/>
            <w:vAlign w:val="bottom"/>
          </w:tcPr>
          <w:p w14:paraId="43B4E4FE"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30.6</w:t>
            </w:r>
          </w:p>
        </w:tc>
      </w:tr>
      <w:tr w:rsidR="00AE1E5C" w:rsidRPr="00A079EF" w14:paraId="154B079A" w14:textId="77777777" w:rsidTr="004203CD">
        <w:tc>
          <w:tcPr>
            <w:tcW w:w="3742" w:type="dxa"/>
            <w:tcBorders>
              <w:top w:val="single" w:sz="2" w:space="0" w:color="3D7FE0" w:themeColor="accent1"/>
              <w:bottom w:val="single" w:sz="8" w:space="0" w:color="3D7FE0" w:themeColor="accent1"/>
            </w:tcBorders>
            <w:vAlign w:val="bottom"/>
          </w:tcPr>
          <w:p w14:paraId="5C2E75A3" w14:textId="77777777" w:rsidR="00AE1E5C" w:rsidRPr="00A079EF" w:rsidRDefault="00AE1E5C" w:rsidP="004203CD">
            <w:pPr>
              <w:pStyle w:val="Tabletext"/>
              <w:rPr>
                <w:rFonts w:ascii="IBM Plex Sans Light" w:hAnsi="IBM Plex Sans Light"/>
                <w:sz w:val="18"/>
                <w:szCs w:val="24"/>
              </w:rPr>
            </w:pPr>
            <w:r w:rsidRPr="00A079EF">
              <w:rPr>
                <w:rStyle w:val="Bold"/>
                <w:rFonts w:ascii="IBM Plex Sans Light" w:hAnsi="IBM Plex Sans Light" w:cs="IBM Plex Sans"/>
                <w:bCs/>
                <w:sz w:val="18"/>
                <w:szCs w:val="24"/>
              </w:rPr>
              <w:t>Net debt– proportionally consolidated</w:t>
            </w:r>
          </w:p>
        </w:tc>
        <w:tc>
          <w:tcPr>
            <w:tcW w:w="3969" w:type="dxa"/>
            <w:tcBorders>
              <w:top w:val="single" w:sz="2" w:space="0" w:color="3D7FE0" w:themeColor="accent1"/>
              <w:bottom w:val="single" w:sz="8" w:space="0" w:color="3D7FE0" w:themeColor="accent1"/>
            </w:tcBorders>
            <w:vAlign w:val="bottom"/>
          </w:tcPr>
          <w:p w14:paraId="7D63DB3B" w14:textId="77777777" w:rsidR="00AE1E5C" w:rsidRPr="00A079EF" w:rsidRDefault="00AE1E5C" w:rsidP="004203CD">
            <w:pPr>
              <w:pStyle w:val="Tabletext"/>
              <w:rPr>
                <w:rStyle w:val="BoldBlue"/>
                <w:rFonts w:ascii="IBM Plex Sans Light" w:hAnsi="IBM Plex Sans Light" w:cs="IBM Plex Sans"/>
                <w:bCs w:val="0"/>
                <w:color w:val="4472C4"/>
                <w:sz w:val="18"/>
                <w:szCs w:val="24"/>
              </w:rPr>
            </w:pPr>
          </w:p>
        </w:tc>
        <w:tc>
          <w:tcPr>
            <w:tcW w:w="964" w:type="dxa"/>
            <w:tcBorders>
              <w:top w:val="single" w:sz="2" w:space="0" w:color="3D7FE0" w:themeColor="accent1"/>
              <w:bottom w:val="single" w:sz="8" w:space="0" w:color="3D7FE0" w:themeColor="accent1"/>
            </w:tcBorders>
            <w:shd w:val="clear" w:color="auto" w:fill="FFFFFF"/>
            <w:vAlign w:val="bottom"/>
          </w:tcPr>
          <w:p w14:paraId="7ADE71A6" w14:textId="77777777" w:rsidR="00AE1E5C" w:rsidRPr="00A079EF" w:rsidRDefault="00AE1E5C" w:rsidP="004203CD">
            <w:pPr>
              <w:pStyle w:val="Tabletext"/>
              <w:jc w:val="right"/>
              <w:rPr>
                <w:rStyle w:val="BoldBlue"/>
                <w:rFonts w:ascii="IBM Plex Sans Light" w:hAnsi="IBM Plex Sans Light" w:cs="IBM Plex Sans"/>
                <w:bCs w:val="0"/>
                <w:color w:val="3D7FE0" w:themeColor="accent1"/>
                <w:sz w:val="18"/>
                <w:szCs w:val="24"/>
              </w:rPr>
            </w:pPr>
            <w:r w:rsidRPr="00A079EF">
              <w:rPr>
                <w:rStyle w:val="BoldBlue"/>
                <w:rFonts w:ascii="IBM Plex Sans Light" w:hAnsi="IBM Plex Sans Light" w:cs="IBM Plex Sans"/>
                <w:bCs w:val="0"/>
                <w:color w:val="3D7FE0" w:themeColor="accent1"/>
                <w:sz w:val="18"/>
                <w:szCs w:val="24"/>
              </w:rPr>
              <w:t>1,326.3</w:t>
            </w:r>
          </w:p>
        </w:tc>
        <w:tc>
          <w:tcPr>
            <w:tcW w:w="964" w:type="dxa"/>
            <w:tcBorders>
              <w:top w:val="single" w:sz="2" w:space="0" w:color="3D7FE0" w:themeColor="accent1"/>
              <w:bottom w:val="single" w:sz="8" w:space="0" w:color="3D7FE0" w:themeColor="accent1"/>
            </w:tcBorders>
            <w:shd w:val="clear" w:color="auto" w:fill="FFFFFF"/>
            <w:vAlign w:val="bottom"/>
          </w:tcPr>
          <w:p w14:paraId="42BADA07" w14:textId="77777777" w:rsidR="00AE1E5C" w:rsidRPr="00A079EF" w:rsidRDefault="00AE1E5C" w:rsidP="004203CD">
            <w:pPr>
              <w:pStyle w:val="TableFiguresBold"/>
              <w:rPr>
                <w:rStyle w:val="BoldBlue"/>
                <w:rFonts w:ascii="IBM Plex Sans Light" w:hAnsi="IBM Plex Sans Light" w:cs="IBM Plex Sans"/>
                <w:b/>
                <w:color w:val="4472C4"/>
                <w:sz w:val="18"/>
                <w:szCs w:val="24"/>
              </w:rPr>
            </w:pPr>
            <w:r w:rsidRPr="00A079EF">
              <w:rPr>
                <w:rFonts w:ascii="IBM Plex Sans Light" w:hAnsi="IBM Plex Sans Light"/>
                <w:b w:val="0"/>
                <w:bCs w:val="0"/>
                <w:sz w:val="18"/>
                <w:szCs w:val="24"/>
              </w:rPr>
              <w:t>1,732.1</w:t>
            </w:r>
          </w:p>
        </w:tc>
      </w:tr>
    </w:tbl>
    <w:p w14:paraId="7A6F563D" w14:textId="20FFA755" w:rsidR="00AE1E5C" w:rsidRPr="00024B10" w:rsidRDefault="0084584E" w:rsidP="0084584E">
      <w:pPr>
        <w:pStyle w:val="04BodyCopyFronttext9105"/>
        <w:rPr>
          <w:sz w:val="16"/>
          <w:szCs w:val="16"/>
        </w:rPr>
      </w:pPr>
      <w:r w:rsidRPr="00024B10">
        <w:rPr>
          <w:sz w:val="16"/>
          <w:szCs w:val="16"/>
        </w:rPr>
        <w:t>1</w:t>
      </w:r>
      <w:r w:rsidRPr="00024B10">
        <w:rPr>
          <w:sz w:val="16"/>
          <w:szCs w:val="16"/>
        </w:rPr>
        <w:tab/>
        <w:t>Maturity of loans at 31 December 2023</w:t>
      </w:r>
    </w:p>
    <w:p w14:paraId="3441F58C" w14:textId="739B1DF4" w:rsidR="008C77DE" w:rsidRPr="00785AC2" w:rsidRDefault="008C77DE" w:rsidP="00034C83">
      <w:pPr>
        <w:spacing w:line="240" w:lineRule="auto"/>
        <w:rPr>
          <w:rFonts w:ascii="IBM Plex Sans Medium" w:hAnsi="IBM Plex Sans Medium"/>
        </w:rPr>
      </w:pPr>
    </w:p>
    <w:p w14:paraId="7B4287C6" w14:textId="77777777" w:rsidR="00DE34B7" w:rsidRDefault="00DE34B7" w:rsidP="00DE34B7">
      <w:pPr>
        <w:spacing w:after="240" w:line="240" w:lineRule="auto"/>
      </w:pPr>
      <w:r>
        <w:rPr>
          <w:rFonts w:ascii="IBM Plex Sans Medium" w:hAnsi="IBM Plex Sans Medium" w:cs="Arial"/>
          <w:b/>
          <w:caps/>
          <w:sz w:val="24"/>
        </w:rPr>
        <w:t xml:space="preserve">Risks and uncertainties </w:t>
      </w:r>
      <w:r>
        <w:rPr>
          <w:rFonts w:ascii="IBM Plex Sans Medium" w:hAnsi="IBM Plex Sans Medium" w:cs="Arial"/>
          <w:b/>
          <w:caps/>
          <w:sz w:val="24"/>
        </w:rPr>
        <w:br/>
      </w:r>
    </w:p>
    <w:p w14:paraId="425FB3C3" w14:textId="77777777" w:rsidR="00DE34B7" w:rsidRDefault="00DE34B7" w:rsidP="00DE34B7">
      <w:pPr>
        <w:spacing w:after="240" w:line="240" w:lineRule="auto"/>
      </w:pPr>
      <w:r>
        <w:rPr>
          <w:rFonts w:ascii="IBM Plex Sans Light" w:hAnsi="IBM Plex Sans Light"/>
          <w:spacing w:val="-5"/>
        </w:rPr>
        <w:t>The Board continually reviews and monitors the principal risks and uncertainties which could have a material effect on the Group’s results. The principal risks and uncertainties for 2023 are listed below with details of each risk. Full disclosure of the risks, including the factors which mitigate them, is set out within the Risk and uncertainties section of the Annual Report 2023.</w:t>
      </w:r>
    </w:p>
    <w:tbl>
      <w:tblPr>
        <w:tblW w:w="9781" w:type="dxa"/>
        <w:tblLayout w:type="fixed"/>
        <w:tblCellMar>
          <w:left w:w="10" w:type="dxa"/>
          <w:right w:w="10" w:type="dxa"/>
        </w:tblCellMar>
        <w:tblLook w:val="04A0" w:firstRow="1" w:lastRow="0" w:firstColumn="1" w:lastColumn="0" w:noHBand="0" w:noVBand="1"/>
      </w:tblPr>
      <w:tblGrid>
        <w:gridCol w:w="1701"/>
        <w:gridCol w:w="8080"/>
      </w:tblGrid>
      <w:tr w:rsidR="00DE34B7" w14:paraId="65663735"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6C800AFE"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Macroeconomic</w:t>
            </w:r>
          </w:p>
          <w:p w14:paraId="0732933C" w14:textId="77777777" w:rsidR="00DE34B7" w:rsidRDefault="00DE34B7" w:rsidP="004203CD">
            <w:pPr>
              <w:pStyle w:val="TabletextBold"/>
              <w:spacing w:after="0"/>
              <w:ind w:left="284"/>
              <w:rPr>
                <w:rFonts w:ascii="IBM Plex Sans Light" w:hAnsi="IBM Plex Sans Light"/>
                <w:color w:val="auto"/>
                <w:spacing w:val="-5"/>
                <w:sz w:val="18"/>
                <w:szCs w:val="22"/>
              </w:rPr>
            </w:pPr>
            <w:r>
              <w:rPr>
                <w:rFonts w:ascii="IBM Plex Sans Light" w:hAnsi="IBM Plex Sans Light"/>
                <w:color w:val="auto"/>
                <w:spacing w:val="-5"/>
                <w:sz w:val="18"/>
                <w:szCs w:val="22"/>
              </w:rPr>
              <w:t xml:space="preserve">Residual risk: </w:t>
            </w:r>
          </w:p>
          <w:p w14:paraId="3A471A12" w14:textId="77777777" w:rsidR="00DE34B7" w:rsidRDefault="00DE34B7" w:rsidP="004203CD">
            <w:pPr>
              <w:pStyle w:val="TabletextBold"/>
              <w:spacing w:before="0"/>
              <w:ind w:left="284"/>
            </w:pPr>
            <w:r>
              <w:rPr>
                <w:rFonts w:ascii="IBM Plex Sans Light" w:hAnsi="IBM Plex Sans Light"/>
                <w:color w:val="4472C4"/>
                <w:spacing w:val="-5"/>
                <w:sz w:val="18"/>
                <w:szCs w:val="22"/>
              </w:rPr>
              <w:t>High</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54C003FF" w14:textId="77777777" w:rsidR="00DE34B7" w:rsidRDefault="00DE34B7" w:rsidP="004203CD">
            <w:pPr>
              <w:pStyle w:val="04BodyCopyFronttext9105"/>
              <w:spacing w:after="60"/>
            </w:pPr>
            <w:r>
              <w:t>Adverse changes to the geopolitical landscape and macroeconomic environment in which the Group operates have the potential to hinder the ability to deliver the strategy and financial performance.</w:t>
            </w:r>
          </w:p>
        </w:tc>
      </w:tr>
      <w:tr w:rsidR="00DE34B7" w14:paraId="74BAFB4D"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1D60E9D6"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 xml:space="preserve">Retail market </w:t>
            </w:r>
          </w:p>
          <w:p w14:paraId="29F77AB4" w14:textId="77777777" w:rsidR="00DE34B7" w:rsidRDefault="00DE34B7" w:rsidP="004203CD">
            <w:pPr>
              <w:pStyle w:val="TabletextBold"/>
              <w:ind w:left="284"/>
              <w:rPr>
                <w:rFonts w:ascii="IBM Plex Sans Light" w:hAnsi="IBM Plex Sans Light"/>
                <w:color w:val="auto"/>
                <w:spacing w:val="-5"/>
                <w:sz w:val="18"/>
                <w:szCs w:val="22"/>
              </w:rPr>
            </w:pPr>
            <w:r>
              <w:rPr>
                <w:rFonts w:ascii="IBM Plex Sans Light" w:hAnsi="IBM Plex Sans Light"/>
                <w:color w:val="auto"/>
                <w:spacing w:val="-5"/>
                <w:sz w:val="18"/>
                <w:szCs w:val="22"/>
              </w:rPr>
              <w:t xml:space="preserve">Residual risk: </w:t>
            </w:r>
          </w:p>
          <w:p w14:paraId="162B1B91" w14:textId="77777777" w:rsidR="00DE34B7" w:rsidRDefault="00DE34B7" w:rsidP="004203CD">
            <w:pPr>
              <w:pStyle w:val="TabletextBold"/>
              <w:spacing w:before="0"/>
              <w:ind w:left="284"/>
            </w:pP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0ECD4ACB" w14:textId="09DE2762" w:rsidR="00DE34B7" w:rsidRDefault="00DE34B7" w:rsidP="004203CD">
            <w:pPr>
              <w:pStyle w:val="04BodyCopyFronttext9105"/>
              <w:spacing w:after="60"/>
            </w:pPr>
            <w:r>
              <w:t>In the context of the ever</w:t>
            </w:r>
            <w:r w:rsidR="0084584E">
              <w:t>-</w:t>
            </w:r>
            <w:r>
              <w:t>evolving retail marketplace, the Group fails to anticipate and address structural market changes. This could impair leasing performance, result in a sub-optimal occupier mix and thus impact the ability to attract visitors, and grow footfall/spend and income at the Group’s properties.</w:t>
            </w:r>
          </w:p>
        </w:tc>
      </w:tr>
      <w:tr w:rsidR="00DE34B7" w14:paraId="3CDD9D5E"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4447A398"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lastRenderedPageBreak/>
              <w:t xml:space="preserve">Investment market and valuations </w:t>
            </w:r>
          </w:p>
          <w:p w14:paraId="0B5BEA58" w14:textId="77777777" w:rsidR="00DE34B7" w:rsidRDefault="00DE34B7" w:rsidP="004203CD">
            <w:pPr>
              <w:pStyle w:val="TabletextBold"/>
              <w:ind w:left="284"/>
              <w:rPr>
                <w:rFonts w:ascii="IBM Plex Sans Light" w:hAnsi="IBM Plex Sans Light"/>
                <w:color w:val="auto"/>
                <w:spacing w:val="-5"/>
                <w:sz w:val="18"/>
                <w:szCs w:val="22"/>
              </w:rPr>
            </w:pPr>
            <w:r>
              <w:rPr>
                <w:rFonts w:ascii="IBM Plex Sans Light" w:hAnsi="IBM Plex Sans Light"/>
                <w:color w:val="auto"/>
                <w:spacing w:val="-5"/>
                <w:sz w:val="18"/>
                <w:szCs w:val="22"/>
              </w:rPr>
              <w:t xml:space="preserve">Residual risk: </w:t>
            </w:r>
          </w:p>
          <w:p w14:paraId="6039E990" w14:textId="77777777" w:rsidR="00DE34B7" w:rsidRDefault="00DE34B7" w:rsidP="004203CD">
            <w:pPr>
              <w:pStyle w:val="TabletextBold"/>
              <w:ind w:left="284"/>
            </w:pP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28C230FA" w14:textId="2A998F6D" w:rsidR="00DE34B7" w:rsidRDefault="00DE34B7" w:rsidP="004203CD">
            <w:pPr>
              <w:pStyle w:val="04BodyCopyFronttext9105"/>
              <w:spacing w:after="60"/>
            </w:pPr>
            <w:r>
              <w:t>Investor appetite for retail</w:t>
            </w:r>
            <w:r w:rsidR="0084584E">
              <w:t>-</w:t>
            </w:r>
            <w:r>
              <w:t>led assets is reduced due to macroeconomic or retail market factors including increased borrowing costs, economic downturn, and consumer and occupier confidence. This could adversely impact property valuations and risk hindering the liquidity of the Group’s portfolio. This in turn would reduce the availability of funds for reinvestment in core assets and/or refinancing of debt.</w:t>
            </w:r>
          </w:p>
        </w:tc>
      </w:tr>
      <w:tr w:rsidR="00DE34B7" w14:paraId="37DF3479"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1CEB01FB"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Climate</w:t>
            </w:r>
          </w:p>
          <w:p w14:paraId="7EB7C40F" w14:textId="77777777" w:rsidR="00DE34B7" w:rsidRDefault="00DE34B7" w:rsidP="004203CD">
            <w:pPr>
              <w:pStyle w:val="TabletextBold"/>
              <w:ind w:left="284"/>
              <w:rPr>
                <w:rFonts w:ascii="IBM Plex Sans Light" w:hAnsi="IBM Plex Sans Light"/>
                <w:color w:val="auto"/>
                <w:spacing w:val="-5"/>
                <w:sz w:val="18"/>
                <w:szCs w:val="22"/>
              </w:rPr>
            </w:pPr>
            <w:r>
              <w:rPr>
                <w:rFonts w:ascii="IBM Plex Sans Light" w:hAnsi="IBM Plex Sans Light"/>
                <w:color w:val="auto"/>
                <w:spacing w:val="-5"/>
                <w:sz w:val="18"/>
                <w:szCs w:val="22"/>
              </w:rPr>
              <w:t xml:space="preserve">Residual risk: </w:t>
            </w:r>
          </w:p>
          <w:p w14:paraId="6AE97765" w14:textId="77777777" w:rsidR="00DE34B7" w:rsidRDefault="00DE34B7" w:rsidP="004203CD">
            <w:pPr>
              <w:pStyle w:val="TabletextBold"/>
              <w:ind w:left="284"/>
            </w:pP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199658F3" w14:textId="77777777" w:rsidR="00DE34B7" w:rsidRDefault="00DE34B7" w:rsidP="004203CD">
            <w:pPr>
              <w:pStyle w:val="04BodyCopyFronttext9105"/>
              <w:spacing w:after="60"/>
            </w:pPr>
            <w:r>
              <w:t>Climate risks, particularly the reduction in carbon emissions and compliance with ESG regulations, are not appropriately managed and communicated. This is likely to adversely impact valuations and investor sentiment and may result in an increased final year bond coupon if the Group’s sustainability linked bond targets are not met. Also, extreme weather events may impact our properties.</w:t>
            </w:r>
          </w:p>
        </w:tc>
      </w:tr>
      <w:tr w:rsidR="00DE34B7" w14:paraId="4D6EA58D"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08ECE9C4"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 xml:space="preserve">Tax </w:t>
            </w:r>
          </w:p>
          <w:p w14:paraId="03D0B596"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78D2E380" w14:textId="11C599C3" w:rsidR="00DE34B7" w:rsidRDefault="00DE34B7" w:rsidP="004203CD">
            <w:pPr>
              <w:pStyle w:val="04BodyCopyFronttext9105"/>
              <w:spacing w:after="60"/>
            </w:pPr>
            <w:r>
              <w:t>The Group suffers financial loss and reputational damage from new or increased tax lev</w:t>
            </w:r>
            <w:r w:rsidR="00907934">
              <w:t>ies</w:t>
            </w:r>
            <w:r>
              <w:t xml:space="preserve"> or due to non-compliance with local tax legislation. </w:t>
            </w:r>
          </w:p>
        </w:tc>
      </w:tr>
      <w:tr w:rsidR="00DE34B7" w14:paraId="42DFA41E"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28D1FC66"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 xml:space="preserve">Legal and regulatory compliance </w:t>
            </w:r>
          </w:p>
          <w:p w14:paraId="1ACC974B" w14:textId="77777777" w:rsidR="00DE34B7" w:rsidRDefault="00DE34B7" w:rsidP="004203CD">
            <w:pPr>
              <w:pStyle w:val="TabletextBold"/>
              <w:ind w:left="284"/>
            </w:pPr>
            <w:r>
              <w:rPr>
                <w:rFonts w:ascii="IBM Plex Sans Light" w:hAnsi="IBM Plex Sans Light"/>
                <w:color w:val="auto"/>
                <w:spacing w:val="-5"/>
                <w:sz w:val="18"/>
                <w:szCs w:val="22"/>
              </w:rPr>
              <w:t>Residual risk:</w:t>
            </w:r>
            <w:r>
              <w:rPr>
                <w:rFonts w:ascii="IBM Plex Sans Light" w:hAnsi="IBM Plex Sans Light"/>
                <w:sz w:val="18"/>
                <w:szCs w:val="22"/>
              </w:rPr>
              <w:t xml:space="preserve">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35D4E19A" w14:textId="77777777" w:rsidR="00DE34B7" w:rsidRDefault="00DE34B7" w:rsidP="004203CD">
            <w:pPr>
              <w:pStyle w:val="04BodyCopyFronttext9105"/>
              <w:spacing w:after="60"/>
            </w:pPr>
            <w:r>
              <w:t>The failure to comply with a multitude of laws and regulations relevant to the Group. These laws and regulations cover the Group’s role as a multi-jurisdiction listed company; an owner and operator of property; an employer; and as a developer. Failure to comply could result in the Group suffering reputational damage and/or financial penalties. Changes or new requirements may place administrative burden on to the Group  and divert resources away from strategic objectives.</w:t>
            </w:r>
          </w:p>
        </w:tc>
      </w:tr>
      <w:tr w:rsidR="00DE34B7" w14:paraId="7E5ABC07"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18A7DE34"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Non-retail/multi-use markets</w:t>
            </w:r>
          </w:p>
          <w:p w14:paraId="7B04396B"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6C1BB77A" w14:textId="77777777" w:rsidR="00DE34B7" w:rsidRDefault="00DE34B7" w:rsidP="004203CD">
            <w:pPr>
              <w:pStyle w:val="04BodyCopyFronttext9105"/>
              <w:spacing w:after="60"/>
            </w:pPr>
            <w:r>
              <w:t>The Group fails to target the optimal (non-retail) property sectors for future repurposing or developments or has insufficient access to capital and the skills required to deliver its urban estates vision. Occupier or investor demand for non-retail sectors weakens or evolves such that the Group’s repurposing or development plans are sub-optimal.</w:t>
            </w:r>
          </w:p>
        </w:tc>
      </w:tr>
      <w:tr w:rsidR="00DE34B7" w14:paraId="6B9A523C"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79EC4A5B"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 xml:space="preserve">Cyber security </w:t>
            </w:r>
          </w:p>
          <w:p w14:paraId="78ED81F6"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4A9FB2C7" w14:textId="77777777" w:rsidR="00DE34B7" w:rsidRDefault="00DE34B7" w:rsidP="004203CD">
            <w:pPr>
              <w:pStyle w:val="04BodyCopyFronttext9105"/>
              <w:spacing w:after="60"/>
            </w:pPr>
            <w:r>
              <w:t>The Group’s information technology systems fail or are subject to an attack which breaches their technological defences. A failure could lead to operational disruption, financial, or reputational damage due to assets being brought down and/or loss of commercially sensitive data.</w:t>
            </w:r>
          </w:p>
        </w:tc>
      </w:tr>
      <w:tr w:rsidR="00DE34B7" w14:paraId="1B1D630D"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1A51AEC0"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 xml:space="preserve">Health and safety </w:t>
            </w:r>
          </w:p>
          <w:p w14:paraId="4AA9C567"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6E06EF76" w14:textId="77777777" w:rsidR="00DE34B7" w:rsidRDefault="00DE34B7" w:rsidP="004203CD">
            <w:pPr>
              <w:pStyle w:val="04BodyCopyFronttext9105"/>
              <w:spacing w:after="60"/>
            </w:pPr>
            <w:r>
              <w:t>There is a risk of serious work related injury, death and/or ill health to the Group’s colleagues, customers or contractors, and anyone else who visits the Group’s properties or premises. This may be due to the Group’s actions or activities, or from external threats such as terrorism. In addition an incident or public health issue, such as a pandemic, is likely to have an adverse operational impact. Insufficient insight into health and safety risks and mitigations or a failure to embed a strong safety culture could increase the Group’s exposure to reputational damage, fines and sanctions.</w:t>
            </w:r>
          </w:p>
        </w:tc>
      </w:tr>
      <w:tr w:rsidR="00DE34B7" w14:paraId="6930C2E8"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516DB3D3"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Capital structure</w:t>
            </w:r>
          </w:p>
          <w:p w14:paraId="78989824"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11118BE6" w14:textId="77777777" w:rsidR="00DE34B7" w:rsidRDefault="00DE34B7" w:rsidP="004203CD">
            <w:pPr>
              <w:pStyle w:val="04BodyCopyFronttext9105"/>
              <w:spacing w:after="60"/>
            </w:pPr>
            <w:r>
              <w:t>Lack of access to capital on attractive terms could lead to the Group having insufficient liquidity to enable the delivery of the Group’s strategic objectives.</w:t>
            </w:r>
          </w:p>
        </w:tc>
      </w:tr>
      <w:tr w:rsidR="00DE34B7" w14:paraId="7A560359"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0EB21BA5"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Partnerships</w:t>
            </w:r>
          </w:p>
          <w:p w14:paraId="61DB48DA" w14:textId="77777777" w:rsidR="00DE34B7" w:rsidRDefault="00DE34B7" w:rsidP="004203CD">
            <w:pPr>
              <w:pStyle w:val="TabletextBold"/>
              <w:ind w:left="284"/>
              <w:rPr>
                <w:rFonts w:ascii="IBM Plex Sans Light" w:hAnsi="IBM Plex Sans Light"/>
                <w:color w:val="auto"/>
                <w:spacing w:val="-5"/>
                <w:sz w:val="18"/>
                <w:szCs w:val="22"/>
              </w:rPr>
            </w:pPr>
            <w:r>
              <w:rPr>
                <w:rFonts w:ascii="IBM Plex Sans Light" w:hAnsi="IBM Plex Sans Light"/>
                <w:color w:val="auto"/>
                <w:spacing w:val="-5"/>
                <w:sz w:val="18"/>
                <w:szCs w:val="22"/>
              </w:rPr>
              <w:t xml:space="preserve">Residual risk: </w:t>
            </w:r>
          </w:p>
          <w:p w14:paraId="3486D113" w14:textId="77777777" w:rsidR="00DE34B7" w:rsidRDefault="00DE34B7" w:rsidP="004203CD">
            <w:pPr>
              <w:pStyle w:val="TabletextBold"/>
              <w:ind w:left="284"/>
            </w:pPr>
            <w:r>
              <w:rPr>
                <w:rFonts w:ascii="IBM Plex Sans Light" w:hAnsi="IBM Plex Sans Light"/>
                <w:color w:val="4472C4"/>
                <w:spacing w:val="-5"/>
                <w:sz w:val="18"/>
                <w:szCs w:val="22"/>
              </w:rPr>
              <w:t>High</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330FA5BD" w14:textId="77777777" w:rsidR="00DE34B7" w:rsidRDefault="00DE34B7" w:rsidP="004203CD">
            <w:pPr>
              <w:pStyle w:val="04BodyCopyFronttext9105"/>
              <w:spacing w:after="60"/>
            </w:pPr>
            <w:r>
              <w:t>A significant proportion of the Group’s assets are held in conjunction with third parties which has the potential to limit the ability to implement the Group’s strategy and reduces control and therefore liquidity if partners are not strategically aligned.</w:t>
            </w:r>
          </w:p>
        </w:tc>
      </w:tr>
      <w:tr w:rsidR="00DE34B7" w14:paraId="7B81B24E"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50CB564E" w14:textId="77777777" w:rsidR="00DE34B7" w:rsidRDefault="00DE34B7" w:rsidP="00DE34B7">
            <w:pPr>
              <w:pStyle w:val="TabletextBold"/>
              <w:numPr>
                <w:ilvl w:val="0"/>
                <w:numId w:val="40"/>
              </w:numPr>
              <w:suppressAutoHyphens/>
              <w:autoSpaceDN w:val="0"/>
              <w:spacing w:before="20" w:line="190" w:lineRule="exact"/>
              <w:ind w:left="284" w:hanging="284"/>
            </w:pPr>
            <w:r>
              <w:rPr>
                <w:rFonts w:ascii="IBM Plex Sans Light" w:hAnsi="IBM Plex Sans Light"/>
                <w:sz w:val="18"/>
                <w:szCs w:val="22"/>
              </w:rPr>
              <w:t>Property development</w:t>
            </w:r>
            <w:r>
              <w:rPr>
                <w:rFonts w:ascii="IBM Plex Sans Light" w:hAnsi="IBM Plex Sans Light"/>
                <w:color w:val="auto"/>
                <w:spacing w:val="-5"/>
                <w:sz w:val="18"/>
                <w:szCs w:val="22"/>
              </w:rPr>
              <w:t xml:space="preserve"> </w:t>
            </w:r>
          </w:p>
          <w:p w14:paraId="23BADA9C"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52615834" w14:textId="77777777" w:rsidR="00DE34B7" w:rsidRDefault="00DE34B7" w:rsidP="004203CD">
            <w:pPr>
              <w:pStyle w:val="04BodyCopyFronttext9105"/>
              <w:spacing w:after="60"/>
            </w:pPr>
            <w:r>
              <w:t xml:space="preserve">Property development is inherently risky due to its complexity, management intensity and uncertain outcomes, particularly for major schemes with multiple phases and long delivery timescales. Unsuccessful projects result in adverse financial and reputational outcomes. </w:t>
            </w:r>
          </w:p>
        </w:tc>
      </w:tr>
      <w:tr w:rsidR="00DE34B7" w14:paraId="69939E6A"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39A25E5C"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Transformation</w:t>
            </w:r>
          </w:p>
          <w:p w14:paraId="250ACB5C"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2A285D64" w14:textId="77777777" w:rsidR="00DE34B7" w:rsidRDefault="00DE34B7" w:rsidP="004203CD">
            <w:pPr>
              <w:pStyle w:val="04BodyCopyFronttext9105"/>
              <w:spacing w:after="60"/>
            </w:pPr>
            <w:r>
              <w:t xml:space="preserve">The Group fails to deliver its strategic objective of creating an agile platform due to sub-optimal transformation projects. Other issues could arise due to transformation initiatives being delivered late, overbudget or causing significant disruption to business-as-usual activity. </w:t>
            </w:r>
          </w:p>
        </w:tc>
      </w:tr>
      <w:tr w:rsidR="00DE34B7" w14:paraId="777B241D" w14:textId="77777777" w:rsidTr="004203CD">
        <w:trPr>
          <w:trHeight w:val="20"/>
        </w:trPr>
        <w:tc>
          <w:tcPr>
            <w:tcW w:w="1701" w:type="dxa"/>
            <w:tcBorders>
              <w:top w:val="single" w:sz="2" w:space="0" w:color="3480DE"/>
              <w:bottom w:val="single" w:sz="2" w:space="0" w:color="3480DE"/>
            </w:tcBorders>
            <w:shd w:val="clear" w:color="auto" w:fill="auto"/>
            <w:tcMar>
              <w:top w:w="0" w:type="dxa"/>
              <w:left w:w="0" w:type="dxa"/>
              <w:bottom w:w="0" w:type="dxa"/>
              <w:right w:w="0" w:type="dxa"/>
            </w:tcMar>
          </w:tcPr>
          <w:p w14:paraId="5F314796" w14:textId="77777777" w:rsidR="00DE34B7" w:rsidRDefault="00DE34B7" w:rsidP="00DE34B7">
            <w:pPr>
              <w:pStyle w:val="TabletextBold"/>
              <w:numPr>
                <w:ilvl w:val="0"/>
                <w:numId w:val="40"/>
              </w:numPr>
              <w:suppressAutoHyphens/>
              <w:autoSpaceDN w:val="0"/>
              <w:spacing w:before="20" w:line="190" w:lineRule="exact"/>
              <w:ind w:left="284" w:hanging="284"/>
              <w:rPr>
                <w:rFonts w:ascii="IBM Plex Sans Light" w:hAnsi="IBM Plex Sans Light"/>
                <w:sz w:val="18"/>
                <w:szCs w:val="22"/>
              </w:rPr>
            </w:pPr>
            <w:r>
              <w:rPr>
                <w:rFonts w:ascii="IBM Plex Sans Light" w:hAnsi="IBM Plex Sans Light"/>
                <w:sz w:val="18"/>
                <w:szCs w:val="22"/>
              </w:rPr>
              <w:t>People</w:t>
            </w:r>
          </w:p>
          <w:p w14:paraId="009421BC" w14:textId="77777777" w:rsidR="00DE34B7" w:rsidRDefault="00DE34B7" w:rsidP="004203CD">
            <w:pPr>
              <w:pStyle w:val="TabletextBold"/>
              <w:ind w:left="284"/>
            </w:pPr>
            <w:r>
              <w:rPr>
                <w:rFonts w:ascii="IBM Plex Sans Light" w:hAnsi="IBM Plex Sans Light"/>
                <w:color w:val="auto"/>
                <w:spacing w:val="-5"/>
                <w:sz w:val="18"/>
                <w:szCs w:val="22"/>
              </w:rPr>
              <w:t xml:space="preserve">Residual risk: </w:t>
            </w:r>
            <w:r>
              <w:rPr>
                <w:rFonts w:ascii="IBM Plex Sans Light" w:hAnsi="IBM Plex Sans Light"/>
                <w:color w:val="4472C4"/>
                <w:spacing w:val="-5"/>
                <w:sz w:val="18"/>
                <w:szCs w:val="22"/>
              </w:rPr>
              <w:t>Medium</w:t>
            </w:r>
          </w:p>
        </w:tc>
        <w:tc>
          <w:tcPr>
            <w:tcW w:w="8080" w:type="dxa"/>
            <w:tcBorders>
              <w:top w:val="single" w:sz="2" w:space="0" w:color="3480DE"/>
              <w:bottom w:val="single" w:sz="2" w:space="0" w:color="3480DE"/>
            </w:tcBorders>
            <w:shd w:val="clear" w:color="auto" w:fill="auto"/>
            <w:tcMar>
              <w:top w:w="0" w:type="dxa"/>
              <w:left w:w="0" w:type="dxa"/>
              <w:bottom w:w="0" w:type="dxa"/>
              <w:right w:w="0" w:type="dxa"/>
            </w:tcMar>
          </w:tcPr>
          <w:p w14:paraId="4DDECD69" w14:textId="77777777" w:rsidR="00DE34B7" w:rsidRDefault="00DE34B7" w:rsidP="004203CD">
            <w:pPr>
              <w:pStyle w:val="04BodyCopyFronttext9105"/>
              <w:spacing w:after="60"/>
            </w:pPr>
            <w:r>
              <w:t>A failure to retain or recruit key management and other colleagues to build skilled and diverse teams could adversely impact operational and corporate performance, culture and ultimately the delivery of the Group’s strategy. As the Group evolves its strategy it must continue to motivate and retain people, ensure it offers the right colleague proposition and attract new skills in a changing market.</w:t>
            </w:r>
          </w:p>
        </w:tc>
      </w:tr>
    </w:tbl>
    <w:p w14:paraId="292C3510" w14:textId="77777777" w:rsidR="00F9445C" w:rsidRDefault="00F9445C" w:rsidP="00437A02">
      <w:pPr>
        <w:spacing w:after="0" w:line="240" w:lineRule="auto"/>
        <w:rPr>
          <w:rFonts w:ascii="IBM Plex Sans Medium" w:hAnsi="IBM Plex Sans Medium" w:cs="Arial"/>
          <w:b/>
          <w:caps/>
          <w:sz w:val="24"/>
        </w:rPr>
      </w:pPr>
    </w:p>
    <w:p w14:paraId="0610C039" w14:textId="32BD7487" w:rsidR="00437A02" w:rsidRPr="00785AC2" w:rsidRDefault="009B174C" w:rsidP="00437A02">
      <w:pPr>
        <w:spacing w:after="0" w:line="240" w:lineRule="auto"/>
        <w:rPr>
          <w:rFonts w:ascii="IBM Plex Sans Medium" w:hAnsi="IBM Plex Sans Medium" w:cs="Arial"/>
          <w:b/>
          <w:caps/>
          <w:sz w:val="24"/>
        </w:rPr>
      </w:pPr>
      <w:r w:rsidRPr="00785AC2">
        <w:rPr>
          <w:rFonts w:ascii="IBM Plex Sans Medium" w:hAnsi="IBM Plex Sans Medium" w:cs="Arial"/>
          <w:b/>
          <w:caps/>
          <w:sz w:val="24"/>
        </w:rPr>
        <w:t xml:space="preserve">Consolidated income statement </w:t>
      </w:r>
      <w:r w:rsidR="00B500D0" w:rsidRPr="00785AC2">
        <w:rPr>
          <w:rFonts w:ascii="IBM Plex Sans Medium" w:hAnsi="IBM Plex Sans Medium" w:cs="Arial"/>
          <w:b/>
          <w:caps/>
          <w:sz w:val="24"/>
        </w:rPr>
        <w:t xml:space="preserve"> </w:t>
      </w:r>
    </w:p>
    <w:p w14:paraId="5776D102" w14:textId="3492A2A7" w:rsidR="00437A02" w:rsidRPr="00895810" w:rsidRDefault="00437A02" w:rsidP="00437A02">
      <w:pPr>
        <w:pStyle w:val="TableFiguresBold"/>
        <w:jc w:val="left"/>
        <w:rPr>
          <w:rFonts w:ascii="IBM Plex Sans Light" w:hAnsi="IBM Plex Sans Light"/>
          <w:color w:val="3D7FE0" w:themeColor="accent1"/>
          <w:sz w:val="18"/>
          <w:szCs w:val="18"/>
        </w:rPr>
      </w:pPr>
      <w:r w:rsidRPr="00895810">
        <w:rPr>
          <w:rFonts w:ascii="IBM Plex Sans Light" w:hAnsi="IBM Plex Sans Light"/>
          <w:color w:val="3D7FE0" w:themeColor="accent1"/>
          <w:sz w:val="18"/>
          <w:szCs w:val="18"/>
        </w:rPr>
        <w:t xml:space="preserve">Year ended 31 December </w:t>
      </w:r>
      <w:r w:rsidR="00785AC2">
        <w:rPr>
          <w:rFonts w:ascii="IBM Plex Sans Light" w:hAnsi="IBM Plex Sans Light"/>
          <w:color w:val="3D7FE0" w:themeColor="accent1"/>
          <w:sz w:val="18"/>
          <w:szCs w:val="18"/>
        </w:rPr>
        <w:t>2023</w:t>
      </w:r>
    </w:p>
    <w:tbl>
      <w:tblPr>
        <w:tblW w:w="9922" w:type="dxa"/>
        <w:tblLayout w:type="fixed"/>
        <w:tblLook w:val="01E0" w:firstRow="1" w:lastRow="1" w:firstColumn="1" w:lastColumn="1" w:noHBand="0" w:noVBand="0"/>
      </w:tblPr>
      <w:tblGrid>
        <w:gridCol w:w="6521"/>
        <w:gridCol w:w="283"/>
        <w:gridCol w:w="284"/>
        <w:gridCol w:w="424"/>
        <w:gridCol w:w="1134"/>
        <w:gridCol w:w="1276"/>
      </w:tblGrid>
      <w:tr w:rsidR="00F349F3" w:rsidRPr="00895810" w14:paraId="2FCE3B38" w14:textId="08CA7191" w:rsidTr="00F349F3">
        <w:trPr>
          <w:trHeight w:val="392"/>
        </w:trPr>
        <w:tc>
          <w:tcPr>
            <w:tcW w:w="6521" w:type="dxa"/>
            <w:tcBorders>
              <w:bottom w:val="single" w:sz="2" w:space="0" w:color="3D7FE0" w:themeColor="accent1"/>
            </w:tcBorders>
            <w:tcMar>
              <w:left w:w="0" w:type="dxa"/>
              <w:right w:w="0" w:type="dxa"/>
            </w:tcMar>
            <w:vAlign w:val="bottom"/>
          </w:tcPr>
          <w:p w14:paraId="4B86CA8D" w14:textId="77777777" w:rsidR="00F349F3" w:rsidRPr="00895810" w:rsidRDefault="00F349F3" w:rsidP="00CF64DF">
            <w:pPr>
              <w:pStyle w:val="TableColHeadsBold"/>
              <w:jc w:val="left"/>
              <w:rPr>
                <w:rFonts w:ascii="IBM Plex Sans Light" w:hAnsi="IBM Plex Sans Light"/>
                <w:color w:val="3D7FE0" w:themeColor="accent1"/>
              </w:rPr>
            </w:pPr>
            <w:r w:rsidRPr="00895810">
              <w:rPr>
                <w:rFonts w:ascii="IBM Plex Sans Light" w:hAnsi="IBM Plex Sans Light"/>
                <w:color w:val="3D7FE0" w:themeColor="accent1"/>
              </w:rPr>
              <w:t xml:space="preserve"> </w:t>
            </w:r>
          </w:p>
        </w:tc>
        <w:tc>
          <w:tcPr>
            <w:tcW w:w="283" w:type="dxa"/>
            <w:tcBorders>
              <w:bottom w:val="single" w:sz="2" w:space="0" w:color="3D7FE0" w:themeColor="accent1"/>
            </w:tcBorders>
            <w:vAlign w:val="bottom"/>
          </w:tcPr>
          <w:p w14:paraId="001D1E08" w14:textId="494A896C" w:rsidR="00F349F3" w:rsidRPr="00895810" w:rsidRDefault="00F349F3" w:rsidP="00CF64DF">
            <w:pPr>
              <w:pStyle w:val="TableColHeadsBold"/>
              <w:jc w:val="left"/>
              <w:rPr>
                <w:rFonts w:ascii="IBM Plex Sans Light" w:hAnsi="IBM Plex Sans Light"/>
                <w:color w:val="3D7FE0" w:themeColor="accent1"/>
              </w:rPr>
            </w:pPr>
          </w:p>
        </w:tc>
        <w:tc>
          <w:tcPr>
            <w:tcW w:w="284" w:type="dxa"/>
            <w:tcBorders>
              <w:bottom w:val="single" w:sz="2" w:space="0" w:color="3D7FE0" w:themeColor="accent1"/>
            </w:tcBorders>
            <w:vAlign w:val="bottom"/>
          </w:tcPr>
          <w:p w14:paraId="0CD40C37" w14:textId="27DA3BD8" w:rsidR="00F349F3" w:rsidRPr="00895810" w:rsidRDefault="00F349F3" w:rsidP="004013D3">
            <w:pPr>
              <w:pStyle w:val="TableFigures"/>
              <w:ind w:left="-107" w:right="-108"/>
              <w:jc w:val="center"/>
              <w:rPr>
                <w:rFonts w:ascii="IBM Plex Sans Light" w:hAnsi="IBM Plex Sans Light"/>
                <w:spacing w:val="-4"/>
                <w:szCs w:val="16"/>
              </w:rPr>
            </w:pPr>
          </w:p>
        </w:tc>
        <w:tc>
          <w:tcPr>
            <w:tcW w:w="424" w:type="dxa"/>
            <w:tcBorders>
              <w:bottom w:val="single" w:sz="2" w:space="0" w:color="3D7FE0" w:themeColor="accent1"/>
            </w:tcBorders>
            <w:tcMar>
              <w:left w:w="0" w:type="dxa"/>
              <w:right w:w="0" w:type="dxa"/>
            </w:tcMar>
            <w:vAlign w:val="bottom"/>
          </w:tcPr>
          <w:p w14:paraId="3DE54FA1" w14:textId="7895EAAD" w:rsidR="00F349F3" w:rsidRPr="00895810" w:rsidRDefault="00F349F3" w:rsidP="00CF64DF">
            <w:pPr>
              <w:pStyle w:val="TableColHeads"/>
              <w:rPr>
                <w:rFonts w:ascii="IBM Plex Sans Light" w:hAnsi="IBM Plex Sans Light"/>
                <w:b/>
                <w:bCs/>
              </w:rPr>
            </w:pPr>
            <w:r w:rsidRPr="00895810">
              <w:rPr>
                <w:rFonts w:ascii="IBM Plex Sans Light" w:hAnsi="IBM Plex Sans Light"/>
                <w:b/>
                <w:bCs/>
              </w:rPr>
              <w:t>Note</w:t>
            </w:r>
          </w:p>
        </w:tc>
        <w:tc>
          <w:tcPr>
            <w:tcW w:w="1134" w:type="dxa"/>
            <w:tcBorders>
              <w:bottom w:val="single" w:sz="2" w:space="0" w:color="3D7FE0" w:themeColor="accent1"/>
            </w:tcBorders>
            <w:tcMar>
              <w:left w:w="0" w:type="dxa"/>
              <w:right w:w="0" w:type="dxa"/>
            </w:tcMar>
            <w:vAlign w:val="bottom"/>
          </w:tcPr>
          <w:p w14:paraId="2DBA3EAA" w14:textId="4A8F7F74" w:rsidR="00F349F3" w:rsidRPr="00895810" w:rsidRDefault="00F349F3" w:rsidP="00946EC3">
            <w:pPr>
              <w:pStyle w:val="TableColHeadsBold"/>
              <w:rPr>
                <w:rFonts w:ascii="IBM Plex Sans Light" w:hAnsi="IBM Plex Sans Light"/>
                <w:color w:val="3D7FE0" w:themeColor="accent1"/>
              </w:rPr>
            </w:pPr>
            <w:r w:rsidRPr="00895810">
              <w:rPr>
                <w:rFonts w:ascii="IBM Plex Sans Light" w:hAnsi="IBM Plex Sans Light"/>
                <w:color w:val="3D7FE0" w:themeColor="accent1"/>
              </w:rPr>
              <w:t>202</w:t>
            </w:r>
            <w:r w:rsidR="00785AC2">
              <w:rPr>
                <w:rFonts w:ascii="IBM Plex Sans Light" w:hAnsi="IBM Plex Sans Light"/>
                <w:color w:val="3D7FE0" w:themeColor="accent1"/>
              </w:rPr>
              <w:t>3</w:t>
            </w:r>
          </w:p>
          <w:p w14:paraId="28ED39C6" w14:textId="2DA454BE" w:rsidR="00F349F3" w:rsidRPr="00895810" w:rsidRDefault="00F349F3" w:rsidP="00946EC3">
            <w:pPr>
              <w:pStyle w:val="TableColHeads"/>
              <w:rPr>
                <w:rFonts w:ascii="IBM Plex Sans Light" w:hAnsi="IBM Plex Sans Light"/>
                <w:b/>
              </w:rPr>
            </w:pPr>
            <w:r w:rsidRPr="00895810">
              <w:rPr>
                <w:rFonts w:ascii="IBM Plex Sans Light" w:hAnsi="IBM Plex Sans Light"/>
                <w:b/>
                <w:color w:val="3D7FE0" w:themeColor="accent1"/>
              </w:rPr>
              <w:t xml:space="preserve">£m </w:t>
            </w:r>
          </w:p>
        </w:tc>
        <w:tc>
          <w:tcPr>
            <w:tcW w:w="1276" w:type="dxa"/>
            <w:tcBorders>
              <w:bottom w:val="single" w:sz="2" w:space="0" w:color="3D7FE0" w:themeColor="accent1"/>
            </w:tcBorders>
            <w:vAlign w:val="bottom"/>
          </w:tcPr>
          <w:p w14:paraId="7437C439" w14:textId="37E3492F" w:rsidR="00F349F3" w:rsidRPr="00895810" w:rsidRDefault="00F349F3" w:rsidP="00785AC2">
            <w:pPr>
              <w:pStyle w:val="TableColHeads"/>
              <w:rPr>
                <w:rFonts w:ascii="IBM Plex Sans Light" w:hAnsi="IBM Plex Sans Light"/>
              </w:rPr>
            </w:pPr>
            <w:r w:rsidRPr="00895810">
              <w:rPr>
                <w:rStyle w:val="Italics"/>
                <w:rFonts w:ascii="IBM Plex Sans Light" w:hAnsi="IBM Plex Sans Light"/>
              </w:rPr>
              <w:t xml:space="preserve"> </w:t>
            </w:r>
            <w:r w:rsidRPr="00895810">
              <w:rPr>
                <w:rFonts w:ascii="IBM Plex Sans Light" w:hAnsi="IBM Plex Sans Light"/>
              </w:rPr>
              <w:t>202</w:t>
            </w:r>
            <w:r w:rsidR="00785AC2">
              <w:rPr>
                <w:rFonts w:ascii="IBM Plex Sans Light" w:hAnsi="IBM Plex Sans Light"/>
              </w:rPr>
              <w:t>2</w:t>
            </w:r>
            <w:r w:rsidRPr="00895810">
              <w:rPr>
                <w:rFonts w:ascii="IBM Plex Sans Light" w:hAnsi="IBM Plex Sans Light"/>
              </w:rPr>
              <w:t xml:space="preserve"> </w:t>
            </w:r>
          </w:p>
          <w:p w14:paraId="597381D2" w14:textId="1A6FC74E" w:rsidR="00F349F3" w:rsidRPr="00895810" w:rsidRDefault="00F349F3" w:rsidP="00946EC3">
            <w:pPr>
              <w:pStyle w:val="TableColHeads"/>
              <w:rPr>
                <w:rStyle w:val="Italics"/>
                <w:rFonts w:ascii="IBM Plex Sans Light" w:hAnsi="IBM Plex Sans Light"/>
              </w:rPr>
            </w:pPr>
            <w:r w:rsidRPr="00895810">
              <w:rPr>
                <w:rFonts w:ascii="IBM Plex Sans Light" w:hAnsi="IBM Plex Sans Light"/>
              </w:rPr>
              <w:t xml:space="preserve">£m </w:t>
            </w:r>
          </w:p>
        </w:tc>
      </w:tr>
      <w:tr w:rsidR="00F349F3" w:rsidRPr="00895810" w14:paraId="5BFE551B" w14:textId="3F482D55" w:rsidTr="00F349F3">
        <w:tc>
          <w:tcPr>
            <w:tcW w:w="6521" w:type="dxa"/>
            <w:tcBorders>
              <w:top w:val="single" w:sz="2" w:space="0" w:color="3D7FE0" w:themeColor="accent1"/>
            </w:tcBorders>
            <w:tcMar>
              <w:left w:w="0" w:type="dxa"/>
              <w:right w:w="0" w:type="dxa"/>
            </w:tcMar>
            <w:vAlign w:val="bottom"/>
          </w:tcPr>
          <w:p w14:paraId="26BA047A" w14:textId="77777777" w:rsidR="00F349F3" w:rsidRPr="00895810" w:rsidRDefault="00F349F3" w:rsidP="00CF64DF">
            <w:pPr>
              <w:spacing w:after="0" w:line="240" w:lineRule="auto"/>
              <w:rPr>
                <w:rFonts w:ascii="IBM Plex Sans Light" w:hAnsi="IBM Plex Sans Light" w:cs="Arial"/>
                <w:color w:val="3D7FE0" w:themeColor="accent1"/>
                <w:szCs w:val="18"/>
              </w:rPr>
            </w:pPr>
          </w:p>
        </w:tc>
        <w:tc>
          <w:tcPr>
            <w:tcW w:w="283" w:type="dxa"/>
            <w:tcBorders>
              <w:top w:val="single" w:sz="2" w:space="0" w:color="3D7FE0" w:themeColor="accent1"/>
            </w:tcBorders>
            <w:vAlign w:val="bottom"/>
          </w:tcPr>
          <w:p w14:paraId="1D7578A9" w14:textId="78A32B1E" w:rsidR="00F349F3" w:rsidRPr="00895810" w:rsidRDefault="00F349F3" w:rsidP="00CF64DF">
            <w:pPr>
              <w:spacing w:after="0" w:line="240" w:lineRule="auto"/>
              <w:rPr>
                <w:rFonts w:ascii="IBM Plex Sans Light" w:hAnsi="IBM Plex Sans Light" w:cs="Arial"/>
                <w:color w:val="3D7FE0" w:themeColor="accent1"/>
                <w:szCs w:val="18"/>
              </w:rPr>
            </w:pPr>
          </w:p>
        </w:tc>
        <w:tc>
          <w:tcPr>
            <w:tcW w:w="284" w:type="dxa"/>
            <w:tcBorders>
              <w:top w:val="single" w:sz="2" w:space="0" w:color="3D7FE0" w:themeColor="accent1"/>
            </w:tcBorders>
            <w:vAlign w:val="bottom"/>
          </w:tcPr>
          <w:p w14:paraId="3BBC9AD3" w14:textId="62ACE260" w:rsidR="00F349F3" w:rsidRPr="00895810" w:rsidRDefault="00F349F3" w:rsidP="004013D3">
            <w:pPr>
              <w:spacing w:after="0" w:line="240" w:lineRule="auto"/>
              <w:jc w:val="center"/>
              <w:rPr>
                <w:rFonts w:ascii="IBM Plex Sans Light" w:hAnsi="IBM Plex Sans Light" w:cs="Arial"/>
                <w:color w:val="3D7FE0" w:themeColor="accent1"/>
                <w:szCs w:val="18"/>
              </w:rPr>
            </w:pPr>
          </w:p>
        </w:tc>
        <w:tc>
          <w:tcPr>
            <w:tcW w:w="424" w:type="dxa"/>
            <w:tcBorders>
              <w:top w:val="single" w:sz="2" w:space="0" w:color="3D7FE0" w:themeColor="accent1"/>
            </w:tcBorders>
            <w:tcMar>
              <w:left w:w="0" w:type="dxa"/>
              <w:right w:w="0" w:type="dxa"/>
            </w:tcMar>
            <w:vAlign w:val="bottom"/>
          </w:tcPr>
          <w:p w14:paraId="4D8C5669" w14:textId="77777777" w:rsidR="00F349F3" w:rsidRPr="00895810" w:rsidRDefault="00F349F3" w:rsidP="00CF64DF">
            <w:pPr>
              <w:spacing w:after="0" w:line="240" w:lineRule="auto"/>
              <w:ind w:right="68"/>
              <w:jc w:val="both"/>
              <w:rPr>
                <w:rFonts w:ascii="IBM Plex Sans Light" w:hAnsi="IBM Plex Sans Light" w:cs="Arial"/>
                <w:szCs w:val="18"/>
              </w:rPr>
            </w:pPr>
          </w:p>
        </w:tc>
        <w:tc>
          <w:tcPr>
            <w:tcW w:w="1134" w:type="dxa"/>
            <w:tcBorders>
              <w:top w:val="single" w:sz="2" w:space="0" w:color="3D7FE0" w:themeColor="accent1"/>
            </w:tcBorders>
            <w:tcMar>
              <w:left w:w="0" w:type="dxa"/>
              <w:right w:w="0" w:type="dxa"/>
            </w:tcMar>
            <w:vAlign w:val="bottom"/>
          </w:tcPr>
          <w:p w14:paraId="1BDBD81B" w14:textId="77777777" w:rsidR="00F349F3" w:rsidRPr="00895810" w:rsidRDefault="00F349F3" w:rsidP="00946EC3">
            <w:pPr>
              <w:spacing w:after="0" w:line="240" w:lineRule="auto"/>
              <w:jc w:val="right"/>
              <w:rPr>
                <w:rFonts w:ascii="IBM Plex Sans Light" w:hAnsi="IBM Plex Sans Light" w:cs="Arial"/>
                <w:szCs w:val="18"/>
              </w:rPr>
            </w:pPr>
          </w:p>
        </w:tc>
        <w:tc>
          <w:tcPr>
            <w:tcW w:w="1276" w:type="dxa"/>
            <w:tcBorders>
              <w:top w:val="single" w:sz="2" w:space="0" w:color="3D7FE0" w:themeColor="accent1"/>
            </w:tcBorders>
            <w:vAlign w:val="bottom"/>
          </w:tcPr>
          <w:p w14:paraId="4EFFD9C3" w14:textId="1C399B48" w:rsidR="00F349F3" w:rsidRPr="00895810" w:rsidRDefault="00F349F3" w:rsidP="00946EC3">
            <w:pPr>
              <w:spacing w:after="0" w:line="240" w:lineRule="auto"/>
              <w:jc w:val="right"/>
              <w:rPr>
                <w:rFonts w:ascii="IBM Plex Sans Light" w:hAnsi="IBM Plex Sans Light" w:cs="Arial"/>
                <w:szCs w:val="18"/>
              </w:rPr>
            </w:pPr>
          </w:p>
        </w:tc>
      </w:tr>
      <w:tr w:rsidR="0055268C" w:rsidRPr="00895810" w14:paraId="375F6505" w14:textId="4851FD68" w:rsidTr="00C577A9">
        <w:tc>
          <w:tcPr>
            <w:tcW w:w="6521" w:type="dxa"/>
            <w:tcBorders>
              <w:bottom w:val="single" w:sz="2" w:space="0" w:color="3D7FE0" w:themeColor="accent1"/>
            </w:tcBorders>
            <w:tcMar>
              <w:left w:w="0" w:type="dxa"/>
              <w:right w:w="0" w:type="dxa"/>
            </w:tcMar>
            <w:vAlign w:val="bottom"/>
          </w:tcPr>
          <w:p w14:paraId="78F8B776" w14:textId="77777777" w:rsidR="0055268C" w:rsidRPr="00895810" w:rsidDel="00432551" w:rsidRDefault="0055268C" w:rsidP="0055268C">
            <w:pPr>
              <w:pStyle w:val="TableFiguresBold"/>
              <w:jc w:val="left"/>
              <w:rPr>
                <w:rFonts w:ascii="IBM Plex Sans Light" w:hAnsi="IBM Plex Sans Light" w:cs="MyriadPro-Light"/>
                <w:color w:val="3D7FE0" w:themeColor="accent1"/>
                <w:spacing w:val="-4"/>
                <w:sz w:val="18"/>
                <w:szCs w:val="18"/>
              </w:rPr>
            </w:pPr>
            <w:r w:rsidRPr="00895810">
              <w:rPr>
                <w:rFonts w:ascii="IBM Plex Sans Light" w:hAnsi="IBM Plex Sans Light"/>
                <w:color w:val="3D7FE0" w:themeColor="accent1"/>
                <w:sz w:val="18"/>
                <w:szCs w:val="18"/>
              </w:rPr>
              <w:t>Revenue</w:t>
            </w:r>
          </w:p>
        </w:tc>
        <w:tc>
          <w:tcPr>
            <w:tcW w:w="283" w:type="dxa"/>
            <w:tcBorders>
              <w:bottom w:val="single" w:sz="2" w:space="0" w:color="3D7FE0" w:themeColor="accent1"/>
            </w:tcBorders>
            <w:vAlign w:val="bottom"/>
          </w:tcPr>
          <w:p w14:paraId="51025CBF" w14:textId="7E196319" w:rsidR="0055268C" w:rsidRPr="00895810" w:rsidDel="00432551" w:rsidRDefault="0055268C" w:rsidP="0055268C">
            <w:pPr>
              <w:pStyle w:val="TableFiguresBold"/>
              <w:jc w:val="left"/>
              <w:rPr>
                <w:rFonts w:ascii="IBM Plex Sans Light" w:hAnsi="IBM Plex Sans Light" w:cs="MyriadPro-Light"/>
                <w:b w:val="0"/>
                <w:bCs w:val="0"/>
                <w:color w:val="3D7FE0" w:themeColor="accent1"/>
                <w:spacing w:val="-4"/>
                <w:sz w:val="18"/>
                <w:szCs w:val="18"/>
              </w:rPr>
            </w:pPr>
          </w:p>
        </w:tc>
        <w:tc>
          <w:tcPr>
            <w:tcW w:w="284" w:type="dxa"/>
            <w:tcBorders>
              <w:bottom w:val="single" w:sz="2" w:space="0" w:color="3D7FE0" w:themeColor="accent1"/>
            </w:tcBorders>
            <w:vAlign w:val="bottom"/>
          </w:tcPr>
          <w:p w14:paraId="63E8C459" w14:textId="1C826250" w:rsidR="0055268C" w:rsidRPr="00895810" w:rsidDel="00432551" w:rsidRDefault="0055268C" w:rsidP="0055268C">
            <w:pPr>
              <w:pStyle w:val="TableFiguresBold"/>
              <w:jc w:val="center"/>
              <w:rPr>
                <w:rFonts w:ascii="IBM Plex Sans Light" w:hAnsi="IBM Plex Sans Light" w:cs="MyriadPro-Light"/>
                <w:color w:val="3D7FE0" w:themeColor="accent1"/>
                <w:spacing w:val="-4"/>
                <w:sz w:val="18"/>
                <w:szCs w:val="18"/>
              </w:rPr>
            </w:pPr>
          </w:p>
        </w:tc>
        <w:tc>
          <w:tcPr>
            <w:tcW w:w="424" w:type="dxa"/>
            <w:tcBorders>
              <w:bottom w:val="single" w:sz="2" w:space="0" w:color="3D7FE0" w:themeColor="accent1"/>
            </w:tcBorders>
            <w:tcMar>
              <w:left w:w="0" w:type="dxa"/>
              <w:right w:w="0" w:type="dxa"/>
            </w:tcMar>
            <w:vAlign w:val="bottom"/>
          </w:tcPr>
          <w:p w14:paraId="73C17BD8" w14:textId="7969D700" w:rsidR="0055268C" w:rsidRPr="00895810" w:rsidRDefault="0055268C" w:rsidP="0055268C">
            <w:pPr>
              <w:pStyle w:val="TableFigures"/>
              <w:rPr>
                <w:rFonts w:ascii="IBM Plex Sans Light" w:hAnsi="IBM Plex Sans Light"/>
                <w:szCs w:val="16"/>
              </w:rPr>
            </w:pPr>
            <w:r>
              <w:rPr>
                <w:rFonts w:ascii="IBM Plex Sans Light" w:hAnsi="IBM Plex Sans Light"/>
                <w:spacing w:val="-4"/>
                <w:szCs w:val="16"/>
              </w:rPr>
              <w:t>2,</w:t>
            </w:r>
            <w:r w:rsidRPr="00895810">
              <w:rPr>
                <w:rFonts w:ascii="IBM Plex Sans Light" w:hAnsi="IBM Plex Sans Light"/>
                <w:spacing w:val="-4"/>
                <w:szCs w:val="16"/>
              </w:rPr>
              <w:t>4</w:t>
            </w:r>
          </w:p>
        </w:tc>
        <w:tc>
          <w:tcPr>
            <w:tcW w:w="1134" w:type="dxa"/>
            <w:tcBorders>
              <w:bottom w:val="single" w:sz="2" w:space="0" w:color="3D7FE0" w:themeColor="accent1"/>
            </w:tcBorders>
            <w:shd w:val="clear" w:color="auto" w:fill="auto"/>
            <w:tcMar>
              <w:left w:w="0" w:type="dxa"/>
              <w:right w:w="0" w:type="dxa"/>
            </w:tcMar>
          </w:tcPr>
          <w:p w14:paraId="60B914CA" w14:textId="5B215602" w:rsidR="0055268C" w:rsidRPr="00263AE1" w:rsidDel="00432551" w:rsidRDefault="0055268C" w:rsidP="0055268C">
            <w:pPr>
              <w:pStyle w:val="TableFigures"/>
              <w:rPr>
                <w:rFonts w:ascii="IBM Plex Sans Medium" w:hAnsi="IBM Plex Sans Medium"/>
                <w:b/>
                <w:bCs/>
                <w:color w:val="3D7FE0" w:themeColor="accent1"/>
                <w:spacing w:val="-4"/>
                <w:sz w:val="18"/>
              </w:rPr>
            </w:pPr>
            <w:r w:rsidRPr="00263AE1">
              <w:rPr>
                <w:rFonts w:ascii="IBM Plex Sans Medium" w:hAnsi="IBM Plex Sans Medium"/>
                <w:b/>
                <w:bCs/>
                <w:color w:val="3D7FE0" w:themeColor="accent1"/>
                <w:spacing w:val="-4"/>
                <w:sz w:val="18"/>
              </w:rPr>
              <w:t xml:space="preserve"> 134.3 </w:t>
            </w:r>
          </w:p>
        </w:tc>
        <w:tc>
          <w:tcPr>
            <w:tcW w:w="1276" w:type="dxa"/>
            <w:tcBorders>
              <w:bottom w:val="single" w:sz="2" w:space="0" w:color="3D7FE0" w:themeColor="accent1"/>
            </w:tcBorders>
            <w:vAlign w:val="bottom"/>
          </w:tcPr>
          <w:p w14:paraId="0C736A62" w14:textId="29D0F120" w:rsidR="0055268C" w:rsidRPr="00895810" w:rsidRDefault="0055268C" w:rsidP="0055268C">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1</w:t>
            </w:r>
            <w:r>
              <w:rPr>
                <w:rFonts w:ascii="IBM Plex Sans Light" w:hAnsi="IBM Plex Sans Light"/>
                <w:color w:val="auto"/>
                <w:spacing w:val="-4"/>
                <w:sz w:val="18"/>
                <w:szCs w:val="18"/>
              </w:rPr>
              <w:t>31.4</w:t>
            </w:r>
          </w:p>
        </w:tc>
      </w:tr>
      <w:tr w:rsidR="0055268C" w:rsidRPr="00895810" w14:paraId="7A84ECBA" w14:textId="77777777" w:rsidTr="00C577A9">
        <w:tc>
          <w:tcPr>
            <w:tcW w:w="6521" w:type="dxa"/>
            <w:tcBorders>
              <w:top w:val="single" w:sz="2" w:space="0" w:color="3D7FE0" w:themeColor="accent1"/>
            </w:tcBorders>
            <w:tcMar>
              <w:left w:w="0" w:type="dxa"/>
              <w:right w:w="0" w:type="dxa"/>
            </w:tcMar>
            <w:vAlign w:val="bottom"/>
          </w:tcPr>
          <w:p w14:paraId="29062AF7" w14:textId="77777777" w:rsidR="0055268C" w:rsidRPr="00895810" w:rsidRDefault="0055268C" w:rsidP="0055268C">
            <w:pPr>
              <w:pStyle w:val="TableFiguresBold"/>
              <w:ind w:left="142" w:right="0" w:hanging="142"/>
              <w:jc w:val="left"/>
              <w:rPr>
                <w:rFonts w:ascii="IBM Plex Sans Light" w:hAnsi="IBM Plex Sans Light"/>
                <w:color w:val="3D7FE0" w:themeColor="accent1"/>
                <w:spacing w:val="-4"/>
                <w:sz w:val="18"/>
                <w:szCs w:val="18"/>
              </w:rPr>
            </w:pPr>
          </w:p>
        </w:tc>
        <w:tc>
          <w:tcPr>
            <w:tcW w:w="283" w:type="dxa"/>
            <w:tcBorders>
              <w:top w:val="single" w:sz="2" w:space="0" w:color="3D7FE0" w:themeColor="accent1"/>
            </w:tcBorders>
            <w:vAlign w:val="bottom"/>
          </w:tcPr>
          <w:p w14:paraId="5D09CBCC" w14:textId="66DC35BB" w:rsidR="0055268C" w:rsidRPr="00895810" w:rsidRDefault="0055268C" w:rsidP="0055268C">
            <w:pPr>
              <w:pStyle w:val="TableFiguresBold"/>
              <w:ind w:left="142" w:right="0" w:hanging="142"/>
              <w:jc w:val="left"/>
              <w:rPr>
                <w:rFonts w:ascii="IBM Plex Sans Light" w:hAnsi="IBM Plex Sans Light"/>
                <w:b w:val="0"/>
                <w:bCs w:val="0"/>
                <w:color w:val="3D7FE0" w:themeColor="accent1"/>
                <w:spacing w:val="-4"/>
                <w:sz w:val="18"/>
                <w:szCs w:val="18"/>
              </w:rPr>
            </w:pPr>
          </w:p>
        </w:tc>
        <w:tc>
          <w:tcPr>
            <w:tcW w:w="284" w:type="dxa"/>
            <w:tcBorders>
              <w:top w:val="single" w:sz="2" w:space="0" w:color="3D7FE0" w:themeColor="accent1"/>
            </w:tcBorders>
            <w:vAlign w:val="bottom"/>
          </w:tcPr>
          <w:p w14:paraId="5BDC4852" w14:textId="77777777" w:rsidR="0055268C" w:rsidRPr="00895810" w:rsidRDefault="0055268C" w:rsidP="0055268C">
            <w:pPr>
              <w:pStyle w:val="TableFigures"/>
              <w:ind w:left="-107" w:right="-108"/>
              <w:jc w:val="center"/>
              <w:rPr>
                <w:rFonts w:ascii="IBM Plex Sans Light" w:hAnsi="IBM Plex Sans Light"/>
                <w:spacing w:val="-4"/>
                <w:szCs w:val="16"/>
              </w:rPr>
            </w:pPr>
          </w:p>
        </w:tc>
        <w:tc>
          <w:tcPr>
            <w:tcW w:w="424" w:type="dxa"/>
            <w:tcBorders>
              <w:top w:val="single" w:sz="2" w:space="0" w:color="3D7FE0" w:themeColor="accent1"/>
            </w:tcBorders>
            <w:tcMar>
              <w:left w:w="0" w:type="dxa"/>
              <w:right w:w="0" w:type="dxa"/>
            </w:tcMar>
            <w:vAlign w:val="bottom"/>
          </w:tcPr>
          <w:p w14:paraId="2CCF4B41" w14:textId="77777777" w:rsidR="0055268C" w:rsidRPr="00895810" w:rsidRDefault="0055268C" w:rsidP="0055268C">
            <w:pPr>
              <w:pStyle w:val="TableFigures"/>
              <w:rPr>
                <w:rFonts w:ascii="IBM Plex Sans Light" w:hAnsi="IBM Plex Sans Light"/>
                <w:spacing w:val="-4"/>
                <w:szCs w:val="16"/>
              </w:rPr>
            </w:pPr>
          </w:p>
        </w:tc>
        <w:tc>
          <w:tcPr>
            <w:tcW w:w="1134" w:type="dxa"/>
            <w:tcBorders>
              <w:top w:val="single" w:sz="2" w:space="0" w:color="3D7FE0" w:themeColor="accent1"/>
            </w:tcBorders>
            <w:shd w:val="clear" w:color="auto" w:fill="auto"/>
            <w:tcMar>
              <w:left w:w="0" w:type="dxa"/>
              <w:right w:w="0" w:type="dxa"/>
            </w:tcMar>
          </w:tcPr>
          <w:p w14:paraId="2786D1CF" w14:textId="77777777" w:rsidR="0055268C" w:rsidRPr="0055268C" w:rsidRDefault="0055268C" w:rsidP="0055268C">
            <w:pPr>
              <w:pStyle w:val="TableFigures"/>
              <w:rPr>
                <w:rFonts w:ascii="IBM Plex Sans Medium" w:hAnsi="IBM Plex Sans Medium"/>
                <w:b/>
                <w:bCs/>
                <w:color w:val="3D7FE0" w:themeColor="accent1"/>
                <w:spacing w:val="-4"/>
                <w:sz w:val="18"/>
                <w:szCs w:val="18"/>
              </w:rPr>
            </w:pPr>
          </w:p>
        </w:tc>
        <w:tc>
          <w:tcPr>
            <w:tcW w:w="1276" w:type="dxa"/>
            <w:tcBorders>
              <w:top w:val="single" w:sz="2" w:space="0" w:color="3D7FE0" w:themeColor="accent1"/>
            </w:tcBorders>
            <w:vAlign w:val="bottom"/>
          </w:tcPr>
          <w:p w14:paraId="7A2BB9D4" w14:textId="77777777" w:rsidR="0055268C" w:rsidRPr="00895810" w:rsidRDefault="0055268C" w:rsidP="0055268C">
            <w:pPr>
              <w:pStyle w:val="TableFigures"/>
              <w:rPr>
                <w:rFonts w:ascii="IBM Plex Sans Light" w:hAnsi="IBM Plex Sans Light"/>
                <w:color w:val="auto"/>
                <w:spacing w:val="-4"/>
                <w:sz w:val="18"/>
                <w:szCs w:val="18"/>
              </w:rPr>
            </w:pPr>
          </w:p>
        </w:tc>
      </w:tr>
      <w:tr w:rsidR="0055268C" w:rsidRPr="00895810" w14:paraId="6B46CE6B" w14:textId="42C4DEC9" w:rsidTr="00C577A9">
        <w:tc>
          <w:tcPr>
            <w:tcW w:w="6521" w:type="dxa"/>
            <w:tcMar>
              <w:left w:w="0" w:type="dxa"/>
              <w:right w:w="0" w:type="dxa"/>
            </w:tcMar>
            <w:vAlign w:val="bottom"/>
          </w:tcPr>
          <w:p w14:paraId="664E59E9" w14:textId="4F5E6D59" w:rsidR="0055268C" w:rsidRPr="00895810" w:rsidRDefault="0055268C" w:rsidP="0055268C">
            <w:pPr>
              <w:pStyle w:val="TableFiguresBold"/>
              <w:ind w:left="142" w:right="0" w:hanging="142"/>
              <w:jc w:val="left"/>
              <w:rPr>
                <w:rFonts w:ascii="IBM Plex Sans Light" w:hAnsi="IBM Plex Sans Light" w:cs="MyriadPro-Light"/>
                <w:color w:val="3D7FE0" w:themeColor="accent1"/>
                <w:spacing w:val="-4"/>
                <w:sz w:val="18"/>
                <w:szCs w:val="18"/>
              </w:rPr>
            </w:pPr>
            <w:r w:rsidRPr="00895810">
              <w:rPr>
                <w:rFonts w:ascii="IBM Plex Sans Light" w:hAnsi="IBM Plex Sans Light"/>
                <w:color w:val="3D7FE0" w:themeColor="accent1"/>
                <w:spacing w:val="-4"/>
                <w:sz w:val="18"/>
                <w:szCs w:val="18"/>
              </w:rPr>
              <w:t>Profit from operating activities</w:t>
            </w:r>
            <w:r w:rsidR="00C419BA">
              <w:rPr>
                <w:rFonts w:ascii="IBM Plex Sans Light" w:hAnsi="IBM Plex Sans Light"/>
                <w:color w:val="3D7FE0" w:themeColor="accent1"/>
                <w:spacing w:val="-4"/>
                <w:sz w:val="18"/>
                <w:szCs w:val="18"/>
              </w:rPr>
              <w:t>*</w:t>
            </w:r>
          </w:p>
        </w:tc>
        <w:tc>
          <w:tcPr>
            <w:tcW w:w="283" w:type="dxa"/>
            <w:vAlign w:val="bottom"/>
          </w:tcPr>
          <w:p w14:paraId="0F6E7B71" w14:textId="2EFBADBE" w:rsidR="0055268C" w:rsidRPr="00895810" w:rsidRDefault="0055268C" w:rsidP="0055268C">
            <w:pPr>
              <w:pStyle w:val="TableFiguresBold"/>
              <w:ind w:left="142" w:right="0" w:hanging="142"/>
              <w:jc w:val="left"/>
              <w:rPr>
                <w:rFonts w:ascii="IBM Plex Sans Light" w:hAnsi="IBM Plex Sans Light" w:cs="MyriadPro-Light"/>
                <w:b w:val="0"/>
                <w:bCs w:val="0"/>
                <w:color w:val="3D7FE0" w:themeColor="accent1"/>
                <w:spacing w:val="-4"/>
                <w:sz w:val="18"/>
                <w:szCs w:val="18"/>
              </w:rPr>
            </w:pPr>
          </w:p>
        </w:tc>
        <w:tc>
          <w:tcPr>
            <w:tcW w:w="284" w:type="dxa"/>
            <w:vAlign w:val="bottom"/>
          </w:tcPr>
          <w:p w14:paraId="60DCF287" w14:textId="6020249C" w:rsidR="0055268C" w:rsidRPr="00895810" w:rsidRDefault="0055268C" w:rsidP="0055268C">
            <w:pPr>
              <w:pStyle w:val="TableFigures"/>
              <w:ind w:left="-107" w:right="-108"/>
              <w:jc w:val="center"/>
              <w:rPr>
                <w:rFonts w:ascii="IBM Plex Sans Light" w:hAnsi="IBM Plex Sans Light"/>
                <w:spacing w:val="-4"/>
                <w:szCs w:val="16"/>
              </w:rPr>
            </w:pPr>
          </w:p>
        </w:tc>
        <w:tc>
          <w:tcPr>
            <w:tcW w:w="424" w:type="dxa"/>
            <w:tcMar>
              <w:left w:w="0" w:type="dxa"/>
              <w:right w:w="0" w:type="dxa"/>
            </w:tcMar>
            <w:vAlign w:val="bottom"/>
          </w:tcPr>
          <w:p w14:paraId="17510C86" w14:textId="3609483F" w:rsidR="0055268C" w:rsidRPr="00895810" w:rsidRDefault="0055268C" w:rsidP="0055268C">
            <w:pPr>
              <w:pStyle w:val="TableFigures"/>
              <w:rPr>
                <w:rFonts w:ascii="IBM Plex Sans Light" w:hAnsi="IBM Plex Sans Light"/>
                <w:spacing w:val="-4"/>
                <w:szCs w:val="16"/>
              </w:rPr>
            </w:pPr>
            <w:r w:rsidRPr="00895810">
              <w:rPr>
                <w:rFonts w:ascii="IBM Plex Sans Light" w:hAnsi="IBM Plex Sans Light"/>
                <w:spacing w:val="-4"/>
                <w:szCs w:val="16"/>
              </w:rPr>
              <w:t>2</w:t>
            </w:r>
          </w:p>
        </w:tc>
        <w:tc>
          <w:tcPr>
            <w:tcW w:w="1134" w:type="dxa"/>
            <w:shd w:val="clear" w:color="auto" w:fill="auto"/>
            <w:tcMar>
              <w:left w:w="0" w:type="dxa"/>
              <w:right w:w="0" w:type="dxa"/>
            </w:tcMar>
          </w:tcPr>
          <w:p w14:paraId="1B5A1E3D" w14:textId="28ED793F" w:rsidR="0055268C" w:rsidRPr="0055268C" w:rsidRDefault="0055268C" w:rsidP="0055268C">
            <w:pPr>
              <w:pStyle w:val="TableFigure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26.2 </w:t>
            </w:r>
          </w:p>
        </w:tc>
        <w:tc>
          <w:tcPr>
            <w:tcW w:w="1276" w:type="dxa"/>
            <w:vAlign w:val="bottom"/>
          </w:tcPr>
          <w:p w14:paraId="15A38CCE" w14:textId="511A0528" w:rsidR="0055268C" w:rsidRPr="00895810" w:rsidRDefault="0055268C" w:rsidP="0055268C">
            <w:pPr>
              <w:pStyle w:val="TableFigures"/>
              <w:rPr>
                <w:rFonts w:ascii="IBM Plex Sans Light" w:hAnsi="IBM Plex Sans Light"/>
                <w:color w:val="auto"/>
                <w:spacing w:val="-4"/>
                <w:sz w:val="18"/>
              </w:rPr>
            </w:pPr>
            <w:r>
              <w:rPr>
                <w:rFonts w:ascii="IBM Plex Sans Light" w:hAnsi="IBM Plex Sans Light"/>
                <w:color w:val="auto"/>
                <w:spacing w:val="-4"/>
                <w:sz w:val="18"/>
              </w:rPr>
              <w:t>29.7</w:t>
            </w:r>
            <w:r w:rsidRPr="00895810">
              <w:rPr>
                <w:rFonts w:ascii="IBM Plex Sans Light" w:hAnsi="IBM Plex Sans Light"/>
                <w:color w:val="auto"/>
                <w:spacing w:val="-4"/>
                <w:sz w:val="18"/>
              </w:rPr>
              <w:t xml:space="preserve"> </w:t>
            </w:r>
          </w:p>
        </w:tc>
      </w:tr>
      <w:tr w:rsidR="0055268C" w:rsidRPr="00895810" w14:paraId="14E8D1B3" w14:textId="3E5D6EC3" w:rsidTr="00C577A9">
        <w:trPr>
          <w:trHeight w:hRule="exact" w:val="159"/>
        </w:trPr>
        <w:tc>
          <w:tcPr>
            <w:tcW w:w="6521" w:type="dxa"/>
            <w:tcMar>
              <w:left w:w="0" w:type="dxa"/>
              <w:right w:w="0" w:type="dxa"/>
            </w:tcMar>
            <w:vAlign w:val="bottom"/>
          </w:tcPr>
          <w:p w14:paraId="13622EF7" w14:textId="77777777" w:rsidR="0055268C" w:rsidRPr="00895810" w:rsidRDefault="0055268C" w:rsidP="0055268C">
            <w:pPr>
              <w:pStyle w:val="TableFiguresBold"/>
              <w:jc w:val="left"/>
              <w:rPr>
                <w:rFonts w:ascii="IBM Plex Sans Light" w:hAnsi="IBM Plex Sans Light"/>
                <w:b w:val="0"/>
                <w:color w:val="3D7FE0" w:themeColor="accent1"/>
                <w:spacing w:val="-4"/>
                <w:sz w:val="18"/>
                <w:szCs w:val="18"/>
              </w:rPr>
            </w:pPr>
          </w:p>
        </w:tc>
        <w:tc>
          <w:tcPr>
            <w:tcW w:w="283" w:type="dxa"/>
            <w:vAlign w:val="bottom"/>
          </w:tcPr>
          <w:p w14:paraId="67B0F01B" w14:textId="4A5754EF" w:rsidR="0055268C" w:rsidRPr="00895810" w:rsidRDefault="0055268C" w:rsidP="0055268C">
            <w:pPr>
              <w:pStyle w:val="TableFiguresBold"/>
              <w:jc w:val="left"/>
              <w:rPr>
                <w:rFonts w:ascii="IBM Plex Sans Light" w:hAnsi="IBM Plex Sans Light"/>
                <w:b w:val="0"/>
                <w:bCs w:val="0"/>
                <w:color w:val="3D7FE0" w:themeColor="accent1"/>
                <w:spacing w:val="-4"/>
                <w:sz w:val="18"/>
                <w:szCs w:val="18"/>
              </w:rPr>
            </w:pPr>
          </w:p>
        </w:tc>
        <w:tc>
          <w:tcPr>
            <w:tcW w:w="284" w:type="dxa"/>
            <w:vAlign w:val="bottom"/>
          </w:tcPr>
          <w:p w14:paraId="49002419" w14:textId="16B2E2BB" w:rsidR="0055268C" w:rsidRPr="00895810" w:rsidRDefault="0055268C" w:rsidP="0055268C">
            <w:pPr>
              <w:pStyle w:val="TableFiguresBold"/>
              <w:jc w:val="center"/>
              <w:rPr>
                <w:rFonts w:ascii="IBM Plex Sans Light" w:hAnsi="IBM Plex Sans Light"/>
                <w:b w:val="0"/>
                <w:color w:val="3D7FE0" w:themeColor="accent1"/>
                <w:spacing w:val="-4"/>
                <w:sz w:val="18"/>
                <w:szCs w:val="18"/>
              </w:rPr>
            </w:pPr>
          </w:p>
        </w:tc>
        <w:tc>
          <w:tcPr>
            <w:tcW w:w="424" w:type="dxa"/>
            <w:tcMar>
              <w:left w:w="0" w:type="dxa"/>
              <w:right w:w="0" w:type="dxa"/>
            </w:tcMar>
            <w:vAlign w:val="bottom"/>
          </w:tcPr>
          <w:p w14:paraId="2575A248" w14:textId="77777777" w:rsidR="0055268C" w:rsidRPr="00895810" w:rsidRDefault="0055268C" w:rsidP="0055268C">
            <w:pPr>
              <w:pStyle w:val="TableFigures"/>
              <w:rPr>
                <w:rFonts w:ascii="IBM Plex Sans Light" w:hAnsi="IBM Plex Sans Light"/>
                <w:szCs w:val="16"/>
              </w:rPr>
            </w:pPr>
          </w:p>
        </w:tc>
        <w:tc>
          <w:tcPr>
            <w:tcW w:w="1134" w:type="dxa"/>
            <w:shd w:val="clear" w:color="auto" w:fill="auto"/>
            <w:tcMar>
              <w:left w:w="0" w:type="dxa"/>
              <w:right w:w="0" w:type="dxa"/>
            </w:tcMar>
          </w:tcPr>
          <w:p w14:paraId="2CDF7DC6" w14:textId="77777777" w:rsidR="0055268C" w:rsidRPr="0055268C" w:rsidRDefault="0055268C" w:rsidP="0055268C">
            <w:pPr>
              <w:pStyle w:val="TableFigures"/>
              <w:rPr>
                <w:rFonts w:ascii="IBM Plex Sans Medium" w:hAnsi="IBM Plex Sans Medium"/>
                <w:b/>
                <w:bCs/>
                <w:color w:val="3D7FE0" w:themeColor="accent1"/>
                <w:spacing w:val="-4"/>
                <w:sz w:val="18"/>
                <w:szCs w:val="18"/>
              </w:rPr>
            </w:pPr>
          </w:p>
        </w:tc>
        <w:tc>
          <w:tcPr>
            <w:tcW w:w="1276" w:type="dxa"/>
            <w:vAlign w:val="bottom"/>
          </w:tcPr>
          <w:p w14:paraId="216F03F6" w14:textId="06EBDE67" w:rsidR="0055268C" w:rsidRPr="00895810" w:rsidRDefault="0055268C" w:rsidP="0055268C">
            <w:pPr>
              <w:pStyle w:val="TableFigures"/>
              <w:rPr>
                <w:rFonts w:ascii="IBM Plex Sans Light" w:hAnsi="IBM Plex Sans Light"/>
                <w:color w:val="auto"/>
                <w:spacing w:val="-4"/>
                <w:sz w:val="18"/>
                <w:szCs w:val="18"/>
              </w:rPr>
            </w:pPr>
          </w:p>
        </w:tc>
      </w:tr>
      <w:tr w:rsidR="0055268C" w:rsidRPr="00895810" w14:paraId="799D4A1F" w14:textId="77777777" w:rsidTr="00C577A9">
        <w:tc>
          <w:tcPr>
            <w:tcW w:w="6521" w:type="dxa"/>
            <w:tcMar>
              <w:left w:w="0" w:type="dxa"/>
              <w:right w:w="0" w:type="dxa"/>
            </w:tcMar>
            <w:vAlign w:val="bottom"/>
          </w:tcPr>
          <w:p w14:paraId="60DAF0DE" w14:textId="77777777" w:rsidR="0055268C" w:rsidRPr="00895810" w:rsidRDefault="0055268C" w:rsidP="0055268C">
            <w:pPr>
              <w:pStyle w:val="TableFiguresBrackets"/>
              <w:jc w:val="left"/>
              <w:rPr>
                <w:rFonts w:ascii="IBM Plex Sans Light" w:hAnsi="IBM Plex Sans Light" w:cs="Arial"/>
                <w:sz w:val="18"/>
                <w:szCs w:val="18"/>
              </w:rPr>
            </w:pPr>
            <w:r w:rsidRPr="00895810">
              <w:rPr>
                <w:rFonts w:ascii="IBM Plex Sans Light" w:hAnsi="IBM Plex Sans Light" w:cs="Arial"/>
                <w:sz w:val="18"/>
                <w:szCs w:val="18"/>
              </w:rPr>
              <w:t>Revaluation loss on properties</w:t>
            </w:r>
          </w:p>
        </w:tc>
        <w:tc>
          <w:tcPr>
            <w:tcW w:w="283" w:type="dxa"/>
            <w:vAlign w:val="bottom"/>
          </w:tcPr>
          <w:p w14:paraId="28B08389" w14:textId="08452F03" w:rsidR="0055268C" w:rsidRPr="00895810" w:rsidRDefault="0055268C" w:rsidP="0055268C">
            <w:pPr>
              <w:pStyle w:val="TableFiguresBrackets"/>
              <w:jc w:val="left"/>
              <w:rPr>
                <w:rFonts w:ascii="IBM Plex Sans Light" w:hAnsi="IBM Plex Sans Light" w:cs="Arial"/>
                <w:sz w:val="18"/>
                <w:szCs w:val="18"/>
              </w:rPr>
            </w:pPr>
          </w:p>
        </w:tc>
        <w:tc>
          <w:tcPr>
            <w:tcW w:w="284" w:type="dxa"/>
            <w:vAlign w:val="bottom"/>
          </w:tcPr>
          <w:p w14:paraId="22B710FD" w14:textId="0F96D686" w:rsidR="0055268C" w:rsidRPr="00895810" w:rsidRDefault="0055268C" w:rsidP="0055268C">
            <w:pPr>
              <w:pStyle w:val="TableFiguresBrackets"/>
              <w:jc w:val="center"/>
              <w:rPr>
                <w:rFonts w:ascii="IBM Plex Sans Light" w:hAnsi="IBM Plex Sans Light" w:cs="Arial"/>
                <w:sz w:val="18"/>
                <w:szCs w:val="18"/>
              </w:rPr>
            </w:pPr>
          </w:p>
        </w:tc>
        <w:tc>
          <w:tcPr>
            <w:tcW w:w="424" w:type="dxa"/>
            <w:tcMar>
              <w:left w:w="0" w:type="dxa"/>
              <w:right w:w="0" w:type="dxa"/>
            </w:tcMar>
            <w:vAlign w:val="bottom"/>
          </w:tcPr>
          <w:p w14:paraId="64138510" w14:textId="289DF51E" w:rsidR="0055268C" w:rsidRPr="00895810" w:rsidRDefault="0055268C" w:rsidP="0055268C">
            <w:pPr>
              <w:pStyle w:val="TableFigures"/>
              <w:rPr>
                <w:rFonts w:ascii="IBM Plex Sans Light" w:hAnsi="IBM Plex Sans Light"/>
                <w:szCs w:val="16"/>
              </w:rPr>
            </w:pPr>
            <w:r>
              <w:rPr>
                <w:rFonts w:ascii="IBM Plex Sans Light" w:hAnsi="IBM Plex Sans Light"/>
                <w:szCs w:val="16"/>
              </w:rPr>
              <w:t>2</w:t>
            </w:r>
          </w:p>
        </w:tc>
        <w:tc>
          <w:tcPr>
            <w:tcW w:w="1134" w:type="dxa"/>
            <w:shd w:val="clear" w:color="auto" w:fill="auto"/>
            <w:tcMar>
              <w:left w:w="0" w:type="dxa"/>
              <w:right w:w="0" w:type="dxa"/>
            </w:tcMar>
          </w:tcPr>
          <w:p w14:paraId="5BE497C5" w14:textId="39513CA8"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(45.2)</w:t>
            </w:r>
          </w:p>
        </w:tc>
        <w:tc>
          <w:tcPr>
            <w:tcW w:w="1276" w:type="dxa"/>
            <w:vAlign w:val="bottom"/>
          </w:tcPr>
          <w:p w14:paraId="56CFB69B" w14:textId="197CA8F2" w:rsidR="0055268C" w:rsidRPr="00895810" w:rsidRDefault="0055268C" w:rsidP="0055268C">
            <w:pPr>
              <w:pStyle w:val="TableFiguresBrackets"/>
              <w:rPr>
                <w:rFonts w:ascii="IBM Plex Sans Light" w:hAnsi="IBM Plex Sans Light"/>
                <w:color w:val="auto"/>
                <w:spacing w:val="-4"/>
                <w:sz w:val="18"/>
              </w:rPr>
            </w:pPr>
            <w:r w:rsidRPr="00895810">
              <w:rPr>
                <w:rFonts w:ascii="IBM Plex Sans Light" w:hAnsi="IBM Plex Sans Light"/>
                <w:color w:val="auto"/>
                <w:spacing w:val="-4"/>
                <w:sz w:val="18"/>
              </w:rPr>
              <w:t>(</w:t>
            </w:r>
            <w:r>
              <w:rPr>
                <w:rFonts w:ascii="IBM Plex Sans Light" w:hAnsi="IBM Plex Sans Light"/>
                <w:color w:val="auto"/>
                <w:spacing w:val="-4"/>
                <w:sz w:val="18"/>
              </w:rPr>
              <w:t>82.7</w:t>
            </w:r>
            <w:r w:rsidRPr="00895810">
              <w:rPr>
                <w:rFonts w:ascii="IBM Plex Sans Light" w:hAnsi="IBM Plex Sans Light"/>
                <w:color w:val="auto"/>
                <w:spacing w:val="-4"/>
                <w:sz w:val="18"/>
              </w:rPr>
              <w:t>)</w:t>
            </w:r>
          </w:p>
        </w:tc>
      </w:tr>
      <w:tr w:rsidR="0055268C" w:rsidRPr="00895810" w14:paraId="74294F9F" w14:textId="19CBE22B" w:rsidTr="00C577A9">
        <w:tc>
          <w:tcPr>
            <w:tcW w:w="6521" w:type="dxa"/>
            <w:tcMar>
              <w:left w:w="0" w:type="dxa"/>
              <w:right w:w="0" w:type="dxa"/>
            </w:tcMar>
            <w:vAlign w:val="bottom"/>
          </w:tcPr>
          <w:p w14:paraId="29B7975D" w14:textId="77777777" w:rsidR="0055268C" w:rsidRPr="00895810" w:rsidRDefault="0055268C" w:rsidP="0055268C">
            <w:pPr>
              <w:pStyle w:val="TableFiguresBrackets"/>
              <w:jc w:val="left"/>
              <w:rPr>
                <w:rFonts w:ascii="IBM Plex Sans Light" w:hAnsi="IBM Plex Sans Light" w:cs="MyriadPro-Light"/>
                <w:color w:val="3D7FE0" w:themeColor="accent1"/>
                <w:spacing w:val="-4"/>
                <w:sz w:val="18"/>
                <w:szCs w:val="18"/>
              </w:rPr>
            </w:pPr>
            <w:r w:rsidRPr="00895810">
              <w:rPr>
                <w:rFonts w:ascii="IBM Plex Sans Light" w:hAnsi="IBM Plex Sans Light" w:cs="Arial"/>
                <w:sz w:val="18"/>
                <w:szCs w:val="18"/>
              </w:rPr>
              <w:t xml:space="preserve">Other net gains </w:t>
            </w:r>
          </w:p>
        </w:tc>
        <w:tc>
          <w:tcPr>
            <w:tcW w:w="283" w:type="dxa"/>
            <w:vAlign w:val="bottom"/>
          </w:tcPr>
          <w:p w14:paraId="503EAD9A" w14:textId="4B0569C5" w:rsidR="0055268C" w:rsidRPr="00895810" w:rsidRDefault="0055268C" w:rsidP="0055268C">
            <w:pPr>
              <w:pStyle w:val="TableFiguresBrackets"/>
              <w:jc w:val="left"/>
              <w:rPr>
                <w:rFonts w:ascii="IBM Plex Sans Light" w:hAnsi="IBM Plex Sans Light" w:cs="MyriadPro-Light"/>
                <w:color w:val="3D7FE0" w:themeColor="accent1"/>
                <w:spacing w:val="-4"/>
                <w:sz w:val="18"/>
                <w:szCs w:val="18"/>
              </w:rPr>
            </w:pPr>
          </w:p>
        </w:tc>
        <w:tc>
          <w:tcPr>
            <w:tcW w:w="284" w:type="dxa"/>
            <w:vAlign w:val="bottom"/>
          </w:tcPr>
          <w:p w14:paraId="62E671C5" w14:textId="256B836F" w:rsidR="0055268C" w:rsidRPr="00895810" w:rsidRDefault="0055268C" w:rsidP="0055268C">
            <w:pPr>
              <w:pStyle w:val="TableFigures"/>
              <w:ind w:left="-107" w:right="-108"/>
              <w:jc w:val="center"/>
              <w:rPr>
                <w:rFonts w:ascii="IBM Plex Sans Light" w:hAnsi="IBM Plex Sans Light"/>
                <w:spacing w:val="-4"/>
                <w:szCs w:val="16"/>
              </w:rPr>
            </w:pPr>
          </w:p>
        </w:tc>
        <w:tc>
          <w:tcPr>
            <w:tcW w:w="424" w:type="dxa"/>
            <w:tcMar>
              <w:left w:w="0" w:type="dxa"/>
              <w:right w:w="0" w:type="dxa"/>
            </w:tcMar>
            <w:vAlign w:val="bottom"/>
          </w:tcPr>
          <w:p w14:paraId="3DA76BA8" w14:textId="4ED157CA" w:rsidR="0055268C" w:rsidRPr="00895810" w:rsidRDefault="0055268C" w:rsidP="0055268C">
            <w:pPr>
              <w:pStyle w:val="TableFigures"/>
              <w:rPr>
                <w:rFonts w:ascii="IBM Plex Sans Light" w:hAnsi="IBM Plex Sans Light"/>
                <w:szCs w:val="16"/>
              </w:rPr>
            </w:pPr>
            <w:r>
              <w:rPr>
                <w:rFonts w:ascii="IBM Plex Sans Light" w:hAnsi="IBM Plex Sans Light"/>
                <w:szCs w:val="16"/>
              </w:rPr>
              <w:t>2</w:t>
            </w:r>
          </w:p>
        </w:tc>
        <w:tc>
          <w:tcPr>
            <w:tcW w:w="1134" w:type="dxa"/>
            <w:shd w:val="clear" w:color="auto" w:fill="auto"/>
            <w:tcMar>
              <w:left w:w="0" w:type="dxa"/>
              <w:right w:w="0" w:type="dxa"/>
            </w:tcMar>
          </w:tcPr>
          <w:p w14:paraId="5AD9E4BF" w14:textId="7C90B98B" w:rsidR="0055268C" w:rsidRPr="0055268C" w:rsidRDefault="0055268C" w:rsidP="0055268C">
            <w:pPr>
              <w:pStyle w:val="TableFigure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1.2 </w:t>
            </w:r>
          </w:p>
        </w:tc>
        <w:tc>
          <w:tcPr>
            <w:tcW w:w="1276" w:type="dxa"/>
            <w:vAlign w:val="bottom"/>
          </w:tcPr>
          <w:p w14:paraId="3DB04DC9" w14:textId="5C72F28B" w:rsidR="0055268C" w:rsidRPr="00895810" w:rsidRDefault="0055268C" w:rsidP="0055268C">
            <w:pPr>
              <w:pStyle w:val="TableFigures"/>
              <w:rPr>
                <w:rFonts w:ascii="IBM Plex Sans Light" w:hAnsi="IBM Plex Sans Light"/>
                <w:color w:val="auto"/>
                <w:spacing w:val="-4"/>
                <w:sz w:val="18"/>
              </w:rPr>
            </w:pPr>
            <w:r>
              <w:rPr>
                <w:rFonts w:ascii="IBM Plex Sans Light" w:hAnsi="IBM Plex Sans Light"/>
                <w:color w:val="auto"/>
                <w:spacing w:val="-4"/>
                <w:sz w:val="18"/>
              </w:rPr>
              <w:t>0.6</w:t>
            </w:r>
          </w:p>
        </w:tc>
      </w:tr>
      <w:tr w:rsidR="0055268C" w:rsidRPr="00895810" w14:paraId="6CCD0C68" w14:textId="2FA4DA68" w:rsidTr="00C577A9">
        <w:trPr>
          <w:trHeight w:hRule="exact" w:val="159"/>
        </w:trPr>
        <w:tc>
          <w:tcPr>
            <w:tcW w:w="6521" w:type="dxa"/>
            <w:tcMar>
              <w:left w:w="0" w:type="dxa"/>
              <w:right w:w="0" w:type="dxa"/>
            </w:tcMar>
            <w:vAlign w:val="bottom"/>
          </w:tcPr>
          <w:p w14:paraId="609EE6B4" w14:textId="77777777" w:rsidR="0055268C" w:rsidRPr="00895810" w:rsidRDefault="0055268C" w:rsidP="0055268C">
            <w:pPr>
              <w:pStyle w:val="TableFiguresBold"/>
              <w:jc w:val="left"/>
              <w:rPr>
                <w:rFonts w:ascii="IBM Plex Sans Light" w:hAnsi="IBM Plex Sans Light"/>
                <w:b w:val="0"/>
                <w:bCs w:val="0"/>
                <w:color w:val="3D7FE0" w:themeColor="accent1"/>
                <w:spacing w:val="-4"/>
                <w:sz w:val="18"/>
                <w:szCs w:val="18"/>
              </w:rPr>
            </w:pPr>
          </w:p>
        </w:tc>
        <w:tc>
          <w:tcPr>
            <w:tcW w:w="283" w:type="dxa"/>
            <w:vAlign w:val="bottom"/>
          </w:tcPr>
          <w:p w14:paraId="6129A17E" w14:textId="40A6F8AD" w:rsidR="0055268C" w:rsidRPr="00895810" w:rsidRDefault="0055268C" w:rsidP="0055268C">
            <w:pPr>
              <w:pStyle w:val="TableFiguresBold"/>
              <w:jc w:val="left"/>
              <w:rPr>
                <w:rFonts w:ascii="IBM Plex Sans Light" w:hAnsi="IBM Plex Sans Light"/>
                <w:b w:val="0"/>
                <w:bCs w:val="0"/>
                <w:color w:val="3D7FE0" w:themeColor="accent1"/>
                <w:spacing w:val="-4"/>
                <w:sz w:val="18"/>
                <w:szCs w:val="18"/>
              </w:rPr>
            </w:pPr>
          </w:p>
        </w:tc>
        <w:tc>
          <w:tcPr>
            <w:tcW w:w="284" w:type="dxa"/>
            <w:vAlign w:val="bottom"/>
          </w:tcPr>
          <w:p w14:paraId="75627300" w14:textId="557769FB" w:rsidR="0055268C" w:rsidRPr="00895810" w:rsidRDefault="0055268C" w:rsidP="0055268C">
            <w:pPr>
              <w:pStyle w:val="TableFiguresBold"/>
              <w:jc w:val="center"/>
              <w:rPr>
                <w:rFonts w:ascii="IBM Plex Sans Light" w:hAnsi="IBM Plex Sans Light"/>
                <w:b w:val="0"/>
                <w:bCs w:val="0"/>
                <w:color w:val="3D7FE0" w:themeColor="accent1"/>
                <w:spacing w:val="-4"/>
                <w:sz w:val="18"/>
                <w:szCs w:val="18"/>
              </w:rPr>
            </w:pPr>
          </w:p>
        </w:tc>
        <w:tc>
          <w:tcPr>
            <w:tcW w:w="424" w:type="dxa"/>
            <w:tcMar>
              <w:left w:w="0" w:type="dxa"/>
              <w:right w:w="0" w:type="dxa"/>
            </w:tcMar>
            <w:vAlign w:val="bottom"/>
          </w:tcPr>
          <w:p w14:paraId="5CE2B6DE" w14:textId="77777777" w:rsidR="0055268C" w:rsidRPr="00895810" w:rsidRDefault="0055268C" w:rsidP="0055268C">
            <w:pPr>
              <w:pStyle w:val="TableFigures"/>
              <w:rPr>
                <w:rFonts w:ascii="IBM Plex Sans Light" w:hAnsi="IBM Plex Sans Light"/>
                <w:szCs w:val="16"/>
              </w:rPr>
            </w:pPr>
          </w:p>
        </w:tc>
        <w:tc>
          <w:tcPr>
            <w:tcW w:w="1134" w:type="dxa"/>
            <w:shd w:val="clear" w:color="auto" w:fill="auto"/>
            <w:tcMar>
              <w:left w:w="0" w:type="dxa"/>
              <w:right w:w="0" w:type="dxa"/>
            </w:tcMar>
          </w:tcPr>
          <w:p w14:paraId="008E43D6" w14:textId="77777777" w:rsidR="0055268C" w:rsidRPr="0055268C" w:rsidRDefault="0055268C" w:rsidP="0055268C">
            <w:pPr>
              <w:pStyle w:val="TableFigures"/>
              <w:rPr>
                <w:rFonts w:ascii="IBM Plex Sans Medium" w:hAnsi="IBM Plex Sans Medium"/>
                <w:b/>
                <w:bCs/>
                <w:color w:val="3D7FE0" w:themeColor="accent1"/>
                <w:spacing w:val="-4"/>
                <w:sz w:val="18"/>
                <w:szCs w:val="18"/>
              </w:rPr>
            </w:pPr>
          </w:p>
        </w:tc>
        <w:tc>
          <w:tcPr>
            <w:tcW w:w="1276" w:type="dxa"/>
            <w:vAlign w:val="bottom"/>
          </w:tcPr>
          <w:p w14:paraId="625B9F12" w14:textId="6D3718D9" w:rsidR="0055268C" w:rsidRPr="00895810" w:rsidRDefault="0055268C" w:rsidP="0055268C">
            <w:pPr>
              <w:pStyle w:val="TableFiguresBrackets"/>
              <w:rPr>
                <w:rFonts w:ascii="IBM Plex Sans Light" w:hAnsi="IBM Plex Sans Light"/>
                <w:color w:val="auto"/>
                <w:spacing w:val="-4"/>
                <w:sz w:val="18"/>
                <w:szCs w:val="18"/>
              </w:rPr>
            </w:pPr>
          </w:p>
        </w:tc>
      </w:tr>
      <w:tr w:rsidR="0055268C" w:rsidRPr="00895810" w14:paraId="7352941C" w14:textId="6FF266D4" w:rsidTr="00C577A9">
        <w:tc>
          <w:tcPr>
            <w:tcW w:w="6521" w:type="dxa"/>
            <w:tcMar>
              <w:left w:w="0" w:type="dxa"/>
              <w:right w:w="0" w:type="dxa"/>
            </w:tcMar>
            <w:vAlign w:val="bottom"/>
          </w:tcPr>
          <w:p w14:paraId="30978A72" w14:textId="77777777" w:rsidR="0055268C" w:rsidRPr="00895810" w:rsidRDefault="0055268C" w:rsidP="0055268C">
            <w:pPr>
              <w:pStyle w:val="TableFiguresBrackets"/>
              <w:jc w:val="left"/>
              <w:rPr>
                <w:rFonts w:ascii="IBM Plex Sans Light" w:hAnsi="IBM Plex Sans Light"/>
                <w:color w:val="3D7FE0" w:themeColor="accent1"/>
                <w:spacing w:val="-4"/>
                <w:sz w:val="18"/>
                <w:szCs w:val="18"/>
              </w:rPr>
            </w:pPr>
            <w:r w:rsidRPr="00895810">
              <w:rPr>
                <w:rFonts w:ascii="IBM Plex Sans Light" w:hAnsi="IBM Plex Sans Light" w:cs="Arial"/>
                <w:sz w:val="18"/>
                <w:szCs w:val="18"/>
              </w:rPr>
              <w:lastRenderedPageBreak/>
              <w:t>Share of results of joint ventures</w:t>
            </w:r>
          </w:p>
        </w:tc>
        <w:tc>
          <w:tcPr>
            <w:tcW w:w="283" w:type="dxa"/>
            <w:vAlign w:val="bottom"/>
          </w:tcPr>
          <w:p w14:paraId="41E0505A" w14:textId="7636D508"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vAlign w:val="bottom"/>
          </w:tcPr>
          <w:p w14:paraId="70F39F04" w14:textId="22376311" w:rsidR="0055268C" w:rsidRPr="00895810" w:rsidRDefault="0055268C" w:rsidP="0055268C">
            <w:pPr>
              <w:pStyle w:val="TableFiguresBrackets"/>
              <w:jc w:val="center"/>
              <w:rPr>
                <w:rFonts w:ascii="IBM Plex Sans Light" w:hAnsi="IBM Plex Sans Light"/>
                <w:color w:val="3D7FE0" w:themeColor="accent1"/>
                <w:spacing w:val="-4"/>
                <w:sz w:val="18"/>
                <w:szCs w:val="18"/>
              </w:rPr>
            </w:pPr>
          </w:p>
        </w:tc>
        <w:tc>
          <w:tcPr>
            <w:tcW w:w="424" w:type="dxa"/>
            <w:tcMar>
              <w:left w:w="0" w:type="dxa"/>
              <w:right w:w="0" w:type="dxa"/>
            </w:tcMar>
            <w:vAlign w:val="bottom"/>
          </w:tcPr>
          <w:p w14:paraId="4D284F51" w14:textId="3950CA1D" w:rsidR="0055268C" w:rsidRPr="00895810" w:rsidRDefault="0055268C" w:rsidP="0055268C">
            <w:pPr>
              <w:pStyle w:val="TableFigures"/>
              <w:rPr>
                <w:rFonts w:ascii="IBM Plex Sans Light" w:hAnsi="IBM Plex Sans Light"/>
                <w:szCs w:val="16"/>
              </w:rPr>
            </w:pPr>
            <w:r w:rsidRPr="00895810">
              <w:rPr>
                <w:rFonts w:ascii="IBM Plex Sans Light" w:hAnsi="IBM Plex Sans Light"/>
                <w:spacing w:val="-4"/>
                <w:szCs w:val="16"/>
              </w:rPr>
              <w:t>1</w:t>
            </w:r>
            <w:r>
              <w:rPr>
                <w:rFonts w:ascii="IBM Plex Sans Light" w:hAnsi="IBM Plex Sans Light"/>
                <w:spacing w:val="-4"/>
                <w:szCs w:val="16"/>
              </w:rPr>
              <w:t>2B</w:t>
            </w:r>
          </w:p>
        </w:tc>
        <w:tc>
          <w:tcPr>
            <w:tcW w:w="1134" w:type="dxa"/>
            <w:shd w:val="clear" w:color="auto" w:fill="auto"/>
            <w:tcMar>
              <w:left w:w="0" w:type="dxa"/>
              <w:right w:w="0" w:type="dxa"/>
            </w:tcMar>
          </w:tcPr>
          <w:p w14:paraId="1E77C1CD" w14:textId="572AF265" w:rsidR="0055268C" w:rsidRPr="0055268C" w:rsidRDefault="0055268C" w:rsidP="0055268C">
            <w:pPr>
              <w:pStyle w:val="TableFigure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9.4 </w:t>
            </w:r>
          </w:p>
        </w:tc>
        <w:tc>
          <w:tcPr>
            <w:tcW w:w="1276" w:type="dxa"/>
          </w:tcPr>
          <w:p w14:paraId="415FC56E" w14:textId="7B90076A" w:rsidR="0055268C" w:rsidRPr="00C04F87" w:rsidRDefault="0055268C" w:rsidP="0055268C">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(41.5)</w:t>
            </w:r>
          </w:p>
        </w:tc>
      </w:tr>
      <w:tr w:rsidR="0055268C" w:rsidRPr="00895810" w14:paraId="3BFB7AC1" w14:textId="77777777" w:rsidTr="00C577A9">
        <w:tc>
          <w:tcPr>
            <w:tcW w:w="6521" w:type="dxa"/>
            <w:tcMar>
              <w:left w:w="0" w:type="dxa"/>
              <w:right w:w="0" w:type="dxa"/>
            </w:tcMar>
            <w:vAlign w:val="bottom"/>
          </w:tcPr>
          <w:p w14:paraId="3AB2BE2F" w14:textId="77777777" w:rsidR="0055268C" w:rsidRPr="00895810" w:rsidRDefault="0055268C" w:rsidP="0055268C">
            <w:pPr>
              <w:pStyle w:val="TableFiguresBrackets"/>
              <w:jc w:val="left"/>
              <w:rPr>
                <w:rFonts w:ascii="IBM Plex Sans Light" w:hAnsi="IBM Plex Sans Light" w:cs="Arial"/>
                <w:sz w:val="18"/>
                <w:szCs w:val="18"/>
              </w:rPr>
            </w:pPr>
            <w:r w:rsidRPr="00895810">
              <w:rPr>
                <w:rFonts w:ascii="IBM Plex Sans Light" w:hAnsi="IBM Plex Sans Light" w:cs="Arial"/>
                <w:sz w:val="18"/>
                <w:szCs w:val="18"/>
              </w:rPr>
              <w:t>Impairment of joint ventures</w:t>
            </w:r>
          </w:p>
        </w:tc>
        <w:tc>
          <w:tcPr>
            <w:tcW w:w="283" w:type="dxa"/>
            <w:vAlign w:val="bottom"/>
          </w:tcPr>
          <w:p w14:paraId="21498522" w14:textId="16404564" w:rsidR="0055268C" w:rsidRPr="00895810" w:rsidRDefault="0055268C" w:rsidP="0055268C">
            <w:pPr>
              <w:pStyle w:val="TableFiguresBrackets"/>
              <w:jc w:val="left"/>
              <w:rPr>
                <w:rFonts w:ascii="IBM Plex Sans Light" w:hAnsi="IBM Plex Sans Light" w:cs="Arial"/>
                <w:sz w:val="18"/>
                <w:szCs w:val="18"/>
              </w:rPr>
            </w:pPr>
          </w:p>
        </w:tc>
        <w:tc>
          <w:tcPr>
            <w:tcW w:w="284" w:type="dxa"/>
            <w:vAlign w:val="bottom"/>
          </w:tcPr>
          <w:p w14:paraId="1C853C4D" w14:textId="77777777" w:rsidR="0055268C" w:rsidRPr="00895810" w:rsidRDefault="0055268C" w:rsidP="0055268C">
            <w:pPr>
              <w:pStyle w:val="TableFiguresBrackets"/>
              <w:jc w:val="center"/>
              <w:rPr>
                <w:rFonts w:ascii="IBM Plex Sans Light" w:hAnsi="IBM Plex Sans Light"/>
                <w:color w:val="3D7FE0" w:themeColor="accent1"/>
                <w:spacing w:val="-4"/>
                <w:sz w:val="18"/>
                <w:szCs w:val="18"/>
              </w:rPr>
            </w:pPr>
          </w:p>
        </w:tc>
        <w:tc>
          <w:tcPr>
            <w:tcW w:w="424" w:type="dxa"/>
            <w:tcMar>
              <w:left w:w="0" w:type="dxa"/>
              <w:right w:w="0" w:type="dxa"/>
            </w:tcMar>
            <w:vAlign w:val="bottom"/>
          </w:tcPr>
          <w:p w14:paraId="3E670C5F" w14:textId="6B667F04" w:rsidR="0055268C" w:rsidRPr="00895810" w:rsidRDefault="0055268C" w:rsidP="0055268C">
            <w:pPr>
              <w:pStyle w:val="TableFigures"/>
              <w:rPr>
                <w:rFonts w:ascii="IBM Plex Sans Light" w:hAnsi="IBM Plex Sans Light"/>
                <w:spacing w:val="-4"/>
                <w:szCs w:val="16"/>
              </w:rPr>
            </w:pPr>
            <w:r>
              <w:rPr>
                <w:rFonts w:ascii="IBM Plex Sans Light" w:hAnsi="IBM Plex Sans Light"/>
                <w:spacing w:val="-4"/>
                <w:szCs w:val="16"/>
              </w:rPr>
              <w:t>8</w:t>
            </w:r>
          </w:p>
        </w:tc>
        <w:tc>
          <w:tcPr>
            <w:tcW w:w="1134" w:type="dxa"/>
            <w:shd w:val="clear" w:color="auto" w:fill="auto"/>
            <w:tcMar>
              <w:left w:w="0" w:type="dxa"/>
              <w:right w:w="0" w:type="dxa"/>
            </w:tcMar>
          </w:tcPr>
          <w:p w14:paraId="12526D69" w14:textId="25A1F1EC"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(22.2)</w:t>
            </w:r>
          </w:p>
        </w:tc>
        <w:tc>
          <w:tcPr>
            <w:tcW w:w="1276" w:type="dxa"/>
          </w:tcPr>
          <w:p w14:paraId="7F3C00E6" w14:textId="50393373" w:rsidR="0055268C" w:rsidRPr="00C04F87" w:rsidRDefault="0055268C" w:rsidP="0055268C">
            <w:pPr>
              <w:pStyle w:val="TableFigures"/>
              <w:rPr>
                <w:rFonts w:ascii="IBM Plex Sans Light" w:hAnsi="IBM Plex Sans Light"/>
                <w:color w:val="auto"/>
                <w:spacing w:val="-4"/>
                <w:sz w:val="18"/>
              </w:rPr>
            </w:pPr>
            <w:r w:rsidRPr="00C04F87">
              <w:rPr>
                <w:rFonts w:ascii="IBM Plex Sans Light" w:hAnsi="IBM Plex Sans Light"/>
                <w:color w:val="auto"/>
                <w:spacing w:val="-4"/>
                <w:sz w:val="18"/>
              </w:rPr>
              <w:t>–</w:t>
            </w:r>
          </w:p>
        </w:tc>
      </w:tr>
      <w:tr w:rsidR="0055268C" w:rsidRPr="00895810" w14:paraId="58631C04" w14:textId="40A4E047" w:rsidTr="00C577A9">
        <w:tc>
          <w:tcPr>
            <w:tcW w:w="6521" w:type="dxa"/>
            <w:tcMar>
              <w:left w:w="0" w:type="dxa"/>
              <w:right w:w="0" w:type="dxa"/>
            </w:tcMar>
            <w:vAlign w:val="bottom"/>
          </w:tcPr>
          <w:p w14:paraId="60396E10" w14:textId="77777777" w:rsidR="0055268C" w:rsidRPr="00895810" w:rsidRDefault="0055268C" w:rsidP="0055268C">
            <w:pPr>
              <w:pStyle w:val="TableFiguresBrackets"/>
              <w:jc w:val="left"/>
              <w:rPr>
                <w:rFonts w:ascii="IBM Plex Sans Light" w:hAnsi="IBM Plex Sans Light"/>
                <w:color w:val="3D7FE0" w:themeColor="accent1"/>
                <w:spacing w:val="-4"/>
                <w:sz w:val="18"/>
                <w:szCs w:val="18"/>
              </w:rPr>
            </w:pPr>
            <w:r w:rsidRPr="00895810">
              <w:rPr>
                <w:rFonts w:ascii="IBM Plex Sans Light" w:hAnsi="IBM Plex Sans Light" w:cs="Arial"/>
                <w:sz w:val="18"/>
                <w:szCs w:val="18"/>
              </w:rPr>
              <w:t>Share of results of associates</w:t>
            </w:r>
          </w:p>
        </w:tc>
        <w:tc>
          <w:tcPr>
            <w:tcW w:w="283" w:type="dxa"/>
            <w:vAlign w:val="bottom"/>
          </w:tcPr>
          <w:p w14:paraId="4051EE7F" w14:textId="41FB4957"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vAlign w:val="bottom"/>
          </w:tcPr>
          <w:p w14:paraId="2C5832FA" w14:textId="7460CAD3" w:rsidR="0055268C" w:rsidRPr="00895810" w:rsidRDefault="0055268C" w:rsidP="0055268C">
            <w:pPr>
              <w:pStyle w:val="TableFiguresBrackets"/>
              <w:jc w:val="center"/>
              <w:rPr>
                <w:rFonts w:ascii="IBM Plex Sans Light" w:hAnsi="IBM Plex Sans Light"/>
                <w:color w:val="3D7FE0" w:themeColor="accent1"/>
                <w:spacing w:val="-4"/>
                <w:sz w:val="18"/>
                <w:szCs w:val="18"/>
              </w:rPr>
            </w:pPr>
          </w:p>
        </w:tc>
        <w:tc>
          <w:tcPr>
            <w:tcW w:w="424" w:type="dxa"/>
            <w:tcMar>
              <w:left w:w="0" w:type="dxa"/>
              <w:right w:w="0" w:type="dxa"/>
            </w:tcMar>
            <w:vAlign w:val="bottom"/>
          </w:tcPr>
          <w:p w14:paraId="4EA85A24" w14:textId="3426097C" w:rsidR="0055268C" w:rsidRPr="00895810" w:rsidRDefault="0055268C" w:rsidP="0055268C">
            <w:pPr>
              <w:pStyle w:val="TableFigures"/>
              <w:rPr>
                <w:rFonts w:ascii="IBM Plex Sans Light" w:hAnsi="IBM Plex Sans Light"/>
                <w:szCs w:val="16"/>
              </w:rPr>
            </w:pPr>
            <w:r w:rsidRPr="00895810">
              <w:rPr>
                <w:rFonts w:ascii="IBM Plex Sans Light" w:hAnsi="IBM Plex Sans Light"/>
                <w:spacing w:val="-4"/>
                <w:szCs w:val="16"/>
              </w:rPr>
              <w:t>1</w:t>
            </w:r>
            <w:r>
              <w:rPr>
                <w:rFonts w:ascii="IBM Plex Sans Light" w:hAnsi="IBM Plex Sans Light"/>
                <w:spacing w:val="-4"/>
                <w:szCs w:val="16"/>
              </w:rPr>
              <w:t>3B</w:t>
            </w:r>
          </w:p>
        </w:tc>
        <w:tc>
          <w:tcPr>
            <w:tcW w:w="1134" w:type="dxa"/>
            <w:shd w:val="clear" w:color="auto" w:fill="auto"/>
            <w:tcMar>
              <w:left w:w="0" w:type="dxa"/>
              <w:right w:w="0" w:type="dxa"/>
            </w:tcMar>
          </w:tcPr>
          <w:p w14:paraId="2B96EF32" w14:textId="50CAAD6B" w:rsidR="0055268C" w:rsidRPr="0055268C" w:rsidRDefault="0055268C" w:rsidP="0055268C">
            <w:pPr>
              <w:pStyle w:val="TableFigure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16.0 </w:t>
            </w:r>
          </w:p>
        </w:tc>
        <w:tc>
          <w:tcPr>
            <w:tcW w:w="1276" w:type="dxa"/>
          </w:tcPr>
          <w:p w14:paraId="103CCBBA" w14:textId="3294B5FE" w:rsidR="0055268C" w:rsidRPr="00895810" w:rsidRDefault="0055268C" w:rsidP="0055268C">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(7.1)</w:t>
            </w:r>
          </w:p>
        </w:tc>
      </w:tr>
      <w:tr w:rsidR="0055268C" w:rsidRPr="00895810" w14:paraId="7123CD48" w14:textId="64CB3F4D" w:rsidTr="00C577A9">
        <w:tc>
          <w:tcPr>
            <w:tcW w:w="6521" w:type="dxa"/>
            <w:tcBorders>
              <w:top w:val="single" w:sz="2" w:space="0" w:color="3D7FE0" w:themeColor="accent1"/>
            </w:tcBorders>
            <w:tcMar>
              <w:left w:w="0" w:type="dxa"/>
              <w:right w:w="0" w:type="dxa"/>
            </w:tcMar>
            <w:vAlign w:val="bottom"/>
          </w:tcPr>
          <w:p w14:paraId="5F267CF0" w14:textId="50139ECB" w:rsidR="0055268C" w:rsidRPr="00895810" w:rsidRDefault="0055268C" w:rsidP="0055268C">
            <w:pPr>
              <w:pStyle w:val="TableFiguresBrackets"/>
              <w:jc w:val="lef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 xml:space="preserve">Operating </w:t>
            </w:r>
            <w:r w:rsidR="009E1EC6">
              <w:rPr>
                <w:rFonts w:ascii="IBM Plex Sans Light" w:hAnsi="IBM Plex Sans Light"/>
                <w:b/>
                <w:bCs/>
                <w:color w:val="3D7FE0" w:themeColor="accent1"/>
                <w:spacing w:val="-4"/>
                <w:sz w:val="18"/>
                <w:szCs w:val="18"/>
              </w:rPr>
              <w:t>loss</w:t>
            </w:r>
          </w:p>
        </w:tc>
        <w:tc>
          <w:tcPr>
            <w:tcW w:w="283" w:type="dxa"/>
            <w:tcBorders>
              <w:top w:val="single" w:sz="2" w:space="0" w:color="3D7FE0" w:themeColor="accent1"/>
            </w:tcBorders>
            <w:vAlign w:val="bottom"/>
          </w:tcPr>
          <w:p w14:paraId="1B750C2D" w14:textId="082FD10D"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tcBorders>
              <w:top w:val="single" w:sz="2" w:space="0" w:color="3D7FE0" w:themeColor="accent1"/>
            </w:tcBorders>
            <w:vAlign w:val="bottom"/>
          </w:tcPr>
          <w:p w14:paraId="5ECFA588" w14:textId="1D2E7CC3" w:rsidR="0055268C" w:rsidRPr="00895810" w:rsidRDefault="0055268C" w:rsidP="0055268C">
            <w:pPr>
              <w:pStyle w:val="TableFiguresBrackets"/>
              <w:jc w:val="center"/>
              <w:rPr>
                <w:rFonts w:ascii="IBM Plex Sans Light" w:hAnsi="IBM Plex Sans Light"/>
                <w:b/>
                <w:bCs/>
                <w:color w:val="3D7FE0" w:themeColor="accent1"/>
                <w:spacing w:val="-4"/>
                <w:sz w:val="18"/>
                <w:szCs w:val="18"/>
              </w:rPr>
            </w:pPr>
          </w:p>
        </w:tc>
        <w:tc>
          <w:tcPr>
            <w:tcW w:w="424" w:type="dxa"/>
            <w:tcBorders>
              <w:top w:val="single" w:sz="2" w:space="0" w:color="3D7FE0" w:themeColor="accent1"/>
            </w:tcBorders>
            <w:tcMar>
              <w:left w:w="0" w:type="dxa"/>
              <w:right w:w="0" w:type="dxa"/>
            </w:tcMar>
            <w:vAlign w:val="bottom"/>
          </w:tcPr>
          <w:p w14:paraId="5F0E3CBA" w14:textId="3026B4B8" w:rsidR="0055268C" w:rsidRPr="00895810" w:rsidRDefault="0055268C" w:rsidP="0055268C">
            <w:pPr>
              <w:pStyle w:val="TableFigures"/>
              <w:rPr>
                <w:rFonts w:ascii="IBM Plex Sans Light" w:hAnsi="IBM Plex Sans Light"/>
                <w:szCs w:val="16"/>
              </w:rPr>
            </w:pPr>
          </w:p>
        </w:tc>
        <w:tc>
          <w:tcPr>
            <w:tcW w:w="1134" w:type="dxa"/>
            <w:tcBorders>
              <w:top w:val="single" w:sz="2" w:space="0" w:color="3D7FE0" w:themeColor="accent1"/>
            </w:tcBorders>
            <w:shd w:val="clear" w:color="auto" w:fill="auto"/>
            <w:tcMar>
              <w:left w:w="0" w:type="dxa"/>
              <w:right w:w="0" w:type="dxa"/>
            </w:tcMar>
          </w:tcPr>
          <w:p w14:paraId="403CA21B" w14:textId="0A6BD50A"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(14.6)</w:t>
            </w:r>
          </w:p>
        </w:tc>
        <w:tc>
          <w:tcPr>
            <w:tcW w:w="1276" w:type="dxa"/>
            <w:tcBorders>
              <w:top w:val="single" w:sz="2" w:space="0" w:color="3D7FE0" w:themeColor="accent1"/>
            </w:tcBorders>
            <w:vAlign w:val="bottom"/>
          </w:tcPr>
          <w:p w14:paraId="64485CC4" w14:textId="2EEF60F4" w:rsidR="0055268C" w:rsidRPr="00895810" w:rsidRDefault="0055268C" w:rsidP="0055268C">
            <w:pPr>
              <w:pStyle w:val="TableFiguresBracket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101.0</w:t>
            </w:r>
            <w:r w:rsidRPr="00895810">
              <w:rPr>
                <w:rFonts w:ascii="IBM Plex Sans Light" w:hAnsi="IBM Plex Sans Light"/>
                <w:color w:val="auto"/>
                <w:spacing w:val="-4"/>
                <w:sz w:val="18"/>
                <w:szCs w:val="18"/>
              </w:rPr>
              <w:t xml:space="preserve">) </w:t>
            </w:r>
          </w:p>
        </w:tc>
      </w:tr>
      <w:tr w:rsidR="0055268C" w:rsidRPr="00895810" w14:paraId="4BFBBB07" w14:textId="471BA557" w:rsidTr="00C577A9">
        <w:tc>
          <w:tcPr>
            <w:tcW w:w="6521" w:type="dxa"/>
            <w:tcMar>
              <w:left w:w="0" w:type="dxa"/>
              <w:right w:w="0" w:type="dxa"/>
            </w:tcMar>
            <w:vAlign w:val="bottom"/>
          </w:tcPr>
          <w:p w14:paraId="68D34965" w14:textId="77777777" w:rsidR="0055268C" w:rsidRPr="00895810" w:rsidRDefault="0055268C" w:rsidP="0055268C">
            <w:pPr>
              <w:pStyle w:val="TableFiguresBold"/>
              <w:jc w:val="left"/>
              <w:rPr>
                <w:rFonts w:ascii="IBM Plex Sans Light" w:hAnsi="IBM Plex Sans Light"/>
                <w:b w:val="0"/>
                <w:color w:val="3D7FE0" w:themeColor="accent1"/>
                <w:sz w:val="18"/>
                <w:szCs w:val="18"/>
              </w:rPr>
            </w:pPr>
          </w:p>
        </w:tc>
        <w:tc>
          <w:tcPr>
            <w:tcW w:w="283" w:type="dxa"/>
            <w:vAlign w:val="bottom"/>
          </w:tcPr>
          <w:p w14:paraId="54A6C709" w14:textId="7CF547E0" w:rsidR="0055268C" w:rsidRPr="00895810" w:rsidRDefault="0055268C" w:rsidP="0055268C">
            <w:pPr>
              <w:pStyle w:val="TableFiguresBold"/>
              <w:jc w:val="left"/>
              <w:rPr>
                <w:rFonts w:ascii="IBM Plex Sans Light" w:hAnsi="IBM Plex Sans Light"/>
                <w:b w:val="0"/>
                <w:bCs w:val="0"/>
                <w:color w:val="3D7FE0" w:themeColor="accent1"/>
                <w:sz w:val="18"/>
                <w:szCs w:val="18"/>
              </w:rPr>
            </w:pPr>
          </w:p>
        </w:tc>
        <w:tc>
          <w:tcPr>
            <w:tcW w:w="284" w:type="dxa"/>
            <w:vAlign w:val="bottom"/>
          </w:tcPr>
          <w:p w14:paraId="3DB9DAA8" w14:textId="30EECFCD" w:rsidR="0055268C" w:rsidRPr="00895810" w:rsidRDefault="0055268C" w:rsidP="0055268C">
            <w:pPr>
              <w:pStyle w:val="TableFiguresBold"/>
              <w:jc w:val="center"/>
              <w:rPr>
                <w:rFonts w:ascii="IBM Plex Sans Light" w:hAnsi="IBM Plex Sans Light"/>
                <w:b w:val="0"/>
                <w:color w:val="3D7FE0" w:themeColor="accent1"/>
                <w:sz w:val="18"/>
                <w:szCs w:val="18"/>
              </w:rPr>
            </w:pPr>
          </w:p>
        </w:tc>
        <w:tc>
          <w:tcPr>
            <w:tcW w:w="424" w:type="dxa"/>
            <w:tcMar>
              <w:left w:w="0" w:type="dxa"/>
              <w:right w:w="0" w:type="dxa"/>
            </w:tcMar>
            <w:vAlign w:val="bottom"/>
          </w:tcPr>
          <w:p w14:paraId="1E063B92" w14:textId="77777777" w:rsidR="0055268C" w:rsidRPr="00895810" w:rsidRDefault="0055268C" w:rsidP="0055268C">
            <w:pPr>
              <w:pStyle w:val="TableFigures"/>
              <w:rPr>
                <w:rFonts w:ascii="IBM Plex Sans Light" w:hAnsi="IBM Plex Sans Light"/>
                <w:szCs w:val="16"/>
              </w:rPr>
            </w:pPr>
          </w:p>
        </w:tc>
        <w:tc>
          <w:tcPr>
            <w:tcW w:w="1134" w:type="dxa"/>
            <w:shd w:val="clear" w:color="auto" w:fill="auto"/>
            <w:tcMar>
              <w:left w:w="0" w:type="dxa"/>
              <w:right w:w="0" w:type="dxa"/>
            </w:tcMar>
          </w:tcPr>
          <w:p w14:paraId="70281006" w14:textId="77777777" w:rsidR="0055268C" w:rsidRPr="0055268C" w:rsidRDefault="0055268C" w:rsidP="0055268C">
            <w:pPr>
              <w:pStyle w:val="TableFigures"/>
              <w:rPr>
                <w:rFonts w:ascii="IBM Plex Sans Medium" w:hAnsi="IBM Plex Sans Medium"/>
                <w:b/>
                <w:bCs/>
                <w:color w:val="3D7FE0" w:themeColor="accent1"/>
                <w:spacing w:val="-4"/>
                <w:sz w:val="18"/>
                <w:szCs w:val="18"/>
              </w:rPr>
            </w:pPr>
          </w:p>
        </w:tc>
        <w:tc>
          <w:tcPr>
            <w:tcW w:w="1276" w:type="dxa"/>
            <w:vAlign w:val="bottom"/>
          </w:tcPr>
          <w:p w14:paraId="0AA2E827" w14:textId="3DD91FAB" w:rsidR="0055268C" w:rsidRPr="00895810" w:rsidRDefault="0055268C" w:rsidP="0055268C">
            <w:pPr>
              <w:pStyle w:val="TableFiguresBrackets"/>
              <w:rPr>
                <w:rFonts w:ascii="IBM Plex Sans Light" w:hAnsi="IBM Plex Sans Light"/>
                <w:color w:val="auto"/>
                <w:spacing w:val="-4"/>
                <w:sz w:val="18"/>
                <w:szCs w:val="18"/>
              </w:rPr>
            </w:pPr>
          </w:p>
        </w:tc>
      </w:tr>
      <w:tr w:rsidR="0055268C" w:rsidRPr="00895810" w14:paraId="7D0A7E0F" w14:textId="77777777" w:rsidTr="00C577A9">
        <w:tc>
          <w:tcPr>
            <w:tcW w:w="6521" w:type="dxa"/>
            <w:tcMar>
              <w:left w:w="0" w:type="dxa"/>
              <w:right w:w="0" w:type="dxa"/>
            </w:tcMar>
            <w:vAlign w:val="bottom"/>
          </w:tcPr>
          <w:p w14:paraId="1E249859" w14:textId="77777777" w:rsidR="0055268C" w:rsidRPr="00895810" w:rsidRDefault="0055268C" w:rsidP="0055268C">
            <w:pPr>
              <w:pStyle w:val="TableFiguresBold"/>
              <w:jc w:val="left"/>
              <w:rPr>
                <w:rFonts w:ascii="IBM Plex Sans Light" w:hAnsi="IBM Plex Sans Light" w:cs="MyriadPro-Light"/>
                <w:b w:val="0"/>
                <w:bCs w:val="0"/>
                <w:color w:val="3D7FE0" w:themeColor="accent1"/>
                <w:spacing w:val="-4"/>
                <w:sz w:val="18"/>
                <w:szCs w:val="18"/>
              </w:rPr>
            </w:pPr>
            <w:r w:rsidRPr="00895810">
              <w:rPr>
                <w:rFonts w:ascii="IBM Plex Sans Light" w:hAnsi="IBM Plex Sans Light" w:cs="Arial"/>
                <w:b w:val="0"/>
                <w:bCs w:val="0"/>
                <w:sz w:val="18"/>
                <w:szCs w:val="18"/>
              </w:rPr>
              <w:t>Finance income</w:t>
            </w:r>
          </w:p>
        </w:tc>
        <w:tc>
          <w:tcPr>
            <w:tcW w:w="283" w:type="dxa"/>
            <w:vAlign w:val="bottom"/>
          </w:tcPr>
          <w:p w14:paraId="68200F10" w14:textId="50B07FD3" w:rsidR="0055268C" w:rsidRPr="00895810" w:rsidRDefault="0055268C" w:rsidP="0055268C">
            <w:pPr>
              <w:pStyle w:val="TableFiguresBold"/>
              <w:jc w:val="left"/>
              <w:rPr>
                <w:rFonts w:ascii="IBM Plex Sans Light" w:hAnsi="IBM Plex Sans Light" w:cs="MyriadPro-Light"/>
                <w:b w:val="0"/>
                <w:bCs w:val="0"/>
                <w:color w:val="3D7FE0" w:themeColor="accent1"/>
                <w:spacing w:val="-4"/>
                <w:sz w:val="18"/>
                <w:szCs w:val="18"/>
              </w:rPr>
            </w:pPr>
          </w:p>
        </w:tc>
        <w:tc>
          <w:tcPr>
            <w:tcW w:w="284" w:type="dxa"/>
            <w:vAlign w:val="bottom"/>
          </w:tcPr>
          <w:p w14:paraId="143F30AF" w14:textId="0203D571" w:rsidR="0055268C" w:rsidRPr="00895810" w:rsidRDefault="0055268C" w:rsidP="0055268C">
            <w:pPr>
              <w:pStyle w:val="TableFiguresBold"/>
              <w:jc w:val="center"/>
              <w:rPr>
                <w:rFonts w:ascii="IBM Plex Sans Light" w:hAnsi="IBM Plex Sans Light" w:cs="MyriadPro-Light"/>
                <w:b w:val="0"/>
                <w:bCs w:val="0"/>
                <w:color w:val="3D7FE0" w:themeColor="accent1"/>
                <w:spacing w:val="-4"/>
                <w:sz w:val="18"/>
                <w:szCs w:val="18"/>
              </w:rPr>
            </w:pPr>
          </w:p>
        </w:tc>
        <w:tc>
          <w:tcPr>
            <w:tcW w:w="424" w:type="dxa"/>
            <w:tcMar>
              <w:left w:w="0" w:type="dxa"/>
              <w:right w:w="0" w:type="dxa"/>
            </w:tcMar>
            <w:vAlign w:val="bottom"/>
          </w:tcPr>
          <w:p w14:paraId="573B6CA2" w14:textId="55B9A550" w:rsidR="0055268C" w:rsidRPr="00895810" w:rsidRDefault="0055268C" w:rsidP="0055268C">
            <w:pPr>
              <w:pStyle w:val="TableFigures"/>
              <w:rPr>
                <w:rFonts w:ascii="IBM Plex Sans Light" w:hAnsi="IBM Plex Sans Light"/>
                <w:szCs w:val="16"/>
              </w:rPr>
            </w:pPr>
            <w:r>
              <w:rPr>
                <w:rFonts w:ascii="IBM Plex Sans Light" w:hAnsi="IBM Plex Sans Light"/>
                <w:spacing w:val="-4"/>
                <w:szCs w:val="16"/>
              </w:rPr>
              <w:t>6</w:t>
            </w:r>
          </w:p>
        </w:tc>
        <w:tc>
          <w:tcPr>
            <w:tcW w:w="1134" w:type="dxa"/>
            <w:shd w:val="clear" w:color="auto" w:fill="auto"/>
            <w:tcMar>
              <w:left w:w="0" w:type="dxa"/>
              <w:right w:w="0" w:type="dxa"/>
            </w:tcMar>
          </w:tcPr>
          <w:p w14:paraId="1DC3727F" w14:textId="65D89B13" w:rsidR="0055268C" w:rsidRPr="0055268C" w:rsidRDefault="0055268C" w:rsidP="0055268C">
            <w:pPr>
              <w:pStyle w:val="TableFigure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35.2 </w:t>
            </w:r>
          </w:p>
        </w:tc>
        <w:tc>
          <w:tcPr>
            <w:tcW w:w="1276" w:type="dxa"/>
          </w:tcPr>
          <w:p w14:paraId="66C05F07" w14:textId="411A5692" w:rsidR="0055268C" w:rsidRPr="00895810" w:rsidRDefault="0055268C" w:rsidP="0055268C">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26.1</w:t>
            </w:r>
          </w:p>
        </w:tc>
      </w:tr>
      <w:tr w:rsidR="0055268C" w:rsidRPr="00895810" w14:paraId="10DC7C73" w14:textId="26B0E913" w:rsidTr="00C577A9">
        <w:tc>
          <w:tcPr>
            <w:tcW w:w="6521" w:type="dxa"/>
            <w:tcBorders>
              <w:bottom w:val="single" w:sz="2" w:space="0" w:color="3D7FE0" w:themeColor="accent1"/>
            </w:tcBorders>
            <w:tcMar>
              <w:left w:w="0" w:type="dxa"/>
              <w:right w:w="0" w:type="dxa"/>
            </w:tcMar>
            <w:vAlign w:val="bottom"/>
          </w:tcPr>
          <w:p w14:paraId="665E74B7" w14:textId="77777777" w:rsidR="0055268C" w:rsidRPr="00895810" w:rsidRDefault="0055268C" w:rsidP="0055268C">
            <w:pPr>
              <w:pStyle w:val="TableFiguresBrackets"/>
              <w:jc w:val="left"/>
              <w:rPr>
                <w:rFonts w:ascii="IBM Plex Sans Light" w:hAnsi="IBM Plex Sans Light" w:cs="MyriadPro-Light"/>
                <w:color w:val="3D7FE0" w:themeColor="accent1"/>
                <w:spacing w:val="-4"/>
                <w:sz w:val="18"/>
                <w:szCs w:val="18"/>
              </w:rPr>
            </w:pPr>
            <w:r w:rsidRPr="00895810">
              <w:rPr>
                <w:rFonts w:ascii="IBM Plex Sans Light" w:hAnsi="IBM Plex Sans Light" w:cs="Arial"/>
                <w:sz w:val="18"/>
                <w:szCs w:val="18"/>
              </w:rPr>
              <w:t>Finance costs</w:t>
            </w:r>
          </w:p>
        </w:tc>
        <w:tc>
          <w:tcPr>
            <w:tcW w:w="283" w:type="dxa"/>
            <w:tcBorders>
              <w:bottom w:val="single" w:sz="2" w:space="0" w:color="3D7FE0" w:themeColor="accent1"/>
            </w:tcBorders>
            <w:vAlign w:val="bottom"/>
          </w:tcPr>
          <w:p w14:paraId="7AF77301" w14:textId="2B8D4A0C" w:rsidR="0055268C" w:rsidRPr="00895810" w:rsidRDefault="0055268C" w:rsidP="0055268C">
            <w:pPr>
              <w:pStyle w:val="TableFiguresBrackets"/>
              <w:jc w:val="left"/>
              <w:rPr>
                <w:rFonts w:ascii="IBM Plex Sans Light" w:hAnsi="IBM Plex Sans Light" w:cs="MyriadPro-Light"/>
                <w:color w:val="3D7FE0" w:themeColor="accent1"/>
                <w:spacing w:val="-4"/>
                <w:sz w:val="18"/>
                <w:szCs w:val="18"/>
              </w:rPr>
            </w:pPr>
          </w:p>
        </w:tc>
        <w:tc>
          <w:tcPr>
            <w:tcW w:w="284" w:type="dxa"/>
            <w:tcBorders>
              <w:bottom w:val="single" w:sz="2" w:space="0" w:color="3D7FE0" w:themeColor="accent1"/>
            </w:tcBorders>
            <w:vAlign w:val="bottom"/>
          </w:tcPr>
          <w:p w14:paraId="7754D14C" w14:textId="7C7A4D61" w:rsidR="0055268C" w:rsidRPr="00895810" w:rsidRDefault="0055268C" w:rsidP="0055268C">
            <w:pPr>
              <w:pStyle w:val="TableFiguresBrackets"/>
              <w:jc w:val="center"/>
              <w:rPr>
                <w:rFonts w:ascii="IBM Plex Sans Light" w:hAnsi="IBM Plex Sans Light" w:cs="MyriadPro-Light"/>
                <w:color w:val="3D7FE0" w:themeColor="accent1"/>
                <w:spacing w:val="-4"/>
                <w:sz w:val="18"/>
                <w:szCs w:val="18"/>
              </w:rPr>
            </w:pPr>
          </w:p>
        </w:tc>
        <w:tc>
          <w:tcPr>
            <w:tcW w:w="424" w:type="dxa"/>
            <w:tcBorders>
              <w:bottom w:val="single" w:sz="2" w:space="0" w:color="3D7FE0" w:themeColor="accent1"/>
            </w:tcBorders>
            <w:tcMar>
              <w:left w:w="0" w:type="dxa"/>
              <w:right w:w="0" w:type="dxa"/>
            </w:tcMar>
            <w:vAlign w:val="bottom"/>
          </w:tcPr>
          <w:p w14:paraId="0BEE444D" w14:textId="1BFB6593" w:rsidR="0055268C" w:rsidRPr="00895810" w:rsidRDefault="0055268C" w:rsidP="0055268C">
            <w:pPr>
              <w:pStyle w:val="TableFigures"/>
              <w:rPr>
                <w:rFonts w:ascii="IBM Plex Sans Light" w:hAnsi="IBM Plex Sans Light"/>
                <w:b/>
                <w:bCs/>
                <w:spacing w:val="-4"/>
                <w:szCs w:val="16"/>
              </w:rPr>
            </w:pPr>
            <w:r>
              <w:rPr>
                <w:rFonts w:ascii="IBM Plex Sans Light" w:hAnsi="IBM Plex Sans Light"/>
                <w:spacing w:val="-4"/>
                <w:szCs w:val="16"/>
              </w:rPr>
              <w:t>6</w:t>
            </w:r>
          </w:p>
        </w:tc>
        <w:tc>
          <w:tcPr>
            <w:tcW w:w="1134" w:type="dxa"/>
            <w:tcBorders>
              <w:bottom w:val="single" w:sz="2" w:space="0" w:color="3D7FE0" w:themeColor="accent1"/>
            </w:tcBorders>
            <w:shd w:val="clear" w:color="auto" w:fill="auto"/>
            <w:tcMar>
              <w:left w:w="0" w:type="dxa"/>
              <w:right w:w="0" w:type="dxa"/>
            </w:tcMar>
          </w:tcPr>
          <w:p w14:paraId="4EBF02D5" w14:textId="41C21BD1"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(71.3)</w:t>
            </w:r>
          </w:p>
        </w:tc>
        <w:tc>
          <w:tcPr>
            <w:tcW w:w="1276" w:type="dxa"/>
            <w:tcBorders>
              <w:bottom w:val="single" w:sz="2" w:space="0" w:color="3D7FE0" w:themeColor="accent1"/>
            </w:tcBorders>
          </w:tcPr>
          <w:p w14:paraId="6BEA4DA0" w14:textId="579F20E4" w:rsidR="0055268C" w:rsidRPr="00C04F87" w:rsidRDefault="0055268C" w:rsidP="0055268C">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(89.1)</w:t>
            </w:r>
          </w:p>
        </w:tc>
      </w:tr>
      <w:tr w:rsidR="0055268C" w:rsidRPr="00895810" w14:paraId="68F130A7" w14:textId="08D18C94" w:rsidTr="00C577A9">
        <w:tc>
          <w:tcPr>
            <w:tcW w:w="6521" w:type="dxa"/>
            <w:tcBorders>
              <w:top w:val="single" w:sz="2" w:space="0" w:color="3D7FE0" w:themeColor="accent1"/>
            </w:tcBorders>
            <w:tcMar>
              <w:left w:w="0" w:type="dxa"/>
              <w:right w:w="0" w:type="dxa"/>
            </w:tcMar>
            <w:vAlign w:val="bottom"/>
          </w:tcPr>
          <w:p w14:paraId="3BA106C3" w14:textId="4C29509C" w:rsidR="0055268C" w:rsidRPr="00895810" w:rsidRDefault="0055268C" w:rsidP="0055268C">
            <w:pPr>
              <w:pStyle w:val="TableFiguresBrackets"/>
              <w:jc w:val="left"/>
              <w:rPr>
                <w:rFonts w:ascii="IBM Plex Sans Light" w:hAnsi="IBM Plex Sans Light"/>
                <w:b/>
                <w:bCs/>
                <w:color w:val="3D7FE0" w:themeColor="accent1"/>
                <w:spacing w:val="-4"/>
                <w:sz w:val="18"/>
                <w:szCs w:val="18"/>
              </w:rPr>
            </w:pPr>
            <w:r>
              <w:rPr>
                <w:rFonts w:ascii="IBM Plex Sans Light" w:hAnsi="IBM Plex Sans Light"/>
                <w:b/>
                <w:bCs/>
                <w:color w:val="3D7FE0" w:themeColor="accent1"/>
                <w:spacing w:val="-4"/>
                <w:sz w:val="18"/>
                <w:szCs w:val="18"/>
              </w:rPr>
              <w:t>L</w:t>
            </w:r>
            <w:r w:rsidRPr="00895810">
              <w:rPr>
                <w:rFonts w:ascii="IBM Plex Sans Light" w:hAnsi="IBM Plex Sans Light"/>
                <w:b/>
                <w:bCs/>
                <w:color w:val="3D7FE0" w:themeColor="accent1"/>
                <w:spacing w:val="-4"/>
                <w:sz w:val="18"/>
                <w:szCs w:val="18"/>
              </w:rPr>
              <w:t>oss before tax</w:t>
            </w:r>
          </w:p>
        </w:tc>
        <w:tc>
          <w:tcPr>
            <w:tcW w:w="283" w:type="dxa"/>
            <w:tcBorders>
              <w:top w:val="single" w:sz="2" w:space="0" w:color="3D7FE0" w:themeColor="accent1"/>
            </w:tcBorders>
            <w:vAlign w:val="bottom"/>
          </w:tcPr>
          <w:p w14:paraId="05C5487B" w14:textId="2D73A1F6"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tcBorders>
              <w:top w:val="single" w:sz="2" w:space="0" w:color="3D7FE0" w:themeColor="accent1"/>
            </w:tcBorders>
            <w:vAlign w:val="bottom"/>
          </w:tcPr>
          <w:p w14:paraId="575F70AC" w14:textId="512EA6E4" w:rsidR="0055268C" w:rsidRPr="00895810" w:rsidRDefault="0055268C" w:rsidP="0055268C">
            <w:pPr>
              <w:pStyle w:val="TableFiguresBrackets"/>
              <w:jc w:val="center"/>
              <w:rPr>
                <w:rFonts w:ascii="IBM Plex Sans Light" w:hAnsi="IBM Plex Sans Light"/>
                <w:b/>
                <w:bCs/>
                <w:color w:val="3D7FE0" w:themeColor="accent1"/>
                <w:spacing w:val="-4"/>
                <w:sz w:val="18"/>
                <w:szCs w:val="18"/>
              </w:rPr>
            </w:pPr>
          </w:p>
        </w:tc>
        <w:tc>
          <w:tcPr>
            <w:tcW w:w="424" w:type="dxa"/>
            <w:tcBorders>
              <w:top w:val="single" w:sz="2" w:space="0" w:color="3D7FE0" w:themeColor="accent1"/>
            </w:tcBorders>
            <w:tcMar>
              <w:left w:w="0" w:type="dxa"/>
              <w:right w:w="0" w:type="dxa"/>
            </w:tcMar>
            <w:vAlign w:val="bottom"/>
          </w:tcPr>
          <w:p w14:paraId="03725772" w14:textId="77777777" w:rsidR="0055268C" w:rsidRPr="00895810" w:rsidRDefault="0055268C" w:rsidP="0055268C">
            <w:pPr>
              <w:pStyle w:val="TableFigures"/>
              <w:rPr>
                <w:rFonts w:ascii="IBM Plex Sans Light" w:hAnsi="IBM Plex Sans Light"/>
                <w:szCs w:val="16"/>
              </w:rPr>
            </w:pPr>
          </w:p>
        </w:tc>
        <w:tc>
          <w:tcPr>
            <w:tcW w:w="1134" w:type="dxa"/>
            <w:tcBorders>
              <w:top w:val="single" w:sz="2" w:space="0" w:color="3D7FE0" w:themeColor="accent1"/>
            </w:tcBorders>
            <w:shd w:val="clear" w:color="auto" w:fill="auto"/>
            <w:tcMar>
              <w:left w:w="0" w:type="dxa"/>
              <w:right w:w="0" w:type="dxa"/>
            </w:tcMar>
          </w:tcPr>
          <w:p w14:paraId="5491658A" w14:textId="4EB1FAB0"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(50.7)</w:t>
            </w:r>
          </w:p>
        </w:tc>
        <w:tc>
          <w:tcPr>
            <w:tcW w:w="1276" w:type="dxa"/>
            <w:tcBorders>
              <w:top w:val="single" w:sz="2" w:space="0" w:color="3D7FE0" w:themeColor="accent1"/>
            </w:tcBorders>
          </w:tcPr>
          <w:p w14:paraId="6A0AD0CC" w14:textId="1F9920CF" w:rsidR="0055268C" w:rsidRPr="00C04F87" w:rsidRDefault="0055268C" w:rsidP="0055268C">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(164.0)</w:t>
            </w:r>
          </w:p>
        </w:tc>
      </w:tr>
      <w:tr w:rsidR="0055268C" w:rsidRPr="00895810" w14:paraId="33C5104A" w14:textId="77777777" w:rsidTr="00C577A9">
        <w:trPr>
          <w:trHeight w:hRule="exact" w:val="113"/>
        </w:trPr>
        <w:tc>
          <w:tcPr>
            <w:tcW w:w="6521" w:type="dxa"/>
            <w:tcMar>
              <w:left w:w="0" w:type="dxa"/>
              <w:right w:w="0" w:type="dxa"/>
            </w:tcMar>
            <w:vAlign w:val="bottom"/>
          </w:tcPr>
          <w:p w14:paraId="7DC9A8AD" w14:textId="77777777" w:rsidR="0055268C" w:rsidRPr="00895810" w:rsidRDefault="0055268C" w:rsidP="0055268C">
            <w:pPr>
              <w:pStyle w:val="TableFiguresBold"/>
              <w:jc w:val="left"/>
              <w:rPr>
                <w:rFonts w:ascii="IBM Plex Sans Light" w:hAnsi="IBM Plex Sans Light"/>
                <w:b w:val="0"/>
                <w:bCs w:val="0"/>
                <w:color w:val="3D7FE0" w:themeColor="accent1"/>
                <w:sz w:val="18"/>
                <w:szCs w:val="18"/>
              </w:rPr>
            </w:pPr>
          </w:p>
        </w:tc>
        <w:tc>
          <w:tcPr>
            <w:tcW w:w="283" w:type="dxa"/>
            <w:vAlign w:val="bottom"/>
          </w:tcPr>
          <w:p w14:paraId="700A2B5E" w14:textId="1670BB2F" w:rsidR="0055268C" w:rsidRPr="00895810" w:rsidRDefault="0055268C" w:rsidP="0055268C">
            <w:pPr>
              <w:pStyle w:val="TableFiguresBold"/>
              <w:jc w:val="left"/>
              <w:rPr>
                <w:rFonts w:ascii="IBM Plex Sans Light" w:hAnsi="IBM Plex Sans Light"/>
                <w:b w:val="0"/>
                <w:bCs w:val="0"/>
                <w:color w:val="3D7FE0" w:themeColor="accent1"/>
                <w:sz w:val="18"/>
                <w:szCs w:val="18"/>
              </w:rPr>
            </w:pPr>
          </w:p>
        </w:tc>
        <w:tc>
          <w:tcPr>
            <w:tcW w:w="284" w:type="dxa"/>
            <w:vAlign w:val="bottom"/>
          </w:tcPr>
          <w:p w14:paraId="539121E5" w14:textId="3C9660BE" w:rsidR="0055268C" w:rsidRPr="00895810" w:rsidRDefault="0055268C" w:rsidP="0055268C">
            <w:pPr>
              <w:pStyle w:val="TableFiguresBold"/>
              <w:jc w:val="center"/>
              <w:rPr>
                <w:rFonts w:ascii="IBM Plex Sans Light" w:hAnsi="IBM Plex Sans Light"/>
                <w:b w:val="0"/>
                <w:bCs w:val="0"/>
                <w:color w:val="3D7FE0" w:themeColor="accent1"/>
                <w:sz w:val="18"/>
                <w:szCs w:val="18"/>
              </w:rPr>
            </w:pPr>
          </w:p>
        </w:tc>
        <w:tc>
          <w:tcPr>
            <w:tcW w:w="424" w:type="dxa"/>
            <w:tcMar>
              <w:left w:w="0" w:type="dxa"/>
              <w:right w:w="0" w:type="dxa"/>
            </w:tcMar>
            <w:vAlign w:val="bottom"/>
          </w:tcPr>
          <w:p w14:paraId="01CE3BD1" w14:textId="77777777" w:rsidR="0055268C" w:rsidRPr="00895810" w:rsidRDefault="0055268C" w:rsidP="0055268C">
            <w:pPr>
              <w:pStyle w:val="TableFigures"/>
              <w:rPr>
                <w:rFonts w:ascii="IBM Plex Sans Light" w:hAnsi="IBM Plex Sans Light"/>
                <w:szCs w:val="16"/>
              </w:rPr>
            </w:pPr>
          </w:p>
        </w:tc>
        <w:tc>
          <w:tcPr>
            <w:tcW w:w="1134" w:type="dxa"/>
            <w:shd w:val="clear" w:color="auto" w:fill="auto"/>
            <w:tcMar>
              <w:left w:w="0" w:type="dxa"/>
              <w:right w:w="0" w:type="dxa"/>
            </w:tcMar>
          </w:tcPr>
          <w:p w14:paraId="5FD96A6F" w14:textId="77777777" w:rsidR="0055268C" w:rsidRPr="0055268C" w:rsidRDefault="0055268C" w:rsidP="00263AE1">
            <w:pPr>
              <w:pStyle w:val="TableFiguresBrackets"/>
              <w:rPr>
                <w:rFonts w:ascii="IBM Plex Sans Medium" w:hAnsi="IBM Plex Sans Medium"/>
                <w:b/>
                <w:bCs/>
                <w:color w:val="3D7FE0" w:themeColor="accent1"/>
                <w:spacing w:val="-4"/>
                <w:sz w:val="18"/>
                <w:szCs w:val="18"/>
              </w:rPr>
            </w:pPr>
          </w:p>
        </w:tc>
        <w:tc>
          <w:tcPr>
            <w:tcW w:w="1276" w:type="dxa"/>
            <w:vAlign w:val="bottom"/>
          </w:tcPr>
          <w:p w14:paraId="32D5164B" w14:textId="77777777" w:rsidR="0055268C" w:rsidRPr="00895810" w:rsidRDefault="0055268C" w:rsidP="0055268C">
            <w:pPr>
              <w:pStyle w:val="TableFiguresBrackets"/>
              <w:rPr>
                <w:rFonts w:ascii="IBM Plex Sans Light" w:hAnsi="IBM Plex Sans Light"/>
                <w:color w:val="auto"/>
                <w:spacing w:val="-4"/>
                <w:sz w:val="18"/>
                <w:szCs w:val="18"/>
              </w:rPr>
            </w:pPr>
          </w:p>
        </w:tc>
      </w:tr>
      <w:tr w:rsidR="0055268C" w:rsidRPr="00895810" w14:paraId="0A7A18F6" w14:textId="0B2322BD" w:rsidTr="00C577A9">
        <w:tc>
          <w:tcPr>
            <w:tcW w:w="6521" w:type="dxa"/>
            <w:tcMar>
              <w:left w:w="0" w:type="dxa"/>
              <w:right w:w="0" w:type="dxa"/>
            </w:tcMar>
            <w:vAlign w:val="bottom"/>
          </w:tcPr>
          <w:p w14:paraId="1DCB2C57" w14:textId="77777777" w:rsidR="0055268C" w:rsidRPr="00895810" w:rsidRDefault="0055268C" w:rsidP="0055268C">
            <w:pPr>
              <w:pStyle w:val="TableFiguresBrackets"/>
              <w:jc w:val="left"/>
              <w:rPr>
                <w:rFonts w:ascii="IBM Plex Sans Light" w:hAnsi="IBM Plex Sans Light" w:cs="MyriadPro-Light"/>
                <w:color w:val="3D7FE0" w:themeColor="accent1"/>
                <w:spacing w:val="-4"/>
                <w:sz w:val="18"/>
                <w:szCs w:val="18"/>
              </w:rPr>
            </w:pPr>
            <w:r w:rsidRPr="00895810">
              <w:rPr>
                <w:rFonts w:ascii="IBM Plex Sans Light" w:hAnsi="IBM Plex Sans Light" w:cs="Arial"/>
                <w:sz w:val="18"/>
                <w:szCs w:val="18"/>
              </w:rPr>
              <w:t>Tax charge</w:t>
            </w:r>
          </w:p>
        </w:tc>
        <w:tc>
          <w:tcPr>
            <w:tcW w:w="283" w:type="dxa"/>
            <w:vAlign w:val="bottom"/>
          </w:tcPr>
          <w:p w14:paraId="0493FE7B" w14:textId="6D6D866E" w:rsidR="0055268C" w:rsidRPr="00895810" w:rsidRDefault="0055268C" w:rsidP="0055268C">
            <w:pPr>
              <w:pStyle w:val="TableFiguresBrackets"/>
              <w:jc w:val="left"/>
              <w:rPr>
                <w:rFonts w:ascii="IBM Plex Sans Light" w:hAnsi="IBM Plex Sans Light" w:cs="MyriadPro-Light"/>
                <w:color w:val="3D7FE0" w:themeColor="accent1"/>
                <w:spacing w:val="-4"/>
                <w:sz w:val="18"/>
                <w:szCs w:val="18"/>
              </w:rPr>
            </w:pPr>
          </w:p>
        </w:tc>
        <w:tc>
          <w:tcPr>
            <w:tcW w:w="284" w:type="dxa"/>
            <w:vAlign w:val="bottom"/>
          </w:tcPr>
          <w:p w14:paraId="22E78CCF" w14:textId="14DD3056" w:rsidR="0055268C" w:rsidRPr="00895810" w:rsidRDefault="0055268C" w:rsidP="0055268C">
            <w:pPr>
              <w:pStyle w:val="TableFiguresBrackets"/>
              <w:jc w:val="center"/>
              <w:rPr>
                <w:rFonts w:ascii="IBM Plex Sans Light" w:hAnsi="IBM Plex Sans Light" w:cs="MyriadPro-Light"/>
                <w:color w:val="3D7FE0" w:themeColor="accent1"/>
                <w:spacing w:val="-4"/>
                <w:sz w:val="18"/>
                <w:szCs w:val="18"/>
              </w:rPr>
            </w:pPr>
          </w:p>
        </w:tc>
        <w:tc>
          <w:tcPr>
            <w:tcW w:w="424" w:type="dxa"/>
            <w:tcMar>
              <w:left w:w="0" w:type="dxa"/>
              <w:right w:w="0" w:type="dxa"/>
            </w:tcMar>
            <w:vAlign w:val="bottom"/>
          </w:tcPr>
          <w:p w14:paraId="28119AAC" w14:textId="0FBC75FA" w:rsidR="0055268C" w:rsidRPr="00895810" w:rsidRDefault="0055268C" w:rsidP="0055268C">
            <w:pPr>
              <w:pStyle w:val="TableFigures"/>
              <w:rPr>
                <w:rFonts w:ascii="IBM Plex Sans Light" w:hAnsi="IBM Plex Sans Light"/>
                <w:szCs w:val="16"/>
              </w:rPr>
            </w:pPr>
            <w:r>
              <w:rPr>
                <w:rFonts w:ascii="IBM Plex Sans Light" w:hAnsi="IBM Plex Sans Light"/>
                <w:spacing w:val="-4"/>
                <w:szCs w:val="16"/>
              </w:rPr>
              <w:t>7</w:t>
            </w:r>
          </w:p>
        </w:tc>
        <w:tc>
          <w:tcPr>
            <w:tcW w:w="1134" w:type="dxa"/>
            <w:shd w:val="clear" w:color="auto" w:fill="auto"/>
            <w:tcMar>
              <w:left w:w="0" w:type="dxa"/>
              <w:right w:w="0" w:type="dxa"/>
            </w:tcMar>
          </w:tcPr>
          <w:p w14:paraId="4667782C" w14:textId="1CEB2302"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(0.7)</w:t>
            </w:r>
          </w:p>
        </w:tc>
        <w:tc>
          <w:tcPr>
            <w:tcW w:w="1276" w:type="dxa"/>
            <w:vAlign w:val="bottom"/>
          </w:tcPr>
          <w:p w14:paraId="5DF8539F" w14:textId="5F2AE495" w:rsidR="0055268C" w:rsidRPr="00895810" w:rsidRDefault="0055268C" w:rsidP="0055268C">
            <w:pPr>
              <w:pStyle w:val="TableFiguresBracket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0.2</w:t>
            </w:r>
            <w:r w:rsidRPr="00895810">
              <w:rPr>
                <w:rFonts w:ascii="IBM Plex Sans Light" w:hAnsi="IBM Plex Sans Light"/>
                <w:color w:val="auto"/>
                <w:spacing w:val="-4"/>
                <w:sz w:val="18"/>
                <w:szCs w:val="18"/>
              </w:rPr>
              <w:t>)</w:t>
            </w:r>
          </w:p>
        </w:tc>
      </w:tr>
      <w:tr w:rsidR="0055268C" w:rsidRPr="00895810" w14:paraId="1F500761" w14:textId="1AACE5FD" w:rsidTr="00C577A9">
        <w:trPr>
          <w:trHeight w:hRule="exact" w:val="66"/>
        </w:trPr>
        <w:tc>
          <w:tcPr>
            <w:tcW w:w="6521" w:type="dxa"/>
            <w:tcBorders>
              <w:bottom w:val="single" w:sz="2" w:space="0" w:color="3D7FE0" w:themeColor="accent1"/>
            </w:tcBorders>
            <w:tcMar>
              <w:left w:w="0" w:type="dxa"/>
              <w:right w:w="0" w:type="dxa"/>
            </w:tcMar>
            <w:vAlign w:val="bottom"/>
          </w:tcPr>
          <w:p w14:paraId="39B8464B" w14:textId="77777777" w:rsidR="0055268C" w:rsidRPr="00895810" w:rsidRDefault="0055268C" w:rsidP="0055268C">
            <w:pPr>
              <w:pStyle w:val="TableFiguresBold"/>
              <w:jc w:val="left"/>
              <w:rPr>
                <w:rFonts w:ascii="IBM Plex Sans Light" w:hAnsi="IBM Plex Sans Light"/>
                <w:b w:val="0"/>
                <w:bCs w:val="0"/>
                <w:color w:val="3D7FE0" w:themeColor="accent1"/>
                <w:sz w:val="18"/>
                <w:szCs w:val="18"/>
              </w:rPr>
            </w:pPr>
          </w:p>
        </w:tc>
        <w:tc>
          <w:tcPr>
            <w:tcW w:w="283" w:type="dxa"/>
            <w:tcBorders>
              <w:bottom w:val="single" w:sz="2" w:space="0" w:color="3D7FE0" w:themeColor="accent1"/>
            </w:tcBorders>
            <w:vAlign w:val="bottom"/>
          </w:tcPr>
          <w:p w14:paraId="2AA19BA7" w14:textId="36717593" w:rsidR="0055268C" w:rsidRPr="00895810" w:rsidRDefault="0055268C" w:rsidP="0055268C">
            <w:pPr>
              <w:pStyle w:val="TableFiguresBold"/>
              <w:jc w:val="left"/>
              <w:rPr>
                <w:rFonts w:ascii="IBM Plex Sans Light" w:hAnsi="IBM Plex Sans Light"/>
                <w:b w:val="0"/>
                <w:bCs w:val="0"/>
                <w:color w:val="3D7FE0" w:themeColor="accent1"/>
                <w:sz w:val="18"/>
                <w:szCs w:val="18"/>
              </w:rPr>
            </w:pPr>
          </w:p>
        </w:tc>
        <w:tc>
          <w:tcPr>
            <w:tcW w:w="284" w:type="dxa"/>
            <w:tcBorders>
              <w:bottom w:val="single" w:sz="2" w:space="0" w:color="3D7FE0" w:themeColor="accent1"/>
            </w:tcBorders>
            <w:vAlign w:val="bottom"/>
          </w:tcPr>
          <w:p w14:paraId="10A8CC86" w14:textId="1826FC16" w:rsidR="0055268C" w:rsidRPr="00895810" w:rsidRDefault="0055268C" w:rsidP="0055268C">
            <w:pPr>
              <w:pStyle w:val="TableFiguresBold"/>
              <w:jc w:val="center"/>
              <w:rPr>
                <w:rFonts w:ascii="IBM Plex Sans Light" w:hAnsi="IBM Plex Sans Light"/>
                <w:b w:val="0"/>
                <w:bCs w:val="0"/>
                <w:color w:val="3D7FE0" w:themeColor="accent1"/>
                <w:sz w:val="18"/>
                <w:szCs w:val="18"/>
              </w:rPr>
            </w:pPr>
          </w:p>
        </w:tc>
        <w:tc>
          <w:tcPr>
            <w:tcW w:w="424" w:type="dxa"/>
            <w:tcBorders>
              <w:bottom w:val="single" w:sz="2" w:space="0" w:color="3D7FE0" w:themeColor="accent1"/>
            </w:tcBorders>
            <w:tcMar>
              <w:left w:w="0" w:type="dxa"/>
              <w:right w:w="0" w:type="dxa"/>
            </w:tcMar>
            <w:vAlign w:val="bottom"/>
          </w:tcPr>
          <w:p w14:paraId="36BAECFF" w14:textId="77777777" w:rsidR="0055268C" w:rsidRPr="00895810" w:rsidRDefault="0055268C" w:rsidP="0055268C">
            <w:pPr>
              <w:pStyle w:val="TableFigures"/>
              <w:rPr>
                <w:rFonts w:ascii="IBM Plex Sans Light" w:hAnsi="IBM Plex Sans Light"/>
                <w:szCs w:val="16"/>
              </w:rPr>
            </w:pPr>
          </w:p>
        </w:tc>
        <w:tc>
          <w:tcPr>
            <w:tcW w:w="1134" w:type="dxa"/>
            <w:tcBorders>
              <w:bottom w:val="single" w:sz="2" w:space="0" w:color="3D7FE0" w:themeColor="accent1"/>
            </w:tcBorders>
            <w:shd w:val="clear" w:color="auto" w:fill="auto"/>
            <w:tcMar>
              <w:left w:w="0" w:type="dxa"/>
              <w:right w:w="0" w:type="dxa"/>
            </w:tcMar>
          </w:tcPr>
          <w:p w14:paraId="3C22D4F1" w14:textId="77777777" w:rsidR="0055268C" w:rsidRPr="0055268C" w:rsidRDefault="0055268C" w:rsidP="00263AE1">
            <w:pPr>
              <w:pStyle w:val="TableFiguresBrackets"/>
              <w:rPr>
                <w:rFonts w:ascii="IBM Plex Sans Medium" w:hAnsi="IBM Plex Sans Medium"/>
                <w:b/>
                <w:bCs/>
                <w:color w:val="3D7FE0" w:themeColor="accent1"/>
                <w:spacing w:val="-4"/>
                <w:sz w:val="18"/>
                <w:szCs w:val="18"/>
              </w:rPr>
            </w:pPr>
          </w:p>
        </w:tc>
        <w:tc>
          <w:tcPr>
            <w:tcW w:w="1276" w:type="dxa"/>
            <w:tcBorders>
              <w:bottom w:val="single" w:sz="2" w:space="0" w:color="3D7FE0" w:themeColor="accent1"/>
            </w:tcBorders>
            <w:vAlign w:val="bottom"/>
          </w:tcPr>
          <w:p w14:paraId="75FFCB9C" w14:textId="00D9D5A6" w:rsidR="0055268C" w:rsidRPr="00895810" w:rsidRDefault="0055268C" w:rsidP="0055268C">
            <w:pPr>
              <w:pStyle w:val="TableFiguresBrackets"/>
              <w:rPr>
                <w:rFonts w:ascii="IBM Plex Sans Light" w:hAnsi="IBM Plex Sans Light"/>
                <w:color w:val="auto"/>
                <w:spacing w:val="-4"/>
                <w:sz w:val="18"/>
                <w:szCs w:val="18"/>
              </w:rPr>
            </w:pPr>
          </w:p>
        </w:tc>
      </w:tr>
      <w:tr w:rsidR="0055268C" w:rsidRPr="00895810" w14:paraId="6E7C9A4B" w14:textId="5BD3C936" w:rsidTr="00C577A9">
        <w:tc>
          <w:tcPr>
            <w:tcW w:w="6521" w:type="dxa"/>
            <w:tcBorders>
              <w:top w:val="single" w:sz="2" w:space="0" w:color="3D7FE0" w:themeColor="accent1"/>
              <w:bottom w:val="single" w:sz="8" w:space="0" w:color="3D7FE0" w:themeColor="accent1"/>
            </w:tcBorders>
            <w:tcMar>
              <w:left w:w="0" w:type="dxa"/>
              <w:right w:w="0" w:type="dxa"/>
            </w:tcMar>
            <w:vAlign w:val="bottom"/>
          </w:tcPr>
          <w:p w14:paraId="04AA7A4A" w14:textId="407C06E1" w:rsidR="0055268C" w:rsidRPr="00895810" w:rsidRDefault="009E1EC6" w:rsidP="0055268C">
            <w:pPr>
              <w:pStyle w:val="TableFiguresBrackets"/>
              <w:jc w:val="left"/>
              <w:rPr>
                <w:rFonts w:ascii="IBM Plex Sans Light" w:hAnsi="IBM Plex Sans Light"/>
                <w:b/>
                <w:bCs/>
                <w:color w:val="3D7FE0" w:themeColor="accent1"/>
                <w:spacing w:val="-4"/>
                <w:sz w:val="18"/>
                <w:szCs w:val="18"/>
              </w:rPr>
            </w:pPr>
            <w:r>
              <w:rPr>
                <w:rFonts w:ascii="IBM Plex Sans Light" w:hAnsi="IBM Plex Sans Light"/>
                <w:b/>
                <w:bCs/>
                <w:color w:val="3D7FE0" w:themeColor="accent1"/>
                <w:spacing w:val="-4"/>
                <w:sz w:val="18"/>
                <w:szCs w:val="18"/>
              </w:rPr>
              <w:t>Loss</w:t>
            </w:r>
            <w:r w:rsidR="0055268C" w:rsidRPr="00895810">
              <w:rPr>
                <w:rFonts w:ascii="IBM Plex Sans Light" w:hAnsi="IBM Plex Sans Light"/>
                <w:b/>
                <w:bCs/>
                <w:color w:val="3D7FE0" w:themeColor="accent1"/>
                <w:spacing w:val="-4"/>
                <w:sz w:val="18"/>
                <w:szCs w:val="18"/>
              </w:rPr>
              <w:t xml:space="preserve"> for the year attributable to equity shareholders</w:t>
            </w:r>
          </w:p>
        </w:tc>
        <w:tc>
          <w:tcPr>
            <w:tcW w:w="283" w:type="dxa"/>
            <w:tcBorders>
              <w:top w:val="single" w:sz="2" w:space="0" w:color="3D7FE0" w:themeColor="accent1"/>
              <w:bottom w:val="single" w:sz="8" w:space="0" w:color="3D7FE0" w:themeColor="accent1"/>
            </w:tcBorders>
            <w:vAlign w:val="bottom"/>
          </w:tcPr>
          <w:p w14:paraId="2E0EE9F2" w14:textId="077C4362"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tcBorders>
              <w:top w:val="single" w:sz="2" w:space="0" w:color="3D7FE0" w:themeColor="accent1"/>
              <w:bottom w:val="single" w:sz="8" w:space="0" w:color="3D7FE0" w:themeColor="accent1"/>
            </w:tcBorders>
            <w:vAlign w:val="bottom"/>
          </w:tcPr>
          <w:p w14:paraId="2500DA60" w14:textId="5DA21510" w:rsidR="0055268C" w:rsidRPr="00895810" w:rsidRDefault="0055268C" w:rsidP="0055268C">
            <w:pPr>
              <w:pStyle w:val="TableFiguresBrackets"/>
              <w:jc w:val="center"/>
              <w:rPr>
                <w:rFonts w:ascii="IBM Plex Sans Light" w:hAnsi="IBM Plex Sans Light"/>
                <w:b/>
                <w:bCs/>
                <w:color w:val="3D7FE0" w:themeColor="accent1"/>
                <w:spacing w:val="-4"/>
                <w:sz w:val="18"/>
                <w:szCs w:val="18"/>
              </w:rPr>
            </w:pPr>
          </w:p>
        </w:tc>
        <w:tc>
          <w:tcPr>
            <w:tcW w:w="424" w:type="dxa"/>
            <w:tcBorders>
              <w:top w:val="single" w:sz="2" w:space="0" w:color="3D7FE0" w:themeColor="accent1"/>
              <w:bottom w:val="single" w:sz="8" w:space="0" w:color="3D7FE0" w:themeColor="accent1"/>
            </w:tcBorders>
            <w:tcMar>
              <w:left w:w="0" w:type="dxa"/>
              <w:right w:w="0" w:type="dxa"/>
            </w:tcMar>
            <w:vAlign w:val="bottom"/>
          </w:tcPr>
          <w:p w14:paraId="2CC6558A" w14:textId="77777777" w:rsidR="0055268C" w:rsidRPr="00895810" w:rsidRDefault="0055268C" w:rsidP="0055268C">
            <w:pPr>
              <w:pStyle w:val="TableFigures"/>
              <w:rPr>
                <w:rFonts w:ascii="IBM Plex Sans Light" w:hAnsi="IBM Plex Sans Light"/>
                <w:szCs w:val="16"/>
              </w:rPr>
            </w:pPr>
          </w:p>
        </w:tc>
        <w:tc>
          <w:tcPr>
            <w:tcW w:w="1134" w:type="dxa"/>
            <w:tcBorders>
              <w:top w:val="single" w:sz="2" w:space="0" w:color="3D7FE0" w:themeColor="accent1"/>
              <w:bottom w:val="single" w:sz="8" w:space="0" w:color="3D7FE0" w:themeColor="accent1"/>
            </w:tcBorders>
            <w:shd w:val="clear" w:color="auto" w:fill="auto"/>
            <w:tcMar>
              <w:left w:w="0" w:type="dxa"/>
              <w:right w:w="0" w:type="dxa"/>
            </w:tcMar>
          </w:tcPr>
          <w:p w14:paraId="4FCC5F9B" w14:textId="03AABAE1"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(51.4)</w:t>
            </w:r>
          </w:p>
        </w:tc>
        <w:tc>
          <w:tcPr>
            <w:tcW w:w="1276" w:type="dxa"/>
            <w:tcBorders>
              <w:top w:val="single" w:sz="2" w:space="0" w:color="3D7FE0" w:themeColor="accent1"/>
              <w:bottom w:val="single" w:sz="8" w:space="0" w:color="3D7FE0" w:themeColor="accent1"/>
            </w:tcBorders>
          </w:tcPr>
          <w:p w14:paraId="66DB01C5" w14:textId="59747AB6" w:rsidR="0055268C" w:rsidRPr="00C04F87" w:rsidRDefault="0055268C" w:rsidP="0055268C">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(164.2)</w:t>
            </w:r>
          </w:p>
        </w:tc>
      </w:tr>
      <w:tr w:rsidR="0055268C" w:rsidRPr="00895810" w14:paraId="55631D9D" w14:textId="5AD4B9BD" w:rsidTr="00C577A9">
        <w:trPr>
          <w:trHeight w:hRule="exact" w:val="159"/>
        </w:trPr>
        <w:tc>
          <w:tcPr>
            <w:tcW w:w="6521" w:type="dxa"/>
            <w:tcBorders>
              <w:top w:val="single" w:sz="8" w:space="0" w:color="3D7FE0" w:themeColor="accent1"/>
            </w:tcBorders>
            <w:tcMar>
              <w:left w:w="0" w:type="dxa"/>
              <w:right w:w="0" w:type="dxa"/>
            </w:tcMar>
            <w:vAlign w:val="bottom"/>
          </w:tcPr>
          <w:p w14:paraId="28CE58E5" w14:textId="77777777" w:rsidR="0055268C" w:rsidRPr="00895810" w:rsidRDefault="0055268C" w:rsidP="0055268C">
            <w:pPr>
              <w:pStyle w:val="TableFiguresBrackets"/>
              <w:jc w:val="left"/>
              <w:rPr>
                <w:rFonts w:ascii="IBM Plex Sans Light" w:hAnsi="IBM Plex Sans Light"/>
                <w:b/>
                <w:bCs/>
                <w:color w:val="3D7FE0" w:themeColor="accent1"/>
                <w:spacing w:val="-4"/>
                <w:sz w:val="18"/>
                <w:szCs w:val="18"/>
              </w:rPr>
            </w:pPr>
          </w:p>
        </w:tc>
        <w:tc>
          <w:tcPr>
            <w:tcW w:w="283" w:type="dxa"/>
            <w:tcBorders>
              <w:top w:val="single" w:sz="8" w:space="0" w:color="3D7FE0" w:themeColor="accent1"/>
            </w:tcBorders>
            <w:vAlign w:val="bottom"/>
          </w:tcPr>
          <w:p w14:paraId="3B04141B" w14:textId="42AAAD7C"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tcBorders>
              <w:top w:val="single" w:sz="8" w:space="0" w:color="3D7FE0" w:themeColor="accent1"/>
            </w:tcBorders>
            <w:vAlign w:val="bottom"/>
          </w:tcPr>
          <w:p w14:paraId="634A421E" w14:textId="684BB24D" w:rsidR="0055268C" w:rsidRPr="00895810" w:rsidRDefault="0055268C" w:rsidP="0055268C">
            <w:pPr>
              <w:pStyle w:val="TableFiguresBrackets"/>
              <w:jc w:val="center"/>
              <w:rPr>
                <w:rFonts w:ascii="IBM Plex Sans Light" w:hAnsi="IBM Plex Sans Light"/>
                <w:b/>
                <w:bCs/>
                <w:color w:val="3D7FE0" w:themeColor="accent1"/>
                <w:spacing w:val="-4"/>
                <w:sz w:val="18"/>
                <w:szCs w:val="18"/>
              </w:rPr>
            </w:pPr>
          </w:p>
        </w:tc>
        <w:tc>
          <w:tcPr>
            <w:tcW w:w="424" w:type="dxa"/>
            <w:tcBorders>
              <w:top w:val="single" w:sz="8" w:space="0" w:color="3D7FE0" w:themeColor="accent1"/>
            </w:tcBorders>
            <w:tcMar>
              <w:left w:w="0" w:type="dxa"/>
              <w:right w:w="0" w:type="dxa"/>
            </w:tcMar>
            <w:vAlign w:val="bottom"/>
          </w:tcPr>
          <w:p w14:paraId="32D77415" w14:textId="77777777" w:rsidR="0055268C" w:rsidRPr="00895810" w:rsidRDefault="0055268C" w:rsidP="0055268C">
            <w:pPr>
              <w:pStyle w:val="TableFigures"/>
              <w:rPr>
                <w:rFonts w:ascii="IBM Plex Sans Light" w:hAnsi="IBM Plex Sans Light"/>
                <w:szCs w:val="16"/>
              </w:rPr>
            </w:pPr>
          </w:p>
        </w:tc>
        <w:tc>
          <w:tcPr>
            <w:tcW w:w="1134" w:type="dxa"/>
            <w:tcBorders>
              <w:top w:val="single" w:sz="8" w:space="0" w:color="3D7FE0" w:themeColor="accent1"/>
            </w:tcBorders>
            <w:shd w:val="clear" w:color="auto" w:fill="auto"/>
            <w:tcMar>
              <w:left w:w="0" w:type="dxa"/>
              <w:right w:w="0" w:type="dxa"/>
            </w:tcMar>
          </w:tcPr>
          <w:p w14:paraId="0E8D14C9" w14:textId="47CFF13A" w:rsidR="0055268C" w:rsidRPr="0055268C" w:rsidRDefault="0055268C" w:rsidP="00263AE1">
            <w:pPr>
              <w:pStyle w:val="TableFiguresBrackets"/>
              <w:rPr>
                <w:rFonts w:ascii="IBM Plex Sans Medium" w:hAnsi="IBM Plex Sans Medium"/>
                <w:b/>
                <w:bCs/>
                <w:color w:val="3D7FE0" w:themeColor="accent1"/>
                <w:spacing w:val="-4"/>
                <w:sz w:val="18"/>
                <w:szCs w:val="18"/>
              </w:rPr>
            </w:pPr>
            <w:r w:rsidRPr="0055268C">
              <w:rPr>
                <w:rFonts w:ascii="IBM Plex Sans Medium" w:hAnsi="IBM Plex Sans Medium"/>
                <w:b/>
                <w:bCs/>
                <w:color w:val="3D7FE0" w:themeColor="accent1"/>
                <w:spacing w:val="-4"/>
                <w:sz w:val="18"/>
                <w:szCs w:val="18"/>
              </w:rPr>
              <w:t xml:space="preserve"> -   </w:t>
            </w:r>
          </w:p>
        </w:tc>
        <w:tc>
          <w:tcPr>
            <w:tcW w:w="1276" w:type="dxa"/>
            <w:tcBorders>
              <w:top w:val="single" w:sz="8" w:space="0" w:color="3D7FE0" w:themeColor="accent1"/>
            </w:tcBorders>
            <w:vAlign w:val="bottom"/>
          </w:tcPr>
          <w:p w14:paraId="2DE65CB5" w14:textId="7B394D23" w:rsidR="0055268C" w:rsidRPr="00895810" w:rsidRDefault="0055268C" w:rsidP="0055268C">
            <w:pPr>
              <w:pStyle w:val="TableFiguresBrackets"/>
              <w:rPr>
                <w:rFonts w:ascii="IBM Plex Sans Light" w:hAnsi="IBM Plex Sans Light"/>
                <w:color w:val="auto"/>
                <w:spacing w:val="-4"/>
                <w:sz w:val="18"/>
                <w:szCs w:val="18"/>
              </w:rPr>
            </w:pPr>
          </w:p>
        </w:tc>
      </w:tr>
      <w:tr w:rsidR="0055268C" w:rsidRPr="00895810" w14:paraId="7A1D1A7F" w14:textId="797F4572" w:rsidTr="00C577A9">
        <w:trPr>
          <w:trHeight w:val="64"/>
        </w:trPr>
        <w:tc>
          <w:tcPr>
            <w:tcW w:w="6521" w:type="dxa"/>
            <w:tcMar>
              <w:left w:w="0" w:type="dxa"/>
              <w:right w:w="0" w:type="dxa"/>
            </w:tcMar>
            <w:vAlign w:val="bottom"/>
          </w:tcPr>
          <w:p w14:paraId="65673009" w14:textId="1823BF1A" w:rsidR="0055268C" w:rsidRPr="00895810" w:rsidRDefault="0055268C" w:rsidP="0055268C">
            <w:pPr>
              <w:pStyle w:val="TableFiguresBrackets"/>
              <w:jc w:val="left"/>
              <w:rPr>
                <w:rFonts w:ascii="IBM Plex Sans Light" w:hAnsi="IBM Plex Sans Light"/>
                <w:b/>
                <w:bCs/>
                <w:color w:val="3D7FE0" w:themeColor="accent1"/>
                <w:spacing w:val="-4"/>
                <w:sz w:val="18"/>
                <w:szCs w:val="18"/>
              </w:rPr>
            </w:pPr>
          </w:p>
        </w:tc>
        <w:tc>
          <w:tcPr>
            <w:tcW w:w="283" w:type="dxa"/>
            <w:vAlign w:val="bottom"/>
          </w:tcPr>
          <w:p w14:paraId="3257AB19" w14:textId="1BDC16E6"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vAlign w:val="bottom"/>
          </w:tcPr>
          <w:p w14:paraId="55772560" w14:textId="3F3A58E6" w:rsidR="0055268C" w:rsidRPr="00895810" w:rsidRDefault="0055268C" w:rsidP="0055268C">
            <w:pPr>
              <w:pStyle w:val="TableFigures"/>
              <w:ind w:left="-107" w:right="-108"/>
              <w:jc w:val="center"/>
              <w:rPr>
                <w:rFonts w:ascii="IBM Plex Sans Light" w:hAnsi="IBM Plex Sans Light"/>
                <w:spacing w:val="-4"/>
                <w:szCs w:val="16"/>
              </w:rPr>
            </w:pPr>
          </w:p>
        </w:tc>
        <w:tc>
          <w:tcPr>
            <w:tcW w:w="424" w:type="dxa"/>
            <w:tcMar>
              <w:left w:w="0" w:type="dxa"/>
              <w:right w:w="0" w:type="dxa"/>
            </w:tcMar>
            <w:vAlign w:val="bottom"/>
          </w:tcPr>
          <w:p w14:paraId="56E1B49B" w14:textId="4C0BFAA2" w:rsidR="0055268C" w:rsidRPr="00895810" w:rsidRDefault="0055268C" w:rsidP="0055268C">
            <w:pPr>
              <w:pStyle w:val="TableFigures"/>
              <w:rPr>
                <w:rFonts w:ascii="IBM Plex Sans Light" w:hAnsi="IBM Plex Sans Light"/>
                <w:szCs w:val="16"/>
              </w:rPr>
            </w:pPr>
          </w:p>
        </w:tc>
        <w:tc>
          <w:tcPr>
            <w:tcW w:w="1134" w:type="dxa"/>
            <w:shd w:val="clear" w:color="auto" w:fill="auto"/>
            <w:tcMar>
              <w:left w:w="0" w:type="dxa"/>
              <w:right w:w="0" w:type="dxa"/>
            </w:tcMar>
          </w:tcPr>
          <w:p w14:paraId="2BDA8B42" w14:textId="1C3D2685" w:rsidR="0055268C" w:rsidRPr="0055268C" w:rsidRDefault="0055268C" w:rsidP="00263AE1">
            <w:pPr>
              <w:pStyle w:val="TableFiguresBrackets"/>
              <w:rPr>
                <w:rFonts w:ascii="IBM Plex Sans Medium" w:hAnsi="IBM Plex Sans Medium"/>
                <w:b/>
                <w:bCs/>
                <w:color w:val="3D7FE0" w:themeColor="accent1"/>
                <w:spacing w:val="-4"/>
                <w:sz w:val="18"/>
                <w:szCs w:val="18"/>
              </w:rPr>
            </w:pPr>
          </w:p>
        </w:tc>
        <w:tc>
          <w:tcPr>
            <w:tcW w:w="1276" w:type="dxa"/>
            <w:vAlign w:val="bottom"/>
          </w:tcPr>
          <w:p w14:paraId="22982160" w14:textId="2864D254" w:rsidR="0055268C" w:rsidRPr="00895810" w:rsidRDefault="0055268C" w:rsidP="0055268C">
            <w:pPr>
              <w:pStyle w:val="TableFiguresBrackets"/>
              <w:rPr>
                <w:rFonts w:ascii="IBM Plex Sans Light" w:hAnsi="IBM Plex Sans Light"/>
                <w:color w:val="auto"/>
                <w:spacing w:val="-4"/>
                <w:sz w:val="18"/>
                <w:szCs w:val="18"/>
              </w:rPr>
            </w:pPr>
          </w:p>
        </w:tc>
      </w:tr>
      <w:tr w:rsidR="0055268C" w:rsidRPr="00895810" w14:paraId="3732CD9F" w14:textId="38A24932" w:rsidTr="00C577A9">
        <w:tblPrEx>
          <w:tblBorders>
            <w:bottom w:val="single" w:sz="8" w:space="0" w:color="0099CC"/>
          </w:tblBorders>
        </w:tblPrEx>
        <w:trPr>
          <w:trHeight w:val="64"/>
        </w:trPr>
        <w:tc>
          <w:tcPr>
            <w:tcW w:w="6521" w:type="dxa"/>
            <w:tcBorders>
              <w:top w:val="single" w:sz="2" w:space="0" w:color="3D7FE0" w:themeColor="accent1"/>
              <w:bottom w:val="single" w:sz="8" w:space="0" w:color="3D7FE0" w:themeColor="accent1"/>
            </w:tcBorders>
            <w:tcMar>
              <w:left w:w="0" w:type="dxa"/>
              <w:right w:w="0" w:type="dxa"/>
            </w:tcMar>
            <w:vAlign w:val="bottom"/>
          </w:tcPr>
          <w:p w14:paraId="6FE0DDD0" w14:textId="6A791175" w:rsidR="0055268C" w:rsidRPr="00895810" w:rsidRDefault="0055268C" w:rsidP="0055268C">
            <w:pPr>
              <w:pStyle w:val="TableFiguresBrackets"/>
              <w:jc w:val="lef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 xml:space="preserve">Basic and diluted </w:t>
            </w:r>
            <w:r w:rsidR="009E1EC6">
              <w:rPr>
                <w:rFonts w:ascii="IBM Plex Sans Light" w:hAnsi="IBM Plex Sans Light"/>
                <w:b/>
                <w:bCs/>
                <w:color w:val="3D7FE0" w:themeColor="accent1"/>
                <w:spacing w:val="-4"/>
                <w:sz w:val="18"/>
                <w:szCs w:val="18"/>
              </w:rPr>
              <w:t>loss</w:t>
            </w:r>
            <w:r w:rsidRPr="00895810">
              <w:rPr>
                <w:rFonts w:ascii="IBM Plex Sans Light" w:hAnsi="IBM Plex Sans Light"/>
                <w:b/>
                <w:bCs/>
                <w:color w:val="3D7FE0" w:themeColor="accent1"/>
                <w:spacing w:val="-4"/>
                <w:sz w:val="18"/>
                <w:szCs w:val="18"/>
              </w:rPr>
              <w:t xml:space="preserve"> per share</w:t>
            </w:r>
          </w:p>
        </w:tc>
        <w:tc>
          <w:tcPr>
            <w:tcW w:w="283" w:type="dxa"/>
            <w:tcBorders>
              <w:top w:val="single" w:sz="2" w:space="0" w:color="3D7FE0" w:themeColor="accent1"/>
              <w:bottom w:val="single" w:sz="8" w:space="0" w:color="3D7FE0" w:themeColor="accent1"/>
            </w:tcBorders>
            <w:vAlign w:val="bottom"/>
          </w:tcPr>
          <w:p w14:paraId="06653E66" w14:textId="22C7B9EE" w:rsidR="0055268C" w:rsidRPr="00895810" w:rsidRDefault="0055268C" w:rsidP="0055268C">
            <w:pPr>
              <w:pStyle w:val="TableFiguresBrackets"/>
              <w:jc w:val="left"/>
              <w:rPr>
                <w:rFonts w:ascii="IBM Plex Sans Light" w:hAnsi="IBM Plex Sans Light"/>
                <w:color w:val="3D7FE0" w:themeColor="accent1"/>
                <w:spacing w:val="-4"/>
                <w:sz w:val="18"/>
                <w:szCs w:val="18"/>
              </w:rPr>
            </w:pPr>
          </w:p>
        </w:tc>
        <w:tc>
          <w:tcPr>
            <w:tcW w:w="284" w:type="dxa"/>
            <w:tcBorders>
              <w:top w:val="single" w:sz="2" w:space="0" w:color="3D7FE0" w:themeColor="accent1"/>
              <w:bottom w:val="single" w:sz="8" w:space="0" w:color="3D7FE0" w:themeColor="accent1"/>
            </w:tcBorders>
            <w:vAlign w:val="bottom"/>
          </w:tcPr>
          <w:p w14:paraId="31FF0360" w14:textId="6B8402C1" w:rsidR="0055268C" w:rsidRPr="00CE1A42" w:rsidRDefault="0055268C" w:rsidP="0055268C">
            <w:pPr>
              <w:pStyle w:val="TableFigures"/>
              <w:ind w:left="-107" w:right="-108"/>
              <w:jc w:val="center"/>
              <w:rPr>
                <w:rFonts w:ascii="IBM Plex Sans Light" w:hAnsi="IBM Plex Sans Light"/>
                <w:spacing w:val="-4"/>
                <w:szCs w:val="16"/>
              </w:rPr>
            </w:pPr>
          </w:p>
        </w:tc>
        <w:tc>
          <w:tcPr>
            <w:tcW w:w="424" w:type="dxa"/>
            <w:tcBorders>
              <w:top w:val="single" w:sz="2" w:space="0" w:color="3D7FE0" w:themeColor="accent1"/>
              <w:bottom w:val="single" w:sz="8" w:space="0" w:color="3D7FE0" w:themeColor="accent1"/>
            </w:tcBorders>
            <w:tcMar>
              <w:left w:w="0" w:type="dxa"/>
              <w:right w:w="0" w:type="dxa"/>
            </w:tcMar>
            <w:vAlign w:val="bottom"/>
          </w:tcPr>
          <w:p w14:paraId="1F31519E" w14:textId="44B13CCC" w:rsidR="0055268C" w:rsidRPr="00895810" w:rsidRDefault="0055268C" w:rsidP="0055268C">
            <w:pPr>
              <w:spacing w:after="0" w:line="240" w:lineRule="auto"/>
              <w:jc w:val="center"/>
              <w:rPr>
                <w:rFonts w:ascii="IBM Plex Sans Light" w:hAnsi="IBM Plex Sans Light"/>
                <w:sz w:val="16"/>
                <w:szCs w:val="16"/>
              </w:rPr>
            </w:pPr>
            <w:r>
              <w:rPr>
                <w:rFonts w:ascii="IBM Plex Sans Light" w:hAnsi="IBM Plex Sans Light"/>
                <w:sz w:val="16"/>
                <w:szCs w:val="16"/>
              </w:rPr>
              <w:t>10B</w:t>
            </w:r>
          </w:p>
        </w:tc>
        <w:tc>
          <w:tcPr>
            <w:tcW w:w="1134" w:type="dxa"/>
            <w:tcBorders>
              <w:top w:val="single" w:sz="2" w:space="0" w:color="3D7FE0" w:themeColor="accent1"/>
              <w:bottom w:val="single" w:sz="8" w:space="0" w:color="3D7FE0" w:themeColor="accent1"/>
            </w:tcBorders>
            <w:shd w:val="clear" w:color="auto" w:fill="auto"/>
            <w:tcMar>
              <w:left w:w="0" w:type="dxa"/>
              <w:right w:w="0" w:type="dxa"/>
            </w:tcMar>
          </w:tcPr>
          <w:p w14:paraId="4214E8C6" w14:textId="1FD67F52" w:rsidR="0055268C" w:rsidRPr="0055268C" w:rsidRDefault="0055268C" w:rsidP="00263AE1">
            <w:pPr>
              <w:pStyle w:val="TableFiguresBracket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(1.0)p</w:t>
            </w:r>
          </w:p>
        </w:tc>
        <w:tc>
          <w:tcPr>
            <w:tcW w:w="1276" w:type="dxa"/>
            <w:tcBorders>
              <w:top w:val="single" w:sz="2" w:space="0" w:color="3D7FE0" w:themeColor="accent1"/>
              <w:bottom w:val="single" w:sz="8" w:space="0" w:color="3D7FE0" w:themeColor="accent1"/>
            </w:tcBorders>
            <w:vAlign w:val="bottom"/>
          </w:tcPr>
          <w:p w14:paraId="44DEE5C5" w14:textId="57D930FA" w:rsidR="0055268C" w:rsidRPr="00895810" w:rsidRDefault="0055268C" w:rsidP="0055268C">
            <w:pPr>
              <w:pStyle w:val="TableFiguresBracket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3.3</w:t>
            </w:r>
            <w:r w:rsidRPr="00895810">
              <w:rPr>
                <w:rFonts w:ascii="IBM Plex Sans Light" w:hAnsi="IBM Plex Sans Light"/>
                <w:color w:val="auto"/>
                <w:spacing w:val="-4"/>
                <w:sz w:val="18"/>
                <w:szCs w:val="18"/>
              </w:rPr>
              <w:t>)p</w:t>
            </w:r>
          </w:p>
        </w:tc>
      </w:tr>
    </w:tbl>
    <w:p w14:paraId="7ECF5976" w14:textId="77777777" w:rsidR="0077450B" w:rsidRDefault="0077450B" w:rsidP="00BE7797">
      <w:pPr>
        <w:pStyle w:val="TableFiguresBold"/>
        <w:spacing w:before="120" w:after="0" w:line="240" w:lineRule="auto"/>
        <w:ind w:left="284" w:hanging="284"/>
        <w:jc w:val="left"/>
        <w:rPr>
          <w:rFonts w:ascii="IBM Plex Sans Light" w:hAnsi="IBM Plex Sans Light"/>
          <w:b w:val="0"/>
          <w:bCs w:val="0"/>
        </w:rPr>
      </w:pPr>
    </w:p>
    <w:p w14:paraId="406671AB" w14:textId="001BAAFC" w:rsidR="00263AE1" w:rsidRDefault="00263AE1" w:rsidP="00263AE1">
      <w:pPr>
        <w:pStyle w:val="11GeneralFootnotes"/>
      </w:pPr>
      <w:r>
        <w:t>*</w:t>
      </w:r>
      <w:r>
        <w:tab/>
        <w:t>Includes a charge of £9.4m (2022: £4.0m) and a</w:t>
      </w:r>
      <w:r w:rsidR="00016BDF">
        <w:t xml:space="preserve"> </w:t>
      </w:r>
      <w:r w:rsidR="00C419BA">
        <w:t>corresponding</w:t>
      </w:r>
      <w:r>
        <w:t xml:space="preserve"> credit of £8.0m (2022: credit of £10.7m) relating to provisions for impairment of trade (tenant) receivables.</w:t>
      </w:r>
    </w:p>
    <w:p w14:paraId="0D744422" w14:textId="77777777" w:rsidR="00263AE1" w:rsidRPr="00895810" w:rsidRDefault="00263AE1" w:rsidP="00BE7797">
      <w:pPr>
        <w:pStyle w:val="TableFiguresBold"/>
        <w:spacing w:before="120" w:after="0" w:line="240" w:lineRule="auto"/>
        <w:ind w:left="284" w:hanging="284"/>
        <w:jc w:val="left"/>
        <w:rPr>
          <w:rFonts w:ascii="IBM Plex Sans Light" w:hAnsi="IBM Plex Sans Light"/>
          <w:b w:val="0"/>
          <w:bCs w:val="0"/>
        </w:rPr>
      </w:pPr>
    </w:p>
    <w:p w14:paraId="269BC81D" w14:textId="144F4202" w:rsidR="009B174C" w:rsidRPr="00AB6B6E" w:rsidRDefault="009B174C" w:rsidP="00721C93">
      <w:pPr>
        <w:spacing w:after="0" w:line="240" w:lineRule="auto"/>
        <w:rPr>
          <w:rFonts w:ascii="IBM Plex Sans Medium" w:hAnsi="IBM Plex Sans Medium" w:cs="Arial"/>
          <w:b/>
          <w:caps/>
          <w:sz w:val="24"/>
        </w:rPr>
      </w:pPr>
      <w:r w:rsidRPr="00AB6B6E">
        <w:rPr>
          <w:rFonts w:ascii="IBM Plex Sans Medium" w:hAnsi="IBM Plex Sans Medium" w:cs="Arial"/>
          <w:b/>
          <w:caps/>
          <w:sz w:val="24"/>
        </w:rPr>
        <w:t xml:space="preserve">Consolidated statement of COMPREHENSIVE income </w:t>
      </w:r>
    </w:p>
    <w:p w14:paraId="20BEA72F" w14:textId="5A14B876" w:rsidR="00EF2FCE" w:rsidRPr="00895810" w:rsidRDefault="00EF2FCE" w:rsidP="00EF2FCE">
      <w:pPr>
        <w:pStyle w:val="TableFiguresBold"/>
        <w:jc w:val="left"/>
        <w:rPr>
          <w:rFonts w:ascii="IBM Plex Sans Light" w:hAnsi="IBM Plex Sans Light"/>
          <w:color w:val="3D7FE0" w:themeColor="accent1"/>
          <w:sz w:val="18"/>
          <w:szCs w:val="18"/>
        </w:rPr>
      </w:pPr>
      <w:r w:rsidRPr="00895810">
        <w:rPr>
          <w:rFonts w:ascii="IBM Plex Sans Light" w:hAnsi="IBM Plex Sans Light"/>
          <w:color w:val="3D7FE0" w:themeColor="accent1"/>
          <w:sz w:val="18"/>
          <w:szCs w:val="18"/>
        </w:rPr>
        <w:t xml:space="preserve">Year ended 31 December </w:t>
      </w:r>
      <w:r w:rsidR="00785AC2">
        <w:rPr>
          <w:rFonts w:ascii="IBM Plex Sans Light" w:hAnsi="IBM Plex Sans Light"/>
          <w:color w:val="3D7FE0" w:themeColor="accent1"/>
          <w:sz w:val="18"/>
          <w:szCs w:val="18"/>
        </w:rPr>
        <w:t>2023</w:t>
      </w:r>
    </w:p>
    <w:tbl>
      <w:tblPr>
        <w:tblW w:w="9923" w:type="dxa"/>
        <w:tblLayout w:type="fixed"/>
        <w:tblCellMar>
          <w:left w:w="0" w:type="dxa"/>
          <w:right w:w="0" w:type="dxa"/>
        </w:tblCellMar>
        <w:tblLook w:val="01E0" w:firstRow="1" w:lastRow="1" w:firstColumn="1" w:lastColumn="1" w:noHBand="0" w:noVBand="0"/>
      </w:tblPr>
      <w:tblGrid>
        <w:gridCol w:w="6945"/>
        <w:gridCol w:w="426"/>
        <w:gridCol w:w="1276"/>
        <w:gridCol w:w="1276"/>
      </w:tblGrid>
      <w:tr w:rsidR="007D44E0" w:rsidRPr="00895810" w14:paraId="2C70BA50" w14:textId="18CE1DA8" w:rsidTr="00065416">
        <w:trPr>
          <w:trHeight w:val="392"/>
        </w:trPr>
        <w:tc>
          <w:tcPr>
            <w:tcW w:w="6945" w:type="dxa"/>
            <w:tcBorders>
              <w:bottom w:val="single" w:sz="2" w:space="0" w:color="3D7FE0" w:themeColor="accent1"/>
            </w:tcBorders>
            <w:vAlign w:val="bottom"/>
          </w:tcPr>
          <w:p w14:paraId="40728CE7" w14:textId="30C8A2DA" w:rsidR="007D44E0" w:rsidRPr="00895810" w:rsidRDefault="007D44E0" w:rsidP="00946EC3">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 </w:t>
            </w:r>
          </w:p>
        </w:tc>
        <w:tc>
          <w:tcPr>
            <w:tcW w:w="426" w:type="dxa"/>
            <w:tcBorders>
              <w:bottom w:val="single" w:sz="2" w:space="0" w:color="3D7FE0" w:themeColor="accent1"/>
            </w:tcBorders>
            <w:vAlign w:val="bottom"/>
          </w:tcPr>
          <w:p w14:paraId="05943E55" w14:textId="0F18053D" w:rsidR="007D44E0" w:rsidRPr="00895810" w:rsidRDefault="007D44E0" w:rsidP="0077450B">
            <w:pPr>
              <w:pStyle w:val="TableFigures"/>
              <w:rPr>
                <w:rFonts w:ascii="IBM Plex Sans Light" w:hAnsi="IBM Plex Sans Light"/>
                <w:spacing w:val="-4"/>
                <w:szCs w:val="16"/>
              </w:rPr>
            </w:pPr>
          </w:p>
        </w:tc>
        <w:tc>
          <w:tcPr>
            <w:tcW w:w="1276" w:type="dxa"/>
            <w:tcBorders>
              <w:bottom w:val="single" w:sz="2" w:space="0" w:color="3D7FE0" w:themeColor="accent1"/>
            </w:tcBorders>
            <w:vAlign w:val="bottom"/>
          </w:tcPr>
          <w:p w14:paraId="5CC5BC23" w14:textId="4CD6628E" w:rsidR="007D44E0" w:rsidRPr="00895810" w:rsidRDefault="00785AC2" w:rsidP="00946EC3">
            <w:pPr>
              <w:pStyle w:val="TableColHeadsBold"/>
              <w:rPr>
                <w:rFonts w:ascii="IBM Plex Sans Light" w:hAnsi="IBM Plex Sans Light"/>
                <w:color w:val="3D7FE0" w:themeColor="accent1"/>
              </w:rPr>
            </w:pPr>
            <w:r>
              <w:rPr>
                <w:rFonts w:ascii="IBM Plex Sans Light" w:hAnsi="IBM Plex Sans Light"/>
                <w:color w:val="3D7FE0" w:themeColor="accent1"/>
              </w:rPr>
              <w:t>2023</w:t>
            </w:r>
          </w:p>
          <w:p w14:paraId="55F82A04" w14:textId="39C6F0F0" w:rsidR="007D44E0" w:rsidRPr="00895810" w:rsidRDefault="007D44E0" w:rsidP="00946EC3">
            <w:pPr>
              <w:pStyle w:val="TableColHeads"/>
              <w:rPr>
                <w:rFonts w:ascii="IBM Plex Sans Light" w:hAnsi="IBM Plex Sans Light"/>
                <w:b/>
              </w:rPr>
            </w:pPr>
            <w:r w:rsidRPr="00895810">
              <w:rPr>
                <w:rFonts w:ascii="IBM Plex Sans Light" w:hAnsi="IBM Plex Sans Light"/>
                <w:b/>
                <w:color w:val="3D7FE0" w:themeColor="accent1"/>
              </w:rPr>
              <w:t xml:space="preserve">£m </w:t>
            </w:r>
          </w:p>
        </w:tc>
        <w:tc>
          <w:tcPr>
            <w:tcW w:w="1276" w:type="dxa"/>
            <w:tcBorders>
              <w:bottom w:val="single" w:sz="2" w:space="0" w:color="3D7FE0" w:themeColor="accent1"/>
            </w:tcBorders>
            <w:vAlign w:val="bottom"/>
          </w:tcPr>
          <w:p w14:paraId="19597E59" w14:textId="388E7C39" w:rsidR="0077450B" w:rsidRPr="00895810" w:rsidRDefault="004376EB" w:rsidP="00946EC3">
            <w:pPr>
              <w:pStyle w:val="TableColHeads"/>
              <w:rPr>
                <w:rFonts w:ascii="IBM Plex Sans Light" w:hAnsi="IBM Plex Sans Light"/>
              </w:rPr>
            </w:pPr>
            <w:r>
              <w:rPr>
                <w:rFonts w:ascii="IBM Plex Sans Light" w:hAnsi="IBM Plex Sans Light"/>
              </w:rPr>
              <w:t>2022</w:t>
            </w:r>
          </w:p>
          <w:p w14:paraId="365475DF" w14:textId="5C32532F" w:rsidR="007D44E0" w:rsidRPr="00895810" w:rsidRDefault="007D44E0" w:rsidP="00F349F3">
            <w:pPr>
              <w:pStyle w:val="TableColHeads"/>
              <w:rPr>
                <w:rFonts w:ascii="IBM Plex Sans Light" w:hAnsi="IBM Plex Sans Light"/>
              </w:rPr>
            </w:pPr>
            <w:r w:rsidRPr="00895810">
              <w:rPr>
                <w:rFonts w:ascii="IBM Plex Sans Light" w:hAnsi="IBM Plex Sans Light"/>
              </w:rPr>
              <w:t xml:space="preserve">£m </w:t>
            </w:r>
          </w:p>
        </w:tc>
      </w:tr>
      <w:tr w:rsidR="00B65CDC" w:rsidRPr="00895810" w14:paraId="2C206AAC" w14:textId="77777777" w:rsidTr="00065416">
        <w:tc>
          <w:tcPr>
            <w:tcW w:w="6945" w:type="dxa"/>
            <w:tcBorders>
              <w:top w:val="single" w:sz="2" w:space="0" w:color="3D7FE0" w:themeColor="accent1"/>
            </w:tcBorders>
            <w:vAlign w:val="bottom"/>
          </w:tcPr>
          <w:p w14:paraId="615A3C92" w14:textId="40E3C4BB" w:rsidR="00B65CDC" w:rsidRPr="00895810" w:rsidRDefault="00263AE1" w:rsidP="00B65CDC">
            <w:pPr>
              <w:pStyle w:val="TableFiguresBracketsBold"/>
              <w:jc w:val="left"/>
              <w:rPr>
                <w:rFonts w:ascii="IBM Plex Sans Light" w:hAnsi="IBM Plex Sans Light"/>
                <w:b w:val="0"/>
                <w:bCs w:val="0"/>
                <w:color w:val="3D7FE0" w:themeColor="accent1"/>
                <w:spacing w:val="-4"/>
                <w:sz w:val="18"/>
                <w:szCs w:val="18"/>
              </w:rPr>
            </w:pPr>
            <w:r>
              <w:rPr>
                <w:rFonts w:ascii="IBM Plex Sans Light" w:hAnsi="IBM Plex Sans Light" w:cs="Arial"/>
                <w:bCs w:val="0"/>
                <w:color w:val="3D7FE0" w:themeColor="accent1"/>
                <w:spacing w:val="-4"/>
                <w:sz w:val="18"/>
                <w:szCs w:val="18"/>
              </w:rPr>
              <w:t>Loss</w:t>
            </w:r>
            <w:r w:rsidR="00B65CDC" w:rsidRPr="00895810">
              <w:rPr>
                <w:rFonts w:ascii="IBM Plex Sans Light" w:hAnsi="IBM Plex Sans Light" w:cs="Arial"/>
                <w:bCs w:val="0"/>
                <w:color w:val="3D7FE0" w:themeColor="accent1"/>
                <w:spacing w:val="-4"/>
                <w:sz w:val="18"/>
                <w:szCs w:val="18"/>
              </w:rPr>
              <w:t xml:space="preserve"> for the year</w:t>
            </w:r>
          </w:p>
        </w:tc>
        <w:tc>
          <w:tcPr>
            <w:tcW w:w="426" w:type="dxa"/>
            <w:tcBorders>
              <w:top w:val="single" w:sz="2" w:space="0" w:color="3D7FE0" w:themeColor="accent1"/>
            </w:tcBorders>
            <w:vAlign w:val="bottom"/>
          </w:tcPr>
          <w:p w14:paraId="5DD29BA2" w14:textId="77777777" w:rsidR="00B65CDC" w:rsidRPr="00895810" w:rsidRDefault="00B65CDC" w:rsidP="00B65CDC">
            <w:pPr>
              <w:pStyle w:val="TableFigures"/>
              <w:rPr>
                <w:rFonts w:ascii="IBM Plex Sans Light" w:hAnsi="IBM Plex Sans Light"/>
                <w:szCs w:val="16"/>
              </w:rPr>
            </w:pPr>
          </w:p>
        </w:tc>
        <w:tc>
          <w:tcPr>
            <w:tcW w:w="1276" w:type="dxa"/>
            <w:tcBorders>
              <w:top w:val="single" w:sz="2" w:space="0" w:color="3D7FE0" w:themeColor="accent1"/>
            </w:tcBorders>
            <w:vAlign w:val="bottom"/>
          </w:tcPr>
          <w:p w14:paraId="73A98A96" w14:textId="15D6771D" w:rsidR="00B65CDC"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(51.4)</w:t>
            </w:r>
          </w:p>
        </w:tc>
        <w:tc>
          <w:tcPr>
            <w:tcW w:w="1276" w:type="dxa"/>
            <w:tcBorders>
              <w:top w:val="single" w:sz="2" w:space="0" w:color="3D7FE0" w:themeColor="accent1"/>
            </w:tcBorders>
          </w:tcPr>
          <w:p w14:paraId="4A369C8B" w14:textId="229ABDCB" w:rsidR="00B65CDC" w:rsidRPr="00895810" w:rsidRDefault="00B65CDC" w:rsidP="00B65CDC">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(164.2)</w:t>
            </w:r>
          </w:p>
        </w:tc>
      </w:tr>
      <w:tr w:rsidR="00710846" w:rsidRPr="00895810" w14:paraId="29EBBFE8" w14:textId="77777777" w:rsidTr="00065416">
        <w:tc>
          <w:tcPr>
            <w:tcW w:w="6945" w:type="dxa"/>
            <w:vAlign w:val="bottom"/>
          </w:tcPr>
          <w:p w14:paraId="543CF48A" w14:textId="77777777" w:rsidR="00710846" w:rsidRPr="00895810" w:rsidRDefault="00710846" w:rsidP="000B7603">
            <w:pPr>
              <w:spacing w:after="0" w:line="240" w:lineRule="auto"/>
              <w:rPr>
                <w:rFonts w:ascii="IBM Plex Sans Light" w:hAnsi="IBM Plex Sans Light" w:cs="Arial"/>
                <w:b/>
                <w:color w:val="3D7FE0" w:themeColor="accent1"/>
                <w:szCs w:val="18"/>
              </w:rPr>
            </w:pPr>
          </w:p>
        </w:tc>
        <w:tc>
          <w:tcPr>
            <w:tcW w:w="426" w:type="dxa"/>
            <w:vAlign w:val="bottom"/>
          </w:tcPr>
          <w:p w14:paraId="417E37F6" w14:textId="77777777" w:rsidR="00710846" w:rsidRPr="00895810" w:rsidRDefault="00710846" w:rsidP="00F657BA">
            <w:pPr>
              <w:pStyle w:val="TableFigures"/>
              <w:rPr>
                <w:rFonts w:ascii="IBM Plex Sans Light" w:hAnsi="IBM Plex Sans Light"/>
                <w:szCs w:val="16"/>
              </w:rPr>
            </w:pPr>
          </w:p>
        </w:tc>
        <w:tc>
          <w:tcPr>
            <w:tcW w:w="1276" w:type="dxa"/>
            <w:vAlign w:val="bottom"/>
          </w:tcPr>
          <w:p w14:paraId="2235AC70" w14:textId="77777777" w:rsidR="00710846" w:rsidRPr="00263AE1" w:rsidRDefault="00710846"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002516E3" w14:textId="77777777" w:rsidR="00710846" w:rsidRPr="00895810" w:rsidRDefault="00710846" w:rsidP="00B27901">
            <w:pPr>
              <w:spacing w:after="0" w:line="240" w:lineRule="auto"/>
              <w:jc w:val="right"/>
              <w:rPr>
                <w:rFonts w:ascii="IBM Plex Sans Light" w:hAnsi="IBM Plex Sans Light" w:cs="Arial"/>
                <w:szCs w:val="18"/>
              </w:rPr>
            </w:pPr>
          </w:p>
        </w:tc>
      </w:tr>
      <w:tr w:rsidR="007D44E0" w:rsidRPr="00895810" w14:paraId="14BB7369" w14:textId="613ABC8F" w:rsidTr="00710846">
        <w:tc>
          <w:tcPr>
            <w:tcW w:w="6945" w:type="dxa"/>
            <w:vAlign w:val="bottom"/>
          </w:tcPr>
          <w:p w14:paraId="5441DBA6" w14:textId="04EF907E" w:rsidR="007D44E0" w:rsidRPr="00895810" w:rsidRDefault="007D44E0" w:rsidP="000B7603">
            <w:pPr>
              <w:spacing w:after="0" w:line="240" w:lineRule="auto"/>
              <w:rPr>
                <w:rFonts w:ascii="IBM Plex Sans Light" w:hAnsi="IBM Plex Sans Light" w:cs="Arial"/>
                <w:color w:val="3D7FE0" w:themeColor="accent1"/>
                <w:szCs w:val="18"/>
              </w:rPr>
            </w:pPr>
            <w:r w:rsidRPr="00895810">
              <w:rPr>
                <w:rFonts w:ascii="IBM Plex Sans Light" w:hAnsi="IBM Plex Sans Light" w:cs="Arial"/>
                <w:b/>
                <w:color w:val="3D7FE0" w:themeColor="accent1"/>
                <w:szCs w:val="18"/>
              </w:rPr>
              <w:t>Recycled through the profit or loss on disposal of overseas property interests</w:t>
            </w:r>
          </w:p>
        </w:tc>
        <w:tc>
          <w:tcPr>
            <w:tcW w:w="426" w:type="dxa"/>
            <w:vAlign w:val="bottom"/>
          </w:tcPr>
          <w:p w14:paraId="7D94622B" w14:textId="77777777" w:rsidR="007D44E0" w:rsidRPr="00895810" w:rsidRDefault="007D44E0" w:rsidP="00F657BA">
            <w:pPr>
              <w:pStyle w:val="TableFigures"/>
              <w:rPr>
                <w:rFonts w:ascii="IBM Plex Sans Light" w:hAnsi="IBM Plex Sans Light"/>
                <w:szCs w:val="16"/>
              </w:rPr>
            </w:pPr>
          </w:p>
        </w:tc>
        <w:tc>
          <w:tcPr>
            <w:tcW w:w="1276" w:type="dxa"/>
            <w:vAlign w:val="bottom"/>
          </w:tcPr>
          <w:p w14:paraId="4086F6EB" w14:textId="77777777" w:rsidR="007D44E0" w:rsidRPr="00263AE1" w:rsidRDefault="007D44E0"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25609DE8" w14:textId="7EE47618" w:rsidR="007D44E0" w:rsidRPr="00895810" w:rsidRDefault="007D44E0" w:rsidP="00B27901">
            <w:pPr>
              <w:spacing w:after="0" w:line="240" w:lineRule="auto"/>
              <w:jc w:val="right"/>
              <w:rPr>
                <w:rFonts w:ascii="IBM Plex Sans Light" w:hAnsi="IBM Plex Sans Light" w:cs="Arial"/>
                <w:szCs w:val="18"/>
              </w:rPr>
            </w:pPr>
          </w:p>
        </w:tc>
      </w:tr>
      <w:tr w:rsidR="00263AE1" w:rsidRPr="00895810" w14:paraId="17B381C6" w14:textId="06968C99" w:rsidTr="00715E18">
        <w:tc>
          <w:tcPr>
            <w:tcW w:w="6945" w:type="dxa"/>
            <w:vAlign w:val="bottom"/>
          </w:tcPr>
          <w:p w14:paraId="7C0AD051" w14:textId="0D032E53" w:rsidR="00263AE1" w:rsidRPr="00895810" w:rsidRDefault="00263AE1" w:rsidP="00263AE1">
            <w:pPr>
              <w:pStyle w:val="TableFiguresBracket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Exchange gain previously recognised in the translation reserve</w:t>
            </w:r>
          </w:p>
        </w:tc>
        <w:tc>
          <w:tcPr>
            <w:tcW w:w="426" w:type="dxa"/>
            <w:vAlign w:val="bottom"/>
          </w:tcPr>
          <w:p w14:paraId="45E69EA6" w14:textId="77777777" w:rsidR="00263AE1" w:rsidRPr="00895810" w:rsidRDefault="00263AE1" w:rsidP="00263AE1">
            <w:pPr>
              <w:pStyle w:val="TableFigures"/>
              <w:rPr>
                <w:rFonts w:ascii="IBM Plex Sans Light" w:hAnsi="IBM Plex Sans Light"/>
                <w:szCs w:val="16"/>
              </w:rPr>
            </w:pPr>
          </w:p>
        </w:tc>
        <w:tc>
          <w:tcPr>
            <w:tcW w:w="1276" w:type="dxa"/>
          </w:tcPr>
          <w:p w14:paraId="3B611D72" w14:textId="3FBEF14D"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(100.3)</w:t>
            </w:r>
          </w:p>
        </w:tc>
        <w:tc>
          <w:tcPr>
            <w:tcW w:w="1276" w:type="dxa"/>
          </w:tcPr>
          <w:p w14:paraId="589C8FB7" w14:textId="071E9E66" w:rsidR="00263AE1" w:rsidRPr="00895810"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w:t>
            </w:r>
          </w:p>
        </w:tc>
      </w:tr>
      <w:tr w:rsidR="00263AE1" w:rsidRPr="00895810" w14:paraId="740BE2F8" w14:textId="094239EC" w:rsidTr="00715E18">
        <w:tc>
          <w:tcPr>
            <w:tcW w:w="6945" w:type="dxa"/>
            <w:tcBorders>
              <w:bottom w:val="single" w:sz="2" w:space="0" w:color="3D7FE0" w:themeColor="accent1"/>
            </w:tcBorders>
            <w:vAlign w:val="bottom"/>
          </w:tcPr>
          <w:p w14:paraId="39A67AA1" w14:textId="4E14D3DC" w:rsidR="00263AE1" w:rsidRPr="00895810" w:rsidRDefault="00263AE1" w:rsidP="00263AE1">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Exchange loss previously recognised in the net investment hedge reserve</w:t>
            </w:r>
          </w:p>
        </w:tc>
        <w:tc>
          <w:tcPr>
            <w:tcW w:w="426" w:type="dxa"/>
            <w:tcBorders>
              <w:bottom w:val="single" w:sz="2" w:space="0" w:color="3D7FE0" w:themeColor="accent1"/>
            </w:tcBorders>
            <w:vAlign w:val="bottom"/>
          </w:tcPr>
          <w:p w14:paraId="42BB364C" w14:textId="77777777" w:rsidR="00263AE1" w:rsidRPr="00895810" w:rsidRDefault="00263AE1" w:rsidP="00263AE1">
            <w:pPr>
              <w:pStyle w:val="TableFigures"/>
              <w:rPr>
                <w:rFonts w:ascii="IBM Plex Sans Light" w:hAnsi="IBM Plex Sans Light"/>
                <w:szCs w:val="16"/>
              </w:rPr>
            </w:pPr>
          </w:p>
        </w:tc>
        <w:tc>
          <w:tcPr>
            <w:tcW w:w="1276" w:type="dxa"/>
            <w:tcBorders>
              <w:bottom w:val="single" w:sz="2" w:space="0" w:color="3D7FE0" w:themeColor="accent1"/>
            </w:tcBorders>
          </w:tcPr>
          <w:p w14:paraId="231EEA36" w14:textId="1B3BFD07"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80.2</w:t>
            </w:r>
          </w:p>
        </w:tc>
        <w:tc>
          <w:tcPr>
            <w:tcW w:w="1276" w:type="dxa"/>
            <w:tcBorders>
              <w:bottom w:val="single" w:sz="2" w:space="0" w:color="3D7FE0" w:themeColor="accent1"/>
            </w:tcBorders>
          </w:tcPr>
          <w:p w14:paraId="4CB4CF6D" w14:textId="682A3AB0" w:rsidR="00263AE1" w:rsidRPr="00895810"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w:t>
            </w:r>
          </w:p>
        </w:tc>
      </w:tr>
      <w:tr w:rsidR="00263AE1" w:rsidRPr="00895810" w14:paraId="1C7E8BE2" w14:textId="4F866762" w:rsidTr="00715E18">
        <w:tc>
          <w:tcPr>
            <w:tcW w:w="6945" w:type="dxa"/>
            <w:tcBorders>
              <w:top w:val="single" w:sz="2" w:space="0" w:color="3D7FE0" w:themeColor="accent1"/>
            </w:tcBorders>
            <w:vAlign w:val="bottom"/>
          </w:tcPr>
          <w:p w14:paraId="787DE2F7" w14:textId="2D0AF478" w:rsidR="00263AE1" w:rsidRPr="00895810" w:rsidRDefault="00263AE1" w:rsidP="00263AE1">
            <w:pPr>
              <w:pStyle w:val="TableFiguresBracket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 xml:space="preserve">Net exchange </w:t>
            </w:r>
            <w:r>
              <w:rPr>
                <w:rFonts w:ascii="IBM Plex Sans Light" w:hAnsi="IBM Plex Sans Light" w:cs="Arial"/>
                <w:b w:val="0"/>
                <w:bCs w:val="0"/>
                <w:sz w:val="18"/>
                <w:szCs w:val="18"/>
              </w:rPr>
              <w:t>loss</w:t>
            </w:r>
            <w:r w:rsidRPr="00895810">
              <w:rPr>
                <w:rFonts w:ascii="IBM Plex Sans Light" w:hAnsi="IBM Plex Sans Light" w:cs="Arial"/>
                <w:b w:val="0"/>
                <w:bCs w:val="0"/>
                <w:sz w:val="18"/>
                <w:szCs w:val="18"/>
              </w:rPr>
              <w:t xml:space="preserve"> relating to equity shareholders</w:t>
            </w:r>
          </w:p>
        </w:tc>
        <w:tc>
          <w:tcPr>
            <w:tcW w:w="426" w:type="dxa"/>
            <w:tcBorders>
              <w:top w:val="single" w:sz="2" w:space="0" w:color="3D7FE0" w:themeColor="accent1"/>
            </w:tcBorders>
            <w:vAlign w:val="bottom"/>
          </w:tcPr>
          <w:p w14:paraId="1079250E" w14:textId="33D4C989" w:rsidR="00263AE1" w:rsidRPr="00895810" w:rsidRDefault="00263AE1" w:rsidP="00263AE1">
            <w:pPr>
              <w:pStyle w:val="TableFigures"/>
              <w:rPr>
                <w:rFonts w:ascii="IBM Plex Sans Light" w:hAnsi="IBM Plex Sans Light"/>
                <w:szCs w:val="16"/>
              </w:rPr>
            </w:pPr>
            <w:r>
              <w:rPr>
                <w:rFonts w:ascii="IBM Plex Sans Light" w:hAnsi="IBM Plex Sans Light"/>
                <w:szCs w:val="16"/>
              </w:rPr>
              <w:t>a</w:t>
            </w:r>
          </w:p>
        </w:tc>
        <w:tc>
          <w:tcPr>
            <w:tcW w:w="1276" w:type="dxa"/>
            <w:tcBorders>
              <w:top w:val="single" w:sz="2" w:space="0" w:color="3D7FE0" w:themeColor="accent1"/>
            </w:tcBorders>
          </w:tcPr>
          <w:p w14:paraId="128F3F5D" w14:textId="6766B827"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(20.1)</w:t>
            </w:r>
          </w:p>
        </w:tc>
        <w:tc>
          <w:tcPr>
            <w:tcW w:w="1276" w:type="dxa"/>
            <w:tcBorders>
              <w:top w:val="single" w:sz="2" w:space="0" w:color="3D7FE0" w:themeColor="accent1"/>
            </w:tcBorders>
          </w:tcPr>
          <w:p w14:paraId="7238EBD2" w14:textId="0B888D0A" w:rsidR="00263AE1" w:rsidRPr="00895810"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w:t>
            </w:r>
          </w:p>
        </w:tc>
      </w:tr>
      <w:tr w:rsidR="00263AE1" w:rsidRPr="00895810" w14:paraId="1949FF6F" w14:textId="0CBBD399" w:rsidTr="00715E18">
        <w:tc>
          <w:tcPr>
            <w:tcW w:w="6945" w:type="dxa"/>
            <w:vAlign w:val="bottom"/>
          </w:tcPr>
          <w:p w14:paraId="6EA3F912" w14:textId="77777777" w:rsidR="00263AE1" w:rsidRPr="00895810" w:rsidRDefault="00263AE1" w:rsidP="00263AE1">
            <w:pPr>
              <w:pStyle w:val="TableFiguresBold"/>
              <w:jc w:val="left"/>
              <w:rPr>
                <w:rFonts w:ascii="IBM Plex Sans Light" w:hAnsi="IBM Plex Sans Light" w:cs="MyriadPro-Light"/>
                <w:color w:val="3D7FE0" w:themeColor="accent1"/>
                <w:spacing w:val="-4"/>
                <w:sz w:val="18"/>
                <w:szCs w:val="18"/>
              </w:rPr>
            </w:pPr>
          </w:p>
        </w:tc>
        <w:tc>
          <w:tcPr>
            <w:tcW w:w="426" w:type="dxa"/>
            <w:vAlign w:val="bottom"/>
          </w:tcPr>
          <w:p w14:paraId="23970F05" w14:textId="77777777" w:rsidR="00263AE1" w:rsidRPr="00895810" w:rsidRDefault="00263AE1" w:rsidP="00263AE1">
            <w:pPr>
              <w:pStyle w:val="TableFigures"/>
              <w:rPr>
                <w:rFonts w:ascii="IBM Plex Sans Light" w:hAnsi="IBM Plex Sans Light"/>
                <w:szCs w:val="16"/>
              </w:rPr>
            </w:pPr>
          </w:p>
        </w:tc>
        <w:tc>
          <w:tcPr>
            <w:tcW w:w="1276" w:type="dxa"/>
          </w:tcPr>
          <w:p w14:paraId="7527F75F" w14:textId="77777777" w:rsidR="00263AE1" w:rsidRPr="00263AE1" w:rsidRDefault="00263AE1"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1CB1553F" w14:textId="707475E0" w:rsidR="00263AE1" w:rsidRPr="00895810" w:rsidRDefault="00263AE1" w:rsidP="00263AE1">
            <w:pPr>
              <w:pStyle w:val="TableFigures"/>
              <w:rPr>
                <w:rFonts w:ascii="IBM Plex Sans Light" w:hAnsi="IBM Plex Sans Light"/>
                <w:color w:val="auto"/>
                <w:spacing w:val="-4"/>
                <w:sz w:val="18"/>
                <w:szCs w:val="18"/>
              </w:rPr>
            </w:pPr>
          </w:p>
        </w:tc>
      </w:tr>
      <w:tr w:rsidR="00263AE1" w:rsidRPr="00895810" w14:paraId="146B0BCF" w14:textId="5A20225C" w:rsidTr="00715E18">
        <w:tc>
          <w:tcPr>
            <w:tcW w:w="6945" w:type="dxa"/>
            <w:vAlign w:val="bottom"/>
          </w:tcPr>
          <w:p w14:paraId="34117383" w14:textId="7B1A8A2B" w:rsidR="00263AE1" w:rsidRPr="00895810" w:rsidRDefault="00263AE1" w:rsidP="00263AE1">
            <w:pPr>
              <w:spacing w:after="0" w:line="240" w:lineRule="auto"/>
              <w:rPr>
                <w:rFonts w:ascii="IBM Plex Sans Light" w:hAnsi="IBM Plex Sans Light"/>
                <w:color w:val="3D7FE0" w:themeColor="accent1"/>
                <w:szCs w:val="18"/>
                <w:highlight w:val="yellow"/>
              </w:rPr>
            </w:pPr>
            <w:r w:rsidRPr="00895810">
              <w:rPr>
                <w:rFonts w:ascii="IBM Plex Sans Light" w:hAnsi="IBM Plex Sans Light" w:cs="Arial"/>
                <w:b/>
                <w:color w:val="3D7FE0" w:themeColor="accent1"/>
                <w:szCs w:val="18"/>
              </w:rPr>
              <w:t>Items that may subsequently be recycled through profit or loss</w:t>
            </w:r>
            <w:r>
              <w:rPr>
                <w:rFonts w:ascii="IBM Plex Sans Light" w:hAnsi="IBM Plex Sans Light" w:cs="Arial"/>
                <w:b/>
                <w:color w:val="3D7FE0" w:themeColor="accent1"/>
                <w:szCs w:val="18"/>
              </w:rPr>
              <w:t>, net of tax</w:t>
            </w:r>
          </w:p>
        </w:tc>
        <w:tc>
          <w:tcPr>
            <w:tcW w:w="426" w:type="dxa"/>
            <w:vAlign w:val="bottom"/>
          </w:tcPr>
          <w:p w14:paraId="1C894787" w14:textId="77777777" w:rsidR="00263AE1" w:rsidRPr="00895810" w:rsidRDefault="00263AE1" w:rsidP="00263AE1">
            <w:pPr>
              <w:pStyle w:val="TableFigures"/>
              <w:rPr>
                <w:rFonts w:ascii="IBM Plex Sans Light" w:hAnsi="IBM Plex Sans Light"/>
                <w:szCs w:val="16"/>
              </w:rPr>
            </w:pPr>
          </w:p>
        </w:tc>
        <w:tc>
          <w:tcPr>
            <w:tcW w:w="1276" w:type="dxa"/>
          </w:tcPr>
          <w:p w14:paraId="5989BED6" w14:textId="77777777" w:rsidR="00263AE1" w:rsidRPr="00263AE1" w:rsidRDefault="00263AE1"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1DD30069" w14:textId="720BF00C" w:rsidR="00263AE1" w:rsidRPr="00895810" w:rsidRDefault="00263AE1" w:rsidP="00263AE1">
            <w:pPr>
              <w:pStyle w:val="TableFiguresBrackets"/>
              <w:rPr>
                <w:rFonts w:ascii="IBM Plex Sans Light" w:hAnsi="IBM Plex Sans Light"/>
                <w:color w:val="auto"/>
                <w:spacing w:val="-4"/>
                <w:sz w:val="18"/>
                <w:szCs w:val="18"/>
              </w:rPr>
            </w:pPr>
          </w:p>
        </w:tc>
      </w:tr>
      <w:tr w:rsidR="00263AE1" w:rsidRPr="00895810" w14:paraId="4E3164B7" w14:textId="42C37F95" w:rsidTr="00715E18">
        <w:tc>
          <w:tcPr>
            <w:tcW w:w="6945" w:type="dxa"/>
            <w:vAlign w:val="bottom"/>
          </w:tcPr>
          <w:p w14:paraId="57DCEF7D" w14:textId="267AC0CB" w:rsidR="00263AE1" w:rsidRPr="00895810" w:rsidRDefault="00263AE1" w:rsidP="00263AE1">
            <w:pPr>
              <w:pStyle w:val="TableFiguresBracket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Foreign exchange translation differences</w:t>
            </w:r>
          </w:p>
        </w:tc>
        <w:tc>
          <w:tcPr>
            <w:tcW w:w="426" w:type="dxa"/>
            <w:vAlign w:val="bottom"/>
          </w:tcPr>
          <w:p w14:paraId="51DC8133" w14:textId="77777777" w:rsidR="00263AE1" w:rsidRPr="00895810" w:rsidRDefault="00263AE1" w:rsidP="00263AE1">
            <w:pPr>
              <w:pStyle w:val="TableFigures"/>
              <w:rPr>
                <w:rFonts w:ascii="IBM Plex Sans Light" w:hAnsi="IBM Plex Sans Light"/>
                <w:szCs w:val="16"/>
              </w:rPr>
            </w:pPr>
          </w:p>
        </w:tc>
        <w:tc>
          <w:tcPr>
            <w:tcW w:w="1276" w:type="dxa"/>
          </w:tcPr>
          <w:p w14:paraId="135565DC" w14:textId="6AB39C5D"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(49.3)</w:t>
            </w:r>
          </w:p>
        </w:tc>
        <w:tc>
          <w:tcPr>
            <w:tcW w:w="1276" w:type="dxa"/>
            <w:vAlign w:val="bottom"/>
          </w:tcPr>
          <w:p w14:paraId="61023CE3" w14:textId="18162053" w:rsidR="00263AE1" w:rsidRPr="00C04F87"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130.6</w:t>
            </w:r>
          </w:p>
        </w:tc>
      </w:tr>
      <w:tr w:rsidR="00263AE1" w:rsidRPr="00895810" w14:paraId="144C4D3E" w14:textId="2DE6AE6D" w:rsidTr="00715E18">
        <w:tc>
          <w:tcPr>
            <w:tcW w:w="6945" w:type="dxa"/>
            <w:vAlign w:val="bottom"/>
          </w:tcPr>
          <w:p w14:paraId="024B29EF" w14:textId="32346E45" w:rsidR="00263AE1" w:rsidRPr="00895810" w:rsidRDefault="00263AE1" w:rsidP="00263AE1">
            <w:pPr>
              <w:pStyle w:val="TableFiguresBold"/>
              <w:jc w:val="left"/>
              <w:rPr>
                <w:rFonts w:ascii="IBM Plex Sans Light" w:hAnsi="IBM Plex Sans Light"/>
                <w:b w:val="0"/>
                <w:bCs w:val="0"/>
                <w:color w:val="3D7FE0" w:themeColor="accent1"/>
                <w:spacing w:val="-4"/>
                <w:sz w:val="18"/>
                <w:szCs w:val="18"/>
              </w:rPr>
            </w:pPr>
            <w:r>
              <w:rPr>
                <w:rFonts w:ascii="IBM Plex Sans Light" w:hAnsi="IBM Plex Sans Light" w:cs="Arial"/>
                <w:b w:val="0"/>
                <w:bCs w:val="0"/>
                <w:sz w:val="18"/>
                <w:szCs w:val="18"/>
              </w:rPr>
              <w:t>Gain/</w:t>
            </w:r>
            <w:r w:rsidRPr="00895810">
              <w:rPr>
                <w:rFonts w:ascii="IBM Plex Sans Light" w:hAnsi="IBM Plex Sans Light" w:cs="Arial"/>
                <w:b w:val="0"/>
                <w:bCs w:val="0"/>
                <w:sz w:val="18"/>
                <w:szCs w:val="18"/>
              </w:rPr>
              <w:t>(</w:t>
            </w:r>
            <w:r>
              <w:rPr>
                <w:rFonts w:ascii="IBM Plex Sans Light" w:hAnsi="IBM Plex Sans Light" w:cs="Arial"/>
                <w:b w:val="0"/>
                <w:bCs w:val="0"/>
                <w:sz w:val="18"/>
                <w:szCs w:val="18"/>
              </w:rPr>
              <w:t>l</w:t>
            </w:r>
            <w:r w:rsidRPr="00895810">
              <w:rPr>
                <w:rFonts w:ascii="IBM Plex Sans Light" w:hAnsi="IBM Plex Sans Light" w:cs="Arial"/>
                <w:b w:val="0"/>
                <w:bCs w:val="0"/>
                <w:sz w:val="18"/>
                <w:szCs w:val="18"/>
              </w:rPr>
              <w:t>oss) on net investment hedge</w:t>
            </w:r>
          </w:p>
        </w:tc>
        <w:tc>
          <w:tcPr>
            <w:tcW w:w="426" w:type="dxa"/>
            <w:vAlign w:val="bottom"/>
          </w:tcPr>
          <w:p w14:paraId="18946A0D" w14:textId="77777777" w:rsidR="00263AE1" w:rsidRPr="00895810" w:rsidRDefault="00263AE1" w:rsidP="00263AE1">
            <w:pPr>
              <w:pStyle w:val="TableFigures"/>
              <w:rPr>
                <w:rFonts w:ascii="IBM Plex Sans Light" w:hAnsi="IBM Plex Sans Light"/>
                <w:szCs w:val="16"/>
              </w:rPr>
            </w:pPr>
          </w:p>
        </w:tc>
        <w:tc>
          <w:tcPr>
            <w:tcW w:w="1276" w:type="dxa"/>
          </w:tcPr>
          <w:p w14:paraId="10B53F5B" w14:textId="078280B8"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39.3</w:t>
            </w:r>
          </w:p>
        </w:tc>
        <w:tc>
          <w:tcPr>
            <w:tcW w:w="1276" w:type="dxa"/>
          </w:tcPr>
          <w:p w14:paraId="05BE5CE6" w14:textId="057665F7" w:rsidR="00263AE1" w:rsidRPr="00895810" w:rsidRDefault="00263AE1" w:rsidP="00263AE1">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(103.4)</w:t>
            </w:r>
          </w:p>
        </w:tc>
      </w:tr>
      <w:tr w:rsidR="00263AE1" w:rsidRPr="00895810" w14:paraId="5FDEE35D" w14:textId="72FE9A1A" w:rsidTr="00715E18">
        <w:tc>
          <w:tcPr>
            <w:tcW w:w="6945" w:type="dxa"/>
            <w:vAlign w:val="bottom"/>
          </w:tcPr>
          <w:p w14:paraId="7A92A8AA" w14:textId="77E0C552" w:rsidR="00263AE1" w:rsidRPr="00895810" w:rsidRDefault="00263AE1" w:rsidP="00263AE1">
            <w:pPr>
              <w:pStyle w:val="TableFiguresBracket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 xml:space="preserve">Net </w:t>
            </w:r>
            <w:r>
              <w:rPr>
                <w:rFonts w:ascii="IBM Plex Sans Light" w:hAnsi="IBM Plex Sans Light" w:cs="Arial"/>
                <w:b w:val="0"/>
                <w:bCs w:val="0"/>
                <w:sz w:val="18"/>
                <w:szCs w:val="18"/>
              </w:rPr>
              <w:t>gain/(</w:t>
            </w:r>
            <w:r w:rsidRPr="00895810">
              <w:rPr>
                <w:rFonts w:ascii="IBM Plex Sans Light" w:hAnsi="IBM Plex Sans Light" w:cs="Arial"/>
                <w:b w:val="0"/>
                <w:bCs w:val="0"/>
                <w:sz w:val="18"/>
                <w:szCs w:val="18"/>
              </w:rPr>
              <w:t>loss</w:t>
            </w:r>
            <w:r>
              <w:rPr>
                <w:rFonts w:ascii="IBM Plex Sans Light" w:hAnsi="IBM Plex Sans Light" w:cs="Arial"/>
                <w:b w:val="0"/>
                <w:bCs w:val="0"/>
                <w:sz w:val="18"/>
                <w:szCs w:val="18"/>
              </w:rPr>
              <w:t>)</w:t>
            </w:r>
            <w:r w:rsidRPr="00895810">
              <w:rPr>
                <w:rFonts w:ascii="IBM Plex Sans Light" w:hAnsi="IBM Plex Sans Light" w:cs="Arial"/>
                <w:b w:val="0"/>
                <w:bCs w:val="0"/>
                <w:sz w:val="18"/>
                <w:szCs w:val="18"/>
              </w:rPr>
              <w:t xml:space="preserve"> on cash flow hedge</w:t>
            </w:r>
          </w:p>
        </w:tc>
        <w:tc>
          <w:tcPr>
            <w:tcW w:w="426" w:type="dxa"/>
            <w:vAlign w:val="bottom"/>
          </w:tcPr>
          <w:p w14:paraId="675D7119" w14:textId="77777777" w:rsidR="00263AE1" w:rsidRPr="00895810" w:rsidRDefault="00263AE1" w:rsidP="00263AE1">
            <w:pPr>
              <w:pStyle w:val="TableFigures"/>
              <w:rPr>
                <w:rFonts w:ascii="IBM Plex Sans Light" w:hAnsi="IBM Plex Sans Light"/>
                <w:szCs w:val="16"/>
              </w:rPr>
            </w:pPr>
          </w:p>
        </w:tc>
        <w:tc>
          <w:tcPr>
            <w:tcW w:w="1276" w:type="dxa"/>
          </w:tcPr>
          <w:p w14:paraId="06C8C94B" w14:textId="3490B9A8"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0.2</w:t>
            </w:r>
          </w:p>
        </w:tc>
        <w:tc>
          <w:tcPr>
            <w:tcW w:w="1276" w:type="dxa"/>
          </w:tcPr>
          <w:p w14:paraId="2C6ABA47" w14:textId="6A5EBE99" w:rsidR="00263AE1" w:rsidRPr="00895810" w:rsidRDefault="00263AE1" w:rsidP="00263AE1">
            <w:pPr>
              <w:pStyle w:val="TableFiguresBrackets"/>
              <w:rPr>
                <w:rFonts w:ascii="IBM Plex Sans Light" w:hAnsi="IBM Plex Sans Light"/>
                <w:color w:val="auto"/>
                <w:spacing w:val="-4"/>
                <w:sz w:val="18"/>
              </w:rPr>
            </w:pPr>
            <w:r w:rsidRPr="00C04F87">
              <w:rPr>
                <w:rFonts w:ascii="IBM Plex Sans Light" w:hAnsi="IBM Plex Sans Light"/>
                <w:color w:val="auto"/>
                <w:spacing w:val="-4"/>
                <w:sz w:val="18"/>
              </w:rPr>
              <w:t>(1.9)</w:t>
            </w:r>
          </w:p>
        </w:tc>
      </w:tr>
      <w:tr w:rsidR="00263AE1" w:rsidRPr="00895810" w14:paraId="091AC235" w14:textId="1578FFC0" w:rsidTr="00715E18">
        <w:tc>
          <w:tcPr>
            <w:tcW w:w="6945" w:type="dxa"/>
            <w:tcBorders>
              <w:bottom w:val="single" w:sz="2" w:space="0" w:color="3D7FE0" w:themeColor="accent1"/>
            </w:tcBorders>
            <w:vAlign w:val="bottom"/>
          </w:tcPr>
          <w:p w14:paraId="2DEA3C55" w14:textId="08EE1F8C" w:rsidR="00263AE1" w:rsidRPr="00895810" w:rsidRDefault="00263AE1" w:rsidP="00263AE1">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 xml:space="preserve">Share of other comprehensive </w:t>
            </w:r>
            <w:r>
              <w:rPr>
                <w:rFonts w:ascii="IBM Plex Sans Light" w:hAnsi="IBM Plex Sans Light" w:cs="Arial"/>
                <w:b w:val="0"/>
                <w:bCs w:val="0"/>
                <w:sz w:val="18"/>
                <w:szCs w:val="18"/>
              </w:rPr>
              <w:t xml:space="preserve">(loss)/gain </w:t>
            </w:r>
            <w:r w:rsidRPr="00895810">
              <w:rPr>
                <w:rFonts w:ascii="IBM Plex Sans Light" w:hAnsi="IBM Plex Sans Light" w:cs="Arial"/>
                <w:b w:val="0"/>
                <w:bCs w:val="0"/>
                <w:sz w:val="18"/>
                <w:szCs w:val="18"/>
              </w:rPr>
              <w:t>of associates</w:t>
            </w:r>
          </w:p>
        </w:tc>
        <w:tc>
          <w:tcPr>
            <w:tcW w:w="426" w:type="dxa"/>
            <w:tcBorders>
              <w:bottom w:val="single" w:sz="2" w:space="0" w:color="3D7FE0" w:themeColor="accent1"/>
            </w:tcBorders>
            <w:vAlign w:val="bottom"/>
          </w:tcPr>
          <w:p w14:paraId="0E194559" w14:textId="77777777" w:rsidR="00263AE1" w:rsidRPr="00895810" w:rsidRDefault="00263AE1" w:rsidP="00263AE1">
            <w:pPr>
              <w:pStyle w:val="TableFigures"/>
              <w:rPr>
                <w:rFonts w:ascii="IBM Plex Sans Light" w:hAnsi="IBM Plex Sans Light"/>
                <w:szCs w:val="16"/>
              </w:rPr>
            </w:pPr>
          </w:p>
        </w:tc>
        <w:tc>
          <w:tcPr>
            <w:tcW w:w="1276" w:type="dxa"/>
            <w:tcBorders>
              <w:bottom w:val="single" w:sz="2" w:space="0" w:color="3D7FE0" w:themeColor="accent1"/>
            </w:tcBorders>
          </w:tcPr>
          <w:p w14:paraId="7A863135" w14:textId="2F2F3F51"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(8.8)</w:t>
            </w:r>
          </w:p>
        </w:tc>
        <w:tc>
          <w:tcPr>
            <w:tcW w:w="1276" w:type="dxa"/>
            <w:tcBorders>
              <w:bottom w:val="single" w:sz="2" w:space="0" w:color="3D7FE0" w:themeColor="accent1"/>
            </w:tcBorders>
          </w:tcPr>
          <w:p w14:paraId="5DF826F0" w14:textId="032ADD86" w:rsidR="00263AE1" w:rsidRPr="00C04F87"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23.3</w:t>
            </w:r>
          </w:p>
        </w:tc>
      </w:tr>
      <w:tr w:rsidR="00263AE1" w:rsidRPr="00895810" w14:paraId="52194218" w14:textId="13FABC40" w:rsidTr="00715E18">
        <w:tc>
          <w:tcPr>
            <w:tcW w:w="6945" w:type="dxa"/>
            <w:tcBorders>
              <w:top w:val="single" w:sz="2" w:space="0" w:color="3D7FE0" w:themeColor="accent1"/>
            </w:tcBorders>
            <w:vAlign w:val="bottom"/>
          </w:tcPr>
          <w:p w14:paraId="21A13FDF" w14:textId="35F9C533" w:rsidR="00263AE1" w:rsidRPr="00895810" w:rsidRDefault="00263AE1" w:rsidP="00263AE1">
            <w:pPr>
              <w:pStyle w:val="TableFiguresBracketsBold"/>
              <w:jc w:val="left"/>
              <w:rPr>
                <w:rFonts w:ascii="IBM Plex Sans Light" w:hAnsi="IBM Plex Sans Light"/>
                <w:color w:val="3D7FE0" w:themeColor="accent1"/>
                <w:spacing w:val="-4"/>
                <w:sz w:val="18"/>
                <w:szCs w:val="18"/>
              </w:rPr>
            </w:pPr>
          </w:p>
        </w:tc>
        <w:tc>
          <w:tcPr>
            <w:tcW w:w="426" w:type="dxa"/>
            <w:tcBorders>
              <w:top w:val="single" w:sz="2" w:space="0" w:color="3D7FE0" w:themeColor="accent1"/>
            </w:tcBorders>
            <w:vAlign w:val="bottom"/>
          </w:tcPr>
          <w:p w14:paraId="421C1C2A" w14:textId="77777777" w:rsidR="00263AE1" w:rsidRPr="00895810" w:rsidRDefault="00263AE1" w:rsidP="00263AE1">
            <w:pPr>
              <w:pStyle w:val="TableFigures"/>
              <w:rPr>
                <w:rFonts w:ascii="IBM Plex Sans Light" w:hAnsi="IBM Plex Sans Light"/>
                <w:szCs w:val="16"/>
              </w:rPr>
            </w:pPr>
          </w:p>
        </w:tc>
        <w:tc>
          <w:tcPr>
            <w:tcW w:w="1276" w:type="dxa"/>
            <w:tcBorders>
              <w:top w:val="single" w:sz="2" w:space="0" w:color="3D7FE0" w:themeColor="accent1"/>
            </w:tcBorders>
          </w:tcPr>
          <w:p w14:paraId="4B713C0B" w14:textId="429CE5BC"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(18.6)</w:t>
            </w:r>
          </w:p>
        </w:tc>
        <w:tc>
          <w:tcPr>
            <w:tcW w:w="1276" w:type="dxa"/>
            <w:tcBorders>
              <w:top w:val="single" w:sz="2" w:space="0" w:color="3D7FE0" w:themeColor="accent1"/>
            </w:tcBorders>
          </w:tcPr>
          <w:p w14:paraId="1514AEC8" w14:textId="5984714E" w:rsidR="00263AE1" w:rsidRPr="00C04F87"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48.6</w:t>
            </w:r>
          </w:p>
        </w:tc>
      </w:tr>
      <w:tr w:rsidR="00263AE1" w:rsidRPr="00895810" w14:paraId="77749FF4" w14:textId="5581E5BA" w:rsidTr="00715E18">
        <w:tc>
          <w:tcPr>
            <w:tcW w:w="6945" w:type="dxa"/>
            <w:vAlign w:val="bottom"/>
          </w:tcPr>
          <w:p w14:paraId="6C90F470" w14:textId="617FC24D" w:rsidR="00263AE1" w:rsidRPr="00895810" w:rsidRDefault="00263AE1" w:rsidP="00263AE1">
            <w:pPr>
              <w:spacing w:after="0" w:line="240" w:lineRule="auto"/>
              <w:rPr>
                <w:rFonts w:ascii="IBM Plex Sans Light" w:hAnsi="IBM Plex Sans Light"/>
                <w:color w:val="3D7FE0" w:themeColor="accent1"/>
                <w:szCs w:val="18"/>
              </w:rPr>
            </w:pPr>
            <w:r w:rsidRPr="00895810">
              <w:rPr>
                <w:rFonts w:ascii="IBM Plex Sans Light" w:hAnsi="IBM Plex Sans Light" w:cs="Arial"/>
                <w:b/>
                <w:color w:val="3D7FE0" w:themeColor="accent1"/>
                <w:szCs w:val="18"/>
              </w:rPr>
              <w:t>Items that will not subsequently be recycled through the profit or loss</w:t>
            </w:r>
            <w:r>
              <w:rPr>
                <w:rFonts w:ascii="IBM Plex Sans Light" w:hAnsi="IBM Plex Sans Light" w:cs="Arial"/>
                <w:b/>
                <w:color w:val="3D7FE0" w:themeColor="accent1"/>
                <w:szCs w:val="18"/>
              </w:rPr>
              <w:t>, net of tax</w:t>
            </w:r>
          </w:p>
        </w:tc>
        <w:tc>
          <w:tcPr>
            <w:tcW w:w="426" w:type="dxa"/>
            <w:vAlign w:val="bottom"/>
          </w:tcPr>
          <w:p w14:paraId="0FFE584A" w14:textId="77777777" w:rsidR="00263AE1" w:rsidRPr="00895810" w:rsidRDefault="00263AE1" w:rsidP="00263AE1">
            <w:pPr>
              <w:pStyle w:val="TableFigures"/>
              <w:rPr>
                <w:rFonts w:ascii="IBM Plex Sans Light" w:hAnsi="IBM Plex Sans Light"/>
                <w:szCs w:val="16"/>
              </w:rPr>
            </w:pPr>
          </w:p>
        </w:tc>
        <w:tc>
          <w:tcPr>
            <w:tcW w:w="1276" w:type="dxa"/>
          </w:tcPr>
          <w:p w14:paraId="2B8DBC11" w14:textId="77777777" w:rsidR="00263AE1" w:rsidRPr="00263AE1" w:rsidRDefault="00263AE1"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7356FDD0" w14:textId="32C9AE8A" w:rsidR="00263AE1" w:rsidRPr="00DD661B" w:rsidRDefault="00263AE1" w:rsidP="00263AE1">
            <w:pPr>
              <w:pStyle w:val="TableFiguresBrackets"/>
              <w:rPr>
                <w:rFonts w:ascii="IBM Plex Sans Light" w:hAnsi="IBM Plex Sans Light"/>
                <w:color w:val="auto"/>
                <w:spacing w:val="-4"/>
                <w:sz w:val="18"/>
              </w:rPr>
            </w:pPr>
          </w:p>
        </w:tc>
      </w:tr>
      <w:tr w:rsidR="00263AE1" w:rsidRPr="00895810" w14:paraId="6E1C3BE9" w14:textId="6B540E52" w:rsidTr="00715E18">
        <w:tc>
          <w:tcPr>
            <w:tcW w:w="6945" w:type="dxa"/>
            <w:vAlign w:val="bottom"/>
          </w:tcPr>
          <w:p w14:paraId="6D94E9EC" w14:textId="1FE2F62C" w:rsidR="00263AE1" w:rsidRPr="00895810" w:rsidRDefault="00263AE1" w:rsidP="00263AE1">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cs="Arial"/>
                <w:b w:val="0"/>
                <w:bCs w:val="0"/>
                <w:sz w:val="18"/>
                <w:szCs w:val="18"/>
              </w:rPr>
              <w:t xml:space="preserve">Net actuarial </w:t>
            </w:r>
            <w:r>
              <w:rPr>
                <w:rFonts w:ascii="IBM Plex Sans Light" w:hAnsi="IBM Plex Sans Light" w:cs="Arial"/>
                <w:b w:val="0"/>
                <w:bCs w:val="0"/>
                <w:sz w:val="18"/>
                <w:szCs w:val="18"/>
              </w:rPr>
              <w:t>losses</w:t>
            </w:r>
            <w:r w:rsidRPr="00895810">
              <w:rPr>
                <w:rFonts w:ascii="IBM Plex Sans Light" w:hAnsi="IBM Plex Sans Light" w:cs="Arial"/>
                <w:b w:val="0"/>
                <w:bCs w:val="0"/>
                <w:sz w:val="18"/>
                <w:szCs w:val="18"/>
              </w:rPr>
              <w:t xml:space="preserve"> on pension schemes</w:t>
            </w:r>
          </w:p>
        </w:tc>
        <w:tc>
          <w:tcPr>
            <w:tcW w:w="426" w:type="dxa"/>
            <w:vAlign w:val="bottom"/>
          </w:tcPr>
          <w:p w14:paraId="04DF0676" w14:textId="77777777" w:rsidR="00263AE1" w:rsidRPr="00895810" w:rsidRDefault="00263AE1" w:rsidP="00263AE1">
            <w:pPr>
              <w:pStyle w:val="TableFigures"/>
              <w:rPr>
                <w:rFonts w:ascii="IBM Plex Sans Light" w:hAnsi="IBM Plex Sans Light"/>
                <w:szCs w:val="16"/>
              </w:rPr>
            </w:pPr>
          </w:p>
        </w:tc>
        <w:tc>
          <w:tcPr>
            <w:tcW w:w="1276" w:type="dxa"/>
          </w:tcPr>
          <w:p w14:paraId="7B079CED" w14:textId="182638F0"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(1.4)</w:t>
            </w:r>
          </w:p>
        </w:tc>
        <w:tc>
          <w:tcPr>
            <w:tcW w:w="1276" w:type="dxa"/>
            <w:vAlign w:val="bottom"/>
          </w:tcPr>
          <w:p w14:paraId="12B64013" w14:textId="12ABE546" w:rsidR="00263AE1" w:rsidRPr="00895810" w:rsidRDefault="00263AE1" w:rsidP="00263AE1">
            <w:pPr>
              <w:pStyle w:val="TableFiguresBrackets"/>
              <w:rPr>
                <w:rFonts w:ascii="IBM Plex Sans Light" w:hAnsi="IBM Plex Sans Light"/>
                <w:color w:val="auto"/>
                <w:spacing w:val="-4"/>
                <w:sz w:val="18"/>
              </w:rPr>
            </w:pPr>
            <w:r>
              <w:rPr>
                <w:rFonts w:ascii="IBM Plex Sans Light" w:hAnsi="IBM Plex Sans Light"/>
                <w:color w:val="auto"/>
                <w:spacing w:val="-4"/>
                <w:sz w:val="18"/>
              </w:rPr>
              <w:t>(26.7)</w:t>
            </w:r>
          </w:p>
        </w:tc>
      </w:tr>
      <w:tr w:rsidR="00263AE1" w:rsidRPr="00895810" w14:paraId="758FC2C7" w14:textId="77777777" w:rsidTr="00715E18">
        <w:tc>
          <w:tcPr>
            <w:tcW w:w="6945" w:type="dxa"/>
            <w:tcBorders>
              <w:bottom w:val="single" w:sz="2" w:space="0" w:color="3D7FE0" w:themeColor="accent1"/>
            </w:tcBorders>
            <w:vAlign w:val="bottom"/>
          </w:tcPr>
          <w:p w14:paraId="3BCB9382" w14:textId="77777777" w:rsidR="00263AE1" w:rsidRPr="00895810" w:rsidRDefault="00263AE1" w:rsidP="00263AE1">
            <w:pPr>
              <w:pStyle w:val="TableFiguresBold"/>
              <w:jc w:val="left"/>
              <w:rPr>
                <w:rFonts w:ascii="IBM Plex Sans Light" w:hAnsi="IBM Plex Sans Light" w:cs="Arial"/>
                <w:b w:val="0"/>
                <w:bCs w:val="0"/>
                <w:sz w:val="18"/>
                <w:szCs w:val="18"/>
              </w:rPr>
            </w:pPr>
          </w:p>
        </w:tc>
        <w:tc>
          <w:tcPr>
            <w:tcW w:w="426" w:type="dxa"/>
            <w:tcBorders>
              <w:bottom w:val="single" w:sz="2" w:space="0" w:color="3D7FE0" w:themeColor="accent1"/>
            </w:tcBorders>
            <w:vAlign w:val="bottom"/>
          </w:tcPr>
          <w:p w14:paraId="0BE6A6CA" w14:textId="77777777" w:rsidR="00263AE1" w:rsidRPr="00895810" w:rsidRDefault="00263AE1" w:rsidP="00263AE1">
            <w:pPr>
              <w:pStyle w:val="TableFigures"/>
              <w:rPr>
                <w:rFonts w:ascii="IBM Plex Sans Light" w:hAnsi="IBM Plex Sans Light"/>
                <w:szCs w:val="16"/>
              </w:rPr>
            </w:pPr>
          </w:p>
        </w:tc>
        <w:tc>
          <w:tcPr>
            <w:tcW w:w="1276" w:type="dxa"/>
            <w:tcBorders>
              <w:bottom w:val="single" w:sz="2" w:space="0" w:color="3D7FE0" w:themeColor="accent1"/>
            </w:tcBorders>
          </w:tcPr>
          <w:p w14:paraId="2A994E94" w14:textId="77777777" w:rsidR="00263AE1" w:rsidRPr="00263AE1" w:rsidRDefault="00263AE1" w:rsidP="00263AE1">
            <w:pPr>
              <w:pStyle w:val="TableFigures"/>
              <w:rPr>
                <w:rFonts w:ascii="IBM Plex Sans Medium" w:hAnsi="IBM Plex Sans Medium"/>
                <w:b/>
                <w:bCs/>
                <w:color w:val="3D7FE0" w:themeColor="accent1"/>
                <w:spacing w:val="-4"/>
                <w:sz w:val="18"/>
                <w:szCs w:val="18"/>
              </w:rPr>
            </w:pPr>
          </w:p>
        </w:tc>
        <w:tc>
          <w:tcPr>
            <w:tcW w:w="1276" w:type="dxa"/>
            <w:tcBorders>
              <w:bottom w:val="single" w:sz="2" w:space="0" w:color="3D7FE0" w:themeColor="accent1"/>
            </w:tcBorders>
            <w:vAlign w:val="bottom"/>
          </w:tcPr>
          <w:p w14:paraId="79F63658" w14:textId="77777777" w:rsidR="00263AE1" w:rsidRPr="00895810" w:rsidRDefault="00263AE1" w:rsidP="00263AE1">
            <w:pPr>
              <w:pStyle w:val="TableFiguresBrackets"/>
              <w:rPr>
                <w:rFonts w:ascii="IBM Plex Sans Light" w:hAnsi="IBM Plex Sans Light"/>
                <w:color w:val="auto"/>
                <w:spacing w:val="-4"/>
                <w:sz w:val="18"/>
              </w:rPr>
            </w:pPr>
          </w:p>
        </w:tc>
      </w:tr>
      <w:tr w:rsidR="00263AE1" w:rsidRPr="00895810" w14:paraId="41B55D05" w14:textId="74C4DC1C" w:rsidTr="00715E18">
        <w:tc>
          <w:tcPr>
            <w:tcW w:w="6945" w:type="dxa"/>
            <w:tcBorders>
              <w:top w:val="single" w:sz="2" w:space="0" w:color="3D7FE0" w:themeColor="accent1"/>
              <w:bottom w:val="single" w:sz="4" w:space="0" w:color="3D7FE0" w:themeColor="accent1"/>
            </w:tcBorders>
            <w:vAlign w:val="bottom"/>
          </w:tcPr>
          <w:p w14:paraId="3D28290D" w14:textId="08B53C7C" w:rsidR="00263AE1" w:rsidRPr="00895810" w:rsidRDefault="00263AE1" w:rsidP="00263AE1">
            <w:pPr>
              <w:spacing w:after="0" w:line="240" w:lineRule="auto"/>
              <w:rPr>
                <w:rFonts w:ascii="IBM Plex Sans Light" w:hAnsi="IBM Plex Sans Light"/>
                <w:color w:val="3D7FE0" w:themeColor="accent1"/>
                <w:szCs w:val="18"/>
              </w:rPr>
            </w:pPr>
            <w:r w:rsidRPr="00895810">
              <w:rPr>
                <w:rFonts w:ascii="IBM Plex Sans Light" w:hAnsi="IBM Plex Sans Light" w:cs="Arial"/>
                <w:b/>
                <w:color w:val="3D7FE0" w:themeColor="accent1"/>
                <w:szCs w:val="18"/>
              </w:rPr>
              <w:t>Total other comprehensive</w:t>
            </w:r>
            <w:r>
              <w:rPr>
                <w:rFonts w:ascii="IBM Plex Sans Light" w:hAnsi="IBM Plex Sans Light" w:cs="Arial"/>
                <w:b/>
                <w:color w:val="3D7FE0" w:themeColor="accent1"/>
                <w:szCs w:val="18"/>
              </w:rPr>
              <w:t xml:space="preserve"> (loss)/</w:t>
            </w:r>
            <w:r w:rsidRPr="00895810">
              <w:rPr>
                <w:rFonts w:ascii="IBM Plex Sans Light" w:hAnsi="IBM Plex Sans Light" w:cs="Arial"/>
                <w:b/>
                <w:color w:val="3D7FE0" w:themeColor="accent1"/>
                <w:szCs w:val="18"/>
              </w:rPr>
              <w:t>income</w:t>
            </w:r>
          </w:p>
        </w:tc>
        <w:tc>
          <w:tcPr>
            <w:tcW w:w="426" w:type="dxa"/>
            <w:tcBorders>
              <w:top w:val="single" w:sz="2" w:space="0" w:color="3D7FE0" w:themeColor="accent1"/>
              <w:bottom w:val="single" w:sz="4" w:space="0" w:color="3D7FE0" w:themeColor="accent1"/>
            </w:tcBorders>
            <w:vAlign w:val="bottom"/>
          </w:tcPr>
          <w:p w14:paraId="48BBB9BB" w14:textId="05446065" w:rsidR="00263AE1" w:rsidRPr="00895810" w:rsidRDefault="00263AE1" w:rsidP="00263AE1">
            <w:pPr>
              <w:pStyle w:val="TableFigures"/>
              <w:rPr>
                <w:rFonts w:ascii="IBM Plex Sans Light" w:hAnsi="IBM Plex Sans Light"/>
                <w:szCs w:val="16"/>
              </w:rPr>
            </w:pPr>
            <w:r>
              <w:rPr>
                <w:rFonts w:ascii="IBM Plex Sans Light" w:hAnsi="IBM Plex Sans Light"/>
                <w:szCs w:val="16"/>
              </w:rPr>
              <w:t>b</w:t>
            </w:r>
          </w:p>
        </w:tc>
        <w:tc>
          <w:tcPr>
            <w:tcW w:w="1276" w:type="dxa"/>
            <w:tcBorders>
              <w:top w:val="single" w:sz="2" w:space="0" w:color="3D7FE0" w:themeColor="accent1"/>
              <w:bottom w:val="single" w:sz="4" w:space="0" w:color="3D7FE0" w:themeColor="accent1"/>
            </w:tcBorders>
          </w:tcPr>
          <w:p w14:paraId="64D104E3" w14:textId="0D630849"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(40.1)</w:t>
            </w:r>
          </w:p>
        </w:tc>
        <w:tc>
          <w:tcPr>
            <w:tcW w:w="1276" w:type="dxa"/>
            <w:tcBorders>
              <w:top w:val="single" w:sz="2" w:space="0" w:color="3D7FE0" w:themeColor="accent1"/>
              <w:bottom w:val="single" w:sz="4" w:space="0" w:color="3D7FE0" w:themeColor="accent1"/>
            </w:tcBorders>
            <w:vAlign w:val="bottom"/>
          </w:tcPr>
          <w:p w14:paraId="3F3D1BC1" w14:textId="76D42516" w:rsidR="00263AE1" w:rsidRPr="00C04F87" w:rsidRDefault="00263AE1" w:rsidP="00263AE1">
            <w:pPr>
              <w:pStyle w:val="TableFigures"/>
              <w:rPr>
                <w:rFonts w:ascii="IBM Plex Sans Light" w:hAnsi="IBM Plex Sans Light"/>
                <w:color w:val="auto"/>
                <w:spacing w:val="-4"/>
                <w:sz w:val="18"/>
                <w:szCs w:val="18"/>
              </w:rPr>
            </w:pPr>
            <w:r w:rsidRPr="00C04F87">
              <w:rPr>
                <w:rFonts w:ascii="IBM Plex Sans Light" w:hAnsi="IBM Plex Sans Light"/>
                <w:color w:val="auto"/>
                <w:spacing w:val="-4"/>
                <w:sz w:val="18"/>
                <w:szCs w:val="18"/>
              </w:rPr>
              <w:t>21.9</w:t>
            </w:r>
          </w:p>
        </w:tc>
      </w:tr>
      <w:tr w:rsidR="00263AE1" w:rsidRPr="00895810" w14:paraId="3F599FE1" w14:textId="77777777" w:rsidTr="00715E18">
        <w:tc>
          <w:tcPr>
            <w:tcW w:w="6945" w:type="dxa"/>
            <w:tcBorders>
              <w:top w:val="single" w:sz="2" w:space="0" w:color="3D7FE0" w:themeColor="accent1"/>
            </w:tcBorders>
            <w:vAlign w:val="bottom"/>
          </w:tcPr>
          <w:p w14:paraId="4CFDC81A" w14:textId="77777777" w:rsidR="00263AE1" w:rsidRPr="00895810" w:rsidRDefault="00263AE1" w:rsidP="00263AE1">
            <w:pPr>
              <w:pStyle w:val="TableFiguresBracketsBold"/>
              <w:jc w:val="left"/>
              <w:rPr>
                <w:rFonts w:ascii="IBM Plex Sans Light" w:hAnsi="IBM Plex Sans Light" w:cs="Arial"/>
                <w:b w:val="0"/>
                <w:bCs w:val="0"/>
                <w:sz w:val="18"/>
                <w:szCs w:val="18"/>
              </w:rPr>
            </w:pPr>
          </w:p>
        </w:tc>
        <w:tc>
          <w:tcPr>
            <w:tcW w:w="426" w:type="dxa"/>
            <w:tcBorders>
              <w:top w:val="single" w:sz="2" w:space="0" w:color="3D7FE0" w:themeColor="accent1"/>
            </w:tcBorders>
            <w:vAlign w:val="bottom"/>
          </w:tcPr>
          <w:p w14:paraId="3EF26DF4" w14:textId="77777777" w:rsidR="00263AE1" w:rsidRPr="00895810" w:rsidRDefault="00263AE1" w:rsidP="00263AE1">
            <w:pPr>
              <w:pStyle w:val="TableFigures"/>
              <w:rPr>
                <w:rFonts w:ascii="IBM Plex Sans Light" w:hAnsi="IBM Plex Sans Light"/>
                <w:szCs w:val="16"/>
              </w:rPr>
            </w:pPr>
          </w:p>
        </w:tc>
        <w:tc>
          <w:tcPr>
            <w:tcW w:w="1276" w:type="dxa"/>
            <w:tcBorders>
              <w:top w:val="single" w:sz="2" w:space="0" w:color="3D7FE0" w:themeColor="accent1"/>
            </w:tcBorders>
          </w:tcPr>
          <w:p w14:paraId="757101AE" w14:textId="77777777" w:rsidR="00263AE1" w:rsidRPr="00263AE1" w:rsidRDefault="00263AE1" w:rsidP="009E1EC6">
            <w:pPr>
              <w:pStyle w:val="TableFiguresBrackets"/>
              <w:rPr>
                <w:rFonts w:ascii="IBM Plex Sans Medium" w:hAnsi="IBM Plex Sans Medium"/>
                <w:b/>
                <w:bCs/>
                <w:color w:val="3D7FE0" w:themeColor="accent1"/>
                <w:spacing w:val="-4"/>
                <w:sz w:val="18"/>
                <w:szCs w:val="18"/>
              </w:rPr>
            </w:pPr>
          </w:p>
        </w:tc>
        <w:tc>
          <w:tcPr>
            <w:tcW w:w="1276" w:type="dxa"/>
            <w:tcBorders>
              <w:top w:val="single" w:sz="2" w:space="0" w:color="3D7FE0" w:themeColor="accent1"/>
            </w:tcBorders>
            <w:vAlign w:val="bottom"/>
          </w:tcPr>
          <w:p w14:paraId="244D2A39" w14:textId="77777777" w:rsidR="00263AE1" w:rsidRPr="00895810" w:rsidRDefault="00263AE1" w:rsidP="00263AE1">
            <w:pPr>
              <w:pStyle w:val="TableFiguresBrackets"/>
              <w:rPr>
                <w:rFonts w:ascii="IBM Plex Sans Light" w:hAnsi="IBM Plex Sans Light"/>
                <w:color w:val="auto"/>
                <w:spacing w:val="-4"/>
                <w:sz w:val="18"/>
              </w:rPr>
            </w:pPr>
          </w:p>
        </w:tc>
      </w:tr>
      <w:tr w:rsidR="00263AE1" w:rsidRPr="00895810" w14:paraId="3B931F12" w14:textId="6B6444DA" w:rsidTr="00715E18">
        <w:tc>
          <w:tcPr>
            <w:tcW w:w="6945" w:type="dxa"/>
            <w:tcBorders>
              <w:bottom w:val="single" w:sz="8" w:space="0" w:color="3D7FE0" w:themeColor="accent1"/>
            </w:tcBorders>
            <w:shd w:val="clear" w:color="auto" w:fill="auto"/>
            <w:vAlign w:val="bottom"/>
          </w:tcPr>
          <w:p w14:paraId="300CF470" w14:textId="52E7F933" w:rsidR="00263AE1" w:rsidRPr="00895810" w:rsidRDefault="00263AE1" w:rsidP="00263AE1">
            <w:pPr>
              <w:spacing w:after="0" w:line="240" w:lineRule="auto"/>
              <w:rPr>
                <w:rFonts w:ascii="IBM Plex Sans Light" w:hAnsi="IBM Plex Sans Light" w:cs="MyriadPro-Light"/>
                <w:color w:val="3D7FE0" w:themeColor="accent1"/>
                <w:szCs w:val="18"/>
              </w:rPr>
            </w:pPr>
            <w:r w:rsidRPr="00895810">
              <w:rPr>
                <w:rFonts w:ascii="IBM Plex Sans Light" w:hAnsi="IBM Plex Sans Light" w:cs="Arial"/>
                <w:b/>
                <w:color w:val="3D7FE0" w:themeColor="accent1"/>
                <w:szCs w:val="18"/>
              </w:rPr>
              <w:t xml:space="preserve">Total comprehensive loss for the year </w:t>
            </w:r>
          </w:p>
        </w:tc>
        <w:tc>
          <w:tcPr>
            <w:tcW w:w="426" w:type="dxa"/>
            <w:tcBorders>
              <w:bottom w:val="single" w:sz="8" w:space="0" w:color="3D7FE0" w:themeColor="accent1"/>
            </w:tcBorders>
            <w:shd w:val="clear" w:color="auto" w:fill="auto"/>
            <w:vAlign w:val="bottom"/>
          </w:tcPr>
          <w:p w14:paraId="7C0A313E" w14:textId="77777777" w:rsidR="00263AE1" w:rsidRPr="00895810" w:rsidRDefault="00263AE1" w:rsidP="00263AE1">
            <w:pPr>
              <w:spacing w:after="0" w:line="240" w:lineRule="auto"/>
              <w:jc w:val="right"/>
              <w:rPr>
                <w:rFonts w:ascii="IBM Plex Sans Light" w:hAnsi="IBM Plex Sans Light" w:cs="Arial"/>
                <w:szCs w:val="18"/>
              </w:rPr>
            </w:pPr>
          </w:p>
        </w:tc>
        <w:tc>
          <w:tcPr>
            <w:tcW w:w="1276" w:type="dxa"/>
            <w:tcBorders>
              <w:bottom w:val="single" w:sz="8" w:space="0" w:color="3D7FE0" w:themeColor="accent1"/>
            </w:tcBorders>
            <w:shd w:val="clear" w:color="auto" w:fill="auto"/>
          </w:tcPr>
          <w:p w14:paraId="2E101F72" w14:textId="2B419BBB"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(91.5)</w:t>
            </w:r>
          </w:p>
        </w:tc>
        <w:tc>
          <w:tcPr>
            <w:tcW w:w="1276" w:type="dxa"/>
            <w:tcBorders>
              <w:bottom w:val="single" w:sz="8" w:space="0" w:color="3D7FE0" w:themeColor="accent1"/>
            </w:tcBorders>
            <w:vAlign w:val="bottom"/>
          </w:tcPr>
          <w:p w14:paraId="00B26027" w14:textId="765A18BA" w:rsidR="00263AE1" w:rsidRPr="00895810" w:rsidRDefault="00263AE1" w:rsidP="00263AE1">
            <w:pPr>
              <w:pStyle w:val="TableFiguresBrackets"/>
              <w:rPr>
                <w:rFonts w:ascii="IBM Plex Sans Light" w:hAnsi="IBM Plex Sans Light"/>
                <w:color w:val="auto"/>
                <w:spacing w:val="-4"/>
                <w:sz w:val="18"/>
              </w:rPr>
            </w:pPr>
            <w:r w:rsidRPr="00895810">
              <w:rPr>
                <w:rFonts w:ascii="IBM Plex Sans Light" w:hAnsi="IBM Plex Sans Light"/>
                <w:color w:val="auto"/>
                <w:spacing w:val="-4"/>
                <w:sz w:val="18"/>
              </w:rPr>
              <w:t>(</w:t>
            </w:r>
            <w:r>
              <w:rPr>
                <w:rFonts w:ascii="IBM Plex Sans Light" w:hAnsi="IBM Plex Sans Light"/>
                <w:color w:val="auto"/>
                <w:spacing w:val="-4"/>
                <w:sz w:val="18"/>
              </w:rPr>
              <w:t>142.3</w:t>
            </w:r>
            <w:r w:rsidRPr="00895810">
              <w:rPr>
                <w:rFonts w:ascii="IBM Plex Sans Light" w:hAnsi="IBM Plex Sans Light"/>
                <w:color w:val="auto"/>
                <w:spacing w:val="-4"/>
                <w:sz w:val="18"/>
              </w:rPr>
              <w:t>)</w:t>
            </w:r>
          </w:p>
        </w:tc>
      </w:tr>
    </w:tbl>
    <w:p w14:paraId="75075ED0" w14:textId="77777777" w:rsidR="00263AE1" w:rsidRDefault="00263AE1" w:rsidP="00263AE1">
      <w:pPr>
        <w:pStyle w:val="04FinancialsBodyCopy"/>
        <w:rPr>
          <w:sz w:val="13"/>
          <w:szCs w:val="13"/>
        </w:rPr>
      </w:pPr>
    </w:p>
    <w:p w14:paraId="36CD3777" w14:textId="407B29AA" w:rsidR="00263AE1" w:rsidRDefault="00263AE1" w:rsidP="00024B10">
      <w:pPr>
        <w:pStyle w:val="11GeneralFootnotes"/>
        <w:tabs>
          <w:tab w:val="clear" w:pos="170"/>
          <w:tab w:val="clear" w:pos="340"/>
        </w:tabs>
        <w:ind w:left="284" w:hanging="284"/>
      </w:pPr>
      <w:r>
        <w:t>a</w:t>
      </w:r>
      <w:r>
        <w:tab/>
        <w:t xml:space="preserve"> Relates to the sale of Italie Deux and the derecognition of O’Parinor as described in note 8.</w:t>
      </w:r>
    </w:p>
    <w:p w14:paraId="79D5AB44" w14:textId="77777777" w:rsidR="00263AE1" w:rsidRDefault="00263AE1" w:rsidP="00024B10">
      <w:pPr>
        <w:pStyle w:val="11GeneralFootnotes"/>
        <w:tabs>
          <w:tab w:val="clear" w:pos="170"/>
          <w:tab w:val="clear" w:pos="340"/>
        </w:tabs>
        <w:ind w:left="284" w:hanging="284"/>
      </w:pPr>
      <w:r>
        <w:t>b</w:t>
      </w:r>
      <w:r>
        <w:tab/>
        <w:t>All items within total other comprehensive (loss)/income relate to continuing operations.</w:t>
      </w:r>
    </w:p>
    <w:p w14:paraId="11A1535A" w14:textId="77777777" w:rsidR="00263AE1" w:rsidRPr="00895810" w:rsidRDefault="00263AE1" w:rsidP="000B7603">
      <w:pPr>
        <w:pStyle w:val="Footnotes"/>
        <w:spacing w:before="80" w:line="240" w:lineRule="auto"/>
        <w:rPr>
          <w:rFonts w:ascii="IBM Plex Sans Light" w:hAnsi="IBM Plex Sans Light"/>
          <w:sz w:val="15"/>
          <w:szCs w:val="15"/>
        </w:rPr>
      </w:pPr>
    </w:p>
    <w:p w14:paraId="69E32EC0" w14:textId="2D328E7B" w:rsidR="009B174C" w:rsidRPr="00AB6B6E" w:rsidRDefault="009B174C" w:rsidP="00721C93">
      <w:pPr>
        <w:spacing w:after="0" w:line="240" w:lineRule="auto"/>
        <w:rPr>
          <w:rFonts w:ascii="IBM Plex Sans Medium" w:hAnsi="IBM Plex Sans Medium" w:cs="Arial"/>
          <w:b/>
          <w:caps/>
          <w:sz w:val="24"/>
        </w:rPr>
      </w:pPr>
      <w:r w:rsidRPr="00AB6B6E">
        <w:rPr>
          <w:rFonts w:ascii="IBM Plex Sans Medium" w:hAnsi="IBM Plex Sans Medium" w:cs="Arial"/>
          <w:b/>
          <w:caps/>
          <w:sz w:val="24"/>
        </w:rPr>
        <w:t>Consolidated balance sheet</w:t>
      </w:r>
    </w:p>
    <w:p w14:paraId="29728B52" w14:textId="3DFC8E74" w:rsidR="00E02B0A" w:rsidRPr="00895810" w:rsidRDefault="00E02B0A" w:rsidP="00E02B0A">
      <w:pPr>
        <w:pStyle w:val="TableFiguresBold"/>
        <w:jc w:val="left"/>
        <w:rPr>
          <w:rFonts w:ascii="IBM Plex Sans Light" w:hAnsi="IBM Plex Sans Light"/>
          <w:color w:val="3D7FE0" w:themeColor="accent1"/>
          <w:sz w:val="18"/>
          <w:szCs w:val="18"/>
        </w:rPr>
      </w:pPr>
      <w:r w:rsidRPr="00895810">
        <w:rPr>
          <w:rFonts w:ascii="IBM Plex Sans Light" w:hAnsi="IBM Plex Sans Light"/>
          <w:color w:val="3D7FE0" w:themeColor="accent1"/>
          <w:sz w:val="18"/>
          <w:szCs w:val="18"/>
        </w:rPr>
        <w:t xml:space="preserve">As at 31 December </w:t>
      </w:r>
      <w:r w:rsidR="00785AC2">
        <w:rPr>
          <w:rFonts w:ascii="IBM Plex Sans Light" w:hAnsi="IBM Plex Sans Light"/>
          <w:color w:val="3D7FE0" w:themeColor="accent1"/>
          <w:sz w:val="18"/>
          <w:szCs w:val="18"/>
        </w:rPr>
        <w:t>2023</w:t>
      </w:r>
    </w:p>
    <w:tbl>
      <w:tblPr>
        <w:tblW w:w="9919" w:type="dxa"/>
        <w:tblLayout w:type="fixed"/>
        <w:tblCellMar>
          <w:left w:w="0" w:type="dxa"/>
          <w:right w:w="0" w:type="dxa"/>
        </w:tblCellMar>
        <w:tblLook w:val="01E0" w:firstRow="1" w:lastRow="1" w:firstColumn="1" w:lastColumn="1" w:noHBand="0" w:noVBand="0"/>
      </w:tblPr>
      <w:tblGrid>
        <w:gridCol w:w="5443"/>
        <w:gridCol w:w="1361"/>
        <w:gridCol w:w="563"/>
        <w:gridCol w:w="1276"/>
        <w:gridCol w:w="1276"/>
      </w:tblGrid>
      <w:tr w:rsidR="007D44E0" w:rsidRPr="00895810" w14:paraId="36488ED3" w14:textId="64BE1FD4" w:rsidTr="00D129CB">
        <w:trPr>
          <w:trHeight w:val="454"/>
        </w:trPr>
        <w:tc>
          <w:tcPr>
            <w:tcW w:w="5443" w:type="dxa"/>
            <w:tcBorders>
              <w:bottom w:val="single" w:sz="2" w:space="0" w:color="3D7FE0" w:themeColor="accent1"/>
            </w:tcBorders>
            <w:vAlign w:val="bottom"/>
          </w:tcPr>
          <w:p w14:paraId="323523A5" w14:textId="5A30243F" w:rsidR="007D44E0" w:rsidRPr="00895810" w:rsidRDefault="007D44E0" w:rsidP="00E61C82">
            <w:pPr>
              <w:pStyle w:val="TableColHeads"/>
              <w:jc w:val="left"/>
              <w:rPr>
                <w:rFonts w:ascii="IBM Plex Sans Light" w:hAnsi="IBM Plex Sans Light"/>
              </w:rPr>
            </w:pPr>
          </w:p>
        </w:tc>
        <w:tc>
          <w:tcPr>
            <w:tcW w:w="1361" w:type="dxa"/>
            <w:tcBorders>
              <w:bottom w:val="single" w:sz="2" w:space="0" w:color="3D7FE0" w:themeColor="accent1"/>
            </w:tcBorders>
            <w:shd w:val="clear" w:color="auto" w:fill="auto"/>
            <w:vAlign w:val="bottom"/>
          </w:tcPr>
          <w:p w14:paraId="7FAF1036" w14:textId="61565E84" w:rsidR="007D44E0" w:rsidRPr="00895810" w:rsidRDefault="007D44E0" w:rsidP="00F349F3">
            <w:pPr>
              <w:pStyle w:val="TableColHeadsBold"/>
              <w:rPr>
                <w:rFonts w:ascii="IBM Plex Sans Light" w:hAnsi="IBM Plex Sans Light"/>
                <w:b w:val="0"/>
                <w:bCs w:val="0"/>
              </w:rPr>
            </w:pPr>
          </w:p>
        </w:tc>
        <w:tc>
          <w:tcPr>
            <w:tcW w:w="563" w:type="dxa"/>
            <w:tcBorders>
              <w:bottom w:val="single" w:sz="2" w:space="0" w:color="3D7FE0" w:themeColor="accent1"/>
            </w:tcBorders>
            <w:vAlign w:val="bottom"/>
          </w:tcPr>
          <w:p w14:paraId="7A0DEF29" w14:textId="3FFE55BC" w:rsidR="007D44E0" w:rsidRPr="00895810" w:rsidRDefault="007D44E0" w:rsidP="00D129CB">
            <w:pPr>
              <w:pStyle w:val="TableColHeads"/>
              <w:jc w:val="center"/>
              <w:rPr>
                <w:rFonts w:ascii="IBM Plex Sans Light" w:hAnsi="IBM Plex Sans Light"/>
                <w:b/>
                <w:bCs/>
              </w:rPr>
            </w:pPr>
            <w:r w:rsidRPr="00895810">
              <w:rPr>
                <w:rFonts w:ascii="IBM Plex Sans Light" w:hAnsi="IBM Plex Sans Light"/>
                <w:b/>
                <w:bCs/>
              </w:rPr>
              <w:t>Note</w:t>
            </w:r>
          </w:p>
        </w:tc>
        <w:tc>
          <w:tcPr>
            <w:tcW w:w="1276" w:type="dxa"/>
            <w:tcBorders>
              <w:bottom w:val="single" w:sz="2" w:space="0" w:color="3D7FE0" w:themeColor="accent1"/>
            </w:tcBorders>
            <w:vAlign w:val="bottom"/>
          </w:tcPr>
          <w:p w14:paraId="18DDE343" w14:textId="1BDFF9F0" w:rsidR="007D44E0" w:rsidRPr="00895810" w:rsidRDefault="00785AC2" w:rsidP="00E61C82">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7D44E0" w:rsidRPr="00895810">
              <w:rPr>
                <w:rFonts w:ascii="IBM Plex Sans Light" w:hAnsi="IBM Plex Sans Light"/>
                <w:color w:val="3D7FE0" w:themeColor="accent1"/>
              </w:rPr>
              <w:t xml:space="preserve"> </w:t>
            </w:r>
          </w:p>
          <w:p w14:paraId="6C593B65" w14:textId="06BB228F" w:rsidR="007D44E0" w:rsidRPr="00895810" w:rsidRDefault="007D44E0" w:rsidP="00E61C82">
            <w:pPr>
              <w:pStyle w:val="TableColHeadsBold"/>
              <w:rPr>
                <w:rFonts w:ascii="IBM Plex Sans Light" w:hAnsi="IBM Plex Sans Light"/>
              </w:rPr>
            </w:pPr>
            <w:r w:rsidRPr="00895810">
              <w:rPr>
                <w:rFonts w:ascii="IBM Plex Sans Light" w:hAnsi="IBM Plex Sans Light"/>
                <w:color w:val="3D7FE0" w:themeColor="accent1"/>
              </w:rPr>
              <w:t>£m</w:t>
            </w:r>
          </w:p>
        </w:tc>
        <w:tc>
          <w:tcPr>
            <w:tcW w:w="1276" w:type="dxa"/>
            <w:tcBorders>
              <w:bottom w:val="single" w:sz="2" w:space="0" w:color="3D7FE0" w:themeColor="accent1"/>
            </w:tcBorders>
            <w:vAlign w:val="bottom"/>
          </w:tcPr>
          <w:p w14:paraId="100A335B" w14:textId="7858FAF0" w:rsidR="007D44E0" w:rsidRPr="00895810" w:rsidRDefault="007D44E0" w:rsidP="00785AC2">
            <w:pPr>
              <w:pStyle w:val="TableColHeads"/>
              <w:rPr>
                <w:rFonts w:ascii="IBM Plex Sans Light" w:hAnsi="IBM Plex Sans Light"/>
              </w:rPr>
            </w:pPr>
            <w:r w:rsidRPr="00895810">
              <w:rPr>
                <w:rFonts w:ascii="IBM Plex Sans Light" w:hAnsi="IBM Plex Sans Light"/>
              </w:rPr>
              <w:t>202</w:t>
            </w:r>
            <w:r w:rsidR="00785AC2">
              <w:rPr>
                <w:rFonts w:ascii="IBM Plex Sans Light" w:hAnsi="IBM Plex Sans Light"/>
              </w:rPr>
              <w:t>2</w:t>
            </w:r>
            <w:r w:rsidRPr="00895810">
              <w:rPr>
                <w:rFonts w:ascii="IBM Plex Sans Light" w:hAnsi="IBM Plex Sans Light"/>
              </w:rPr>
              <w:t xml:space="preserve"> </w:t>
            </w:r>
          </w:p>
          <w:p w14:paraId="6CD800CC" w14:textId="080BAEDC" w:rsidR="007D44E0" w:rsidRPr="00895810" w:rsidRDefault="007D44E0" w:rsidP="00E61C82">
            <w:pPr>
              <w:pStyle w:val="TableColHeads"/>
              <w:rPr>
                <w:rFonts w:ascii="IBM Plex Sans Light" w:hAnsi="IBM Plex Sans Light"/>
              </w:rPr>
            </w:pPr>
            <w:r w:rsidRPr="00895810">
              <w:rPr>
                <w:rFonts w:ascii="IBM Plex Sans Light" w:hAnsi="IBM Plex Sans Light"/>
              </w:rPr>
              <w:t xml:space="preserve">£m </w:t>
            </w:r>
          </w:p>
        </w:tc>
      </w:tr>
      <w:tr w:rsidR="007D44E0" w:rsidRPr="00895810" w14:paraId="6FA34994" w14:textId="35A38AD2" w:rsidTr="00F11408">
        <w:trPr>
          <w:trHeight w:hRule="exact" w:val="238"/>
        </w:trPr>
        <w:tc>
          <w:tcPr>
            <w:tcW w:w="5443" w:type="dxa"/>
            <w:tcBorders>
              <w:top w:val="single" w:sz="2" w:space="0" w:color="3D7FE0" w:themeColor="accent1"/>
            </w:tcBorders>
            <w:vAlign w:val="bottom"/>
          </w:tcPr>
          <w:p w14:paraId="423CAFEF" w14:textId="65C97A1A" w:rsidR="007D44E0" w:rsidRPr="00895810" w:rsidRDefault="007D44E0" w:rsidP="000B7603">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Non-current assets</w:t>
            </w:r>
          </w:p>
        </w:tc>
        <w:tc>
          <w:tcPr>
            <w:tcW w:w="1361" w:type="dxa"/>
            <w:tcBorders>
              <w:top w:val="single" w:sz="2" w:space="0" w:color="3D7FE0" w:themeColor="accent1"/>
            </w:tcBorders>
            <w:shd w:val="clear" w:color="auto" w:fill="auto"/>
            <w:vAlign w:val="bottom"/>
          </w:tcPr>
          <w:p w14:paraId="2D362995" w14:textId="77777777" w:rsidR="007D44E0" w:rsidRPr="00895810" w:rsidRDefault="007D44E0" w:rsidP="00F349F3">
            <w:pPr>
              <w:spacing w:after="0" w:line="240" w:lineRule="auto"/>
              <w:jc w:val="right"/>
              <w:rPr>
                <w:rFonts w:ascii="IBM Plex Sans Light" w:hAnsi="IBM Plex Sans Light" w:cs="Arial"/>
                <w:szCs w:val="18"/>
              </w:rPr>
            </w:pPr>
          </w:p>
        </w:tc>
        <w:tc>
          <w:tcPr>
            <w:tcW w:w="563" w:type="dxa"/>
            <w:tcBorders>
              <w:top w:val="single" w:sz="2" w:space="0" w:color="3D7FE0" w:themeColor="accent1"/>
            </w:tcBorders>
            <w:vAlign w:val="bottom"/>
          </w:tcPr>
          <w:p w14:paraId="11E61718" w14:textId="77777777" w:rsidR="007D44E0" w:rsidRPr="00895810" w:rsidRDefault="007D44E0" w:rsidP="000B7603">
            <w:pPr>
              <w:spacing w:after="0" w:line="240" w:lineRule="auto"/>
              <w:jc w:val="center"/>
              <w:rPr>
                <w:rFonts w:ascii="IBM Plex Sans Light" w:hAnsi="IBM Plex Sans Light" w:cs="Arial"/>
                <w:szCs w:val="18"/>
              </w:rPr>
            </w:pPr>
          </w:p>
        </w:tc>
        <w:tc>
          <w:tcPr>
            <w:tcW w:w="1276" w:type="dxa"/>
            <w:tcBorders>
              <w:top w:val="single" w:sz="2" w:space="0" w:color="3D7FE0" w:themeColor="accent1"/>
            </w:tcBorders>
            <w:vAlign w:val="bottom"/>
          </w:tcPr>
          <w:p w14:paraId="43109EA7" w14:textId="0CB8DD2F" w:rsidR="007D44E0" w:rsidRPr="00895810" w:rsidRDefault="007D44E0" w:rsidP="00B27901">
            <w:pPr>
              <w:spacing w:after="0" w:line="240" w:lineRule="auto"/>
              <w:jc w:val="right"/>
              <w:rPr>
                <w:rFonts w:ascii="IBM Plex Sans Light" w:hAnsi="IBM Plex Sans Light" w:cs="Arial"/>
                <w:color w:val="3D7FE0" w:themeColor="accent1"/>
                <w:szCs w:val="18"/>
              </w:rPr>
            </w:pPr>
          </w:p>
        </w:tc>
        <w:tc>
          <w:tcPr>
            <w:tcW w:w="1276" w:type="dxa"/>
            <w:tcBorders>
              <w:top w:val="single" w:sz="2" w:space="0" w:color="3D7FE0" w:themeColor="accent1"/>
            </w:tcBorders>
            <w:vAlign w:val="bottom"/>
          </w:tcPr>
          <w:p w14:paraId="5E1165BE" w14:textId="22E1D0A7" w:rsidR="007D44E0" w:rsidRPr="00895810" w:rsidRDefault="007D44E0" w:rsidP="00B27901">
            <w:pPr>
              <w:spacing w:after="0" w:line="240" w:lineRule="auto"/>
              <w:jc w:val="right"/>
              <w:rPr>
                <w:rFonts w:ascii="IBM Plex Sans Light" w:hAnsi="IBM Plex Sans Light" w:cs="Arial"/>
                <w:sz w:val="17"/>
                <w:szCs w:val="17"/>
              </w:rPr>
            </w:pPr>
          </w:p>
        </w:tc>
      </w:tr>
      <w:tr w:rsidR="00263AE1" w:rsidRPr="00895810" w14:paraId="0A5F5A0D" w14:textId="5C79007D" w:rsidTr="00B764D1">
        <w:trPr>
          <w:trHeight w:hRule="exact" w:val="238"/>
        </w:trPr>
        <w:tc>
          <w:tcPr>
            <w:tcW w:w="5443" w:type="dxa"/>
            <w:vAlign w:val="bottom"/>
          </w:tcPr>
          <w:p w14:paraId="354814DA" w14:textId="1D76B7DB"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Investment properties</w:t>
            </w:r>
          </w:p>
        </w:tc>
        <w:tc>
          <w:tcPr>
            <w:tcW w:w="1361" w:type="dxa"/>
            <w:shd w:val="clear" w:color="auto" w:fill="auto"/>
            <w:vAlign w:val="bottom"/>
          </w:tcPr>
          <w:p w14:paraId="2954BABA" w14:textId="39074610"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328C28A5" w14:textId="37704E13"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pacing w:val="-4"/>
                <w:szCs w:val="16"/>
              </w:rPr>
              <w:t>11</w:t>
            </w:r>
          </w:p>
        </w:tc>
        <w:tc>
          <w:tcPr>
            <w:tcW w:w="1276" w:type="dxa"/>
          </w:tcPr>
          <w:p w14:paraId="460008D3" w14:textId="7C099BB4"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1,396.2</w:t>
            </w:r>
          </w:p>
        </w:tc>
        <w:tc>
          <w:tcPr>
            <w:tcW w:w="1276" w:type="dxa"/>
          </w:tcPr>
          <w:p w14:paraId="2914ACC7" w14:textId="3F22DC0F"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1,461.0</w:t>
            </w:r>
          </w:p>
        </w:tc>
      </w:tr>
      <w:tr w:rsidR="00263AE1" w:rsidRPr="00895810" w14:paraId="0C09910F" w14:textId="19352151" w:rsidTr="00B764D1">
        <w:trPr>
          <w:trHeight w:hRule="exact" w:val="238"/>
        </w:trPr>
        <w:tc>
          <w:tcPr>
            <w:tcW w:w="5443" w:type="dxa"/>
            <w:vAlign w:val="bottom"/>
          </w:tcPr>
          <w:p w14:paraId="5CBC6DD4" w14:textId="69847425"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Interests in leasehold properties</w:t>
            </w:r>
          </w:p>
        </w:tc>
        <w:tc>
          <w:tcPr>
            <w:tcW w:w="1361" w:type="dxa"/>
            <w:shd w:val="clear" w:color="auto" w:fill="auto"/>
            <w:vAlign w:val="bottom"/>
          </w:tcPr>
          <w:p w14:paraId="43CE57B3" w14:textId="20D98025"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5E074744" w14:textId="77777777" w:rsidR="00263AE1" w:rsidRPr="00C64D17" w:rsidRDefault="00263AE1" w:rsidP="00263AE1">
            <w:pPr>
              <w:pStyle w:val="TableFigures"/>
              <w:jc w:val="center"/>
              <w:rPr>
                <w:rFonts w:ascii="IBM Plex Sans Light" w:hAnsi="IBM Plex Sans Light"/>
                <w:szCs w:val="16"/>
              </w:rPr>
            </w:pPr>
          </w:p>
        </w:tc>
        <w:tc>
          <w:tcPr>
            <w:tcW w:w="1276" w:type="dxa"/>
          </w:tcPr>
          <w:p w14:paraId="5845E25B" w14:textId="17A73D6E"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32.7</w:t>
            </w:r>
          </w:p>
        </w:tc>
        <w:tc>
          <w:tcPr>
            <w:tcW w:w="1276" w:type="dxa"/>
          </w:tcPr>
          <w:p w14:paraId="264BDDCB" w14:textId="1D997623"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34.0</w:t>
            </w:r>
          </w:p>
        </w:tc>
      </w:tr>
      <w:tr w:rsidR="00263AE1" w:rsidRPr="00895810" w14:paraId="7B0F96B6" w14:textId="47888585" w:rsidTr="00B764D1">
        <w:trPr>
          <w:trHeight w:hRule="exact" w:val="238"/>
        </w:trPr>
        <w:tc>
          <w:tcPr>
            <w:tcW w:w="5443" w:type="dxa"/>
            <w:vAlign w:val="bottom"/>
          </w:tcPr>
          <w:p w14:paraId="2A9D6BB1" w14:textId="41E58C92"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Right-of-use assets</w:t>
            </w:r>
          </w:p>
        </w:tc>
        <w:tc>
          <w:tcPr>
            <w:tcW w:w="1361" w:type="dxa"/>
            <w:shd w:val="clear" w:color="auto" w:fill="auto"/>
            <w:vAlign w:val="bottom"/>
          </w:tcPr>
          <w:p w14:paraId="74392D3B" w14:textId="5315C343"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508918A8" w14:textId="77777777" w:rsidR="00263AE1" w:rsidRPr="00C64D17" w:rsidRDefault="00263AE1" w:rsidP="00263AE1">
            <w:pPr>
              <w:pStyle w:val="TableFigures"/>
              <w:jc w:val="center"/>
              <w:rPr>
                <w:rFonts w:ascii="IBM Plex Sans Light" w:hAnsi="IBM Plex Sans Light"/>
                <w:szCs w:val="16"/>
              </w:rPr>
            </w:pPr>
          </w:p>
        </w:tc>
        <w:tc>
          <w:tcPr>
            <w:tcW w:w="1276" w:type="dxa"/>
          </w:tcPr>
          <w:p w14:paraId="3683D859" w14:textId="05EC7450"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3.9</w:t>
            </w:r>
          </w:p>
        </w:tc>
        <w:tc>
          <w:tcPr>
            <w:tcW w:w="1276" w:type="dxa"/>
          </w:tcPr>
          <w:p w14:paraId="5B7711D0" w14:textId="3250E93C"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9.5</w:t>
            </w:r>
          </w:p>
        </w:tc>
      </w:tr>
      <w:tr w:rsidR="00263AE1" w:rsidRPr="00895810" w14:paraId="229C415C" w14:textId="01F331E2" w:rsidTr="00B764D1">
        <w:trPr>
          <w:trHeight w:hRule="exact" w:val="238"/>
        </w:trPr>
        <w:tc>
          <w:tcPr>
            <w:tcW w:w="5443" w:type="dxa"/>
            <w:vAlign w:val="bottom"/>
          </w:tcPr>
          <w:p w14:paraId="0628B38A" w14:textId="07D3E200"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Plant and equipment</w:t>
            </w:r>
          </w:p>
        </w:tc>
        <w:tc>
          <w:tcPr>
            <w:tcW w:w="1361" w:type="dxa"/>
            <w:shd w:val="clear" w:color="auto" w:fill="auto"/>
            <w:vAlign w:val="bottom"/>
          </w:tcPr>
          <w:p w14:paraId="627C60BD" w14:textId="04F0C78C"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589827EC" w14:textId="77777777" w:rsidR="00263AE1" w:rsidRPr="00C64D17" w:rsidRDefault="00263AE1" w:rsidP="00263AE1">
            <w:pPr>
              <w:pStyle w:val="TableFigures"/>
              <w:jc w:val="center"/>
              <w:rPr>
                <w:rFonts w:ascii="IBM Plex Sans Light" w:hAnsi="IBM Plex Sans Light"/>
                <w:szCs w:val="16"/>
              </w:rPr>
            </w:pPr>
          </w:p>
        </w:tc>
        <w:tc>
          <w:tcPr>
            <w:tcW w:w="1276" w:type="dxa"/>
          </w:tcPr>
          <w:p w14:paraId="60406CD6" w14:textId="5B36E240"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0.9</w:t>
            </w:r>
          </w:p>
        </w:tc>
        <w:tc>
          <w:tcPr>
            <w:tcW w:w="1276" w:type="dxa"/>
          </w:tcPr>
          <w:p w14:paraId="69CD4BFE" w14:textId="44147030"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1.4</w:t>
            </w:r>
          </w:p>
        </w:tc>
      </w:tr>
      <w:tr w:rsidR="00263AE1" w:rsidRPr="00895810" w14:paraId="7E472B95" w14:textId="03E94584" w:rsidTr="00B764D1">
        <w:trPr>
          <w:trHeight w:hRule="exact" w:val="238"/>
        </w:trPr>
        <w:tc>
          <w:tcPr>
            <w:tcW w:w="5443" w:type="dxa"/>
            <w:vAlign w:val="bottom"/>
          </w:tcPr>
          <w:p w14:paraId="52FEF947" w14:textId="5D6C3001"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Investment in joint ventures</w:t>
            </w:r>
          </w:p>
        </w:tc>
        <w:tc>
          <w:tcPr>
            <w:tcW w:w="1361" w:type="dxa"/>
            <w:shd w:val="clear" w:color="auto" w:fill="auto"/>
            <w:vAlign w:val="bottom"/>
          </w:tcPr>
          <w:p w14:paraId="1AADEDC4" w14:textId="2423F00C" w:rsidR="00263AE1" w:rsidRPr="00895810" w:rsidRDefault="00263AE1" w:rsidP="00263AE1">
            <w:pPr>
              <w:pStyle w:val="TableFiguresBold"/>
              <w:rPr>
                <w:rFonts w:ascii="IBM Plex Sans Light" w:hAnsi="IBM Plex Sans Light" w:cs="MyriadPro-Light"/>
                <w:b w:val="0"/>
                <w:bCs w:val="0"/>
                <w:color w:val="auto"/>
                <w:spacing w:val="-4"/>
                <w:sz w:val="18"/>
                <w:szCs w:val="18"/>
                <w:highlight w:val="yellow"/>
              </w:rPr>
            </w:pPr>
          </w:p>
        </w:tc>
        <w:tc>
          <w:tcPr>
            <w:tcW w:w="563" w:type="dxa"/>
            <w:vAlign w:val="center"/>
          </w:tcPr>
          <w:p w14:paraId="1D872AEF" w14:textId="6614FDD1"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pacing w:val="-4"/>
                <w:szCs w:val="16"/>
              </w:rPr>
              <w:t>12C</w:t>
            </w:r>
          </w:p>
        </w:tc>
        <w:tc>
          <w:tcPr>
            <w:tcW w:w="1276" w:type="dxa"/>
          </w:tcPr>
          <w:p w14:paraId="6586C52D" w14:textId="63928C23"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1,193.2</w:t>
            </w:r>
          </w:p>
        </w:tc>
        <w:tc>
          <w:tcPr>
            <w:tcW w:w="1276" w:type="dxa"/>
          </w:tcPr>
          <w:p w14:paraId="271C9533" w14:textId="07FF2A79"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1,342.4</w:t>
            </w:r>
          </w:p>
        </w:tc>
      </w:tr>
      <w:tr w:rsidR="00263AE1" w:rsidRPr="00895810" w14:paraId="52B5109F" w14:textId="0E947A81" w:rsidTr="00B764D1">
        <w:trPr>
          <w:trHeight w:hRule="exact" w:val="238"/>
        </w:trPr>
        <w:tc>
          <w:tcPr>
            <w:tcW w:w="5443" w:type="dxa"/>
            <w:vAlign w:val="bottom"/>
          </w:tcPr>
          <w:p w14:paraId="48A6FEA0" w14:textId="2CCC510D"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lastRenderedPageBreak/>
              <w:t>Investment in associates</w:t>
            </w:r>
          </w:p>
        </w:tc>
        <w:tc>
          <w:tcPr>
            <w:tcW w:w="1361" w:type="dxa"/>
            <w:shd w:val="clear" w:color="auto" w:fill="auto"/>
            <w:vAlign w:val="bottom"/>
          </w:tcPr>
          <w:p w14:paraId="49831399" w14:textId="11BCB9F4" w:rsidR="00263AE1" w:rsidRPr="00895810" w:rsidRDefault="00263AE1" w:rsidP="00263AE1">
            <w:pPr>
              <w:pStyle w:val="TableFiguresBold"/>
              <w:rPr>
                <w:rFonts w:ascii="IBM Plex Sans Light" w:hAnsi="IBM Plex Sans Light" w:cs="MyriadPro-Light"/>
                <w:b w:val="0"/>
                <w:bCs w:val="0"/>
                <w:color w:val="auto"/>
                <w:spacing w:val="-4"/>
                <w:sz w:val="18"/>
                <w:szCs w:val="18"/>
                <w:highlight w:val="yellow"/>
              </w:rPr>
            </w:pPr>
          </w:p>
        </w:tc>
        <w:tc>
          <w:tcPr>
            <w:tcW w:w="563" w:type="dxa"/>
            <w:vAlign w:val="center"/>
          </w:tcPr>
          <w:p w14:paraId="4493AC66" w14:textId="7228E5DF"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pacing w:val="-4"/>
                <w:szCs w:val="16"/>
              </w:rPr>
              <w:t>13D</w:t>
            </w:r>
          </w:p>
        </w:tc>
        <w:tc>
          <w:tcPr>
            <w:tcW w:w="1276" w:type="dxa"/>
          </w:tcPr>
          <w:p w14:paraId="70499A65" w14:textId="08170138"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1,115.0</w:t>
            </w:r>
          </w:p>
        </w:tc>
        <w:tc>
          <w:tcPr>
            <w:tcW w:w="1276" w:type="dxa"/>
          </w:tcPr>
          <w:p w14:paraId="712C6A72" w14:textId="0A9054BF"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1,297.1</w:t>
            </w:r>
          </w:p>
        </w:tc>
      </w:tr>
      <w:tr w:rsidR="00263AE1" w:rsidRPr="00895810" w14:paraId="7F328395" w14:textId="4FFC9179" w:rsidTr="00B764D1">
        <w:trPr>
          <w:trHeight w:hRule="exact" w:val="238"/>
        </w:trPr>
        <w:tc>
          <w:tcPr>
            <w:tcW w:w="5443" w:type="dxa"/>
            <w:vAlign w:val="bottom"/>
          </w:tcPr>
          <w:p w14:paraId="4D2EEDAF" w14:textId="0C93D218"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Other investments</w:t>
            </w:r>
          </w:p>
        </w:tc>
        <w:tc>
          <w:tcPr>
            <w:tcW w:w="1361" w:type="dxa"/>
            <w:shd w:val="clear" w:color="auto" w:fill="auto"/>
            <w:vAlign w:val="bottom"/>
          </w:tcPr>
          <w:p w14:paraId="1C612A2B" w14:textId="103684F5" w:rsidR="00263AE1" w:rsidRPr="00895810" w:rsidRDefault="00263AE1" w:rsidP="00263AE1">
            <w:pPr>
              <w:pStyle w:val="TableFiguresBold"/>
              <w:rPr>
                <w:rFonts w:ascii="IBM Plex Sans Light" w:hAnsi="IBM Plex Sans Light"/>
                <w:b w:val="0"/>
                <w:bCs w:val="0"/>
                <w:color w:val="auto"/>
                <w:spacing w:val="-4"/>
                <w:sz w:val="18"/>
                <w:szCs w:val="18"/>
              </w:rPr>
            </w:pPr>
          </w:p>
        </w:tc>
        <w:tc>
          <w:tcPr>
            <w:tcW w:w="563" w:type="dxa"/>
            <w:vAlign w:val="center"/>
          </w:tcPr>
          <w:p w14:paraId="569B740F" w14:textId="75F03770" w:rsidR="00263AE1" w:rsidRPr="00C64D17" w:rsidRDefault="00263AE1" w:rsidP="00263AE1">
            <w:pPr>
              <w:pStyle w:val="TableFigures"/>
              <w:jc w:val="center"/>
              <w:rPr>
                <w:rFonts w:ascii="IBM Plex Sans Light" w:hAnsi="IBM Plex Sans Light"/>
                <w:szCs w:val="16"/>
              </w:rPr>
            </w:pPr>
          </w:p>
        </w:tc>
        <w:tc>
          <w:tcPr>
            <w:tcW w:w="1276" w:type="dxa"/>
          </w:tcPr>
          <w:p w14:paraId="24C04562" w14:textId="75968766"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8.8</w:t>
            </w:r>
          </w:p>
        </w:tc>
        <w:tc>
          <w:tcPr>
            <w:tcW w:w="1276" w:type="dxa"/>
          </w:tcPr>
          <w:p w14:paraId="2765A4C0" w14:textId="21BE01EF"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9.8</w:t>
            </w:r>
          </w:p>
        </w:tc>
      </w:tr>
      <w:tr w:rsidR="00263AE1" w:rsidRPr="00895810" w14:paraId="03705CAA" w14:textId="77777777" w:rsidTr="00B764D1">
        <w:trPr>
          <w:trHeight w:hRule="exact" w:val="238"/>
        </w:trPr>
        <w:tc>
          <w:tcPr>
            <w:tcW w:w="5443" w:type="dxa"/>
            <w:vAlign w:val="bottom"/>
          </w:tcPr>
          <w:p w14:paraId="1F91F890" w14:textId="77777777"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 xml:space="preserve">Trade and other receivables </w:t>
            </w:r>
          </w:p>
        </w:tc>
        <w:tc>
          <w:tcPr>
            <w:tcW w:w="1361" w:type="dxa"/>
            <w:shd w:val="clear" w:color="auto" w:fill="auto"/>
            <w:vAlign w:val="bottom"/>
          </w:tcPr>
          <w:p w14:paraId="3DF98182" w14:textId="77777777"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27EA1FDC" w14:textId="5AAED191" w:rsidR="00263AE1" w:rsidRPr="00C64D17" w:rsidRDefault="00263AE1" w:rsidP="00263AE1">
            <w:pPr>
              <w:pStyle w:val="TableFigures"/>
              <w:jc w:val="center"/>
              <w:rPr>
                <w:rFonts w:ascii="IBM Plex Sans Light" w:hAnsi="IBM Plex Sans Light"/>
                <w:szCs w:val="16"/>
              </w:rPr>
            </w:pPr>
          </w:p>
        </w:tc>
        <w:tc>
          <w:tcPr>
            <w:tcW w:w="1276" w:type="dxa"/>
          </w:tcPr>
          <w:p w14:paraId="5BD50746" w14:textId="2AD54DE4"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1.9</w:t>
            </w:r>
          </w:p>
        </w:tc>
        <w:tc>
          <w:tcPr>
            <w:tcW w:w="1276" w:type="dxa"/>
          </w:tcPr>
          <w:p w14:paraId="1684E5CB" w14:textId="333938C6"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3.2</w:t>
            </w:r>
          </w:p>
        </w:tc>
      </w:tr>
      <w:tr w:rsidR="00263AE1" w:rsidRPr="00895810" w14:paraId="0974A55E" w14:textId="016E32C5" w:rsidTr="00B764D1">
        <w:trPr>
          <w:trHeight w:hRule="exact" w:val="238"/>
        </w:trPr>
        <w:tc>
          <w:tcPr>
            <w:tcW w:w="5443" w:type="dxa"/>
            <w:vAlign w:val="bottom"/>
          </w:tcPr>
          <w:p w14:paraId="157B2D1B" w14:textId="038C079C"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Derivative financial instruments</w:t>
            </w:r>
          </w:p>
        </w:tc>
        <w:tc>
          <w:tcPr>
            <w:tcW w:w="1361" w:type="dxa"/>
            <w:shd w:val="clear" w:color="auto" w:fill="auto"/>
            <w:vAlign w:val="bottom"/>
          </w:tcPr>
          <w:p w14:paraId="317E21F4" w14:textId="7F59BFA0" w:rsidR="00263AE1" w:rsidRPr="00895810" w:rsidRDefault="00263AE1" w:rsidP="00263AE1">
            <w:pPr>
              <w:pStyle w:val="TableFigures"/>
              <w:rPr>
                <w:rFonts w:ascii="IBM Plex Sans Light" w:hAnsi="IBM Plex Sans Light" w:cs="MyriadPro-Light"/>
                <w:b/>
                <w:bCs/>
                <w:color w:val="auto"/>
                <w:spacing w:val="-4"/>
                <w:sz w:val="18"/>
                <w:szCs w:val="18"/>
              </w:rPr>
            </w:pPr>
          </w:p>
        </w:tc>
        <w:tc>
          <w:tcPr>
            <w:tcW w:w="563" w:type="dxa"/>
            <w:vAlign w:val="center"/>
          </w:tcPr>
          <w:p w14:paraId="4EE95502" w14:textId="7FAA979D" w:rsidR="00263AE1" w:rsidRPr="00C64D17" w:rsidRDefault="00263AE1" w:rsidP="00263AE1">
            <w:pPr>
              <w:pStyle w:val="TableFigures"/>
              <w:jc w:val="center"/>
              <w:rPr>
                <w:rFonts w:ascii="IBM Plex Sans Light" w:hAnsi="IBM Plex Sans Light"/>
                <w:szCs w:val="16"/>
                <w:highlight w:val="yellow"/>
              </w:rPr>
            </w:pPr>
          </w:p>
        </w:tc>
        <w:tc>
          <w:tcPr>
            <w:tcW w:w="1276" w:type="dxa"/>
          </w:tcPr>
          <w:p w14:paraId="686F1B3B" w14:textId="5419E4CA"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w:t>
            </w:r>
          </w:p>
        </w:tc>
        <w:tc>
          <w:tcPr>
            <w:tcW w:w="1276" w:type="dxa"/>
          </w:tcPr>
          <w:p w14:paraId="7B9E5AF2" w14:textId="082C79E8"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7.0</w:t>
            </w:r>
          </w:p>
        </w:tc>
      </w:tr>
      <w:tr w:rsidR="00263AE1" w:rsidRPr="00895810" w14:paraId="52FCBD87" w14:textId="0513FCA4" w:rsidTr="00B764D1">
        <w:trPr>
          <w:trHeight w:hRule="exact" w:val="238"/>
        </w:trPr>
        <w:tc>
          <w:tcPr>
            <w:tcW w:w="5443" w:type="dxa"/>
            <w:tcBorders>
              <w:bottom w:val="single" w:sz="2" w:space="0" w:color="3D7FE0" w:themeColor="accent1"/>
            </w:tcBorders>
            <w:vAlign w:val="bottom"/>
          </w:tcPr>
          <w:p w14:paraId="29F67FF1" w14:textId="4145A266"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Restricted monetary assets</w:t>
            </w:r>
          </w:p>
        </w:tc>
        <w:tc>
          <w:tcPr>
            <w:tcW w:w="1361" w:type="dxa"/>
            <w:tcBorders>
              <w:bottom w:val="single" w:sz="2" w:space="0" w:color="3D7FE0" w:themeColor="accent1"/>
            </w:tcBorders>
            <w:shd w:val="clear" w:color="auto" w:fill="auto"/>
            <w:vAlign w:val="bottom"/>
          </w:tcPr>
          <w:p w14:paraId="709701F6" w14:textId="4ADC2627" w:rsidR="00263AE1" w:rsidRPr="00895810" w:rsidRDefault="00263AE1" w:rsidP="00263AE1">
            <w:pPr>
              <w:pStyle w:val="TableFiguresBold"/>
              <w:rPr>
                <w:rFonts w:ascii="IBM Plex Sans Light" w:hAnsi="IBM Plex Sans Light"/>
                <w:b w:val="0"/>
                <w:bCs w:val="0"/>
                <w:color w:val="auto"/>
                <w:spacing w:val="-4"/>
                <w:sz w:val="18"/>
                <w:szCs w:val="18"/>
              </w:rPr>
            </w:pPr>
          </w:p>
        </w:tc>
        <w:tc>
          <w:tcPr>
            <w:tcW w:w="563" w:type="dxa"/>
            <w:tcBorders>
              <w:bottom w:val="single" w:sz="2" w:space="0" w:color="3D7FE0" w:themeColor="accent1"/>
            </w:tcBorders>
            <w:vAlign w:val="center"/>
          </w:tcPr>
          <w:p w14:paraId="6C332A28" w14:textId="4E877079"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zCs w:val="16"/>
              </w:rPr>
              <w:t>15</w:t>
            </w:r>
          </w:p>
        </w:tc>
        <w:tc>
          <w:tcPr>
            <w:tcW w:w="1276" w:type="dxa"/>
            <w:tcBorders>
              <w:bottom w:val="single" w:sz="2" w:space="0" w:color="3D7FE0" w:themeColor="accent1"/>
            </w:tcBorders>
          </w:tcPr>
          <w:p w14:paraId="01E5410A" w14:textId="006B05BC"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21.4</w:t>
            </w:r>
          </w:p>
        </w:tc>
        <w:tc>
          <w:tcPr>
            <w:tcW w:w="1276" w:type="dxa"/>
            <w:tcBorders>
              <w:bottom w:val="single" w:sz="2" w:space="0" w:color="3D7FE0" w:themeColor="accent1"/>
            </w:tcBorders>
          </w:tcPr>
          <w:p w14:paraId="6ACFCEDB" w14:textId="0CBCD263" w:rsidR="00263AE1" w:rsidRPr="00895810" w:rsidRDefault="00263AE1" w:rsidP="00263AE1">
            <w:pPr>
              <w:pStyle w:val="TableFigures"/>
              <w:rPr>
                <w:rFonts w:ascii="IBM Plex Sans Light" w:hAnsi="IBM Plex Sans Light"/>
                <w:spacing w:val="-4"/>
                <w:sz w:val="18"/>
                <w:szCs w:val="18"/>
              </w:rPr>
            </w:pPr>
            <w:r w:rsidRPr="002827F9">
              <w:rPr>
                <w:rFonts w:ascii="IBM Plex Sans Light" w:hAnsi="IBM Plex Sans Light"/>
                <w:spacing w:val="-4"/>
                <w:sz w:val="18"/>
                <w:szCs w:val="18"/>
              </w:rPr>
              <w:t>21.4</w:t>
            </w:r>
          </w:p>
        </w:tc>
      </w:tr>
      <w:tr w:rsidR="002827F9" w:rsidRPr="00895810" w14:paraId="6FFD8890" w14:textId="77777777" w:rsidTr="00FC01BB">
        <w:trPr>
          <w:trHeight w:hRule="exact" w:val="238"/>
        </w:trPr>
        <w:tc>
          <w:tcPr>
            <w:tcW w:w="5443" w:type="dxa"/>
            <w:tcBorders>
              <w:top w:val="single" w:sz="2" w:space="0" w:color="3D7FE0" w:themeColor="accent1"/>
            </w:tcBorders>
            <w:vAlign w:val="bottom"/>
          </w:tcPr>
          <w:p w14:paraId="482C2D48" w14:textId="37B52ECF" w:rsidR="002827F9" w:rsidRPr="00895810" w:rsidRDefault="002827F9" w:rsidP="002827F9">
            <w:pPr>
              <w:pStyle w:val="Notes"/>
              <w:jc w:val="left"/>
              <w:rPr>
                <w:rFonts w:ascii="IBM Plex Sans Light" w:hAnsi="IBM Plex Sans Light"/>
                <w:spacing w:val="-4"/>
                <w:sz w:val="18"/>
                <w:szCs w:val="18"/>
              </w:rPr>
            </w:pPr>
          </w:p>
        </w:tc>
        <w:tc>
          <w:tcPr>
            <w:tcW w:w="1361" w:type="dxa"/>
            <w:tcBorders>
              <w:top w:val="single" w:sz="2" w:space="0" w:color="3D7FE0" w:themeColor="accent1"/>
            </w:tcBorders>
            <w:shd w:val="clear" w:color="auto" w:fill="auto"/>
            <w:vAlign w:val="bottom"/>
          </w:tcPr>
          <w:p w14:paraId="61D20409" w14:textId="77777777" w:rsidR="002827F9" w:rsidRPr="00895810" w:rsidRDefault="002827F9" w:rsidP="002827F9">
            <w:pPr>
              <w:pStyle w:val="TableFiguresBold"/>
              <w:rPr>
                <w:rFonts w:ascii="IBM Plex Sans Light" w:hAnsi="IBM Plex Sans Light" w:cs="MyriadPro-Light"/>
                <w:b w:val="0"/>
                <w:bCs w:val="0"/>
                <w:color w:val="auto"/>
                <w:spacing w:val="-4"/>
                <w:sz w:val="18"/>
                <w:szCs w:val="18"/>
              </w:rPr>
            </w:pPr>
          </w:p>
        </w:tc>
        <w:tc>
          <w:tcPr>
            <w:tcW w:w="563" w:type="dxa"/>
            <w:tcBorders>
              <w:top w:val="single" w:sz="2" w:space="0" w:color="3D7FE0" w:themeColor="accent1"/>
            </w:tcBorders>
            <w:vAlign w:val="center"/>
          </w:tcPr>
          <w:p w14:paraId="50F1C827" w14:textId="089E86F8" w:rsidR="002827F9" w:rsidRPr="00C64D17" w:rsidRDefault="002827F9" w:rsidP="002827F9">
            <w:pPr>
              <w:pStyle w:val="TableFigures"/>
              <w:jc w:val="center"/>
              <w:rPr>
                <w:rFonts w:ascii="IBM Plex Sans Light" w:hAnsi="IBM Plex Sans Light"/>
                <w:szCs w:val="16"/>
              </w:rPr>
            </w:pPr>
          </w:p>
        </w:tc>
        <w:tc>
          <w:tcPr>
            <w:tcW w:w="1276" w:type="dxa"/>
            <w:tcBorders>
              <w:top w:val="single" w:sz="2" w:space="0" w:color="3D7FE0" w:themeColor="accent1"/>
            </w:tcBorders>
            <w:vAlign w:val="bottom"/>
          </w:tcPr>
          <w:p w14:paraId="669855CF" w14:textId="4FB27E48" w:rsidR="002827F9" w:rsidRPr="00263AE1" w:rsidRDefault="00263AE1" w:rsidP="002827F9">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3,774.0</w:t>
            </w:r>
          </w:p>
        </w:tc>
        <w:tc>
          <w:tcPr>
            <w:tcW w:w="1276" w:type="dxa"/>
            <w:tcBorders>
              <w:top w:val="single" w:sz="2" w:space="0" w:color="3D7FE0" w:themeColor="accent1"/>
            </w:tcBorders>
          </w:tcPr>
          <w:p w14:paraId="7D20D7A3" w14:textId="2085BECD" w:rsidR="002827F9" w:rsidRPr="00895810" w:rsidRDefault="002827F9" w:rsidP="002827F9">
            <w:pPr>
              <w:pStyle w:val="TableFigures"/>
              <w:rPr>
                <w:rFonts w:ascii="IBM Plex Sans Light" w:hAnsi="IBM Plex Sans Light"/>
                <w:spacing w:val="-4"/>
                <w:sz w:val="18"/>
                <w:szCs w:val="18"/>
              </w:rPr>
            </w:pPr>
            <w:r w:rsidRPr="002827F9">
              <w:rPr>
                <w:rFonts w:ascii="IBM Plex Sans Light" w:hAnsi="IBM Plex Sans Light"/>
                <w:spacing w:val="-4"/>
                <w:sz w:val="18"/>
                <w:szCs w:val="18"/>
              </w:rPr>
              <w:t>4,186.8</w:t>
            </w:r>
          </w:p>
        </w:tc>
      </w:tr>
      <w:tr w:rsidR="00F349F3" w:rsidRPr="00895810" w14:paraId="023276C7" w14:textId="107E9E9D" w:rsidTr="00D129CB">
        <w:trPr>
          <w:trHeight w:hRule="exact" w:val="238"/>
        </w:trPr>
        <w:tc>
          <w:tcPr>
            <w:tcW w:w="5443" w:type="dxa"/>
            <w:vAlign w:val="bottom"/>
          </w:tcPr>
          <w:p w14:paraId="09D8EDF4" w14:textId="06502F1E" w:rsidR="00F349F3" w:rsidRPr="00895810" w:rsidRDefault="00F349F3" w:rsidP="00F349F3">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Current assets</w:t>
            </w:r>
          </w:p>
        </w:tc>
        <w:tc>
          <w:tcPr>
            <w:tcW w:w="1361" w:type="dxa"/>
            <w:shd w:val="clear" w:color="auto" w:fill="auto"/>
            <w:vAlign w:val="bottom"/>
          </w:tcPr>
          <w:p w14:paraId="622D7265" w14:textId="77777777" w:rsidR="00F349F3" w:rsidRPr="00895810" w:rsidRDefault="00F349F3" w:rsidP="00F349F3">
            <w:pPr>
              <w:pStyle w:val="TableFiguresBold"/>
              <w:rPr>
                <w:rFonts w:ascii="IBM Plex Sans Light" w:hAnsi="IBM Plex Sans Light"/>
                <w:b w:val="0"/>
                <w:bCs w:val="0"/>
                <w:color w:val="auto"/>
                <w:spacing w:val="-4"/>
                <w:sz w:val="18"/>
                <w:szCs w:val="18"/>
              </w:rPr>
            </w:pPr>
          </w:p>
        </w:tc>
        <w:tc>
          <w:tcPr>
            <w:tcW w:w="563" w:type="dxa"/>
            <w:vAlign w:val="center"/>
          </w:tcPr>
          <w:p w14:paraId="048A74D8" w14:textId="77777777" w:rsidR="00F349F3" w:rsidRPr="00C64D17" w:rsidRDefault="00F349F3" w:rsidP="00F349F3">
            <w:pPr>
              <w:pStyle w:val="TableFigures"/>
              <w:jc w:val="center"/>
              <w:rPr>
                <w:rFonts w:ascii="IBM Plex Sans Light" w:hAnsi="IBM Plex Sans Light"/>
                <w:szCs w:val="16"/>
              </w:rPr>
            </w:pPr>
          </w:p>
        </w:tc>
        <w:tc>
          <w:tcPr>
            <w:tcW w:w="1276" w:type="dxa"/>
            <w:vAlign w:val="bottom"/>
          </w:tcPr>
          <w:p w14:paraId="4EB14860" w14:textId="4D0A09E5" w:rsidR="00F349F3" w:rsidRPr="00263AE1" w:rsidRDefault="00F349F3"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6497AAB3" w14:textId="07E54628" w:rsidR="00F349F3" w:rsidRPr="00895810" w:rsidRDefault="00F349F3" w:rsidP="00F349F3">
            <w:pPr>
              <w:pStyle w:val="TableFiguresBold"/>
              <w:rPr>
                <w:rFonts w:ascii="IBM Plex Sans Light" w:hAnsi="IBM Plex Sans Light"/>
                <w:b w:val="0"/>
                <w:color w:val="auto"/>
                <w:spacing w:val="-4"/>
                <w:sz w:val="18"/>
                <w:szCs w:val="18"/>
                <w:highlight w:val="yellow"/>
              </w:rPr>
            </w:pPr>
          </w:p>
        </w:tc>
      </w:tr>
      <w:tr w:rsidR="00263AE1" w:rsidRPr="00895810" w14:paraId="4D15DF1F" w14:textId="77777777" w:rsidTr="001352E9">
        <w:trPr>
          <w:trHeight w:hRule="exact" w:val="238"/>
        </w:trPr>
        <w:tc>
          <w:tcPr>
            <w:tcW w:w="5443" w:type="dxa"/>
            <w:vAlign w:val="bottom"/>
          </w:tcPr>
          <w:p w14:paraId="3770E30A" w14:textId="77777777"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Trading properties</w:t>
            </w:r>
          </w:p>
        </w:tc>
        <w:tc>
          <w:tcPr>
            <w:tcW w:w="1361" w:type="dxa"/>
            <w:shd w:val="clear" w:color="auto" w:fill="auto"/>
            <w:vAlign w:val="bottom"/>
          </w:tcPr>
          <w:p w14:paraId="00C2B966" w14:textId="77777777" w:rsidR="00263AE1" w:rsidRPr="00895810" w:rsidRDefault="00263AE1" w:rsidP="00263AE1">
            <w:pPr>
              <w:pStyle w:val="TableFigures"/>
              <w:rPr>
                <w:rFonts w:ascii="IBM Plex Sans Light" w:hAnsi="IBM Plex Sans Light"/>
                <w:spacing w:val="-4"/>
                <w:sz w:val="18"/>
                <w:szCs w:val="18"/>
              </w:rPr>
            </w:pPr>
          </w:p>
        </w:tc>
        <w:tc>
          <w:tcPr>
            <w:tcW w:w="563" w:type="dxa"/>
            <w:vAlign w:val="center"/>
          </w:tcPr>
          <w:p w14:paraId="494F2B76" w14:textId="7FFFDCEF"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pacing w:val="-4"/>
                <w:szCs w:val="16"/>
              </w:rPr>
              <w:t>11</w:t>
            </w:r>
          </w:p>
        </w:tc>
        <w:tc>
          <w:tcPr>
            <w:tcW w:w="1276" w:type="dxa"/>
          </w:tcPr>
          <w:p w14:paraId="7D432A8D" w14:textId="0762228F"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w:t>
            </w:r>
          </w:p>
        </w:tc>
        <w:tc>
          <w:tcPr>
            <w:tcW w:w="1276" w:type="dxa"/>
          </w:tcPr>
          <w:p w14:paraId="14C462FA" w14:textId="0862774E"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36.2</w:t>
            </w:r>
          </w:p>
        </w:tc>
      </w:tr>
      <w:tr w:rsidR="00263AE1" w:rsidRPr="00895810" w14:paraId="46B86545" w14:textId="297C81AD" w:rsidTr="001352E9">
        <w:trPr>
          <w:trHeight w:hRule="exact" w:val="238"/>
        </w:trPr>
        <w:tc>
          <w:tcPr>
            <w:tcW w:w="5443" w:type="dxa"/>
            <w:vAlign w:val="bottom"/>
          </w:tcPr>
          <w:p w14:paraId="0D3B6154" w14:textId="685AC69C"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Trade and other receivables</w:t>
            </w:r>
          </w:p>
        </w:tc>
        <w:tc>
          <w:tcPr>
            <w:tcW w:w="1361" w:type="dxa"/>
            <w:shd w:val="clear" w:color="auto" w:fill="auto"/>
            <w:vAlign w:val="bottom"/>
          </w:tcPr>
          <w:p w14:paraId="3A118F62" w14:textId="003D6913"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4EB68176" w14:textId="444AA56D"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pacing w:val="-4"/>
                <w:szCs w:val="16"/>
              </w:rPr>
              <w:t>14</w:t>
            </w:r>
          </w:p>
        </w:tc>
        <w:tc>
          <w:tcPr>
            <w:tcW w:w="1276" w:type="dxa"/>
          </w:tcPr>
          <w:p w14:paraId="4A91640F" w14:textId="5AD4773A"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74.1</w:t>
            </w:r>
          </w:p>
        </w:tc>
        <w:tc>
          <w:tcPr>
            <w:tcW w:w="1276" w:type="dxa"/>
          </w:tcPr>
          <w:p w14:paraId="28878BDC" w14:textId="238AF03A"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85.9</w:t>
            </w:r>
          </w:p>
        </w:tc>
      </w:tr>
      <w:tr w:rsidR="00263AE1" w:rsidRPr="00895810" w14:paraId="4A23E398" w14:textId="29F94DA2" w:rsidTr="001352E9">
        <w:trPr>
          <w:trHeight w:hRule="exact" w:val="238"/>
        </w:trPr>
        <w:tc>
          <w:tcPr>
            <w:tcW w:w="5443" w:type="dxa"/>
            <w:vAlign w:val="bottom"/>
          </w:tcPr>
          <w:p w14:paraId="09E449A2" w14:textId="167745A0"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Derivative financial instruments</w:t>
            </w:r>
          </w:p>
        </w:tc>
        <w:tc>
          <w:tcPr>
            <w:tcW w:w="1361" w:type="dxa"/>
            <w:shd w:val="clear" w:color="auto" w:fill="auto"/>
            <w:vAlign w:val="bottom"/>
          </w:tcPr>
          <w:p w14:paraId="15E98387" w14:textId="2A5A0925" w:rsidR="00263AE1" w:rsidRPr="00895810" w:rsidRDefault="00263AE1" w:rsidP="00263AE1">
            <w:pPr>
              <w:pStyle w:val="TableFigures"/>
              <w:rPr>
                <w:rFonts w:ascii="IBM Plex Sans Light" w:hAnsi="IBM Plex Sans Light"/>
                <w:spacing w:val="-4"/>
                <w:sz w:val="18"/>
                <w:szCs w:val="18"/>
              </w:rPr>
            </w:pPr>
          </w:p>
        </w:tc>
        <w:tc>
          <w:tcPr>
            <w:tcW w:w="563" w:type="dxa"/>
            <w:vAlign w:val="center"/>
          </w:tcPr>
          <w:p w14:paraId="3A6783F2" w14:textId="714822AC" w:rsidR="00263AE1" w:rsidRPr="00C64D17" w:rsidRDefault="00263AE1" w:rsidP="00263AE1">
            <w:pPr>
              <w:pStyle w:val="TableFigures"/>
              <w:jc w:val="center"/>
              <w:rPr>
                <w:rFonts w:ascii="IBM Plex Sans Light" w:hAnsi="IBM Plex Sans Light"/>
                <w:szCs w:val="16"/>
              </w:rPr>
            </w:pPr>
          </w:p>
        </w:tc>
        <w:tc>
          <w:tcPr>
            <w:tcW w:w="1276" w:type="dxa"/>
          </w:tcPr>
          <w:p w14:paraId="303DB3B5" w14:textId="23EEDD84"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5.2</w:t>
            </w:r>
          </w:p>
        </w:tc>
        <w:tc>
          <w:tcPr>
            <w:tcW w:w="1276" w:type="dxa"/>
          </w:tcPr>
          <w:p w14:paraId="5C2419EA" w14:textId="2B27E379"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0.1</w:t>
            </w:r>
          </w:p>
        </w:tc>
      </w:tr>
      <w:tr w:rsidR="00263AE1" w:rsidRPr="00895810" w14:paraId="379DC000" w14:textId="70030C95" w:rsidTr="001352E9">
        <w:trPr>
          <w:trHeight w:hRule="exact" w:val="238"/>
        </w:trPr>
        <w:tc>
          <w:tcPr>
            <w:tcW w:w="5443" w:type="dxa"/>
            <w:vAlign w:val="bottom"/>
          </w:tcPr>
          <w:p w14:paraId="3DD05EFE" w14:textId="3B204F4B"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Restricted monetary assets</w:t>
            </w:r>
          </w:p>
        </w:tc>
        <w:tc>
          <w:tcPr>
            <w:tcW w:w="1361" w:type="dxa"/>
            <w:shd w:val="clear" w:color="auto" w:fill="auto"/>
            <w:vAlign w:val="bottom"/>
          </w:tcPr>
          <w:p w14:paraId="7DD8FCED" w14:textId="7A843623" w:rsidR="00263AE1" w:rsidRPr="00895810" w:rsidRDefault="00263AE1" w:rsidP="00263AE1">
            <w:pPr>
              <w:pStyle w:val="TableFigures"/>
              <w:rPr>
                <w:rFonts w:ascii="IBM Plex Sans Light" w:hAnsi="IBM Plex Sans Light"/>
                <w:spacing w:val="-4"/>
                <w:sz w:val="18"/>
                <w:szCs w:val="18"/>
              </w:rPr>
            </w:pPr>
          </w:p>
        </w:tc>
        <w:tc>
          <w:tcPr>
            <w:tcW w:w="563" w:type="dxa"/>
            <w:vAlign w:val="center"/>
          </w:tcPr>
          <w:p w14:paraId="086C1B51" w14:textId="77671897"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zCs w:val="16"/>
              </w:rPr>
              <w:t>15</w:t>
            </w:r>
          </w:p>
        </w:tc>
        <w:tc>
          <w:tcPr>
            <w:tcW w:w="1276" w:type="dxa"/>
          </w:tcPr>
          <w:p w14:paraId="3660B8C9" w14:textId="1DB4C495"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2.2</w:t>
            </w:r>
          </w:p>
        </w:tc>
        <w:tc>
          <w:tcPr>
            <w:tcW w:w="1276" w:type="dxa"/>
          </w:tcPr>
          <w:p w14:paraId="4006A385" w14:textId="3BA326D1"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8.6</w:t>
            </w:r>
          </w:p>
        </w:tc>
      </w:tr>
      <w:tr w:rsidR="00263AE1" w:rsidRPr="00895810" w14:paraId="675AC658" w14:textId="59BBF4AA" w:rsidTr="001352E9">
        <w:trPr>
          <w:trHeight w:hRule="exact" w:val="238"/>
        </w:trPr>
        <w:tc>
          <w:tcPr>
            <w:tcW w:w="5443" w:type="dxa"/>
            <w:tcBorders>
              <w:bottom w:val="single" w:sz="2" w:space="0" w:color="3D7FE0" w:themeColor="accent1"/>
            </w:tcBorders>
            <w:vAlign w:val="bottom"/>
          </w:tcPr>
          <w:p w14:paraId="5D570C48" w14:textId="7D119EE0"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Cash and cash equivalents</w:t>
            </w:r>
          </w:p>
        </w:tc>
        <w:tc>
          <w:tcPr>
            <w:tcW w:w="1361" w:type="dxa"/>
            <w:tcBorders>
              <w:bottom w:val="single" w:sz="2" w:space="0" w:color="3D7FE0" w:themeColor="accent1"/>
            </w:tcBorders>
            <w:shd w:val="clear" w:color="auto" w:fill="auto"/>
            <w:vAlign w:val="bottom"/>
          </w:tcPr>
          <w:p w14:paraId="6F7F12BA" w14:textId="3D1DE7A2" w:rsidR="00263AE1" w:rsidRPr="00895810" w:rsidRDefault="00263AE1" w:rsidP="00263AE1">
            <w:pPr>
              <w:pStyle w:val="TableFigures"/>
              <w:rPr>
                <w:rFonts w:ascii="IBM Plex Sans Light" w:hAnsi="IBM Plex Sans Light"/>
                <w:spacing w:val="-4"/>
                <w:sz w:val="18"/>
                <w:szCs w:val="18"/>
              </w:rPr>
            </w:pPr>
          </w:p>
        </w:tc>
        <w:tc>
          <w:tcPr>
            <w:tcW w:w="563" w:type="dxa"/>
            <w:tcBorders>
              <w:bottom w:val="single" w:sz="2" w:space="0" w:color="3D7FE0" w:themeColor="accent1"/>
            </w:tcBorders>
            <w:vAlign w:val="center"/>
          </w:tcPr>
          <w:p w14:paraId="78FE4AF9" w14:textId="0A3F65B2" w:rsidR="00263AE1" w:rsidRPr="00C64D17" w:rsidRDefault="00263AE1" w:rsidP="009E1EC6">
            <w:pPr>
              <w:pStyle w:val="TableFigures"/>
              <w:jc w:val="left"/>
              <w:rPr>
                <w:rFonts w:ascii="IBM Plex Sans Light" w:hAnsi="IBM Plex Sans Light"/>
                <w:szCs w:val="16"/>
                <w:highlight w:val="yellow"/>
              </w:rPr>
            </w:pPr>
          </w:p>
        </w:tc>
        <w:tc>
          <w:tcPr>
            <w:tcW w:w="1276" w:type="dxa"/>
            <w:tcBorders>
              <w:bottom w:val="single" w:sz="2" w:space="0" w:color="3D7FE0" w:themeColor="accent1"/>
            </w:tcBorders>
          </w:tcPr>
          <w:p w14:paraId="4E8F37C1" w14:textId="3AE64160"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472.3</w:t>
            </w:r>
          </w:p>
        </w:tc>
        <w:tc>
          <w:tcPr>
            <w:tcW w:w="1276" w:type="dxa"/>
            <w:tcBorders>
              <w:bottom w:val="single" w:sz="2" w:space="0" w:color="3D7FE0" w:themeColor="accent1"/>
            </w:tcBorders>
          </w:tcPr>
          <w:p w14:paraId="1AA60550" w14:textId="2512B02B"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218.8</w:t>
            </w:r>
          </w:p>
        </w:tc>
      </w:tr>
      <w:tr w:rsidR="00263AE1" w:rsidRPr="00895810" w14:paraId="7BE09F51" w14:textId="6E268296" w:rsidTr="001352E9">
        <w:trPr>
          <w:trHeight w:hRule="exact" w:val="238"/>
        </w:trPr>
        <w:tc>
          <w:tcPr>
            <w:tcW w:w="5443" w:type="dxa"/>
            <w:tcBorders>
              <w:top w:val="single" w:sz="2" w:space="0" w:color="3D7FE0" w:themeColor="accent1"/>
            </w:tcBorders>
            <w:vAlign w:val="bottom"/>
          </w:tcPr>
          <w:p w14:paraId="5ACA9478" w14:textId="77777777" w:rsidR="00263AE1" w:rsidRPr="00895810" w:rsidRDefault="00263AE1" w:rsidP="00263AE1">
            <w:pPr>
              <w:pStyle w:val="Notes"/>
              <w:jc w:val="left"/>
              <w:rPr>
                <w:rFonts w:ascii="IBM Plex Sans Light" w:hAnsi="IBM Plex Sans Light"/>
                <w:spacing w:val="-4"/>
                <w:sz w:val="18"/>
                <w:szCs w:val="18"/>
              </w:rPr>
            </w:pPr>
          </w:p>
        </w:tc>
        <w:tc>
          <w:tcPr>
            <w:tcW w:w="1361" w:type="dxa"/>
            <w:tcBorders>
              <w:top w:val="single" w:sz="2" w:space="0" w:color="3D7FE0" w:themeColor="accent1"/>
            </w:tcBorders>
            <w:shd w:val="clear" w:color="auto" w:fill="auto"/>
            <w:vAlign w:val="bottom"/>
          </w:tcPr>
          <w:p w14:paraId="28AE9829" w14:textId="42A90F07" w:rsidR="00263AE1" w:rsidRPr="00895810" w:rsidRDefault="00263AE1" w:rsidP="00263AE1">
            <w:pPr>
              <w:pStyle w:val="TableFigures"/>
              <w:rPr>
                <w:rFonts w:ascii="IBM Plex Sans Light" w:hAnsi="IBM Plex Sans Light"/>
                <w:spacing w:val="-4"/>
                <w:sz w:val="18"/>
                <w:szCs w:val="18"/>
              </w:rPr>
            </w:pPr>
          </w:p>
        </w:tc>
        <w:tc>
          <w:tcPr>
            <w:tcW w:w="563" w:type="dxa"/>
            <w:tcBorders>
              <w:top w:val="single" w:sz="2" w:space="0" w:color="3D7FE0" w:themeColor="accent1"/>
            </w:tcBorders>
            <w:vAlign w:val="center"/>
          </w:tcPr>
          <w:p w14:paraId="4D102B32" w14:textId="77777777" w:rsidR="00263AE1" w:rsidRPr="00C64D17" w:rsidRDefault="00263AE1" w:rsidP="00263AE1">
            <w:pPr>
              <w:pStyle w:val="TableFigures"/>
              <w:jc w:val="center"/>
              <w:rPr>
                <w:rFonts w:ascii="IBM Plex Sans Light" w:hAnsi="IBM Plex Sans Light"/>
                <w:szCs w:val="16"/>
              </w:rPr>
            </w:pPr>
          </w:p>
        </w:tc>
        <w:tc>
          <w:tcPr>
            <w:tcW w:w="1276" w:type="dxa"/>
            <w:tcBorders>
              <w:top w:val="single" w:sz="2" w:space="0" w:color="3D7FE0" w:themeColor="accent1"/>
            </w:tcBorders>
          </w:tcPr>
          <w:p w14:paraId="0055EFE4" w14:textId="2E66D106"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553.8</w:t>
            </w:r>
          </w:p>
        </w:tc>
        <w:tc>
          <w:tcPr>
            <w:tcW w:w="1276" w:type="dxa"/>
            <w:tcBorders>
              <w:top w:val="single" w:sz="2" w:space="0" w:color="3D7FE0" w:themeColor="accent1"/>
            </w:tcBorders>
          </w:tcPr>
          <w:p w14:paraId="566C9AFE" w14:textId="00CBAA00"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349.6</w:t>
            </w:r>
          </w:p>
        </w:tc>
      </w:tr>
      <w:tr w:rsidR="00263AE1" w:rsidRPr="00895810" w14:paraId="2B004A36" w14:textId="36AD30C2" w:rsidTr="001352E9">
        <w:trPr>
          <w:trHeight w:hRule="exact" w:val="238"/>
        </w:trPr>
        <w:tc>
          <w:tcPr>
            <w:tcW w:w="5443" w:type="dxa"/>
            <w:tcBorders>
              <w:top w:val="single" w:sz="2" w:space="0" w:color="3D7FE0" w:themeColor="accent1"/>
              <w:bottom w:val="single" w:sz="2" w:space="0" w:color="3D7FE0" w:themeColor="accent1"/>
            </w:tcBorders>
            <w:vAlign w:val="bottom"/>
          </w:tcPr>
          <w:p w14:paraId="328F0904" w14:textId="796E9C7B" w:rsidR="00263AE1" w:rsidRPr="00895810" w:rsidRDefault="00263AE1" w:rsidP="00263AE1">
            <w:pPr>
              <w:pStyle w:val="Notes"/>
              <w:jc w:val="left"/>
              <w:rPr>
                <w:rFonts w:ascii="IBM Plex Sans Light" w:hAnsi="IBM Plex Sans Light"/>
                <w:b/>
                <w:spacing w:val="-4"/>
                <w:sz w:val="18"/>
                <w:szCs w:val="18"/>
                <w:lang w:val="fr-FR"/>
              </w:rPr>
            </w:pPr>
            <w:r w:rsidRPr="00895810">
              <w:rPr>
                <w:rFonts w:ascii="IBM Plex Sans Light" w:hAnsi="IBM Plex Sans Light"/>
                <w:b/>
                <w:color w:val="3D7FE0" w:themeColor="accent1"/>
                <w:spacing w:val="-4"/>
                <w:sz w:val="18"/>
                <w:szCs w:val="18"/>
                <w:lang w:val="fr-FR"/>
              </w:rPr>
              <w:t>Total assets</w:t>
            </w:r>
          </w:p>
        </w:tc>
        <w:tc>
          <w:tcPr>
            <w:tcW w:w="1361" w:type="dxa"/>
            <w:tcBorders>
              <w:top w:val="single" w:sz="2" w:space="0" w:color="3D7FE0" w:themeColor="accent1"/>
              <w:bottom w:val="single" w:sz="2" w:space="0" w:color="3D7FE0" w:themeColor="accent1"/>
            </w:tcBorders>
            <w:shd w:val="clear" w:color="auto" w:fill="auto"/>
            <w:vAlign w:val="bottom"/>
          </w:tcPr>
          <w:p w14:paraId="3459B153" w14:textId="6274893F" w:rsidR="00263AE1" w:rsidRPr="00895810" w:rsidRDefault="00263AE1" w:rsidP="00263AE1">
            <w:pPr>
              <w:pStyle w:val="TableFigures"/>
              <w:rPr>
                <w:rFonts w:ascii="IBM Plex Sans Light" w:hAnsi="IBM Plex Sans Light"/>
                <w:spacing w:val="-4"/>
                <w:sz w:val="18"/>
                <w:szCs w:val="18"/>
              </w:rPr>
            </w:pPr>
          </w:p>
        </w:tc>
        <w:tc>
          <w:tcPr>
            <w:tcW w:w="563" w:type="dxa"/>
            <w:tcBorders>
              <w:top w:val="single" w:sz="2" w:space="0" w:color="3D7FE0" w:themeColor="accent1"/>
              <w:bottom w:val="single" w:sz="2" w:space="0" w:color="3D7FE0" w:themeColor="accent1"/>
            </w:tcBorders>
            <w:vAlign w:val="center"/>
          </w:tcPr>
          <w:p w14:paraId="6FF492F1" w14:textId="77777777" w:rsidR="00263AE1" w:rsidRPr="00C64D17" w:rsidRDefault="00263AE1" w:rsidP="00263AE1">
            <w:pPr>
              <w:pStyle w:val="TableFigures"/>
              <w:jc w:val="center"/>
              <w:rPr>
                <w:rFonts w:ascii="IBM Plex Sans Light" w:hAnsi="IBM Plex Sans Light"/>
                <w:szCs w:val="16"/>
              </w:rPr>
            </w:pPr>
          </w:p>
        </w:tc>
        <w:tc>
          <w:tcPr>
            <w:tcW w:w="1276" w:type="dxa"/>
            <w:tcBorders>
              <w:top w:val="single" w:sz="2" w:space="0" w:color="3D7FE0" w:themeColor="accent1"/>
              <w:bottom w:val="single" w:sz="2" w:space="0" w:color="3D7FE0" w:themeColor="accent1"/>
            </w:tcBorders>
          </w:tcPr>
          <w:p w14:paraId="14B626EF" w14:textId="396DA228"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4,327.8</w:t>
            </w:r>
          </w:p>
        </w:tc>
        <w:tc>
          <w:tcPr>
            <w:tcW w:w="1276" w:type="dxa"/>
            <w:tcBorders>
              <w:top w:val="single" w:sz="2" w:space="0" w:color="3D7FE0" w:themeColor="accent1"/>
              <w:bottom w:val="single" w:sz="2" w:space="0" w:color="3D7FE0" w:themeColor="accent1"/>
            </w:tcBorders>
          </w:tcPr>
          <w:p w14:paraId="2D34428B" w14:textId="1FA43E02"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4,536.4</w:t>
            </w:r>
          </w:p>
        </w:tc>
      </w:tr>
      <w:tr w:rsidR="007C0BC1" w:rsidRPr="00895810" w14:paraId="10B3A452" w14:textId="77777777" w:rsidTr="00024B10">
        <w:trPr>
          <w:trHeight w:hRule="exact" w:val="238"/>
        </w:trPr>
        <w:tc>
          <w:tcPr>
            <w:tcW w:w="5443" w:type="dxa"/>
            <w:tcBorders>
              <w:top w:val="single" w:sz="2" w:space="0" w:color="3D7FE0" w:themeColor="accent1"/>
            </w:tcBorders>
            <w:vAlign w:val="bottom"/>
          </w:tcPr>
          <w:p w14:paraId="53BD95D9" w14:textId="77777777" w:rsidR="007C0BC1" w:rsidRPr="00895810" w:rsidRDefault="007C0BC1" w:rsidP="00F349F3">
            <w:pPr>
              <w:pStyle w:val="Notes"/>
              <w:jc w:val="left"/>
              <w:rPr>
                <w:rFonts w:ascii="IBM Plex Sans Light" w:hAnsi="IBM Plex Sans Light"/>
                <w:b/>
                <w:color w:val="3D7FE0" w:themeColor="accent1"/>
                <w:spacing w:val="-4"/>
                <w:sz w:val="18"/>
                <w:szCs w:val="18"/>
              </w:rPr>
            </w:pPr>
          </w:p>
        </w:tc>
        <w:tc>
          <w:tcPr>
            <w:tcW w:w="1361" w:type="dxa"/>
            <w:tcBorders>
              <w:top w:val="single" w:sz="2" w:space="0" w:color="3D7FE0" w:themeColor="accent1"/>
            </w:tcBorders>
            <w:shd w:val="clear" w:color="auto" w:fill="auto"/>
            <w:vAlign w:val="bottom"/>
          </w:tcPr>
          <w:p w14:paraId="2B2A9494" w14:textId="77777777" w:rsidR="007C0BC1" w:rsidRPr="00895810" w:rsidRDefault="007C0BC1" w:rsidP="00F349F3">
            <w:pPr>
              <w:pStyle w:val="TableFigures"/>
              <w:rPr>
                <w:rFonts w:ascii="IBM Plex Sans Light" w:hAnsi="IBM Plex Sans Light"/>
                <w:spacing w:val="-4"/>
                <w:sz w:val="18"/>
                <w:szCs w:val="18"/>
              </w:rPr>
            </w:pPr>
          </w:p>
        </w:tc>
        <w:tc>
          <w:tcPr>
            <w:tcW w:w="563" w:type="dxa"/>
            <w:tcBorders>
              <w:top w:val="single" w:sz="2" w:space="0" w:color="3D7FE0" w:themeColor="accent1"/>
            </w:tcBorders>
            <w:vAlign w:val="center"/>
          </w:tcPr>
          <w:p w14:paraId="1B92CE14" w14:textId="77777777" w:rsidR="007C0BC1" w:rsidRPr="00C64D17" w:rsidRDefault="007C0BC1" w:rsidP="00F349F3">
            <w:pPr>
              <w:pStyle w:val="TableFigures"/>
              <w:jc w:val="center"/>
              <w:rPr>
                <w:rFonts w:ascii="IBM Plex Sans Light" w:hAnsi="IBM Plex Sans Light"/>
                <w:szCs w:val="16"/>
              </w:rPr>
            </w:pPr>
          </w:p>
        </w:tc>
        <w:tc>
          <w:tcPr>
            <w:tcW w:w="1276" w:type="dxa"/>
            <w:tcBorders>
              <w:top w:val="single" w:sz="2" w:space="0" w:color="3D7FE0" w:themeColor="accent1"/>
            </w:tcBorders>
            <w:vAlign w:val="bottom"/>
          </w:tcPr>
          <w:p w14:paraId="69F8A6B6" w14:textId="77777777" w:rsidR="007C0BC1" w:rsidRPr="00263AE1" w:rsidRDefault="007C0BC1" w:rsidP="00263AE1">
            <w:pPr>
              <w:pStyle w:val="TableFigures"/>
              <w:rPr>
                <w:rFonts w:ascii="IBM Plex Sans Medium" w:hAnsi="IBM Plex Sans Medium"/>
                <w:b/>
                <w:bCs/>
                <w:color w:val="3D7FE0" w:themeColor="accent1"/>
                <w:spacing w:val="-4"/>
                <w:sz w:val="18"/>
                <w:szCs w:val="18"/>
              </w:rPr>
            </w:pPr>
          </w:p>
        </w:tc>
        <w:tc>
          <w:tcPr>
            <w:tcW w:w="1276" w:type="dxa"/>
            <w:tcBorders>
              <w:top w:val="single" w:sz="2" w:space="0" w:color="3D7FE0" w:themeColor="accent1"/>
            </w:tcBorders>
            <w:vAlign w:val="bottom"/>
          </w:tcPr>
          <w:p w14:paraId="03207EF8" w14:textId="77777777" w:rsidR="007C0BC1" w:rsidRPr="00895810" w:rsidRDefault="007C0BC1" w:rsidP="00F349F3">
            <w:pPr>
              <w:pStyle w:val="TableFiguresBold"/>
              <w:rPr>
                <w:rFonts w:ascii="IBM Plex Sans Light" w:hAnsi="IBM Plex Sans Light"/>
                <w:b w:val="0"/>
                <w:color w:val="auto"/>
                <w:spacing w:val="-4"/>
                <w:sz w:val="18"/>
                <w:szCs w:val="18"/>
                <w:highlight w:val="yellow"/>
              </w:rPr>
            </w:pPr>
          </w:p>
        </w:tc>
      </w:tr>
      <w:tr w:rsidR="00F349F3" w:rsidRPr="00895810" w14:paraId="6A8FDCE3" w14:textId="48E98D96" w:rsidTr="00024B10">
        <w:trPr>
          <w:trHeight w:hRule="exact" w:val="238"/>
        </w:trPr>
        <w:tc>
          <w:tcPr>
            <w:tcW w:w="5443" w:type="dxa"/>
            <w:vAlign w:val="bottom"/>
          </w:tcPr>
          <w:p w14:paraId="38F99EB6" w14:textId="75F26B58" w:rsidR="00F349F3" w:rsidRPr="00895810" w:rsidRDefault="00F349F3" w:rsidP="00F349F3">
            <w:pPr>
              <w:pStyle w:val="Notes"/>
              <w:jc w:val="left"/>
              <w:rPr>
                <w:rFonts w:ascii="IBM Plex Sans Light" w:hAnsi="IBM Plex Sans Light"/>
                <w:b/>
                <w:spacing w:val="-4"/>
                <w:sz w:val="18"/>
                <w:szCs w:val="18"/>
                <w:lang w:val="fr-FR"/>
              </w:rPr>
            </w:pPr>
            <w:r w:rsidRPr="00895810">
              <w:rPr>
                <w:rFonts w:ascii="IBM Plex Sans Light" w:hAnsi="IBM Plex Sans Light"/>
                <w:b/>
                <w:color w:val="3D7FE0" w:themeColor="accent1"/>
                <w:spacing w:val="-4"/>
                <w:sz w:val="18"/>
                <w:szCs w:val="18"/>
              </w:rPr>
              <w:t>Current liabilities</w:t>
            </w:r>
          </w:p>
        </w:tc>
        <w:tc>
          <w:tcPr>
            <w:tcW w:w="1361" w:type="dxa"/>
            <w:shd w:val="clear" w:color="auto" w:fill="auto"/>
            <w:vAlign w:val="bottom"/>
          </w:tcPr>
          <w:p w14:paraId="5B4A7878" w14:textId="77777777" w:rsidR="00F349F3" w:rsidRPr="00895810" w:rsidRDefault="00F349F3" w:rsidP="00F349F3">
            <w:pPr>
              <w:pStyle w:val="TableFigures"/>
              <w:rPr>
                <w:rFonts w:ascii="IBM Plex Sans Light" w:hAnsi="IBM Plex Sans Light"/>
                <w:spacing w:val="-4"/>
                <w:sz w:val="18"/>
                <w:szCs w:val="18"/>
              </w:rPr>
            </w:pPr>
          </w:p>
        </w:tc>
        <w:tc>
          <w:tcPr>
            <w:tcW w:w="563" w:type="dxa"/>
            <w:vAlign w:val="center"/>
          </w:tcPr>
          <w:p w14:paraId="52FC70F4" w14:textId="77777777" w:rsidR="00F349F3" w:rsidRPr="00C64D17" w:rsidRDefault="00F349F3" w:rsidP="00F349F3">
            <w:pPr>
              <w:pStyle w:val="TableFigures"/>
              <w:jc w:val="center"/>
              <w:rPr>
                <w:rFonts w:ascii="IBM Plex Sans Light" w:hAnsi="IBM Plex Sans Light"/>
                <w:szCs w:val="16"/>
              </w:rPr>
            </w:pPr>
          </w:p>
        </w:tc>
        <w:tc>
          <w:tcPr>
            <w:tcW w:w="1276" w:type="dxa"/>
            <w:vAlign w:val="bottom"/>
          </w:tcPr>
          <w:p w14:paraId="398626EB" w14:textId="15990457" w:rsidR="00F349F3" w:rsidRPr="00263AE1" w:rsidRDefault="00F349F3"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42E98B15" w14:textId="30EBF24C" w:rsidR="00F349F3" w:rsidRPr="00895810" w:rsidRDefault="00F349F3" w:rsidP="00F349F3">
            <w:pPr>
              <w:pStyle w:val="TableFiguresBold"/>
              <w:rPr>
                <w:rFonts w:ascii="IBM Plex Sans Light" w:hAnsi="IBM Plex Sans Light"/>
                <w:b w:val="0"/>
                <w:color w:val="auto"/>
                <w:spacing w:val="-4"/>
                <w:sz w:val="18"/>
                <w:szCs w:val="18"/>
                <w:highlight w:val="yellow"/>
              </w:rPr>
            </w:pPr>
          </w:p>
        </w:tc>
      </w:tr>
      <w:tr w:rsidR="00263AE1" w:rsidRPr="00895810" w14:paraId="56B55D67" w14:textId="77777777" w:rsidTr="00B04CC6">
        <w:trPr>
          <w:trHeight w:hRule="exact" w:val="238"/>
        </w:trPr>
        <w:tc>
          <w:tcPr>
            <w:tcW w:w="5443" w:type="dxa"/>
            <w:vAlign w:val="bottom"/>
          </w:tcPr>
          <w:p w14:paraId="6A1738B1" w14:textId="77777777" w:rsidR="00263AE1" w:rsidRPr="00895810" w:rsidRDefault="00263AE1" w:rsidP="00263AE1">
            <w:pPr>
              <w:pStyle w:val="Notes"/>
              <w:jc w:val="left"/>
              <w:rPr>
                <w:rFonts w:ascii="IBM Plex Sans Light" w:hAnsi="IBM Plex Sans Light"/>
                <w:spacing w:val="-4"/>
                <w:sz w:val="18"/>
                <w:szCs w:val="18"/>
                <w:lang w:val="fr-FR"/>
              </w:rPr>
            </w:pPr>
            <w:r w:rsidRPr="00895810">
              <w:rPr>
                <w:rFonts w:ascii="IBM Plex Sans Light" w:hAnsi="IBM Plex Sans Light" w:cs="Arial"/>
                <w:sz w:val="18"/>
                <w:szCs w:val="18"/>
                <w:lang w:val="fr-FR"/>
              </w:rPr>
              <w:t xml:space="preserve">Trade and </w:t>
            </w:r>
            <w:proofErr w:type="spellStart"/>
            <w:r w:rsidRPr="00895810">
              <w:rPr>
                <w:rFonts w:ascii="IBM Plex Sans Light" w:hAnsi="IBM Plex Sans Light" w:cs="Arial"/>
                <w:sz w:val="18"/>
                <w:szCs w:val="18"/>
                <w:lang w:val="fr-FR"/>
              </w:rPr>
              <w:t>other</w:t>
            </w:r>
            <w:proofErr w:type="spellEnd"/>
            <w:r w:rsidRPr="00895810">
              <w:rPr>
                <w:rFonts w:ascii="IBM Plex Sans Light" w:hAnsi="IBM Plex Sans Light" w:cs="Arial"/>
                <w:sz w:val="18"/>
                <w:szCs w:val="18"/>
                <w:lang w:val="fr-FR"/>
              </w:rPr>
              <w:t xml:space="preserve"> payables</w:t>
            </w:r>
          </w:p>
        </w:tc>
        <w:tc>
          <w:tcPr>
            <w:tcW w:w="1361" w:type="dxa"/>
            <w:shd w:val="clear" w:color="auto" w:fill="auto"/>
            <w:vAlign w:val="bottom"/>
          </w:tcPr>
          <w:p w14:paraId="17E6BF1C" w14:textId="77777777" w:rsidR="00263AE1" w:rsidRPr="00895810" w:rsidRDefault="00263AE1" w:rsidP="00263AE1">
            <w:pPr>
              <w:pStyle w:val="TableFigures"/>
              <w:rPr>
                <w:rFonts w:ascii="IBM Plex Sans Light" w:hAnsi="IBM Plex Sans Light"/>
                <w:spacing w:val="-4"/>
                <w:sz w:val="18"/>
                <w:szCs w:val="18"/>
              </w:rPr>
            </w:pPr>
          </w:p>
        </w:tc>
        <w:tc>
          <w:tcPr>
            <w:tcW w:w="563" w:type="dxa"/>
            <w:vAlign w:val="center"/>
          </w:tcPr>
          <w:p w14:paraId="0A3E62BA" w14:textId="6701ADE8" w:rsidR="00263AE1" w:rsidRPr="00C64D17" w:rsidRDefault="00263AE1" w:rsidP="00263AE1">
            <w:pPr>
              <w:pStyle w:val="TableFigures"/>
              <w:jc w:val="center"/>
              <w:rPr>
                <w:rFonts w:ascii="IBM Plex Sans Light" w:hAnsi="IBM Plex Sans Light"/>
                <w:szCs w:val="16"/>
              </w:rPr>
            </w:pPr>
          </w:p>
        </w:tc>
        <w:tc>
          <w:tcPr>
            <w:tcW w:w="1276" w:type="dxa"/>
          </w:tcPr>
          <w:p w14:paraId="165E2CF9" w14:textId="0C4FE6C9"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(129.8)</w:t>
            </w:r>
          </w:p>
        </w:tc>
        <w:tc>
          <w:tcPr>
            <w:tcW w:w="1276" w:type="dxa"/>
          </w:tcPr>
          <w:p w14:paraId="35F01729" w14:textId="0A9082AB" w:rsidR="00263AE1" w:rsidRPr="00DD661B" w:rsidRDefault="00263AE1" w:rsidP="00263AE1">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(168.3)</w:t>
            </w:r>
          </w:p>
        </w:tc>
      </w:tr>
      <w:tr w:rsidR="00263AE1" w:rsidRPr="00895810" w14:paraId="50E85E0B" w14:textId="77777777" w:rsidTr="00B04CC6">
        <w:trPr>
          <w:trHeight w:hRule="exact" w:val="238"/>
        </w:trPr>
        <w:tc>
          <w:tcPr>
            <w:tcW w:w="5443" w:type="dxa"/>
            <w:vAlign w:val="bottom"/>
          </w:tcPr>
          <w:p w14:paraId="76AD797A" w14:textId="4968CA04" w:rsidR="00263AE1" w:rsidRPr="00895810" w:rsidRDefault="00263AE1" w:rsidP="00263AE1">
            <w:pPr>
              <w:pStyle w:val="Notes"/>
              <w:jc w:val="left"/>
              <w:rPr>
                <w:rFonts w:ascii="IBM Plex Sans Light" w:hAnsi="IBM Plex Sans Light" w:cs="Arial"/>
                <w:sz w:val="18"/>
                <w:szCs w:val="18"/>
              </w:rPr>
            </w:pPr>
            <w:r w:rsidRPr="00895810">
              <w:rPr>
                <w:rFonts w:ascii="IBM Plex Sans Light" w:hAnsi="IBM Plex Sans Light" w:cs="Arial"/>
                <w:sz w:val="18"/>
                <w:szCs w:val="18"/>
              </w:rPr>
              <w:t>Obligations under head leases</w:t>
            </w:r>
          </w:p>
        </w:tc>
        <w:tc>
          <w:tcPr>
            <w:tcW w:w="1361" w:type="dxa"/>
            <w:shd w:val="clear" w:color="auto" w:fill="auto"/>
            <w:vAlign w:val="bottom"/>
          </w:tcPr>
          <w:p w14:paraId="781A3F51" w14:textId="77777777" w:rsidR="00263AE1" w:rsidRPr="00895810" w:rsidRDefault="00263AE1" w:rsidP="00263AE1">
            <w:pPr>
              <w:pStyle w:val="TableFigures"/>
              <w:rPr>
                <w:rFonts w:ascii="IBM Plex Sans Light" w:hAnsi="IBM Plex Sans Light"/>
                <w:spacing w:val="-4"/>
                <w:sz w:val="18"/>
                <w:szCs w:val="18"/>
              </w:rPr>
            </w:pPr>
          </w:p>
        </w:tc>
        <w:tc>
          <w:tcPr>
            <w:tcW w:w="563" w:type="dxa"/>
            <w:vAlign w:val="center"/>
          </w:tcPr>
          <w:p w14:paraId="21FC0C53" w14:textId="77777777" w:rsidR="00263AE1" w:rsidRPr="00C64D17" w:rsidRDefault="00263AE1" w:rsidP="00263AE1">
            <w:pPr>
              <w:pStyle w:val="TableFigures"/>
              <w:jc w:val="center"/>
              <w:rPr>
                <w:rFonts w:ascii="IBM Plex Sans Light" w:hAnsi="IBM Plex Sans Light"/>
                <w:szCs w:val="16"/>
              </w:rPr>
            </w:pPr>
          </w:p>
        </w:tc>
        <w:tc>
          <w:tcPr>
            <w:tcW w:w="1276" w:type="dxa"/>
          </w:tcPr>
          <w:p w14:paraId="5D719668" w14:textId="705566C9"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(0.1)</w:t>
            </w:r>
          </w:p>
        </w:tc>
        <w:tc>
          <w:tcPr>
            <w:tcW w:w="1276" w:type="dxa"/>
          </w:tcPr>
          <w:p w14:paraId="69A3EDD8" w14:textId="64F17F22" w:rsidR="00263AE1" w:rsidRPr="00DD661B" w:rsidRDefault="00263AE1" w:rsidP="00263AE1">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(0.2)</w:t>
            </w:r>
          </w:p>
        </w:tc>
      </w:tr>
      <w:tr w:rsidR="009E1EC6" w:rsidRPr="00895810" w14:paraId="027A2608" w14:textId="77777777" w:rsidTr="00B04CC6">
        <w:trPr>
          <w:trHeight w:hRule="exact" w:val="238"/>
        </w:trPr>
        <w:tc>
          <w:tcPr>
            <w:tcW w:w="5443" w:type="dxa"/>
            <w:vAlign w:val="bottom"/>
          </w:tcPr>
          <w:p w14:paraId="76BFBDFC" w14:textId="68866219" w:rsidR="009E1EC6" w:rsidRPr="00895810" w:rsidRDefault="009E1EC6" w:rsidP="009E1EC6">
            <w:pPr>
              <w:pStyle w:val="Notes"/>
              <w:jc w:val="left"/>
              <w:rPr>
                <w:rFonts w:ascii="IBM Plex Sans Light" w:hAnsi="IBM Plex Sans Light" w:cs="Arial"/>
                <w:sz w:val="18"/>
                <w:szCs w:val="18"/>
              </w:rPr>
            </w:pPr>
            <w:r>
              <w:rPr>
                <w:rFonts w:ascii="IBM Plex Sans Light" w:hAnsi="IBM Plex Sans Light" w:cs="Arial"/>
                <w:sz w:val="18"/>
                <w:szCs w:val="18"/>
              </w:rPr>
              <w:t>Loans</w:t>
            </w:r>
          </w:p>
        </w:tc>
        <w:tc>
          <w:tcPr>
            <w:tcW w:w="1361" w:type="dxa"/>
            <w:shd w:val="clear" w:color="auto" w:fill="auto"/>
            <w:vAlign w:val="bottom"/>
          </w:tcPr>
          <w:p w14:paraId="34E8748B" w14:textId="77777777" w:rsidR="009E1EC6" w:rsidRPr="00895810" w:rsidRDefault="009E1EC6" w:rsidP="009E1EC6">
            <w:pPr>
              <w:pStyle w:val="TableFigures"/>
              <w:rPr>
                <w:rFonts w:ascii="IBM Plex Sans Light" w:hAnsi="IBM Plex Sans Light"/>
                <w:spacing w:val="-4"/>
                <w:sz w:val="18"/>
                <w:szCs w:val="18"/>
              </w:rPr>
            </w:pPr>
          </w:p>
        </w:tc>
        <w:tc>
          <w:tcPr>
            <w:tcW w:w="563" w:type="dxa"/>
            <w:vAlign w:val="center"/>
          </w:tcPr>
          <w:p w14:paraId="54CBC60C" w14:textId="3D9A6C21" w:rsidR="009E1EC6" w:rsidRPr="00C64D17" w:rsidRDefault="009E1EC6" w:rsidP="009E1EC6">
            <w:pPr>
              <w:pStyle w:val="TableFigures"/>
              <w:jc w:val="center"/>
              <w:rPr>
                <w:rFonts w:ascii="IBM Plex Sans Light" w:hAnsi="IBM Plex Sans Light"/>
                <w:szCs w:val="16"/>
              </w:rPr>
            </w:pPr>
            <w:r w:rsidRPr="00C64D17">
              <w:rPr>
                <w:rFonts w:ascii="IBM Plex Sans Light" w:hAnsi="IBM Plex Sans Light"/>
                <w:szCs w:val="16"/>
              </w:rPr>
              <w:t>16</w:t>
            </w:r>
            <w:r w:rsidR="00D367EA" w:rsidRPr="00C64D17">
              <w:rPr>
                <w:rFonts w:ascii="IBM Plex Sans Light" w:hAnsi="IBM Plex Sans Light"/>
                <w:szCs w:val="16"/>
              </w:rPr>
              <w:t>A</w:t>
            </w:r>
          </w:p>
        </w:tc>
        <w:tc>
          <w:tcPr>
            <w:tcW w:w="1276" w:type="dxa"/>
          </w:tcPr>
          <w:p w14:paraId="28799420" w14:textId="54E66A8A"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(108.6)</w:t>
            </w:r>
          </w:p>
        </w:tc>
        <w:tc>
          <w:tcPr>
            <w:tcW w:w="1276" w:type="dxa"/>
          </w:tcPr>
          <w:p w14:paraId="5B345A54" w14:textId="333B5D78" w:rsidR="009E1EC6" w:rsidRPr="009E1EC6" w:rsidRDefault="009E1EC6" w:rsidP="009E1EC6">
            <w:pPr>
              <w:pStyle w:val="TableFigures"/>
              <w:rPr>
                <w:rFonts w:ascii="IBM Plex Sans Light" w:hAnsi="IBM Plex Sans Light"/>
                <w:spacing w:val="-4"/>
                <w:sz w:val="18"/>
                <w:szCs w:val="18"/>
              </w:rPr>
            </w:pPr>
            <w:r w:rsidRPr="009E1EC6">
              <w:rPr>
                <w:rFonts w:ascii="IBM Plex Sans Light" w:hAnsi="IBM Plex Sans Light"/>
                <w:spacing w:val="-4"/>
                <w:sz w:val="18"/>
                <w:szCs w:val="18"/>
              </w:rPr>
              <w:t>–</w:t>
            </w:r>
          </w:p>
        </w:tc>
      </w:tr>
      <w:tr w:rsidR="009E1EC6" w:rsidRPr="00895810" w14:paraId="697CBD3B" w14:textId="7C2E213E" w:rsidTr="00B04CC6">
        <w:trPr>
          <w:trHeight w:hRule="exact" w:val="238"/>
        </w:trPr>
        <w:tc>
          <w:tcPr>
            <w:tcW w:w="5443" w:type="dxa"/>
            <w:vAlign w:val="bottom"/>
          </w:tcPr>
          <w:p w14:paraId="5A1ACE18" w14:textId="70A66C3B" w:rsidR="009E1EC6" w:rsidRPr="00895810" w:rsidRDefault="009E1EC6" w:rsidP="009E1EC6">
            <w:pPr>
              <w:pStyle w:val="Notes"/>
              <w:jc w:val="left"/>
              <w:rPr>
                <w:rFonts w:ascii="IBM Plex Sans Light" w:hAnsi="IBM Plex Sans Light"/>
                <w:spacing w:val="-4"/>
                <w:sz w:val="18"/>
                <w:szCs w:val="18"/>
              </w:rPr>
            </w:pPr>
            <w:r w:rsidRPr="00895810">
              <w:rPr>
                <w:rFonts w:ascii="IBM Plex Sans Light" w:hAnsi="IBM Plex Sans Light" w:cs="Arial"/>
                <w:sz w:val="18"/>
                <w:szCs w:val="18"/>
              </w:rPr>
              <w:t>Tax</w:t>
            </w:r>
          </w:p>
        </w:tc>
        <w:tc>
          <w:tcPr>
            <w:tcW w:w="1361" w:type="dxa"/>
            <w:shd w:val="clear" w:color="auto" w:fill="auto"/>
            <w:vAlign w:val="bottom"/>
          </w:tcPr>
          <w:p w14:paraId="516159DE" w14:textId="38DCB90F" w:rsidR="009E1EC6" w:rsidRPr="00895810" w:rsidRDefault="009E1EC6" w:rsidP="009E1EC6">
            <w:pPr>
              <w:pStyle w:val="TableFigures"/>
              <w:rPr>
                <w:rFonts w:ascii="IBM Plex Sans Light" w:hAnsi="IBM Plex Sans Light"/>
                <w:spacing w:val="-4"/>
                <w:sz w:val="18"/>
                <w:szCs w:val="18"/>
              </w:rPr>
            </w:pPr>
          </w:p>
        </w:tc>
        <w:tc>
          <w:tcPr>
            <w:tcW w:w="563" w:type="dxa"/>
            <w:vAlign w:val="center"/>
          </w:tcPr>
          <w:p w14:paraId="1EC169C0" w14:textId="77777777" w:rsidR="009E1EC6" w:rsidRPr="00C64D17" w:rsidRDefault="009E1EC6" w:rsidP="009E1EC6">
            <w:pPr>
              <w:pStyle w:val="TableFigures"/>
              <w:jc w:val="center"/>
              <w:rPr>
                <w:rFonts w:ascii="IBM Plex Sans Light" w:hAnsi="IBM Plex Sans Light"/>
                <w:szCs w:val="16"/>
              </w:rPr>
            </w:pPr>
          </w:p>
        </w:tc>
        <w:tc>
          <w:tcPr>
            <w:tcW w:w="1276" w:type="dxa"/>
          </w:tcPr>
          <w:p w14:paraId="7D02A4E4" w14:textId="4C479F1C"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(0.3)</w:t>
            </w:r>
          </w:p>
        </w:tc>
        <w:tc>
          <w:tcPr>
            <w:tcW w:w="1276" w:type="dxa"/>
          </w:tcPr>
          <w:p w14:paraId="10BE34B2" w14:textId="6C17DA1A"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(0.5)</w:t>
            </w:r>
          </w:p>
        </w:tc>
      </w:tr>
      <w:tr w:rsidR="009E1EC6" w:rsidRPr="00895810" w14:paraId="69E2B9EF" w14:textId="6BF85D2A" w:rsidTr="00B04CC6">
        <w:trPr>
          <w:trHeight w:hRule="exact" w:val="238"/>
        </w:trPr>
        <w:tc>
          <w:tcPr>
            <w:tcW w:w="5443" w:type="dxa"/>
            <w:tcBorders>
              <w:bottom w:val="single" w:sz="2" w:space="0" w:color="3D7FE0" w:themeColor="accent1"/>
            </w:tcBorders>
            <w:vAlign w:val="bottom"/>
          </w:tcPr>
          <w:p w14:paraId="79465B50" w14:textId="0229FEBC" w:rsidR="009E1EC6" w:rsidRPr="00895810" w:rsidRDefault="009E1EC6" w:rsidP="009E1EC6">
            <w:pPr>
              <w:pStyle w:val="Notes"/>
              <w:jc w:val="left"/>
              <w:rPr>
                <w:rFonts w:ascii="IBM Plex Sans Light" w:hAnsi="IBM Plex Sans Light"/>
                <w:spacing w:val="-4"/>
                <w:sz w:val="18"/>
                <w:szCs w:val="18"/>
              </w:rPr>
            </w:pPr>
            <w:r w:rsidRPr="00895810">
              <w:rPr>
                <w:rFonts w:ascii="IBM Plex Sans Light" w:hAnsi="IBM Plex Sans Light" w:cs="Arial"/>
                <w:sz w:val="18"/>
                <w:szCs w:val="18"/>
              </w:rPr>
              <w:t>Derivative financial instruments</w:t>
            </w:r>
          </w:p>
        </w:tc>
        <w:tc>
          <w:tcPr>
            <w:tcW w:w="1361" w:type="dxa"/>
            <w:tcBorders>
              <w:bottom w:val="single" w:sz="2" w:space="0" w:color="3D7FE0" w:themeColor="accent1"/>
            </w:tcBorders>
            <w:shd w:val="clear" w:color="auto" w:fill="auto"/>
            <w:vAlign w:val="bottom"/>
          </w:tcPr>
          <w:p w14:paraId="1B2A14CF" w14:textId="5B1D8A0F" w:rsidR="009E1EC6" w:rsidRPr="00895810" w:rsidRDefault="009E1EC6" w:rsidP="009E1EC6">
            <w:pPr>
              <w:pStyle w:val="TableFigures"/>
              <w:rPr>
                <w:rFonts w:ascii="IBM Plex Sans Light" w:hAnsi="IBM Plex Sans Light"/>
                <w:spacing w:val="-4"/>
                <w:sz w:val="18"/>
                <w:szCs w:val="18"/>
              </w:rPr>
            </w:pPr>
          </w:p>
        </w:tc>
        <w:tc>
          <w:tcPr>
            <w:tcW w:w="563" w:type="dxa"/>
            <w:tcBorders>
              <w:bottom w:val="single" w:sz="2" w:space="0" w:color="3D7FE0" w:themeColor="accent1"/>
            </w:tcBorders>
            <w:vAlign w:val="center"/>
          </w:tcPr>
          <w:p w14:paraId="386D0FB5" w14:textId="46798A27" w:rsidR="009E1EC6" w:rsidRPr="00C64D17" w:rsidRDefault="009E1EC6" w:rsidP="009E1EC6">
            <w:pPr>
              <w:pStyle w:val="TableFigures"/>
              <w:jc w:val="center"/>
              <w:rPr>
                <w:rFonts w:ascii="IBM Plex Sans Light" w:hAnsi="IBM Plex Sans Light"/>
                <w:szCs w:val="16"/>
              </w:rPr>
            </w:pPr>
          </w:p>
        </w:tc>
        <w:tc>
          <w:tcPr>
            <w:tcW w:w="1276" w:type="dxa"/>
            <w:tcBorders>
              <w:bottom w:val="single" w:sz="2" w:space="0" w:color="3D7FE0" w:themeColor="accent1"/>
            </w:tcBorders>
          </w:tcPr>
          <w:p w14:paraId="4B0069AC" w14:textId="5F886209"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(2.3)</w:t>
            </w:r>
          </w:p>
        </w:tc>
        <w:tc>
          <w:tcPr>
            <w:tcW w:w="1276" w:type="dxa"/>
            <w:tcBorders>
              <w:bottom w:val="single" w:sz="2" w:space="0" w:color="3D7FE0" w:themeColor="accent1"/>
            </w:tcBorders>
          </w:tcPr>
          <w:p w14:paraId="321AFF8E" w14:textId="11DF1978"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(16.1)</w:t>
            </w:r>
          </w:p>
        </w:tc>
      </w:tr>
      <w:tr w:rsidR="009E1EC6" w:rsidRPr="00895810" w14:paraId="68664822" w14:textId="50CAC89F" w:rsidTr="00B04CC6">
        <w:trPr>
          <w:trHeight w:hRule="exact" w:val="238"/>
        </w:trPr>
        <w:tc>
          <w:tcPr>
            <w:tcW w:w="5443" w:type="dxa"/>
            <w:tcBorders>
              <w:top w:val="single" w:sz="2" w:space="0" w:color="3D7FE0" w:themeColor="accent1"/>
            </w:tcBorders>
            <w:vAlign w:val="bottom"/>
          </w:tcPr>
          <w:p w14:paraId="7C3BEC5E" w14:textId="77777777" w:rsidR="009E1EC6" w:rsidRPr="00895810" w:rsidRDefault="009E1EC6" w:rsidP="009E1EC6">
            <w:pPr>
              <w:pStyle w:val="Notes"/>
              <w:jc w:val="left"/>
              <w:rPr>
                <w:rFonts w:ascii="IBM Plex Sans Light" w:hAnsi="IBM Plex Sans Light"/>
                <w:spacing w:val="-4"/>
                <w:sz w:val="18"/>
                <w:szCs w:val="18"/>
              </w:rPr>
            </w:pPr>
          </w:p>
        </w:tc>
        <w:tc>
          <w:tcPr>
            <w:tcW w:w="1361" w:type="dxa"/>
            <w:tcBorders>
              <w:top w:val="single" w:sz="2" w:space="0" w:color="3D7FE0" w:themeColor="accent1"/>
            </w:tcBorders>
            <w:shd w:val="clear" w:color="auto" w:fill="auto"/>
            <w:vAlign w:val="bottom"/>
          </w:tcPr>
          <w:p w14:paraId="21E7DD11" w14:textId="4B3B2070" w:rsidR="009E1EC6" w:rsidRPr="00895810" w:rsidRDefault="009E1EC6" w:rsidP="009E1EC6">
            <w:pPr>
              <w:pStyle w:val="TableFigures"/>
              <w:rPr>
                <w:rFonts w:ascii="IBM Plex Sans Light" w:hAnsi="IBM Plex Sans Light"/>
                <w:spacing w:val="-4"/>
                <w:sz w:val="18"/>
                <w:szCs w:val="18"/>
                <w:highlight w:val="yellow"/>
              </w:rPr>
            </w:pPr>
          </w:p>
        </w:tc>
        <w:tc>
          <w:tcPr>
            <w:tcW w:w="563" w:type="dxa"/>
            <w:tcBorders>
              <w:top w:val="single" w:sz="2" w:space="0" w:color="3D7FE0" w:themeColor="accent1"/>
            </w:tcBorders>
            <w:vAlign w:val="center"/>
          </w:tcPr>
          <w:p w14:paraId="5718A606" w14:textId="77777777" w:rsidR="009E1EC6" w:rsidRPr="00C64D17" w:rsidRDefault="009E1EC6" w:rsidP="009E1EC6">
            <w:pPr>
              <w:pStyle w:val="TableFigures"/>
              <w:jc w:val="center"/>
              <w:rPr>
                <w:rFonts w:ascii="IBM Plex Sans Light" w:hAnsi="IBM Plex Sans Light"/>
                <w:szCs w:val="16"/>
              </w:rPr>
            </w:pPr>
          </w:p>
        </w:tc>
        <w:tc>
          <w:tcPr>
            <w:tcW w:w="1276" w:type="dxa"/>
            <w:tcBorders>
              <w:top w:val="single" w:sz="2" w:space="0" w:color="3D7FE0" w:themeColor="accent1"/>
            </w:tcBorders>
          </w:tcPr>
          <w:p w14:paraId="67A60DA4" w14:textId="5AEA0077"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(241.1)</w:t>
            </w:r>
          </w:p>
        </w:tc>
        <w:tc>
          <w:tcPr>
            <w:tcW w:w="1276" w:type="dxa"/>
            <w:tcBorders>
              <w:top w:val="single" w:sz="2" w:space="0" w:color="3D7FE0" w:themeColor="accent1"/>
            </w:tcBorders>
          </w:tcPr>
          <w:p w14:paraId="0E7F5408" w14:textId="6A94B844"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(185.1)</w:t>
            </w:r>
          </w:p>
        </w:tc>
      </w:tr>
      <w:tr w:rsidR="00263AE1" w:rsidRPr="00895810" w14:paraId="607BB1B7" w14:textId="45C76955" w:rsidTr="00B04CC6">
        <w:trPr>
          <w:trHeight w:hRule="exact" w:val="244"/>
        </w:trPr>
        <w:tc>
          <w:tcPr>
            <w:tcW w:w="5443" w:type="dxa"/>
            <w:vAlign w:val="bottom"/>
          </w:tcPr>
          <w:p w14:paraId="249A9C92" w14:textId="1F0B5F52" w:rsidR="00263AE1" w:rsidRPr="00895810" w:rsidRDefault="00263AE1" w:rsidP="00263AE1">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Non-current liabilities</w:t>
            </w:r>
          </w:p>
        </w:tc>
        <w:tc>
          <w:tcPr>
            <w:tcW w:w="1361" w:type="dxa"/>
            <w:shd w:val="clear" w:color="auto" w:fill="auto"/>
            <w:vAlign w:val="bottom"/>
          </w:tcPr>
          <w:p w14:paraId="5A755F62" w14:textId="77777777" w:rsidR="00263AE1" w:rsidRPr="00895810" w:rsidRDefault="00263AE1" w:rsidP="00263AE1">
            <w:pPr>
              <w:pStyle w:val="TableFigures"/>
              <w:rPr>
                <w:rFonts w:ascii="IBM Plex Sans Light" w:hAnsi="IBM Plex Sans Light"/>
                <w:spacing w:val="-4"/>
                <w:sz w:val="18"/>
                <w:szCs w:val="18"/>
                <w:highlight w:val="yellow"/>
              </w:rPr>
            </w:pPr>
          </w:p>
        </w:tc>
        <w:tc>
          <w:tcPr>
            <w:tcW w:w="563" w:type="dxa"/>
            <w:vAlign w:val="center"/>
          </w:tcPr>
          <w:p w14:paraId="63D92457" w14:textId="77777777" w:rsidR="00263AE1" w:rsidRPr="00C64D17" w:rsidRDefault="00263AE1" w:rsidP="00263AE1">
            <w:pPr>
              <w:pStyle w:val="TableFigures"/>
              <w:jc w:val="center"/>
              <w:rPr>
                <w:rFonts w:ascii="IBM Plex Sans Light" w:hAnsi="IBM Plex Sans Light"/>
                <w:szCs w:val="16"/>
              </w:rPr>
            </w:pPr>
          </w:p>
        </w:tc>
        <w:tc>
          <w:tcPr>
            <w:tcW w:w="1276" w:type="dxa"/>
          </w:tcPr>
          <w:p w14:paraId="1C541378" w14:textId="09462909" w:rsidR="00263AE1" w:rsidRPr="00263AE1" w:rsidRDefault="00263AE1" w:rsidP="009E1EC6">
            <w:pPr>
              <w:pStyle w:val="TableFiguresBrackets"/>
              <w:rPr>
                <w:rFonts w:ascii="IBM Plex Sans Medium" w:hAnsi="IBM Plex Sans Medium"/>
                <w:b/>
                <w:bCs/>
                <w:color w:val="3D7FE0" w:themeColor="accent1"/>
                <w:spacing w:val="-4"/>
                <w:sz w:val="18"/>
                <w:szCs w:val="18"/>
              </w:rPr>
            </w:pPr>
          </w:p>
        </w:tc>
        <w:tc>
          <w:tcPr>
            <w:tcW w:w="1276" w:type="dxa"/>
            <w:vAlign w:val="bottom"/>
          </w:tcPr>
          <w:p w14:paraId="0E20C516" w14:textId="4E38CC96" w:rsidR="00263AE1" w:rsidRPr="00DD661B" w:rsidRDefault="00263AE1" w:rsidP="00263AE1">
            <w:pPr>
              <w:pStyle w:val="TableFiguresBrackets"/>
              <w:rPr>
                <w:rFonts w:ascii="IBM Plex Sans Light" w:hAnsi="IBM Plex Sans Light"/>
                <w:color w:val="auto"/>
                <w:spacing w:val="-4"/>
                <w:sz w:val="18"/>
              </w:rPr>
            </w:pPr>
          </w:p>
        </w:tc>
      </w:tr>
      <w:tr w:rsidR="009E1EC6" w:rsidRPr="00895810" w14:paraId="65EB3387" w14:textId="77777777" w:rsidTr="00B04CC6">
        <w:trPr>
          <w:trHeight w:hRule="exact" w:val="238"/>
        </w:trPr>
        <w:tc>
          <w:tcPr>
            <w:tcW w:w="5443" w:type="dxa"/>
            <w:vAlign w:val="bottom"/>
          </w:tcPr>
          <w:p w14:paraId="676E6825" w14:textId="77777777" w:rsidR="009E1EC6" w:rsidRPr="00895810" w:rsidRDefault="009E1EC6" w:rsidP="009E1EC6">
            <w:pPr>
              <w:pStyle w:val="Notes"/>
              <w:jc w:val="left"/>
              <w:rPr>
                <w:rFonts w:ascii="IBM Plex Sans Light" w:hAnsi="IBM Plex Sans Light"/>
                <w:spacing w:val="-4"/>
                <w:sz w:val="18"/>
                <w:szCs w:val="18"/>
              </w:rPr>
            </w:pPr>
            <w:r w:rsidRPr="00895810">
              <w:rPr>
                <w:rFonts w:ascii="IBM Plex Sans Light" w:hAnsi="IBM Plex Sans Light" w:cs="Arial"/>
                <w:sz w:val="18"/>
                <w:szCs w:val="18"/>
              </w:rPr>
              <w:t>Trade and other payables</w:t>
            </w:r>
          </w:p>
        </w:tc>
        <w:tc>
          <w:tcPr>
            <w:tcW w:w="1361" w:type="dxa"/>
            <w:shd w:val="clear" w:color="auto" w:fill="auto"/>
            <w:vAlign w:val="bottom"/>
          </w:tcPr>
          <w:p w14:paraId="119E3DC5" w14:textId="77777777" w:rsidR="009E1EC6" w:rsidRPr="00895810" w:rsidRDefault="009E1EC6" w:rsidP="009E1EC6">
            <w:pPr>
              <w:pStyle w:val="TableFiguresBracketsBold"/>
              <w:rPr>
                <w:rFonts w:ascii="IBM Plex Sans Light" w:hAnsi="IBM Plex Sans Light" w:cs="MyriadPro-Light"/>
                <w:b w:val="0"/>
                <w:bCs w:val="0"/>
                <w:color w:val="auto"/>
                <w:spacing w:val="-4"/>
                <w:sz w:val="18"/>
                <w:szCs w:val="18"/>
              </w:rPr>
            </w:pPr>
          </w:p>
        </w:tc>
        <w:tc>
          <w:tcPr>
            <w:tcW w:w="563" w:type="dxa"/>
            <w:vAlign w:val="center"/>
          </w:tcPr>
          <w:p w14:paraId="7EB4585F" w14:textId="3D230771" w:rsidR="009E1EC6" w:rsidRPr="00C64D17" w:rsidRDefault="009E1EC6" w:rsidP="009E1EC6">
            <w:pPr>
              <w:pStyle w:val="TableFigures"/>
              <w:jc w:val="left"/>
              <w:rPr>
                <w:rFonts w:ascii="IBM Plex Sans Light" w:hAnsi="IBM Plex Sans Light"/>
                <w:szCs w:val="16"/>
              </w:rPr>
            </w:pPr>
          </w:p>
        </w:tc>
        <w:tc>
          <w:tcPr>
            <w:tcW w:w="1276" w:type="dxa"/>
          </w:tcPr>
          <w:p w14:paraId="67AF4259" w14:textId="2FC6EB96"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(55.5)</w:t>
            </w:r>
          </w:p>
        </w:tc>
        <w:tc>
          <w:tcPr>
            <w:tcW w:w="1276" w:type="dxa"/>
          </w:tcPr>
          <w:p w14:paraId="49914AB1" w14:textId="235E9E7C"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(56.3)</w:t>
            </w:r>
          </w:p>
        </w:tc>
      </w:tr>
      <w:tr w:rsidR="009E1EC6" w:rsidRPr="00895810" w14:paraId="2C3D050F" w14:textId="77777777" w:rsidTr="00B04CC6">
        <w:trPr>
          <w:trHeight w:hRule="exact" w:val="238"/>
        </w:trPr>
        <w:tc>
          <w:tcPr>
            <w:tcW w:w="5443" w:type="dxa"/>
            <w:vAlign w:val="bottom"/>
          </w:tcPr>
          <w:p w14:paraId="703C24C1" w14:textId="77777777" w:rsidR="009E1EC6" w:rsidRPr="00895810" w:rsidRDefault="009E1EC6" w:rsidP="009E1EC6">
            <w:pPr>
              <w:pStyle w:val="Notes"/>
              <w:jc w:val="left"/>
              <w:rPr>
                <w:rFonts w:ascii="IBM Plex Sans Light" w:hAnsi="IBM Plex Sans Light"/>
                <w:spacing w:val="-4"/>
                <w:sz w:val="18"/>
                <w:szCs w:val="18"/>
              </w:rPr>
            </w:pPr>
            <w:r w:rsidRPr="00895810">
              <w:rPr>
                <w:rFonts w:ascii="IBM Plex Sans Light" w:hAnsi="IBM Plex Sans Light" w:cs="Arial"/>
                <w:sz w:val="18"/>
                <w:szCs w:val="18"/>
              </w:rPr>
              <w:t>Obligations under head leases</w:t>
            </w:r>
          </w:p>
        </w:tc>
        <w:tc>
          <w:tcPr>
            <w:tcW w:w="1361" w:type="dxa"/>
            <w:shd w:val="clear" w:color="auto" w:fill="auto"/>
            <w:vAlign w:val="bottom"/>
          </w:tcPr>
          <w:p w14:paraId="4E5AFDD8" w14:textId="77777777" w:rsidR="009E1EC6" w:rsidRPr="00895810" w:rsidRDefault="009E1EC6" w:rsidP="009E1EC6">
            <w:pPr>
              <w:pStyle w:val="TableFigures"/>
              <w:rPr>
                <w:rFonts w:ascii="IBM Plex Sans Light" w:hAnsi="IBM Plex Sans Light"/>
                <w:spacing w:val="-4"/>
                <w:sz w:val="18"/>
                <w:szCs w:val="18"/>
                <w:highlight w:val="yellow"/>
              </w:rPr>
            </w:pPr>
          </w:p>
        </w:tc>
        <w:tc>
          <w:tcPr>
            <w:tcW w:w="563" w:type="dxa"/>
            <w:vAlign w:val="center"/>
          </w:tcPr>
          <w:p w14:paraId="13C91985" w14:textId="57788379" w:rsidR="009E1EC6" w:rsidRPr="00C64D17" w:rsidRDefault="009E1EC6" w:rsidP="009E1EC6">
            <w:pPr>
              <w:pStyle w:val="TableFigures"/>
              <w:jc w:val="left"/>
              <w:rPr>
                <w:rFonts w:ascii="IBM Plex Sans Light" w:hAnsi="IBM Plex Sans Light"/>
                <w:szCs w:val="16"/>
              </w:rPr>
            </w:pPr>
          </w:p>
        </w:tc>
        <w:tc>
          <w:tcPr>
            <w:tcW w:w="1276" w:type="dxa"/>
          </w:tcPr>
          <w:p w14:paraId="24E4B2D3" w14:textId="69902FFD"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(37.3)</w:t>
            </w:r>
          </w:p>
        </w:tc>
        <w:tc>
          <w:tcPr>
            <w:tcW w:w="1276" w:type="dxa"/>
          </w:tcPr>
          <w:p w14:paraId="74AD0245" w14:textId="1FA1D3E0"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(38.1)</w:t>
            </w:r>
          </w:p>
        </w:tc>
      </w:tr>
      <w:tr w:rsidR="009E1EC6" w:rsidRPr="00895810" w14:paraId="5A8C9124" w14:textId="1A35A35A" w:rsidTr="00B04CC6">
        <w:trPr>
          <w:trHeight w:hRule="exact" w:val="238"/>
        </w:trPr>
        <w:tc>
          <w:tcPr>
            <w:tcW w:w="5443" w:type="dxa"/>
            <w:vAlign w:val="bottom"/>
          </w:tcPr>
          <w:p w14:paraId="27B1808E" w14:textId="6AA36CF9" w:rsidR="009E1EC6" w:rsidRPr="00895810" w:rsidRDefault="009E1EC6" w:rsidP="009E1EC6">
            <w:pPr>
              <w:pStyle w:val="Notes"/>
              <w:jc w:val="left"/>
              <w:rPr>
                <w:rFonts w:ascii="IBM Plex Sans Light" w:hAnsi="IBM Plex Sans Light"/>
                <w:spacing w:val="-4"/>
                <w:sz w:val="18"/>
                <w:szCs w:val="18"/>
              </w:rPr>
            </w:pPr>
            <w:r w:rsidRPr="00895810">
              <w:rPr>
                <w:rFonts w:ascii="IBM Plex Sans Light" w:hAnsi="IBM Plex Sans Light" w:cs="Arial"/>
                <w:sz w:val="18"/>
                <w:szCs w:val="18"/>
              </w:rPr>
              <w:t xml:space="preserve">Loans </w:t>
            </w:r>
          </w:p>
        </w:tc>
        <w:tc>
          <w:tcPr>
            <w:tcW w:w="1361" w:type="dxa"/>
            <w:shd w:val="clear" w:color="auto" w:fill="auto"/>
            <w:vAlign w:val="bottom"/>
          </w:tcPr>
          <w:p w14:paraId="5F9D8C25" w14:textId="3658479F" w:rsidR="009E1EC6" w:rsidRPr="00895810" w:rsidRDefault="009E1EC6" w:rsidP="009E1EC6">
            <w:pPr>
              <w:pStyle w:val="TableFigures"/>
              <w:rPr>
                <w:rFonts w:ascii="IBM Plex Sans Light" w:hAnsi="IBM Plex Sans Light"/>
                <w:spacing w:val="-4"/>
                <w:sz w:val="18"/>
                <w:szCs w:val="18"/>
                <w:highlight w:val="yellow"/>
              </w:rPr>
            </w:pPr>
          </w:p>
        </w:tc>
        <w:tc>
          <w:tcPr>
            <w:tcW w:w="563" w:type="dxa"/>
            <w:vAlign w:val="center"/>
          </w:tcPr>
          <w:p w14:paraId="3A164900" w14:textId="4FFA275D" w:rsidR="009E1EC6" w:rsidRPr="00C64D17" w:rsidRDefault="009E1EC6" w:rsidP="009E1EC6">
            <w:pPr>
              <w:pStyle w:val="TableFigures"/>
              <w:jc w:val="center"/>
              <w:rPr>
                <w:rFonts w:ascii="IBM Plex Sans Light" w:hAnsi="IBM Plex Sans Light"/>
                <w:szCs w:val="16"/>
              </w:rPr>
            </w:pPr>
            <w:r w:rsidRPr="00C64D17">
              <w:rPr>
                <w:rFonts w:ascii="IBM Plex Sans Light" w:hAnsi="IBM Plex Sans Light"/>
                <w:spacing w:val="-4"/>
                <w:szCs w:val="16"/>
              </w:rPr>
              <w:t>1</w:t>
            </w:r>
            <w:r w:rsidR="0084584E">
              <w:rPr>
                <w:rFonts w:ascii="IBM Plex Sans Light" w:hAnsi="IBM Plex Sans Light"/>
                <w:spacing w:val="-4"/>
                <w:szCs w:val="16"/>
              </w:rPr>
              <w:t>6</w:t>
            </w:r>
            <w:r w:rsidRPr="00C64D17">
              <w:rPr>
                <w:rFonts w:ascii="IBM Plex Sans Light" w:hAnsi="IBM Plex Sans Light"/>
                <w:spacing w:val="-4"/>
                <w:szCs w:val="16"/>
              </w:rPr>
              <w:t>A</w:t>
            </w:r>
          </w:p>
        </w:tc>
        <w:tc>
          <w:tcPr>
            <w:tcW w:w="1276" w:type="dxa"/>
          </w:tcPr>
          <w:p w14:paraId="03FB4B83" w14:textId="6D967CD9"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(1,515.9)</w:t>
            </w:r>
          </w:p>
        </w:tc>
        <w:tc>
          <w:tcPr>
            <w:tcW w:w="1276" w:type="dxa"/>
          </w:tcPr>
          <w:p w14:paraId="16C87CAE" w14:textId="1706438F"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(1,646.4)</w:t>
            </w:r>
          </w:p>
        </w:tc>
      </w:tr>
      <w:tr w:rsidR="009E1EC6" w:rsidRPr="00895810" w14:paraId="50243913" w14:textId="2463CF8B" w:rsidTr="00B04CC6">
        <w:trPr>
          <w:trHeight w:hRule="exact" w:val="238"/>
        </w:trPr>
        <w:tc>
          <w:tcPr>
            <w:tcW w:w="5443" w:type="dxa"/>
            <w:vAlign w:val="bottom"/>
          </w:tcPr>
          <w:p w14:paraId="3CCB3830" w14:textId="3B3B9857" w:rsidR="009E1EC6" w:rsidRPr="00895810" w:rsidRDefault="009E1EC6" w:rsidP="009E1EC6">
            <w:pPr>
              <w:pStyle w:val="Notes"/>
              <w:jc w:val="left"/>
              <w:rPr>
                <w:rFonts w:ascii="IBM Plex Sans Light" w:hAnsi="IBM Plex Sans Light"/>
                <w:spacing w:val="-4"/>
                <w:sz w:val="18"/>
                <w:szCs w:val="18"/>
              </w:rPr>
            </w:pPr>
            <w:r w:rsidRPr="00895810">
              <w:rPr>
                <w:rFonts w:ascii="IBM Plex Sans Light" w:hAnsi="IBM Plex Sans Light" w:cs="Arial"/>
                <w:sz w:val="18"/>
                <w:szCs w:val="18"/>
              </w:rPr>
              <w:t>Deferred tax</w:t>
            </w:r>
          </w:p>
        </w:tc>
        <w:tc>
          <w:tcPr>
            <w:tcW w:w="1361" w:type="dxa"/>
            <w:shd w:val="clear" w:color="auto" w:fill="auto"/>
            <w:vAlign w:val="bottom"/>
          </w:tcPr>
          <w:p w14:paraId="5B375364" w14:textId="73C07DEB" w:rsidR="009E1EC6" w:rsidRPr="00895810" w:rsidRDefault="009E1EC6" w:rsidP="009E1EC6">
            <w:pPr>
              <w:pStyle w:val="TableFigures"/>
              <w:rPr>
                <w:rFonts w:ascii="IBM Plex Sans Light" w:hAnsi="IBM Plex Sans Light"/>
                <w:spacing w:val="-4"/>
                <w:sz w:val="18"/>
                <w:szCs w:val="18"/>
                <w:highlight w:val="yellow"/>
              </w:rPr>
            </w:pPr>
          </w:p>
        </w:tc>
        <w:tc>
          <w:tcPr>
            <w:tcW w:w="563" w:type="dxa"/>
            <w:vAlign w:val="center"/>
          </w:tcPr>
          <w:p w14:paraId="748707E1" w14:textId="77777777" w:rsidR="009E1EC6" w:rsidRPr="00C64D17" w:rsidRDefault="009E1EC6" w:rsidP="009E1EC6">
            <w:pPr>
              <w:pStyle w:val="TableFigures"/>
              <w:jc w:val="center"/>
              <w:rPr>
                <w:rFonts w:ascii="IBM Plex Sans Light" w:hAnsi="IBM Plex Sans Light"/>
                <w:szCs w:val="16"/>
              </w:rPr>
            </w:pPr>
          </w:p>
        </w:tc>
        <w:tc>
          <w:tcPr>
            <w:tcW w:w="1276" w:type="dxa"/>
          </w:tcPr>
          <w:p w14:paraId="7B4639CC" w14:textId="629BF3F3" w:rsidR="009E1EC6" w:rsidRPr="00263AE1" w:rsidRDefault="009E1EC6" w:rsidP="009E1EC6">
            <w:pPr>
              <w:pStyle w:val="TableFiguresBrackets"/>
              <w:rPr>
                <w:rFonts w:ascii="IBM Plex Sans Medium" w:hAnsi="IBM Plex Sans Medium"/>
                <w:b/>
                <w:bCs/>
                <w:color w:val="3D7FE0" w:themeColor="accent1"/>
                <w:spacing w:val="-4"/>
                <w:sz w:val="18"/>
                <w:szCs w:val="18"/>
              </w:rPr>
            </w:pPr>
            <w:r w:rsidRPr="009E1EC6">
              <w:rPr>
                <w:rFonts w:ascii="IBM Plex Sans Medium" w:hAnsi="IBM Plex Sans Medium"/>
                <w:b/>
                <w:bCs/>
                <w:color w:val="3D7FE0" w:themeColor="accent1"/>
                <w:spacing w:val="-4"/>
                <w:sz w:val="18"/>
                <w:szCs w:val="18"/>
              </w:rPr>
              <w:t>(0.4)</w:t>
            </w:r>
          </w:p>
        </w:tc>
        <w:tc>
          <w:tcPr>
            <w:tcW w:w="1276" w:type="dxa"/>
          </w:tcPr>
          <w:p w14:paraId="241DC10B" w14:textId="369A0CFB" w:rsidR="009E1EC6" w:rsidRPr="00DD661B" w:rsidRDefault="009E1EC6" w:rsidP="009E1EC6">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(0.4)</w:t>
            </w:r>
          </w:p>
        </w:tc>
      </w:tr>
      <w:tr w:rsidR="00263AE1" w:rsidRPr="00895810" w14:paraId="28951471" w14:textId="248389A8" w:rsidTr="00B04CC6">
        <w:trPr>
          <w:trHeight w:hRule="exact" w:val="238"/>
        </w:trPr>
        <w:tc>
          <w:tcPr>
            <w:tcW w:w="5443" w:type="dxa"/>
            <w:vAlign w:val="bottom"/>
          </w:tcPr>
          <w:p w14:paraId="50902F2E" w14:textId="63F75CD4"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Derivative financial instruments</w:t>
            </w:r>
          </w:p>
        </w:tc>
        <w:tc>
          <w:tcPr>
            <w:tcW w:w="1361" w:type="dxa"/>
            <w:shd w:val="clear" w:color="auto" w:fill="auto"/>
            <w:vAlign w:val="bottom"/>
          </w:tcPr>
          <w:p w14:paraId="466EC915" w14:textId="10BC7D17" w:rsidR="00263AE1" w:rsidRPr="00895810" w:rsidRDefault="00263AE1" w:rsidP="00263AE1">
            <w:pPr>
              <w:pStyle w:val="TableFigures"/>
              <w:rPr>
                <w:rFonts w:ascii="IBM Plex Sans Light" w:hAnsi="IBM Plex Sans Light"/>
                <w:spacing w:val="-4"/>
                <w:sz w:val="18"/>
                <w:szCs w:val="18"/>
                <w:highlight w:val="yellow"/>
              </w:rPr>
            </w:pPr>
          </w:p>
        </w:tc>
        <w:tc>
          <w:tcPr>
            <w:tcW w:w="563" w:type="dxa"/>
            <w:vAlign w:val="center"/>
          </w:tcPr>
          <w:p w14:paraId="23250E83" w14:textId="071F5472" w:rsidR="00263AE1" w:rsidRPr="00C64D17" w:rsidRDefault="00263AE1" w:rsidP="00D367EA">
            <w:pPr>
              <w:pStyle w:val="TableFigures"/>
              <w:jc w:val="left"/>
              <w:rPr>
                <w:rFonts w:ascii="IBM Plex Sans Light" w:hAnsi="IBM Plex Sans Light"/>
                <w:szCs w:val="16"/>
              </w:rPr>
            </w:pPr>
          </w:p>
        </w:tc>
        <w:tc>
          <w:tcPr>
            <w:tcW w:w="1276" w:type="dxa"/>
          </w:tcPr>
          <w:p w14:paraId="5FAA6FEF" w14:textId="7FD30FBE"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w:t>
            </w:r>
            <w:r w:rsidR="009E1EC6">
              <w:rPr>
                <w:rFonts w:ascii="IBM Plex Sans Medium" w:hAnsi="IBM Plex Sans Medium"/>
                <w:b/>
                <w:bCs/>
                <w:color w:val="3D7FE0" w:themeColor="accent1"/>
                <w:spacing w:val="-4"/>
                <w:sz w:val="18"/>
                <w:szCs w:val="18"/>
              </w:rPr>
              <w:t>15.0</w:t>
            </w:r>
            <w:r w:rsidRPr="00263AE1">
              <w:rPr>
                <w:rFonts w:ascii="IBM Plex Sans Medium" w:hAnsi="IBM Plex Sans Medium"/>
                <w:b/>
                <w:bCs/>
                <w:color w:val="3D7FE0" w:themeColor="accent1"/>
                <w:spacing w:val="-4"/>
                <w:sz w:val="18"/>
                <w:szCs w:val="18"/>
              </w:rPr>
              <w:t>)</w:t>
            </w:r>
          </w:p>
        </w:tc>
        <w:tc>
          <w:tcPr>
            <w:tcW w:w="1276" w:type="dxa"/>
          </w:tcPr>
          <w:p w14:paraId="6544B085" w14:textId="0444883D" w:rsidR="00263AE1" w:rsidRPr="00DD661B" w:rsidRDefault="00263AE1" w:rsidP="00263AE1">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(23.7)</w:t>
            </w:r>
          </w:p>
        </w:tc>
      </w:tr>
      <w:tr w:rsidR="00263AE1" w:rsidRPr="00895810" w14:paraId="1490D0D2" w14:textId="1A89119B" w:rsidTr="00B04CC6">
        <w:trPr>
          <w:trHeight w:val="238"/>
        </w:trPr>
        <w:tc>
          <w:tcPr>
            <w:tcW w:w="5443" w:type="dxa"/>
            <w:tcBorders>
              <w:top w:val="single" w:sz="2" w:space="0" w:color="3D7FE0" w:themeColor="accent1"/>
              <w:bottom w:val="single" w:sz="2" w:space="0" w:color="3D7FE0" w:themeColor="accent1"/>
            </w:tcBorders>
            <w:vAlign w:val="bottom"/>
          </w:tcPr>
          <w:p w14:paraId="3AB56144" w14:textId="77777777" w:rsidR="00263AE1" w:rsidRPr="00895810" w:rsidRDefault="00263AE1" w:rsidP="00263AE1">
            <w:pPr>
              <w:pStyle w:val="Notes"/>
              <w:jc w:val="left"/>
              <w:rPr>
                <w:rFonts w:ascii="IBM Plex Sans Light" w:hAnsi="IBM Plex Sans Light"/>
                <w:spacing w:val="-4"/>
                <w:sz w:val="18"/>
                <w:szCs w:val="18"/>
              </w:rPr>
            </w:pPr>
          </w:p>
        </w:tc>
        <w:tc>
          <w:tcPr>
            <w:tcW w:w="1361" w:type="dxa"/>
            <w:tcBorders>
              <w:top w:val="single" w:sz="2" w:space="0" w:color="3D7FE0" w:themeColor="accent1"/>
              <w:bottom w:val="single" w:sz="2" w:space="0" w:color="3D7FE0" w:themeColor="accent1"/>
            </w:tcBorders>
            <w:shd w:val="clear" w:color="auto" w:fill="auto"/>
            <w:vAlign w:val="bottom"/>
          </w:tcPr>
          <w:p w14:paraId="5B614A50" w14:textId="261EDF84" w:rsidR="00263AE1" w:rsidRPr="00895810" w:rsidRDefault="00263AE1" w:rsidP="00263AE1">
            <w:pPr>
              <w:pStyle w:val="TableFiguresBracketsBold"/>
              <w:rPr>
                <w:rFonts w:ascii="IBM Plex Sans Light" w:hAnsi="IBM Plex Sans Light" w:cs="MyriadPro-Light"/>
                <w:b w:val="0"/>
                <w:bCs w:val="0"/>
                <w:color w:val="auto"/>
                <w:spacing w:val="-4"/>
                <w:sz w:val="18"/>
                <w:szCs w:val="18"/>
              </w:rPr>
            </w:pPr>
          </w:p>
        </w:tc>
        <w:tc>
          <w:tcPr>
            <w:tcW w:w="563" w:type="dxa"/>
            <w:tcBorders>
              <w:top w:val="single" w:sz="2" w:space="0" w:color="3D7FE0" w:themeColor="accent1"/>
              <w:bottom w:val="single" w:sz="2" w:space="0" w:color="3D7FE0" w:themeColor="accent1"/>
            </w:tcBorders>
            <w:vAlign w:val="bottom"/>
          </w:tcPr>
          <w:p w14:paraId="3E6CCC62" w14:textId="77777777" w:rsidR="00263AE1" w:rsidRPr="00C64D17" w:rsidRDefault="00263AE1" w:rsidP="00263AE1">
            <w:pPr>
              <w:pStyle w:val="TableFigures"/>
              <w:rPr>
                <w:rFonts w:ascii="IBM Plex Sans Light" w:hAnsi="IBM Plex Sans Light"/>
                <w:szCs w:val="16"/>
              </w:rPr>
            </w:pPr>
          </w:p>
        </w:tc>
        <w:tc>
          <w:tcPr>
            <w:tcW w:w="1276" w:type="dxa"/>
            <w:tcBorders>
              <w:top w:val="single" w:sz="2" w:space="0" w:color="3D7FE0" w:themeColor="accent1"/>
              <w:bottom w:val="single" w:sz="2" w:space="0" w:color="3D7FE0" w:themeColor="accent1"/>
            </w:tcBorders>
          </w:tcPr>
          <w:p w14:paraId="6EE9A5F6" w14:textId="56184BF2"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w:t>
            </w:r>
            <w:r w:rsidR="009E1EC6">
              <w:rPr>
                <w:rFonts w:ascii="IBM Plex Sans Medium" w:hAnsi="IBM Plex Sans Medium"/>
                <w:b/>
                <w:bCs/>
                <w:color w:val="3D7FE0" w:themeColor="accent1"/>
                <w:spacing w:val="-4"/>
                <w:sz w:val="18"/>
                <w:szCs w:val="18"/>
              </w:rPr>
              <w:t>1,624.1</w:t>
            </w:r>
            <w:r w:rsidRPr="00263AE1">
              <w:rPr>
                <w:rFonts w:ascii="IBM Plex Sans Medium" w:hAnsi="IBM Plex Sans Medium"/>
                <w:b/>
                <w:bCs/>
                <w:color w:val="3D7FE0" w:themeColor="accent1"/>
                <w:spacing w:val="-4"/>
                <w:sz w:val="18"/>
                <w:szCs w:val="18"/>
              </w:rPr>
              <w:t>)</w:t>
            </w:r>
          </w:p>
        </w:tc>
        <w:tc>
          <w:tcPr>
            <w:tcW w:w="1276" w:type="dxa"/>
            <w:tcBorders>
              <w:top w:val="single" w:sz="2" w:space="0" w:color="3D7FE0" w:themeColor="accent1"/>
              <w:bottom w:val="single" w:sz="2" w:space="0" w:color="3D7FE0" w:themeColor="accent1"/>
            </w:tcBorders>
          </w:tcPr>
          <w:p w14:paraId="177528A6" w14:textId="1C4BC9D6" w:rsidR="00263AE1" w:rsidRPr="00DD661B" w:rsidRDefault="00263AE1" w:rsidP="00263AE1">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(1,764.9)</w:t>
            </w:r>
          </w:p>
        </w:tc>
      </w:tr>
      <w:tr w:rsidR="00263AE1" w:rsidRPr="00895810" w14:paraId="301C791B" w14:textId="04A52AC5" w:rsidTr="00B04CC6">
        <w:trPr>
          <w:trHeight w:hRule="exact" w:val="238"/>
        </w:trPr>
        <w:tc>
          <w:tcPr>
            <w:tcW w:w="5443" w:type="dxa"/>
            <w:tcBorders>
              <w:top w:val="single" w:sz="2" w:space="0" w:color="3D7FE0" w:themeColor="accent1"/>
              <w:bottom w:val="single" w:sz="2" w:space="0" w:color="3D7FE0" w:themeColor="accent1"/>
            </w:tcBorders>
            <w:vAlign w:val="bottom"/>
          </w:tcPr>
          <w:p w14:paraId="430F3F2A" w14:textId="5C7E7EBD" w:rsidR="00263AE1" w:rsidRPr="00895810" w:rsidRDefault="00263AE1" w:rsidP="00263AE1">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Total liabilities</w:t>
            </w:r>
          </w:p>
        </w:tc>
        <w:tc>
          <w:tcPr>
            <w:tcW w:w="1361" w:type="dxa"/>
            <w:tcBorders>
              <w:top w:val="single" w:sz="2" w:space="0" w:color="3D7FE0" w:themeColor="accent1"/>
              <w:bottom w:val="single" w:sz="2" w:space="0" w:color="3D7FE0" w:themeColor="accent1"/>
            </w:tcBorders>
            <w:shd w:val="clear" w:color="auto" w:fill="auto"/>
            <w:vAlign w:val="bottom"/>
          </w:tcPr>
          <w:p w14:paraId="3AF718BB" w14:textId="09719224" w:rsidR="00263AE1" w:rsidRPr="00895810" w:rsidRDefault="00263AE1" w:rsidP="00263AE1">
            <w:pPr>
              <w:pStyle w:val="TableFiguresBracketsBold"/>
              <w:rPr>
                <w:rFonts w:ascii="IBM Plex Sans Light" w:hAnsi="IBM Plex Sans Light" w:cs="MyriadPro-Light"/>
                <w:b w:val="0"/>
                <w:bCs w:val="0"/>
                <w:color w:val="auto"/>
                <w:spacing w:val="-4"/>
                <w:sz w:val="18"/>
                <w:szCs w:val="18"/>
              </w:rPr>
            </w:pPr>
          </w:p>
        </w:tc>
        <w:tc>
          <w:tcPr>
            <w:tcW w:w="563" w:type="dxa"/>
            <w:tcBorders>
              <w:top w:val="single" w:sz="2" w:space="0" w:color="3D7FE0" w:themeColor="accent1"/>
              <w:bottom w:val="single" w:sz="2" w:space="0" w:color="3D7FE0" w:themeColor="accent1"/>
            </w:tcBorders>
            <w:vAlign w:val="bottom"/>
          </w:tcPr>
          <w:p w14:paraId="347C9C0B" w14:textId="77777777" w:rsidR="00263AE1" w:rsidRPr="00C64D17" w:rsidRDefault="00263AE1" w:rsidP="00263AE1">
            <w:pPr>
              <w:pStyle w:val="TableFigures"/>
              <w:rPr>
                <w:rFonts w:ascii="IBM Plex Sans Light" w:hAnsi="IBM Plex Sans Light"/>
                <w:szCs w:val="16"/>
              </w:rPr>
            </w:pPr>
          </w:p>
        </w:tc>
        <w:tc>
          <w:tcPr>
            <w:tcW w:w="1276" w:type="dxa"/>
            <w:tcBorders>
              <w:top w:val="single" w:sz="2" w:space="0" w:color="3D7FE0" w:themeColor="accent1"/>
              <w:bottom w:val="single" w:sz="2" w:space="0" w:color="3D7FE0" w:themeColor="accent1"/>
            </w:tcBorders>
          </w:tcPr>
          <w:p w14:paraId="2B7B313B" w14:textId="30613A29" w:rsidR="00263AE1" w:rsidRPr="00263AE1" w:rsidRDefault="00263AE1" w:rsidP="009E1EC6">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w:t>
            </w:r>
            <w:r w:rsidR="009E1EC6">
              <w:rPr>
                <w:rFonts w:ascii="IBM Plex Sans Medium" w:hAnsi="IBM Plex Sans Medium"/>
                <w:b/>
                <w:bCs/>
                <w:color w:val="3D7FE0" w:themeColor="accent1"/>
                <w:spacing w:val="-4"/>
                <w:sz w:val="18"/>
                <w:szCs w:val="18"/>
              </w:rPr>
              <w:t>865.2</w:t>
            </w:r>
            <w:r w:rsidRPr="00263AE1">
              <w:rPr>
                <w:rFonts w:ascii="IBM Plex Sans Medium" w:hAnsi="IBM Plex Sans Medium"/>
                <w:b/>
                <w:bCs/>
                <w:color w:val="3D7FE0" w:themeColor="accent1"/>
                <w:spacing w:val="-4"/>
                <w:sz w:val="18"/>
                <w:szCs w:val="18"/>
              </w:rPr>
              <w:t>)</w:t>
            </w:r>
          </w:p>
        </w:tc>
        <w:tc>
          <w:tcPr>
            <w:tcW w:w="1276" w:type="dxa"/>
            <w:tcBorders>
              <w:top w:val="single" w:sz="2" w:space="0" w:color="3D7FE0" w:themeColor="accent1"/>
              <w:bottom w:val="single" w:sz="2" w:space="0" w:color="3D7FE0" w:themeColor="accent1"/>
            </w:tcBorders>
          </w:tcPr>
          <w:p w14:paraId="4F667F76" w14:textId="41881780" w:rsidR="00263AE1" w:rsidRPr="00DD661B" w:rsidRDefault="00263AE1" w:rsidP="00263AE1">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(1,950.0)</w:t>
            </w:r>
          </w:p>
        </w:tc>
      </w:tr>
      <w:tr w:rsidR="00263AE1" w:rsidRPr="00895810" w14:paraId="059FD907" w14:textId="2A34BF0A" w:rsidTr="00B04CC6">
        <w:trPr>
          <w:trHeight w:hRule="exact" w:val="238"/>
        </w:trPr>
        <w:tc>
          <w:tcPr>
            <w:tcW w:w="5443" w:type="dxa"/>
            <w:tcBorders>
              <w:top w:val="single" w:sz="2" w:space="0" w:color="3D7FE0" w:themeColor="accent1"/>
              <w:bottom w:val="single" w:sz="8" w:space="0" w:color="3D7FE0" w:themeColor="accent1"/>
            </w:tcBorders>
            <w:vAlign w:val="bottom"/>
          </w:tcPr>
          <w:p w14:paraId="10CB8364" w14:textId="68FCE946" w:rsidR="00263AE1" w:rsidRPr="00895810" w:rsidRDefault="00263AE1" w:rsidP="00263AE1">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Net assets</w:t>
            </w:r>
          </w:p>
        </w:tc>
        <w:tc>
          <w:tcPr>
            <w:tcW w:w="1361" w:type="dxa"/>
            <w:tcBorders>
              <w:top w:val="single" w:sz="2" w:space="0" w:color="3D7FE0" w:themeColor="accent1"/>
              <w:bottom w:val="single" w:sz="8" w:space="0" w:color="3D7FE0" w:themeColor="accent1"/>
            </w:tcBorders>
            <w:shd w:val="clear" w:color="auto" w:fill="auto"/>
            <w:vAlign w:val="bottom"/>
          </w:tcPr>
          <w:p w14:paraId="6A7C46C3" w14:textId="65002001" w:rsidR="00263AE1" w:rsidRPr="00895810" w:rsidRDefault="00263AE1" w:rsidP="00263AE1">
            <w:pPr>
              <w:pStyle w:val="TableFiguresBold"/>
              <w:rPr>
                <w:rFonts w:ascii="IBM Plex Sans Light" w:hAnsi="IBM Plex Sans Light" w:cs="MyriadPro-Light"/>
                <w:b w:val="0"/>
                <w:bCs w:val="0"/>
                <w:color w:val="auto"/>
                <w:spacing w:val="-4"/>
                <w:sz w:val="18"/>
                <w:szCs w:val="18"/>
                <w:highlight w:val="yellow"/>
              </w:rPr>
            </w:pPr>
          </w:p>
        </w:tc>
        <w:tc>
          <w:tcPr>
            <w:tcW w:w="563" w:type="dxa"/>
            <w:tcBorders>
              <w:top w:val="single" w:sz="2" w:space="0" w:color="3D7FE0" w:themeColor="accent1"/>
              <w:bottom w:val="single" w:sz="8" w:space="0" w:color="3D7FE0" w:themeColor="accent1"/>
            </w:tcBorders>
            <w:vAlign w:val="bottom"/>
          </w:tcPr>
          <w:p w14:paraId="3CB39792" w14:textId="77777777" w:rsidR="00263AE1" w:rsidRPr="00C64D17" w:rsidRDefault="00263AE1" w:rsidP="00263AE1">
            <w:pPr>
              <w:pStyle w:val="TableFigures"/>
              <w:rPr>
                <w:rFonts w:ascii="IBM Plex Sans Light" w:hAnsi="IBM Plex Sans Light"/>
                <w:szCs w:val="16"/>
              </w:rPr>
            </w:pPr>
          </w:p>
        </w:tc>
        <w:tc>
          <w:tcPr>
            <w:tcW w:w="1276" w:type="dxa"/>
            <w:tcBorders>
              <w:top w:val="single" w:sz="2" w:space="0" w:color="3D7FE0" w:themeColor="accent1"/>
              <w:bottom w:val="single" w:sz="8" w:space="0" w:color="3D7FE0" w:themeColor="accent1"/>
            </w:tcBorders>
          </w:tcPr>
          <w:p w14:paraId="50CA8D69" w14:textId="42FE5010" w:rsidR="00263AE1" w:rsidRPr="00263AE1" w:rsidRDefault="009E1EC6" w:rsidP="00263AE1">
            <w:pPr>
              <w:pStyle w:val="TableFigure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2,462.6</w:t>
            </w:r>
          </w:p>
        </w:tc>
        <w:tc>
          <w:tcPr>
            <w:tcW w:w="1276" w:type="dxa"/>
            <w:tcBorders>
              <w:top w:val="single" w:sz="2" w:space="0" w:color="3D7FE0" w:themeColor="accent1"/>
              <w:bottom w:val="single" w:sz="8" w:space="0" w:color="3D7FE0" w:themeColor="accent1"/>
            </w:tcBorders>
          </w:tcPr>
          <w:p w14:paraId="4491AF0F" w14:textId="4A382F81"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2,586.4</w:t>
            </w:r>
          </w:p>
        </w:tc>
      </w:tr>
      <w:tr w:rsidR="007C0BC1" w:rsidRPr="00895810" w14:paraId="40FE67CF" w14:textId="77777777" w:rsidTr="00024B10">
        <w:trPr>
          <w:trHeight w:hRule="exact" w:val="238"/>
        </w:trPr>
        <w:tc>
          <w:tcPr>
            <w:tcW w:w="5443" w:type="dxa"/>
            <w:tcBorders>
              <w:top w:val="single" w:sz="8" w:space="0" w:color="3D7FE0" w:themeColor="accent1"/>
            </w:tcBorders>
            <w:vAlign w:val="bottom"/>
          </w:tcPr>
          <w:p w14:paraId="38457AE8" w14:textId="77777777" w:rsidR="007C0BC1" w:rsidRPr="00895810" w:rsidRDefault="007C0BC1" w:rsidP="006956B0">
            <w:pPr>
              <w:pStyle w:val="Notes"/>
              <w:spacing w:line="240" w:lineRule="auto"/>
              <w:jc w:val="left"/>
              <w:rPr>
                <w:rFonts w:ascii="IBM Plex Sans Light" w:hAnsi="IBM Plex Sans Light"/>
                <w:b/>
                <w:color w:val="3D7FE0" w:themeColor="accent1"/>
                <w:spacing w:val="-4"/>
                <w:sz w:val="18"/>
                <w:szCs w:val="18"/>
              </w:rPr>
            </w:pPr>
          </w:p>
        </w:tc>
        <w:tc>
          <w:tcPr>
            <w:tcW w:w="1361" w:type="dxa"/>
            <w:tcBorders>
              <w:top w:val="single" w:sz="8" w:space="0" w:color="3D7FE0" w:themeColor="accent1"/>
            </w:tcBorders>
            <w:shd w:val="clear" w:color="auto" w:fill="auto"/>
            <w:vAlign w:val="bottom"/>
          </w:tcPr>
          <w:p w14:paraId="5C88F8CF" w14:textId="77777777" w:rsidR="007C0BC1" w:rsidRPr="00895810" w:rsidRDefault="007C0BC1" w:rsidP="006956B0">
            <w:pPr>
              <w:pStyle w:val="TableFiguresBold"/>
              <w:spacing w:line="240" w:lineRule="auto"/>
              <w:rPr>
                <w:rFonts w:ascii="IBM Plex Sans Light" w:hAnsi="IBM Plex Sans Light"/>
                <w:b w:val="0"/>
                <w:bCs w:val="0"/>
                <w:color w:val="auto"/>
                <w:spacing w:val="-4"/>
                <w:sz w:val="18"/>
                <w:szCs w:val="18"/>
                <w:highlight w:val="yellow"/>
              </w:rPr>
            </w:pPr>
          </w:p>
        </w:tc>
        <w:tc>
          <w:tcPr>
            <w:tcW w:w="563" w:type="dxa"/>
            <w:tcBorders>
              <w:top w:val="single" w:sz="8" w:space="0" w:color="3D7FE0" w:themeColor="accent1"/>
            </w:tcBorders>
            <w:vAlign w:val="bottom"/>
          </w:tcPr>
          <w:p w14:paraId="0DBE17EF" w14:textId="77777777" w:rsidR="007C0BC1" w:rsidRPr="00C64D17" w:rsidRDefault="007C0BC1" w:rsidP="006956B0">
            <w:pPr>
              <w:pStyle w:val="TableFigures"/>
              <w:spacing w:line="240" w:lineRule="auto"/>
              <w:rPr>
                <w:rFonts w:ascii="IBM Plex Sans Light" w:hAnsi="IBM Plex Sans Light"/>
                <w:szCs w:val="16"/>
              </w:rPr>
            </w:pPr>
          </w:p>
        </w:tc>
        <w:tc>
          <w:tcPr>
            <w:tcW w:w="1276" w:type="dxa"/>
            <w:tcBorders>
              <w:top w:val="single" w:sz="8" w:space="0" w:color="3D7FE0" w:themeColor="accent1"/>
            </w:tcBorders>
            <w:vAlign w:val="bottom"/>
          </w:tcPr>
          <w:p w14:paraId="50A8F388" w14:textId="77777777" w:rsidR="007C0BC1" w:rsidRPr="00263AE1" w:rsidRDefault="007C0BC1" w:rsidP="00263AE1">
            <w:pPr>
              <w:pStyle w:val="TableFigures"/>
              <w:rPr>
                <w:rFonts w:ascii="IBM Plex Sans Medium" w:hAnsi="IBM Plex Sans Medium"/>
                <w:b/>
                <w:bCs/>
                <w:color w:val="3D7FE0" w:themeColor="accent1"/>
                <w:spacing w:val="-4"/>
                <w:sz w:val="18"/>
                <w:szCs w:val="18"/>
              </w:rPr>
            </w:pPr>
          </w:p>
        </w:tc>
        <w:tc>
          <w:tcPr>
            <w:tcW w:w="1276" w:type="dxa"/>
            <w:tcBorders>
              <w:top w:val="single" w:sz="8" w:space="0" w:color="3D7FE0" w:themeColor="accent1"/>
            </w:tcBorders>
            <w:vAlign w:val="bottom"/>
          </w:tcPr>
          <w:p w14:paraId="7C937BB9" w14:textId="77777777" w:rsidR="007C0BC1" w:rsidRPr="00DD661B" w:rsidRDefault="007C0BC1" w:rsidP="00DD661B">
            <w:pPr>
              <w:pStyle w:val="TableFigures"/>
              <w:rPr>
                <w:rFonts w:ascii="IBM Plex Sans Light" w:hAnsi="IBM Plex Sans Light"/>
                <w:spacing w:val="-4"/>
                <w:sz w:val="18"/>
                <w:szCs w:val="18"/>
              </w:rPr>
            </w:pPr>
          </w:p>
        </w:tc>
      </w:tr>
      <w:tr w:rsidR="006956B0" w:rsidRPr="00895810" w14:paraId="7A0273C7" w14:textId="23F5B6C8" w:rsidTr="00024B10">
        <w:trPr>
          <w:trHeight w:hRule="exact" w:val="238"/>
        </w:trPr>
        <w:tc>
          <w:tcPr>
            <w:tcW w:w="5443" w:type="dxa"/>
            <w:vAlign w:val="bottom"/>
          </w:tcPr>
          <w:p w14:paraId="79C469E0" w14:textId="2F0767BE" w:rsidR="006956B0" w:rsidRPr="00895810" w:rsidRDefault="006956B0" w:rsidP="006956B0">
            <w:pPr>
              <w:pStyle w:val="Notes"/>
              <w:spacing w:line="240" w:lineRule="auto"/>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Equity</w:t>
            </w:r>
          </w:p>
        </w:tc>
        <w:tc>
          <w:tcPr>
            <w:tcW w:w="1361" w:type="dxa"/>
            <w:shd w:val="clear" w:color="auto" w:fill="auto"/>
            <w:vAlign w:val="bottom"/>
          </w:tcPr>
          <w:p w14:paraId="7F1EA9D6" w14:textId="77777777" w:rsidR="006956B0" w:rsidRPr="00895810" w:rsidRDefault="006956B0" w:rsidP="006956B0">
            <w:pPr>
              <w:pStyle w:val="TableFiguresBold"/>
              <w:spacing w:line="240" w:lineRule="auto"/>
              <w:rPr>
                <w:rFonts w:ascii="IBM Plex Sans Light" w:hAnsi="IBM Plex Sans Light"/>
                <w:b w:val="0"/>
                <w:bCs w:val="0"/>
                <w:color w:val="auto"/>
                <w:spacing w:val="-4"/>
                <w:sz w:val="18"/>
                <w:szCs w:val="18"/>
                <w:highlight w:val="yellow"/>
              </w:rPr>
            </w:pPr>
          </w:p>
        </w:tc>
        <w:tc>
          <w:tcPr>
            <w:tcW w:w="563" w:type="dxa"/>
            <w:vAlign w:val="bottom"/>
          </w:tcPr>
          <w:p w14:paraId="5666737F" w14:textId="77777777" w:rsidR="006956B0" w:rsidRPr="00C64D17" w:rsidRDefault="006956B0" w:rsidP="006956B0">
            <w:pPr>
              <w:pStyle w:val="TableFigures"/>
              <w:spacing w:line="240" w:lineRule="auto"/>
              <w:rPr>
                <w:rFonts w:ascii="IBM Plex Sans Light" w:hAnsi="IBM Plex Sans Light"/>
                <w:szCs w:val="16"/>
              </w:rPr>
            </w:pPr>
          </w:p>
        </w:tc>
        <w:tc>
          <w:tcPr>
            <w:tcW w:w="1276" w:type="dxa"/>
            <w:vAlign w:val="bottom"/>
          </w:tcPr>
          <w:p w14:paraId="3369B99C" w14:textId="1BB57559" w:rsidR="006956B0" w:rsidRPr="00263AE1" w:rsidRDefault="006956B0" w:rsidP="00263AE1">
            <w:pPr>
              <w:pStyle w:val="TableFigures"/>
              <w:rPr>
                <w:rFonts w:ascii="IBM Plex Sans Medium" w:hAnsi="IBM Plex Sans Medium"/>
                <w:b/>
                <w:bCs/>
                <w:color w:val="3D7FE0" w:themeColor="accent1"/>
                <w:spacing w:val="-4"/>
                <w:sz w:val="18"/>
                <w:szCs w:val="18"/>
              </w:rPr>
            </w:pPr>
          </w:p>
        </w:tc>
        <w:tc>
          <w:tcPr>
            <w:tcW w:w="1276" w:type="dxa"/>
            <w:vAlign w:val="bottom"/>
          </w:tcPr>
          <w:p w14:paraId="2471D273" w14:textId="3E22DAD7" w:rsidR="006956B0" w:rsidRPr="00DD661B" w:rsidRDefault="006956B0" w:rsidP="00DD661B">
            <w:pPr>
              <w:pStyle w:val="TableFigures"/>
              <w:rPr>
                <w:rFonts w:ascii="IBM Plex Sans Light" w:hAnsi="IBM Plex Sans Light"/>
                <w:spacing w:val="-4"/>
                <w:sz w:val="18"/>
                <w:szCs w:val="18"/>
              </w:rPr>
            </w:pPr>
          </w:p>
        </w:tc>
      </w:tr>
      <w:tr w:rsidR="00263AE1" w:rsidRPr="00895810" w14:paraId="40F85871" w14:textId="3DA35DAB" w:rsidTr="00322C8A">
        <w:trPr>
          <w:trHeight w:hRule="exact" w:val="238"/>
        </w:trPr>
        <w:tc>
          <w:tcPr>
            <w:tcW w:w="5443" w:type="dxa"/>
            <w:vAlign w:val="bottom"/>
          </w:tcPr>
          <w:p w14:paraId="19256B93" w14:textId="0DC9A88F"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Share capital</w:t>
            </w:r>
          </w:p>
        </w:tc>
        <w:tc>
          <w:tcPr>
            <w:tcW w:w="1361" w:type="dxa"/>
            <w:shd w:val="clear" w:color="auto" w:fill="auto"/>
            <w:vAlign w:val="bottom"/>
          </w:tcPr>
          <w:p w14:paraId="4B9C9B27" w14:textId="50D8B7A7"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51F8FC36" w14:textId="57F73C2E" w:rsidR="00263AE1" w:rsidRPr="00C64D17" w:rsidRDefault="00263AE1" w:rsidP="00263AE1">
            <w:pPr>
              <w:pStyle w:val="TableFigures"/>
              <w:jc w:val="center"/>
              <w:rPr>
                <w:rFonts w:ascii="IBM Plex Sans Light" w:hAnsi="IBM Plex Sans Light"/>
                <w:szCs w:val="16"/>
              </w:rPr>
            </w:pPr>
          </w:p>
        </w:tc>
        <w:tc>
          <w:tcPr>
            <w:tcW w:w="1276" w:type="dxa"/>
          </w:tcPr>
          <w:p w14:paraId="57F083AD" w14:textId="587D18B6"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250.1</w:t>
            </w:r>
          </w:p>
        </w:tc>
        <w:tc>
          <w:tcPr>
            <w:tcW w:w="1276" w:type="dxa"/>
          </w:tcPr>
          <w:p w14:paraId="3F4D456F" w14:textId="0E533FCA"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250.1</w:t>
            </w:r>
          </w:p>
        </w:tc>
      </w:tr>
      <w:tr w:rsidR="00263AE1" w:rsidRPr="00895810" w14:paraId="12163A23" w14:textId="126D84C6" w:rsidTr="00322C8A">
        <w:trPr>
          <w:trHeight w:hRule="exact" w:val="238"/>
        </w:trPr>
        <w:tc>
          <w:tcPr>
            <w:tcW w:w="5443" w:type="dxa"/>
            <w:vAlign w:val="bottom"/>
          </w:tcPr>
          <w:p w14:paraId="56CFB78E" w14:textId="47BABF5B"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Share premium</w:t>
            </w:r>
          </w:p>
        </w:tc>
        <w:tc>
          <w:tcPr>
            <w:tcW w:w="1361" w:type="dxa"/>
            <w:shd w:val="clear" w:color="auto" w:fill="auto"/>
            <w:vAlign w:val="bottom"/>
          </w:tcPr>
          <w:p w14:paraId="79C1A57D" w14:textId="250A7416"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14F6A3A0" w14:textId="77777777" w:rsidR="00263AE1" w:rsidRPr="00C64D17" w:rsidRDefault="00263AE1" w:rsidP="00263AE1">
            <w:pPr>
              <w:pStyle w:val="TableFigures"/>
              <w:jc w:val="center"/>
              <w:rPr>
                <w:rFonts w:ascii="IBM Plex Sans Light" w:hAnsi="IBM Plex Sans Light"/>
                <w:szCs w:val="16"/>
              </w:rPr>
            </w:pPr>
          </w:p>
        </w:tc>
        <w:tc>
          <w:tcPr>
            <w:tcW w:w="1276" w:type="dxa"/>
          </w:tcPr>
          <w:p w14:paraId="54EFE44D" w14:textId="5229D3D6"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1,563.7</w:t>
            </w:r>
          </w:p>
        </w:tc>
        <w:tc>
          <w:tcPr>
            <w:tcW w:w="1276" w:type="dxa"/>
          </w:tcPr>
          <w:p w14:paraId="0E8B646B" w14:textId="12C69E16"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1,563.7</w:t>
            </w:r>
          </w:p>
        </w:tc>
      </w:tr>
      <w:tr w:rsidR="00263AE1" w:rsidRPr="00895810" w14:paraId="0288B60F" w14:textId="77777777" w:rsidTr="00322C8A">
        <w:trPr>
          <w:trHeight w:hRule="exact" w:val="238"/>
        </w:trPr>
        <w:tc>
          <w:tcPr>
            <w:tcW w:w="5443" w:type="dxa"/>
            <w:vAlign w:val="bottom"/>
          </w:tcPr>
          <w:p w14:paraId="1EBBA6BC" w14:textId="77777777"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Other reserves</w:t>
            </w:r>
          </w:p>
        </w:tc>
        <w:tc>
          <w:tcPr>
            <w:tcW w:w="1361" w:type="dxa"/>
            <w:shd w:val="clear" w:color="auto" w:fill="auto"/>
            <w:vAlign w:val="bottom"/>
          </w:tcPr>
          <w:p w14:paraId="1FF845AD" w14:textId="42B76718"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1295CD5A" w14:textId="42CC9557" w:rsidR="00263AE1" w:rsidRPr="00C64D17" w:rsidRDefault="00263AE1" w:rsidP="00263AE1">
            <w:pPr>
              <w:pStyle w:val="TableFigures"/>
              <w:jc w:val="center"/>
              <w:rPr>
                <w:rFonts w:ascii="IBM Plex Sans Light" w:hAnsi="IBM Plex Sans Light"/>
                <w:szCs w:val="16"/>
              </w:rPr>
            </w:pPr>
          </w:p>
        </w:tc>
        <w:tc>
          <w:tcPr>
            <w:tcW w:w="1276" w:type="dxa"/>
          </w:tcPr>
          <w:p w14:paraId="17F39E76" w14:textId="29B08ACA"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105.5</w:t>
            </w:r>
          </w:p>
        </w:tc>
        <w:tc>
          <w:tcPr>
            <w:tcW w:w="1276" w:type="dxa"/>
          </w:tcPr>
          <w:p w14:paraId="7812C126" w14:textId="435293B0"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135.4</w:t>
            </w:r>
          </w:p>
        </w:tc>
      </w:tr>
      <w:tr w:rsidR="00263AE1" w:rsidRPr="00895810" w14:paraId="6B6AAF29" w14:textId="5EECC82E" w:rsidTr="00322C8A">
        <w:trPr>
          <w:trHeight w:hRule="exact" w:val="238"/>
        </w:trPr>
        <w:tc>
          <w:tcPr>
            <w:tcW w:w="5443" w:type="dxa"/>
            <w:vAlign w:val="bottom"/>
          </w:tcPr>
          <w:p w14:paraId="10579533" w14:textId="0F26953C"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Retained earnings</w:t>
            </w:r>
          </w:p>
        </w:tc>
        <w:tc>
          <w:tcPr>
            <w:tcW w:w="1361" w:type="dxa"/>
            <w:shd w:val="clear" w:color="auto" w:fill="auto"/>
            <w:vAlign w:val="bottom"/>
          </w:tcPr>
          <w:p w14:paraId="0B036CA5" w14:textId="10FAEA00"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vAlign w:val="center"/>
          </w:tcPr>
          <w:p w14:paraId="1D6BA260" w14:textId="40DA2FB6" w:rsidR="00263AE1" w:rsidRPr="00C64D17" w:rsidRDefault="00263AE1" w:rsidP="00263AE1">
            <w:pPr>
              <w:pStyle w:val="TableFigures"/>
              <w:jc w:val="center"/>
              <w:rPr>
                <w:rFonts w:ascii="IBM Plex Sans Light" w:hAnsi="IBM Plex Sans Light"/>
                <w:szCs w:val="16"/>
              </w:rPr>
            </w:pPr>
          </w:p>
        </w:tc>
        <w:tc>
          <w:tcPr>
            <w:tcW w:w="1276" w:type="dxa"/>
          </w:tcPr>
          <w:p w14:paraId="45410BB3" w14:textId="74C93D3F"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549.7</w:t>
            </w:r>
          </w:p>
        </w:tc>
        <w:tc>
          <w:tcPr>
            <w:tcW w:w="1276" w:type="dxa"/>
          </w:tcPr>
          <w:p w14:paraId="3CC888CB" w14:textId="4C450C8E" w:rsidR="00263AE1" w:rsidRPr="00895810" w:rsidRDefault="00263AE1" w:rsidP="00263AE1">
            <w:pPr>
              <w:pStyle w:val="TableFigures"/>
              <w:rPr>
                <w:rFonts w:ascii="IBM Plex Sans Light" w:hAnsi="IBM Plex Sans Light"/>
                <w:spacing w:val="-4"/>
                <w:sz w:val="18"/>
                <w:szCs w:val="18"/>
              </w:rPr>
            </w:pPr>
            <w:r w:rsidRPr="00DD661B">
              <w:rPr>
                <w:rFonts w:ascii="IBM Plex Sans Light" w:hAnsi="IBM Plex Sans Light"/>
                <w:spacing w:val="-4"/>
                <w:sz w:val="18"/>
                <w:szCs w:val="18"/>
              </w:rPr>
              <w:t>646.0</w:t>
            </w:r>
          </w:p>
        </w:tc>
      </w:tr>
      <w:tr w:rsidR="00263AE1" w:rsidRPr="00895810" w14:paraId="71071882" w14:textId="7434A5CA" w:rsidTr="00322C8A">
        <w:trPr>
          <w:trHeight w:hRule="exact" w:val="238"/>
        </w:trPr>
        <w:tc>
          <w:tcPr>
            <w:tcW w:w="5443" w:type="dxa"/>
            <w:tcBorders>
              <w:bottom w:val="single" w:sz="2" w:space="0" w:color="3D7FE0" w:themeColor="accent1"/>
            </w:tcBorders>
            <w:vAlign w:val="bottom"/>
          </w:tcPr>
          <w:p w14:paraId="7885A8E6" w14:textId="5D957970" w:rsidR="00263AE1" w:rsidRPr="00895810" w:rsidRDefault="00263AE1" w:rsidP="00263AE1">
            <w:pPr>
              <w:pStyle w:val="Notes"/>
              <w:jc w:val="left"/>
              <w:rPr>
                <w:rFonts w:ascii="IBM Plex Sans Light" w:hAnsi="IBM Plex Sans Light"/>
                <w:spacing w:val="-4"/>
                <w:sz w:val="18"/>
                <w:szCs w:val="18"/>
              </w:rPr>
            </w:pPr>
            <w:r w:rsidRPr="00895810">
              <w:rPr>
                <w:rFonts w:ascii="IBM Plex Sans Light" w:hAnsi="IBM Plex Sans Light" w:cs="Arial"/>
                <w:sz w:val="18"/>
                <w:szCs w:val="18"/>
              </w:rPr>
              <w:t>Investment in own shares</w:t>
            </w:r>
          </w:p>
        </w:tc>
        <w:tc>
          <w:tcPr>
            <w:tcW w:w="1361" w:type="dxa"/>
            <w:tcBorders>
              <w:bottom w:val="single" w:sz="2" w:space="0" w:color="3D7FE0" w:themeColor="accent1"/>
            </w:tcBorders>
            <w:shd w:val="clear" w:color="auto" w:fill="auto"/>
            <w:vAlign w:val="bottom"/>
          </w:tcPr>
          <w:p w14:paraId="3AAD8394" w14:textId="551C5BD9" w:rsidR="00263AE1" w:rsidRPr="00895810" w:rsidRDefault="00263AE1" w:rsidP="00263AE1">
            <w:pPr>
              <w:pStyle w:val="TableFiguresBracketsBold"/>
              <w:rPr>
                <w:rFonts w:ascii="IBM Plex Sans Light" w:hAnsi="IBM Plex Sans Light" w:cs="MyriadPro-Light"/>
                <w:b w:val="0"/>
                <w:bCs w:val="0"/>
                <w:color w:val="auto"/>
                <w:spacing w:val="-4"/>
                <w:sz w:val="18"/>
                <w:szCs w:val="18"/>
              </w:rPr>
            </w:pPr>
          </w:p>
        </w:tc>
        <w:tc>
          <w:tcPr>
            <w:tcW w:w="563" w:type="dxa"/>
            <w:tcBorders>
              <w:bottom w:val="single" w:sz="2" w:space="0" w:color="3D7FE0" w:themeColor="accent1"/>
            </w:tcBorders>
            <w:vAlign w:val="center"/>
          </w:tcPr>
          <w:p w14:paraId="2D9DA0B4" w14:textId="77777777" w:rsidR="00263AE1" w:rsidRPr="00C64D17" w:rsidRDefault="00263AE1" w:rsidP="00263AE1">
            <w:pPr>
              <w:pStyle w:val="TableFigures"/>
              <w:jc w:val="center"/>
              <w:rPr>
                <w:rFonts w:ascii="IBM Plex Sans Light" w:hAnsi="IBM Plex Sans Light"/>
                <w:szCs w:val="16"/>
              </w:rPr>
            </w:pPr>
          </w:p>
        </w:tc>
        <w:tc>
          <w:tcPr>
            <w:tcW w:w="1276" w:type="dxa"/>
            <w:tcBorders>
              <w:bottom w:val="single" w:sz="2" w:space="0" w:color="3D7FE0" w:themeColor="accent1"/>
            </w:tcBorders>
          </w:tcPr>
          <w:p w14:paraId="132AEE5D" w14:textId="673FA03B" w:rsidR="00263AE1" w:rsidRPr="00263AE1" w:rsidRDefault="00263AE1" w:rsidP="00D367EA">
            <w:pPr>
              <w:pStyle w:val="TableFiguresBracket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(6.4)</w:t>
            </w:r>
          </w:p>
        </w:tc>
        <w:tc>
          <w:tcPr>
            <w:tcW w:w="1276" w:type="dxa"/>
            <w:tcBorders>
              <w:bottom w:val="single" w:sz="2" w:space="0" w:color="3D7FE0" w:themeColor="accent1"/>
            </w:tcBorders>
            <w:vAlign w:val="bottom"/>
          </w:tcPr>
          <w:p w14:paraId="22C9329E" w14:textId="2C3C0EC3" w:rsidR="00263AE1" w:rsidRPr="00DD661B" w:rsidRDefault="00263AE1" w:rsidP="00263AE1">
            <w:pPr>
              <w:pStyle w:val="TableFiguresBrackets"/>
              <w:rPr>
                <w:rFonts w:ascii="IBM Plex Sans Light" w:hAnsi="IBM Plex Sans Light"/>
                <w:color w:val="auto"/>
                <w:spacing w:val="-4"/>
                <w:sz w:val="18"/>
              </w:rPr>
            </w:pPr>
            <w:r w:rsidRPr="00DD661B">
              <w:rPr>
                <w:rFonts w:ascii="IBM Plex Sans Light" w:hAnsi="IBM Plex Sans Light"/>
                <w:color w:val="auto"/>
                <w:spacing w:val="-4"/>
                <w:sz w:val="18"/>
              </w:rPr>
              <w:t>(8.8)</w:t>
            </w:r>
          </w:p>
        </w:tc>
      </w:tr>
      <w:tr w:rsidR="00263AE1" w:rsidRPr="00895810" w14:paraId="75C885C8" w14:textId="1BA7912C" w:rsidTr="00322C8A">
        <w:trPr>
          <w:trHeight w:hRule="exact" w:val="238"/>
        </w:trPr>
        <w:tc>
          <w:tcPr>
            <w:tcW w:w="5443" w:type="dxa"/>
            <w:tcBorders>
              <w:top w:val="single" w:sz="2" w:space="0" w:color="3D7FE0" w:themeColor="accent1"/>
            </w:tcBorders>
            <w:vAlign w:val="bottom"/>
          </w:tcPr>
          <w:p w14:paraId="11E179B6" w14:textId="596371DA" w:rsidR="00263AE1" w:rsidRPr="00895810" w:rsidRDefault="00263AE1" w:rsidP="00263AE1">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Equity shareholders’ funds</w:t>
            </w:r>
          </w:p>
        </w:tc>
        <w:tc>
          <w:tcPr>
            <w:tcW w:w="1361" w:type="dxa"/>
            <w:tcBorders>
              <w:top w:val="single" w:sz="2" w:space="0" w:color="3D7FE0" w:themeColor="accent1"/>
            </w:tcBorders>
            <w:shd w:val="clear" w:color="auto" w:fill="auto"/>
            <w:vAlign w:val="bottom"/>
          </w:tcPr>
          <w:p w14:paraId="1206EF0C" w14:textId="3BFC6EDF"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tcBorders>
              <w:top w:val="single" w:sz="2" w:space="0" w:color="3D7FE0" w:themeColor="accent1"/>
            </w:tcBorders>
            <w:vAlign w:val="center"/>
          </w:tcPr>
          <w:p w14:paraId="2F0D4E1E" w14:textId="77777777" w:rsidR="00263AE1" w:rsidRPr="00C64D17" w:rsidRDefault="00263AE1" w:rsidP="00263AE1">
            <w:pPr>
              <w:pStyle w:val="TableFigures"/>
              <w:jc w:val="center"/>
              <w:rPr>
                <w:rFonts w:ascii="IBM Plex Sans Light" w:hAnsi="IBM Plex Sans Light"/>
                <w:szCs w:val="16"/>
              </w:rPr>
            </w:pPr>
          </w:p>
        </w:tc>
        <w:tc>
          <w:tcPr>
            <w:tcW w:w="1276" w:type="dxa"/>
            <w:tcBorders>
              <w:top w:val="single" w:sz="2" w:space="0" w:color="3D7FE0" w:themeColor="accent1"/>
            </w:tcBorders>
          </w:tcPr>
          <w:p w14:paraId="2C7A9590" w14:textId="0EF2EB80"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2,462.6</w:t>
            </w:r>
          </w:p>
        </w:tc>
        <w:tc>
          <w:tcPr>
            <w:tcW w:w="1276" w:type="dxa"/>
            <w:tcBorders>
              <w:top w:val="single" w:sz="2" w:space="0" w:color="3D7FE0" w:themeColor="accent1"/>
            </w:tcBorders>
            <w:vAlign w:val="bottom"/>
          </w:tcPr>
          <w:p w14:paraId="0678FA30" w14:textId="38663F74" w:rsidR="00263AE1" w:rsidRPr="00895810" w:rsidRDefault="00263AE1" w:rsidP="00263AE1">
            <w:pPr>
              <w:pStyle w:val="TableFigures"/>
              <w:rPr>
                <w:rFonts w:ascii="IBM Plex Sans Light" w:hAnsi="IBM Plex Sans Light"/>
                <w:spacing w:val="-4"/>
                <w:sz w:val="18"/>
                <w:szCs w:val="18"/>
              </w:rPr>
            </w:pPr>
            <w:r w:rsidRPr="00895810">
              <w:rPr>
                <w:rFonts w:ascii="IBM Plex Sans Light" w:hAnsi="IBM Plex Sans Light"/>
                <w:spacing w:val="-4"/>
                <w:sz w:val="18"/>
                <w:szCs w:val="18"/>
              </w:rPr>
              <w:t>2,</w:t>
            </w:r>
            <w:r>
              <w:rPr>
                <w:rFonts w:ascii="IBM Plex Sans Light" w:hAnsi="IBM Plex Sans Light"/>
                <w:spacing w:val="-4"/>
                <w:sz w:val="18"/>
                <w:szCs w:val="18"/>
              </w:rPr>
              <w:t>586.4</w:t>
            </w:r>
          </w:p>
        </w:tc>
      </w:tr>
      <w:tr w:rsidR="00263AE1" w:rsidRPr="00895810" w14:paraId="3BE57946" w14:textId="0934A519" w:rsidTr="00263AE1">
        <w:trPr>
          <w:trHeight w:hRule="exact" w:val="447"/>
        </w:trPr>
        <w:tc>
          <w:tcPr>
            <w:tcW w:w="5443" w:type="dxa"/>
            <w:tcBorders>
              <w:top w:val="single" w:sz="8" w:space="0" w:color="3D7FE0" w:themeColor="accent1"/>
              <w:bottom w:val="single" w:sz="8" w:space="0" w:color="3D7FE0" w:themeColor="accent1"/>
            </w:tcBorders>
            <w:vAlign w:val="bottom"/>
          </w:tcPr>
          <w:p w14:paraId="3B59BD54" w14:textId="6C4405E6" w:rsidR="00263AE1" w:rsidRPr="00895810" w:rsidRDefault="00263AE1" w:rsidP="00263AE1">
            <w:pPr>
              <w:pStyle w:val="Notes"/>
              <w:jc w:val="left"/>
              <w:rPr>
                <w:rFonts w:ascii="IBM Plex Sans Light" w:hAnsi="IBM Plex Sans Light"/>
                <w:b/>
                <w:spacing w:val="-4"/>
                <w:sz w:val="18"/>
                <w:szCs w:val="18"/>
              </w:rPr>
            </w:pPr>
            <w:r w:rsidRPr="00895810">
              <w:rPr>
                <w:rFonts w:ascii="IBM Plex Sans Light" w:hAnsi="IBM Plex Sans Light"/>
                <w:b/>
                <w:color w:val="3D7FE0" w:themeColor="accent1"/>
                <w:spacing w:val="-4"/>
                <w:sz w:val="18"/>
                <w:szCs w:val="18"/>
              </w:rPr>
              <w:t xml:space="preserve">EPRA net tangible assets value per share </w:t>
            </w:r>
          </w:p>
        </w:tc>
        <w:tc>
          <w:tcPr>
            <w:tcW w:w="1361" w:type="dxa"/>
            <w:tcBorders>
              <w:top w:val="single" w:sz="8" w:space="0" w:color="3D7FE0" w:themeColor="accent1"/>
              <w:bottom w:val="single" w:sz="8" w:space="0" w:color="3D7FE0" w:themeColor="accent1"/>
            </w:tcBorders>
            <w:shd w:val="clear" w:color="auto" w:fill="auto"/>
            <w:vAlign w:val="bottom"/>
          </w:tcPr>
          <w:p w14:paraId="7CC11BE6" w14:textId="6152C334" w:rsidR="00263AE1" w:rsidRPr="00895810" w:rsidRDefault="00263AE1" w:rsidP="00263AE1">
            <w:pPr>
              <w:pStyle w:val="TableFiguresBold"/>
              <w:rPr>
                <w:rFonts w:ascii="IBM Plex Sans Light" w:hAnsi="IBM Plex Sans Light" w:cs="MyriadPro-Light"/>
                <w:b w:val="0"/>
                <w:bCs w:val="0"/>
                <w:color w:val="auto"/>
                <w:spacing w:val="-4"/>
                <w:sz w:val="18"/>
                <w:szCs w:val="18"/>
              </w:rPr>
            </w:pPr>
          </w:p>
        </w:tc>
        <w:tc>
          <w:tcPr>
            <w:tcW w:w="563" w:type="dxa"/>
            <w:tcBorders>
              <w:top w:val="single" w:sz="8" w:space="0" w:color="3D7FE0" w:themeColor="accent1"/>
              <w:bottom w:val="single" w:sz="8" w:space="0" w:color="3D7FE0" w:themeColor="accent1"/>
            </w:tcBorders>
            <w:shd w:val="clear" w:color="auto" w:fill="auto"/>
            <w:vAlign w:val="bottom"/>
          </w:tcPr>
          <w:p w14:paraId="17584556" w14:textId="27335BA9" w:rsidR="00263AE1" w:rsidRPr="00C64D17" w:rsidRDefault="00263AE1" w:rsidP="00263AE1">
            <w:pPr>
              <w:pStyle w:val="TableFigures"/>
              <w:jc w:val="center"/>
              <w:rPr>
                <w:rFonts w:ascii="IBM Plex Sans Light" w:hAnsi="IBM Plex Sans Light"/>
                <w:szCs w:val="16"/>
              </w:rPr>
            </w:pPr>
            <w:r w:rsidRPr="00C64D17">
              <w:rPr>
                <w:rFonts w:ascii="IBM Plex Sans Light" w:hAnsi="IBM Plex Sans Light"/>
                <w:spacing w:val="-4"/>
                <w:szCs w:val="16"/>
              </w:rPr>
              <w:t>10C</w:t>
            </w:r>
          </w:p>
        </w:tc>
        <w:tc>
          <w:tcPr>
            <w:tcW w:w="1276" w:type="dxa"/>
            <w:tcBorders>
              <w:top w:val="single" w:sz="8" w:space="0" w:color="3D7FE0" w:themeColor="accent1"/>
              <w:bottom w:val="single" w:sz="8" w:space="0" w:color="3D7FE0" w:themeColor="accent1"/>
            </w:tcBorders>
            <w:vAlign w:val="bottom"/>
          </w:tcPr>
          <w:p w14:paraId="3068B49B" w14:textId="18414ED7" w:rsidR="00263AE1" w:rsidRPr="00263AE1" w:rsidRDefault="00263AE1" w:rsidP="00263AE1">
            <w:pPr>
              <w:pStyle w:val="TableFigures"/>
              <w:rPr>
                <w:rFonts w:ascii="IBM Plex Sans Medium" w:hAnsi="IBM Plex Sans Medium"/>
                <w:b/>
                <w:bCs/>
                <w:color w:val="3D7FE0" w:themeColor="accent1"/>
                <w:spacing w:val="-4"/>
                <w:sz w:val="18"/>
                <w:szCs w:val="18"/>
              </w:rPr>
            </w:pPr>
            <w:r w:rsidRPr="00263AE1">
              <w:rPr>
                <w:rFonts w:ascii="IBM Plex Sans Medium" w:hAnsi="IBM Plex Sans Medium"/>
                <w:b/>
                <w:bCs/>
                <w:color w:val="3D7FE0" w:themeColor="accent1"/>
                <w:spacing w:val="-4"/>
                <w:sz w:val="18"/>
                <w:szCs w:val="18"/>
              </w:rPr>
              <w:t>51p</w:t>
            </w:r>
          </w:p>
        </w:tc>
        <w:tc>
          <w:tcPr>
            <w:tcW w:w="1276" w:type="dxa"/>
            <w:tcBorders>
              <w:top w:val="single" w:sz="8" w:space="0" w:color="3D7FE0" w:themeColor="accent1"/>
              <w:bottom w:val="single" w:sz="8" w:space="0" w:color="3D7FE0" w:themeColor="accent1"/>
            </w:tcBorders>
            <w:vAlign w:val="bottom"/>
          </w:tcPr>
          <w:p w14:paraId="43AE6F52" w14:textId="06E8F436" w:rsidR="00263AE1" w:rsidRPr="00895810" w:rsidRDefault="00263AE1" w:rsidP="00263AE1">
            <w:pPr>
              <w:pStyle w:val="TableFigures"/>
              <w:rPr>
                <w:rFonts w:ascii="IBM Plex Sans Light" w:hAnsi="IBM Plex Sans Light"/>
                <w:spacing w:val="-4"/>
                <w:sz w:val="18"/>
                <w:szCs w:val="18"/>
              </w:rPr>
            </w:pPr>
            <w:r>
              <w:rPr>
                <w:rFonts w:ascii="IBM Plex Sans Light" w:hAnsi="IBM Plex Sans Light"/>
                <w:spacing w:val="-4"/>
                <w:sz w:val="18"/>
                <w:szCs w:val="18"/>
              </w:rPr>
              <w:t>53</w:t>
            </w:r>
            <w:r w:rsidRPr="00895810">
              <w:rPr>
                <w:rFonts w:ascii="IBM Plex Sans Light" w:hAnsi="IBM Plex Sans Light"/>
                <w:spacing w:val="-4"/>
                <w:sz w:val="18"/>
                <w:szCs w:val="18"/>
              </w:rPr>
              <w:t>p</w:t>
            </w:r>
          </w:p>
        </w:tc>
      </w:tr>
    </w:tbl>
    <w:p w14:paraId="7B05168A" w14:textId="77777777" w:rsidR="001800E8" w:rsidRDefault="001800E8" w:rsidP="00D129CB">
      <w:pPr>
        <w:autoSpaceDE w:val="0"/>
        <w:autoSpaceDN w:val="0"/>
        <w:adjustRightInd w:val="0"/>
        <w:spacing w:before="120" w:after="0" w:line="240" w:lineRule="auto"/>
        <w:rPr>
          <w:rFonts w:ascii="IBM Plex Sans Light" w:hAnsi="IBM Plex Sans Light" w:cs="Arial"/>
          <w:szCs w:val="18"/>
        </w:rPr>
      </w:pPr>
    </w:p>
    <w:p w14:paraId="3F2F45FF" w14:textId="6E75E629" w:rsidR="006C7EFF" w:rsidRPr="00895810" w:rsidRDefault="006C7EFF" w:rsidP="00D129CB">
      <w:pPr>
        <w:autoSpaceDE w:val="0"/>
        <w:autoSpaceDN w:val="0"/>
        <w:adjustRightInd w:val="0"/>
        <w:spacing w:before="120" w:after="0" w:line="240" w:lineRule="auto"/>
        <w:rPr>
          <w:rFonts w:ascii="IBM Plex Sans Light" w:hAnsi="IBM Plex Sans Light" w:cs="Arial"/>
          <w:szCs w:val="18"/>
        </w:rPr>
      </w:pPr>
      <w:r w:rsidRPr="00895810">
        <w:rPr>
          <w:rFonts w:ascii="IBM Plex Sans Light" w:hAnsi="IBM Plex Sans Light" w:cs="Arial"/>
          <w:szCs w:val="18"/>
        </w:rPr>
        <w:t xml:space="preserve">These financial statements were approved by the Board on </w:t>
      </w:r>
      <w:r w:rsidR="008723B6">
        <w:rPr>
          <w:rFonts w:ascii="IBM Plex Sans Light" w:hAnsi="IBM Plex Sans Light" w:cs="Arial"/>
          <w:szCs w:val="18"/>
        </w:rPr>
        <w:t>28</w:t>
      </w:r>
      <w:r w:rsidR="00785AC2">
        <w:rPr>
          <w:rFonts w:ascii="IBM Plex Sans Light" w:hAnsi="IBM Plex Sans Light" w:cs="Arial"/>
          <w:szCs w:val="18"/>
        </w:rPr>
        <w:t xml:space="preserve"> February </w:t>
      </w:r>
      <w:r w:rsidRPr="00895810">
        <w:rPr>
          <w:rFonts w:ascii="IBM Plex Sans Light" w:hAnsi="IBM Plex Sans Light" w:cs="Arial"/>
          <w:szCs w:val="18"/>
        </w:rPr>
        <w:t>202</w:t>
      </w:r>
      <w:r w:rsidR="00785AC2">
        <w:rPr>
          <w:rFonts w:ascii="IBM Plex Sans Light" w:hAnsi="IBM Plex Sans Light" w:cs="Arial"/>
          <w:szCs w:val="18"/>
        </w:rPr>
        <w:t>4</w:t>
      </w:r>
      <w:r w:rsidRPr="00895810">
        <w:rPr>
          <w:rFonts w:ascii="IBM Plex Sans Light" w:hAnsi="IBM Plex Sans Light" w:cs="Arial"/>
          <w:szCs w:val="18"/>
        </w:rPr>
        <w:t xml:space="preserve"> and signed on its behalf by:</w:t>
      </w:r>
    </w:p>
    <w:p w14:paraId="72E682C8" w14:textId="73D4CCE0" w:rsidR="004534F7" w:rsidRDefault="004534F7" w:rsidP="006C7EFF">
      <w:pPr>
        <w:autoSpaceDE w:val="0"/>
        <w:autoSpaceDN w:val="0"/>
        <w:adjustRightInd w:val="0"/>
        <w:spacing w:after="0" w:line="240" w:lineRule="auto"/>
        <w:rPr>
          <w:rFonts w:ascii="IBM Plex Sans Light" w:hAnsi="IBM Plex Sans Light" w:cs="Arial"/>
          <w:szCs w:val="18"/>
        </w:rPr>
      </w:pPr>
    </w:p>
    <w:p w14:paraId="45C4B119" w14:textId="25CAF283" w:rsidR="00DD661B" w:rsidRDefault="00DD661B" w:rsidP="006C7EFF">
      <w:pPr>
        <w:autoSpaceDE w:val="0"/>
        <w:autoSpaceDN w:val="0"/>
        <w:adjustRightInd w:val="0"/>
        <w:spacing w:after="0" w:line="240" w:lineRule="auto"/>
        <w:rPr>
          <w:rFonts w:ascii="IBM Plex Sans Light" w:hAnsi="IBM Plex Sans Light" w:cs="Arial"/>
          <w:szCs w:val="18"/>
        </w:rPr>
      </w:pPr>
    </w:p>
    <w:p w14:paraId="75C64AAD" w14:textId="77777777" w:rsidR="00DD661B" w:rsidRPr="00895810" w:rsidRDefault="00DD661B" w:rsidP="006C7EFF">
      <w:pPr>
        <w:autoSpaceDE w:val="0"/>
        <w:autoSpaceDN w:val="0"/>
        <w:adjustRightInd w:val="0"/>
        <w:spacing w:after="0" w:line="240" w:lineRule="auto"/>
        <w:rPr>
          <w:rFonts w:ascii="IBM Plex Sans Light" w:hAnsi="IBM Plex Sans Light" w:cs="Arial"/>
          <w:szCs w:val="18"/>
        </w:rPr>
      </w:pPr>
    </w:p>
    <w:tbl>
      <w:tblPr>
        <w:tblW w:w="0" w:type="auto"/>
        <w:tblCellMar>
          <w:left w:w="0" w:type="dxa"/>
          <w:right w:w="0" w:type="dxa"/>
        </w:tblCellMar>
        <w:tblLook w:val="01E0" w:firstRow="1" w:lastRow="1" w:firstColumn="1" w:lastColumn="1" w:noHBand="0" w:noVBand="0"/>
      </w:tblPr>
      <w:tblGrid>
        <w:gridCol w:w="3969"/>
        <w:gridCol w:w="4553"/>
      </w:tblGrid>
      <w:tr w:rsidR="006C7EFF" w:rsidRPr="00895810" w14:paraId="389B64E0" w14:textId="77777777" w:rsidTr="00624EE3">
        <w:tc>
          <w:tcPr>
            <w:tcW w:w="3969" w:type="dxa"/>
          </w:tcPr>
          <w:p w14:paraId="3E2A6260" w14:textId="77777777" w:rsidR="006C7EFF" w:rsidRPr="00895810" w:rsidRDefault="006C7EFF" w:rsidP="00624EE3">
            <w:pPr>
              <w:spacing w:after="0"/>
              <w:rPr>
                <w:rFonts w:ascii="IBM Plex Sans Light" w:hAnsi="IBM Plex Sans Light" w:cs="Arial"/>
                <w:b/>
                <w:szCs w:val="18"/>
              </w:rPr>
            </w:pPr>
            <w:r w:rsidRPr="00895810">
              <w:rPr>
                <w:rFonts w:ascii="IBM Plex Sans Light" w:hAnsi="IBM Plex Sans Light" w:cs="Arial"/>
                <w:b/>
                <w:szCs w:val="18"/>
              </w:rPr>
              <w:t>Rita-Rose Gagné</w:t>
            </w:r>
          </w:p>
        </w:tc>
        <w:tc>
          <w:tcPr>
            <w:tcW w:w="4553" w:type="dxa"/>
          </w:tcPr>
          <w:p w14:paraId="7B0CE433" w14:textId="77777777" w:rsidR="006C7EFF" w:rsidRPr="00895810" w:rsidRDefault="006C7EFF" w:rsidP="00624EE3">
            <w:pPr>
              <w:spacing w:after="0"/>
              <w:rPr>
                <w:rFonts w:ascii="IBM Plex Sans Light" w:hAnsi="IBM Plex Sans Light" w:cs="Arial"/>
                <w:b/>
                <w:szCs w:val="18"/>
              </w:rPr>
            </w:pPr>
            <w:r w:rsidRPr="00895810">
              <w:rPr>
                <w:rFonts w:ascii="IBM Plex Sans Light" w:hAnsi="IBM Plex Sans Light" w:cs="Arial"/>
                <w:b/>
                <w:szCs w:val="18"/>
              </w:rPr>
              <w:t>Himanshu Raja</w:t>
            </w:r>
          </w:p>
        </w:tc>
      </w:tr>
      <w:tr w:rsidR="006C7EFF" w:rsidRPr="00895810" w14:paraId="20377D4E" w14:textId="77777777" w:rsidTr="00624EE3">
        <w:tc>
          <w:tcPr>
            <w:tcW w:w="3969" w:type="dxa"/>
          </w:tcPr>
          <w:p w14:paraId="3C79B207" w14:textId="54E94DD6" w:rsidR="006C7EFF" w:rsidRPr="00895810" w:rsidRDefault="0091380A" w:rsidP="00624EE3">
            <w:pPr>
              <w:spacing w:after="0"/>
              <w:rPr>
                <w:rFonts w:ascii="IBM Plex Sans Light" w:hAnsi="IBM Plex Sans Light" w:cs="Arial"/>
                <w:szCs w:val="18"/>
              </w:rPr>
            </w:pPr>
            <w:r w:rsidRPr="00895810">
              <w:rPr>
                <w:rFonts w:ascii="IBM Plex Sans Light" w:hAnsi="IBM Plex Sans Light" w:cs="Arial"/>
                <w:szCs w:val="18"/>
              </w:rPr>
              <w:t>Chief Executive</w:t>
            </w:r>
          </w:p>
        </w:tc>
        <w:tc>
          <w:tcPr>
            <w:tcW w:w="4553" w:type="dxa"/>
          </w:tcPr>
          <w:p w14:paraId="23AF896A" w14:textId="386DCFCD" w:rsidR="006C7EFF" w:rsidRPr="00895810" w:rsidRDefault="0091380A" w:rsidP="00624EE3">
            <w:pPr>
              <w:spacing w:after="0"/>
              <w:rPr>
                <w:rFonts w:ascii="IBM Plex Sans Light" w:hAnsi="IBM Plex Sans Light" w:cs="Arial"/>
                <w:szCs w:val="18"/>
              </w:rPr>
            </w:pPr>
            <w:r w:rsidRPr="00895810">
              <w:rPr>
                <w:rFonts w:ascii="IBM Plex Sans Light" w:hAnsi="IBM Plex Sans Light" w:cs="Arial"/>
                <w:szCs w:val="18"/>
              </w:rPr>
              <w:t>Chief Financial Officer</w:t>
            </w:r>
          </w:p>
        </w:tc>
      </w:tr>
    </w:tbl>
    <w:p w14:paraId="377283A4" w14:textId="0790D4DC" w:rsidR="00AB6B6E" w:rsidRDefault="00AB6B6E">
      <w:pPr>
        <w:spacing w:after="0" w:line="240" w:lineRule="auto"/>
        <w:rPr>
          <w:rFonts w:ascii="IBM Plex Sans Medium" w:hAnsi="IBM Plex Sans Medium" w:cs="Arial"/>
          <w:b/>
          <w:caps/>
          <w:sz w:val="24"/>
        </w:rPr>
      </w:pPr>
    </w:p>
    <w:p w14:paraId="33EE48BF" w14:textId="77777777" w:rsidR="005D5704" w:rsidRPr="00AB6B6E" w:rsidRDefault="005D5704" w:rsidP="000205D5">
      <w:pPr>
        <w:spacing w:after="0" w:line="240" w:lineRule="auto"/>
        <w:ind w:left="-426"/>
        <w:rPr>
          <w:rFonts w:ascii="IBM Plex Sans Medium" w:hAnsi="IBM Plex Sans Medium" w:cs="Arial"/>
          <w:b/>
          <w:caps/>
          <w:sz w:val="24"/>
        </w:rPr>
      </w:pPr>
      <w:r w:rsidRPr="00AB6B6E">
        <w:rPr>
          <w:rFonts w:ascii="IBM Plex Sans Medium" w:hAnsi="IBM Plex Sans Medium" w:cs="Arial"/>
          <w:b/>
          <w:caps/>
          <w:sz w:val="24"/>
        </w:rPr>
        <w:t>CONSOLIDATED STATEMENT OF CHANGES IN EQUIty</w:t>
      </w:r>
    </w:p>
    <w:p w14:paraId="57699E3A" w14:textId="657BF475" w:rsidR="005D5704" w:rsidRPr="00895810" w:rsidRDefault="005D5704" w:rsidP="000205D5">
      <w:pPr>
        <w:tabs>
          <w:tab w:val="left" w:pos="3480"/>
        </w:tabs>
        <w:spacing w:after="0" w:line="240" w:lineRule="auto"/>
        <w:ind w:left="-426"/>
        <w:rPr>
          <w:rFonts w:ascii="IBM Plex Sans Light" w:hAnsi="IBM Plex Sans Light" w:cs="Arial"/>
          <w:szCs w:val="18"/>
        </w:rPr>
      </w:pPr>
      <w:r w:rsidRPr="00895810">
        <w:rPr>
          <w:rFonts w:ascii="IBM Plex Sans Light" w:hAnsi="IBM Plex Sans Light" w:cs="Arial"/>
          <w:szCs w:val="18"/>
        </w:rPr>
        <w:t xml:space="preserve">Year ended 31 December </w:t>
      </w:r>
      <w:r w:rsidR="004376EB">
        <w:rPr>
          <w:rFonts w:ascii="IBM Plex Sans Light" w:hAnsi="IBM Plex Sans Light" w:cs="Arial"/>
          <w:szCs w:val="18"/>
        </w:rPr>
        <w:t>202</w:t>
      </w:r>
      <w:r w:rsidR="000205D5">
        <w:rPr>
          <w:rFonts w:ascii="IBM Plex Sans Light" w:hAnsi="IBM Plex Sans Light" w:cs="Arial"/>
          <w:szCs w:val="18"/>
        </w:rPr>
        <w:t>3</w:t>
      </w:r>
    </w:p>
    <w:tbl>
      <w:tblPr>
        <w:tblW w:w="10463" w:type="dxa"/>
        <w:tblInd w:w="-426" w:type="dxa"/>
        <w:tblLayout w:type="fixed"/>
        <w:tblLook w:val="01E0" w:firstRow="1" w:lastRow="1" w:firstColumn="1" w:lastColumn="1" w:noHBand="0" w:noVBand="0"/>
      </w:tblPr>
      <w:tblGrid>
        <w:gridCol w:w="2835"/>
        <w:gridCol w:w="539"/>
        <w:gridCol w:w="879"/>
        <w:gridCol w:w="595"/>
        <w:gridCol w:w="823"/>
        <w:gridCol w:w="709"/>
        <w:gridCol w:w="680"/>
        <w:gridCol w:w="850"/>
        <w:gridCol w:w="907"/>
        <w:gridCol w:w="794"/>
        <w:gridCol w:w="852"/>
      </w:tblGrid>
      <w:tr w:rsidR="00C419BA" w:rsidRPr="00895810" w14:paraId="4583AB2D" w14:textId="77777777" w:rsidTr="00024B10">
        <w:trPr>
          <w:cantSplit/>
          <w:trHeight w:hRule="exact" w:val="680"/>
        </w:trPr>
        <w:tc>
          <w:tcPr>
            <w:tcW w:w="2835" w:type="dxa"/>
            <w:tcMar>
              <w:left w:w="0" w:type="dxa"/>
              <w:right w:w="0" w:type="dxa"/>
            </w:tcMar>
            <w:vAlign w:val="bottom"/>
          </w:tcPr>
          <w:p w14:paraId="37E0D472" w14:textId="7CCA6109" w:rsidR="00C419BA" w:rsidRPr="00895810" w:rsidRDefault="00C419BA" w:rsidP="000205D5">
            <w:pPr>
              <w:pStyle w:val="TableColHeads"/>
              <w:ind w:left="-6"/>
              <w:rPr>
                <w:rFonts w:ascii="IBM Plex Sans Light" w:hAnsi="IBM Plex Sans Light"/>
                <w:b/>
                <w:sz w:val="12"/>
                <w:szCs w:val="12"/>
              </w:rPr>
            </w:pPr>
          </w:p>
        </w:tc>
        <w:tc>
          <w:tcPr>
            <w:tcW w:w="539" w:type="dxa"/>
            <w:tcMar>
              <w:left w:w="0" w:type="dxa"/>
              <w:right w:w="0" w:type="dxa"/>
            </w:tcMar>
            <w:vAlign w:val="bottom"/>
          </w:tcPr>
          <w:p w14:paraId="6F9A495A" w14:textId="49C6A4C2"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Share capital </w:t>
            </w:r>
          </w:p>
        </w:tc>
        <w:tc>
          <w:tcPr>
            <w:tcW w:w="879" w:type="dxa"/>
            <w:vAlign w:val="bottom"/>
          </w:tcPr>
          <w:p w14:paraId="0CFCE4FB" w14:textId="209113C8" w:rsidR="00C419BA" w:rsidRPr="00895810" w:rsidRDefault="00C419BA" w:rsidP="00875A5D">
            <w:pPr>
              <w:pStyle w:val="TableColHeads"/>
              <w:tabs>
                <w:tab w:val="clear" w:pos="284"/>
              </w:tabs>
              <w:ind w:left="-51" w:right="-22"/>
              <w:rPr>
                <w:rFonts w:ascii="IBM Plex Sans Light" w:hAnsi="IBM Plex Sans Light"/>
                <w:sz w:val="13"/>
                <w:szCs w:val="13"/>
              </w:rPr>
            </w:pPr>
            <w:r w:rsidRPr="00895810">
              <w:rPr>
                <w:rFonts w:ascii="IBM Plex Sans Light" w:hAnsi="IBM Plex Sans Light"/>
                <w:sz w:val="13"/>
                <w:szCs w:val="13"/>
              </w:rPr>
              <w:t xml:space="preserve">Share premium </w:t>
            </w:r>
          </w:p>
        </w:tc>
        <w:tc>
          <w:tcPr>
            <w:tcW w:w="595" w:type="dxa"/>
            <w:tcMar>
              <w:left w:w="0" w:type="dxa"/>
              <w:right w:w="0" w:type="dxa"/>
            </w:tcMar>
            <w:vAlign w:val="bottom"/>
          </w:tcPr>
          <w:p w14:paraId="75530E88" w14:textId="02DD22C2"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Merger reserve </w:t>
            </w:r>
          </w:p>
        </w:tc>
        <w:tc>
          <w:tcPr>
            <w:tcW w:w="823" w:type="dxa"/>
            <w:tcMar>
              <w:left w:w="0" w:type="dxa"/>
              <w:right w:w="0" w:type="dxa"/>
            </w:tcMar>
            <w:vAlign w:val="bottom"/>
          </w:tcPr>
          <w:p w14:paraId="0E6170B8" w14:textId="5212AFAF"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Capital and share-based reserves</w:t>
            </w:r>
          </w:p>
        </w:tc>
        <w:tc>
          <w:tcPr>
            <w:tcW w:w="709" w:type="dxa"/>
            <w:vAlign w:val="bottom"/>
          </w:tcPr>
          <w:p w14:paraId="4BA6589A" w14:textId="77FE5F2B" w:rsidR="00C419BA" w:rsidRPr="00895810" w:rsidRDefault="00C419BA" w:rsidP="00875A5D">
            <w:pPr>
              <w:pStyle w:val="TableColHeads"/>
              <w:tabs>
                <w:tab w:val="clear" w:pos="284"/>
              </w:tabs>
              <w:ind w:left="-138" w:right="-52"/>
              <w:rPr>
                <w:rFonts w:ascii="IBM Plex Sans Light" w:hAnsi="IBM Plex Sans Light"/>
                <w:sz w:val="13"/>
                <w:szCs w:val="13"/>
              </w:rPr>
            </w:pPr>
            <w:r w:rsidRPr="00895810">
              <w:rPr>
                <w:rFonts w:ascii="IBM Plex Sans Light" w:hAnsi="IBM Plex Sans Light"/>
                <w:sz w:val="13"/>
                <w:szCs w:val="13"/>
              </w:rPr>
              <w:t xml:space="preserve">Other reserves </w:t>
            </w:r>
          </w:p>
        </w:tc>
        <w:tc>
          <w:tcPr>
            <w:tcW w:w="680" w:type="dxa"/>
            <w:tcMar>
              <w:left w:w="0" w:type="dxa"/>
              <w:right w:w="0" w:type="dxa"/>
            </w:tcMar>
            <w:vAlign w:val="bottom"/>
          </w:tcPr>
          <w:p w14:paraId="4B2DF951" w14:textId="2CF4EFF5"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Retained earnings </w:t>
            </w:r>
          </w:p>
        </w:tc>
        <w:tc>
          <w:tcPr>
            <w:tcW w:w="850" w:type="dxa"/>
            <w:tcBorders>
              <w:right w:val="single" w:sz="4" w:space="0" w:color="3D7FE0" w:themeColor="accent1"/>
            </w:tcBorders>
            <w:tcMar>
              <w:left w:w="0" w:type="dxa"/>
              <w:right w:w="0" w:type="dxa"/>
            </w:tcMar>
            <w:vAlign w:val="bottom"/>
          </w:tcPr>
          <w:p w14:paraId="3DC2744A" w14:textId="61CC6ED5"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Investment in own shares </w:t>
            </w:r>
          </w:p>
        </w:tc>
        <w:tc>
          <w:tcPr>
            <w:tcW w:w="907" w:type="dxa"/>
            <w:tcBorders>
              <w:left w:val="single" w:sz="4" w:space="0" w:color="3D7FE0" w:themeColor="accent1"/>
              <w:right w:val="single" w:sz="4" w:space="0" w:color="3D7FE0" w:themeColor="accent1"/>
            </w:tcBorders>
            <w:tcMar>
              <w:left w:w="0" w:type="dxa"/>
              <w:right w:w="0" w:type="dxa"/>
            </w:tcMar>
            <w:vAlign w:val="bottom"/>
          </w:tcPr>
          <w:p w14:paraId="67F408E2" w14:textId="3C4BDB00"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Equity shareholders’ funds </w:t>
            </w:r>
          </w:p>
        </w:tc>
        <w:tc>
          <w:tcPr>
            <w:tcW w:w="794" w:type="dxa"/>
            <w:tcBorders>
              <w:left w:val="single" w:sz="4" w:space="0" w:color="3D7FE0" w:themeColor="accent1"/>
            </w:tcBorders>
            <w:tcMar>
              <w:left w:w="0" w:type="dxa"/>
              <w:right w:w="0" w:type="dxa"/>
            </w:tcMar>
            <w:vAlign w:val="bottom"/>
          </w:tcPr>
          <w:p w14:paraId="1805A351" w14:textId="1DF3F480"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Non- controlling interests </w:t>
            </w:r>
          </w:p>
        </w:tc>
        <w:tc>
          <w:tcPr>
            <w:tcW w:w="852" w:type="dxa"/>
            <w:tcMar>
              <w:left w:w="0" w:type="dxa"/>
              <w:right w:w="0" w:type="dxa"/>
            </w:tcMar>
            <w:vAlign w:val="bottom"/>
          </w:tcPr>
          <w:p w14:paraId="2B570C68" w14:textId="02AB0DF2" w:rsidR="00C419BA" w:rsidRPr="00895810" w:rsidRDefault="00C419BA" w:rsidP="00875A5D">
            <w:pPr>
              <w:pStyle w:val="TableColHeads"/>
              <w:rPr>
                <w:rFonts w:ascii="IBM Plex Sans Light" w:hAnsi="IBM Plex Sans Light"/>
                <w:sz w:val="13"/>
                <w:szCs w:val="13"/>
              </w:rPr>
            </w:pPr>
            <w:r w:rsidRPr="00895810">
              <w:rPr>
                <w:rFonts w:ascii="IBM Plex Sans Light" w:hAnsi="IBM Plex Sans Light"/>
                <w:sz w:val="13"/>
                <w:szCs w:val="13"/>
              </w:rPr>
              <w:t xml:space="preserve">Total equity </w:t>
            </w:r>
          </w:p>
        </w:tc>
      </w:tr>
      <w:tr w:rsidR="00C419BA" w:rsidRPr="00895810" w14:paraId="3644E6B8" w14:textId="77777777" w:rsidTr="00024B10">
        <w:trPr>
          <w:cantSplit/>
        </w:trPr>
        <w:tc>
          <w:tcPr>
            <w:tcW w:w="2835" w:type="dxa"/>
            <w:tcMar>
              <w:left w:w="0" w:type="dxa"/>
              <w:right w:w="0" w:type="dxa"/>
            </w:tcMar>
          </w:tcPr>
          <w:p w14:paraId="3FAA7642" w14:textId="77777777" w:rsidR="00C419BA" w:rsidRPr="00895810" w:rsidRDefault="00C419BA" w:rsidP="00875A5D">
            <w:pPr>
              <w:pStyle w:val="TableColHeads"/>
              <w:jc w:val="left"/>
              <w:rPr>
                <w:rFonts w:ascii="IBM Plex Sans Light" w:hAnsi="IBM Plex Sans Light"/>
                <w:b/>
                <w:sz w:val="12"/>
                <w:szCs w:val="12"/>
              </w:rPr>
            </w:pPr>
          </w:p>
        </w:tc>
        <w:tc>
          <w:tcPr>
            <w:tcW w:w="539" w:type="dxa"/>
            <w:tcMar>
              <w:left w:w="0" w:type="dxa"/>
              <w:right w:w="0" w:type="dxa"/>
            </w:tcMar>
          </w:tcPr>
          <w:p w14:paraId="31A83BA7" w14:textId="10BE5B62" w:rsidR="00C419BA" w:rsidRPr="00895810" w:rsidRDefault="00C419BA" w:rsidP="00875A5D">
            <w:pPr>
              <w:pStyle w:val="TableColHeads"/>
              <w:rPr>
                <w:rFonts w:ascii="IBM Plex Sans Light" w:hAnsi="IBM Plex Sans Light"/>
                <w:sz w:val="12"/>
                <w:szCs w:val="12"/>
              </w:rPr>
            </w:pPr>
            <w:r>
              <w:rPr>
                <w:rFonts w:ascii="IBM Plex Sans Light" w:hAnsi="IBM Plex Sans Light"/>
                <w:sz w:val="12"/>
                <w:szCs w:val="12"/>
              </w:rPr>
              <w:t>a</w:t>
            </w:r>
          </w:p>
        </w:tc>
        <w:tc>
          <w:tcPr>
            <w:tcW w:w="879" w:type="dxa"/>
          </w:tcPr>
          <w:p w14:paraId="1E053CA1" w14:textId="77777777" w:rsidR="00C419BA" w:rsidRPr="00895810" w:rsidRDefault="00C419BA" w:rsidP="00875A5D">
            <w:pPr>
              <w:pStyle w:val="TableColHeads"/>
              <w:tabs>
                <w:tab w:val="clear" w:pos="284"/>
              </w:tabs>
              <w:ind w:left="-51" w:right="-22"/>
              <w:rPr>
                <w:rFonts w:ascii="IBM Plex Sans Light" w:hAnsi="IBM Plex Sans Light"/>
                <w:sz w:val="12"/>
                <w:szCs w:val="12"/>
              </w:rPr>
            </w:pPr>
          </w:p>
        </w:tc>
        <w:tc>
          <w:tcPr>
            <w:tcW w:w="595" w:type="dxa"/>
            <w:tcMar>
              <w:left w:w="0" w:type="dxa"/>
              <w:right w:w="0" w:type="dxa"/>
            </w:tcMar>
          </w:tcPr>
          <w:p w14:paraId="2260B780" w14:textId="2220B576" w:rsidR="00C419BA" w:rsidRPr="00024B10" w:rsidRDefault="00C419BA" w:rsidP="00875A5D">
            <w:pPr>
              <w:pStyle w:val="TableColHeads"/>
              <w:rPr>
                <w:rFonts w:ascii="IBM Plex Sans Light" w:hAnsi="IBM Plex Sans Light"/>
                <w:sz w:val="13"/>
                <w:szCs w:val="13"/>
              </w:rPr>
            </w:pPr>
            <w:r w:rsidRPr="00024B10">
              <w:rPr>
                <w:rFonts w:ascii="IBM Plex Sans Light" w:hAnsi="IBM Plex Sans Light"/>
                <w:sz w:val="13"/>
                <w:szCs w:val="13"/>
              </w:rPr>
              <w:t>b</w:t>
            </w:r>
          </w:p>
        </w:tc>
        <w:tc>
          <w:tcPr>
            <w:tcW w:w="823" w:type="dxa"/>
            <w:tcMar>
              <w:left w:w="0" w:type="dxa"/>
              <w:right w:w="0" w:type="dxa"/>
            </w:tcMar>
          </w:tcPr>
          <w:p w14:paraId="736C660A" w14:textId="22AC95BF" w:rsidR="00C419BA" w:rsidRPr="00024B10" w:rsidRDefault="00C419BA" w:rsidP="00875A5D">
            <w:pPr>
              <w:pStyle w:val="TableColHeads"/>
              <w:rPr>
                <w:rFonts w:ascii="IBM Plex Sans Light" w:hAnsi="IBM Plex Sans Light"/>
                <w:sz w:val="13"/>
                <w:szCs w:val="13"/>
              </w:rPr>
            </w:pPr>
            <w:r w:rsidRPr="00024B10">
              <w:rPr>
                <w:rFonts w:ascii="IBM Plex Sans Light" w:hAnsi="IBM Plex Sans Light"/>
                <w:sz w:val="13"/>
                <w:szCs w:val="13"/>
              </w:rPr>
              <w:t>c</w:t>
            </w:r>
          </w:p>
        </w:tc>
        <w:tc>
          <w:tcPr>
            <w:tcW w:w="709" w:type="dxa"/>
          </w:tcPr>
          <w:p w14:paraId="1A1988B2" w14:textId="78572697" w:rsidR="00C419BA" w:rsidRPr="00024B10" w:rsidRDefault="00C419BA" w:rsidP="00875A5D">
            <w:pPr>
              <w:pStyle w:val="TableColHeads"/>
              <w:tabs>
                <w:tab w:val="clear" w:pos="284"/>
              </w:tabs>
              <w:ind w:left="-138" w:right="-52"/>
              <w:rPr>
                <w:rFonts w:ascii="IBM Plex Sans Light" w:hAnsi="IBM Plex Sans Light"/>
                <w:sz w:val="13"/>
                <w:szCs w:val="13"/>
              </w:rPr>
            </w:pPr>
            <w:r w:rsidRPr="00024B10">
              <w:rPr>
                <w:rFonts w:ascii="IBM Plex Sans Light" w:hAnsi="IBM Plex Sans Light"/>
                <w:sz w:val="13"/>
                <w:szCs w:val="13"/>
              </w:rPr>
              <w:t>d</w:t>
            </w:r>
          </w:p>
        </w:tc>
        <w:tc>
          <w:tcPr>
            <w:tcW w:w="680" w:type="dxa"/>
            <w:tcMar>
              <w:left w:w="0" w:type="dxa"/>
              <w:right w:w="0" w:type="dxa"/>
            </w:tcMar>
          </w:tcPr>
          <w:p w14:paraId="209384D9" w14:textId="4ABEF067" w:rsidR="00C419BA" w:rsidRPr="00024B10" w:rsidRDefault="00C419BA" w:rsidP="00875A5D">
            <w:pPr>
              <w:pStyle w:val="TableColHeads"/>
              <w:rPr>
                <w:rFonts w:ascii="IBM Plex Sans Light" w:hAnsi="IBM Plex Sans Light"/>
                <w:sz w:val="13"/>
                <w:szCs w:val="13"/>
              </w:rPr>
            </w:pPr>
          </w:p>
        </w:tc>
        <w:tc>
          <w:tcPr>
            <w:tcW w:w="850" w:type="dxa"/>
            <w:tcBorders>
              <w:right w:val="single" w:sz="4" w:space="0" w:color="3D7FE0" w:themeColor="accent1"/>
            </w:tcBorders>
            <w:tcMar>
              <w:left w:w="0" w:type="dxa"/>
              <w:right w:w="0" w:type="dxa"/>
            </w:tcMar>
          </w:tcPr>
          <w:p w14:paraId="565C2C02" w14:textId="59D8A95E" w:rsidR="00C419BA" w:rsidRPr="00024B10" w:rsidRDefault="00C419BA" w:rsidP="00875A5D">
            <w:pPr>
              <w:pStyle w:val="TableColHeads"/>
              <w:rPr>
                <w:rFonts w:ascii="IBM Plex Sans Light" w:hAnsi="IBM Plex Sans Light"/>
                <w:sz w:val="13"/>
                <w:szCs w:val="13"/>
              </w:rPr>
            </w:pPr>
            <w:r w:rsidRPr="00024B10">
              <w:rPr>
                <w:rFonts w:ascii="IBM Plex Sans Light" w:hAnsi="IBM Plex Sans Light"/>
                <w:sz w:val="13"/>
                <w:szCs w:val="13"/>
              </w:rPr>
              <w:t>a</w:t>
            </w:r>
          </w:p>
        </w:tc>
        <w:tc>
          <w:tcPr>
            <w:tcW w:w="907" w:type="dxa"/>
            <w:tcBorders>
              <w:left w:val="single" w:sz="4" w:space="0" w:color="3D7FE0" w:themeColor="accent1"/>
              <w:right w:val="single" w:sz="4" w:space="0" w:color="3D7FE0" w:themeColor="accent1"/>
            </w:tcBorders>
            <w:tcMar>
              <w:left w:w="0" w:type="dxa"/>
              <w:right w:w="0" w:type="dxa"/>
            </w:tcMar>
          </w:tcPr>
          <w:p w14:paraId="291124E4" w14:textId="77777777" w:rsidR="00C419BA" w:rsidRPr="00024B10" w:rsidRDefault="00C419BA" w:rsidP="00875A5D">
            <w:pPr>
              <w:pStyle w:val="TableColHeads"/>
              <w:rPr>
                <w:rFonts w:ascii="IBM Plex Sans Light" w:hAnsi="IBM Plex Sans Light"/>
                <w:sz w:val="13"/>
                <w:szCs w:val="13"/>
              </w:rPr>
            </w:pPr>
          </w:p>
        </w:tc>
        <w:tc>
          <w:tcPr>
            <w:tcW w:w="794" w:type="dxa"/>
            <w:tcBorders>
              <w:left w:val="single" w:sz="4" w:space="0" w:color="3D7FE0" w:themeColor="accent1"/>
            </w:tcBorders>
            <w:tcMar>
              <w:left w:w="0" w:type="dxa"/>
              <w:right w:w="0" w:type="dxa"/>
            </w:tcMar>
          </w:tcPr>
          <w:p w14:paraId="11C10257" w14:textId="77777777" w:rsidR="00C419BA" w:rsidRPr="00024B10" w:rsidRDefault="00C419BA" w:rsidP="00875A5D">
            <w:pPr>
              <w:pStyle w:val="TableColHeads"/>
              <w:rPr>
                <w:rFonts w:ascii="IBM Plex Sans Light" w:hAnsi="IBM Plex Sans Light"/>
                <w:sz w:val="13"/>
                <w:szCs w:val="13"/>
              </w:rPr>
            </w:pPr>
          </w:p>
        </w:tc>
        <w:tc>
          <w:tcPr>
            <w:tcW w:w="852" w:type="dxa"/>
            <w:tcMar>
              <w:left w:w="0" w:type="dxa"/>
              <w:right w:w="0" w:type="dxa"/>
            </w:tcMar>
          </w:tcPr>
          <w:p w14:paraId="34839055" w14:textId="77777777" w:rsidR="00C419BA" w:rsidRPr="00895810" w:rsidRDefault="00C419BA" w:rsidP="00875A5D">
            <w:pPr>
              <w:pStyle w:val="TableColHeads"/>
              <w:rPr>
                <w:rFonts w:ascii="IBM Plex Sans Light" w:hAnsi="IBM Plex Sans Light"/>
                <w:sz w:val="12"/>
                <w:szCs w:val="12"/>
              </w:rPr>
            </w:pPr>
          </w:p>
        </w:tc>
      </w:tr>
      <w:tr w:rsidR="00C419BA" w:rsidRPr="00895810" w14:paraId="6AD9977D" w14:textId="77777777" w:rsidTr="00024B10">
        <w:trPr>
          <w:cantSplit/>
        </w:trPr>
        <w:tc>
          <w:tcPr>
            <w:tcW w:w="2835" w:type="dxa"/>
            <w:tcBorders>
              <w:bottom w:val="single" w:sz="4" w:space="0" w:color="3D7FE0" w:themeColor="accent1"/>
            </w:tcBorders>
            <w:tcMar>
              <w:left w:w="0" w:type="dxa"/>
              <w:right w:w="0" w:type="dxa"/>
            </w:tcMar>
          </w:tcPr>
          <w:p w14:paraId="392BB50F" w14:textId="74F7677C" w:rsidR="00C419BA" w:rsidRPr="00895810" w:rsidRDefault="00C419BA" w:rsidP="00875A5D">
            <w:pPr>
              <w:pStyle w:val="TableColHeads"/>
              <w:jc w:val="left"/>
              <w:rPr>
                <w:rFonts w:ascii="IBM Plex Sans Light" w:hAnsi="IBM Plex Sans Light"/>
                <w:szCs w:val="14"/>
              </w:rPr>
            </w:pPr>
          </w:p>
        </w:tc>
        <w:tc>
          <w:tcPr>
            <w:tcW w:w="539" w:type="dxa"/>
            <w:tcBorders>
              <w:bottom w:val="single" w:sz="4" w:space="0" w:color="3D7FE0" w:themeColor="accent1"/>
            </w:tcBorders>
            <w:tcMar>
              <w:left w:w="0" w:type="dxa"/>
              <w:right w:w="0" w:type="dxa"/>
            </w:tcMar>
          </w:tcPr>
          <w:p w14:paraId="5D2E3DBB" w14:textId="78FEC119"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879" w:type="dxa"/>
            <w:tcBorders>
              <w:bottom w:val="single" w:sz="4" w:space="0" w:color="3D7FE0" w:themeColor="accent1"/>
            </w:tcBorders>
          </w:tcPr>
          <w:p w14:paraId="520310B7" w14:textId="6042C4C1" w:rsidR="00C419BA" w:rsidRPr="00895810" w:rsidRDefault="00C419BA" w:rsidP="00875A5D">
            <w:pPr>
              <w:pStyle w:val="TableColHeads"/>
              <w:tabs>
                <w:tab w:val="clear" w:pos="284"/>
              </w:tabs>
              <w:ind w:left="-51" w:right="-22"/>
              <w:rPr>
                <w:rFonts w:ascii="IBM Plex Sans Light" w:hAnsi="IBM Plex Sans Light"/>
                <w:sz w:val="12"/>
              </w:rPr>
            </w:pPr>
            <w:r w:rsidRPr="00895810">
              <w:rPr>
                <w:rFonts w:ascii="IBM Plex Sans Light" w:hAnsi="IBM Plex Sans Light"/>
                <w:sz w:val="12"/>
                <w:szCs w:val="12"/>
              </w:rPr>
              <w:t xml:space="preserve">£m </w:t>
            </w:r>
          </w:p>
        </w:tc>
        <w:tc>
          <w:tcPr>
            <w:tcW w:w="595" w:type="dxa"/>
            <w:tcBorders>
              <w:bottom w:val="single" w:sz="4" w:space="0" w:color="3D7FE0" w:themeColor="accent1"/>
            </w:tcBorders>
            <w:tcMar>
              <w:left w:w="0" w:type="dxa"/>
              <w:right w:w="0" w:type="dxa"/>
            </w:tcMar>
          </w:tcPr>
          <w:p w14:paraId="0A9276C0" w14:textId="77777777"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823" w:type="dxa"/>
            <w:tcBorders>
              <w:bottom w:val="single" w:sz="4" w:space="0" w:color="3D7FE0" w:themeColor="accent1"/>
            </w:tcBorders>
            <w:tcMar>
              <w:left w:w="0" w:type="dxa"/>
              <w:right w:w="0" w:type="dxa"/>
            </w:tcMar>
          </w:tcPr>
          <w:p w14:paraId="2FE24CF6" w14:textId="77777777"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709" w:type="dxa"/>
            <w:tcBorders>
              <w:bottom w:val="single" w:sz="4" w:space="0" w:color="3D7FE0" w:themeColor="accent1"/>
            </w:tcBorders>
          </w:tcPr>
          <w:p w14:paraId="7D972997" w14:textId="396DA280" w:rsidR="00C419BA" w:rsidRPr="00895810" w:rsidRDefault="00C419BA" w:rsidP="00875A5D">
            <w:pPr>
              <w:pStyle w:val="TableColHeads"/>
              <w:tabs>
                <w:tab w:val="clear" w:pos="284"/>
              </w:tabs>
              <w:ind w:left="-138" w:right="-52"/>
              <w:rPr>
                <w:rFonts w:ascii="IBM Plex Sans Light" w:hAnsi="IBM Plex Sans Light"/>
                <w:sz w:val="12"/>
                <w:szCs w:val="12"/>
              </w:rPr>
            </w:pPr>
            <w:r w:rsidRPr="00895810">
              <w:rPr>
                <w:rFonts w:ascii="IBM Plex Sans Light" w:hAnsi="IBM Plex Sans Light"/>
                <w:sz w:val="12"/>
                <w:szCs w:val="12"/>
              </w:rPr>
              <w:t xml:space="preserve">£m </w:t>
            </w:r>
          </w:p>
        </w:tc>
        <w:tc>
          <w:tcPr>
            <w:tcW w:w="680" w:type="dxa"/>
            <w:tcBorders>
              <w:bottom w:val="single" w:sz="4" w:space="0" w:color="3D7FE0" w:themeColor="accent1"/>
            </w:tcBorders>
            <w:tcMar>
              <w:left w:w="0" w:type="dxa"/>
              <w:right w:w="0" w:type="dxa"/>
            </w:tcMar>
          </w:tcPr>
          <w:p w14:paraId="17AF4F76" w14:textId="7036B3A8"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850" w:type="dxa"/>
            <w:tcBorders>
              <w:bottom w:val="single" w:sz="4" w:space="0" w:color="3D7FE0" w:themeColor="accent1"/>
              <w:right w:val="single" w:sz="4" w:space="0" w:color="3D7FE0" w:themeColor="accent1"/>
            </w:tcBorders>
            <w:tcMar>
              <w:left w:w="0" w:type="dxa"/>
              <w:right w:w="0" w:type="dxa"/>
            </w:tcMar>
          </w:tcPr>
          <w:p w14:paraId="3B883065" w14:textId="77777777"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907" w:type="dxa"/>
            <w:tcBorders>
              <w:left w:val="single" w:sz="4" w:space="0" w:color="3D7FE0" w:themeColor="accent1"/>
              <w:bottom w:val="single" w:sz="4" w:space="0" w:color="3D7FE0" w:themeColor="accent1"/>
              <w:right w:val="single" w:sz="4" w:space="0" w:color="3D7FE0" w:themeColor="accent1"/>
            </w:tcBorders>
            <w:tcMar>
              <w:left w:w="0" w:type="dxa"/>
              <w:right w:w="0" w:type="dxa"/>
            </w:tcMar>
          </w:tcPr>
          <w:p w14:paraId="72B553F4" w14:textId="77777777"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794" w:type="dxa"/>
            <w:tcBorders>
              <w:left w:val="single" w:sz="4" w:space="0" w:color="3D7FE0" w:themeColor="accent1"/>
              <w:bottom w:val="single" w:sz="4" w:space="0" w:color="3D7FE0" w:themeColor="accent1"/>
            </w:tcBorders>
            <w:tcMar>
              <w:left w:w="0" w:type="dxa"/>
              <w:right w:w="0" w:type="dxa"/>
            </w:tcMar>
          </w:tcPr>
          <w:p w14:paraId="31629980" w14:textId="77777777"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c>
          <w:tcPr>
            <w:tcW w:w="852" w:type="dxa"/>
            <w:tcBorders>
              <w:bottom w:val="single" w:sz="4" w:space="0" w:color="3D7FE0" w:themeColor="accent1"/>
            </w:tcBorders>
            <w:tcMar>
              <w:left w:w="0" w:type="dxa"/>
              <w:right w:w="0" w:type="dxa"/>
            </w:tcMar>
          </w:tcPr>
          <w:p w14:paraId="2EA77FAB" w14:textId="77777777" w:rsidR="00C419BA" w:rsidRPr="00895810" w:rsidRDefault="00C419BA" w:rsidP="00875A5D">
            <w:pPr>
              <w:pStyle w:val="TableColHeads"/>
              <w:rPr>
                <w:rFonts w:ascii="IBM Plex Sans Light" w:hAnsi="IBM Plex Sans Light"/>
                <w:sz w:val="12"/>
                <w:szCs w:val="12"/>
              </w:rPr>
            </w:pPr>
            <w:r w:rsidRPr="00895810">
              <w:rPr>
                <w:rFonts w:ascii="IBM Plex Sans Light" w:hAnsi="IBM Plex Sans Light"/>
                <w:sz w:val="12"/>
                <w:szCs w:val="12"/>
              </w:rPr>
              <w:t xml:space="preserve">£m </w:t>
            </w:r>
          </w:p>
        </w:tc>
      </w:tr>
      <w:tr w:rsidR="00C419BA" w:rsidRPr="00895810" w14:paraId="557708B5" w14:textId="77777777" w:rsidTr="00024B10">
        <w:trPr>
          <w:cantSplit/>
        </w:trPr>
        <w:tc>
          <w:tcPr>
            <w:tcW w:w="2835" w:type="dxa"/>
            <w:tcMar>
              <w:left w:w="0" w:type="dxa"/>
              <w:right w:w="0" w:type="dxa"/>
            </w:tcMar>
            <w:vAlign w:val="bottom"/>
          </w:tcPr>
          <w:p w14:paraId="6E43D270" w14:textId="3679F131" w:rsidR="00C419BA" w:rsidRPr="0062787C" w:rsidRDefault="00C419BA" w:rsidP="00E5513E">
            <w:pPr>
              <w:pStyle w:val="TableFiguresBrackets"/>
              <w:jc w:val="left"/>
              <w:rPr>
                <w:rFonts w:ascii="IBM Plex Sans Medium" w:hAnsi="IBM Plex Sans Medium"/>
                <w:b/>
                <w:bCs/>
                <w:spacing w:val="-4"/>
                <w:szCs w:val="16"/>
              </w:rPr>
            </w:pPr>
            <w:r w:rsidRPr="0062787C">
              <w:rPr>
                <w:rFonts w:ascii="IBM Plex Sans Medium" w:hAnsi="IBM Plex Sans Medium"/>
                <w:b/>
                <w:bCs/>
                <w:spacing w:val="-4"/>
                <w:szCs w:val="16"/>
              </w:rPr>
              <w:t>At 1 January 2022</w:t>
            </w:r>
          </w:p>
        </w:tc>
        <w:tc>
          <w:tcPr>
            <w:tcW w:w="539" w:type="dxa"/>
            <w:tcMar>
              <w:left w:w="0" w:type="dxa"/>
              <w:right w:w="0" w:type="dxa"/>
            </w:tcMar>
          </w:tcPr>
          <w:p w14:paraId="32093D06" w14:textId="4D75AF86" w:rsidR="00C419BA" w:rsidRPr="00E75481" w:rsidRDefault="00C419BA" w:rsidP="00E5513E">
            <w:pPr>
              <w:pStyle w:val="TableFigures"/>
              <w:rPr>
                <w:rFonts w:ascii="IBM Plex Sans Light" w:hAnsi="IBM Plex Sans Light"/>
                <w:spacing w:val="-4"/>
                <w:sz w:val="15"/>
                <w:szCs w:val="15"/>
              </w:rPr>
            </w:pPr>
            <w:r w:rsidRPr="00E75481">
              <w:rPr>
                <w:rFonts w:ascii="IBM Plex Sans Light" w:hAnsi="IBM Plex Sans Light"/>
                <w:spacing w:val="-4"/>
                <w:sz w:val="15"/>
                <w:szCs w:val="15"/>
              </w:rPr>
              <w:t>221.0</w:t>
            </w:r>
          </w:p>
        </w:tc>
        <w:tc>
          <w:tcPr>
            <w:tcW w:w="879" w:type="dxa"/>
          </w:tcPr>
          <w:p w14:paraId="2776E68C" w14:textId="216E75AD" w:rsidR="00C419BA" w:rsidRPr="00E75481" w:rsidRDefault="00C419BA" w:rsidP="00E5513E">
            <w:pPr>
              <w:pStyle w:val="TableFigures"/>
              <w:ind w:left="-51" w:right="-22"/>
              <w:rPr>
                <w:rFonts w:ascii="IBM Plex Sans Light" w:hAnsi="IBM Plex Sans Light"/>
                <w:spacing w:val="-4"/>
                <w:sz w:val="15"/>
                <w:szCs w:val="15"/>
              </w:rPr>
            </w:pPr>
            <w:r w:rsidRPr="00E75481">
              <w:rPr>
                <w:rFonts w:ascii="IBM Plex Sans Light" w:hAnsi="IBM Plex Sans Light"/>
                <w:spacing w:val="-4"/>
                <w:sz w:val="15"/>
                <w:szCs w:val="15"/>
              </w:rPr>
              <w:t>1,593.2</w:t>
            </w:r>
          </w:p>
        </w:tc>
        <w:tc>
          <w:tcPr>
            <w:tcW w:w="595" w:type="dxa"/>
            <w:tcMar>
              <w:left w:w="0" w:type="dxa"/>
              <w:right w:w="0" w:type="dxa"/>
            </w:tcMar>
          </w:tcPr>
          <w:p w14:paraId="58E18C68" w14:textId="4CE4E8D7" w:rsidR="00C419BA" w:rsidRPr="00E75481" w:rsidRDefault="00C419BA" w:rsidP="00E5513E">
            <w:pPr>
              <w:pStyle w:val="TableFigures"/>
              <w:rPr>
                <w:rFonts w:ascii="IBM Plex Sans Light" w:hAnsi="IBM Plex Sans Light"/>
                <w:spacing w:val="-4"/>
                <w:sz w:val="15"/>
                <w:szCs w:val="15"/>
              </w:rPr>
            </w:pPr>
            <w:r w:rsidRPr="00E75481">
              <w:rPr>
                <w:rFonts w:ascii="IBM Plex Sans Light" w:hAnsi="IBM Plex Sans Light"/>
                <w:spacing w:val="-4"/>
                <w:sz w:val="15"/>
                <w:szCs w:val="15"/>
              </w:rPr>
              <w:t>374.1</w:t>
            </w:r>
          </w:p>
        </w:tc>
        <w:tc>
          <w:tcPr>
            <w:tcW w:w="823" w:type="dxa"/>
            <w:tcMar>
              <w:left w:w="0" w:type="dxa"/>
              <w:right w:w="0" w:type="dxa"/>
            </w:tcMar>
          </w:tcPr>
          <w:p w14:paraId="5FD45A01" w14:textId="2085FCB2" w:rsidR="00C419BA" w:rsidRPr="00E75481" w:rsidRDefault="00C419BA" w:rsidP="00E5513E">
            <w:pPr>
              <w:pStyle w:val="TableFigures"/>
              <w:rPr>
                <w:rFonts w:ascii="IBM Plex Sans Light" w:hAnsi="IBM Plex Sans Light"/>
                <w:spacing w:val="-4"/>
                <w:sz w:val="15"/>
                <w:szCs w:val="15"/>
              </w:rPr>
            </w:pPr>
            <w:r w:rsidRPr="00E75481">
              <w:rPr>
                <w:rFonts w:ascii="IBM Plex Sans Light" w:hAnsi="IBM Plex Sans Light"/>
                <w:spacing w:val="-4"/>
                <w:sz w:val="15"/>
                <w:szCs w:val="15"/>
              </w:rPr>
              <w:t>198.2</w:t>
            </w:r>
          </w:p>
        </w:tc>
        <w:tc>
          <w:tcPr>
            <w:tcW w:w="709" w:type="dxa"/>
          </w:tcPr>
          <w:p w14:paraId="2DAE33F2" w14:textId="490730F0" w:rsidR="00C419BA" w:rsidRPr="00E75481" w:rsidRDefault="00C419BA" w:rsidP="00024B10">
            <w:pPr>
              <w:pStyle w:val="TableFigures"/>
              <w:ind w:left="-138" w:right="0"/>
              <w:rPr>
                <w:rFonts w:ascii="IBM Plex Sans Light" w:hAnsi="IBM Plex Sans Light"/>
                <w:spacing w:val="-4"/>
                <w:sz w:val="15"/>
                <w:szCs w:val="15"/>
              </w:rPr>
            </w:pPr>
            <w:r w:rsidRPr="00E75481">
              <w:rPr>
                <w:rFonts w:ascii="IBM Plex Sans Light" w:hAnsi="IBM Plex Sans Light"/>
                <w:spacing w:val="-4"/>
                <w:sz w:val="15"/>
                <w:szCs w:val="15"/>
              </w:rPr>
              <w:t>110.0</w:t>
            </w:r>
          </w:p>
        </w:tc>
        <w:tc>
          <w:tcPr>
            <w:tcW w:w="680" w:type="dxa"/>
            <w:tcMar>
              <w:left w:w="0" w:type="dxa"/>
              <w:right w:w="0" w:type="dxa"/>
            </w:tcMar>
          </w:tcPr>
          <w:p w14:paraId="708DCB9A" w14:textId="32AD5B25" w:rsidR="00C419BA" w:rsidRPr="00E75481" w:rsidRDefault="00C419BA" w:rsidP="00E5513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252.9</w:t>
            </w:r>
          </w:p>
        </w:tc>
        <w:tc>
          <w:tcPr>
            <w:tcW w:w="850" w:type="dxa"/>
            <w:tcBorders>
              <w:right w:val="single" w:sz="4" w:space="0" w:color="3D7FE0" w:themeColor="accent1"/>
            </w:tcBorders>
            <w:tcMar>
              <w:left w:w="0" w:type="dxa"/>
              <w:right w:w="0" w:type="dxa"/>
            </w:tcMar>
          </w:tcPr>
          <w:p w14:paraId="0AC8BAB9" w14:textId="534FAB06" w:rsidR="00C419BA" w:rsidRPr="00E75481" w:rsidRDefault="00C419BA" w:rsidP="00E5513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(3.5)</w:t>
            </w:r>
          </w:p>
        </w:tc>
        <w:tc>
          <w:tcPr>
            <w:tcW w:w="907" w:type="dxa"/>
            <w:tcBorders>
              <w:left w:val="single" w:sz="4" w:space="0" w:color="3D7FE0" w:themeColor="accent1"/>
              <w:right w:val="single" w:sz="4" w:space="0" w:color="3D7FE0" w:themeColor="accent1"/>
            </w:tcBorders>
            <w:tcMar>
              <w:left w:w="0" w:type="dxa"/>
              <w:right w:w="0" w:type="dxa"/>
            </w:tcMar>
          </w:tcPr>
          <w:p w14:paraId="51B014B6" w14:textId="48951D48" w:rsidR="00C419BA" w:rsidRPr="00E75481" w:rsidRDefault="00C419BA" w:rsidP="00E5513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2,745.9</w:t>
            </w:r>
          </w:p>
        </w:tc>
        <w:tc>
          <w:tcPr>
            <w:tcW w:w="794" w:type="dxa"/>
            <w:tcBorders>
              <w:left w:val="single" w:sz="4" w:space="0" w:color="3D7FE0" w:themeColor="accent1"/>
            </w:tcBorders>
            <w:tcMar>
              <w:left w:w="0" w:type="dxa"/>
              <w:right w:w="0" w:type="dxa"/>
            </w:tcMar>
          </w:tcPr>
          <w:p w14:paraId="6B176B39" w14:textId="577F24A7" w:rsidR="00C419BA" w:rsidRPr="00E75481" w:rsidRDefault="00C419BA" w:rsidP="00E5513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0.1</w:t>
            </w:r>
          </w:p>
        </w:tc>
        <w:tc>
          <w:tcPr>
            <w:tcW w:w="852" w:type="dxa"/>
            <w:tcMar>
              <w:left w:w="0" w:type="dxa"/>
              <w:right w:w="0" w:type="dxa"/>
            </w:tcMar>
          </w:tcPr>
          <w:p w14:paraId="7C795321" w14:textId="5A12063B" w:rsidR="00C419BA" w:rsidRPr="00E75481" w:rsidRDefault="00C419BA" w:rsidP="00E5513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2,746.2</w:t>
            </w:r>
          </w:p>
        </w:tc>
      </w:tr>
      <w:tr w:rsidR="00C419BA" w:rsidRPr="00895810" w14:paraId="5B5C80C4" w14:textId="77777777" w:rsidTr="00024B10">
        <w:trPr>
          <w:cantSplit/>
          <w:trHeight w:hRule="exact" w:val="113"/>
        </w:trPr>
        <w:tc>
          <w:tcPr>
            <w:tcW w:w="2835" w:type="dxa"/>
            <w:tcMar>
              <w:left w:w="0" w:type="dxa"/>
              <w:right w:w="0" w:type="dxa"/>
            </w:tcMar>
            <w:vAlign w:val="bottom"/>
          </w:tcPr>
          <w:p w14:paraId="50555F79" w14:textId="77777777" w:rsidR="00C419BA" w:rsidRPr="00895810" w:rsidRDefault="00C419BA" w:rsidP="002561AF">
            <w:pPr>
              <w:pStyle w:val="TableFiguresBrackets"/>
              <w:jc w:val="left"/>
              <w:rPr>
                <w:rFonts w:ascii="IBM Plex Sans Light" w:hAnsi="IBM Plex Sans Light"/>
                <w:spacing w:val="-4"/>
                <w:szCs w:val="16"/>
              </w:rPr>
            </w:pPr>
          </w:p>
        </w:tc>
        <w:tc>
          <w:tcPr>
            <w:tcW w:w="539" w:type="dxa"/>
            <w:tcMar>
              <w:left w:w="0" w:type="dxa"/>
              <w:right w:w="0" w:type="dxa"/>
            </w:tcMar>
            <w:vAlign w:val="bottom"/>
          </w:tcPr>
          <w:p w14:paraId="09520FDD" w14:textId="77777777" w:rsidR="00C419BA" w:rsidRPr="00E75481" w:rsidRDefault="00C419BA">
            <w:pPr>
              <w:pStyle w:val="TableFigures"/>
              <w:rPr>
                <w:rFonts w:ascii="IBM Plex Sans Light" w:hAnsi="IBM Plex Sans Light"/>
                <w:spacing w:val="-4"/>
                <w:sz w:val="15"/>
                <w:szCs w:val="15"/>
              </w:rPr>
            </w:pPr>
          </w:p>
        </w:tc>
        <w:tc>
          <w:tcPr>
            <w:tcW w:w="879" w:type="dxa"/>
            <w:vAlign w:val="bottom"/>
          </w:tcPr>
          <w:p w14:paraId="2C374643" w14:textId="77777777" w:rsidR="00C419BA" w:rsidRPr="00E75481" w:rsidRDefault="00C419BA" w:rsidP="006E3F7E">
            <w:pPr>
              <w:pStyle w:val="TableFigures"/>
              <w:ind w:left="-51" w:right="-22"/>
              <w:rPr>
                <w:rFonts w:ascii="IBM Plex Sans Light" w:hAnsi="IBM Plex Sans Light"/>
                <w:spacing w:val="-4"/>
                <w:sz w:val="15"/>
                <w:szCs w:val="15"/>
              </w:rPr>
            </w:pPr>
          </w:p>
        </w:tc>
        <w:tc>
          <w:tcPr>
            <w:tcW w:w="595" w:type="dxa"/>
            <w:tcMar>
              <w:left w:w="0" w:type="dxa"/>
              <w:right w:w="0" w:type="dxa"/>
            </w:tcMar>
            <w:vAlign w:val="bottom"/>
          </w:tcPr>
          <w:p w14:paraId="14FAC6CC" w14:textId="77777777" w:rsidR="00C419BA" w:rsidRPr="00E75481" w:rsidRDefault="00C419BA">
            <w:pPr>
              <w:pStyle w:val="TableFigures"/>
              <w:rPr>
                <w:rFonts w:ascii="IBM Plex Sans Light" w:hAnsi="IBM Plex Sans Light"/>
                <w:spacing w:val="-4"/>
                <w:sz w:val="15"/>
                <w:szCs w:val="15"/>
              </w:rPr>
            </w:pPr>
          </w:p>
        </w:tc>
        <w:tc>
          <w:tcPr>
            <w:tcW w:w="823" w:type="dxa"/>
            <w:tcMar>
              <w:left w:w="0" w:type="dxa"/>
              <w:right w:w="0" w:type="dxa"/>
            </w:tcMar>
            <w:vAlign w:val="bottom"/>
          </w:tcPr>
          <w:p w14:paraId="73A92F76" w14:textId="77777777" w:rsidR="00C419BA" w:rsidRPr="00E75481" w:rsidRDefault="00C419BA">
            <w:pPr>
              <w:pStyle w:val="TableFigures"/>
              <w:rPr>
                <w:rFonts w:ascii="IBM Plex Sans Light" w:hAnsi="IBM Plex Sans Light"/>
                <w:spacing w:val="-4"/>
                <w:sz w:val="15"/>
                <w:szCs w:val="15"/>
              </w:rPr>
            </w:pPr>
          </w:p>
        </w:tc>
        <w:tc>
          <w:tcPr>
            <w:tcW w:w="709" w:type="dxa"/>
          </w:tcPr>
          <w:p w14:paraId="441596E4" w14:textId="77777777" w:rsidR="00C419BA" w:rsidRPr="00E75481" w:rsidRDefault="00C419BA" w:rsidP="00024B10">
            <w:pPr>
              <w:pStyle w:val="TableFigures"/>
              <w:ind w:left="-138" w:right="0"/>
              <w:rPr>
                <w:rFonts w:ascii="IBM Plex Sans Light" w:hAnsi="IBM Plex Sans Light"/>
                <w:spacing w:val="-4"/>
                <w:sz w:val="15"/>
                <w:szCs w:val="15"/>
              </w:rPr>
            </w:pPr>
          </w:p>
        </w:tc>
        <w:tc>
          <w:tcPr>
            <w:tcW w:w="680" w:type="dxa"/>
            <w:tcMar>
              <w:left w:w="0" w:type="dxa"/>
              <w:right w:w="0" w:type="dxa"/>
            </w:tcMar>
            <w:vAlign w:val="bottom"/>
          </w:tcPr>
          <w:p w14:paraId="3C8EBA47" w14:textId="6DD29E73" w:rsidR="00C419BA" w:rsidRPr="00E75481" w:rsidRDefault="00C419BA">
            <w:pPr>
              <w:pStyle w:val="TableFigures"/>
              <w:rPr>
                <w:rFonts w:ascii="IBM Plex Sans Light" w:hAnsi="IBM Plex Sans Light"/>
                <w:color w:val="auto"/>
                <w:spacing w:val="-4"/>
                <w:sz w:val="15"/>
                <w:szCs w:val="15"/>
              </w:rPr>
            </w:pPr>
          </w:p>
        </w:tc>
        <w:tc>
          <w:tcPr>
            <w:tcW w:w="850" w:type="dxa"/>
            <w:tcBorders>
              <w:right w:val="single" w:sz="4" w:space="0" w:color="3D7FE0" w:themeColor="accent1"/>
            </w:tcBorders>
            <w:tcMar>
              <w:left w:w="0" w:type="dxa"/>
              <w:right w:w="0" w:type="dxa"/>
            </w:tcMar>
            <w:vAlign w:val="bottom"/>
          </w:tcPr>
          <w:p w14:paraId="4A8D0BBC" w14:textId="77777777" w:rsidR="00C419BA" w:rsidRPr="00E75481" w:rsidRDefault="00C419BA">
            <w:pPr>
              <w:pStyle w:val="TableFigures"/>
              <w:rPr>
                <w:rFonts w:ascii="IBM Plex Sans Light" w:hAnsi="IBM Plex Sans Light"/>
                <w:spacing w:val="-4"/>
                <w:sz w:val="15"/>
                <w:szCs w:val="15"/>
              </w:rPr>
            </w:pPr>
          </w:p>
        </w:tc>
        <w:tc>
          <w:tcPr>
            <w:tcW w:w="907" w:type="dxa"/>
            <w:tcBorders>
              <w:left w:val="single" w:sz="4" w:space="0" w:color="3D7FE0" w:themeColor="accent1"/>
              <w:right w:val="single" w:sz="4" w:space="0" w:color="3D7FE0" w:themeColor="accent1"/>
            </w:tcBorders>
            <w:tcMar>
              <w:left w:w="0" w:type="dxa"/>
              <w:right w:w="0" w:type="dxa"/>
            </w:tcMar>
            <w:vAlign w:val="bottom"/>
          </w:tcPr>
          <w:p w14:paraId="20081240" w14:textId="77777777" w:rsidR="00C419BA" w:rsidRPr="00E75481" w:rsidRDefault="00C419BA">
            <w:pPr>
              <w:pStyle w:val="TableFigures"/>
              <w:rPr>
                <w:rFonts w:ascii="IBM Plex Sans Light" w:hAnsi="IBM Plex Sans Light"/>
                <w:color w:val="auto"/>
                <w:spacing w:val="-4"/>
                <w:sz w:val="15"/>
                <w:szCs w:val="15"/>
              </w:rPr>
            </w:pPr>
          </w:p>
        </w:tc>
        <w:tc>
          <w:tcPr>
            <w:tcW w:w="794" w:type="dxa"/>
            <w:tcBorders>
              <w:left w:val="single" w:sz="4" w:space="0" w:color="3D7FE0" w:themeColor="accent1"/>
            </w:tcBorders>
            <w:tcMar>
              <w:left w:w="0" w:type="dxa"/>
              <w:right w:w="0" w:type="dxa"/>
            </w:tcMar>
            <w:vAlign w:val="bottom"/>
          </w:tcPr>
          <w:p w14:paraId="70B0EAC1" w14:textId="77777777" w:rsidR="00C419BA" w:rsidRPr="00E75481" w:rsidRDefault="00C419BA">
            <w:pPr>
              <w:pStyle w:val="TableFigures"/>
              <w:rPr>
                <w:rFonts w:ascii="IBM Plex Sans Light" w:hAnsi="IBM Plex Sans Light"/>
                <w:spacing w:val="-4"/>
                <w:sz w:val="15"/>
                <w:szCs w:val="15"/>
              </w:rPr>
            </w:pPr>
          </w:p>
        </w:tc>
        <w:tc>
          <w:tcPr>
            <w:tcW w:w="852" w:type="dxa"/>
            <w:tcMar>
              <w:left w:w="0" w:type="dxa"/>
              <w:right w:w="0" w:type="dxa"/>
            </w:tcMar>
            <w:vAlign w:val="bottom"/>
          </w:tcPr>
          <w:p w14:paraId="4E2ACF38" w14:textId="77777777" w:rsidR="00C419BA" w:rsidRPr="00E75481" w:rsidRDefault="00C419BA">
            <w:pPr>
              <w:pStyle w:val="TableFigures"/>
              <w:rPr>
                <w:rFonts w:ascii="IBM Plex Sans Light" w:hAnsi="IBM Plex Sans Light"/>
                <w:spacing w:val="-4"/>
                <w:sz w:val="15"/>
                <w:szCs w:val="15"/>
              </w:rPr>
            </w:pPr>
          </w:p>
        </w:tc>
      </w:tr>
      <w:tr w:rsidR="00C419BA" w:rsidRPr="00895810" w14:paraId="6BC7D947" w14:textId="77777777" w:rsidTr="00024B10">
        <w:trPr>
          <w:cantSplit/>
        </w:trPr>
        <w:tc>
          <w:tcPr>
            <w:tcW w:w="2835" w:type="dxa"/>
            <w:tcMar>
              <w:left w:w="0" w:type="dxa"/>
              <w:right w:w="0" w:type="dxa"/>
            </w:tcMar>
            <w:vAlign w:val="bottom"/>
          </w:tcPr>
          <w:p w14:paraId="5F344468" w14:textId="7226F473" w:rsidR="00C419BA" w:rsidRPr="00895810" w:rsidRDefault="00C419BA" w:rsidP="00867179">
            <w:pPr>
              <w:pStyle w:val="TableFiguresBrackets"/>
              <w:jc w:val="left"/>
              <w:rPr>
                <w:rFonts w:ascii="IBM Plex Sans Light" w:hAnsi="IBM Plex Sans Light"/>
                <w:spacing w:val="-4"/>
                <w:szCs w:val="16"/>
              </w:rPr>
            </w:pPr>
            <w:r w:rsidRPr="00895810">
              <w:rPr>
                <w:rFonts w:ascii="IBM Plex Sans Light" w:hAnsi="IBM Plex Sans Light"/>
                <w:spacing w:val="-4"/>
                <w:szCs w:val="16"/>
              </w:rPr>
              <w:t>Foreign exchange translation differences</w:t>
            </w:r>
          </w:p>
        </w:tc>
        <w:tc>
          <w:tcPr>
            <w:tcW w:w="539" w:type="dxa"/>
            <w:tcMar>
              <w:left w:w="0" w:type="dxa"/>
              <w:right w:w="0" w:type="dxa"/>
            </w:tcMar>
            <w:vAlign w:val="bottom"/>
          </w:tcPr>
          <w:p w14:paraId="3EC0417A" w14:textId="7EDC0E82"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709CC60D" w14:textId="5B2599F8" w:rsidR="00C419BA" w:rsidRPr="00E75481" w:rsidRDefault="00C419BA" w:rsidP="00867179">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07ECF729" w14:textId="4C90ABF7"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28D291CC" w14:textId="6521F9A5"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Pr>
          <w:p w14:paraId="6AEF3E1F" w14:textId="7E3E7F5C" w:rsidR="00C419BA" w:rsidRPr="00E75481" w:rsidDel="006F6E7C" w:rsidRDefault="00C419BA" w:rsidP="00024B10">
            <w:pPr>
              <w:pStyle w:val="TableFigures"/>
              <w:ind w:left="-138" w:right="0"/>
              <w:rPr>
                <w:rFonts w:ascii="IBM Plex Sans Light" w:hAnsi="IBM Plex Sans Light"/>
                <w:spacing w:val="-4"/>
                <w:sz w:val="15"/>
                <w:szCs w:val="15"/>
              </w:rPr>
            </w:pPr>
            <w:r w:rsidRPr="00E75481">
              <w:rPr>
                <w:rFonts w:ascii="IBM Plex Sans Light" w:hAnsi="IBM Plex Sans Light"/>
                <w:spacing w:val="-4"/>
                <w:sz w:val="15"/>
                <w:szCs w:val="15"/>
              </w:rPr>
              <w:t>130.7</w:t>
            </w:r>
          </w:p>
        </w:tc>
        <w:tc>
          <w:tcPr>
            <w:tcW w:w="680" w:type="dxa"/>
            <w:tcMar>
              <w:left w:w="0" w:type="dxa"/>
              <w:right w:w="0" w:type="dxa"/>
            </w:tcMar>
          </w:tcPr>
          <w:p w14:paraId="313017E7" w14:textId="7065550F" w:rsidR="00C419BA" w:rsidRPr="00E75481" w:rsidRDefault="00C419BA" w:rsidP="00867179">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w:t>
            </w:r>
          </w:p>
        </w:tc>
        <w:tc>
          <w:tcPr>
            <w:tcW w:w="850" w:type="dxa"/>
            <w:tcBorders>
              <w:right w:val="single" w:sz="4" w:space="0" w:color="3D7FE0" w:themeColor="accent1"/>
            </w:tcBorders>
            <w:tcMar>
              <w:left w:w="0" w:type="dxa"/>
              <w:right w:w="0" w:type="dxa"/>
            </w:tcMar>
          </w:tcPr>
          <w:p w14:paraId="1D11B5C3" w14:textId="2E154FEF" w:rsidR="00C419BA" w:rsidRPr="00C323D2" w:rsidRDefault="00C419BA" w:rsidP="00867179">
            <w:pPr>
              <w:pStyle w:val="TableFigures"/>
              <w:rPr>
                <w:rFonts w:ascii="IBM Plex Sans Light" w:hAnsi="IBM Plex Sans Light"/>
                <w:spacing w:val="-4"/>
                <w:sz w:val="15"/>
                <w:szCs w:val="15"/>
              </w:rPr>
            </w:pPr>
            <w:r w:rsidRPr="00024B10">
              <w:rPr>
                <w:rFonts w:ascii="IBM Plex Sans Light" w:hAnsi="IBM Plex Sans Light"/>
                <w:color w:val="1B3E92"/>
                <w:w w:val="117"/>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4B76C032" w14:textId="102993EA" w:rsidR="00C419BA" w:rsidRPr="00E75481" w:rsidRDefault="00C419BA" w:rsidP="003E6EA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130.7</w:t>
            </w:r>
          </w:p>
        </w:tc>
        <w:tc>
          <w:tcPr>
            <w:tcW w:w="794" w:type="dxa"/>
            <w:tcBorders>
              <w:left w:val="single" w:sz="4" w:space="0" w:color="3D7FE0" w:themeColor="accent1"/>
            </w:tcBorders>
            <w:tcMar>
              <w:left w:w="0" w:type="dxa"/>
              <w:right w:w="0" w:type="dxa"/>
            </w:tcMar>
            <w:vAlign w:val="bottom"/>
          </w:tcPr>
          <w:p w14:paraId="25B82D82" w14:textId="45447BAA" w:rsidR="00C419BA" w:rsidRPr="00E75481" w:rsidRDefault="00C419BA" w:rsidP="00867179">
            <w:pPr>
              <w:pStyle w:val="TableFigures"/>
              <w:rPr>
                <w:rFonts w:ascii="IBM Plex Sans Light" w:hAnsi="IBM Plex Sans Light"/>
                <w:spacing w:val="-4"/>
                <w:sz w:val="15"/>
                <w:szCs w:val="15"/>
              </w:rPr>
            </w:pPr>
            <w:r w:rsidRPr="00E75481">
              <w:rPr>
                <w:rFonts w:ascii="IBM Plex Sans Light" w:hAnsi="IBM Plex Sans Light"/>
                <w:color w:val="auto"/>
                <w:spacing w:val="-4"/>
                <w:sz w:val="15"/>
                <w:szCs w:val="15"/>
              </w:rPr>
              <w:t>(0.1)</w:t>
            </w:r>
          </w:p>
        </w:tc>
        <w:tc>
          <w:tcPr>
            <w:tcW w:w="852" w:type="dxa"/>
            <w:tcMar>
              <w:left w:w="0" w:type="dxa"/>
              <w:right w:w="0" w:type="dxa"/>
            </w:tcMar>
            <w:vAlign w:val="bottom"/>
          </w:tcPr>
          <w:p w14:paraId="25B6AAEC" w14:textId="2F8A74A9" w:rsidR="00C419BA" w:rsidRPr="00E75481" w:rsidRDefault="00C419BA" w:rsidP="00867179">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130.6</w:t>
            </w:r>
          </w:p>
        </w:tc>
      </w:tr>
      <w:tr w:rsidR="00C419BA" w:rsidRPr="00895810" w14:paraId="2A54F0FD" w14:textId="77777777" w:rsidTr="00024B10">
        <w:trPr>
          <w:cantSplit/>
        </w:trPr>
        <w:tc>
          <w:tcPr>
            <w:tcW w:w="2835" w:type="dxa"/>
            <w:tcMar>
              <w:left w:w="0" w:type="dxa"/>
              <w:right w:w="0" w:type="dxa"/>
            </w:tcMar>
            <w:vAlign w:val="bottom"/>
          </w:tcPr>
          <w:p w14:paraId="52228472" w14:textId="4AC50362" w:rsidR="00C419BA" w:rsidRPr="00895810" w:rsidRDefault="00C419BA" w:rsidP="00867179">
            <w:pPr>
              <w:pStyle w:val="TableFiguresBrackets"/>
              <w:jc w:val="left"/>
              <w:rPr>
                <w:rFonts w:ascii="IBM Plex Sans Light" w:hAnsi="IBM Plex Sans Light"/>
                <w:spacing w:val="-4"/>
                <w:szCs w:val="16"/>
              </w:rPr>
            </w:pPr>
            <w:r>
              <w:rPr>
                <w:rFonts w:ascii="IBM Plex Sans Light" w:hAnsi="IBM Plex Sans Light"/>
                <w:spacing w:val="-4"/>
                <w:szCs w:val="16"/>
              </w:rPr>
              <w:t>Loss</w:t>
            </w:r>
            <w:r w:rsidRPr="00895810">
              <w:rPr>
                <w:rFonts w:ascii="IBM Plex Sans Light" w:hAnsi="IBM Plex Sans Light"/>
                <w:spacing w:val="-4"/>
                <w:szCs w:val="16"/>
              </w:rPr>
              <w:t xml:space="preserve"> on net investment hedge</w:t>
            </w:r>
          </w:p>
        </w:tc>
        <w:tc>
          <w:tcPr>
            <w:tcW w:w="539" w:type="dxa"/>
            <w:tcMar>
              <w:left w:w="0" w:type="dxa"/>
              <w:right w:w="0" w:type="dxa"/>
            </w:tcMar>
            <w:vAlign w:val="bottom"/>
          </w:tcPr>
          <w:p w14:paraId="5D344CCE" w14:textId="66717080"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3A73745F" w14:textId="28F5CED2" w:rsidR="00C419BA" w:rsidRPr="00E75481" w:rsidRDefault="00C419BA" w:rsidP="00867179">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2451B975" w14:textId="790C0C7A"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6E4490BF" w14:textId="5E479B61"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Pr>
          <w:p w14:paraId="026BC19A" w14:textId="24F337BD" w:rsidR="00C419BA" w:rsidRPr="00E75481" w:rsidDel="006F6E7C" w:rsidRDefault="00C419BA" w:rsidP="00024B10">
            <w:pPr>
              <w:pStyle w:val="TableFiguresBrackets"/>
              <w:ind w:left="-139" w:right="0"/>
              <w:rPr>
                <w:rFonts w:ascii="IBM Plex Sans Light" w:hAnsi="IBM Plex Sans Light"/>
                <w:spacing w:val="-4"/>
                <w:sz w:val="15"/>
                <w:szCs w:val="15"/>
              </w:rPr>
            </w:pPr>
            <w:r w:rsidRPr="00E75481">
              <w:rPr>
                <w:rFonts w:ascii="IBM Plex Sans Light" w:hAnsi="IBM Plex Sans Light"/>
                <w:spacing w:val="-4"/>
                <w:sz w:val="15"/>
                <w:szCs w:val="15"/>
              </w:rPr>
              <w:t>(103.4)</w:t>
            </w:r>
          </w:p>
        </w:tc>
        <w:tc>
          <w:tcPr>
            <w:tcW w:w="680" w:type="dxa"/>
            <w:tcMar>
              <w:left w:w="0" w:type="dxa"/>
              <w:right w:w="0" w:type="dxa"/>
            </w:tcMar>
          </w:tcPr>
          <w:p w14:paraId="5771E805" w14:textId="2B998B73" w:rsidR="00C419BA" w:rsidRPr="00E75481" w:rsidRDefault="00C419BA" w:rsidP="00867179">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w:t>
            </w:r>
          </w:p>
        </w:tc>
        <w:tc>
          <w:tcPr>
            <w:tcW w:w="850" w:type="dxa"/>
            <w:tcBorders>
              <w:right w:val="single" w:sz="4" w:space="0" w:color="3D7FE0" w:themeColor="accent1"/>
            </w:tcBorders>
            <w:tcMar>
              <w:left w:w="0" w:type="dxa"/>
              <w:right w:w="0" w:type="dxa"/>
            </w:tcMar>
          </w:tcPr>
          <w:p w14:paraId="47DEF2BD" w14:textId="34C84C54" w:rsidR="00C419BA" w:rsidRPr="00C323D2" w:rsidRDefault="00C419BA" w:rsidP="00867179">
            <w:pPr>
              <w:pStyle w:val="TableFigures"/>
              <w:rPr>
                <w:rFonts w:ascii="IBM Plex Sans Light" w:hAnsi="IBM Plex Sans Light"/>
                <w:spacing w:val="-4"/>
                <w:sz w:val="15"/>
                <w:szCs w:val="15"/>
              </w:rPr>
            </w:pPr>
            <w:r w:rsidRPr="00024B10">
              <w:rPr>
                <w:rFonts w:ascii="IBM Plex Sans Light" w:hAnsi="IBM Plex Sans Light"/>
                <w:color w:val="1B3E92"/>
                <w:w w:val="117"/>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4F131E37" w14:textId="3B10A201"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(103.4)</w:t>
            </w:r>
          </w:p>
        </w:tc>
        <w:tc>
          <w:tcPr>
            <w:tcW w:w="794" w:type="dxa"/>
            <w:tcBorders>
              <w:left w:val="single" w:sz="4" w:space="0" w:color="3D7FE0" w:themeColor="accent1"/>
            </w:tcBorders>
            <w:tcMar>
              <w:left w:w="0" w:type="dxa"/>
              <w:right w:w="0" w:type="dxa"/>
            </w:tcMar>
            <w:vAlign w:val="bottom"/>
          </w:tcPr>
          <w:p w14:paraId="2B7B10DA" w14:textId="6476535E"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vAlign w:val="bottom"/>
          </w:tcPr>
          <w:p w14:paraId="2B42521D" w14:textId="7B4D44A6"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(103.4)</w:t>
            </w:r>
          </w:p>
        </w:tc>
      </w:tr>
      <w:tr w:rsidR="00C419BA" w:rsidRPr="00895810" w14:paraId="148AF902" w14:textId="77777777" w:rsidTr="00024B10">
        <w:trPr>
          <w:cantSplit/>
        </w:trPr>
        <w:tc>
          <w:tcPr>
            <w:tcW w:w="2835" w:type="dxa"/>
            <w:tcMar>
              <w:left w:w="0" w:type="dxa"/>
              <w:right w:w="0" w:type="dxa"/>
            </w:tcMar>
            <w:vAlign w:val="bottom"/>
          </w:tcPr>
          <w:p w14:paraId="2779E7D4" w14:textId="21DBA08F" w:rsidR="00C419BA" w:rsidRPr="00895810" w:rsidRDefault="00C419BA" w:rsidP="00867179">
            <w:pPr>
              <w:pStyle w:val="TableFiguresBrackets"/>
              <w:jc w:val="left"/>
              <w:rPr>
                <w:rFonts w:ascii="IBM Plex Sans Light" w:hAnsi="IBM Plex Sans Light"/>
                <w:spacing w:val="-4"/>
                <w:szCs w:val="16"/>
              </w:rPr>
            </w:pPr>
            <w:r>
              <w:rPr>
                <w:rFonts w:ascii="IBM Plex Sans Light" w:hAnsi="IBM Plex Sans Light"/>
                <w:spacing w:val="-4"/>
                <w:szCs w:val="16"/>
              </w:rPr>
              <w:t>Gain</w:t>
            </w:r>
            <w:r w:rsidRPr="00895810">
              <w:rPr>
                <w:rFonts w:ascii="IBM Plex Sans Light" w:hAnsi="IBM Plex Sans Light"/>
                <w:spacing w:val="-4"/>
                <w:szCs w:val="16"/>
              </w:rPr>
              <w:t xml:space="preserve"> on cash flow hedge</w:t>
            </w:r>
          </w:p>
        </w:tc>
        <w:tc>
          <w:tcPr>
            <w:tcW w:w="539" w:type="dxa"/>
            <w:tcMar>
              <w:left w:w="0" w:type="dxa"/>
              <w:right w:w="0" w:type="dxa"/>
            </w:tcMar>
            <w:vAlign w:val="bottom"/>
          </w:tcPr>
          <w:p w14:paraId="6E4CA86E" w14:textId="2A693748"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0DE67A0D" w14:textId="217AA1D8" w:rsidR="00C419BA" w:rsidRPr="00E75481" w:rsidRDefault="00C419BA" w:rsidP="00867179">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35997C9D" w14:textId="789FA964"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5C4E550C" w14:textId="20325DF0"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Pr>
          <w:p w14:paraId="424A9265" w14:textId="0823D6FD" w:rsidR="00C419BA" w:rsidRPr="00E75481" w:rsidDel="006F6E7C" w:rsidRDefault="00C419BA" w:rsidP="00024B10">
            <w:pPr>
              <w:pStyle w:val="TableFigures"/>
              <w:ind w:left="-138" w:right="0"/>
              <w:rPr>
                <w:rFonts w:ascii="IBM Plex Sans Light" w:hAnsi="IBM Plex Sans Light"/>
                <w:spacing w:val="-4"/>
                <w:sz w:val="15"/>
                <w:szCs w:val="15"/>
              </w:rPr>
            </w:pPr>
            <w:r w:rsidRPr="00E75481">
              <w:rPr>
                <w:rFonts w:ascii="IBM Plex Sans Light" w:hAnsi="IBM Plex Sans Light"/>
                <w:spacing w:val="-4"/>
                <w:sz w:val="15"/>
                <w:szCs w:val="15"/>
              </w:rPr>
              <w:t>6.3</w:t>
            </w:r>
          </w:p>
        </w:tc>
        <w:tc>
          <w:tcPr>
            <w:tcW w:w="680" w:type="dxa"/>
            <w:tcMar>
              <w:left w:w="0" w:type="dxa"/>
              <w:right w:w="0" w:type="dxa"/>
            </w:tcMar>
          </w:tcPr>
          <w:p w14:paraId="4421882C" w14:textId="61FB4B20" w:rsidR="00C419BA" w:rsidRPr="00E75481" w:rsidRDefault="00C419BA" w:rsidP="00867179">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w:t>
            </w:r>
          </w:p>
        </w:tc>
        <w:tc>
          <w:tcPr>
            <w:tcW w:w="850" w:type="dxa"/>
            <w:tcBorders>
              <w:right w:val="single" w:sz="4" w:space="0" w:color="3D7FE0" w:themeColor="accent1"/>
            </w:tcBorders>
            <w:tcMar>
              <w:left w:w="0" w:type="dxa"/>
              <w:right w:w="0" w:type="dxa"/>
            </w:tcMar>
          </w:tcPr>
          <w:p w14:paraId="5571DF84" w14:textId="007DF2B4" w:rsidR="00C419BA" w:rsidRPr="00C323D2" w:rsidRDefault="00C419BA" w:rsidP="00867179">
            <w:pPr>
              <w:pStyle w:val="TableFigures"/>
              <w:rPr>
                <w:rFonts w:ascii="IBM Plex Sans Light" w:hAnsi="IBM Plex Sans Light"/>
                <w:spacing w:val="-4"/>
                <w:sz w:val="15"/>
                <w:szCs w:val="15"/>
              </w:rPr>
            </w:pPr>
            <w:r w:rsidRPr="00024B10">
              <w:rPr>
                <w:rFonts w:ascii="IBM Plex Sans Light" w:hAnsi="IBM Plex Sans Light"/>
                <w:color w:val="1B3E92"/>
                <w:w w:val="117"/>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0C98BB80" w14:textId="7AD4A254" w:rsidR="00C419BA" w:rsidRPr="00E75481" w:rsidRDefault="00C419BA" w:rsidP="003E6EA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6.3</w:t>
            </w:r>
          </w:p>
        </w:tc>
        <w:tc>
          <w:tcPr>
            <w:tcW w:w="794" w:type="dxa"/>
            <w:tcBorders>
              <w:left w:val="single" w:sz="4" w:space="0" w:color="3D7FE0" w:themeColor="accent1"/>
            </w:tcBorders>
            <w:tcMar>
              <w:left w:w="0" w:type="dxa"/>
              <w:right w:w="0" w:type="dxa"/>
            </w:tcMar>
            <w:vAlign w:val="bottom"/>
          </w:tcPr>
          <w:p w14:paraId="5A5DCA3B" w14:textId="666AC36A" w:rsidR="00C419BA" w:rsidRPr="00E75481" w:rsidRDefault="00C419BA" w:rsidP="00867179">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vAlign w:val="bottom"/>
          </w:tcPr>
          <w:p w14:paraId="5B242421" w14:textId="17EB820B" w:rsidR="00C419BA" w:rsidRPr="00E75481" w:rsidRDefault="00C419BA" w:rsidP="003E6EA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6.3</w:t>
            </w:r>
          </w:p>
        </w:tc>
      </w:tr>
      <w:tr w:rsidR="00C419BA" w:rsidRPr="00895810" w14:paraId="26CCDAAD" w14:textId="77777777" w:rsidTr="00024B10">
        <w:trPr>
          <w:cantSplit/>
          <w:trHeight w:val="453"/>
        </w:trPr>
        <w:tc>
          <w:tcPr>
            <w:tcW w:w="2835" w:type="dxa"/>
            <w:tcMar>
              <w:left w:w="0" w:type="dxa"/>
              <w:right w:w="0" w:type="dxa"/>
            </w:tcMar>
            <w:vAlign w:val="bottom"/>
          </w:tcPr>
          <w:p w14:paraId="5D879562" w14:textId="063E0512" w:rsidR="00C419BA" w:rsidRPr="00895810" w:rsidRDefault="00C419BA" w:rsidP="008909CD">
            <w:pPr>
              <w:pStyle w:val="TableFiguresBrackets"/>
              <w:ind w:left="142" w:hanging="142"/>
              <w:jc w:val="left"/>
              <w:rPr>
                <w:rFonts w:ascii="IBM Plex Sans Light" w:hAnsi="IBM Plex Sans Light"/>
                <w:spacing w:val="-4"/>
                <w:szCs w:val="16"/>
              </w:rPr>
            </w:pPr>
            <w:r>
              <w:rPr>
                <w:rFonts w:ascii="IBM Plex Sans Light" w:hAnsi="IBM Plex Sans Light"/>
                <w:spacing w:val="-4"/>
                <w:szCs w:val="16"/>
              </w:rPr>
              <w:lastRenderedPageBreak/>
              <w:t>Gain</w:t>
            </w:r>
            <w:r w:rsidRPr="00895810">
              <w:rPr>
                <w:rFonts w:ascii="IBM Plex Sans Light" w:hAnsi="IBM Plex Sans Light"/>
                <w:spacing w:val="-4"/>
                <w:szCs w:val="16"/>
              </w:rPr>
              <w:t xml:space="preserve"> on cash flow hedge recycled to net finance costs</w:t>
            </w:r>
          </w:p>
        </w:tc>
        <w:tc>
          <w:tcPr>
            <w:tcW w:w="539" w:type="dxa"/>
            <w:tcMar>
              <w:left w:w="0" w:type="dxa"/>
              <w:right w:w="0" w:type="dxa"/>
            </w:tcMar>
            <w:vAlign w:val="bottom"/>
          </w:tcPr>
          <w:p w14:paraId="403F67D3" w14:textId="28D79539" w:rsidR="00C419BA" w:rsidRPr="00E75481" w:rsidRDefault="00C419BA" w:rsidP="008909CD">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5B7ED5DA" w14:textId="71846BC5" w:rsidR="00C419BA" w:rsidRPr="00E75481" w:rsidRDefault="00C419BA" w:rsidP="008909CD">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255BE8B4" w14:textId="00274A06" w:rsidR="00C419BA" w:rsidRPr="00E75481" w:rsidRDefault="00C419BA" w:rsidP="008909CD">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51FB1828" w14:textId="7E4F798E" w:rsidR="00C419BA" w:rsidRPr="00E75481" w:rsidRDefault="00C419BA" w:rsidP="008909CD">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Pr>
          <w:p w14:paraId="0A44B5A0" w14:textId="77777777" w:rsidR="00C419BA" w:rsidRPr="00E75481" w:rsidRDefault="00C419BA" w:rsidP="00024B10">
            <w:pPr>
              <w:pStyle w:val="TableFiguresBrackets"/>
              <w:ind w:left="-139" w:right="0"/>
              <w:rPr>
                <w:rFonts w:ascii="IBM Plex Sans Light" w:hAnsi="IBM Plex Sans Light"/>
                <w:spacing w:val="-4"/>
                <w:sz w:val="15"/>
                <w:szCs w:val="15"/>
              </w:rPr>
            </w:pPr>
          </w:p>
          <w:p w14:paraId="15A11C39" w14:textId="70947476" w:rsidR="00C419BA" w:rsidRPr="00E75481" w:rsidDel="006F6E7C" w:rsidRDefault="00C419BA" w:rsidP="00024B10">
            <w:pPr>
              <w:pStyle w:val="TableFiguresBrackets"/>
              <w:ind w:left="-139" w:right="0"/>
              <w:rPr>
                <w:rFonts w:ascii="IBM Plex Sans Light" w:hAnsi="IBM Plex Sans Light"/>
                <w:spacing w:val="-4"/>
                <w:sz w:val="15"/>
                <w:szCs w:val="15"/>
              </w:rPr>
            </w:pPr>
            <w:r w:rsidRPr="00E75481">
              <w:rPr>
                <w:rFonts w:ascii="IBM Plex Sans Light" w:hAnsi="IBM Plex Sans Light"/>
                <w:spacing w:val="-4"/>
                <w:sz w:val="15"/>
                <w:szCs w:val="15"/>
              </w:rPr>
              <w:t>(8.2)</w:t>
            </w:r>
          </w:p>
        </w:tc>
        <w:tc>
          <w:tcPr>
            <w:tcW w:w="680" w:type="dxa"/>
            <w:tcMar>
              <w:left w:w="0" w:type="dxa"/>
              <w:right w:w="0" w:type="dxa"/>
            </w:tcMar>
          </w:tcPr>
          <w:p w14:paraId="285EDEC9" w14:textId="77777777" w:rsidR="00C419BA" w:rsidRPr="00E75481" w:rsidRDefault="00C419BA" w:rsidP="008909CD">
            <w:pPr>
              <w:pStyle w:val="TableFigures"/>
              <w:rPr>
                <w:rFonts w:ascii="IBM Plex Sans Light" w:hAnsi="IBM Plex Sans Light"/>
                <w:color w:val="auto"/>
                <w:spacing w:val="-4"/>
                <w:sz w:val="15"/>
                <w:szCs w:val="15"/>
              </w:rPr>
            </w:pPr>
          </w:p>
          <w:p w14:paraId="28DA9D69" w14:textId="6AA71F0B" w:rsidR="00C419BA" w:rsidRPr="00E75481" w:rsidRDefault="00C419BA" w:rsidP="008909CD">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w:t>
            </w:r>
          </w:p>
        </w:tc>
        <w:tc>
          <w:tcPr>
            <w:tcW w:w="850" w:type="dxa"/>
            <w:tcBorders>
              <w:right w:val="single" w:sz="4" w:space="0" w:color="3D7FE0" w:themeColor="accent1"/>
            </w:tcBorders>
            <w:tcMar>
              <w:left w:w="0" w:type="dxa"/>
              <w:right w:w="0" w:type="dxa"/>
            </w:tcMar>
          </w:tcPr>
          <w:p w14:paraId="3655CE1E" w14:textId="77777777" w:rsidR="00C419BA" w:rsidRPr="00024B10" w:rsidRDefault="00C419BA" w:rsidP="008909CD">
            <w:pPr>
              <w:pStyle w:val="TableFigures"/>
              <w:rPr>
                <w:rFonts w:ascii="IBM Plex Sans Light" w:hAnsi="IBM Plex Sans Light"/>
                <w:color w:val="1B3E92"/>
                <w:w w:val="117"/>
                <w:sz w:val="15"/>
                <w:szCs w:val="15"/>
              </w:rPr>
            </w:pPr>
          </w:p>
          <w:p w14:paraId="65D587AE" w14:textId="5A958D2D" w:rsidR="00C419BA" w:rsidRPr="00C323D2" w:rsidRDefault="00C419BA" w:rsidP="008909CD">
            <w:pPr>
              <w:pStyle w:val="TableFigures"/>
              <w:rPr>
                <w:rFonts w:ascii="IBM Plex Sans Light" w:hAnsi="IBM Plex Sans Light"/>
                <w:spacing w:val="-4"/>
                <w:sz w:val="15"/>
                <w:szCs w:val="15"/>
              </w:rPr>
            </w:pPr>
            <w:r w:rsidRPr="00024B10">
              <w:rPr>
                <w:rFonts w:ascii="IBM Plex Sans Light" w:hAnsi="IBM Plex Sans Light"/>
                <w:color w:val="1B3E92"/>
                <w:w w:val="117"/>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400DC0B8" w14:textId="77777777" w:rsidR="00C419BA" w:rsidRPr="00E75481" w:rsidRDefault="00C419BA" w:rsidP="003E6EAE">
            <w:pPr>
              <w:pStyle w:val="TableFiguresBrackets"/>
              <w:rPr>
                <w:rFonts w:ascii="IBM Plex Sans Light" w:hAnsi="IBM Plex Sans Light"/>
                <w:spacing w:val="-4"/>
                <w:sz w:val="15"/>
                <w:szCs w:val="15"/>
              </w:rPr>
            </w:pPr>
          </w:p>
          <w:p w14:paraId="4BC30370" w14:textId="08F87E31"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(8.2)</w:t>
            </w:r>
          </w:p>
        </w:tc>
        <w:tc>
          <w:tcPr>
            <w:tcW w:w="794" w:type="dxa"/>
            <w:tcBorders>
              <w:left w:val="single" w:sz="4" w:space="0" w:color="3D7FE0" w:themeColor="accent1"/>
            </w:tcBorders>
            <w:tcMar>
              <w:left w:w="0" w:type="dxa"/>
              <w:right w:w="0" w:type="dxa"/>
            </w:tcMar>
            <w:vAlign w:val="bottom"/>
          </w:tcPr>
          <w:p w14:paraId="1367C8BD" w14:textId="579D075F" w:rsidR="00C419BA" w:rsidRPr="00E75481" w:rsidRDefault="00C419BA" w:rsidP="008909CD">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vAlign w:val="bottom"/>
          </w:tcPr>
          <w:p w14:paraId="0F8CC777" w14:textId="059992E3"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(8.2)</w:t>
            </w:r>
          </w:p>
        </w:tc>
      </w:tr>
      <w:tr w:rsidR="00C419BA" w:rsidRPr="00895810" w14:paraId="3A164545" w14:textId="77777777" w:rsidTr="00024B10">
        <w:trPr>
          <w:cantSplit/>
        </w:trPr>
        <w:tc>
          <w:tcPr>
            <w:tcW w:w="2835" w:type="dxa"/>
            <w:tcMar>
              <w:left w:w="0" w:type="dxa"/>
              <w:right w:w="0" w:type="dxa"/>
            </w:tcMar>
            <w:vAlign w:val="bottom"/>
          </w:tcPr>
          <w:p w14:paraId="43447844" w14:textId="460AEA00" w:rsidR="00C419BA" w:rsidRPr="00895810" w:rsidRDefault="00C419BA" w:rsidP="00567DAA">
            <w:pPr>
              <w:pStyle w:val="TableFiguresBrackets"/>
              <w:ind w:left="142" w:hanging="142"/>
              <w:jc w:val="left"/>
              <w:rPr>
                <w:rFonts w:ascii="IBM Plex Sans Light" w:hAnsi="IBM Plex Sans Light"/>
                <w:spacing w:val="-4"/>
                <w:szCs w:val="16"/>
              </w:rPr>
            </w:pPr>
            <w:r w:rsidRPr="00895810">
              <w:rPr>
                <w:rFonts w:ascii="IBM Plex Sans Light" w:hAnsi="IBM Plex Sans Light"/>
                <w:spacing w:val="-4"/>
                <w:szCs w:val="16"/>
              </w:rPr>
              <w:t xml:space="preserve">Share of other comprehensive gain of associates </w:t>
            </w:r>
            <w:r>
              <w:rPr>
                <w:rFonts w:ascii="IBM Plex Sans Light" w:hAnsi="IBM Plex Sans Light"/>
                <w:spacing w:val="-4"/>
                <w:szCs w:val="16"/>
              </w:rPr>
              <w:t>(see note 13D)</w:t>
            </w:r>
          </w:p>
        </w:tc>
        <w:tc>
          <w:tcPr>
            <w:tcW w:w="539" w:type="dxa"/>
            <w:tcMar>
              <w:left w:w="0" w:type="dxa"/>
              <w:right w:w="0" w:type="dxa"/>
            </w:tcMar>
            <w:vAlign w:val="bottom"/>
          </w:tcPr>
          <w:p w14:paraId="4339C176" w14:textId="3E30B788" w:rsidR="00C419BA" w:rsidRPr="00E75481" w:rsidRDefault="00C419BA" w:rsidP="00567DAA">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19BFA81B" w14:textId="6DFDA516" w:rsidR="00C419BA" w:rsidRPr="00E75481" w:rsidRDefault="00C419BA" w:rsidP="00567DAA">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7E7C857C" w14:textId="10996E74" w:rsidR="00C419BA" w:rsidRPr="00E75481" w:rsidRDefault="00C419BA" w:rsidP="00567DAA">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0A19E6A1" w14:textId="692F2444" w:rsidR="00C419BA" w:rsidRPr="00E75481" w:rsidRDefault="00C419BA" w:rsidP="00567DAA">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4C92F4C9" w14:textId="3ABD48A1" w:rsidR="00C419BA" w:rsidRPr="00E75481"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1EB15647" w14:textId="5732C7C3" w:rsidR="00C419BA" w:rsidRPr="00E75481" w:rsidRDefault="00C419BA" w:rsidP="00567DAA">
            <w:pPr>
              <w:pStyle w:val="TableFigures"/>
              <w:rPr>
                <w:rFonts w:ascii="IBM Plex Sans Light" w:hAnsi="IBM Plex Sans Light"/>
                <w:spacing w:val="-4"/>
                <w:sz w:val="15"/>
                <w:szCs w:val="15"/>
              </w:rPr>
            </w:pPr>
            <w:r w:rsidRPr="00E75481">
              <w:rPr>
                <w:rFonts w:ascii="IBM Plex Sans Light" w:hAnsi="IBM Plex Sans Light"/>
                <w:color w:val="auto"/>
                <w:spacing w:val="-4"/>
                <w:sz w:val="15"/>
                <w:szCs w:val="15"/>
              </w:rPr>
              <w:t>23.3</w:t>
            </w:r>
          </w:p>
        </w:tc>
        <w:tc>
          <w:tcPr>
            <w:tcW w:w="850" w:type="dxa"/>
            <w:tcBorders>
              <w:right w:val="single" w:sz="4" w:space="0" w:color="3D7FE0" w:themeColor="accent1"/>
            </w:tcBorders>
            <w:tcMar>
              <w:left w:w="0" w:type="dxa"/>
              <w:right w:w="0" w:type="dxa"/>
            </w:tcMar>
            <w:vAlign w:val="bottom"/>
          </w:tcPr>
          <w:p w14:paraId="1447A695" w14:textId="705B0C1B" w:rsidR="00C419BA" w:rsidRPr="00C323D2" w:rsidRDefault="00C419BA" w:rsidP="00567DAA">
            <w:pPr>
              <w:pStyle w:val="TableFigures"/>
              <w:rPr>
                <w:rFonts w:ascii="IBM Plex Sans Light" w:hAnsi="IBM Plex Sans Light"/>
                <w:spacing w:val="-4"/>
                <w:sz w:val="15"/>
                <w:szCs w:val="15"/>
              </w:rPr>
            </w:pPr>
            <w:r w:rsidRPr="00C323D2" w:rsidDel="006F6E7C">
              <w:rPr>
                <w:rFonts w:ascii="IBM Plex Sans Light" w:hAnsi="IBM Plex Sans Light"/>
                <w:color w:val="auto"/>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vAlign w:val="bottom"/>
          </w:tcPr>
          <w:p w14:paraId="1BCE4BDE" w14:textId="5BCC1183" w:rsidR="00C419BA" w:rsidRPr="00E75481" w:rsidRDefault="00C419BA" w:rsidP="00567DAA">
            <w:pPr>
              <w:pStyle w:val="TableFigures"/>
              <w:rPr>
                <w:rFonts w:ascii="IBM Plex Sans Light" w:hAnsi="IBM Plex Sans Light"/>
                <w:spacing w:val="-4"/>
                <w:sz w:val="15"/>
                <w:szCs w:val="15"/>
              </w:rPr>
            </w:pPr>
            <w:r w:rsidRPr="00E75481">
              <w:rPr>
                <w:rFonts w:ascii="IBM Plex Sans Light" w:hAnsi="IBM Plex Sans Light"/>
                <w:color w:val="auto"/>
                <w:spacing w:val="-4"/>
                <w:sz w:val="15"/>
                <w:szCs w:val="15"/>
              </w:rPr>
              <w:t>23.3</w:t>
            </w:r>
          </w:p>
        </w:tc>
        <w:tc>
          <w:tcPr>
            <w:tcW w:w="794" w:type="dxa"/>
            <w:tcBorders>
              <w:left w:val="single" w:sz="4" w:space="0" w:color="3D7FE0" w:themeColor="accent1"/>
            </w:tcBorders>
            <w:tcMar>
              <w:left w:w="0" w:type="dxa"/>
              <w:right w:w="0" w:type="dxa"/>
            </w:tcMar>
            <w:vAlign w:val="bottom"/>
          </w:tcPr>
          <w:p w14:paraId="54413DCB" w14:textId="20B867F5" w:rsidR="00C419BA" w:rsidRPr="00E75481" w:rsidRDefault="00C419BA" w:rsidP="00567DAA">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vAlign w:val="bottom"/>
          </w:tcPr>
          <w:p w14:paraId="65EC6CC9" w14:textId="2431944F" w:rsidR="00C419BA" w:rsidRPr="00E75481" w:rsidRDefault="00C419BA" w:rsidP="00567DAA">
            <w:pPr>
              <w:pStyle w:val="TableFigures"/>
              <w:rPr>
                <w:rFonts w:ascii="IBM Plex Sans Light" w:hAnsi="IBM Plex Sans Light"/>
                <w:spacing w:val="-4"/>
                <w:sz w:val="15"/>
                <w:szCs w:val="15"/>
              </w:rPr>
            </w:pPr>
            <w:r w:rsidRPr="00E75481">
              <w:rPr>
                <w:rFonts w:ascii="IBM Plex Sans Light" w:hAnsi="IBM Plex Sans Light"/>
                <w:color w:val="auto"/>
                <w:spacing w:val="-4"/>
                <w:sz w:val="15"/>
                <w:szCs w:val="15"/>
              </w:rPr>
              <w:t>23.3</w:t>
            </w:r>
          </w:p>
        </w:tc>
      </w:tr>
      <w:tr w:rsidR="00C419BA" w:rsidRPr="00895810" w14:paraId="2C9D96F1" w14:textId="77777777" w:rsidTr="00024B10">
        <w:trPr>
          <w:cantSplit/>
        </w:trPr>
        <w:tc>
          <w:tcPr>
            <w:tcW w:w="2835" w:type="dxa"/>
            <w:tcMar>
              <w:left w:w="0" w:type="dxa"/>
              <w:right w:w="0" w:type="dxa"/>
            </w:tcMar>
            <w:vAlign w:val="bottom"/>
          </w:tcPr>
          <w:p w14:paraId="34402043" w14:textId="031FB653" w:rsidR="00C419BA" w:rsidRPr="00895810" w:rsidRDefault="00C419BA" w:rsidP="003E6EAE">
            <w:pPr>
              <w:pStyle w:val="TableFiguresBrackets"/>
              <w:jc w:val="left"/>
              <w:rPr>
                <w:rFonts w:ascii="IBM Plex Sans Light" w:hAnsi="IBM Plex Sans Light"/>
                <w:spacing w:val="-4"/>
                <w:szCs w:val="16"/>
              </w:rPr>
            </w:pPr>
            <w:r w:rsidRPr="00895810">
              <w:rPr>
                <w:rFonts w:ascii="IBM Plex Sans Light" w:hAnsi="IBM Plex Sans Light"/>
                <w:spacing w:val="-4"/>
                <w:szCs w:val="16"/>
              </w:rPr>
              <w:t xml:space="preserve">Net actuarial </w:t>
            </w:r>
            <w:r>
              <w:rPr>
                <w:rFonts w:ascii="IBM Plex Sans Light" w:hAnsi="IBM Plex Sans Light"/>
                <w:spacing w:val="-4"/>
                <w:szCs w:val="16"/>
              </w:rPr>
              <w:t>losses</w:t>
            </w:r>
            <w:r w:rsidRPr="00895810">
              <w:rPr>
                <w:rFonts w:ascii="IBM Plex Sans Light" w:hAnsi="IBM Plex Sans Light"/>
                <w:spacing w:val="-4"/>
                <w:szCs w:val="16"/>
              </w:rPr>
              <w:t xml:space="preserve"> on pension schemes</w:t>
            </w:r>
          </w:p>
        </w:tc>
        <w:tc>
          <w:tcPr>
            <w:tcW w:w="539" w:type="dxa"/>
            <w:tcMar>
              <w:left w:w="0" w:type="dxa"/>
              <w:right w:w="0" w:type="dxa"/>
            </w:tcMar>
            <w:vAlign w:val="bottom"/>
          </w:tcPr>
          <w:p w14:paraId="1427A20D" w14:textId="5D78F865"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4F809900" w14:textId="04DE2518"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5A76C5BA" w14:textId="499C7D7E"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198C47B7" w14:textId="13871F12"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123B8440" w14:textId="63BF921C" w:rsidR="00C419BA" w:rsidRPr="00E75481"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tcPr>
          <w:p w14:paraId="35A7F479" w14:textId="7F2CF45B"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(26.7)</w:t>
            </w:r>
          </w:p>
        </w:tc>
        <w:tc>
          <w:tcPr>
            <w:tcW w:w="850" w:type="dxa"/>
            <w:tcBorders>
              <w:right w:val="single" w:sz="4" w:space="0" w:color="3D7FE0" w:themeColor="accent1"/>
            </w:tcBorders>
            <w:tcMar>
              <w:left w:w="0" w:type="dxa"/>
              <w:right w:w="0" w:type="dxa"/>
            </w:tcMar>
            <w:vAlign w:val="bottom"/>
          </w:tcPr>
          <w:p w14:paraId="075A9A41" w14:textId="2BB7016A" w:rsidR="00C419BA" w:rsidRPr="00C323D2" w:rsidRDefault="00C419BA" w:rsidP="003E6EAE">
            <w:pPr>
              <w:pStyle w:val="TableFigures"/>
              <w:rPr>
                <w:rFonts w:ascii="IBM Plex Sans Light" w:hAnsi="IBM Plex Sans Light"/>
                <w:spacing w:val="-4"/>
                <w:sz w:val="15"/>
                <w:szCs w:val="15"/>
              </w:rPr>
            </w:pPr>
            <w:r w:rsidRPr="00C323D2" w:rsidDel="006F6E7C">
              <w:rPr>
                <w:rFonts w:ascii="IBM Plex Sans Light" w:hAnsi="IBM Plex Sans Light"/>
                <w:color w:val="auto"/>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39DC705A" w14:textId="3EC8C4E7"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(26.7)</w:t>
            </w:r>
          </w:p>
        </w:tc>
        <w:tc>
          <w:tcPr>
            <w:tcW w:w="794" w:type="dxa"/>
            <w:tcBorders>
              <w:left w:val="single" w:sz="4" w:space="0" w:color="3D7FE0" w:themeColor="accent1"/>
            </w:tcBorders>
            <w:tcMar>
              <w:left w:w="0" w:type="dxa"/>
              <w:right w:w="0" w:type="dxa"/>
            </w:tcMar>
            <w:vAlign w:val="bottom"/>
          </w:tcPr>
          <w:p w14:paraId="58CF0423" w14:textId="72C0993B"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tcPr>
          <w:p w14:paraId="18DE8B95" w14:textId="0CF214C0"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(26.7)</w:t>
            </w:r>
          </w:p>
        </w:tc>
      </w:tr>
      <w:tr w:rsidR="00C419BA" w:rsidRPr="00895810" w14:paraId="4F91D6BD" w14:textId="77777777" w:rsidTr="00024B10">
        <w:trPr>
          <w:cantSplit/>
        </w:trPr>
        <w:tc>
          <w:tcPr>
            <w:tcW w:w="2835" w:type="dxa"/>
            <w:tcBorders>
              <w:bottom w:val="single" w:sz="2" w:space="0" w:color="3D7FE0" w:themeColor="accent1"/>
            </w:tcBorders>
            <w:tcMar>
              <w:left w:w="0" w:type="dxa"/>
              <w:right w:w="0" w:type="dxa"/>
            </w:tcMar>
            <w:vAlign w:val="bottom"/>
          </w:tcPr>
          <w:p w14:paraId="27D14732" w14:textId="2868E76D" w:rsidR="00C419BA" w:rsidRPr="00895810" w:rsidRDefault="00C419BA" w:rsidP="003E6EAE">
            <w:pPr>
              <w:pStyle w:val="TableFiguresBrackets"/>
              <w:jc w:val="left"/>
              <w:rPr>
                <w:rFonts w:ascii="IBM Plex Sans Light" w:hAnsi="IBM Plex Sans Light"/>
                <w:spacing w:val="-4"/>
                <w:szCs w:val="16"/>
              </w:rPr>
            </w:pPr>
            <w:r w:rsidRPr="00895810">
              <w:rPr>
                <w:rFonts w:ascii="IBM Plex Sans Light" w:hAnsi="IBM Plex Sans Light"/>
                <w:spacing w:val="-4"/>
                <w:szCs w:val="16"/>
              </w:rPr>
              <w:t>Loss for the year</w:t>
            </w:r>
          </w:p>
        </w:tc>
        <w:tc>
          <w:tcPr>
            <w:tcW w:w="539" w:type="dxa"/>
            <w:tcBorders>
              <w:bottom w:val="single" w:sz="2" w:space="0" w:color="3D7FE0" w:themeColor="accent1"/>
            </w:tcBorders>
            <w:tcMar>
              <w:left w:w="0" w:type="dxa"/>
              <w:right w:w="0" w:type="dxa"/>
            </w:tcMar>
            <w:vAlign w:val="bottom"/>
          </w:tcPr>
          <w:p w14:paraId="3159F046" w14:textId="61C36BA9"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tcBorders>
              <w:bottom w:val="single" w:sz="2" w:space="0" w:color="3D7FE0" w:themeColor="accent1"/>
            </w:tcBorders>
            <w:vAlign w:val="bottom"/>
          </w:tcPr>
          <w:p w14:paraId="626377C2" w14:textId="21061CB8"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Borders>
              <w:bottom w:val="single" w:sz="2" w:space="0" w:color="3D7FE0" w:themeColor="accent1"/>
            </w:tcBorders>
            <w:tcMar>
              <w:left w:w="0" w:type="dxa"/>
              <w:right w:w="0" w:type="dxa"/>
            </w:tcMar>
            <w:vAlign w:val="bottom"/>
          </w:tcPr>
          <w:p w14:paraId="2B6313AF" w14:textId="4BE373EE"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Borders>
              <w:bottom w:val="single" w:sz="2" w:space="0" w:color="3D7FE0" w:themeColor="accent1"/>
            </w:tcBorders>
            <w:tcMar>
              <w:left w:w="0" w:type="dxa"/>
              <w:right w:w="0" w:type="dxa"/>
            </w:tcMar>
            <w:vAlign w:val="bottom"/>
          </w:tcPr>
          <w:p w14:paraId="12F6EDFA" w14:textId="6FE34561"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Borders>
              <w:bottom w:val="single" w:sz="2" w:space="0" w:color="3D7FE0" w:themeColor="accent1"/>
            </w:tcBorders>
          </w:tcPr>
          <w:p w14:paraId="5809AB5A" w14:textId="45F6732A" w:rsidR="00C419BA" w:rsidRPr="00E75481" w:rsidRDefault="00C419BA" w:rsidP="00024B10">
            <w:pPr>
              <w:pStyle w:val="TableFigures"/>
              <w:ind w:left="-138" w:right="0"/>
              <w:rPr>
                <w:rFonts w:ascii="IBM Plex Sans Light" w:hAnsi="IBM Plex Sans Light"/>
                <w:spacing w:val="-4"/>
                <w:sz w:val="15"/>
                <w:szCs w:val="15"/>
              </w:rPr>
            </w:pPr>
            <w:r w:rsidRPr="00E75481">
              <w:rPr>
                <w:rFonts w:ascii="IBM Plex Sans Light" w:hAnsi="IBM Plex Sans Light"/>
                <w:spacing w:val="-4"/>
                <w:sz w:val="15"/>
                <w:szCs w:val="15"/>
              </w:rPr>
              <w:t>–</w:t>
            </w:r>
          </w:p>
        </w:tc>
        <w:tc>
          <w:tcPr>
            <w:tcW w:w="680" w:type="dxa"/>
            <w:tcBorders>
              <w:bottom w:val="single" w:sz="2" w:space="0" w:color="3D7FE0" w:themeColor="accent1"/>
            </w:tcBorders>
            <w:tcMar>
              <w:left w:w="0" w:type="dxa"/>
              <w:right w:w="0" w:type="dxa"/>
            </w:tcMar>
          </w:tcPr>
          <w:p w14:paraId="26145BA6" w14:textId="5E12EE79"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(164.2)</w:t>
            </w:r>
          </w:p>
        </w:tc>
        <w:tc>
          <w:tcPr>
            <w:tcW w:w="850" w:type="dxa"/>
            <w:tcBorders>
              <w:bottom w:val="single" w:sz="2" w:space="0" w:color="3D7FE0" w:themeColor="accent1"/>
              <w:right w:val="single" w:sz="4" w:space="0" w:color="3D7FE0" w:themeColor="accent1"/>
            </w:tcBorders>
            <w:tcMar>
              <w:left w:w="0" w:type="dxa"/>
              <w:right w:w="0" w:type="dxa"/>
            </w:tcMar>
          </w:tcPr>
          <w:p w14:paraId="760CC23F" w14:textId="4A8599BB" w:rsidR="00C419BA" w:rsidRPr="00C323D2" w:rsidRDefault="00C419BA" w:rsidP="003E6EAE">
            <w:pPr>
              <w:pStyle w:val="TableFigures"/>
              <w:rPr>
                <w:rFonts w:ascii="IBM Plex Sans Light" w:hAnsi="IBM Plex Sans Light"/>
                <w:spacing w:val="-4"/>
                <w:sz w:val="15"/>
                <w:szCs w:val="15"/>
              </w:rPr>
            </w:pPr>
            <w:r w:rsidRPr="00024B10">
              <w:rPr>
                <w:rFonts w:ascii="IBM Plex Sans Light" w:hAnsi="IBM Plex Sans Light"/>
                <w:color w:val="1B3E92"/>
                <w:w w:val="117"/>
                <w:sz w:val="15"/>
                <w:szCs w:val="15"/>
              </w:rPr>
              <w:t>–</w:t>
            </w:r>
          </w:p>
        </w:tc>
        <w:tc>
          <w:tcPr>
            <w:tcW w:w="907" w:type="dxa"/>
            <w:tcBorders>
              <w:left w:val="single" w:sz="4" w:space="0" w:color="3D7FE0" w:themeColor="accent1"/>
              <w:bottom w:val="single" w:sz="2" w:space="0" w:color="3D7FE0" w:themeColor="accent1"/>
              <w:right w:val="single" w:sz="4" w:space="0" w:color="3D7FE0" w:themeColor="accent1"/>
            </w:tcBorders>
            <w:tcMar>
              <w:left w:w="0" w:type="dxa"/>
              <w:right w:w="0" w:type="dxa"/>
            </w:tcMar>
          </w:tcPr>
          <w:p w14:paraId="6284EE02" w14:textId="46512FB1"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(164.2)</w:t>
            </w:r>
          </w:p>
        </w:tc>
        <w:tc>
          <w:tcPr>
            <w:tcW w:w="794" w:type="dxa"/>
            <w:tcBorders>
              <w:left w:val="single" w:sz="4" w:space="0" w:color="3D7FE0" w:themeColor="accent1"/>
              <w:bottom w:val="single" w:sz="2" w:space="0" w:color="3D7FE0" w:themeColor="accent1"/>
            </w:tcBorders>
            <w:tcMar>
              <w:left w:w="0" w:type="dxa"/>
              <w:right w:w="0" w:type="dxa"/>
            </w:tcMar>
            <w:vAlign w:val="bottom"/>
          </w:tcPr>
          <w:p w14:paraId="20ABBE23" w14:textId="290D506B"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Borders>
              <w:bottom w:val="single" w:sz="2" w:space="0" w:color="3D7FE0" w:themeColor="accent1"/>
            </w:tcBorders>
            <w:tcMar>
              <w:left w:w="0" w:type="dxa"/>
              <w:right w:w="0" w:type="dxa"/>
            </w:tcMar>
          </w:tcPr>
          <w:p w14:paraId="77A9FE68" w14:textId="704B47BB"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(164.2)</w:t>
            </w:r>
          </w:p>
        </w:tc>
      </w:tr>
      <w:tr w:rsidR="00C419BA" w:rsidRPr="00895810" w14:paraId="1FB7C8A2" w14:textId="77777777" w:rsidTr="00024B10">
        <w:trPr>
          <w:cantSplit/>
        </w:trPr>
        <w:tc>
          <w:tcPr>
            <w:tcW w:w="2835" w:type="dxa"/>
            <w:tcBorders>
              <w:top w:val="single" w:sz="2" w:space="0" w:color="3D7FE0" w:themeColor="accent1"/>
            </w:tcBorders>
            <w:tcMar>
              <w:left w:w="0" w:type="dxa"/>
              <w:right w:w="0" w:type="dxa"/>
            </w:tcMar>
            <w:vAlign w:val="bottom"/>
          </w:tcPr>
          <w:p w14:paraId="3E3CD14B" w14:textId="72A23AF5" w:rsidR="00C419BA" w:rsidRPr="00895810" w:rsidRDefault="00C419BA" w:rsidP="003E6EAE">
            <w:pPr>
              <w:pStyle w:val="TableFiguresBrackets"/>
              <w:jc w:val="left"/>
              <w:rPr>
                <w:rFonts w:ascii="IBM Plex Sans Light" w:hAnsi="IBM Plex Sans Light"/>
                <w:b/>
                <w:bCs/>
                <w:spacing w:val="-4"/>
                <w:szCs w:val="16"/>
              </w:rPr>
            </w:pPr>
            <w:r w:rsidRPr="00024B10">
              <w:rPr>
                <w:rFonts w:ascii="IBM Plex Sans Medium" w:hAnsi="IBM Plex Sans Medium"/>
                <w:b/>
                <w:bCs/>
                <w:spacing w:val="-4"/>
                <w:szCs w:val="16"/>
              </w:rPr>
              <w:t>Total comprehensive</w:t>
            </w:r>
            <w:r>
              <w:rPr>
                <w:rFonts w:ascii="IBM Plex Sans Medium" w:hAnsi="IBM Plex Sans Medium"/>
                <w:b/>
                <w:bCs/>
                <w:spacing w:val="-4"/>
                <w:szCs w:val="16"/>
              </w:rPr>
              <w:t xml:space="preserve"> income/(</w:t>
            </w:r>
            <w:r w:rsidRPr="00024B10">
              <w:rPr>
                <w:rFonts w:ascii="IBM Plex Sans Medium" w:hAnsi="IBM Plex Sans Medium"/>
                <w:b/>
                <w:bCs/>
                <w:spacing w:val="-4"/>
                <w:szCs w:val="16"/>
              </w:rPr>
              <w:t>loss</w:t>
            </w:r>
            <w:r>
              <w:rPr>
                <w:rFonts w:ascii="IBM Plex Sans Medium" w:hAnsi="IBM Plex Sans Medium"/>
                <w:b/>
                <w:bCs/>
                <w:spacing w:val="-4"/>
                <w:szCs w:val="16"/>
              </w:rPr>
              <w:t>)</w:t>
            </w:r>
          </w:p>
        </w:tc>
        <w:tc>
          <w:tcPr>
            <w:tcW w:w="539" w:type="dxa"/>
            <w:tcBorders>
              <w:top w:val="single" w:sz="2" w:space="0" w:color="3D7FE0" w:themeColor="accent1"/>
            </w:tcBorders>
            <w:tcMar>
              <w:left w:w="0" w:type="dxa"/>
              <w:right w:w="0" w:type="dxa"/>
            </w:tcMar>
            <w:vAlign w:val="bottom"/>
          </w:tcPr>
          <w:p w14:paraId="3B4A1A84" w14:textId="2903A199" w:rsidR="00C419BA" w:rsidRPr="00E75481" w:rsidRDefault="00C419BA" w:rsidP="003E6EAE">
            <w:pPr>
              <w:pStyle w:val="TableFigures"/>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879" w:type="dxa"/>
            <w:tcBorders>
              <w:top w:val="single" w:sz="2" w:space="0" w:color="3D7FE0" w:themeColor="accent1"/>
            </w:tcBorders>
            <w:vAlign w:val="bottom"/>
          </w:tcPr>
          <w:p w14:paraId="24E80A94" w14:textId="0B5B410E"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Borders>
              <w:top w:val="single" w:sz="2" w:space="0" w:color="3D7FE0" w:themeColor="accent1"/>
            </w:tcBorders>
            <w:tcMar>
              <w:left w:w="0" w:type="dxa"/>
              <w:right w:w="0" w:type="dxa"/>
            </w:tcMar>
            <w:vAlign w:val="bottom"/>
          </w:tcPr>
          <w:p w14:paraId="664915B5" w14:textId="46DB5ABA" w:rsidR="00C419BA" w:rsidRPr="00E75481" w:rsidRDefault="00C419BA" w:rsidP="003E6EAE">
            <w:pPr>
              <w:pStyle w:val="TableFigures"/>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823" w:type="dxa"/>
            <w:tcBorders>
              <w:top w:val="single" w:sz="2" w:space="0" w:color="3D7FE0" w:themeColor="accent1"/>
            </w:tcBorders>
            <w:tcMar>
              <w:left w:w="0" w:type="dxa"/>
              <w:right w:w="0" w:type="dxa"/>
            </w:tcMar>
            <w:vAlign w:val="bottom"/>
          </w:tcPr>
          <w:p w14:paraId="1CD2ADC7" w14:textId="68346497" w:rsidR="00C419BA" w:rsidRPr="00E75481" w:rsidRDefault="00C419BA" w:rsidP="003E6EAE">
            <w:pPr>
              <w:pStyle w:val="TableFigures"/>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709" w:type="dxa"/>
            <w:tcBorders>
              <w:top w:val="single" w:sz="2" w:space="0" w:color="3D7FE0" w:themeColor="accent1"/>
            </w:tcBorders>
          </w:tcPr>
          <w:p w14:paraId="3E8A0247" w14:textId="78ED2948" w:rsidR="00C419BA" w:rsidRPr="00E75481" w:rsidRDefault="00C419BA" w:rsidP="00024B10">
            <w:pPr>
              <w:pStyle w:val="TableFigures"/>
              <w:ind w:left="-138" w:right="0"/>
              <w:rPr>
                <w:rFonts w:ascii="IBM Plex Sans Light" w:hAnsi="IBM Plex Sans Light"/>
                <w:spacing w:val="-4"/>
                <w:sz w:val="15"/>
                <w:szCs w:val="15"/>
              </w:rPr>
            </w:pPr>
            <w:r w:rsidRPr="00E75481">
              <w:rPr>
                <w:rFonts w:ascii="IBM Plex Sans Light" w:hAnsi="IBM Plex Sans Light"/>
                <w:spacing w:val="-4"/>
                <w:sz w:val="15"/>
                <w:szCs w:val="15"/>
              </w:rPr>
              <w:t>25.4</w:t>
            </w:r>
          </w:p>
        </w:tc>
        <w:tc>
          <w:tcPr>
            <w:tcW w:w="680" w:type="dxa"/>
            <w:tcBorders>
              <w:top w:val="single" w:sz="2" w:space="0" w:color="3D7FE0" w:themeColor="accent1"/>
            </w:tcBorders>
            <w:tcMar>
              <w:left w:w="0" w:type="dxa"/>
              <w:right w:w="0" w:type="dxa"/>
            </w:tcMar>
          </w:tcPr>
          <w:p w14:paraId="596169C8" w14:textId="77E1EE0D"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(167.6)</w:t>
            </w:r>
          </w:p>
        </w:tc>
        <w:tc>
          <w:tcPr>
            <w:tcW w:w="850" w:type="dxa"/>
            <w:tcBorders>
              <w:top w:val="single" w:sz="2" w:space="0" w:color="3D7FE0" w:themeColor="accent1"/>
              <w:right w:val="single" w:sz="4" w:space="0" w:color="3D7FE0" w:themeColor="accent1"/>
            </w:tcBorders>
            <w:tcMar>
              <w:left w:w="0" w:type="dxa"/>
              <w:right w:w="0" w:type="dxa"/>
            </w:tcMar>
          </w:tcPr>
          <w:p w14:paraId="09240A3B" w14:textId="4E6FB784" w:rsidR="00C419BA" w:rsidRPr="00C323D2" w:rsidRDefault="00C419BA" w:rsidP="003E6EAE">
            <w:pPr>
              <w:pStyle w:val="TableFigures"/>
              <w:rPr>
                <w:rFonts w:ascii="IBM Plex Sans Light" w:hAnsi="IBM Plex Sans Light"/>
                <w:color w:val="auto"/>
                <w:spacing w:val="-4"/>
                <w:sz w:val="15"/>
                <w:szCs w:val="15"/>
              </w:rPr>
            </w:pPr>
            <w:r w:rsidRPr="00024B10">
              <w:rPr>
                <w:rFonts w:ascii="IBM Plex Sans Light" w:hAnsi="IBM Plex Sans Light"/>
                <w:color w:val="1B3E92"/>
                <w:w w:val="117"/>
                <w:sz w:val="15"/>
                <w:szCs w:val="15"/>
              </w:rPr>
              <w:t>–</w:t>
            </w:r>
          </w:p>
        </w:tc>
        <w:tc>
          <w:tcPr>
            <w:tcW w:w="907" w:type="dxa"/>
            <w:tcBorders>
              <w:top w:val="single" w:sz="2" w:space="0" w:color="3D7FE0" w:themeColor="accent1"/>
              <w:left w:val="single" w:sz="4" w:space="0" w:color="3D7FE0" w:themeColor="accent1"/>
              <w:right w:val="single" w:sz="4" w:space="0" w:color="3D7FE0" w:themeColor="accent1"/>
            </w:tcBorders>
            <w:tcMar>
              <w:left w:w="0" w:type="dxa"/>
              <w:right w:w="0" w:type="dxa"/>
            </w:tcMar>
          </w:tcPr>
          <w:p w14:paraId="46A9347A" w14:textId="74C5BC48"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(142.2)</w:t>
            </w:r>
          </w:p>
        </w:tc>
        <w:tc>
          <w:tcPr>
            <w:tcW w:w="794" w:type="dxa"/>
            <w:tcBorders>
              <w:top w:val="single" w:sz="2" w:space="0" w:color="3D7FE0" w:themeColor="accent1"/>
              <w:left w:val="single" w:sz="4" w:space="0" w:color="3D7FE0" w:themeColor="accent1"/>
            </w:tcBorders>
            <w:tcMar>
              <w:left w:w="0" w:type="dxa"/>
              <w:right w:w="0" w:type="dxa"/>
            </w:tcMar>
            <w:vAlign w:val="bottom"/>
          </w:tcPr>
          <w:p w14:paraId="644F0B41" w14:textId="590C49E8"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(0.1)</w:t>
            </w:r>
          </w:p>
        </w:tc>
        <w:tc>
          <w:tcPr>
            <w:tcW w:w="852" w:type="dxa"/>
            <w:tcBorders>
              <w:top w:val="single" w:sz="2" w:space="0" w:color="3D7FE0" w:themeColor="accent1"/>
            </w:tcBorders>
            <w:tcMar>
              <w:left w:w="0" w:type="dxa"/>
              <w:right w:w="0" w:type="dxa"/>
            </w:tcMar>
            <w:vAlign w:val="bottom"/>
          </w:tcPr>
          <w:p w14:paraId="476F9BC6" w14:textId="4235424D"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(142.3)</w:t>
            </w:r>
          </w:p>
        </w:tc>
      </w:tr>
      <w:tr w:rsidR="00C419BA" w:rsidRPr="00895810" w14:paraId="3722AA09" w14:textId="77777777" w:rsidTr="00024B10">
        <w:trPr>
          <w:cantSplit/>
          <w:trHeight w:hRule="exact" w:val="113"/>
        </w:trPr>
        <w:tc>
          <w:tcPr>
            <w:tcW w:w="2835" w:type="dxa"/>
            <w:tcMar>
              <w:left w:w="0" w:type="dxa"/>
              <w:right w:w="0" w:type="dxa"/>
            </w:tcMar>
            <w:vAlign w:val="bottom"/>
          </w:tcPr>
          <w:p w14:paraId="2552E4AC" w14:textId="77777777" w:rsidR="00C419BA" w:rsidRPr="00895810" w:rsidRDefault="00C419BA" w:rsidP="003E6EAE">
            <w:pPr>
              <w:pStyle w:val="TableFiguresBrackets"/>
              <w:jc w:val="left"/>
              <w:rPr>
                <w:rFonts w:ascii="IBM Plex Sans Light" w:hAnsi="IBM Plex Sans Light"/>
                <w:spacing w:val="-4"/>
                <w:szCs w:val="16"/>
              </w:rPr>
            </w:pPr>
          </w:p>
        </w:tc>
        <w:tc>
          <w:tcPr>
            <w:tcW w:w="539" w:type="dxa"/>
            <w:tcMar>
              <w:left w:w="0" w:type="dxa"/>
              <w:right w:w="0" w:type="dxa"/>
            </w:tcMar>
            <w:vAlign w:val="bottom"/>
          </w:tcPr>
          <w:p w14:paraId="4C50D39B" w14:textId="7C9E6C23" w:rsidR="00C419BA" w:rsidRPr="00E75481" w:rsidRDefault="00C419BA" w:rsidP="003E6EAE">
            <w:pPr>
              <w:pStyle w:val="TableFigures"/>
              <w:rPr>
                <w:rFonts w:ascii="IBM Plex Sans Light" w:hAnsi="IBM Plex Sans Light"/>
                <w:spacing w:val="-4"/>
                <w:sz w:val="15"/>
                <w:szCs w:val="15"/>
              </w:rPr>
            </w:pPr>
          </w:p>
        </w:tc>
        <w:tc>
          <w:tcPr>
            <w:tcW w:w="879" w:type="dxa"/>
            <w:vAlign w:val="bottom"/>
          </w:tcPr>
          <w:p w14:paraId="53D2BBBF" w14:textId="68A77E1F" w:rsidR="00C419BA" w:rsidRPr="00E75481" w:rsidRDefault="00C419BA" w:rsidP="003E6EAE">
            <w:pPr>
              <w:pStyle w:val="TableFigures"/>
              <w:ind w:left="-51" w:right="-22"/>
              <w:rPr>
                <w:rFonts w:ascii="IBM Plex Sans Light" w:hAnsi="IBM Plex Sans Light"/>
                <w:color w:val="auto"/>
                <w:spacing w:val="-4"/>
                <w:sz w:val="15"/>
                <w:szCs w:val="15"/>
              </w:rPr>
            </w:pPr>
          </w:p>
        </w:tc>
        <w:tc>
          <w:tcPr>
            <w:tcW w:w="595" w:type="dxa"/>
            <w:tcMar>
              <w:left w:w="0" w:type="dxa"/>
              <w:right w:w="0" w:type="dxa"/>
            </w:tcMar>
            <w:vAlign w:val="bottom"/>
          </w:tcPr>
          <w:p w14:paraId="0C01DAD7" w14:textId="6DEBC779" w:rsidR="00C419BA" w:rsidRPr="00E75481" w:rsidRDefault="00C419BA" w:rsidP="003E6EAE">
            <w:pPr>
              <w:pStyle w:val="TableFigures"/>
              <w:rPr>
                <w:rFonts w:ascii="IBM Plex Sans Light" w:hAnsi="IBM Plex Sans Light"/>
                <w:spacing w:val="-4"/>
                <w:sz w:val="15"/>
                <w:szCs w:val="15"/>
              </w:rPr>
            </w:pPr>
          </w:p>
        </w:tc>
        <w:tc>
          <w:tcPr>
            <w:tcW w:w="823" w:type="dxa"/>
            <w:tcMar>
              <w:left w:w="0" w:type="dxa"/>
              <w:right w:w="0" w:type="dxa"/>
            </w:tcMar>
            <w:vAlign w:val="bottom"/>
          </w:tcPr>
          <w:p w14:paraId="3E3514F7" w14:textId="0354F947" w:rsidR="00C419BA" w:rsidRPr="00E75481" w:rsidRDefault="00C419BA" w:rsidP="003E6EAE">
            <w:pPr>
              <w:pStyle w:val="TableFigures"/>
              <w:rPr>
                <w:rFonts w:ascii="IBM Plex Sans Light" w:hAnsi="IBM Plex Sans Light"/>
                <w:spacing w:val="-4"/>
                <w:sz w:val="15"/>
                <w:szCs w:val="15"/>
              </w:rPr>
            </w:pPr>
          </w:p>
        </w:tc>
        <w:tc>
          <w:tcPr>
            <w:tcW w:w="709" w:type="dxa"/>
            <w:vAlign w:val="bottom"/>
          </w:tcPr>
          <w:p w14:paraId="2DDC59A8" w14:textId="77777777" w:rsidR="00C419BA" w:rsidRPr="00E75481" w:rsidRDefault="00C419BA" w:rsidP="00024B10">
            <w:pPr>
              <w:pStyle w:val="TableFigures"/>
              <w:ind w:left="-138" w:right="0"/>
              <w:rPr>
                <w:rFonts w:ascii="IBM Plex Sans Light" w:hAnsi="IBM Plex Sans Light"/>
                <w:spacing w:val="-4"/>
                <w:sz w:val="15"/>
                <w:szCs w:val="15"/>
              </w:rPr>
            </w:pPr>
          </w:p>
        </w:tc>
        <w:tc>
          <w:tcPr>
            <w:tcW w:w="680" w:type="dxa"/>
            <w:tcMar>
              <w:left w:w="0" w:type="dxa"/>
              <w:right w:w="0" w:type="dxa"/>
            </w:tcMar>
            <w:vAlign w:val="bottom"/>
          </w:tcPr>
          <w:p w14:paraId="15721DAD" w14:textId="4E264971" w:rsidR="00C419BA" w:rsidRPr="00E75481" w:rsidRDefault="00C419BA" w:rsidP="003E6EAE">
            <w:pPr>
              <w:pStyle w:val="TableFigures"/>
              <w:rPr>
                <w:rFonts w:ascii="IBM Plex Sans Light" w:hAnsi="IBM Plex Sans Light"/>
                <w:spacing w:val="-4"/>
                <w:sz w:val="15"/>
                <w:szCs w:val="15"/>
              </w:rPr>
            </w:pPr>
          </w:p>
        </w:tc>
        <w:tc>
          <w:tcPr>
            <w:tcW w:w="850" w:type="dxa"/>
            <w:tcBorders>
              <w:right w:val="single" w:sz="4" w:space="0" w:color="3D7FE0" w:themeColor="accent1"/>
            </w:tcBorders>
            <w:tcMar>
              <w:left w:w="0" w:type="dxa"/>
              <w:right w:w="0" w:type="dxa"/>
            </w:tcMar>
            <w:vAlign w:val="bottom"/>
          </w:tcPr>
          <w:p w14:paraId="55E9366F" w14:textId="5C17423D" w:rsidR="00C419BA" w:rsidRPr="00C323D2" w:rsidRDefault="00C419BA" w:rsidP="003E6EAE">
            <w:pPr>
              <w:pStyle w:val="TableFigures"/>
              <w:rPr>
                <w:rFonts w:ascii="IBM Plex Sans Light" w:hAnsi="IBM Plex Sans Light"/>
                <w:spacing w:val="-4"/>
                <w:sz w:val="15"/>
                <w:szCs w:val="15"/>
              </w:rPr>
            </w:pPr>
          </w:p>
        </w:tc>
        <w:tc>
          <w:tcPr>
            <w:tcW w:w="907" w:type="dxa"/>
            <w:tcBorders>
              <w:left w:val="single" w:sz="4" w:space="0" w:color="3D7FE0" w:themeColor="accent1"/>
              <w:right w:val="single" w:sz="4" w:space="0" w:color="3D7FE0" w:themeColor="accent1"/>
            </w:tcBorders>
            <w:tcMar>
              <w:left w:w="0" w:type="dxa"/>
              <w:right w:w="0" w:type="dxa"/>
            </w:tcMar>
            <w:vAlign w:val="bottom"/>
          </w:tcPr>
          <w:p w14:paraId="6EDA3031" w14:textId="77777777" w:rsidR="00C419BA" w:rsidRPr="00E75481" w:rsidRDefault="00C419BA" w:rsidP="003E6EAE">
            <w:pPr>
              <w:pStyle w:val="TableFigures"/>
              <w:rPr>
                <w:rFonts w:ascii="IBM Plex Sans Light" w:hAnsi="IBM Plex Sans Light"/>
                <w:spacing w:val="-4"/>
                <w:sz w:val="15"/>
                <w:szCs w:val="15"/>
              </w:rPr>
            </w:pPr>
          </w:p>
        </w:tc>
        <w:tc>
          <w:tcPr>
            <w:tcW w:w="794" w:type="dxa"/>
            <w:tcBorders>
              <w:left w:val="single" w:sz="4" w:space="0" w:color="3D7FE0" w:themeColor="accent1"/>
            </w:tcBorders>
            <w:tcMar>
              <w:left w:w="0" w:type="dxa"/>
              <w:right w:w="0" w:type="dxa"/>
            </w:tcMar>
            <w:vAlign w:val="bottom"/>
          </w:tcPr>
          <w:p w14:paraId="4377A8E8" w14:textId="5D608D3D" w:rsidR="00C419BA" w:rsidRPr="00E75481" w:rsidRDefault="00C419BA" w:rsidP="003E6EAE">
            <w:pPr>
              <w:pStyle w:val="TableFigures"/>
              <w:rPr>
                <w:rFonts w:ascii="IBM Plex Sans Light" w:hAnsi="IBM Plex Sans Light"/>
                <w:spacing w:val="-4"/>
                <w:sz w:val="15"/>
                <w:szCs w:val="15"/>
              </w:rPr>
            </w:pPr>
          </w:p>
        </w:tc>
        <w:tc>
          <w:tcPr>
            <w:tcW w:w="852" w:type="dxa"/>
            <w:tcMar>
              <w:left w:w="0" w:type="dxa"/>
              <w:right w:w="0" w:type="dxa"/>
            </w:tcMar>
            <w:vAlign w:val="bottom"/>
          </w:tcPr>
          <w:p w14:paraId="6097B5B4" w14:textId="77777777" w:rsidR="00C419BA" w:rsidRPr="00E75481" w:rsidRDefault="00C419BA" w:rsidP="003E6EAE">
            <w:pPr>
              <w:pStyle w:val="TableFigures"/>
              <w:rPr>
                <w:rFonts w:ascii="IBM Plex Sans Light" w:hAnsi="IBM Plex Sans Light"/>
                <w:spacing w:val="-4"/>
                <w:sz w:val="15"/>
                <w:szCs w:val="15"/>
              </w:rPr>
            </w:pPr>
          </w:p>
        </w:tc>
      </w:tr>
      <w:tr w:rsidR="00C419BA" w:rsidRPr="00895810" w14:paraId="6F5D2A4F" w14:textId="77777777" w:rsidTr="00024B10">
        <w:trPr>
          <w:cantSplit/>
        </w:trPr>
        <w:tc>
          <w:tcPr>
            <w:tcW w:w="2835" w:type="dxa"/>
            <w:tcMar>
              <w:left w:w="0" w:type="dxa"/>
              <w:right w:w="0" w:type="dxa"/>
            </w:tcMar>
            <w:vAlign w:val="bottom"/>
          </w:tcPr>
          <w:p w14:paraId="05320B5C" w14:textId="44B26D80" w:rsidR="00C419BA" w:rsidRPr="00895810" w:rsidRDefault="00C419BA" w:rsidP="003E6EAE">
            <w:pPr>
              <w:pStyle w:val="TableFiguresBrackets"/>
              <w:jc w:val="left"/>
              <w:rPr>
                <w:rFonts w:ascii="IBM Plex Sans Light" w:hAnsi="IBM Plex Sans Light"/>
                <w:spacing w:val="-4"/>
                <w:szCs w:val="16"/>
              </w:rPr>
            </w:pPr>
            <w:r>
              <w:rPr>
                <w:rFonts w:ascii="IBM Plex Sans Light" w:hAnsi="IBM Plex Sans Light"/>
                <w:spacing w:val="-4"/>
                <w:szCs w:val="16"/>
              </w:rPr>
              <w:t>Transfer</w:t>
            </w:r>
          </w:p>
        </w:tc>
        <w:tc>
          <w:tcPr>
            <w:tcW w:w="539" w:type="dxa"/>
            <w:tcMar>
              <w:left w:w="0" w:type="dxa"/>
              <w:right w:w="0" w:type="dxa"/>
            </w:tcMar>
            <w:vAlign w:val="bottom"/>
          </w:tcPr>
          <w:p w14:paraId="1D833986" w14:textId="3361E643"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4E427F8D" w14:textId="4DCB74E0"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68243510" w14:textId="395B815C" w:rsidR="00C419BA" w:rsidRPr="00E75481" w:rsidRDefault="00C419BA" w:rsidP="003E6EAE">
            <w:pPr>
              <w:pStyle w:val="TableFigures"/>
              <w:ind w:right="0"/>
              <w:rPr>
                <w:rFonts w:ascii="IBM Plex Sans Light" w:hAnsi="IBM Plex Sans Light"/>
                <w:spacing w:val="-4"/>
                <w:sz w:val="15"/>
                <w:szCs w:val="15"/>
              </w:rPr>
            </w:pPr>
            <w:r w:rsidRPr="00E75481">
              <w:rPr>
                <w:rFonts w:ascii="IBM Plex Sans Light" w:hAnsi="IBM Plex Sans Light"/>
                <w:spacing w:val="-4"/>
                <w:sz w:val="15"/>
                <w:szCs w:val="15"/>
              </w:rPr>
              <w:t>(374.1)</w:t>
            </w:r>
          </w:p>
        </w:tc>
        <w:tc>
          <w:tcPr>
            <w:tcW w:w="823" w:type="dxa"/>
            <w:tcMar>
              <w:left w:w="0" w:type="dxa"/>
              <w:right w:w="0" w:type="dxa"/>
            </w:tcMar>
            <w:vAlign w:val="bottom"/>
          </w:tcPr>
          <w:p w14:paraId="501495C8" w14:textId="3B401217"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(198.2)</w:t>
            </w:r>
          </w:p>
        </w:tc>
        <w:tc>
          <w:tcPr>
            <w:tcW w:w="709" w:type="dxa"/>
            <w:vAlign w:val="bottom"/>
          </w:tcPr>
          <w:p w14:paraId="40C2F3DF" w14:textId="5CCCC796" w:rsidR="00C419BA" w:rsidRPr="00E75481"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1212802A" w14:textId="6B4DE47B"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572.3</w:t>
            </w:r>
          </w:p>
        </w:tc>
        <w:tc>
          <w:tcPr>
            <w:tcW w:w="850" w:type="dxa"/>
            <w:tcBorders>
              <w:right w:val="single" w:sz="4" w:space="0" w:color="3D7FE0" w:themeColor="accent1"/>
            </w:tcBorders>
            <w:tcMar>
              <w:left w:w="0" w:type="dxa"/>
              <w:right w:w="0" w:type="dxa"/>
            </w:tcMar>
            <w:vAlign w:val="bottom"/>
          </w:tcPr>
          <w:p w14:paraId="6ACB900A" w14:textId="09B4F181" w:rsidR="00C419BA" w:rsidRPr="00C323D2" w:rsidRDefault="00C419BA" w:rsidP="003E6EAE">
            <w:pPr>
              <w:pStyle w:val="TableFigures"/>
              <w:rPr>
                <w:rFonts w:ascii="IBM Plex Sans Light" w:hAnsi="IBM Plex Sans Light"/>
                <w:spacing w:val="-4"/>
                <w:sz w:val="15"/>
                <w:szCs w:val="15"/>
              </w:rPr>
            </w:pPr>
            <w:r w:rsidRPr="00C323D2" w:rsidDel="006F6E7C">
              <w:rPr>
                <w:rFonts w:ascii="IBM Plex Sans Light" w:hAnsi="IBM Plex Sans Light"/>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vAlign w:val="bottom"/>
          </w:tcPr>
          <w:p w14:paraId="1E61C619" w14:textId="3D861CED"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94" w:type="dxa"/>
            <w:tcBorders>
              <w:left w:val="single" w:sz="4" w:space="0" w:color="3D7FE0" w:themeColor="accent1"/>
            </w:tcBorders>
            <w:tcMar>
              <w:left w:w="0" w:type="dxa"/>
              <w:right w:w="0" w:type="dxa"/>
            </w:tcMar>
            <w:vAlign w:val="bottom"/>
          </w:tcPr>
          <w:p w14:paraId="27F9674E" w14:textId="5DD935BF"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vAlign w:val="bottom"/>
          </w:tcPr>
          <w:p w14:paraId="25FCD3FC" w14:textId="3AE450EB"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r>
      <w:tr w:rsidR="00C419BA" w:rsidRPr="00895810" w14:paraId="1A7388E6" w14:textId="77777777" w:rsidTr="00024B10">
        <w:trPr>
          <w:cantSplit/>
        </w:trPr>
        <w:tc>
          <w:tcPr>
            <w:tcW w:w="2835" w:type="dxa"/>
            <w:tcMar>
              <w:left w:w="0" w:type="dxa"/>
              <w:right w:w="0" w:type="dxa"/>
            </w:tcMar>
            <w:vAlign w:val="bottom"/>
          </w:tcPr>
          <w:p w14:paraId="688EC8B2" w14:textId="2CB640F1" w:rsidR="00C419BA" w:rsidRPr="00895810" w:rsidRDefault="00C419BA" w:rsidP="003E6EAE">
            <w:pPr>
              <w:pStyle w:val="TableFigures"/>
              <w:jc w:val="left"/>
              <w:rPr>
                <w:rFonts w:ascii="IBM Plex Sans Light" w:hAnsi="IBM Plex Sans Light"/>
                <w:spacing w:val="-4"/>
                <w:szCs w:val="16"/>
              </w:rPr>
            </w:pPr>
            <w:r w:rsidRPr="00895810">
              <w:rPr>
                <w:rFonts w:ascii="IBM Plex Sans Light" w:hAnsi="IBM Plex Sans Light"/>
                <w:spacing w:val="-4"/>
                <w:szCs w:val="16"/>
              </w:rPr>
              <w:t xml:space="preserve">Share-based employee remuneration </w:t>
            </w:r>
          </w:p>
        </w:tc>
        <w:tc>
          <w:tcPr>
            <w:tcW w:w="539" w:type="dxa"/>
            <w:tcMar>
              <w:left w:w="0" w:type="dxa"/>
              <w:right w:w="0" w:type="dxa"/>
            </w:tcMar>
            <w:vAlign w:val="bottom"/>
          </w:tcPr>
          <w:p w14:paraId="13A973EE" w14:textId="1A87DA34"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66D12ED3" w14:textId="68CAAFD7"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13AE56E2" w14:textId="29638772"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2247CF0F" w14:textId="50DA298D"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53B07683" w14:textId="3DD539AA" w:rsidR="00C419BA" w:rsidRPr="00E75481" w:rsidDel="006F6E7C"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37DF2A59" w14:textId="61B718AE"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3.0</w:t>
            </w:r>
          </w:p>
        </w:tc>
        <w:tc>
          <w:tcPr>
            <w:tcW w:w="850" w:type="dxa"/>
            <w:tcBorders>
              <w:right w:val="single" w:sz="4" w:space="0" w:color="3D7FE0" w:themeColor="accent1"/>
            </w:tcBorders>
            <w:tcMar>
              <w:left w:w="0" w:type="dxa"/>
              <w:right w:w="0" w:type="dxa"/>
            </w:tcMar>
            <w:vAlign w:val="bottom"/>
          </w:tcPr>
          <w:p w14:paraId="07685F25" w14:textId="171E39DC" w:rsidR="00C419BA" w:rsidRPr="00C323D2" w:rsidRDefault="00C419BA" w:rsidP="003E6EAE">
            <w:pPr>
              <w:pStyle w:val="TableFigures"/>
              <w:rPr>
                <w:rFonts w:ascii="IBM Plex Sans Light" w:hAnsi="IBM Plex Sans Light"/>
                <w:spacing w:val="-4"/>
                <w:sz w:val="15"/>
                <w:szCs w:val="15"/>
              </w:rPr>
            </w:pPr>
            <w:r w:rsidRPr="00C323D2" w:rsidDel="006F6E7C">
              <w:rPr>
                <w:rFonts w:ascii="IBM Plex Sans Light" w:hAnsi="IBM Plex Sans Light"/>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vAlign w:val="bottom"/>
          </w:tcPr>
          <w:p w14:paraId="4A16B481" w14:textId="69EE28CE"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3.</w:t>
            </w:r>
            <w:r w:rsidR="00321BE8">
              <w:rPr>
                <w:rFonts w:ascii="IBM Plex Sans Light" w:hAnsi="IBM Plex Sans Light"/>
                <w:spacing w:val="-4"/>
                <w:sz w:val="15"/>
                <w:szCs w:val="15"/>
              </w:rPr>
              <w:t>0</w:t>
            </w:r>
          </w:p>
        </w:tc>
        <w:tc>
          <w:tcPr>
            <w:tcW w:w="794" w:type="dxa"/>
            <w:tcBorders>
              <w:left w:val="single" w:sz="4" w:space="0" w:color="3D7FE0" w:themeColor="accent1"/>
            </w:tcBorders>
            <w:tcMar>
              <w:left w:w="0" w:type="dxa"/>
              <w:right w:w="0" w:type="dxa"/>
            </w:tcMar>
            <w:vAlign w:val="bottom"/>
          </w:tcPr>
          <w:p w14:paraId="64179D31" w14:textId="7D9E6FAE"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852" w:type="dxa"/>
            <w:tcMar>
              <w:left w:w="0" w:type="dxa"/>
              <w:right w:w="0" w:type="dxa"/>
            </w:tcMar>
            <w:vAlign w:val="bottom"/>
          </w:tcPr>
          <w:p w14:paraId="78F642F4" w14:textId="51A3FE93"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3.</w:t>
            </w:r>
            <w:r w:rsidR="00321BE8">
              <w:rPr>
                <w:rFonts w:ascii="IBM Plex Sans Light" w:hAnsi="IBM Plex Sans Light"/>
                <w:spacing w:val="-4"/>
                <w:sz w:val="15"/>
                <w:szCs w:val="15"/>
              </w:rPr>
              <w:t>0</w:t>
            </w:r>
          </w:p>
        </w:tc>
      </w:tr>
      <w:tr w:rsidR="00C419BA" w:rsidRPr="00895810" w14:paraId="44E955C2" w14:textId="77777777" w:rsidTr="00024B10">
        <w:trPr>
          <w:cantSplit/>
        </w:trPr>
        <w:tc>
          <w:tcPr>
            <w:tcW w:w="2835" w:type="dxa"/>
            <w:tcMar>
              <w:left w:w="0" w:type="dxa"/>
              <w:right w:w="0" w:type="dxa"/>
            </w:tcMar>
            <w:vAlign w:val="bottom"/>
          </w:tcPr>
          <w:p w14:paraId="18E08D61" w14:textId="312E30EF" w:rsidR="00C419BA" w:rsidRPr="00895810" w:rsidRDefault="00C419BA" w:rsidP="003E6EAE">
            <w:pPr>
              <w:pStyle w:val="TableFigures"/>
              <w:jc w:val="left"/>
              <w:rPr>
                <w:rFonts w:ascii="IBM Plex Sans Light" w:hAnsi="IBM Plex Sans Light"/>
                <w:spacing w:val="-4"/>
                <w:szCs w:val="16"/>
              </w:rPr>
            </w:pPr>
            <w:r w:rsidRPr="00895810">
              <w:rPr>
                <w:rFonts w:ascii="IBM Plex Sans Light" w:hAnsi="IBM Plex Sans Light"/>
                <w:spacing w:val="-4"/>
                <w:szCs w:val="16"/>
              </w:rPr>
              <w:t>Cost of shares awarded to employees</w:t>
            </w:r>
          </w:p>
        </w:tc>
        <w:tc>
          <w:tcPr>
            <w:tcW w:w="539" w:type="dxa"/>
            <w:tcMar>
              <w:left w:w="0" w:type="dxa"/>
              <w:right w:w="0" w:type="dxa"/>
            </w:tcMar>
            <w:vAlign w:val="bottom"/>
          </w:tcPr>
          <w:p w14:paraId="02CFB9FC" w14:textId="422F6058"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761EA055" w14:textId="2E8FECCE"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7C7B9BB7" w14:textId="5BE27F07"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2D11C041" w14:textId="243E573A" w:rsidR="00C419BA" w:rsidRPr="00E75481" w:rsidRDefault="00C419BA" w:rsidP="003E6EAE">
            <w:pPr>
              <w:pStyle w:val="TableFigures"/>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595994E3" w14:textId="3811F0FF" w:rsidR="00C419BA" w:rsidRPr="00E75481" w:rsidDel="006F6E7C"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1D09525C" w14:textId="089C1F13"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(1.4)</w:t>
            </w:r>
          </w:p>
        </w:tc>
        <w:tc>
          <w:tcPr>
            <w:tcW w:w="850" w:type="dxa"/>
            <w:tcBorders>
              <w:right w:val="single" w:sz="4" w:space="0" w:color="3D7FE0" w:themeColor="accent1"/>
            </w:tcBorders>
            <w:tcMar>
              <w:left w:w="0" w:type="dxa"/>
              <w:right w:w="0" w:type="dxa"/>
            </w:tcMar>
            <w:vAlign w:val="bottom"/>
          </w:tcPr>
          <w:p w14:paraId="09A9579C" w14:textId="66D3E10E" w:rsidR="00C419BA" w:rsidRPr="00C323D2" w:rsidRDefault="00C419BA" w:rsidP="003E6EAE">
            <w:pPr>
              <w:pStyle w:val="TableFigures"/>
              <w:rPr>
                <w:rFonts w:ascii="IBM Plex Sans Light" w:hAnsi="IBM Plex Sans Light"/>
                <w:spacing w:val="-4"/>
                <w:sz w:val="15"/>
                <w:szCs w:val="15"/>
              </w:rPr>
            </w:pPr>
            <w:r w:rsidRPr="00C323D2">
              <w:rPr>
                <w:rFonts w:ascii="IBM Plex Sans Light" w:hAnsi="IBM Plex Sans Light"/>
                <w:spacing w:val="-4"/>
                <w:sz w:val="15"/>
                <w:szCs w:val="15"/>
              </w:rPr>
              <w:t>1.4</w:t>
            </w:r>
          </w:p>
        </w:tc>
        <w:tc>
          <w:tcPr>
            <w:tcW w:w="907" w:type="dxa"/>
            <w:tcBorders>
              <w:left w:val="single" w:sz="4" w:space="0" w:color="3D7FE0" w:themeColor="accent1"/>
              <w:right w:val="single" w:sz="4" w:space="0" w:color="3D7FE0" w:themeColor="accent1"/>
            </w:tcBorders>
            <w:tcMar>
              <w:left w:w="0" w:type="dxa"/>
              <w:right w:w="0" w:type="dxa"/>
            </w:tcMar>
            <w:vAlign w:val="bottom"/>
          </w:tcPr>
          <w:p w14:paraId="4092BA63" w14:textId="1D662075"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94" w:type="dxa"/>
            <w:tcBorders>
              <w:left w:val="single" w:sz="4" w:space="0" w:color="3D7FE0" w:themeColor="accent1"/>
            </w:tcBorders>
            <w:tcMar>
              <w:left w:w="0" w:type="dxa"/>
              <w:right w:w="0" w:type="dxa"/>
            </w:tcMar>
            <w:vAlign w:val="bottom"/>
          </w:tcPr>
          <w:p w14:paraId="58054314" w14:textId="71F7E1E5"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vAlign w:val="bottom"/>
          </w:tcPr>
          <w:p w14:paraId="5CEB2B4F" w14:textId="4DA213A3"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r>
      <w:tr w:rsidR="00C419BA" w:rsidRPr="00895810" w14:paraId="0D92E69B" w14:textId="77777777" w:rsidTr="00024B10">
        <w:trPr>
          <w:cantSplit/>
        </w:trPr>
        <w:tc>
          <w:tcPr>
            <w:tcW w:w="2835" w:type="dxa"/>
            <w:tcMar>
              <w:left w:w="0" w:type="dxa"/>
              <w:right w:w="0" w:type="dxa"/>
            </w:tcMar>
            <w:vAlign w:val="bottom"/>
          </w:tcPr>
          <w:p w14:paraId="3E67E583" w14:textId="5C5244D5" w:rsidR="00C419BA" w:rsidRPr="00895810" w:rsidRDefault="00C419BA" w:rsidP="003E6EAE">
            <w:pPr>
              <w:pStyle w:val="TableFigures"/>
              <w:jc w:val="left"/>
              <w:rPr>
                <w:rFonts w:ascii="IBM Plex Sans Light" w:hAnsi="IBM Plex Sans Light"/>
                <w:spacing w:val="-4"/>
                <w:szCs w:val="16"/>
              </w:rPr>
            </w:pPr>
            <w:r w:rsidRPr="00895810">
              <w:rPr>
                <w:rFonts w:ascii="IBM Plex Sans Light" w:hAnsi="IBM Plex Sans Light"/>
                <w:spacing w:val="-4"/>
                <w:szCs w:val="16"/>
              </w:rPr>
              <w:t>Purchase of own shares</w:t>
            </w:r>
          </w:p>
        </w:tc>
        <w:tc>
          <w:tcPr>
            <w:tcW w:w="539" w:type="dxa"/>
            <w:tcMar>
              <w:left w:w="0" w:type="dxa"/>
              <w:right w:w="0" w:type="dxa"/>
            </w:tcMar>
            <w:vAlign w:val="bottom"/>
          </w:tcPr>
          <w:p w14:paraId="5659EEEF" w14:textId="0DEBDD2A"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53302FB9" w14:textId="2C905BBE"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74DAD85F" w14:textId="0CC71C4B"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0AABA7D4" w14:textId="4D952869" w:rsidR="00C419BA" w:rsidRPr="00E75481" w:rsidRDefault="00C419BA" w:rsidP="003E6EAE">
            <w:pPr>
              <w:pStyle w:val="TableFigures"/>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5DF16C30" w14:textId="62D8F671" w:rsidR="00C419BA" w:rsidRPr="00E75481" w:rsidDel="006F6E7C"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76523878" w14:textId="1B59C543"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0" w:type="dxa"/>
            <w:tcBorders>
              <w:right w:val="single" w:sz="4" w:space="0" w:color="3D7FE0" w:themeColor="accent1"/>
            </w:tcBorders>
            <w:tcMar>
              <w:left w:w="0" w:type="dxa"/>
              <w:right w:w="0" w:type="dxa"/>
            </w:tcMar>
            <w:vAlign w:val="bottom"/>
          </w:tcPr>
          <w:p w14:paraId="4B4D463C" w14:textId="4BDBD03E" w:rsidR="00C419BA" w:rsidRPr="00C323D2" w:rsidRDefault="00C419BA" w:rsidP="003E6EAE">
            <w:pPr>
              <w:pStyle w:val="TableFiguresBrackets"/>
              <w:rPr>
                <w:rFonts w:ascii="IBM Plex Sans Light" w:hAnsi="IBM Plex Sans Light"/>
                <w:spacing w:val="-4"/>
                <w:sz w:val="15"/>
                <w:szCs w:val="15"/>
              </w:rPr>
            </w:pPr>
            <w:r w:rsidRPr="00C323D2">
              <w:rPr>
                <w:rFonts w:ascii="IBM Plex Sans Light" w:hAnsi="IBM Plex Sans Light"/>
                <w:spacing w:val="-4"/>
                <w:sz w:val="15"/>
                <w:szCs w:val="15"/>
              </w:rPr>
              <w:t>(6.7)</w:t>
            </w:r>
          </w:p>
        </w:tc>
        <w:tc>
          <w:tcPr>
            <w:tcW w:w="907" w:type="dxa"/>
            <w:tcBorders>
              <w:left w:val="single" w:sz="4" w:space="0" w:color="3D7FE0" w:themeColor="accent1"/>
              <w:right w:val="single" w:sz="4" w:space="0" w:color="3D7FE0" w:themeColor="accent1"/>
            </w:tcBorders>
            <w:tcMar>
              <w:left w:w="0" w:type="dxa"/>
              <w:right w:w="0" w:type="dxa"/>
            </w:tcMar>
          </w:tcPr>
          <w:p w14:paraId="6E8C4256" w14:textId="7A89F16E"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(6.7)</w:t>
            </w:r>
          </w:p>
        </w:tc>
        <w:tc>
          <w:tcPr>
            <w:tcW w:w="794" w:type="dxa"/>
            <w:tcBorders>
              <w:left w:val="single" w:sz="4" w:space="0" w:color="3D7FE0" w:themeColor="accent1"/>
            </w:tcBorders>
            <w:tcMar>
              <w:left w:w="0" w:type="dxa"/>
              <w:right w:w="0" w:type="dxa"/>
            </w:tcMar>
            <w:vAlign w:val="bottom"/>
          </w:tcPr>
          <w:p w14:paraId="15D9D594" w14:textId="6E3C22B4"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tcPr>
          <w:p w14:paraId="60E35DD0" w14:textId="16DFFC9D"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(6.7)</w:t>
            </w:r>
          </w:p>
        </w:tc>
      </w:tr>
      <w:tr w:rsidR="00C419BA" w:rsidRPr="00895810" w14:paraId="3EFC97C2" w14:textId="77777777" w:rsidTr="00024B10">
        <w:trPr>
          <w:cantSplit/>
        </w:trPr>
        <w:tc>
          <w:tcPr>
            <w:tcW w:w="2835" w:type="dxa"/>
            <w:tcMar>
              <w:left w:w="0" w:type="dxa"/>
              <w:right w:w="0" w:type="dxa"/>
            </w:tcMar>
            <w:vAlign w:val="bottom"/>
          </w:tcPr>
          <w:p w14:paraId="052B416F" w14:textId="2DFDFCA4" w:rsidR="00C419BA" w:rsidRPr="00895810" w:rsidRDefault="00C419BA" w:rsidP="003E6EAE">
            <w:pPr>
              <w:pStyle w:val="TableFigures"/>
              <w:jc w:val="left"/>
              <w:rPr>
                <w:rFonts w:ascii="IBM Plex Sans Light" w:hAnsi="IBM Plex Sans Light"/>
                <w:spacing w:val="-4"/>
                <w:szCs w:val="16"/>
              </w:rPr>
            </w:pPr>
            <w:r w:rsidRPr="00895810">
              <w:rPr>
                <w:rFonts w:ascii="IBM Plex Sans Light" w:hAnsi="IBM Plex Sans Light"/>
                <w:spacing w:val="-4"/>
                <w:szCs w:val="16"/>
              </w:rPr>
              <w:t>Dividends</w:t>
            </w:r>
            <w:r>
              <w:rPr>
                <w:rFonts w:ascii="IBM Plex Sans Light" w:hAnsi="IBM Plex Sans Light"/>
                <w:spacing w:val="-4"/>
                <w:szCs w:val="16"/>
              </w:rPr>
              <w:t xml:space="preserve"> (see note 18)</w:t>
            </w:r>
          </w:p>
        </w:tc>
        <w:tc>
          <w:tcPr>
            <w:tcW w:w="539" w:type="dxa"/>
            <w:tcMar>
              <w:left w:w="0" w:type="dxa"/>
              <w:right w:w="0" w:type="dxa"/>
            </w:tcMar>
            <w:vAlign w:val="bottom"/>
          </w:tcPr>
          <w:p w14:paraId="4B89FDF9" w14:textId="140C3613"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vAlign w:val="bottom"/>
          </w:tcPr>
          <w:p w14:paraId="07E11925" w14:textId="338332EC" w:rsidR="00C419BA" w:rsidRPr="00E75481" w:rsidRDefault="00C419BA" w:rsidP="003E6EAE">
            <w:pPr>
              <w:pStyle w:val="TableFigures"/>
              <w:ind w:left="-51" w:right="-22"/>
              <w:rPr>
                <w:rFonts w:ascii="IBM Plex Sans Light" w:hAnsi="IBM Plex Sans Light"/>
                <w:color w:val="auto"/>
                <w:spacing w:val="-4"/>
                <w:sz w:val="15"/>
                <w:szCs w:val="15"/>
              </w:rPr>
            </w:pPr>
            <w:r w:rsidRPr="00E75481" w:rsidDel="006F6E7C">
              <w:rPr>
                <w:rFonts w:ascii="IBM Plex Sans Light" w:hAnsi="IBM Plex Sans Light"/>
                <w:color w:val="auto"/>
                <w:spacing w:val="-4"/>
                <w:sz w:val="15"/>
                <w:szCs w:val="15"/>
              </w:rPr>
              <w:t>–</w:t>
            </w:r>
          </w:p>
        </w:tc>
        <w:tc>
          <w:tcPr>
            <w:tcW w:w="595" w:type="dxa"/>
            <w:tcMar>
              <w:left w:w="0" w:type="dxa"/>
              <w:right w:w="0" w:type="dxa"/>
            </w:tcMar>
            <w:vAlign w:val="bottom"/>
          </w:tcPr>
          <w:p w14:paraId="2BF41305" w14:textId="3CD49792"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4D8A6BE6" w14:textId="42C78E9C"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69F586F9" w14:textId="38733EB8" w:rsidR="00C419BA" w:rsidRPr="00E75481"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525A4287" w14:textId="791CB23E"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(140.3)</w:t>
            </w:r>
          </w:p>
        </w:tc>
        <w:tc>
          <w:tcPr>
            <w:tcW w:w="850" w:type="dxa"/>
            <w:tcBorders>
              <w:right w:val="single" w:sz="4" w:space="0" w:color="3D7FE0" w:themeColor="accent1"/>
            </w:tcBorders>
            <w:tcMar>
              <w:left w:w="0" w:type="dxa"/>
              <w:right w:w="0" w:type="dxa"/>
            </w:tcMar>
            <w:vAlign w:val="bottom"/>
          </w:tcPr>
          <w:p w14:paraId="6BB70510" w14:textId="7CB6D6F4" w:rsidR="00C419BA" w:rsidRPr="00C323D2" w:rsidRDefault="00C419BA" w:rsidP="003E6EAE">
            <w:pPr>
              <w:pStyle w:val="TableFigures"/>
              <w:rPr>
                <w:rFonts w:ascii="IBM Plex Sans Light" w:hAnsi="IBM Plex Sans Light"/>
                <w:spacing w:val="-4"/>
                <w:sz w:val="15"/>
                <w:szCs w:val="15"/>
              </w:rPr>
            </w:pPr>
            <w:r w:rsidRPr="00C323D2" w:rsidDel="006F6E7C">
              <w:rPr>
                <w:rFonts w:ascii="IBM Plex Sans Light" w:hAnsi="IBM Plex Sans Light"/>
                <w:color w:val="auto"/>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674A36B7" w14:textId="30A60B01"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(140.3)</w:t>
            </w:r>
          </w:p>
        </w:tc>
        <w:tc>
          <w:tcPr>
            <w:tcW w:w="794" w:type="dxa"/>
            <w:tcBorders>
              <w:left w:val="single" w:sz="4" w:space="0" w:color="3D7FE0" w:themeColor="accent1"/>
            </w:tcBorders>
            <w:tcMar>
              <w:left w:w="0" w:type="dxa"/>
              <w:right w:w="0" w:type="dxa"/>
            </w:tcMar>
            <w:vAlign w:val="bottom"/>
          </w:tcPr>
          <w:p w14:paraId="2521E6B8" w14:textId="0D613825"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tcPr>
          <w:p w14:paraId="209CEB53" w14:textId="30B70B47"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(140.3)</w:t>
            </w:r>
          </w:p>
        </w:tc>
      </w:tr>
      <w:tr w:rsidR="00C419BA" w:rsidRPr="00895810" w14:paraId="715D05F5" w14:textId="77777777" w:rsidTr="00024B10">
        <w:trPr>
          <w:cantSplit/>
        </w:trPr>
        <w:tc>
          <w:tcPr>
            <w:tcW w:w="2835" w:type="dxa"/>
            <w:tcMar>
              <w:left w:w="0" w:type="dxa"/>
              <w:right w:w="0" w:type="dxa"/>
            </w:tcMar>
            <w:vAlign w:val="bottom"/>
          </w:tcPr>
          <w:p w14:paraId="4B379F73" w14:textId="53DF450B" w:rsidR="00C419BA" w:rsidRPr="00895810" w:rsidRDefault="00C419BA" w:rsidP="003E6EAE">
            <w:pPr>
              <w:pStyle w:val="TableFigures"/>
              <w:jc w:val="left"/>
              <w:rPr>
                <w:rFonts w:ascii="IBM Plex Sans Light" w:hAnsi="IBM Plex Sans Light"/>
                <w:spacing w:val="-4"/>
                <w:szCs w:val="16"/>
              </w:rPr>
            </w:pPr>
            <w:r w:rsidRPr="00895810">
              <w:rPr>
                <w:rFonts w:ascii="IBM Plex Sans Light" w:hAnsi="IBM Plex Sans Light"/>
                <w:spacing w:val="-4"/>
                <w:szCs w:val="16"/>
              </w:rPr>
              <w:t>Scrip dividend related share issue</w:t>
            </w:r>
          </w:p>
        </w:tc>
        <w:tc>
          <w:tcPr>
            <w:tcW w:w="539" w:type="dxa"/>
            <w:tcMar>
              <w:left w:w="0" w:type="dxa"/>
              <w:right w:w="0" w:type="dxa"/>
            </w:tcMar>
            <w:vAlign w:val="bottom"/>
          </w:tcPr>
          <w:p w14:paraId="2ED9D911" w14:textId="6CBC4D69"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29.1</w:t>
            </w:r>
          </w:p>
        </w:tc>
        <w:tc>
          <w:tcPr>
            <w:tcW w:w="879" w:type="dxa"/>
            <w:vAlign w:val="bottom"/>
          </w:tcPr>
          <w:p w14:paraId="76693D8F" w14:textId="4F76B86C" w:rsidR="00C419BA" w:rsidRPr="00E75481" w:rsidRDefault="00C419BA" w:rsidP="003E6EAE">
            <w:pPr>
              <w:pStyle w:val="TableFiguresBrackets"/>
              <w:ind w:left="-51" w:right="-22"/>
              <w:rPr>
                <w:rFonts w:ascii="IBM Plex Sans Light" w:hAnsi="IBM Plex Sans Light"/>
                <w:color w:val="auto"/>
                <w:spacing w:val="-4"/>
                <w:sz w:val="15"/>
                <w:szCs w:val="15"/>
              </w:rPr>
            </w:pPr>
            <w:r w:rsidRPr="00E75481">
              <w:rPr>
                <w:rFonts w:ascii="IBM Plex Sans Light" w:hAnsi="IBM Plex Sans Light"/>
                <w:color w:val="auto"/>
                <w:spacing w:val="-4"/>
                <w:sz w:val="15"/>
                <w:szCs w:val="15"/>
              </w:rPr>
              <w:t>(29.1)</w:t>
            </w:r>
          </w:p>
        </w:tc>
        <w:tc>
          <w:tcPr>
            <w:tcW w:w="595" w:type="dxa"/>
            <w:tcMar>
              <w:left w:w="0" w:type="dxa"/>
              <w:right w:w="0" w:type="dxa"/>
            </w:tcMar>
            <w:vAlign w:val="bottom"/>
          </w:tcPr>
          <w:p w14:paraId="405BE74C" w14:textId="34419799"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Mar>
              <w:left w:w="0" w:type="dxa"/>
              <w:right w:w="0" w:type="dxa"/>
            </w:tcMar>
            <w:vAlign w:val="bottom"/>
          </w:tcPr>
          <w:p w14:paraId="20C52993" w14:textId="53619861"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vAlign w:val="bottom"/>
          </w:tcPr>
          <w:p w14:paraId="094BD7E4" w14:textId="3839E160" w:rsidR="00C419BA" w:rsidRPr="00E75481"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Mar>
              <w:left w:w="0" w:type="dxa"/>
              <w:right w:w="0" w:type="dxa"/>
            </w:tcMar>
            <w:vAlign w:val="bottom"/>
          </w:tcPr>
          <w:p w14:paraId="46D8B382" w14:textId="5E7B6E95"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127.1</w:t>
            </w:r>
          </w:p>
        </w:tc>
        <w:tc>
          <w:tcPr>
            <w:tcW w:w="850" w:type="dxa"/>
            <w:tcBorders>
              <w:right w:val="single" w:sz="4" w:space="0" w:color="3D7FE0" w:themeColor="accent1"/>
            </w:tcBorders>
            <w:tcMar>
              <w:left w:w="0" w:type="dxa"/>
              <w:right w:w="0" w:type="dxa"/>
            </w:tcMar>
            <w:vAlign w:val="bottom"/>
          </w:tcPr>
          <w:p w14:paraId="026B6A88" w14:textId="621FAC3C" w:rsidR="00C419BA" w:rsidRPr="00C323D2" w:rsidRDefault="00C419BA" w:rsidP="003E6EAE">
            <w:pPr>
              <w:pStyle w:val="TableFigures"/>
              <w:rPr>
                <w:rFonts w:ascii="IBM Plex Sans Light" w:hAnsi="IBM Plex Sans Light"/>
                <w:color w:val="auto"/>
                <w:spacing w:val="-4"/>
                <w:sz w:val="15"/>
                <w:szCs w:val="15"/>
              </w:rPr>
            </w:pPr>
            <w:r w:rsidRPr="00C323D2" w:rsidDel="006F6E7C">
              <w:rPr>
                <w:rFonts w:ascii="IBM Plex Sans Light" w:hAnsi="IBM Plex Sans Light"/>
                <w:color w:val="auto"/>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6DE290E3" w14:textId="58EF6F36" w:rsidR="00C419BA" w:rsidRPr="00E75481" w:rsidRDefault="00C419BA" w:rsidP="003E6EA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127.1</w:t>
            </w:r>
          </w:p>
        </w:tc>
        <w:tc>
          <w:tcPr>
            <w:tcW w:w="794" w:type="dxa"/>
            <w:tcBorders>
              <w:left w:val="single" w:sz="4" w:space="0" w:color="3D7FE0" w:themeColor="accent1"/>
            </w:tcBorders>
            <w:tcMar>
              <w:left w:w="0" w:type="dxa"/>
              <w:right w:w="0" w:type="dxa"/>
            </w:tcMar>
            <w:vAlign w:val="bottom"/>
          </w:tcPr>
          <w:p w14:paraId="27DD3820" w14:textId="741F6252"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Mar>
              <w:left w:w="0" w:type="dxa"/>
              <w:right w:w="0" w:type="dxa"/>
            </w:tcMar>
          </w:tcPr>
          <w:p w14:paraId="6CBEDE24" w14:textId="057FB6A2"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127.1</w:t>
            </w:r>
          </w:p>
        </w:tc>
      </w:tr>
      <w:tr w:rsidR="00C419BA" w:rsidRPr="00895810" w14:paraId="3131AB68" w14:textId="77777777" w:rsidTr="00024B10">
        <w:trPr>
          <w:cantSplit/>
        </w:trPr>
        <w:tc>
          <w:tcPr>
            <w:tcW w:w="2835" w:type="dxa"/>
            <w:tcBorders>
              <w:bottom w:val="single" w:sz="4" w:space="0" w:color="3D7FE0" w:themeColor="accent1"/>
            </w:tcBorders>
            <w:tcMar>
              <w:left w:w="0" w:type="dxa"/>
              <w:right w:w="0" w:type="dxa"/>
            </w:tcMar>
            <w:vAlign w:val="bottom"/>
          </w:tcPr>
          <w:p w14:paraId="4667323E" w14:textId="0ED3668C" w:rsidR="00C419BA" w:rsidRPr="00895810" w:rsidRDefault="00C419BA" w:rsidP="003E6EAE">
            <w:pPr>
              <w:pStyle w:val="TableFigures"/>
              <w:jc w:val="left"/>
              <w:rPr>
                <w:rFonts w:ascii="IBM Plex Sans Light" w:hAnsi="IBM Plex Sans Light"/>
                <w:spacing w:val="-4"/>
                <w:szCs w:val="16"/>
              </w:rPr>
            </w:pPr>
            <w:r w:rsidRPr="00895810">
              <w:rPr>
                <w:rFonts w:ascii="IBM Plex Sans Light" w:hAnsi="IBM Plex Sans Light"/>
                <w:spacing w:val="-4"/>
                <w:szCs w:val="16"/>
              </w:rPr>
              <w:t>Scrip dividend related share issue costs</w:t>
            </w:r>
          </w:p>
        </w:tc>
        <w:tc>
          <w:tcPr>
            <w:tcW w:w="539" w:type="dxa"/>
            <w:tcBorders>
              <w:bottom w:val="single" w:sz="4" w:space="0" w:color="3D7FE0" w:themeColor="accent1"/>
            </w:tcBorders>
            <w:tcMar>
              <w:left w:w="0" w:type="dxa"/>
              <w:right w:w="0" w:type="dxa"/>
            </w:tcMar>
            <w:vAlign w:val="bottom"/>
          </w:tcPr>
          <w:p w14:paraId="017F2B2D" w14:textId="730BCC89"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79" w:type="dxa"/>
            <w:tcBorders>
              <w:bottom w:val="single" w:sz="4" w:space="0" w:color="3D7FE0" w:themeColor="accent1"/>
            </w:tcBorders>
            <w:vAlign w:val="bottom"/>
          </w:tcPr>
          <w:p w14:paraId="06A80896" w14:textId="17539851" w:rsidR="00C419BA" w:rsidRPr="00E75481" w:rsidRDefault="00C419BA" w:rsidP="003E6EAE">
            <w:pPr>
              <w:pStyle w:val="TableFiguresBrackets"/>
              <w:ind w:left="-51" w:right="-22"/>
              <w:rPr>
                <w:rFonts w:ascii="IBM Plex Sans Light" w:hAnsi="IBM Plex Sans Light"/>
                <w:color w:val="auto"/>
                <w:spacing w:val="-4"/>
                <w:sz w:val="15"/>
                <w:szCs w:val="15"/>
              </w:rPr>
            </w:pPr>
            <w:r w:rsidRPr="00E75481">
              <w:rPr>
                <w:rFonts w:ascii="IBM Plex Sans Light" w:hAnsi="IBM Plex Sans Light"/>
                <w:color w:val="auto"/>
                <w:spacing w:val="-4"/>
                <w:sz w:val="15"/>
                <w:szCs w:val="15"/>
              </w:rPr>
              <w:t>(0.4)</w:t>
            </w:r>
          </w:p>
        </w:tc>
        <w:tc>
          <w:tcPr>
            <w:tcW w:w="595" w:type="dxa"/>
            <w:tcBorders>
              <w:bottom w:val="single" w:sz="4" w:space="0" w:color="3D7FE0" w:themeColor="accent1"/>
            </w:tcBorders>
            <w:tcMar>
              <w:left w:w="0" w:type="dxa"/>
              <w:right w:w="0" w:type="dxa"/>
            </w:tcMar>
            <w:vAlign w:val="bottom"/>
          </w:tcPr>
          <w:p w14:paraId="6E611510" w14:textId="2DED5D58"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Borders>
              <w:bottom w:val="single" w:sz="4" w:space="0" w:color="3D7FE0" w:themeColor="accent1"/>
            </w:tcBorders>
            <w:tcMar>
              <w:left w:w="0" w:type="dxa"/>
              <w:right w:w="0" w:type="dxa"/>
            </w:tcMar>
            <w:vAlign w:val="bottom"/>
          </w:tcPr>
          <w:p w14:paraId="1D71FFAD" w14:textId="0622C3C0"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Borders>
              <w:bottom w:val="single" w:sz="4" w:space="0" w:color="3D7FE0" w:themeColor="accent1"/>
            </w:tcBorders>
            <w:vAlign w:val="bottom"/>
          </w:tcPr>
          <w:p w14:paraId="1BDBF6A9" w14:textId="1F87F31F" w:rsidR="00C419BA" w:rsidRPr="00E75481" w:rsidDel="006F6E7C" w:rsidRDefault="00C419BA" w:rsidP="00024B10">
            <w:pPr>
              <w:pStyle w:val="TableFigures"/>
              <w:ind w:left="-138" w:right="0"/>
              <w:rPr>
                <w:rFonts w:ascii="IBM Plex Sans Light" w:hAnsi="IBM Plex Sans Light"/>
                <w:spacing w:val="-4"/>
                <w:sz w:val="15"/>
                <w:szCs w:val="15"/>
              </w:rPr>
            </w:pPr>
            <w:r w:rsidRPr="00E75481" w:rsidDel="006F6E7C">
              <w:rPr>
                <w:rFonts w:ascii="IBM Plex Sans Light" w:hAnsi="IBM Plex Sans Light"/>
                <w:spacing w:val="-4"/>
                <w:sz w:val="15"/>
                <w:szCs w:val="15"/>
              </w:rPr>
              <w:t>–</w:t>
            </w:r>
          </w:p>
        </w:tc>
        <w:tc>
          <w:tcPr>
            <w:tcW w:w="680" w:type="dxa"/>
            <w:tcBorders>
              <w:bottom w:val="single" w:sz="4" w:space="0" w:color="3D7FE0" w:themeColor="accent1"/>
            </w:tcBorders>
            <w:tcMar>
              <w:left w:w="0" w:type="dxa"/>
              <w:right w:w="0" w:type="dxa"/>
            </w:tcMar>
            <w:vAlign w:val="bottom"/>
          </w:tcPr>
          <w:p w14:paraId="396A42E0" w14:textId="72FE2B9C" w:rsidR="00C419BA" w:rsidRPr="00E75481" w:rsidRDefault="00C419BA" w:rsidP="003E6EAE">
            <w:pPr>
              <w:pStyle w:val="TableFiguresBracket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0" w:type="dxa"/>
            <w:tcBorders>
              <w:bottom w:val="single" w:sz="4" w:space="0" w:color="3D7FE0" w:themeColor="accent1"/>
              <w:right w:val="single" w:sz="4" w:space="0" w:color="3D7FE0" w:themeColor="accent1"/>
            </w:tcBorders>
            <w:tcMar>
              <w:left w:w="0" w:type="dxa"/>
              <w:right w:w="0" w:type="dxa"/>
            </w:tcMar>
            <w:vAlign w:val="bottom"/>
          </w:tcPr>
          <w:p w14:paraId="3C94599A" w14:textId="1AF6C061" w:rsidR="00C419BA" w:rsidRPr="00C323D2" w:rsidRDefault="00C419BA" w:rsidP="003E6EAE">
            <w:pPr>
              <w:pStyle w:val="TableFigures"/>
              <w:rPr>
                <w:rFonts w:ascii="IBM Plex Sans Light" w:hAnsi="IBM Plex Sans Light"/>
                <w:spacing w:val="-4"/>
                <w:sz w:val="15"/>
                <w:szCs w:val="15"/>
              </w:rPr>
            </w:pPr>
            <w:r w:rsidRPr="00C323D2" w:rsidDel="006F6E7C">
              <w:rPr>
                <w:rFonts w:ascii="IBM Plex Sans Light" w:hAnsi="IBM Plex Sans Light"/>
                <w:color w:val="auto"/>
                <w:spacing w:val="-4"/>
                <w:sz w:val="15"/>
                <w:szCs w:val="15"/>
              </w:rPr>
              <w:t>–</w:t>
            </w:r>
          </w:p>
        </w:tc>
        <w:tc>
          <w:tcPr>
            <w:tcW w:w="907" w:type="dxa"/>
            <w:tcBorders>
              <w:left w:val="single" w:sz="4" w:space="0" w:color="3D7FE0" w:themeColor="accent1"/>
              <w:bottom w:val="single" w:sz="4" w:space="0" w:color="3D7FE0" w:themeColor="accent1"/>
              <w:right w:val="single" w:sz="4" w:space="0" w:color="3D7FE0" w:themeColor="accent1"/>
            </w:tcBorders>
            <w:tcMar>
              <w:left w:w="0" w:type="dxa"/>
              <w:right w:w="0" w:type="dxa"/>
            </w:tcMar>
          </w:tcPr>
          <w:p w14:paraId="223E34B3" w14:textId="775FCEF3"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(0.4)</w:t>
            </w:r>
          </w:p>
        </w:tc>
        <w:tc>
          <w:tcPr>
            <w:tcW w:w="794" w:type="dxa"/>
            <w:tcBorders>
              <w:left w:val="single" w:sz="4" w:space="0" w:color="3D7FE0" w:themeColor="accent1"/>
              <w:bottom w:val="single" w:sz="4" w:space="0" w:color="3D7FE0" w:themeColor="accent1"/>
            </w:tcBorders>
            <w:tcMar>
              <w:left w:w="0" w:type="dxa"/>
              <w:right w:w="0" w:type="dxa"/>
            </w:tcMar>
            <w:vAlign w:val="bottom"/>
          </w:tcPr>
          <w:p w14:paraId="47788301" w14:textId="073F18E4"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52" w:type="dxa"/>
            <w:tcBorders>
              <w:bottom w:val="single" w:sz="4" w:space="0" w:color="3D7FE0" w:themeColor="accent1"/>
            </w:tcBorders>
            <w:tcMar>
              <w:left w:w="0" w:type="dxa"/>
              <w:right w:w="0" w:type="dxa"/>
            </w:tcMar>
          </w:tcPr>
          <w:p w14:paraId="75469E3E" w14:textId="59761E1E" w:rsidR="00C419BA" w:rsidRPr="00E75481" w:rsidRDefault="00C419BA" w:rsidP="003E6EAE">
            <w:pPr>
              <w:pStyle w:val="TableFiguresBrackets"/>
              <w:rPr>
                <w:rFonts w:ascii="IBM Plex Sans Light" w:hAnsi="IBM Plex Sans Light"/>
                <w:spacing w:val="-4"/>
                <w:sz w:val="15"/>
                <w:szCs w:val="15"/>
              </w:rPr>
            </w:pPr>
            <w:r w:rsidRPr="00E75481">
              <w:rPr>
                <w:rFonts w:ascii="IBM Plex Sans Light" w:hAnsi="IBM Plex Sans Light"/>
                <w:spacing w:val="-4"/>
                <w:sz w:val="15"/>
                <w:szCs w:val="15"/>
              </w:rPr>
              <w:t>(0.4)</w:t>
            </w:r>
          </w:p>
        </w:tc>
      </w:tr>
      <w:tr w:rsidR="00C419BA" w:rsidRPr="00895810" w14:paraId="5EB3CAC8" w14:textId="77777777" w:rsidTr="00024B10">
        <w:trPr>
          <w:cantSplit/>
        </w:trPr>
        <w:tc>
          <w:tcPr>
            <w:tcW w:w="2835" w:type="dxa"/>
            <w:tcBorders>
              <w:top w:val="single" w:sz="4" w:space="0" w:color="3D7FE0" w:themeColor="accent1"/>
            </w:tcBorders>
            <w:tcMar>
              <w:left w:w="0" w:type="dxa"/>
              <w:right w:w="0" w:type="dxa"/>
            </w:tcMar>
            <w:vAlign w:val="bottom"/>
          </w:tcPr>
          <w:p w14:paraId="6179964F" w14:textId="0CF944EB" w:rsidR="00C419BA" w:rsidRPr="00895810" w:rsidRDefault="00C419BA" w:rsidP="0062787C">
            <w:pPr>
              <w:pStyle w:val="TableFiguresBrackets"/>
              <w:jc w:val="left"/>
              <w:rPr>
                <w:rFonts w:ascii="IBM Plex Sans Light" w:hAnsi="IBM Plex Sans Light"/>
                <w:b/>
                <w:bCs/>
                <w:spacing w:val="-4"/>
                <w:szCs w:val="16"/>
              </w:rPr>
            </w:pPr>
            <w:r w:rsidRPr="0062787C">
              <w:rPr>
                <w:rFonts w:ascii="IBM Plex Sans Medium" w:hAnsi="IBM Plex Sans Medium"/>
                <w:b/>
                <w:bCs/>
                <w:spacing w:val="-4"/>
                <w:szCs w:val="16"/>
              </w:rPr>
              <w:t>At 31 December 2022</w:t>
            </w:r>
          </w:p>
        </w:tc>
        <w:tc>
          <w:tcPr>
            <w:tcW w:w="539" w:type="dxa"/>
            <w:tcBorders>
              <w:top w:val="single" w:sz="4" w:space="0" w:color="3D7FE0" w:themeColor="accent1"/>
            </w:tcBorders>
            <w:tcMar>
              <w:left w:w="0" w:type="dxa"/>
              <w:right w:w="0" w:type="dxa"/>
            </w:tcMar>
            <w:vAlign w:val="bottom"/>
          </w:tcPr>
          <w:p w14:paraId="578486BB" w14:textId="247CB2C2"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250.1</w:t>
            </w:r>
          </w:p>
        </w:tc>
        <w:tc>
          <w:tcPr>
            <w:tcW w:w="879" w:type="dxa"/>
            <w:tcBorders>
              <w:top w:val="single" w:sz="4" w:space="0" w:color="3D7FE0" w:themeColor="accent1"/>
            </w:tcBorders>
            <w:vAlign w:val="bottom"/>
          </w:tcPr>
          <w:p w14:paraId="1231896E" w14:textId="2FCC0F33" w:rsidR="00C419BA" w:rsidRPr="00E75481" w:rsidRDefault="00C419BA" w:rsidP="003E6EAE">
            <w:pPr>
              <w:pStyle w:val="TableFigures"/>
              <w:ind w:left="-51" w:right="-22"/>
              <w:rPr>
                <w:rFonts w:ascii="IBM Plex Sans Light" w:hAnsi="IBM Plex Sans Light"/>
                <w:spacing w:val="-4"/>
                <w:sz w:val="15"/>
                <w:szCs w:val="15"/>
              </w:rPr>
            </w:pPr>
            <w:r w:rsidRPr="00E75481">
              <w:rPr>
                <w:rFonts w:ascii="IBM Plex Sans Light" w:hAnsi="IBM Plex Sans Light"/>
                <w:spacing w:val="-4"/>
                <w:sz w:val="15"/>
                <w:szCs w:val="15"/>
              </w:rPr>
              <w:t>1,563.7</w:t>
            </w:r>
          </w:p>
        </w:tc>
        <w:tc>
          <w:tcPr>
            <w:tcW w:w="595" w:type="dxa"/>
            <w:tcBorders>
              <w:top w:val="single" w:sz="4" w:space="0" w:color="3D7FE0" w:themeColor="accent1"/>
            </w:tcBorders>
            <w:tcMar>
              <w:left w:w="0" w:type="dxa"/>
              <w:right w:w="0" w:type="dxa"/>
            </w:tcMar>
            <w:vAlign w:val="bottom"/>
          </w:tcPr>
          <w:p w14:paraId="5D2E0DAD" w14:textId="76E78139"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823" w:type="dxa"/>
            <w:tcBorders>
              <w:top w:val="single" w:sz="4" w:space="0" w:color="3D7FE0" w:themeColor="accent1"/>
            </w:tcBorders>
            <w:tcMar>
              <w:left w:w="0" w:type="dxa"/>
              <w:right w:w="0" w:type="dxa"/>
            </w:tcMar>
            <w:vAlign w:val="bottom"/>
          </w:tcPr>
          <w:p w14:paraId="4ACF84B5" w14:textId="285534D8" w:rsidR="00C419BA" w:rsidRPr="00E75481" w:rsidRDefault="00C419BA" w:rsidP="003E6EAE">
            <w:pPr>
              <w:pStyle w:val="TableFigures"/>
              <w:rPr>
                <w:rFonts w:ascii="IBM Plex Sans Light" w:hAnsi="IBM Plex Sans Light"/>
                <w:spacing w:val="-4"/>
                <w:sz w:val="15"/>
                <w:szCs w:val="15"/>
              </w:rPr>
            </w:pPr>
            <w:r w:rsidRPr="00E75481" w:rsidDel="006F6E7C">
              <w:rPr>
                <w:rFonts w:ascii="IBM Plex Sans Light" w:hAnsi="IBM Plex Sans Light"/>
                <w:color w:val="auto"/>
                <w:spacing w:val="-4"/>
                <w:sz w:val="15"/>
                <w:szCs w:val="15"/>
              </w:rPr>
              <w:t>–</w:t>
            </w:r>
          </w:p>
        </w:tc>
        <w:tc>
          <w:tcPr>
            <w:tcW w:w="709" w:type="dxa"/>
            <w:tcBorders>
              <w:top w:val="single" w:sz="4" w:space="0" w:color="3D7FE0" w:themeColor="accent1"/>
            </w:tcBorders>
            <w:vAlign w:val="bottom"/>
          </w:tcPr>
          <w:p w14:paraId="1F9BDA43" w14:textId="2CAEB738" w:rsidR="00C419BA" w:rsidRPr="00E75481" w:rsidRDefault="00C419BA" w:rsidP="00024B10">
            <w:pPr>
              <w:pStyle w:val="TableFigures"/>
              <w:ind w:left="-138" w:right="0"/>
              <w:rPr>
                <w:rFonts w:ascii="IBM Plex Sans Light" w:hAnsi="IBM Plex Sans Light"/>
                <w:spacing w:val="-4"/>
                <w:sz w:val="15"/>
                <w:szCs w:val="15"/>
              </w:rPr>
            </w:pPr>
            <w:r w:rsidRPr="00E75481">
              <w:rPr>
                <w:rFonts w:ascii="IBM Plex Sans Light" w:hAnsi="IBM Plex Sans Light"/>
                <w:spacing w:val="-4"/>
                <w:sz w:val="15"/>
                <w:szCs w:val="15"/>
              </w:rPr>
              <w:t>135.4</w:t>
            </w:r>
          </w:p>
        </w:tc>
        <w:tc>
          <w:tcPr>
            <w:tcW w:w="680" w:type="dxa"/>
            <w:tcBorders>
              <w:top w:val="single" w:sz="4" w:space="0" w:color="3D7FE0" w:themeColor="accent1"/>
            </w:tcBorders>
            <w:tcMar>
              <w:left w:w="0" w:type="dxa"/>
              <w:right w:w="0" w:type="dxa"/>
            </w:tcMar>
            <w:vAlign w:val="bottom"/>
          </w:tcPr>
          <w:p w14:paraId="1622EBF3" w14:textId="6E3BDDDB"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646.0</w:t>
            </w:r>
          </w:p>
        </w:tc>
        <w:tc>
          <w:tcPr>
            <w:tcW w:w="850" w:type="dxa"/>
            <w:tcBorders>
              <w:top w:val="single" w:sz="4" w:space="0" w:color="3D7FE0" w:themeColor="accent1"/>
              <w:right w:val="single" w:sz="4" w:space="0" w:color="3D7FE0" w:themeColor="accent1"/>
            </w:tcBorders>
            <w:tcMar>
              <w:left w:w="0" w:type="dxa"/>
              <w:right w:w="0" w:type="dxa"/>
            </w:tcMar>
            <w:vAlign w:val="bottom"/>
          </w:tcPr>
          <w:p w14:paraId="54C274BC" w14:textId="3F4E8FCC" w:rsidR="00C419BA" w:rsidRPr="00024B10" w:rsidRDefault="00C419BA" w:rsidP="003E6EAE">
            <w:pPr>
              <w:pStyle w:val="TableFiguresBrackets"/>
              <w:rPr>
                <w:rFonts w:ascii="IBM Plex Sans Light" w:hAnsi="IBM Plex Sans Light"/>
                <w:bCs/>
                <w:spacing w:val="-4"/>
                <w:sz w:val="15"/>
                <w:szCs w:val="15"/>
              </w:rPr>
            </w:pPr>
            <w:r w:rsidRPr="00024B10">
              <w:rPr>
                <w:rFonts w:ascii="IBM Plex Sans Light" w:hAnsi="IBM Plex Sans Light"/>
                <w:bCs/>
                <w:spacing w:val="-4"/>
                <w:sz w:val="15"/>
                <w:szCs w:val="15"/>
              </w:rPr>
              <w:t>(8.8)</w:t>
            </w:r>
          </w:p>
        </w:tc>
        <w:tc>
          <w:tcPr>
            <w:tcW w:w="907" w:type="dxa"/>
            <w:tcBorders>
              <w:top w:val="single" w:sz="4" w:space="0" w:color="3D7FE0" w:themeColor="accent1"/>
              <w:left w:val="single" w:sz="4" w:space="0" w:color="3D7FE0" w:themeColor="accent1"/>
              <w:right w:val="single" w:sz="4" w:space="0" w:color="3D7FE0" w:themeColor="accent1"/>
            </w:tcBorders>
            <w:tcMar>
              <w:left w:w="0" w:type="dxa"/>
              <w:right w:w="0" w:type="dxa"/>
            </w:tcMar>
          </w:tcPr>
          <w:p w14:paraId="430537A0" w14:textId="770118BE" w:rsidR="00C419BA" w:rsidRPr="00E75481" w:rsidRDefault="00C419BA" w:rsidP="003E6EAE">
            <w:pPr>
              <w:pStyle w:val="TableFigures"/>
              <w:rPr>
                <w:rFonts w:ascii="IBM Plex Sans Light" w:hAnsi="IBM Plex Sans Light"/>
                <w:color w:val="auto"/>
                <w:spacing w:val="-4"/>
                <w:sz w:val="15"/>
                <w:szCs w:val="15"/>
              </w:rPr>
            </w:pPr>
            <w:r w:rsidRPr="00E75481">
              <w:rPr>
                <w:rFonts w:ascii="IBM Plex Sans Light" w:hAnsi="IBM Plex Sans Light"/>
                <w:color w:val="auto"/>
                <w:spacing w:val="-4"/>
                <w:sz w:val="15"/>
                <w:szCs w:val="15"/>
              </w:rPr>
              <w:t>2,586.4</w:t>
            </w:r>
          </w:p>
        </w:tc>
        <w:tc>
          <w:tcPr>
            <w:tcW w:w="794" w:type="dxa"/>
            <w:tcBorders>
              <w:top w:val="single" w:sz="4" w:space="0" w:color="3D7FE0" w:themeColor="accent1"/>
              <w:left w:val="single" w:sz="4" w:space="0" w:color="3D7FE0" w:themeColor="accent1"/>
            </w:tcBorders>
            <w:tcMar>
              <w:left w:w="0" w:type="dxa"/>
              <w:right w:w="0" w:type="dxa"/>
            </w:tcMar>
            <w:vAlign w:val="bottom"/>
          </w:tcPr>
          <w:p w14:paraId="3A33BB1C" w14:textId="60B07D42" w:rsidR="00C419BA" w:rsidRPr="00E75481" w:rsidRDefault="00C419BA" w:rsidP="003E6EAE">
            <w:pPr>
              <w:pStyle w:val="TableFigures"/>
              <w:rPr>
                <w:rFonts w:ascii="IBM Plex Sans Light" w:hAnsi="IBM Plex Sans Light"/>
                <w:b/>
                <w:spacing w:val="-4"/>
                <w:sz w:val="15"/>
                <w:szCs w:val="15"/>
              </w:rPr>
            </w:pPr>
            <w:r w:rsidRPr="00E75481" w:rsidDel="006F6E7C">
              <w:rPr>
                <w:rFonts w:ascii="IBM Plex Sans Light" w:hAnsi="IBM Plex Sans Light"/>
                <w:color w:val="auto"/>
                <w:spacing w:val="-4"/>
                <w:sz w:val="15"/>
                <w:szCs w:val="15"/>
              </w:rPr>
              <w:t>–</w:t>
            </w:r>
          </w:p>
        </w:tc>
        <w:tc>
          <w:tcPr>
            <w:tcW w:w="852" w:type="dxa"/>
            <w:tcBorders>
              <w:top w:val="single" w:sz="4" w:space="0" w:color="3D7FE0" w:themeColor="accent1"/>
            </w:tcBorders>
            <w:tcMar>
              <w:left w:w="0" w:type="dxa"/>
              <w:right w:w="0" w:type="dxa"/>
            </w:tcMar>
          </w:tcPr>
          <w:p w14:paraId="6D9DEDAC" w14:textId="58F6587C" w:rsidR="00C419BA" w:rsidRPr="00E75481" w:rsidRDefault="00C419BA" w:rsidP="003E6EAE">
            <w:pPr>
              <w:pStyle w:val="TableFigures"/>
              <w:rPr>
                <w:rFonts w:ascii="IBM Plex Sans Light" w:hAnsi="IBM Plex Sans Light"/>
                <w:spacing w:val="-4"/>
                <w:sz w:val="15"/>
                <w:szCs w:val="15"/>
              </w:rPr>
            </w:pPr>
            <w:r w:rsidRPr="00E75481">
              <w:rPr>
                <w:rFonts w:ascii="IBM Plex Sans Light" w:hAnsi="IBM Plex Sans Light"/>
                <w:spacing w:val="-4"/>
                <w:sz w:val="15"/>
                <w:szCs w:val="15"/>
              </w:rPr>
              <w:t>2,586.4</w:t>
            </w:r>
          </w:p>
        </w:tc>
      </w:tr>
      <w:tr w:rsidR="00C419BA" w:rsidRPr="00895810" w14:paraId="7D4F3900" w14:textId="77777777" w:rsidTr="00024B10">
        <w:trPr>
          <w:cantSplit/>
        </w:trPr>
        <w:tc>
          <w:tcPr>
            <w:tcW w:w="2835" w:type="dxa"/>
            <w:tcMar>
              <w:left w:w="0" w:type="dxa"/>
              <w:right w:w="0" w:type="dxa"/>
            </w:tcMar>
            <w:vAlign w:val="bottom"/>
          </w:tcPr>
          <w:p w14:paraId="678706E5" w14:textId="77777777" w:rsidR="00C419BA" w:rsidRPr="0062787C" w:rsidRDefault="00C419BA" w:rsidP="0062787C">
            <w:pPr>
              <w:pStyle w:val="TableFiguresBrackets"/>
              <w:jc w:val="left"/>
              <w:rPr>
                <w:rFonts w:ascii="IBM Plex Sans Medium" w:hAnsi="IBM Plex Sans Medium"/>
                <w:b/>
                <w:bCs/>
                <w:spacing w:val="-4"/>
                <w:szCs w:val="16"/>
              </w:rPr>
            </w:pPr>
          </w:p>
        </w:tc>
        <w:tc>
          <w:tcPr>
            <w:tcW w:w="539" w:type="dxa"/>
            <w:tcMar>
              <w:left w:w="0" w:type="dxa"/>
              <w:right w:w="0" w:type="dxa"/>
            </w:tcMar>
            <w:vAlign w:val="bottom"/>
          </w:tcPr>
          <w:p w14:paraId="6E6BD4EB" w14:textId="77777777" w:rsidR="00C419BA" w:rsidRPr="00E75481" w:rsidRDefault="00C419BA" w:rsidP="003E6EAE">
            <w:pPr>
              <w:pStyle w:val="TableFigures"/>
              <w:rPr>
                <w:rFonts w:ascii="IBM Plex Sans Light" w:hAnsi="IBM Plex Sans Light"/>
                <w:spacing w:val="-4"/>
                <w:sz w:val="15"/>
                <w:szCs w:val="15"/>
              </w:rPr>
            </w:pPr>
          </w:p>
        </w:tc>
        <w:tc>
          <w:tcPr>
            <w:tcW w:w="879" w:type="dxa"/>
            <w:vAlign w:val="bottom"/>
          </w:tcPr>
          <w:p w14:paraId="39D44038" w14:textId="77777777" w:rsidR="00C419BA" w:rsidRPr="00E75481" w:rsidRDefault="00C419BA" w:rsidP="003E6EAE">
            <w:pPr>
              <w:pStyle w:val="TableFigures"/>
              <w:ind w:left="-51" w:right="-22"/>
              <w:rPr>
                <w:rFonts w:ascii="IBM Plex Sans Light" w:hAnsi="IBM Plex Sans Light"/>
                <w:spacing w:val="-4"/>
                <w:sz w:val="15"/>
                <w:szCs w:val="15"/>
              </w:rPr>
            </w:pPr>
          </w:p>
        </w:tc>
        <w:tc>
          <w:tcPr>
            <w:tcW w:w="595" w:type="dxa"/>
            <w:tcMar>
              <w:left w:w="0" w:type="dxa"/>
              <w:right w:w="0" w:type="dxa"/>
            </w:tcMar>
            <w:vAlign w:val="bottom"/>
          </w:tcPr>
          <w:p w14:paraId="1EB08022" w14:textId="77777777" w:rsidR="00C419BA" w:rsidRPr="00E75481" w:rsidDel="006F6E7C" w:rsidRDefault="00C419BA" w:rsidP="003E6EAE">
            <w:pPr>
              <w:pStyle w:val="TableFigures"/>
              <w:rPr>
                <w:rFonts w:ascii="IBM Plex Sans Light" w:hAnsi="IBM Plex Sans Light"/>
                <w:color w:val="auto"/>
                <w:spacing w:val="-4"/>
                <w:sz w:val="15"/>
                <w:szCs w:val="15"/>
              </w:rPr>
            </w:pPr>
          </w:p>
        </w:tc>
        <w:tc>
          <w:tcPr>
            <w:tcW w:w="823" w:type="dxa"/>
            <w:tcMar>
              <w:left w:w="0" w:type="dxa"/>
              <w:right w:w="0" w:type="dxa"/>
            </w:tcMar>
            <w:vAlign w:val="bottom"/>
          </w:tcPr>
          <w:p w14:paraId="74305F61" w14:textId="77777777" w:rsidR="00C419BA" w:rsidRPr="00E75481" w:rsidDel="006F6E7C" w:rsidRDefault="00C419BA" w:rsidP="003E6EAE">
            <w:pPr>
              <w:pStyle w:val="TableFigures"/>
              <w:rPr>
                <w:rFonts w:ascii="IBM Plex Sans Light" w:hAnsi="IBM Plex Sans Light"/>
                <w:color w:val="auto"/>
                <w:spacing w:val="-4"/>
                <w:sz w:val="15"/>
                <w:szCs w:val="15"/>
              </w:rPr>
            </w:pPr>
          </w:p>
        </w:tc>
        <w:tc>
          <w:tcPr>
            <w:tcW w:w="709" w:type="dxa"/>
            <w:vAlign w:val="bottom"/>
          </w:tcPr>
          <w:p w14:paraId="7EC813EE" w14:textId="77777777" w:rsidR="00C419BA" w:rsidRPr="00E75481" w:rsidRDefault="00C419BA" w:rsidP="003E6EAE">
            <w:pPr>
              <w:pStyle w:val="TableFigures"/>
              <w:ind w:left="-138" w:right="-52"/>
              <w:rPr>
                <w:rFonts w:ascii="IBM Plex Sans Light" w:hAnsi="IBM Plex Sans Light"/>
                <w:spacing w:val="-4"/>
                <w:sz w:val="15"/>
                <w:szCs w:val="15"/>
              </w:rPr>
            </w:pPr>
          </w:p>
        </w:tc>
        <w:tc>
          <w:tcPr>
            <w:tcW w:w="680" w:type="dxa"/>
            <w:tcMar>
              <w:left w:w="0" w:type="dxa"/>
              <w:right w:w="0" w:type="dxa"/>
            </w:tcMar>
            <w:vAlign w:val="bottom"/>
          </w:tcPr>
          <w:p w14:paraId="5CB18FDD" w14:textId="77777777" w:rsidR="00C419BA" w:rsidRPr="00E75481" w:rsidRDefault="00C419BA" w:rsidP="003E6EAE">
            <w:pPr>
              <w:pStyle w:val="TableFigures"/>
              <w:rPr>
                <w:rFonts w:ascii="IBM Plex Sans Light" w:hAnsi="IBM Plex Sans Light"/>
                <w:spacing w:val="-4"/>
                <w:sz w:val="15"/>
                <w:szCs w:val="15"/>
              </w:rPr>
            </w:pPr>
          </w:p>
        </w:tc>
        <w:tc>
          <w:tcPr>
            <w:tcW w:w="850" w:type="dxa"/>
            <w:tcBorders>
              <w:right w:val="single" w:sz="4" w:space="0" w:color="3D7FE0" w:themeColor="accent1"/>
            </w:tcBorders>
            <w:tcMar>
              <w:left w:w="0" w:type="dxa"/>
              <w:right w:w="0" w:type="dxa"/>
            </w:tcMar>
            <w:vAlign w:val="bottom"/>
          </w:tcPr>
          <w:p w14:paraId="22E8FB9C" w14:textId="77777777" w:rsidR="00C419BA" w:rsidRPr="00E75481" w:rsidRDefault="00C419BA" w:rsidP="003E6EAE">
            <w:pPr>
              <w:pStyle w:val="TableFiguresBrackets"/>
              <w:rPr>
                <w:rFonts w:ascii="IBM Plex Sans Light" w:hAnsi="IBM Plex Sans Light"/>
                <w:b/>
                <w:spacing w:val="-4"/>
                <w:sz w:val="15"/>
                <w:szCs w:val="15"/>
              </w:rPr>
            </w:pPr>
          </w:p>
        </w:tc>
        <w:tc>
          <w:tcPr>
            <w:tcW w:w="907" w:type="dxa"/>
            <w:tcBorders>
              <w:left w:val="single" w:sz="4" w:space="0" w:color="3D7FE0" w:themeColor="accent1"/>
              <w:right w:val="single" w:sz="4" w:space="0" w:color="3D7FE0" w:themeColor="accent1"/>
            </w:tcBorders>
            <w:tcMar>
              <w:left w:w="0" w:type="dxa"/>
              <w:right w:w="0" w:type="dxa"/>
            </w:tcMar>
          </w:tcPr>
          <w:p w14:paraId="5F095FD8" w14:textId="77777777" w:rsidR="00C419BA" w:rsidRPr="00E75481" w:rsidRDefault="00C419BA" w:rsidP="003E6EAE">
            <w:pPr>
              <w:pStyle w:val="TableFigures"/>
              <w:rPr>
                <w:rFonts w:ascii="IBM Plex Sans Light" w:hAnsi="IBM Plex Sans Light"/>
                <w:color w:val="auto"/>
                <w:spacing w:val="-4"/>
                <w:sz w:val="15"/>
                <w:szCs w:val="15"/>
              </w:rPr>
            </w:pPr>
          </w:p>
        </w:tc>
        <w:tc>
          <w:tcPr>
            <w:tcW w:w="794" w:type="dxa"/>
            <w:tcBorders>
              <w:left w:val="single" w:sz="4" w:space="0" w:color="3D7FE0" w:themeColor="accent1"/>
            </w:tcBorders>
            <w:tcMar>
              <w:left w:w="0" w:type="dxa"/>
              <w:right w:w="0" w:type="dxa"/>
            </w:tcMar>
            <w:vAlign w:val="bottom"/>
          </w:tcPr>
          <w:p w14:paraId="05AEC8F3" w14:textId="77777777" w:rsidR="00C419BA" w:rsidRPr="00E75481" w:rsidDel="006F6E7C" w:rsidRDefault="00C419BA" w:rsidP="003E6EAE">
            <w:pPr>
              <w:pStyle w:val="TableFigures"/>
              <w:rPr>
                <w:rFonts w:ascii="IBM Plex Sans Light" w:hAnsi="IBM Plex Sans Light"/>
                <w:color w:val="auto"/>
                <w:spacing w:val="-4"/>
                <w:sz w:val="15"/>
                <w:szCs w:val="15"/>
              </w:rPr>
            </w:pPr>
          </w:p>
        </w:tc>
        <w:tc>
          <w:tcPr>
            <w:tcW w:w="852" w:type="dxa"/>
            <w:tcMar>
              <w:left w:w="0" w:type="dxa"/>
              <w:right w:w="0" w:type="dxa"/>
            </w:tcMar>
          </w:tcPr>
          <w:p w14:paraId="1D5FBFD6" w14:textId="77777777" w:rsidR="00C419BA" w:rsidRPr="00E75481" w:rsidRDefault="00C419BA" w:rsidP="003E6EAE">
            <w:pPr>
              <w:pStyle w:val="TableFigures"/>
              <w:rPr>
                <w:rFonts w:ascii="IBM Plex Sans Light" w:hAnsi="IBM Plex Sans Light"/>
                <w:spacing w:val="-4"/>
                <w:sz w:val="15"/>
                <w:szCs w:val="15"/>
              </w:rPr>
            </w:pPr>
          </w:p>
        </w:tc>
      </w:tr>
      <w:tr w:rsidR="00C419BA" w:rsidRPr="0062787C" w14:paraId="64680A1B" w14:textId="77777777" w:rsidTr="00024B10">
        <w:trPr>
          <w:cantSplit/>
        </w:trPr>
        <w:tc>
          <w:tcPr>
            <w:tcW w:w="2835" w:type="dxa"/>
            <w:tcMar>
              <w:left w:w="0" w:type="dxa"/>
              <w:right w:w="0" w:type="dxa"/>
            </w:tcMar>
          </w:tcPr>
          <w:p w14:paraId="073B0D1C" w14:textId="00B429FD"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Recycled exchange gains on disposal of overseas property interests</w:t>
            </w:r>
          </w:p>
        </w:tc>
        <w:tc>
          <w:tcPr>
            <w:tcW w:w="539" w:type="dxa"/>
            <w:tcMar>
              <w:left w:w="0" w:type="dxa"/>
              <w:right w:w="0" w:type="dxa"/>
            </w:tcMar>
          </w:tcPr>
          <w:p w14:paraId="6909B152" w14:textId="49966E97"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33E498CA" w14:textId="2B1D671B"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63C65CD7" w14:textId="22093EE4"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4BE48DAE" w14:textId="57BE80A0"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1A1C236E" w14:textId="4259651F" w:rsidR="00C419BA" w:rsidRPr="00D367EA" w:rsidRDefault="00C419BA" w:rsidP="00024B10">
            <w:pPr>
              <w:pStyle w:val="TableFiguresBrackets"/>
              <w:ind w:right="0"/>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(20.1)</w:t>
            </w:r>
          </w:p>
        </w:tc>
        <w:tc>
          <w:tcPr>
            <w:tcW w:w="680" w:type="dxa"/>
            <w:tcMar>
              <w:left w:w="0" w:type="dxa"/>
              <w:right w:w="0" w:type="dxa"/>
            </w:tcMar>
          </w:tcPr>
          <w:p w14:paraId="4487F6EC" w14:textId="7A893EC9"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0" w:type="dxa"/>
            <w:tcBorders>
              <w:right w:val="single" w:sz="4" w:space="0" w:color="3D7FE0" w:themeColor="accent1"/>
            </w:tcBorders>
            <w:tcMar>
              <w:left w:w="0" w:type="dxa"/>
              <w:right w:w="0" w:type="dxa"/>
            </w:tcMar>
          </w:tcPr>
          <w:p w14:paraId="2F188BE9" w14:textId="7E3A8DC4"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5BBC2AC1" w14:textId="275D9602"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(20.1)</w:t>
            </w:r>
          </w:p>
        </w:tc>
        <w:tc>
          <w:tcPr>
            <w:tcW w:w="794" w:type="dxa"/>
            <w:tcBorders>
              <w:left w:val="single" w:sz="4" w:space="0" w:color="3D7FE0" w:themeColor="accent1"/>
            </w:tcBorders>
            <w:tcMar>
              <w:left w:w="0" w:type="dxa"/>
              <w:right w:w="0" w:type="dxa"/>
            </w:tcMar>
          </w:tcPr>
          <w:p w14:paraId="5CC12865" w14:textId="4C50A3AB"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79379550" w14:textId="4CA3A1E6"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(20.1)</w:t>
            </w:r>
          </w:p>
        </w:tc>
      </w:tr>
      <w:tr w:rsidR="00C419BA" w:rsidRPr="0062787C" w14:paraId="7A0847B7" w14:textId="77777777" w:rsidTr="00024B10">
        <w:trPr>
          <w:cantSplit/>
        </w:trPr>
        <w:tc>
          <w:tcPr>
            <w:tcW w:w="2835" w:type="dxa"/>
            <w:tcMar>
              <w:left w:w="0" w:type="dxa"/>
              <w:right w:w="0" w:type="dxa"/>
            </w:tcMar>
          </w:tcPr>
          <w:p w14:paraId="1A27165D" w14:textId="24EDB401"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Foreign exchange translation differences</w:t>
            </w:r>
          </w:p>
        </w:tc>
        <w:tc>
          <w:tcPr>
            <w:tcW w:w="539" w:type="dxa"/>
            <w:tcMar>
              <w:left w:w="0" w:type="dxa"/>
              <w:right w:w="0" w:type="dxa"/>
            </w:tcMar>
          </w:tcPr>
          <w:p w14:paraId="38513D14" w14:textId="3C86D909"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1FA0F9DD" w14:textId="1C40F800"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7D9E65B4" w14:textId="0376E7A7"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40B0A31A" w14:textId="03A1A85F"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536DE7E6" w14:textId="6BC4E88D" w:rsidR="00C419BA" w:rsidRPr="00D367EA" w:rsidRDefault="00C419BA" w:rsidP="00024B10">
            <w:pPr>
              <w:pStyle w:val="TableFiguresBrackets"/>
              <w:ind w:right="0"/>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(49.3)</w:t>
            </w:r>
          </w:p>
        </w:tc>
        <w:tc>
          <w:tcPr>
            <w:tcW w:w="680" w:type="dxa"/>
            <w:tcMar>
              <w:left w:w="0" w:type="dxa"/>
              <w:right w:w="0" w:type="dxa"/>
            </w:tcMar>
          </w:tcPr>
          <w:p w14:paraId="3A663906" w14:textId="7C1A5138"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0" w:type="dxa"/>
            <w:tcBorders>
              <w:right w:val="single" w:sz="4" w:space="0" w:color="3D7FE0" w:themeColor="accent1"/>
            </w:tcBorders>
            <w:tcMar>
              <w:left w:w="0" w:type="dxa"/>
              <w:right w:w="0" w:type="dxa"/>
            </w:tcMar>
          </w:tcPr>
          <w:p w14:paraId="7EA6662E" w14:textId="18AAD60B"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50AAEC18" w14:textId="6CE231D8"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(49.3)</w:t>
            </w:r>
          </w:p>
        </w:tc>
        <w:tc>
          <w:tcPr>
            <w:tcW w:w="794" w:type="dxa"/>
            <w:tcBorders>
              <w:left w:val="single" w:sz="4" w:space="0" w:color="3D7FE0" w:themeColor="accent1"/>
            </w:tcBorders>
            <w:tcMar>
              <w:left w:w="0" w:type="dxa"/>
              <w:right w:w="0" w:type="dxa"/>
            </w:tcMar>
          </w:tcPr>
          <w:p w14:paraId="48303873" w14:textId="3C9F211B"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7CF2648C" w14:textId="3FC5E98B"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(49.3)</w:t>
            </w:r>
          </w:p>
        </w:tc>
      </w:tr>
      <w:tr w:rsidR="00C419BA" w:rsidRPr="0062787C" w14:paraId="14FB57D7" w14:textId="77777777" w:rsidTr="00024B10">
        <w:trPr>
          <w:cantSplit/>
        </w:trPr>
        <w:tc>
          <w:tcPr>
            <w:tcW w:w="2835" w:type="dxa"/>
            <w:tcMar>
              <w:left w:w="0" w:type="dxa"/>
              <w:right w:w="0" w:type="dxa"/>
            </w:tcMar>
          </w:tcPr>
          <w:p w14:paraId="77B5DCA2" w14:textId="22B1DEE4"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Gain on net investment hedge</w:t>
            </w:r>
          </w:p>
        </w:tc>
        <w:tc>
          <w:tcPr>
            <w:tcW w:w="539" w:type="dxa"/>
            <w:tcMar>
              <w:left w:w="0" w:type="dxa"/>
              <w:right w:w="0" w:type="dxa"/>
            </w:tcMar>
          </w:tcPr>
          <w:p w14:paraId="667EA4A4" w14:textId="269D4015"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237F0996" w14:textId="79B01D26"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5B9F8972" w14:textId="745B2B7E"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1268BEF9" w14:textId="68A0882B"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577300CA" w14:textId="7194BC26" w:rsidR="00C419BA" w:rsidRPr="00D367EA" w:rsidRDefault="00C419BA" w:rsidP="00C323D2">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39.3</w:t>
            </w:r>
          </w:p>
        </w:tc>
        <w:tc>
          <w:tcPr>
            <w:tcW w:w="680" w:type="dxa"/>
            <w:tcMar>
              <w:left w:w="0" w:type="dxa"/>
              <w:right w:w="0" w:type="dxa"/>
            </w:tcMar>
          </w:tcPr>
          <w:p w14:paraId="71F23745" w14:textId="7202F889"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0" w:type="dxa"/>
            <w:tcBorders>
              <w:right w:val="single" w:sz="4" w:space="0" w:color="3D7FE0" w:themeColor="accent1"/>
            </w:tcBorders>
            <w:tcMar>
              <w:left w:w="0" w:type="dxa"/>
              <w:right w:w="0" w:type="dxa"/>
            </w:tcMar>
          </w:tcPr>
          <w:p w14:paraId="743F55DD" w14:textId="77058DFC"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3CCDEC9B" w14:textId="2B25043E"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39.3</w:t>
            </w:r>
          </w:p>
        </w:tc>
        <w:tc>
          <w:tcPr>
            <w:tcW w:w="794" w:type="dxa"/>
            <w:tcBorders>
              <w:left w:val="single" w:sz="4" w:space="0" w:color="3D7FE0" w:themeColor="accent1"/>
            </w:tcBorders>
            <w:tcMar>
              <w:left w:w="0" w:type="dxa"/>
              <w:right w:w="0" w:type="dxa"/>
            </w:tcMar>
          </w:tcPr>
          <w:p w14:paraId="42FAD0BF" w14:textId="46209690"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2B271272" w14:textId="6B3CFC8F"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39.3</w:t>
            </w:r>
          </w:p>
        </w:tc>
      </w:tr>
      <w:tr w:rsidR="00C419BA" w:rsidRPr="0062787C" w14:paraId="300EADC9" w14:textId="77777777" w:rsidTr="00024B10">
        <w:trPr>
          <w:cantSplit/>
        </w:trPr>
        <w:tc>
          <w:tcPr>
            <w:tcW w:w="2835" w:type="dxa"/>
            <w:tcMar>
              <w:left w:w="0" w:type="dxa"/>
              <w:right w:w="0" w:type="dxa"/>
            </w:tcMar>
          </w:tcPr>
          <w:p w14:paraId="730E1DC0" w14:textId="2485E922"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Loss on cash flow hedge</w:t>
            </w:r>
          </w:p>
        </w:tc>
        <w:tc>
          <w:tcPr>
            <w:tcW w:w="539" w:type="dxa"/>
            <w:tcMar>
              <w:left w:w="0" w:type="dxa"/>
              <w:right w:w="0" w:type="dxa"/>
            </w:tcMar>
          </w:tcPr>
          <w:p w14:paraId="0E7636B5" w14:textId="1DB1E985"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681D7A38" w14:textId="4D5858A0"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4DE6A696" w14:textId="514CCCA3"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2491A614" w14:textId="0A53733E"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029D2217" w14:textId="3E78C5D3" w:rsidR="00C419BA" w:rsidRPr="00D367EA" w:rsidRDefault="00C419BA" w:rsidP="00024B10">
            <w:pPr>
              <w:pStyle w:val="TableFiguresBrackets"/>
              <w:ind w:right="0"/>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(3.4)</w:t>
            </w:r>
          </w:p>
        </w:tc>
        <w:tc>
          <w:tcPr>
            <w:tcW w:w="680" w:type="dxa"/>
            <w:tcMar>
              <w:left w:w="0" w:type="dxa"/>
              <w:right w:w="0" w:type="dxa"/>
            </w:tcMar>
          </w:tcPr>
          <w:p w14:paraId="61317125" w14:textId="3A4A0140"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0" w:type="dxa"/>
            <w:tcBorders>
              <w:right w:val="single" w:sz="4" w:space="0" w:color="3D7FE0" w:themeColor="accent1"/>
            </w:tcBorders>
            <w:tcMar>
              <w:left w:w="0" w:type="dxa"/>
              <w:right w:w="0" w:type="dxa"/>
            </w:tcMar>
          </w:tcPr>
          <w:p w14:paraId="40CE7967" w14:textId="441EC6AC"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themeColor="accent1"/>
              <w:right w:val="single" w:sz="4" w:space="0" w:color="3D7FE0" w:themeColor="accent1"/>
            </w:tcBorders>
            <w:tcMar>
              <w:left w:w="0" w:type="dxa"/>
              <w:right w:w="0" w:type="dxa"/>
            </w:tcMar>
          </w:tcPr>
          <w:p w14:paraId="4C14308B" w14:textId="6BB886D4"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(3.4)</w:t>
            </w:r>
          </w:p>
        </w:tc>
        <w:tc>
          <w:tcPr>
            <w:tcW w:w="794" w:type="dxa"/>
            <w:tcBorders>
              <w:left w:val="single" w:sz="4" w:space="0" w:color="3D7FE0" w:themeColor="accent1"/>
            </w:tcBorders>
            <w:tcMar>
              <w:left w:w="0" w:type="dxa"/>
              <w:right w:w="0" w:type="dxa"/>
            </w:tcMar>
          </w:tcPr>
          <w:p w14:paraId="3D973351" w14:textId="211964C2"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6C9876B3" w14:textId="663B3620"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(3.4)</w:t>
            </w:r>
          </w:p>
        </w:tc>
      </w:tr>
      <w:tr w:rsidR="00C419BA" w:rsidRPr="0062787C" w14:paraId="578E1DC0" w14:textId="77777777" w:rsidTr="00024B10">
        <w:trPr>
          <w:cantSplit/>
        </w:trPr>
        <w:tc>
          <w:tcPr>
            <w:tcW w:w="2835" w:type="dxa"/>
            <w:tcMar>
              <w:left w:w="0" w:type="dxa"/>
              <w:right w:w="0" w:type="dxa"/>
            </w:tcMar>
          </w:tcPr>
          <w:p w14:paraId="5EACDD78" w14:textId="7A07777B"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Loss on cash flow hedge recycled to net finance costs</w:t>
            </w:r>
          </w:p>
        </w:tc>
        <w:tc>
          <w:tcPr>
            <w:tcW w:w="539" w:type="dxa"/>
            <w:tcMar>
              <w:left w:w="0" w:type="dxa"/>
              <w:right w:w="0" w:type="dxa"/>
            </w:tcMar>
          </w:tcPr>
          <w:p w14:paraId="6055BF8E" w14:textId="089846B1"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54A29BBA" w14:textId="54DC9857"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7D3D130C" w14:textId="2DCD299B"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2B10A374" w14:textId="32C1FDA5"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385B68CA" w14:textId="572C70B7" w:rsidR="00C419BA" w:rsidRPr="00D367EA" w:rsidRDefault="00C419BA" w:rsidP="00C323D2">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3.6</w:t>
            </w:r>
          </w:p>
        </w:tc>
        <w:tc>
          <w:tcPr>
            <w:tcW w:w="680" w:type="dxa"/>
            <w:tcMar>
              <w:left w:w="0" w:type="dxa"/>
              <w:right w:w="0" w:type="dxa"/>
            </w:tcMar>
          </w:tcPr>
          <w:p w14:paraId="25CFEA72" w14:textId="5EED0B26"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0" w:type="dxa"/>
            <w:tcBorders>
              <w:right w:val="single" w:sz="4" w:space="0" w:color="3D7FE0"/>
            </w:tcBorders>
            <w:tcMar>
              <w:left w:w="0" w:type="dxa"/>
              <w:right w:w="0" w:type="dxa"/>
            </w:tcMar>
          </w:tcPr>
          <w:p w14:paraId="3461E1D2" w14:textId="46D19582"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right w:val="single" w:sz="4" w:space="0" w:color="3D7FE0" w:themeColor="accent1"/>
            </w:tcBorders>
            <w:tcMar>
              <w:left w:w="0" w:type="dxa"/>
              <w:right w:w="0" w:type="dxa"/>
            </w:tcMar>
          </w:tcPr>
          <w:p w14:paraId="2A20F6EE" w14:textId="71617ADC"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3.6</w:t>
            </w:r>
          </w:p>
        </w:tc>
        <w:tc>
          <w:tcPr>
            <w:tcW w:w="794" w:type="dxa"/>
            <w:tcBorders>
              <w:left w:val="single" w:sz="4" w:space="0" w:color="3D7FE0" w:themeColor="accent1"/>
            </w:tcBorders>
            <w:tcMar>
              <w:left w:w="0" w:type="dxa"/>
              <w:right w:w="0" w:type="dxa"/>
            </w:tcMar>
          </w:tcPr>
          <w:p w14:paraId="4DADC06F" w14:textId="43B33392"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1DBC301A" w14:textId="4CCE4660"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3.6</w:t>
            </w:r>
          </w:p>
        </w:tc>
      </w:tr>
      <w:tr w:rsidR="00C419BA" w:rsidRPr="0062787C" w14:paraId="57AA46EB" w14:textId="77777777" w:rsidTr="00024B10">
        <w:trPr>
          <w:cantSplit/>
        </w:trPr>
        <w:tc>
          <w:tcPr>
            <w:tcW w:w="2835" w:type="dxa"/>
            <w:tcMar>
              <w:left w:w="0" w:type="dxa"/>
              <w:right w:w="0" w:type="dxa"/>
            </w:tcMar>
          </w:tcPr>
          <w:p w14:paraId="5EAAA8C0" w14:textId="02297E0E"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 xml:space="preserve">Share of other comprehensive loss of associates </w:t>
            </w:r>
            <w:r>
              <w:rPr>
                <w:rFonts w:ascii="IBM Plex Sans Light" w:hAnsi="IBM Plex Sans Light"/>
                <w:spacing w:val="-4"/>
                <w:szCs w:val="16"/>
              </w:rPr>
              <w:t xml:space="preserve"> (see note 13D)</w:t>
            </w:r>
          </w:p>
        </w:tc>
        <w:tc>
          <w:tcPr>
            <w:tcW w:w="539" w:type="dxa"/>
            <w:tcMar>
              <w:left w:w="0" w:type="dxa"/>
              <w:right w:w="0" w:type="dxa"/>
            </w:tcMar>
          </w:tcPr>
          <w:p w14:paraId="545775B2" w14:textId="206E9EA7"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3A4B03C2" w14:textId="4EC934F9"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6ADBF800" w14:textId="1802192A"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13C5FFA1" w14:textId="238C1888"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2DEC7F0F" w14:textId="5095DCB1" w:rsidR="00C419BA" w:rsidRPr="00D367EA" w:rsidRDefault="00C419BA" w:rsidP="00D367EA">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w:t>
            </w:r>
          </w:p>
        </w:tc>
        <w:tc>
          <w:tcPr>
            <w:tcW w:w="680" w:type="dxa"/>
            <w:tcMar>
              <w:left w:w="0" w:type="dxa"/>
              <w:right w:w="0" w:type="dxa"/>
            </w:tcMar>
          </w:tcPr>
          <w:p w14:paraId="64D3256F" w14:textId="2040507D"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(8.8)</w:t>
            </w:r>
          </w:p>
        </w:tc>
        <w:tc>
          <w:tcPr>
            <w:tcW w:w="850" w:type="dxa"/>
            <w:tcBorders>
              <w:right w:val="single" w:sz="4" w:space="0" w:color="3D7FE0"/>
            </w:tcBorders>
            <w:tcMar>
              <w:left w:w="0" w:type="dxa"/>
              <w:right w:w="0" w:type="dxa"/>
            </w:tcMar>
          </w:tcPr>
          <w:p w14:paraId="134FFC01" w14:textId="5E5C8B3F"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right w:val="single" w:sz="4" w:space="0" w:color="3D7FE0"/>
            </w:tcBorders>
            <w:tcMar>
              <w:left w:w="0" w:type="dxa"/>
              <w:right w:w="0" w:type="dxa"/>
            </w:tcMar>
          </w:tcPr>
          <w:p w14:paraId="7E835C52" w14:textId="1F56E6CD"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(8.8)</w:t>
            </w:r>
          </w:p>
        </w:tc>
        <w:tc>
          <w:tcPr>
            <w:tcW w:w="794" w:type="dxa"/>
            <w:tcBorders>
              <w:left w:val="single" w:sz="4" w:space="0" w:color="3D7FE0"/>
            </w:tcBorders>
            <w:tcMar>
              <w:left w:w="0" w:type="dxa"/>
              <w:right w:w="0" w:type="dxa"/>
            </w:tcMar>
          </w:tcPr>
          <w:p w14:paraId="1079AB34" w14:textId="63E10410"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26A9B5A5" w14:textId="4A65BF7D"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(8.8)</w:t>
            </w:r>
          </w:p>
        </w:tc>
      </w:tr>
      <w:tr w:rsidR="00C419BA" w:rsidRPr="0062787C" w14:paraId="7FD0BD81" w14:textId="77777777" w:rsidTr="00024B10">
        <w:trPr>
          <w:cantSplit/>
        </w:trPr>
        <w:tc>
          <w:tcPr>
            <w:tcW w:w="2835" w:type="dxa"/>
            <w:tcMar>
              <w:left w:w="0" w:type="dxa"/>
              <w:right w:w="0" w:type="dxa"/>
            </w:tcMar>
          </w:tcPr>
          <w:p w14:paraId="4D79B72F" w14:textId="5E5B51E7"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Net actuarial losses on pension schemes</w:t>
            </w:r>
          </w:p>
        </w:tc>
        <w:tc>
          <w:tcPr>
            <w:tcW w:w="539" w:type="dxa"/>
            <w:tcMar>
              <w:left w:w="0" w:type="dxa"/>
              <w:right w:w="0" w:type="dxa"/>
            </w:tcMar>
          </w:tcPr>
          <w:p w14:paraId="22545E7F" w14:textId="3C700AE8"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19B9F279" w14:textId="315F40B9"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0D97D89D" w14:textId="2E42B5E6"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155DAB8C" w14:textId="50491757"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458AC94A" w14:textId="1F1135D4" w:rsidR="00C419BA" w:rsidRPr="00D367EA" w:rsidRDefault="00C419BA" w:rsidP="00D367EA">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w:t>
            </w:r>
          </w:p>
        </w:tc>
        <w:tc>
          <w:tcPr>
            <w:tcW w:w="680" w:type="dxa"/>
            <w:tcMar>
              <w:left w:w="0" w:type="dxa"/>
              <w:right w:w="0" w:type="dxa"/>
            </w:tcMar>
          </w:tcPr>
          <w:p w14:paraId="7858F4E5" w14:textId="724ADBF5"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(1.4)</w:t>
            </w:r>
          </w:p>
        </w:tc>
        <w:tc>
          <w:tcPr>
            <w:tcW w:w="850" w:type="dxa"/>
            <w:tcBorders>
              <w:right w:val="single" w:sz="4" w:space="0" w:color="3D7FE0"/>
            </w:tcBorders>
            <w:tcMar>
              <w:left w:w="0" w:type="dxa"/>
              <w:right w:w="0" w:type="dxa"/>
            </w:tcMar>
          </w:tcPr>
          <w:p w14:paraId="07B7ED4E" w14:textId="3CE52CF5"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right w:val="single" w:sz="4" w:space="0" w:color="3D7FE0"/>
            </w:tcBorders>
            <w:tcMar>
              <w:left w:w="0" w:type="dxa"/>
              <w:right w:w="0" w:type="dxa"/>
            </w:tcMar>
          </w:tcPr>
          <w:p w14:paraId="36178368" w14:textId="3EFA7CA9"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(1.4)</w:t>
            </w:r>
          </w:p>
        </w:tc>
        <w:tc>
          <w:tcPr>
            <w:tcW w:w="794" w:type="dxa"/>
            <w:tcBorders>
              <w:left w:val="single" w:sz="4" w:space="0" w:color="3D7FE0"/>
            </w:tcBorders>
            <w:tcMar>
              <w:left w:w="0" w:type="dxa"/>
              <w:right w:w="0" w:type="dxa"/>
            </w:tcMar>
          </w:tcPr>
          <w:p w14:paraId="3F18FDDB" w14:textId="2A8D2814"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3CCF8291" w14:textId="04474217"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(1.4)</w:t>
            </w:r>
          </w:p>
        </w:tc>
      </w:tr>
      <w:tr w:rsidR="00C419BA" w:rsidRPr="0062787C" w14:paraId="4DEA6248" w14:textId="77777777" w:rsidTr="00024B10">
        <w:trPr>
          <w:cantSplit/>
        </w:trPr>
        <w:tc>
          <w:tcPr>
            <w:tcW w:w="2835" w:type="dxa"/>
            <w:tcBorders>
              <w:bottom w:val="single" w:sz="4" w:space="0" w:color="3D7FE0" w:themeColor="accent1"/>
            </w:tcBorders>
            <w:tcMar>
              <w:left w:w="0" w:type="dxa"/>
              <w:right w:w="0" w:type="dxa"/>
            </w:tcMar>
          </w:tcPr>
          <w:p w14:paraId="0D92D4DC" w14:textId="76B71677"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Loss for the year</w:t>
            </w:r>
          </w:p>
        </w:tc>
        <w:tc>
          <w:tcPr>
            <w:tcW w:w="539" w:type="dxa"/>
            <w:tcBorders>
              <w:bottom w:val="single" w:sz="4" w:space="0" w:color="3D7FE0" w:themeColor="accent1"/>
            </w:tcBorders>
            <w:tcMar>
              <w:left w:w="0" w:type="dxa"/>
              <w:right w:w="0" w:type="dxa"/>
            </w:tcMar>
          </w:tcPr>
          <w:p w14:paraId="7B32811F" w14:textId="3CBF1006"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Borders>
              <w:bottom w:val="single" w:sz="4" w:space="0" w:color="3D7FE0" w:themeColor="accent1"/>
            </w:tcBorders>
          </w:tcPr>
          <w:p w14:paraId="5B90865C" w14:textId="08D67B58"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Borders>
              <w:bottom w:val="single" w:sz="4" w:space="0" w:color="3D7FE0" w:themeColor="accent1"/>
            </w:tcBorders>
            <w:tcMar>
              <w:left w:w="0" w:type="dxa"/>
              <w:right w:w="0" w:type="dxa"/>
            </w:tcMar>
          </w:tcPr>
          <w:p w14:paraId="527F5A40" w14:textId="2746852F"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Borders>
              <w:bottom w:val="single" w:sz="4" w:space="0" w:color="3D7FE0" w:themeColor="accent1"/>
            </w:tcBorders>
            <w:tcMar>
              <w:left w:w="0" w:type="dxa"/>
              <w:right w:w="0" w:type="dxa"/>
            </w:tcMar>
          </w:tcPr>
          <w:p w14:paraId="7AB6397D" w14:textId="577027FA"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Borders>
              <w:bottom w:val="single" w:sz="4" w:space="0" w:color="3D7FE0"/>
            </w:tcBorders>
          </w:tcPr>
          <w:p w14:paraId="3BC8745C" w14:textId="04BA7BBD" w:rsidR="00C419BA" w:rsidRPr="00D367EA" w:rsidRDefault="00C419BA" w:rsidP="00D367EA">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w:t>
            </w:r>
          </w:p>
        </w:tc>
        <w:tc>
          <w:tcPr>
            <w:tcW w:w="680" w:type="dxa"/>
            <w:tcBorders>
              <w:bottom w:val="single" w:sz="4" w:space="0" w:color="3D7FE0"/>
            </w:tcBorders>
            <w:tcMar>
              <w:left w:w="0" w:type="dxa"/>
              <w:right w:w="0" w:type="dxa"/>
            </w:tcMar>
          </w:tcPr>
          <w:p w14:paraId="1424C252" w14:textId="0129B3F1"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(51.4)</w:t>
            </w:r>
          </w:p>
        </w:tc>
        <w:tc>
          <w:tcPr>
            <w:tcW w:w="850" w:type="dxa"/>
            <w:tcBorders>
              <w:bottom w:val="single" w:sz="4" w:space="0" w:color="3D7FE0"/>
              <w:right w:val="single" w:sz="4" w:space="0" w:color="3D7FE0"/>
            </w:tcBorders>
            <w:tcMar>
              <w:left w:w="0" w:type="dxa"/>
              <w:right w:w="0" w:type="dxa"/>
            </w:tcMar>
          </w:tcPr>
          <w:p w14:paraId="613F6F8C" w14:textId="37E8D375"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bottom w:val="single" w:sz="4" w:space="0" w:color="3D7FE0"/>
              <w:right w:val="single" w:sz="4" w:space="0" w:color="3D7FE0"/>
            </w:tcBorders>
            <w:tcMar>
              <w:left w:w="0" w:type="dxa"/>
              <w:right w:w="0" w:type="dxa"/>
            </w:tcMar>
          </w:tcPr>
          <w:p w14:paraId="59A72AB2" w14:textId="7A04FE1A"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(51.4)</w:t>
            </w:r>
          </w:p>
        </w:tc>
        <w:tc>
          <w:tcPr>
            <w:tcW w:w="794" w:type="dxa"/>
            <w:tcBorders>
              <w:left w:val="single" w:sz="4" w:space="0" w:color="3D7FE0"/>
              <w:bottom w:val="single" w:sz="4" w:space="0" w:color="3D7FE0"/>
            </w:tcBorders>
            <w:tcMar>
              <w:left w:w="0" w:type="dxa"/>
              <w:right w:w="0" w:type="dxa"/>
            </w:tcMar>
          </w:tcPr>
          <w:p w14:paraId="7D1DCA86" w14:textId="2C952581"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Borders>
              <w:bottom w:val="single" w:sz="4" w:space="0" w:color="3D7FE0" w:themeColor="accent1"/>
            </w:tcBorders>
            <w:tcMar>
              <w:left w:w="0" w:type="dxa"/>
              <w:right w:w="0" w:type="dxa"/>
            </w:tcMar>
          </w:tcPr>
          <w:p w14:paraId="7AEF6B0A" w14:textId="70CC9BA7"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(51.4)</w:t>
            </w:r>
          </w:p>
        </w:tc>
      </w:tr>
      <w:tr w:rsidR="00C419BA" w:rsidRPr="0062787C" w14:paraId="548D0277" w14:textId="77777777" w:rsidTr="00024B10">
        <w:trPr>
          <w:cantSplit/>
        </w:trPr>
        <w:tc>
          <w:tcPr>
            <w:tcW w:w="2835" w:type="dxa"/>
            <w:tcBorders>
              <w:top w:val="single" w:sz="4" w:space="0" w:color="3D7FE0" w:themeColor="accent1"/>
            </w:tcBorders>
            <w:tcMar>
              <w:left w:w="0" w:type="dxa"/>
              <w:right w:w="0" w:type="dxa"/>
            </w:tcMar>
          </w:tcPr>
          <w:p w14:paraId="208D6276" w14:textId="519735F8" w:rsidR="00C419BA" w:rsidRPr="007C0BC1" w:rsidRDefault="00C419BA" w:rsidP="00024B10">
            <w:pPr>
              <w:pStyle w:val="TableFiguresBrackets"/>
              <w:jc w:val="left"/>
              <w:rPr>
                <w:rFonts w:ascii="IBM Plex Sans Light" w:hAnsi="IBM Plex Sans Light"/>
                <w:spacing w:val="-4"/>
                <w:szCs w:val="16"/>
              </w:rPr>
            </w:pPr>
            <w:r w:rsidRPr="00024B10">
              <w:rPr>
                <w:rFonts w:ascii="IBM Plex Sans Light" w:hAnsi="IBM Plex Sans Light"/>
                <w:b/>
                <w:bCs/>
                <w:color w:val="3D7FE0" w:themeColor="accent1"/>
                <w:spacing w:val="-4"/>
                <w:szCs w:val="16"/>
              </w:rPr>
              <w:t>Total comprehensive loss</w:t>
            </w:r>
          </w:p>
        </w:tc>
        <w:tc>
          <w:tcPr>
            <w:tcW w:w="539" w:type="dxa"/>
            <w:tcBorders>
              <w:top w:val="single" w:sz="4" w:space="0" w:color="3D7FE0" w:themeColor="accent1"/>
            </w:tcBorders>
            <w:tcMar>
              <w:left w:w="0" w:type="dxa"/>
              <w:right w:w="0" w:type="dxa"/>
            </w:tcMar>
          </w:tcPr>
          <w:p w14:paraId="09784633" w14:textId="747C550B"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Borders>
              <w:top w:val="single" w:sz="4" w:space="0" w:color="3D7FE0" w:themeColor="accent1"/>
            </w:tcBorders>
          </w:tcPr>
          <w:p w14:paraId="6629CEB1" w14:textId="60D77F1B"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Borders>
              <w:top w:val="single" w:sz="4" w:space="0" w:color="3D7FE0" w:themeColor="accent1"/>
            </w:tcBorders>
            <w:tcMar>
              <w:left w:w="0" w:type="dxa"/>
              <w:right w:w="0" w:type="dxa"/>
            </w:tcMar>
          </w:tcPr>
          <w:p w14:paraId="6CEB5708" w14:textId="46340F3E"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Borders>
              <w:top w:val="single" w:sz="4" w:space="0" w:color="3D7FE0" w:themeColor="accent1"/>
            </w:tcBorders>
            <w:tcMar>
              <w:left w:w="0" w:type="dxa"/>
              <w:right w:w="0" w:type="dxa"/>
            </w:tcMar>
          </w:tcPr>
          <w:p w14:paraId="1B76BBFA" w14:textId="56398E98"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Borders>
              <w:top w:val="single" w:sz="4" w:space="0" w:color="3D7FE0"/>
            </w:tcBorders>
          </w:tcPr>
          <w:p w14:paraId="35163937" w14:textId="79204B96" w:rsidR="00C419BA" w:rsidRPr="00D367EA" w:rsidRDefault="00C419BA" w:rsidP="00D367EA">
            <w:pPr>
              <w:pStyle w:val="TableFiguresBrackets"/>
              <w:ind w:right="0"/>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(29.9)</w:t>
            </w:r>
          </w:p>
        </w:tc>
        <w:tc>
          <w:tcPr>
            <w:tcW w:w="680" w:type="dxa"/>
            <w:tcBorders>
              <w:top w:val="single" w:sz="4" w:space="0" w:color="3D7FE0"/>
            </w:tcBorders>
            <w:tcMar>
              <w:left w:w="0" w:type="dxa"/>
              <w:right w:w="0" w:type="dxa"/>
            </w:tcMar>
          </w:tcPr>
          <w:p w14:paraId="309DD331" w14:textId="6700A8AF"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(61.6)</w:t>
            </w:r>
          </w:p>
        </w:tc>
        <w:tc>
          <w:tcPr>
            <w:tcW w:w="850" w:type="dxa"/>
            <w:tcBorders>
              <w:top w:val="single" w:sz="4" w:space="0" w:color="3D7FE0"/>
              <w:right w:val="single" w:sz="4" w:space="0" w:color="3D7FE0"/>
            </w:tcBorders>
            <w:tcMar>
              <w:left w:w="0" w:type="dxa"/>
              <w:right w:w="0" w:type="dxa"/>
            </w:tcMar>
          </w:tcPr>
          <w:p w14:paraId="31BBBAF8" w14:textId="1F5430B2"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top w:val="single" w:sz="4" w:space="0" w:color="3D7FE0"/>
              <w:left w:val="single" w:sz="4" w:space="0" w:color="3D7FE0"/>
              <w:right w:val="single" w:sz="4" w:space="0" w:color="3D7FE0"/>
            </w:tcBorders>
            <w:tcMar>
              <w:left w:w="0" w:type="dxa"/>
              <w:right w:w="0" w:type="dxa"/>
            </w:tcMar>
          </w:tcPr>
          <w:p w14:paraId="0A009077" w14:textId="7BDCDE73"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(91.5)</w:t>
            </w:r>
          </w:p>
        </w:tc>
        <w:tc>
          <w:tcPr>
            <w:tcW w:w="794" w:type="dxa"/>
            <w:tcBorders>
              <w:top w:val="single" w:sz="4" w:space="0" w:color="3D7FE0"/>
              <w:left w:val="single" w:sz="4" w:space="0" w:color="3D7FE0"/>
            </w:tcBorders>
            <w:tcMar>
              <w:left w:w="0" w:type="dxa"/>
              <w:right w:w="0" w:type="dxa"/>
            </w:tcMar>
          </w:tcPr>
          <w:p w14:paraId="52B2ECF0" w14:textId="634ECE0C"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Borders>
              <w:top w:val="single" w:sz="4" w:space="0" w:color="3D7FE0" w:themeColor="accent1"/>
            </w:tcBorders>
            <w:tcMar>
              <w:left w:w="0" w:type="dxa"/>
              <w:right w:w="0" w:type="dxa"/>
            </w:tcMar>
          </w:tcPr>
          <w:p w14:paraId="35388682" w14:textId="61438E54"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(91.5)</w:t>
            </w:r>
          </w:p>
        </w:tc>
      </w:tr>
      <w:tr w:rsidR="00C419BA" w:rsidRPr="0062787C" w14:paraId="7E6E38BF" w14:textId="77777777" w:rsidTr="00024B10">
        <w:trPr>
          <w:cantSplit/>
        </w:trPr>
        <w:tc>
          <w:tcPr>
            <w:tcW w:w="2835" w:type="dxa"/>
            <w:tcMar>
              <w:left w:w="0" w:type="dxa"/>
              <w:right w:w="0" w:type="dxa"/>
            </w:tcMar>
          </w:tcPr>
          <w:p w14:paraId="0DB3DAEF" w14:textId="77777777" w:rsidR="00C419BA" w:rsidRPr="00E75481" w:rsidRDefault="00C419BA" w:rsidP="00E75481">
            <w:pPr>
              <w:pStyle w:val="TableFigures"/>
              <w:jc w:val="left"/>
              <w:rPr>
                <w:rFonts w:ascii="IBM Plex Sans Light" w:hAnsi="IBM Plex Sans Light"/>
                <w:spacing w:val="-4"/>
                <w:szCs w:val="16"/>
              </w:rPr>
            </w:pPr>
          </w:p>
        </w:tc>
        <w:tc>
          <w:tcPr>
            <w:tcW w:w="539" w:type="dxa"/>
            <w:tcMar>
              <w:left w:w="0" w:type="dxa"/>
              <w:right w:w="0" w:type="dxa"/>
            </w:tcMar>
          </w:tcPr>
          <w:p w14:paraId="62DC9296" w14:textId="77777777" w:rsidR="00C419BA" w:rsidRPr="00E75481" w:rsidRDefault="00C419BA" w:rsidP="00E75481">
            <w:pPr>
              <w:pStyle w:val="TableFigures"/>
              <w:rPr>
                <w:rFonts w:ascii="IBM Plex Sans Medium" w:hAnsi="IBM Plex Sans Medium"/>
                <w:b/>
                <w:color w:val="3D7FE0" w:themeColor="accent1"/>
                <w:spacing w:val="-4"/>
                <w:sz w:val="15"/>
                <w:szCs w:val="15"/>
              </w:rPr>
            </w:pPr>
          </w:p>
        </w:tc>
        <w:tc>
          <w:tcPr>
            <w:tcW w:w="879" w:type="dxa"/>
          </w:tcPr>
          <w:p w14:paraId="42F07350" w14:textId="77777777" w:rsidR="00C419BA" w:rsidRPr="00E75481" w:rsidRDefault="00C419BA" w:rsidP="00E75481">
            <w:pPr>
              <w:pStyle w:val="TableFigures"/>
              <w:ind w:left="-51"/>
              <w:rPr>
                <w:rFonts w:ascii="IBM Plex Sans Medium" w:hAnsi="IBM Plex Sans Medium"/>
                <w:b/>
                <w:color w:val="3D7FE0" w:themeColor="accent1"/>
                <w:spacing w:val="-4"/>
                <w:sz w:val="15"/>
                <w:szCs w:val="15"/>
              </w:rPr>
            </w:pPr>
          </w:p>
        </w:tc>
        <w:tc>
          <w:tcPr>
            <w:tcW w:w="595" w:type="dxa"/>
            <w:tcMar>
              <w:left w:w="0" w:type="dxa"/>
              <w:right w:w="0" w:type="dxa"/>
            </w:tcMar>
          </w:tcPr>
          <w:p w14:paraId="1D849058" w14:textId="77777777" w:rsidR="00C419BA" w:rsidRPr="00E75481" w:rsidDel="006F6E7C" w:rsidRDefault="00C419BA" w:rsidP="00E75481">
            <w:pPr>
              <w:pStyle w:val="TableFigures"/>
              <w:rPr>
                <w:rFonts w:ascii="IBM Plex Sans Medium" w:hAnsi="IBM Plex Sans Medium"/>
                <w:b/>
                <w:color w:val="3D7FE0" w:themeColor="accent1"/>
                <w:spacing w:val="-4"/>
                <w:sz w:val="15"/>
                <w:szCs w:val="15"/>
              </w:rPr>
            </w:pPr>
          </w:p>
        </w:tc>
        <w:tc>
          <w:tcPr>
            <w:tcW w:w="823" w:type="dxa"/>
            <w:tcMar>
              <w:left w:w="0" w:type="dxa"/>
              <w:right w:w="0" w:type="dxa"/>
            </w:tcMar>
          </w:tcPr>
          <w:p w14:paraId="01A23000" w14:textId="77777777" w:rsidR="00C419BA" w:rsidRPr="00E75481" w:rsidDel="006F6E7C" w:rsidRDefault="00C419BA" w:rsidP="00E75481">
            <w:pPr>
              <w:pStyle w:val="TableFigures"/>
              <w:rPr>
                <w:rFonts w:ascii="IBM Plex Sans Medium" w:hAnsi="IBM Plex Sans Medium"/>
                <w:b/>
                <w:color w:val="3D7FE0" w:themeColor="accent1"/>
                <w:spacing w:val="-4"/>
                <w:sz w:val="15"/>
                <w:szCs w:val="15"/>
              </w:rPr>
            </w:pPr>
          </w:p>
        </w:tc>
        <w:tc>
          <w:tcPr>
            <w:tcW w:w="709" w:type="dxa"/>
          </w:tcPr>
          <w:p w14:paraId="46183409" w14:textId="77777777" w:rsidR="00C419BA" w:rsidRPr="00D367EA" w:rsidRDefault="00C419BA" w:rsidP="00D367EA">
            <w:pPr>
              <w:pStyle w:val="TableFiguresBrackets"/>
              <w:ind w:right="0"/>
              <w:rPr>
                <w:rFonts w:ascii="IBM Plex Sans Medium" w:hAnsi="IBM Plex Sans Medium"/>
                <w:b/>
                <w:color w:val="3D7FE0" w:themeColor="accent1"/>
                <w:spacing w:val="-4"/>
                <w:sz w:val="15"/>
                <w:szCs w:val="15"/>
              </w:rPr>
            </w:pPr>
          </w:p>
        </w:tc>
        <w:tc>
          <w:tcPr>
            <w:tcW w:w="680" w:type="dxa"/>
            <w:tcMar>
              <w:left w:w="0" w:type="dxa"/>
              <w:right w:w="0" w:type="dxa"/>
            </w:tcMar>
          </w:tcPr>
          <w:p w14:paraId="2991146A" w14:textId="77777777" w:rsidR="00C419BA" w:rsidRPr="00E75481" w:rsidRDefault="00C419BA" w:rsidP="00D367EA">
            <w:pPr>
              <w:pStyle w:val="TableFiguresBrackets"/>
              <w:rPr>
                <w:rFonts w:ascii="IBM Plex Sans Medium" w:hAnsi="IBM Plex Sans Medium"/>
                <w:b/>
                <w:color w:val="3D7FE0" w:themeColor="accent1"/>
                <w:spacing w:val="-4"/>
                <w:sz w:val="15"/>
                <w:szCs w:val="15"/>
              </w:rPr>
            </w:pPr>
          </w:p>
        </w:tc>
        <w:tc>
          <w:tcPr>
            <w:tcW w:w="850" w:type="dxa"/>
            <w:tcBorders>
              <w:right w:val="single" w:sz="4" w:space="0" w:color="3D7FE0"/>
            </w:tcBorders>
            <w:tcMar>
              <w:left w:w="0" w:type="dxa"/>
              <w:right w:w="0" w:type="dxa"/>
            </w:tcMar>
          </w:tcPr>
          <w:p w14:paraId="3DC8EEF7" w14:textId="77777777" w:rsidR="00C419BA" w:rsidRPr="00E75481" w:rsidRDefault="00C419BA" w:rsidP="00E75481">
            <w:pPr>
              <w:pStyle w:val="TableFiguresBrackets"/>
              <w:ind w:right="85"/>
              <w:rPr>
                <w:rFonts w:ascii="IBM Plex Sans Medium" w:hAnsi="IBM Plex Sans Medium"/>
                <w:b/>
                <w:color w:val="3D7FE0" w:themeColor="accent1"/>
                <w:spacing w:val="-4"/>
                <w:sz w:val="15"/>
                <w:szCs w:val="15"/>
              </w:rPr>
            </w:pPr>
          </w:p>
        </w:tc>
        <w:tc>
          <w:tcPr>
            <w:tcW w:w="907" w:type="dxa"/>
            <w:tcBorders>
              <w:left w:val="single" w:sz="4" w:space="0" w:color="3D7FE0"/>
              <w:right w:val="single" w:sz="4" w:space="0" w:color="3D7FE0"/>
            </w:tcBorders>
            <w:tcMar>
              <w:left w:w="0" w:type="dxa"/>
              <w:right w:w="0" w:type="dxa"/>
            </w:tcMar>
          </w:tcPr>
          <w:p w14:paraId="60844601" w14:textId="77777777" w:rsidR="00C419BA" w:rsidRPr="00E75481" w:rsidRDefault="00C419BA" w:rsidP="00E75481">
            <w:pPr>
              <w:pStyle w:val="TableFigures"/>
              <w:rPr>
                <w:rFonts w:ascii="IBM Plex Sans Medium" w:hAnsi="IBM Plex Sans Medium"/>
                <w:b/>
                <w:color w:val="3D7FE0" w:themeColor="accent1"/>
                <w:spacing w:val="-4"/>
                <w:sz w:val="15"/>
                <w:szCs w:val="15"/>
              </w:rPr>
            </w:pPr>
          </w:p>
        </w:tc>
        <w:tc>
          <w:tcPr>
            <w:tcW w:w="794" w:type="dxa"/>
            <w:tcBorders>
              <w:left w:val="single" w:sz="4" w:space="0" w:color="3D7FE0"/>
            </w:tcBorders>
            <w:tcMar>
              <w:left w:w="0" w:type="dxa"/>
              <w:right w:w="0" w:type="dxa"/>
            </w:tcMar>
          </w:tcPr>
          <w:p w14:paraId="4D7E911E" w14:textId="77777777" w:rsidR="00C419BA" w:rsidRPr="00E75481" w:rsidDel="006F6E7C" w:rsidRDefault="00C419BA" w:rsidP="00E75481">
            <w:pPr>
              <w:pStyle w:val="TableFigures"/>
              <w:rPr>
                <w:rFonts w:ascii="IBM Plex Sans Medium" w:hAnsi="IBM Plex Sans Medium"/>
                <w:b/>
                <w:color w:val="3D7FE0" w:themeColor="accent1"/>
                <w:spacing w:val="-4"/>
                <w:sz w:val="15"/>
                <w:szCs w:val="15"/>
              </w:rPr>
            </w:pPr>
          </w:p>
        </w:tc>
        <w:tc>
          <w:tcPr>
            <w:tcW w:w="852" w:type="dxa"/>
            <w:tcMar>
              <w:left w:w="0" w:type="dxa"/>
              <w:right w:w="0" w:type="dxa"/>
            </w:tcMar>
          </w:tcPr>
          <w:p w14:paraId="0B92164D" w14:textId="77777777" w:rsidR="00C419BA" w:rsidRPr="00E75481" w:rsidRDefault="00C419BA" w:rsidP="00E75481">
            <w:pPr>
              <w:pStyle w:val="TableFigures"/>
              <w:rPr>
                <w:rFonts w:ascii="IBM Plex Sans Medium" w:hAnsi="IBM Plex Sans Medium"/>
                <w:b/>
                <w:color w:val="3D7FE0" w:themeColor="accent1"/>
                <w:spacing w:val="-4"/>
                <w:sz w:val="15"/>
                <w:szCs w:val="15"/>
              </w:rPr>
            </w:pPr>
          </w:p>
        </w:tc>
      </w:tr>
      <w:tr w:rsidR="00C419BA" w:rsidRPr="0062787C" w14:paraId="41F58F55" w14:textId="77777777" w:rsidTr="00024B10">
        <w:trPr>
          <w:cantSplit/>
        </w:trPr>
        <w:tc>
          <w:tcPr>
            <w:tcW w:w="2835" w:type="dxa"/>
            <w:tcMar>
              <w:left w:w="0" w:type="dxa"/>
              <w:right w:w="0" w:type="dxa"/>
            </w:tcMar>
          </w:tcPr>
          <w:p w14:paraId="4AD672BB" w14:textId="289B547C"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 xml:space="preserve">Share-based employee remuneration </w:t>
            </w:r>
          </w:p>
        </w:tc>
        <w:tc>
          <w:tcPr>
            <w:tcW w:w="539" w:type="dxa"/>
            <w:tcMar>
              <w:left w:w="0" w:type="dxa"/>
              <w:right w:w="0" w:type="dxa"/>
            </w:tcMar>
          </w:tcPr>
          <w:p w14:paraId="2D78D92A" w14:textId="77B822E6"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102FD95B" w14:textId="6E1FD174"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16B23B46" w14:textId="55B351BD"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4E989D48" w14:textId="5B53B093"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4FD6BD7B" w14:textId="34A9ED57" w:rsidR="00C419BA" w:rsidRPr="00D367EA" w:rsidRDefault="00C419BA" w:rsidP="00D367EA">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w:t>
            </w:r>
          </w:p>
        </w:tc>
        <w:tc>
          <w:tcPr>
            <w:tcW w:w="680" w:type="dxa"/>
            <w:tcMar>
              <w:left w:w="0" w:type="dxa"/>
              <w:right w:w="0" w:type="dxa"/>
            </w:tcMar>
          </w:tcPr>
          <w:p w14:paraId="7C2FE7DB" w14:textId="7602F8B2"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3.6</w:t>
            </w:r>
          </w:p>
        </w:tc>
        <w:tc>
          <w:tcPr>
            <w:tcW w:w="850" w:type="dxa"/>
            <w:tcBorders>
              <w:right w:val="single" w:sz="4" w:space="0" w:color="3D7FE0"/>
            </w:tcBorders>
            <w:tcMar>
              <w:left w:w="0" w:type="dxa"/>
              <w:right w:w="0" w:type="dxa"/>
            </w:tcMar>
          </w:tcPr>
          <w:p w14:paraId="54DEA409" w14:textId="6B0BB98D"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right w:val="single" w:sz="4" w:space="0" w:color="3D7FE0"/>
            </w:tcBorders>
            <w:tcMar>
              <w:left w:w="0" w:type="dxa"/>
              <w:right w:w="0" w:type="dxa"/>
            </w:tcMar>
          </w:tcPr>
          <w:p w14:paraId="7C47C143" w14:textId="3BDA3DD9"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3.6</w:t>
            </w:r>
          </w:p>
        </w:tc>
        <w:tc>
          <w:tcPr>
            <w:tcW w:w="794" w:type="dxa"/>
            <w:tcBorders>
              <w:left w:val="single" w:sz="4" w:space="0" w:color="3D7FE0"/>
            </w:tcBorders>
            <w:tcMar>
              <w:left w:w="0" w:type="dxa"/>
              <w:right w:w="0" w:type="dxa"/>
            </w:tcMar>
          </w:tcPr>
          <w:p w14:paraId="67CE18EE" w14:textId="3E838FC4"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689F4A62" w14:textId="582F1530"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3.6</w:t>
            </w:r>
          </w:p>
        </w:tc>
      </w:tr>
      <w:tr w:rsidR="00C419BA" w:rsidRPr="0062787C" w14:paraId="0DDEDEC9" w14:textId="77777777" w:rsidTr="00024B10">
        <w:trPr>
          <w:cantSplit/>
        </w:trPr>
        <w:tc>
          <w:tcPr>
            <w:tcW w:w="2835" w:type="dxa"/>
            <w:tcMar>
              <w:left w:w="0" w:type="dxa"/>
              <w:right w:w="0" w:type="dxa"/>
            </w:tcMar>
          </w:tcPr>
          <w:p w14:paraId="489E8893" w14:textId="5962B198"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Cost of shares awarded to employees</w:t>
            </w:r>
          </w:p>
        </w:tc>
        <w:tc>
          <w:tcPr>
            <w:tcW w:w="539" w:type="dxa"/>
            <w:tcMar>
              <w:left w:w="0" w:type="dxa"/>
              <w:right w:w="0" w:type="dxa"/>
            </w:tcMar>
          </w:tcPr>
          <w:p w14:paraId="2B677CEE" w14:textId="214CBB1D"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Pr>
          <w:p w14:paraId="3C307AF2" w14:textId="17B317DC"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Mar>
              <w:left w:w="0" w:type="dxa"/>
              <w:right w:w="0" w:type="dxa"/>
            </w:tcMar>
          </w:tcPr>
          <w:p w14:paraId="2AE97081" w14:textId="4CA721F9"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Mar>
              <w:left w:w="0" w:type="dxa"/>
              <w:right w:w="0" w:type="dxa"/>
            </w:tcMar>
          </w:tcPr>
          <w:p w14:paraId="588DCF7E" w14:textId="42CF1922"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Pr>
          <w:p w14:paraId="535DEB51" w14:textId="1E0418BA" w:rsidR="00C419BA" w:rsidRPr="00D367EA" w:rsidRDefault="00C419BA" w:rsidP="00D367EA">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w:t>
            </w:r>
          </w:p>
        </w:tc>
        <w:tc>
          <w:tcPr>
            <w:tcW w:w="680" w:type="dxa"/>
            <w:tcMar>
              <w:left w:w="0" w:type="dxa"/>
              <w:right w:w="0" w:type="dxa"/>
            </w:tcMar>
          </w:tcPr>
          <w:p w14:paraId="55195465" w14:textId="1E355636"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(2.4)</w:t>
            </w:r>
          </w:p>
        </w:tc>
        <w:tc>
          <w:tcPr>
            <w:tcW w:w="850" w:type="dxa"/>
            <w:tcBorders>
              <w:right w:val="single" w:sz="4" w:space="0" w:color="3D7FE0" w:themeColor="accent1"/>
            </w:tcBorders>
            <w:tcMar>
              <w:left w:w="0" w:type="dxa"/>
              <w:right w:w="0" w:type="dxa"/>
            </w:tcMar>
          </w:tcPr>
          <w:p w14:paraId="47C79BF4" w14:textId="7F3929C2"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2.4</w:t>
            </w:r>
          </w:p>
        </w:tc>
        <w:tc>
          <w:tcPr>
            <w:tcW w:w="907" w:type="dxa"/>
            <w:tcBorders>
              <w:left w:val="single" w:sz="4" w:space="0" w:color="3D7FE0" w:themeColor="accent1"/>
              <w:right w:val="single" w:sz="4" w:space="0" w:color="3D7FE0" w:themeColor="accent1"/>
            </w:tcBorders>
            <w:tcMar>
              <w:left w:w="0" w:type="dxa"/>
              <w:right w:w="0" w:type="dxa"/>
            </w:tcMar>
          </w:tcPr>
          <w:p w14:paraId="4FB6C3BF" w14:textId="4F03F701"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94" w:type="dxa"/>
            <w:tcBorders>
              <w:left w:val="single" w:sz="4" w:space="0" w:color="3D7FE0" w:themeColor="accent1"/>
            </w:tcBorders>
            <w:tcMar>
              <w:left w:w="0" w:type="dxa"/>
              <w:right w:w="0" w:type="dxa"/>
            </w:tcMar>
          </w:tcPr>
          <w:p w14:paraId="318043A4" w14:textId="6627C132"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Mar>
              <w:left w:w="0" w:type="dxa"/>
              <w:right w:w="0" w:type="dxa"/>
            </w:tcMar>
          </w:tcPr>
          <w:p w14:paraId="20AFA879" w14:textId="1E2B8138"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r>
      <w:tr w:rsidR="00C419BA" w:rsidRPr="0062787C" w14:paraId="2E369AF9" w14:textId="77777777" w:rsidTr="00024B10">
        <w:trPr>
          <w:cantSplit/>
        </w:trPr>
        <w:tc>
          <w:tcPr>
            <w:tcW w:w="2835" w:type="dxa"/>
            <w:tcBorders>
              <w:bottom w:val="single" w:sz="4" w:space="0" w:color="3D7FE0" w:themeColor="accent1"/>
            </w:tcBorders>
            <w:tcMar>
              <w:left w:w="0" w:type="dxa"/>
              <w:right w:w="0" w:type="dxa"/>
            </w:tcMar>
          </w:tcPr>
          <w:p w14:paraId="20E62334" w14:textId="64AF856E" w:rsidR="00C419BA" w:rsidRPr="00E75481" w:rsidRDefault="00C419BA" w:rsidP="00E75481">
            <w:pPr>
              <w:pStyle w:val="TableFigures"/>
              <w:jc w:val="left"/>
              <w:rPr>
                <w:rFonts w:ascii="IBM Plex Sans Light" w:hAnsi="IBM Plex Sans Light"/>
                <w:spacing w:val="-4"/>
                <w:szCs w:val="16"/>
              </w:rPr>
            </w:pPr>
            <w:r w:rsidRPr="00E75481">
              <w:rPr>
                <w:rFonts w:ascii="IBM Plex Sans Light" w:hAnsi="IBM Plex Sans Light"/>
                <w:spacing w:val="-4"/>
                <w:szCs w:val="16"/>
              </w:rPr>
              <w:t>Dividends</w:t>
            </w:r>
            <w:r>
              <w:rPr>
                <w:rFonts w:ascii="IBM Plex Sans Light" w:hAnsi="IBM Plex Sans Light"/>
                <w:spacing w:val="-4"/>
                <w:szCs w:val="16"/>
              </w:rPr>
              <w:t xml:space="preserve"> (see note 18)</w:t>
            </w:r>
          </w:p>
        </w:tc>
        <w:tc>
          <w:tcPr>
            <w:tcW w:w="539" w:type="dxa"/>
            <w:tcBorders>
              <w:bottom w:val="single" w:sz="4" w:space="0" w:color="3D7FE0" w:themeColor="accent1"/>
            </w:tcBorders>
            <w:tcMar>
              <w:left w:w="0" w:type="dxa"/>
              <w:right w:w="0" w:type="dxa"/>
            </w:tcMar>
          </w:tcPr>
          <w:p w14:paraId="5B078C6C" w14:textId="060903F5"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79" w:type="dxa"/>
            <w:tcBorders>
              <w:bottom w:val="single" w:sz="4" w:space="0" w:color="3D7FE0" w:themeColor="accent1"/>
            </w:tcBorders>
          </w:tcPr>
          <w:p w14:paraId="4BA3049E" w14:textId="22E993D7"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595" w:type="dxa"/>
            <w:tcBorders>
              <w:bottom w:val="single" w:sz="4" w:space="0" w:color="3D7FE0" w:themeColor="accent1"/>
            </w:tcBorders>
            <w:tcMar>
              <w:left w:w="0" w:type="dxa"/>
              <w:right w:w="0" w:type="dxa"/>
            </w:tcMar>
          </w:tcPr>
          <w:p w14:paraId="47F50521" w14:textId="75D95DAB"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Borders>
              <w:bottom w:val="single" w:sz="4" w:space="0" w:color="3D7FE0" w:themeColor="accent1"/>
            </w:tcBorders>
            <w:tcMar>
              <w:left w:w="0" w:type="dxa"/>
              <w:right w:w="0" w:type="dxa"/>
            </w:tcMar>
          </w:tcPr>
          <w:p w14:paraId="1DD293C3" w14:textId="2EEB5CA9"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Borders>
              <w:bottom w:val="single" w:sz="4" w:space="0" w:color="3D7FE0" w:themeColor="accent1"/>
            </w:tcBorders>
          </w:tcPr>
          <w:p w14:paraId="327B7256" w14:textId="164E9CD5" w:rsidR="00C419BA" w:rsidRPr="00D367EA" w:rsidRDefault="00C419BA" w:rsidP="00D367EA">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w:t>
            </w:r>
          </w:p>
        </w:tc>
        <w:tc>
          <w:tcPr>
            <w:tcW w:w="680" w:type="dxa"/>
            <w:tcBorders>
              <w:bottom w:val="single" w:sz="4" w:space="0" w:color="3D7FE0" w:themeColor="accent1"/>
            </w:tcBorders>
            <w:tcMar>
              <w:left w:w="0" w:type="dxa"/>
              <w:right w:w="0" w:type="dxa"/>
            </w:tcMar>
          </w:tcPr>
          <w:p w14:paraId="44DE268F" w14:textId="60E35E42"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(35.9)</w:t>
            </w:r>
          </w:p>
        </w:tc>
        <w:tc>
          <w:tcPr>
            <w:tcW w:w="850" w:type="dxa"/>
            <w:tcBorders>
              <w:bottom w:val="single" w:sz="4" w:space="0" w:color="3D7FE0" w:themeColor="accent1"/>
              <w:right w:val="single" w:sz="4" w:space="0" w:color="3D7FE0" w:themeColor="accent1"/>
            </w:tcBorders>
            <w:tcMar>
              <w:left w:w="0" w:type="dxa"/>
              <w:right w:w="0" w:type="dxa"/>
            </w:tcMar>
          </w:tcPr>
          <w:p w14:paraId="197A0335" w14:textId="0DA403BD" w:rsidR="00C419BA" w:rsidRPr="00E75481" w:rsidRDefault="00C419BA" w:rsidP="00E75481">
            <w:pPr>
              <w:pStyle w:val="TableFiguresBrackets"/>
              <w:ind w:right="85"/>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907" w:type="dxa"/>
            <w:tcBorders>
              <w:left w:val="single" w:sz="4" w:space="0" w:color="3D7FE0" w:themeColor="accent1"/>
              <w:bottom w:val="single" w:sz="4" w:space="0" w:color="3D7FE0" w:themeColor="accent1"/>
              <w:right w:val="single" w:sz="4" w:space="0" w:color="3D7FE0" w:themeColor="accent1"/>
            </w:tcBorders>
            <w:tcMar>
              <w:left w:w="0" w:type="dxa"/>
              <w:right w:w="0" w:type="dxa"/>
            </w:tcMar>
          </w:tcPr>
          <w:p w14:paraId="78D9D820" w14:textId="68302381"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(35.9)</w:t>
            </w:r>
          </w:p>
        </w:tc>
        <w:tc>
          <w:tcPr>
            <w:tcW w:w="794" w:type="dxa"/>
            <w:tcBorders>
              <w:left w:val="single" w:sz="4" w:space="0" w:color="3D7FE0" w:themeColor="accent1"/>
              <w:bottom w:val="single" w:sz="4" w:space="0" w:color="3D7FE0" w:themeColor="accent1"/>
            </w:tcBorders>
            <w:tcMar>
              <w:left w:w="0" w:type="dxa"/>
              <w:right w:w="0" w:type="dxa"/>
            </w:tcMar>
          </w:tcPr>
          <w:p w14:paraId="58453597" w14:textId="19CEEE66"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Borders>
              <w:bottom w:val="single" w:sz="4" w:space="0" w:color="3D7FE0" w:themeColor="accent1"/>
            </w:tcBorders>
            <w:tcMar>
              <w:left w:w="0" w:type="dxa"/>
              <w:right w:w="0" w:type="dxa"/>
            </w:tcMar>
          </w:tcPr>
          <w:p w14:paraId="7225C655" w14:textId="329C6D10"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(35.9)</w:t>
            </w:r>
          </w:p>
        </w:tc>
      </w:tr>
      <w:tr w:rsidR="00C419BA" w:rsidRPr="0062787C" w14:paraId="622417BF" w14:textId="77777777" w:rsidTr="00024B10">
        <w:trPr>
          <w:cantSplit/>
        </w:trPr>
        <w:tc>
          <w:tcPr>
            <w:tcW w:w="2835" w:type="dxa"/>
            <w:tcBorders>
              <w:top w:val="single" w:sz="4" w:space="0" w:color="3D7FE0" w:themeColor="accent1"/>
              <w:bottom w:val="single" w:sz="8" w:space="0" w:color="3D7FE0" w:themeColor="accent1"/>
            </w:tcBorders>
            <w:tcMar>
              <w:left w:w="0" w:type="dxa"/>
              <w:right w:w="0" w:type="dxa"/>
            </w:tcMar>
          </w:tcPr>
          <w:p w14:paraId="1EAA6F80" w14:textId="31AC3CCA" w:rsidR="00C419BA" w:rsidRPr="00C64D17" w:rsidRDefault="00C419BA" w:rsidP="00E75481">
            <w:pPr>
              <w:pStyle w:val="TableFigures"/>
              <w:jc w:val="left"/>
              <w:rPr>
                <w:rFonts w:ascii="IBM Plex Sans Medium" w:hAnsi="IBM Plex Sans Medium"/>
                <w:b/>
                <w:bCs/>
                <w:spacing w:val="-4"/>
                <w:szCs w:val="16"/>
                <w:highlight w:val="yellow"/>
              </w:rPr>
            </w:pPr>
            <w:r w:rsidRPr="00C64D17">
              <w:rPr>
                <w:rFonts w:ascii="IBM Plex Sans Light" w:hAnsi="IBM Plex Sans Light" w:cs="Arial"/>
                <w:b/>
                <w:bCs/>
                <w:color w:val="3D7FE0" w:themeColor="accent1"/>
                <w:spacing w:val="-6"/>
                <w:szCs w:val="16"/>
              </w:rPr>
              <w:t>As at 31 December 2023</w:t>
            </w:r>
          </w:p>
        </w:tc>
        <w:tc>
          <w:tcPr>
            <w:tcW w:w="539" w:type="dxa"/>
            <w:tcBorders>
              <w:top w:val="single" w:sz="4" w:space="0" w:color="3D7FE0" w:themeColor="accent1"/>
              <w:bottom w:val="single" w:sz="8" w:space="0" w:color="3D7FE0" w:themeColor="accent1"/>
            </w:tcBorders>
            <w:tcMar>
              <w:left w:w="0" w:type="dxa"/>
              <w:right w:w="0" w:type="dxa"/>
            </w:tcMar>
          </w:tcPr>
          <w:p w14:paraId="6D160847" w14:textId="3610C685"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250.1</w:t>
            </w:r>
          </w:p>
        </w:tc>
        <w:tc>
          <w:tcPr>
            <w:tcW w:w="879" w:type="dxa"/>
            <w:tcBorders>
              <w:top w:val="single" w:sz="4" w:space="0" w:color="3D7FE0" w:themeColor="accent1"/>
              <w:bottom w:val="single" w:sz="8" w:space="0" w:color="3D7FE0" w:themeColor="accent1"/>
            </w:tcBorders>
          </w:tcPr>
          <w:p w14:paraId="0148888D" w14:textId="3C9CAFA3" w:rsidR="00C419BA" w:rsidRPr="00E75481" w:rsidRDefault="00C419BA" w:rsidP="00E75481">
            <w:pPr>
              <w:pStyle w:val="TableFigures"/>
              <w:ind w:left="-51"/>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1,563.7</w:t>
            </w:r>
          </w:p>
        </w:tc>
        <w:tc>
          <w:tcPr>
            <w:tcW w:w="595" w:type="dxa"/>
            <w:tcBorders>
              <w:top w:val="single" w:sz="4" w:space="0" w:color="3D7FE0" w:themeColor="accent1"/>
              <w:bottom w:val="single" w:sz="8" w:space="0" w:color="3D7FE0" w:themeColor="accent1"/>
            </w:tcBorders>
            <w:tcMar>
              <w:left w:w="0" w:type="dxa"/>
              <w:right w:w="0" w:type="dxa"/>
            </w:tcMar>
          </w:tcPr>
          <w:p w14:paraId="56AB4D55" w14:textId="620AD974"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23" w:type="dxa"/>
            <w:tcBorders>
              <w:top w:val="single" w:sz="4" w:space="0" w:color="3D7FE0" w:themeColor="accent1"/>
              <w:bottom w:val="single" w:sz="8" w:space="0" w:color="3D7FE0" w:themeColor="accent1"/>
            </w:tcBorders>
            <w:tcMar>
              <w:left w:w="0" w:type="dxa"/>
              <w:right w:w="0" w:type="dxa"/>
            </w:tcMar>
          </w:tcPr>
          <w:p w14:paraId="04C293FE" w14:textId="55451DCB"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709" w:type="dxa"/>
            <w:tcBorders>
              <w:top w:val="single" w:sz="4" w:space="0" w:color="3D7FE0" w:themeColor="accent1"/>
              <w:bottom w:val="single" w:sz="8" w:space="0" w:color="3D7FE0" w:themeColor="accent1"/>
            </w:tcBorders>
          </w:tcPr>
          <w:p w14:paraId="37B43B9C" w14:textId="5794C8BD" w:rsidR="00C419BA" w:rsidRPr="00D367EA" w:rsidRDefault="00C419BA" w:rsidP="00C323D2">
            <w:pPr>
              <w:pStyle w:val="TableFigures"/>
              <w:rPr>
                <w:rFonts w:ascii="IBM Plex Sans Medium" w:hAnsi="IBM Plex Sans Medium"/>
                <w:b/>
                <w:color w:val="3D7FE0" w:themeColor="accent1"/>
                <w:spacing w:val="-4"/>
                <w:sz w:val="15"/>
                <w:szCs w:val="15"/>
              </w:rPr>
            </w:pPr>
            <w:r w:rsidRPr="00D367EA">
              <w:rPr>
                <w:rFonts w:ascii="IBM Plex Sans Medium" w:hAnsi="IBM Plex Sans Medium"/>
                <w:b/>
                <w:color w:val="3D7FE0" w:themeColor="accent1"/>
                <w:spacing w:val="-4"/>
                <w:sz w:val="15"/>
                <w:szCs w:val="15"/>
              </w:rPr>
              <w:t>105.5</w:t>
            </w:r>
          </w:p>
        </w:tc>
        <w:tc>
          <w:tcPr>
            <w:tcW w:w="680" w:type="dxa"/>
            <w:tcBorders>
              <w:top w:val="single" w:sz="4" w:space="0" w:color="3D7FE0" w:themeColor="accent1"/>
              <w:bottom w:val="single" w:sz="8" w:space="0" w:color="3D7FE0" w:themeColor="accent1"/>
            </w:tcBorders>
            <w:tcMar>
              <w:left w:w="0" w:type="dxa"/>
              <w:right w:w="0" w:type="dxa"/>
            </w:tcMar>
          </w:tcPr>
          <w:p w14:paraId="185F9C54" w14:textId="01E5EC41"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549.7</w:t>
            </w:r>
          </w:p>
        </w:tc>
        <w:tc>
          <w:tcPr>
            <w:tcW w:w="850" w:type="dxa"/>
            <w:tcBorders>
              <w:top w:val="single" w:sz="4" w:space="0" w:color="3D7FE0" w:themeColor="accent1"/>
              <w:bottom w:val="single" w:sz="8" w:space="0" w:color="3D7FE0" w:themeColor="accent1"/>
              <w:right w:val="single" w:sz="4" w:space="0" w:color="3D7FE0" w:themeColor="accent1"/>
            </w:tcBorders>
            <w:tcMar>
              <w:left w:w="0" w:type="dxa"/>
              <w:right w:w="0" w:type="dxa"/>
            </w:tcMar>
          </w:tcPr>
          <w:p w14:paraId="26FCEF06" w14:textId="6CA53B2C" w:rsidR="00C419BA" w:rsidRPr="00E75481" w:rsidRDefault="00C419BA" w:rsidP="00D367EA">
            <w:pPr>
              <w:pStyle w:val="TableFiguresBracket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(6.4)</w:t>
            </w:r>
          </w:p>
        </w:tc>
        <w:tc>
          <w:tcPr>
            <w:tcW w:w="907" w:type="dxa"/>
            <w:tcBorders>
              <w:top w:val="single" w:sz="4" w:space="0" w:color="3D7FE0" w:themeColor="accent1"/>
              <w:left w:val="single" w:sz="4" w:space="0" w:color="3D7FE0" w:themeColor="accent1"/>
              <w:bottom w:val="single" w:sz="8" w:space="0" w:color="3D7FE0" w:themeColor="accent1"/>
              <w:right w:val="single" w:sz="4" w:space="0" w:color="3D7FE0" w:themeColor="accent1"/>
            </w:tcBorders>
            <w:tcMar>
              <w:left w:w="0" w:type="dxa"/>
              <w:right w:w="0" w:type="dxa"/>
            </w:tcMar>
          </w:tcPr>
          <w:p w14:paraId="506A8EF9" w14:textId="19DC04B8"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2,462.6</w:t>
            </w:r>
          </w:p>
        </w:tc>
        <w:tc>
          <w:tcPr>
            <w:tcW w:w="794" w:type="dxa"/>
            <w:tcBorders>
              <w:top w:val="single" w:sz="4" w:space="0" w:color="3D7FE0" w:themeColor="accent1"/>
              <w:left w:val="single" w:sz="4" w:space="0" w:color="3D7FE0" w:themeColor="accent1"/>
              <w:bottom w:val="single" w:sz="8" w:space="0" w:color="3D7FE0" w:themeColor="accent1"/>
            </w:tcBorders>
            <w:tcMar>
              <w:left w:w="0" w:type="dxa"/>
              <w:right w:w="0" w:type="dxa"/>
            </w:tcMar>
          </w:tcPr>
          <w:p w14:paraId="22FBBF79" w14:textId="28ADC975" w:rsidR="00C419BA" w:rsidRPr="00E75481" w:rsidDel="006F6E7C"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w:t>
            </w:r>
          </w:p>
        </w:tc>
        <w:tc>
          <w:tcPr>
            <w:tcW w:w="852" w:type="dxa"/>
            <w:tcBorders>
              <w:top w:val="single" w:sz="4" w:space="0" w:color="3D7FE0" w:themeColor="accent1"/>
              <w:bottom w:val="single" w:sz="8" w:space="0" w:color="3D7FE0" w:themeColor="accent1"/>
            </w:tcBorders>
            <w:tcMar>
              <w:left w:w="0" w:type="dxa"/>
              <w:right w:w="0" w:type="dxa"/>
            </w:tcMar>
          </w:tcPr>
          <w:p w14:paraId="2EED56B5" w14:textId="2E165357" w:rsidR="00C419BA" w:rsidRPr="00E75481" w:rsidRDefault="00C419BA" w:rsidP="00E75481">
            <w:pPr>
              <w:pStyle w:val="TableFigures"/>
              <w:rPr>
                <w:rFonts w:ascii="IBM Plex Sans Medium" w:hAnsi="IBM Plex Sans Medium"/>
                <w:b/>
                <w:color w:val="3D7FE0" w:themeColor="accent1"/>
                <w:spacing w:val="-4"/>
                <w:sz w:val="15"/>
                <w:szCs w:val="15"/>
              </w:rPr>
            </w:pPr>
            <w:r w:rsidRPr="00E75481">
              <w:rPr>
                <w:rFonts w:ascii="IBM Plex Sans Medium" w:hAnsi="IBM Plex Sans Medium"/>
                <w:b/>
                <w:color w:val="3D7FE0" w:themeColor="accent1"/>
                <w:spacing w:val="-4"/>
                <w:sz w:val="15"/>
                <w:szCs w:val="15"/>
              </w:rPr>
              <w:t>2,462.6</w:t>
            </w:r>
          </w:p>
        </w:tc>
      </w:tr>
    </w:tbl>
    <w:p w14:paraId="03931C22" w14:textId="77777777" w:rsidR="000205D5" w:rsidRDefault="000205D5" w:rsidP="000205D5">
      <w:pPr>
        <w:tabs>
          <w:tab w:val="left" w:pos="340"/>
        </w:tabs>
        <w:suppressAutoHyphens/>
        <w:autoSpaceDE w:val="0"/>
        <w:autoSpaceDN w:val="0"/>
        <w:adjustRightInd w:val="0"/>
        <w:spacing w:after="57" w:line="185" w:lineRule="atLeast"/>
        <w:ind w:left="-142" w:hanging="284"/>
        <w:textAlignment w:val="center"/>
        <w:rPr>
          <w:rFonts w:ascii="IBM Plex Sans Light" w:hAnsi="IBM Plex Sans Light" w:cs="IBM Plex Sans Light"/>
          <w:color w:val="000000"/>
          <w:spacing w:val="-5"/>
          <w:sz w:val="16"/>
          <w:szCs w:val="16"/>
        </w:rPr>
      </w:pPr>
    </w:p>
    <w:p w14:paraId="16F625E7" w14:textId="3E1FD396" w:rsidR="00E75481" w:rsidRPr="00AD5E21" w:rsidRDefault="00E75481" w:rsidP="000205D5">
      <w:pPr>
        <w:tabs>
          <w:tab w:val="left" w:pos="340"/>
        </w:tabs>
        <w:suppressAutoHyphens/>
        <w:autoSpaceDE w:val="0"/>
        <w:autoSpaceDN w:val="0"/>
        <w:adjustRightInd w:val="0"/>
        <w:spacing w:after="57" w:line="185" w:lineRule="atLeast"/>
        <w:ind w:left="-142" w:hanging="284"/>
        <w:textAlignment w:val="center"/>
        <w:rPr>
          <w:rFonts w:ascii="IBM Plex Sans Light" w:hAnsi="IBM Plex Sans Light" w:cs="IBM Plex Sans Light"/>
          <w:color w:val="000000"/>
          <w:spacing w:val="-5"/>
          <w:sz w:val="16"/>
          <w:szCs w:val="16"/>
        </w:rPr>
      </w:pPr>
      <w:r w:rsidRPr="00AD5E21">
        <w:rPr>
          <w:rFonts w:ascii="IBM Plex Sans Light" w:hAnsi="IBM Plex Sans Light" w:cs="IBM Plex Sans Light"/>
          <w:color w:val="000000"/>
          <w:spacing w:val="-5"/>
          <w:sz w:val="16"/>
          <w:szCs w:val="16"/>
        </w:rPr>
        <w:t>a</w:t>
      </w:r>
      <w:r w:rsidRPr="00AD5E21">
        <w:rPr>
          <w:rFonts w:ascii="IBM Plex Sans Light" w:hAnsi="IBM Plex Sans Light" w:cs="IBM Plex Sans Light"/>
          <w:color w:val="000000"/>
          <w:spacing w:val="-5"/>
          <w:sz w:val="16"/>
          <w:szCs w:val="16"/>
        </w:rPr>
        <w:tab/>
        <w:t>Share capital includes shares held in treasury and shares held in an employee share trust, which are held at cost and excluded from equity shareholders’ funds through ‘Investment in own shares’</w:t>
      </w:r>
      <w:r w:rsidR="00D367EA">
        <w:rPr>
          <w:rFonts w:ascii="IBM Plex Sans Light" w:hAnsi="IBM Plex Sans Light" w:cs="IBM Plex Sans Light"/>
          <w:color w:val="000000"/>
          <w:spacing w:val="-5"/>
          <w:sz w:val="16"/>
          <w:szCs w:val="16"/>
        </w:rPr>
        <w:t>.</w:t>
      </w:r>
      <w:r w:rsidRPr="00AD5E21">
        <w:rPr>
          <w:rFonts w:ascii="IBM Plex Sans Light" w:hAnsi="IBM Plex Sans Light" w:cs="IBM Plex Sans Light"/>
          <w:color w:val="000000"/>
          <w:spacing w:val="-5"/>
          <w:sz w:val="16"/>
          <w:szCs w:val="16"/>
        </w:rPr>
        <w:t xml:space="preserve"> </w:t>
      </w:r>
    </w:p>
    <w:p w14:paraId="7C18DFC3" w14:textId="77777777" w:rsidR="00E75481" w:rsidRPr="00AD5E21" w:rsidRDefault="00E75481" w:rsidP="000205D5">
      <w:pPr>
        <w:tabs>
          <w:tab w:val="left" w:pos="340"/>
        </w:tabs>
        <w:suppressAutoHyphens/>
        <w:autoSpaceDE w:val="0"/>
        <w:autoSpaceDN w:val="0"/>
        <w:adjustRightInd w:val="0"/>
        <w:spacing w:after="57" w:line="185" w:lineRule="atLeast"/>
        <w:ind w:left="-142" w:hanging="284"/>
        <w:textAlignment w:val="center"/>
        <w:rPr>
          <w:rFonts w:ascii="IBM Plex Sans Light" w:hAnsi="IBM Plex Sans Light" w:cs="IBM Plex Sans Light"/>
          <w:color w:val="000000"/>
          <w:spacing w:val="-5"/>
          <w:sz w:val="16"/>
          <w:szCs w:val="16"/>
        </w:rPr>
      </w:pPr>
      <w:r w:rsidRPr="00AD5E21">
        <w:rPr>
          <w:rFonts w:ascii="IBM Plex Sans Light" w:hAnsi="IBM Plex Sans Light" w:cs="IBM Plex Sans Light"/>
          <w:color w:val="000000"/>
          <w:spacing w:val="-5"/>
          <w:sz w:val="16"/>
          <w:szCs w:val="16"/>
        </w:rPr>
        <w:t>b</w:t>
      </w:r>
      <w:r w:rsidRPr="00AD5E21">
        <w:rPr>
          <w:rFonts w:ascii="IBM Plex Sans Light" w:hAnsi="IBM Plex Sans Light" w:cs="IBM Plex Sans Light"/>
          <w:color w:val="000000"/>
          <w:spacing w:val="-5"/>
          <w:sz w:val="16"/>
          <w:szCs w:val="16"/>
        </w:rPr>
        <w:tab/>
        <w:t xml:space="preserve">The merger reserve arose in September 2014 from a placing of new shares using a structure which resulted in merger relief being taken under Section 612 of the Companies Act 2006. Following receipt of the proceeds in 2014 and the relevant criteria enabling use of the reserve having been satisfied, the amounts in the merger reserve are deemed distributable and accordingly the balance of this reserve was transferred to retained earnings. </w:t>
      </w:r>
    </w:p>
    <w:p w14:paraId="614D3BAA" w14:textId="77777777" w:rsidR="00E75481" w:rsidRPr="00AD5E21" w:rsidRDefault="00E75481" w:rsidP="000205D5">
      <w:pPr>
        <w:suppressAutoHyphens/>
        <w:autoSpaceDE w:val="0"/>
        <w:autoSpaceDN w:val="0"/>
        <w:adjustRightInd w:val="0"/>
        <w:spacing w:after="57" w:line="185" w:lineRule="atLeast"/>
        <w:ind w:left="-142" w:hanging="284"/>
        <w:textAlignment w:val="center"/>
        <w:rPr>
          <w:rFonts w:ascii="IBM Plex Sans Light" w:hAnsi="IBM Plex Sans Light" w:cs="IBM Plex Sans Light"/>
          <w:color w:val="000000"/>
          <w:spacing w:val="-5"/>
          <w:sz w:val="16"/>
          <w:szCs w:val="16"/>
        </w:rPr>
      </w:pPr>
      <w:r w:rsidRPr="00AD5E21">
        <w:rPr>
          <w:rFonts w:ascii="IBM Plex Sans Light" w:hAnsi="IBM Plex Sans Light" w:cs="IBM Plex Sans Light"/>
          <w:color w:val="000000"/>
          <w:spacing w:val="-5"/>
          <w:sz w:val="16"/>
          <w:szCs w:val="16"/>
        </w:rPr>
        <w:t>c</w:t>
      </w:r>
      <w:r w:rsidRPr="00AD5E21">
        <w:rPr>
          <w:rFonts w:ascii="IBM Plex Sans Light" w:hAnsi="IBM Plex Sans Light" w:cs="IBM Plex Sans Light"/>
          <w:color w:val="000000"/>
          <w:spacing w:val="-5"/>
          <w:sz w:val="16"/>
          <w:szCs w:val="16"/>
        </w:rPr>
        <w:tab/>
        <w:t xml:space="preserve">The capital redemption reserve comprised £14.3m relating to share buybacks which arose over a number of years up to 2019 and £183.9m resulting from the cancellation of the Company’s shares as part of the reorganisation of share capital in 2020. Following approval by the Court on 22 November 2022, this reserve was reclassified as available for distribution to shareholders in accordance with ICAEW Technical Release 02/17BL section 2.8A and as a result was transferred to retained earnings. </w:t>
      </w:r>
    </w:p>
    <w:p w14:paraId="64E3056F" w14:textId="6248DFDB" w:rsidR="004A0E9D" w:rsidRPr="00E75481" w:rsidRDefault="00E75481" w:rsidP="000205D5">
      <w:pPr>
        <w:tabs>
          <w:tab w:val="left" w:pos="340"/>
        </w:tabs>
        <w:suppressAutoHyphens/>
        <w:autoSpaceDE w:val="0"/>
        <w:autoSpaceDN w:val="0"/>
        <w:adjustRightInd w:val="0"/>
        <w:spacing w:after="57" w:line="185" w:lineRule="atLeast"/>
        <w:ind w:left="-142" w:hanging="284"/>
        <w:textAlignment w:val="center"/>
        <w:rPr>
          <w:rFonts w:ascii="IBM Plex Sans Light" w:hAnsi="IBM Plex Sans Light" w:cs="IBM Plex Sans Light"/>
          <w:color w:val="000000"/>
          <w:spacing w:val="-5"/>
          <w:sz w:val="16"/>
          <w:szCs w:val="16"/>
        </w:rPr>
      </w:pPr>
      <w:r w:rsidRPr="00AD5E21">
        <w:rPr>
          <w:rFonts w:ascii="IBM Plex Sans Light" w:hAnsi="IBM Plex Sans Light" w:cs="IBM Plex Sans Light"/>
          <w:color w:val="000000"/>
          <w:spacing w:val="-5"/>
          <w:sz w:val="16"/>
          <w:szCs w:val="16"/>
        </w:rPr>
        <w:t>d</w:t>
      </w:r>
      <w:r w:rsidRPr="00AD5E21">
        <w:rPr>
          <w:rFonts w:ascii="IBM Plex Sans Light" w:hAnsi="IBM Plex Sans Light" w:cs="IBM Plex Sans Light"/>
          <w:color w:val="000000"/>
          <w:spacing w:val="-5"/>
          <w:sz w:val="16"/>
          <w:szCs w:val="16"/>
        </w:rPr>
        <w:tab/>
        <w:t>Other reserves comprises Translation, Net investment hedge and Cash flow hedge reserves.</w:t>
      </w:r>
    </w:p>
    <w:p w14:paraId="1D853E27" w14:textId="77777777" w:rsidR="00F9445C" w:rsidRDefault="00F9445C" w:rsidP="00CD4ABD">
      <w:pPr>
        <w:spacing w:after="0" w:line="240" w:lineRule="auto"/>
        <w:rPr>
          <w:rFonts w:ascii="IBM Plex Sans Medium" w:hAnsi="IBM Plex Sans Medium" w:cs="Arial"/>
          <w:b/>
          <w:caps/>
          <w:sz w:val="24"/>
        </w:rPr>
      </w:pPr>
    </w:p>
    <w:p w14:paraId="63F57556" w14:textId="55684E00" w:rsidR="00CD4ABD" w:rsidRPr="00AB6B6E" w:rsidRDefault="00CD4ABD" w:rsidP="00CD4ABD">
      <w:pPr>
        <w:spacing w:after="0" w:line="240" w:lineRule="auto"/>
        <w:rPr>
          <w:rFonts w:ascii="IBM Plex Sans Medium" w:hAnsi="IBM Plex Sans Medium" w:cs="Arial"/>
          <w:b/>
          <w:caps/>
          <w:sz w:val="24"/>
        </w:rPr>
      </w:pPr>
      <w:r w:rsidRPr="00AB6B6E">
        <w:rPr>
          <w:rFonts w:ascii="IBM Plex Sans Medium" w:hAnsi="IBM Plex Sans Medium" w:cs="Arial"/>
          <w:b/>
          <w:caps/>
          <w:sz w:val="24"/>
        </w:rPr>
        <w:t>Consolidated cash flow statement</w:t>
      </w:r>
      <w:r w:rsidR="0066334D" w:rsidRPr="00AB6B6E">
        <w:rPr>
          <w:rFonts w:ascii="IBM Plex Sans Medium" w:hAnsi="IBM Plex Sans Medium" w:cs="Arial"/>
          <w:b/>
          <w:caps/>
          <w:sz w:val="24"/>
        </w:rPr>
        <w:t xml:space="preserve"> </w:t>
      </w:r>
    </w:p>
    <w:p w14:paraId="6E2F9C06" w14:textId="658157D0" w:rsidR="007F4BF6" w:rsidRPr="00895810" w:rsidRDefault="007F4BF6" w:rsidP="007F4BF6">
      <w:pPr>
        <w:pStyle w:val="TableFiguresBold"/>
        <w:jc w:val="left"/>
        <w:rPr>
          <w:rFonts w:ascii="IBM Plex Sans Light" w:hAnsi="IBM Plex Sans Light" w:cs="Arial"/>
          <w:b w:val="0"/>
          <w:caps/>
          <w:sz w:val="24"/>
        </w:rPr>
      </w:pPr>
      <w:r w:rsidRPr="00895810">
        <w:rPr>
          <w:rFonts w:ascii="IBM Plex Sans Light" w:hAnsi="IBM Plex Sans Light"/>
          <w:color w:val="3D7FE0" w:themeColor="accent1"/>
          <w:sz w:val="18"/>
          <w:szCs w:val="18"/>
        </w:rPr>
        <w:t xml:space="preserve">Year ended 31 December </w:t>
      </w:r>
      <w:r w:rsidR="00785AC2">
        <w:rPr>
          <w:rFonts w:ascii="IBM Plex Sans Light" w:hAnsi="IBM Plex Sans Light"/>
          <w:color w:val="3D7FE0" w:themeColor="accent1"/>
          <w:sz w:val="18"/>
          <w:szCs w:val="18"/>
        </w:rPr>
        <w:t>2023</w:t>
      </w:r>
    </w:p>
    <w:tbl>
      <w:tblPr>
        <w:tblW w:w="9923" w:type="dxa"/>
        <w:tblLayout w:type="fixed"/>
        <w:tblLook w:val="01E0" w:firstRow="1" w:lastRow="1" w:firstColumn="1" w:lastColumn="1" w:noHBand="0" w:noVBand="0"/>
      </w:tblPr>
      <w:tblGrid>
        <w:gridCol w:w="6803"/>
        <w:gridCol w:w="284"/>
        <w:gridCol w:w="509"/>
        <w:gridCol w:w="1106"/>
        <w:gridCol w:w="1221"/>
      </w:tblGrid>
      <w:tr w:rsidR="00D959EB" w:rsidRPr="00895810" w14:paraId="47CA09B5" w14:textId="26BA824E" w:rsidTr="00024B10">
        <w:trPr>
          <w:trHeight w:val="406"/>
        </w:trPr>
        <w:tc>
          <w:tcPr>
            <w:tcW w:w="6803" w:type="dxa"/>
            <w:tcBorders>
              <w:bottom w:val="single" w:sz="2" w:space="0" w:color="3D7FE0" w:themeColor="accent1"/>
            </w:tcBorders>
            <w:tcMar>
              <w:left w:w="0" w:type="dxa"/>
              <w:bottom w:w="28" w:type="dxa"/>
              <w:right w:w="0" w:type="dxa"/>
            </w:tcMar>
            <w:vAlign w:val="bottom"/>
          </w:tcPr>
          <w:p w14:paraId="721FCB37" w14:textId="499B6C5E" w:rsidR="00D959EB" w:rsidRPr="00895810" w:rsidRDefault="00D959EB" w:rsidP="008F58C5">
            <w:pPr>
              <w:pStyle w:val="TableColHeads"/>
              <w:jc w:val="left"/>
              <w:rPr>
                <w:rFonts w:ascii="IBM Plex Sans Light" w:hAnsi="IBM Plex Sans Light"/>
              </w:rPr>
            </w:pPr>
          </w:p>
        </w:tc>
        <w:tc>
          <w:tcPr>
            <w:tcW w:w="284" w:type="dxa"/>
            <w:tcBorders>
              <w:bottom w:val="single" w:sz="2" w:space="0" w:color="3D7FE0" w:themeColor="accent1"/>
            </w:tcBorders>
            <w:vAlign w:val="bottom"/>
          </w:tcPr>
          <w:p w14:paraId="75E393D5" w14:textId="36C657B7" w:rsidR="00D959EB" w:rsidRPr="00895810" w:rsidRDefault="00D959EB" w:rsidP="008F58C5">
            <w:pPr>
              <w:pStyle w:val="TableColHeads"/>
              <w:jc w:val="left"/>
              <w:rPr>
                <w:rFonts w:ascii="IBM Plex Sans Light" w:hAnsi="IBM Plex Sans Light"/>
              </w:rPr>
            </w:pPr>
          </w:p>
        </w:tc>
        <w:tc>
          <w:tcPr>
            <w:tcW w:w="509" w:type="dxa"/>
            <w:tcBorders>
              <w:bottom w:val="single" w:sz="2" w:space="0" w:color="3D7FE0" w:themeColor="accent1"/>
            </w:tcBorders>
            <w:tcMar>
              <w:left w:w="0" w:type="dxa"/>
              <w:bottom w:w="28" w:type="dxa"/>
              <w:right w:w="0" w:type="dxa"/>
            </w:tcMar>
            <w:vAlign w:val="bottom"/>
          </w:tcPr>
          <w:p w14:paraId="3AE7AD40" w14:textId="209E4DD5" w:rsidR="00D959EB" w:rsidRPr="00895810" w:rsidRDefault="00D959EB" w:rsidP="00F657BA">
            <w:pPr>
              <w:pStyle w:val="TableColHeads"/>
              <w:rPr>
                <w:rFonts w:ascii="IBM Plex Sans Light" w:hAnsi="IBM Plex Sans Light"/>
                <w:b/>
                <w:bCs/>
                <w:szCs w:val="14"/>
              </w:rPr>
            </w:pPr>
            <w:r w:rsidRPr="00895810">
              <w:rPr>
                <w:rFonts w:ascii="IBM Plex Sans Light" w:hAnsi="IBM Plex Sans Light"/>
                <w:b/>
                <w:bCs/>
                <w:szCs w:val="14"/>
              </w:rPr>
              <w:t>Note</w:t>
            </w:r>
          </w:p>
        </w:tc>
        <w:tc>
          <w:tcPr>
            <w:tcW w:w="1106" w:type="dxa"/>
            <w:tcBorders>
              <w:bottom w:val="single" w:sz="2" w:space="0" w:color="3D7FE0" w:themeColor="accent1"/>
            </w:tcBorders>
            <w:tcMar>
              <w:left w:w="0" w:type="dxa"/>
              <w:bottom w:w="28" w:type="dxa"/>
              <w:right w:w="0" w:type="dxa"/>
            </w:tcMar>
            <w:vAlign w:val="bottom"/>
          </w:tcPr>
          <w:p w14:paraId="5D1A0565" w14:textId="14CF2838" w:rsidR="00D959EB" w:rsidRPr="00895810" w:rsidRDefault="00785AC2" w:rsidP="005A5D0E">
            <w:pPr>
              <w:pStyle w:val="TableColHeadsBold"/>
              <w:rPr>
                <w:rFonts w:ascii="IBM Plex Sans Light" w:hAnsi="IBM Plex Sans Light"/>
                <w:color w:val="3D7FE0" w:themeColor="accent1"/>
                <w:szCs w:val="17"/>
              </w:rPr>
            </w:pPr>
            <w:r>
              <w:rPr>
                <w:rFonts w:ascii="IBM Plex Sans Light" w:hAnsi="IBM Plex Sans Light"/>
                <w:color w:val="3D7FE0" w:themeColor="accent1"/>
                <w:szCs w:val="17"/>
              </w:rPr>
              <w:t>2023</w:t>
            </w:r>
            <w:r w:rsidR="00D959EB" w:rsidRPr="00895810">
              <w:rPr>
                <w:rFonts w:ascii="IBM Plex Sans Light" w:hAnsi="IBM Plex Sans Light"/>
                <w:color w:val="3D7FE0" w:themeColor="accent1"/>
                <w:szCs w:val="17"/>
              </w:rPr>
              <w:t xml:space="preserve"> </w:t>
            </w:r>
          </w:p>
          <w:p w14:paraId="285B0B37" w14:textId="27A73700" w:rsidR="00D959EB" w:rsidRPr="00895810" w:rsidRDefault="00D959EB" w:rsidP="005A5D0E">
            <w:pPr>
              <w:pStyle w:val="TableColHeads"/>
              <w:rPr>
                <w:rFonts w:ascii="IBM Plex Sans Light" w:hAnsi="IBM Plex Sans Light"/>
                <w:b/>
                <w:bCs/>
                <w:i/>
              </w:rPr>
            </w:pPr>
            <w:r w:rsidRPr="00895810">
              <w:rPr>
                <w:rFonts w:ascii="IBM Plex Sans Light" w:hAnsi="IBM Plex Sans Light"/>
                <w:b/>
                <w:bCs/>
                <w:color w:val="3D7FE0" w:themeColor="accent1"/>
                <w:szCs w:val="17"/>
              </w:rPr>
              <w:t xml:space="preserve">£m </w:t>
            </w:r>
          </w:p>
        </w:tc>
        <w:tc>
          <w:tcPr>
            <w:tcW w:w="1221" w:type="dxa"/>
            <w:tcBorders>
              <w:bottom w:val="single" w:sz="2" w:space="0" w:color="3D7FE0" w:themeColor="accent1"/>
            </w:tcBorders>
            <w:vAlign w:val="bottom"/>
          </w:tcPr>
          <w:p w14:paraId="2A4EB372" w14:textId="32964B27" w:rsidR="00D959EB" w:rsidRPr="00895810" w:rsidRDefault="00D959EB" w:rsidP="00024B10">
            <w:pPr>
              <w:pStyle w:val="TableColHeads"/>
              <w:rPr>
                <w:rFonts w:ascii="IBM Plex Sans Light" w:hAnsi="IBM Plex Sans Light"/>
              </w:rPr>
            </w:pPr>
            <w:r w:rsidRPr="00895810">
              <w:rPr>
                <w:rFonts w:ascii="IBM Plex Sans Light" w:hAnsi="IBM Plex Sans Light"/>
              </w:rPr>
              <w:t>202</w:t>
            </w:r>
            <w:r w:rsidR="00785AC2">
              <w:rPr>
                <w:rFonts w:ascii="IBM Plex Sans Light" w:hAnsi="IBM Plex Sans Light"/>
              </w:rPr>
              <w:t>2</w:t>
            </w:r>
            <w:r w:rsidRPr="00895810">
              <w:rPr>
                <w:rFonts w:ascii="IBM Plex Sans Light" w:hAnsi="IBM Plex Sans Light"/>
              </w:rPr>
              <w:t xml:space="preserve"> </w:t>
            </w:r>
          </w:p>
          <w:p w14:paraId="5C25AE5F" w14:textId="446AB868" w:rsidR="00D959EB" w:rsidRPr="00895810" w:rsidRDefault="00D959EB" w:rsidP="00024B10">
            <w:pPr>
              <w:pStyle w:val="TableColHeads"/>
              <w:rPr>
                <w:rFonts w:ascii="IBM Plex Sans Light" w:hAnsi="IBM Plex Sans Light"/>
              </w:rPr>
            </w:pPr>
            <w:r w:rsidRPr="00895810">
              <w:rPr>
                <w:rFonts w:ascii="IBM Plex Sans Light" w:hAnsi="IBM Plex Sans Light"/>
              </w:rPr>
              <w:t xml:space="preserve">£m </w:t>
            </w:r>
          </w:p>
        </w:tc>
      </w:tr>
      <w:tr w:rsidR="00AD02E9" w:rsidRPr="00895810" w14:paraId="64B65F16" w14:textId="77777777" w:rsidTr="00024B10">
        <w:tc>
          <w:tcPr>
            <w:tcW w:w="6803" w:type="dxa"/>
            <w:tcBorders>
              <w:top w:val="single" w:sz="2" w:space="0" w:color="3D7FE0" w:themeColor="accent1"/>
            </w:tcBorders>
            <w:tcMar>
              <w:left w:w="0" w:type="dxa"/>
              <w:right w:w="0" w:type="dxa"/>
            </w:tcMar>
            <w:vAlign w:val="bottom"/>
          </w:tcPr>
          <w:p w14:paraId="5B27C884" w14:textId="27C02E70" w:rsidR="00AD02E9" w:rsidRPr="00895810" w:rsidRDefault="00AD02E9" w:rsidP="00AD02E9">
            <w:pPr>
              <w:spacing w:after="0" w:line="240" w:lineRule="auto"/>
              <w:rPr>
                <w:rFonts w:ascii="IBM Plex Sans Light" w:hAnsi="IBM Plex Sans Light"/>
              </w:rPr>
            </w:pPr>
            <w:r w:rsidRPr="00895810">
              <w:rPr>
                <w:rFonts w:ascii="IBM Plex Sans Light" w:hAnsi="IBM Plex Sans Light"/>
              </w:rPr>
              <w:t>Profit from operating activities</w:t>
            </w:r>
          </w:p>
        </w:tc>
        <w:tc>
          <w:tcPr>
            <w:tcW w:w="284" w:type="dxa"/>
            <w:tcBorders>
              <w:top w:val="single" w:sz="2" w:space="0" w:color="3D7FE0" w:themeColor="accent1"/>
            </w:tcBorders>
            <w:vAlign w:val="bottom"/>
          </w:tcPr>
          <w:p w14:paraId="7329CF35" w14:textId="24CE230F" w:rsidR="00AD02E9" w:rsidRPr="00895810" w:rsidRDefault="00AD02E9" w:rsidP="00AD02E9">
            <w:pPr>
              <w:spacing w:after="0" w:line="240" w:lineRule="auto"/>
              <w:rPr>
                <w:rFonts w:ascii="IBM Plex Sans Light" w:hAnsi="IBM Plex Sans Light"/>
              </w:rPr>
            </w:pPr>
          </w:p>
        </w:tc>
        <w:tc>
          <w:tcPr>
            <w:tcW w:w="509" w:type="dxa"/>
            <w:tcBorders>
              <w:top w:val="single" w:sz="2" w:space="0" w:color="3D7FE0" w:themeColor="accent1"/>
            </w:tcBorders>
            <w:tcMar>
              <w:left w:w="0" w:type="dxa"/>
              <w:right w:w="0" w:type="dxa"/>
            </w:tcMar>
            <w:vAlign w:val="bottom"/>
          </w:tcPr>
          <w:p w14:paraId="25FF24FC" w14:textId="77777777" w:rsidR="00AD02E9" w:rsidRPr="00895810" w:rsidRDefault="00AD02E9" w:rsidP="00AD02E9">
            <w:pPr>
              <w:pStyle w:val="TableFiguresBold"/>
              <w:rPr>
                <w:rFonts w:ascii="IBM Plex Sans Light" w:hAnsi="IBM Plex Sans Light"/>
                <w:b w:val="0"/>
                <w:bCs w:val="0"/>
                <w:color w:val="auto"/>
                <w:spacing w:val="-4"/>
                <w:szCs w:val="16"/>
              </w:rPr>
            </w:pPr>
          </w:p>
        </w:tc>
        <w:tc>
          <w:tcPr>
            <w:tcW w:w="1106" w:type="dxa"/>
            <w:tcBorders>
              <w:top w:val="single" w:sz="2" w:space="0" w:color="3D7FE0" w:themeColor="accent1"/>
            </w:tcBorders>
            <w:tcMar>
              <w:left w:w="0" w:type="dxa"/>
              <w:right w:w="0" w:type="dxa"/>
            </w:tcMar>
          </w:tcPr>
          <w:p w14:paraId="483A8D6C" w14:textId="6CDF71A5"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26.2</w:t>
            </w:r>
          </w:p>
        </w:tc>
        <w:tc>
          <w:tcPr>
            <w:tcW w:w="1221" w:type="dxa"/>
            <w:tcBorders>
              <w:top w:val="single" w:sz="2" w:space="0" w:color="3D7FE0" w:themeColor="accent1"/>
            </w:tcBorders>
          </w:tcPr>
          <w:p w14:paraId="095032B7" w14:textId="25BAC034" w:rsidR="00AD02E9" w:rsidRPr="00024B10" w:rsidRDefault="00AD02E9" w:rsidP="00024B10">
            <w:pPr>
              <w:pStyle w:val="TableFigures"/>
              <w:rPr>
                <w:rFonts w:ascii="IBM Plex Sans Light" w:hAnsi="IBM Plex Sans Light"/>
                <w:b/>
                <w:bCs/>
                <w:spacing w:val="-4"/>
                <w:sz w:val="18"/>
                <w:szCs w:val="18"/>
              </w:rPr>
            </w:pPr>
            <w:r w:rsidRPr="00024B10">
              <w:rPr>
                <w:rFonts w:ascii="IBM Plex Sans Light" w:hAnsi="IBM Plex Sans Light"/>
                <w:spacing w:val="-4"/>
                <w:sz w:val="18"/>
                <w:szCs w:val="18"/>
              </w:rPr>
              <w:t>29.7</w:t>
            </w:r>
          </w:p>
        </w:tc>
      </w:tr>
      <w:tr w:rsidR="00AD02E9" w:rsidRPr="00895810" w14:paraId="32511AD3" w14:textId="77777777" w:rsidTr="00024B10">
        <w:tc>
          <w:tcPr>
            <w:tcW w:w="6803" w:type="dxa"/>
            <w:tcMar>
              <w:left w:w="0" w:type="dxa"/>
              <w:right w:w="0" w:type="dxa"/>
            </w:tcMar>
            <w:vAlign w:val="bottom"/>
          </w:tcPr>
          <w:p w14:paraId="6CEBBBDB" w14:textId="1546097C" w:rsidR="00AD02E9" w:rsidRPr="00895810" w:rsidRDefault="00AD02E9" w:rsidP="00AD02E9">
            <w:pPr>
              <w:spacing w:after="0" w:line="240" w:lineRule="auto"/>
              <w:rPr>
                <w:rFonts w:ascii="IBM Plex Sans Light" w:hAnsi="IBM Plex Sans Light"/>
              </w:rPr>
            </w:pPr>
            <w:r w:rsidRPr="00895810">
              <w:rPr>
                <w:rFonts w:ascii="IBM Plex Sans Light" w:hAnsi="IBM Plex Sans Light"/>
              </w:rPr>
              <w:t xml:space="preserve">Net movements in working capital and restricted monetary assets </w:t>
            </w:r>
          </w:p>
        </w:tc>
        <w:tc>
          <w:tcPr>
            <w:tcW w:w="284" w:type="dxa"/>
            <w:vAlign w:val="bottom"/>
          </w:tcPr>
          <w:p w14:paraId="5D084C5F" w14:textId="5EDCD5BF" w:rsidR="00AD02E9" w:rsidRPr="00895810" w:rsidRDefault="00AD02E9" w:rsidP="00AD02E9">
            <w:pPr>
              <w:spacing w:after="0" w:line="240" w:lineRule="auto"/>
              <w:rPr>
                <w:rFonts w:ascii="IBM Plex Sans Light" w:hAnsi="IBM Plex Sans Light"/>
              </w:rPr>
            </w:pPr>
          </w:p>
        </w:tc>
        <w:tc>
          <w:tcPr>
            <w:tcW w:w="509" w:type="dxa"/>
            <w:tcMar>
              <w:left w:w="0" w:type="dxa"/>
              <w:right w:w="0" w:type="dxa"/>
            </w:tcMar>
            <w:vAlign w:val="bottom"/>
          </w:tcPr>
          <w:p w14:paraId="2266B98C" w14:textId="3B80E3E4" w:rsidR="00AD02E9" w:rsidRPr="00895810" w:rsidRDefault="00506F30" w:rsidP="00AD02E9">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19</w:t>
            </w:r>
            <w:r w:rsidR="00AD02E9" w:rsidRPr="00895810">
              <w:rPr>
                <w:rFonts w:ascii="IBM Plex Sans Light" w:hAnsi="IBM Plex Sans Light"/>
                <w:b w:val="0"/>
                <w:bCs w:val="0"/>
                <w:color w:val="auto"/>
                <w:spacing w:val="-4"/>
                <w:szCs w:val="16"/>
              </w:rPr>
              <w:t>A</w:t>
            </w:r>
          </w:p>
        </w:tc>
        <w:tc>
          <w:tcPr>
            <w:tcW w:w="1106" w:type="dxa"/>
            <w:tcMar>
              <w:left w:w="0" w:type="dxa"/>
              <w:right w:w="0" w:type="dxa"/>
            </w:tcMar>
          </w:tcPr>
          <w:p w14:paraId="59E8EBF3" w14:textId="5317ABDE"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(4.7)</w:t>
            </w:r>
          </w:p>
        </w:tc>
        <w:tc>
          <w:tcPr>
            <w:tcW w:w="1221" w:type="dxa"/>
          </w:tcPr>
          <w:p w14:paraId="57B0BD0A" w14:textId="3F2DC4F4" w:rsidR="00AD02E9" w:rsidRPr="00895810" w:rsidRDefault="00AD02E9" w:rsidP="00AD02E9">
            <w:pPr>
              <w:pStyle w:val="TableFiguresBold"/>
              <w:rPr>
                <w:rFonts w:ascii="IBM Plex Sans Light" w:hAnsi="IBM Plex Sans Light"/>
                <w:b w:val="0"/>
                <w:bCs w:val="0"/>
                <w:color w:val="auto"/>
                <w:spacing w:val="-4"/>
                <w:sz w:val="18"/>
                <w:szCs w:val="18"/>
              </w:rPr>
            </w:pPr>
            <w:r w:rsidRPr="005006D8">
              <w:rPr>
                <w:rFonts w:ascii="IBM Plex Sans Light" w:hAnsi="IBM Plex Sans Light"/>
                <w:b w:val="0"/>
                <w:bCs w:val="0"/>
                <w:color w:val="auto"/>
                <w:spacing w:val="-4"/>
                <w:sz w:val="18"/>
                <w:szCs w:val="18"/>
              </w:rPr>
              <w:t>2.6</w:t>
            </w:r>
          </w:p>
        </w:tc>
      </w:tr>
      <w:tr w:rsidR="00AD02E9" w:rsidRPr="00895810" w14:paraId="7F524E55" w14:textId="77777777" w:rsidTr="00024B10">
        <w:tc>
          <w:tcPr>
            <w:tcW w:w="6803" w:type="dxa"/>
            <w:tcBorders>
              <w:bottom w:val="single" w:sz="2" w:space="0" w:color="3D7FE0" w:themeColor="accent1"/>
            </w:tcBorders>
            <w:tcMar>
              <w:left w:w="0" w:type="dxa"/>
              <w:right w:w="0" w:type="dxa"/>
            </w:tcMar>
            <w:vAlign w:val="bottom"/>
          </w:tcPr>
          <w:p w14:paraId="0C95E82B" w14:textId="351F0418" w:rsidR="00AD02E9" w:rsidRPr="00895810" w:rsidRDefault="00AD02E9" w:rsidP="00AD02E9">
            <w:pPr>
              <w:spacing w:after="0" w:line="240" w:lineRule="auto"/>
              <w:rPr>
                <w:rFonts w:ascii="IBM Plex Sans Light" w:hAnsi="IBM Plex Sans Light"/>
              </w:rPr>
            </w:pPr>
            <w:r w:rsidRPr="00895810">
              <w:rPr>
                <w:rFonts w:ascii="IBM Plex Sans Light" w:hAnsi="IBM Plex Sans Light"/>
              </w:rPr>
              <w:t>Non-cash items</w:t>
            </w:r>
          </w:p>
        </w:tc>
        <w:tc>
          <w:tcPr>
            <w:tcW w:w="284" w:type="dxa"/>
            <w:tcBorders>
              <w:bottom w:val="single" w:sz="2" w:space="0" w:color="3D7FE0" w:themeColor="accent1"/>
            </w:tcBorders>
            <w:vAlign w:val="bottom"/>
          </w:tcPr>
          <w:p w14:paraId="7F4AB1AE" w14:textId="5900D7D4" w:rsidR="00AD02E9" w:rsidRPr="00895810" w:rsidRDefault="00AD02E9" w:rsidP="00AD02E9">
            <w:pPr>
              <w:spacing w:after="0" w:line="240" w:lineRule="auto"/>
              <w:rPr>
                <w:rFonts w:ascii="IBM Plex Sans Light" w:hAnsi="IBM Plex Sans Light"/>
              </w:rPr>
            </w:pPr>
          </w:p>
        </w:tc>
        <w:tc>
          <w:tcPr>
            <w:tcW w:w="509" w:type="dxa"/>
            <w:tcBorders>
              <w:bottom w:val="single" w:sz="2" w:space="0" w:color="3D7FE0" w:themeColor="accent1"/>
            </w:tcBorders>
            <w:tcMar>
              <w:left w:w="0" w:type="dxa"/>
              <w:right w:w="0" w:type="dxa"/>
            </w:tcMar>
            <w:vAlign w:val="bottom"/>
          </w:tcPr>
          <w:p w14:paraId="6F8F5ACB" w14:textId="2CA62CE4" w:rsidR="00AD02E9" w:rsidRPr="00895810" w:rsidRDefault="00506F30" w:rsidP="00AD02E9">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19</w:t>
            </w:r>
            <w:r w:rsidR="00AD02E9" w:rsidRPr="00895810">
              <w:rPr>
                <w:rFonts w:ascii="IBM Plex Sans Light" w:hAnsi="IBM Plex Sans Light"/>
                <w:b w:val="0"/>
                <w:bCs w:val="0"/>
                <w:color w:val="auto"/>
                <w:spacing w:val="-4"/>
                <w:szCs w:val="16"/>
              </w:rPr>
              <w:t>A</w:t>
            </w:r>
          </w:p>
        </w:tc>
        <w:tc>
          <w:tcPr>
            <w:tcW w:w="1106" w:type="dxa"/>
            <w:tcBorders>
              <w:bottom w:val="single" w:sz="2" w:space="0" w:color="3D7FE0" w:themeColor="accent1"/>
            </w:tcBorders>
            <w:tcMar>
              <w:left w:w="0" w:type="dxa"/>
              <w:right w:w="0" w:type="dxa"/>
            </w:tcMar>
          </w:tcPr>
          <w:p w14:paraId="699AFDE0" w14:textId="4E295743"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2.8</w:t>
            </w:r>
          </w:p>
        </w:tc>
        <w:tc>
          <w:tcPr>
            <w:tcW w:w="1221" w:type="dxa"/>
            <w:tcBorders>
              <w:bottom w:val="single" w:sz="2" w:space="0" w:color="3D7FE0" w:themeColor="accent1"/>
            </w:tcBorders>
          </w:tcPr>
          <w:p w14:paraId="7A0A7C5F" w14:textId="72B0E382" w:rsidR="00AD02E9" w:rsidRPr="00895810" w:rsidRDefault="00AD02E9" w:rsidP="00AD02E9">
            <w:pPr>
              <w:pStyle w:val="TableFiguresBracketsBold"/>
              <w:rPr>
                <w:rFonts w:ascii="IBM Plex Sans Light" w:hAnsi="IBM Plex Sans Light"/>
                <w:b w:val="0"/>
                <w:bCs w:val="0"/>
                <w:color w:val="auto"/>
                <w:spacing w:val="-4"/>
                <w:sz w:val="18"/>
                <w:szCs w:val="18"/>
              </w:rPr>
            </w:pPr>
            <w:r w:rsidRPr="005006D8">
              <w:rPr>
                <w:rFonts w:ascii="IBM Plex Sans Light" w:hAnsi="IBM Plex Sans Light"/>
                <w:b w:val="0"/>
                <w:bCs w:val="0"/>
                <w:color w:val="auto"/>
                <w:spacing w:val="-4"/>
                <w:sz w:val="18"/>
                <w:szCs w:val="18"/>
              </w:rPr>
              <w:t>(0.8)</w:t>
            </w:r>
          </w:p>
        </w:tc>
      </w:tr>
      <w:tr w:rsidR="00AD02E9" w:rsidRPr="00895810" w14:paraId="1CCC42F3" w14:textId="03B70125" w:rsidTr="00024B10">
        <w:tc>
          <w:tcPr>
            <w:tcW w:w="6803" w:type="dxa"/>
            <w:tcBorders>
              <w:top w:val="single" w:sz="2" w:space="0" w:color="3D7FE0" w:themeColor="accent1"/>
            </w:tcBorders>
            <w:tcMar>
              <w:left w:w="0" w:type="dxa"/>
              <w:right w:w="0" w:type="dxa"/>
            </w:tcMar>
            <w:vAlign w:val="bottom"/>
          </w:tcPr>
          <w:p w14:paraId="5AE5A7E7" w14:textId="3C450CCF" w:rsidR="00AD02E9" w:rsidRPr="00895810" w:rsidRDefault="00AD02E9" w:rsidP="00AD02E9">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Cash generated from operations</w:t>
            </w:r>
          </w:p>
        </w:tc>
        <w:tc>
          <w:tcPr>
            <w:tcW w:w="284" w:type="dxa"/>
            <w:tcBorders>
              <w:top w:val="single" w:sz="2" w:space="0" w:color="3D7FE0" w:themeColor="accent1"/>
            </w:tcBorders>
            <w:vAlign w:val="bottom"/>
          </w:tcPr>
          <w:p w14:paraId="5559785F" w14:textId="1064B8E2" w:rsidR="00AD02E9" w:rsidRPr="00895810" w:rsidRDefault="00AD02E9" w:rsidP="00AD02E9">
            <w:pPr>
              <w:spacing w:after="0" w:line="240" w:lineRule="auto"/>
              <w:rPr>
                <w:rFonts w:ascii="IBM Plex Sans Light" w:hAnsi="IBM Plex Sans Light" w:cs="Arial"/>
                <w:b/>
                <w:bCs/>
                <w:sz w:val="17"/>
                <w:szCs w:val="17"/>
              </w:rPr>
            </w:pPr>
          </w:p>
        </w:tc>
        <w:tc>
          <w:tcPr>
            <w:tcW w:w="509" w:type="dxa"/>
            <w:tcBorders>
              <w:top w:val="single" w:sz="2" w:space="0" w:color="3D7FE0" w:themeColor="accent1"/>
            </w:tcBorders>
            <w:tcMar>
              <w:left w:w="0" w:type="dxa"/>
              <w:right w:w="0" w:type="dxa"/>
            </w:tcMar>
            <w:vAlign w:val="bottom"/>
          </w:tcPr>
          <w:p w14:paraId="646BB17F" w14:textId="451628FA" w:rsidR="00AD02E9" w:rsidRPr="00895810" w:rsidRDefault="00AD02E9" w:rsidP="00AD02E9">
            <w:pPr>
              <w:pStyle w:val="TableFiguresBold"/>
              <w:rPr>
                <w:rFonts w:ascii="IBM Plex Sans Light" w:hAnsi="IBM Plex Sans Light"/>
                <w:b w:val="0"/>
                <w:bCs w:val="0"/>
                <w:color w:val="auto"/>
                <w:spacing w:val="-4"/>
                <w:szCs w:val="16"/>
              </w:rPr>
            </w:pPr>
          </w:p>
        </w:tc>
        <w:tc>
          <w:tcPr>
            <w:tcW w:w="1106" w:type="dxa"/>
            <w:tcBorders>
              <w:top w:val="single" w:sz="2" w:space="0" w:color="3D7FE0" w:themeColor="accent1"/>
            </w:tcBorders>
            <w:tcMar>
              <w:left w:w="0" w:type="dxa"/>
              <w:right w:w="0" w:type="dxa"/>
            </w:tcMar>
          </w:tcPr>
          <w:p w14:paraId="12853EF0" w14:textId="23058999"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24.3</w:t>
            </w:r>
          </w:p>
        </w:tc>
        <w:tc>
          <w:tcPr>
            <w:tcW w:w="1221" w:type="dxa"/>
            <w:tcBorders>
              <w:top w:val="single" w:sz="2" w:space="0" w:color="3D7FE0" w:themeColor="accent1"/>
            </w:tcBorders>
          </w:tcPr>
          <w:p w14:paraId="1EB39387" w14:textId="477D508A" w:rsidR="00AD02E9" w:rsidRPr="00895810" w:rsidRDefault="00AD02E9" w:rsidP="00AD02E9">
            <w:pPr>
              <w:pStyle w:val="TableFiguresBold"/>
              <w:rPr>
                <w:rFonts w:ascii="IBM Plex Sans Light" w:hAnsi="IBM Plex Sans Light"/>
                <w:b w:val="0"/>
                <w:bCs w:val="0"/>
                <w:color w:val="auto"/>
                <w:spacing w:val="-4"/>
                <w:sz w:val="18"/>
                <w:szCs w:val="18"/>
              </w:rPr>
            </w:pPr>
            <w:r w:rsidRPr="005006D8">
              <w:rPr>
                <w:rFonts w:ascii="IBM Plex Sans Light" w:hAnsi="IBM Plex Sans Light"/>
                <w:b w:val="0"/>
                <w:bCs w:val="0"/>
                <w:color w:val="auto"/>
                <w:spacing w:val="-4"/>
                <w:sz w:val="18"/>
                <w:szCs w:val="18"/>
              </w:rPr>
              <w:t>31.5</w:t>
            </w:r>
          </w:p>
        </w:tc>
      </w:tr>
      <w:tr w:rsidR="00FD6CDD" w:rsidRPr="00895810" w14:paraId="711BB6AE" w14:textId="77777777" w:rsidTr="00024B10">
        <w:tc>
          <w:tcPr>
            <w:tcW w:w="6803" w:type="dxa"/>
            <w:tcMar>
              <w:left w:w="0" w:type="dxa"/>
              <w:right w:w="0" w:type="dxa"/>
            </w:tcMar>
            <w:vAlign w:val="bottom"/>
          </w:tcPr>
          <w:p w14:paraId="24CCE2D4" w14:textId="77777777" w:rsidR="00FD6CDD" w:rsidRPr="00895810" w:rsidRDefault="00FD6CDD" w:rsidP="00FD6CDD">
            <w:pPr>
              <w:spacing w:after="0" w:line="240" w:lineRule="auto"/>
              <w:rPr>
                <w:rFonts w:ascii="IBM Plex Sans Light" w:hAnsi="IBM Plex Sans Light"/>
              </w:rPr>
            </w:pPr>
          </w:p>
        </w:tc>
        <w:tc>
          <w:tcPr>
            <w:tcW w:w="284" w:type="dxa"/>
            <w:vAlign w:val="bottom"/>
          </w:tcPr>
          <w:p w14:paraId="4917BB52" w14:textId="01C6057B" w:rsidR="00FD6CDD" w:rsidRPr="00895810" w:rsidRDefault="00FD6CDD" w:rsidP="00FD6CDD">
            <w:pPr>
              <w:spacing w:after="0" w:line="240" w:lineRule="auto"/>
              <w:rPr>
                <w:rFonts w:ascii="IBM Plex Sans Light" w:hAnsi="IBM Plex Sans Light"/>
              </w:rPr>
            </w:pPr>
          </w:p>
        </w:tc>
        <w:tc>
          <w:tcPr>
            <w:tcW w:w="509" w:type="dxa"/>
            <w:tcMar>
              <w:left w:w="0" w:type="dxa"/>
              <w:right w:w="0" w:type="dxa"/>
            </w:tcMar>
            <w:vAlign w:val="bottom"/>
          </w:tcPr>
          <w:p w14:paraId="2E7A268F" w14:textId="77777777" w:rsidR="00FD6CDD" w:rsidRPr="00895810" w:rsidRDefault="00FD6CDD" w:rsidP="00FD6CDD">
            <w:pPr>
              <w:pStyle w:val="TableFiguresBold"/>
              <w:rPr>
                <w:rFonts w:ascii="IBM Plex Sans Light" w:hAnsi="IBM Plex Sans Light"/>
                <w:b w:val="0"/>
                <w:bCs w:val="0"/>
                <w:color w:val="auto"/>
                <w:spacing w:val="-4"/>
                <w:szCs w:val="16"/>
              </w:rPr>
            </w:pPr>
          </w:p>
        </w:tc>
        <w:tc>
          <w:tcPr>
            <w:tcW w:w="1106" w:type="dxa"/>
            <w:tcMar>
              <w:left w:w="0" w:type="dxa"/>
              <w:right w:w="0" w:type="dxa"/>
            </w:tcMar>
          </w:tcPr>
          <w:p w14:paraId="1F2619C3" w14:textId="77777777" w:rsidR="00FD6CDD" w:rsidRPr="00AD02E9" w:rsidRDefault="00FD6CDD" w:rsidP="00AD02E9">
            <w:pPr>
              <w:pStyle w:val="TableFigures"/>
              <w:rPr>
                <w:rFonts w:ascii="IBM Plex Sans Medium" w:hAnsi="IBM Plex Sans Medium"/>
                <w:b/>
                <w:bCs/>
                <w:color w:val="3D7FE0" w:themeColor="accent1"/>
                <w:spacing w:val="-4"/>
                <w:sz w:val="18"/>
                <w:szCs w:val="18"/>
              </w:rPr>
            </w:pPr>
          </w:p>
        </w:tc>
        <w:tc>
          <w:tcPr>
            <w:tcW w:w="1221" w:type="dxa"/>
            <w:vAlign w:val="bottom"/>
          </w:tcPr>
          <w:p w14:paraId="13B71134" w14:textId="77777777" w:rsidR="00FD6CDD" w:rsidRPr="00895810" w:rsidRDefault="00FD6CDD" w:rsidP="00FD6CDD">
            <w:pPr>
              <w:pStyle w:val="TableFiguresBold"/>
              <w:rPr>
                <w:rFonts w:ascii="IBM Plex Sans Light" w:hAnsi="IBM Plex Sans Light"/>
                <w:b w:val="0"/>
                <w:bCs w:val="0"/>
                <w:color w:val="auto"/>
                <w:spacing w:val="-4"/>
                <w:sz w:val="18"/>
                <w:szCs w:val="18"/>
              </w:rPr>
            </w:pPr>
          </w:p>
        </w:tc>
      </w:tr>
      <w:tr w:rsidR="00AD02E9" w:rsidRPr="00895810" w14:paraId="53AB3254" w14:textId="6A2F6686" w:rsidTr="00024B10">
        <w:tc>
          <w:tcPr>
            <w:tcW w:w="6803" w:type="dxa"/>
            <w:tcMar>
              <w:left w:w="0" w:type="dxa"/>
              <w:right w:w="0" w:type="dxa"/>
            </w:tcMar>
            <w:vAlign w:val="bottom"/>
          </w:tcPr>
          <w:p w14:paraId="6449E43E"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Interest received</w:t>
            </w:r>
          </w:p>
        </w:tc>
        <w:tc>
          <w:tcPr>
            <w:tcW w:w="284" w:type="dxa"/>
            <w:vAlign w:val="bottom"/>
          </w:tcPr>
          <w:p w14:paraId="7629B585" w14:textId="557428B1"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39259F8F" w14:textId="24C6612C" w:rsidR="00AD02E9" w:rsidRPr="00895810" w:rsidRDefault="00AD02E9" w:rsidP="00AD02E9">
            <w:pPr>
              <w:pStyle w:val="TableFiguresBold"/>
              <w:rPr>
                <w:rFonts w:ascii="IBM Plex Sans Light" w:hAnsi="IBM Plex Sans Light"/>
                <w:b w:val="0"/>
                <w:bCs w:val="0"/>
                <w:color w:val="auto"/>
                <w:spacing w:val="-4"/>
                <w:szCs w:val="16"/>
              </w:rPr>
            </w:pPr>
          </w:p>
        </w:tc>
        <w:tc>
          <w:tcPr>
            <w:tcW w:w="1106" w:type="dxa"/>
            <w:tcMar>
              <w:left w:w="0" w:type="dxa"/>
              <w:right w:w="0" w:type="dxa"/>
            </w:tcMar>
          </w:tcPr>
          <w:p w14:paraId="73670EAF" w14:textId="5FF2B2B3"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39.1</w:t>
            </w:r>
          </w:p>
        </w:tc>
        <w:tc>
          <w:tcPr>
            <w:tcW w:w="1221" w:type="dxa"/>
          </w:tcPr>
          <w:p w14:paraId="377D23A2" w14:textId="491B78B2"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18.1</w:t>
            </w:r>
          </w:p>
        </w:tc>
      </w:tr>
      <w:tr w:rsidR="00AD02E9" w:rsidRPr="00895810" w14:paraId="12352B43" w14:textId="56CCC87B" w:rsidTr="00024B10">
        <w:tc>
          <w:tcPr>
            <w:tcW w:w="6803" w:type="dxa"/>
            <w:tcMar>
              <w:left w:w="0" w:type="dxa"/>
              <w:right w:w="0" w:type="dxa"/>
            </w:tcMar>
            <w:vAlign w:val="bottom"/>
          </w:tcPr>
          <w:p w14:paraId="63E14DD7"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lastRenderedPageBreak/>
              <w:t>Interest paid</w:t>
            </w:r>
          </w:p>
        </w:tc>
        <w:tc>
          <w:tcPr>
            <w:tcW w:w="284" w:type="dxa"/>
            <w:vAlign w:val="bottom"/>
          </w:tcPr>
          <w:p w14:paraId="3A57818E" w14:textId="105D3C5C"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4A11ECBE" w14:textId="7DD79D87" w:rsidR="00AD02E9" w:rsidRPr="00895810" w:rsidRDefault="00AD02E9" w:rsidP="00AD02E9">
            <w:pPr>
              <w:pStyle w:val="TableFiguresBracketsBold"/>
              <w:rPr>
                <w:rFonts w:ascii="IBM Plex Sans Light" w:hAnsi="IBM Plex Sans Light"/>
                <w:b w:val="0"/>
                <w:bCs w:val="0"/>
                <w:color w:val="auto"/>
                <w:spacing w:val="-4"/>
                <w:szCs w:val="16"/>
              </w:rPr>
            </w:pPr>
          </w:p>
        </w:tc>
        <w:tc>
          <w:tcPr>
            <w:tcW w:w="1106" w:type="dxa"/>
            <w:tcMar>
              <w:left w:w="0" w:type="dxa"/>
              <w:right w:w="0" w:type="dxa"/>
            </w:tcMar>
          </w:tcPr>
          <w:p w14:paraId="2CB40BCB" w14:textId="7CBE5DD5"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(80.8)</w:t>
            </w:r>
          </w:p>
        </w:tc>
        <w:tc>
          <w:tcPr>
            <w:tcW w:w="1221" w:type="dxa"/>
          </w:tcPr>
          <w:p w14:paraId="0933ED3B" w14:textId="0A4466AA"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(69.1)</w:t>
            </w:r>
          </w:p>
        </w:tc>
      </w:tr>
      <w:tr w:rsidR="00AD02E9" w:rsidRPr="00895810" w14:paraId="7AC8E187" w14:textId="77777777" w:rsidTr="00024B10">
        <w:tc>
          <w:tcPr>
            <w:tcW w:w="6803" w:type="dxa"/>
            <w:tcMar>
              <w:left w:w="0" w:type="dxa"/>
              <w:right w:w="0" w:type="dxa"/>
            </w:tcMar>
            <w:vAlign w:val="bottom"/>
          </w:tcPr>
          <w:p w14:paraId="0623A2AA" w14:textId="3F8402A1" w:rsidR="00AD02E9" w:rsidRPr="00895810" w:rsidRDefault="00AD02E9" w:rsidP="00AD02E9">
            <w:pPr>
              <w:spacing w:after="0" w:line="240" w:lineRule="auto"/>
              <w:rPr>
                <w:rFonts w:ascii="IBM Plex Sans Light" w:hAnsi="IBM Plex Sans Light"/>
              </w:rPr>
            </w:pPr>
            <w:r w:rsidRPr="00895810">
              <w:rPr>
                <w:rFonts w:ascii="IBM Plex Sans Light" w:hAnsi="IBM Plex Sans Light"/>
              </w:rPr>
              <w:t>Debt and loan facility issuance and extension fees</w:t>
            </w:r>
          </w:p>
        </w:tc>
        <w:tc>
          <w:tcPr>
            <w:tcW w:w="284" w:type="dxa"/>
            <w:vAlign w:val="bottom"/>
          </w:tcPr>
          <w:p w14:paraId="2024159F" w14:textId="77777777"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235E41A4" w14:textId="77777777"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7208F1FD" w14:textId="2E22A84B"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(1.0)</w:t>
            </w:r>
          </w:p>
        </w:tc>
        <w:tc>
          <w:tcPr>
            <w:tcW w:w="1221" w:type="dxa"/>
          </w:tcPr>
          <w:p w14:paraId="5C3866B4" w14:textId="60EBE312"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(2.8)</w:t>
            </w:r>
          </w:p>
        </w:tc>
      </w:tr>
      <w:tr w:rsidR="00AD02E9" w:rsidRPr="00895810" w14:paraId="4F62EFFB" w14:textId="77777777" w:rsidTr="00024B10">
        <w:tc>
          <w:tcPr>
            <w:tcW w:w="6803" w:type="dxa"/>
            <w:tcMar>
              <w:left w:w="0" w:type="dxa"/>
              <w:right w:w="0" w:type="dxa"/>
            </w:tcMar>
            <w:vAlign w:val="bottom"/>
          </w:tcPr>
          <w:p w14:paraId="7EFE5849" w14:textId="7D393D4D" w:rsidR="00AD02E9" w:rsidRPr="00895810" w:rsidRDefault="00AD02E9" w:rsidP="00AD02E9">
            <w:pPr>
              <w:spacing w:after="0" w:line="240" w:lineRule="auto"/>
              <w:rPr>
                <w:rFonts w:ascii="IBM Plex Sans Light" w:hAnsi="IBM Plex Sans Light"/>
              </w:rPr>
            </w:pPr>
            <w:r w:rsidRPr="00895810">
              <w:rPr>
                <w:rFonts w:ascii="IBM Plex Sans Light" w:hAnsi="IBM Plex Sans Light"/>
              </w:rPr>
              <w:t>Premiums on hedging derivatives</w:t>
            </w:r>
          </w:p>
        </w:tc>
        <w:tc>
          <w:tcPr>
            <w:tcW w:w="284" w:type="dxa"/>
            <w:vAlign w:val="bottom"/>
          </w:tcPr>
          <w:p w14:paraId="7E8DDA55" w14:textId="77777777"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22FDEBC9" w14:textId="77777777"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024B5012" w14:textId="029F1F17"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w:t>
            </w:r>
          </w:p>
        </w:tc>
        <w:tc>
          <w:tcPr>
            <w:tcW w:w="1221" w:type="dxa"/>
          </w:tcPr>
          <w:p w14:paraId="1E4B720C" w14:textId="5BF0AAED"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(3.9)</w:t>
            </w:r>
          </w:p>
        </w:tc>
      </w:tr>
      <w:tr w:rsidR="00AD02E9" w:rsidRPr="00895810" w14:paraId="2F6F4A16" w14:textId="77777777" w:rsidTr="00024B10">
        <w:tc>
          <w:tcPr>
            <w:tcW w:w="6803" w:type="dxa"/>
            <w:tcMar>
              <w:left w:w="0" w:type="dxa"/>
              <w:right w:w="0" w:type="dxa"/>
            </w:tcMar>
            <w:vAlign w:val="bottom"/>
          </w:tcPr>
          <w:p w14:paraId="41F850D6" w14:textId="2ED717CF"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 xml:space="preserve">Tax </w:t>
            </w:r>
            <w:r w:rsidR="00506F30">
              <w:rPr>
                <w:rFonts w:ascii="IBM Plex Sans Light" w:hAnsi="IBM Plex Sans Light"/>
              </w:rPr>
              <w:t>(paid)/</w:t>
            </w:r>
            <w:r w:rsidRPr="00895810">
              <w:rPr>
                <w:rFonts w:ascii="IBM Plex Sans Light" w:hAnsi="IBM Plex Sans Light"/>
              </w:rPr>
              <w:t>repaid</w:t>
            </w:r>
          </w:p>
        </w:tc>
        <w:tc>
          <w:tcPr>
            <w:tcW w:w="284" w:type="dxa"/>
            <w:vAlign w:val="bottom"/>
          </w:tcPr>
          <w:p w14:paraId="27890109" w14:textId="2D7022EB"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4DF96BD8" w14:textId="3B073967"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74AB126F" w14:textId="2D7860AA"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(0.9)</w:t>
            </w:r>
          </w:p>
        </w:tc>
        <w:tc>
          <w:tcPr>
            <w:tcW w:w="1221" w:type="dxa"/>
          </w:tcPr>
          <w:p w14:paraId="61EF2BC7" w14:textId="5E1BFF71"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0.3</w:t>
            </w:r>
          </w:p>
        </w:tc>
      </w:tr>
      <w:tr w:rsidR="00AD02E9" w:rsidRPr="00895810" w14:paraId="055F6830" w14:textId="28209C0B" w:rsidTr="00024B10">
        <w:tc>
          <w:tcPr>
            <w:tcW w:w="6803" w:type="dxa"/>
            <w:tcMar>
              <w:left w:w="0" w:type="dxa"/>
              <w:right w:w="0" w:type="dxa"/>
            </w:tcMar>
            <w:vAlign w:val="bottom"/>
          </w:tcPr>
          <w:p w14:paraId="24DF814D" w14:textId="4774AA2E"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Distributions and other receivables from joint ventures</w:t>
            </w:r>
          </w:p>
        </w:tc>
        <w:tc>
          <w:tcPr>
            <w:tcW w:w="284" w:type="dxa"/>
            <w:vAlign w:val="bottom"/>
          </w:tcPr>
          <w:p w14:paraId="19CD4C97" w14:textId="5C5E3336"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7400053C" w14:textId="5B27E4D4"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3FD5BA78" w14:textId="7E213325"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57.6</w:t>
            </w:r>
          </w:p>
        </w:tc>
        <w:tc>
          <w:tcPr>
            <w:tcW w:w="1221" w:type="dxa"/>
          </w:tcPr>
          <w:p w14:paraId="060F20E6" w14:textId="34D16EC1"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89.5</w:t>
            </w:r>
          </w:p>
        </w:tc>
      </w:tr>
      <w:tr w:rsidR="00AD02E9" w:rsidRPr="00895810" w14:paraId="28CBABBE" w14:textId="0D6DD54D" w:rsidTr="00024B10">
        <w:tc>
          <w:tcPr>
            <w:tcW w:w="6803" w:type="dxa"/>
            <w:tcMar>
              <w:left w:w="0" w:type="dxa"/>
              <w:right w:w="0" w:type="dxa"/>
            </w:tcMar>
            <w:vAlign w:val="bottom"/>
          </w:tcPr>
          <w:p w14:paraId="44B12ED3" w14:textId="54BCBAAC"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 xml:space="preserve">Distributions </w:t>
            </w:r>
            <w:r w:rsidR="007C0BC1">
              <w:rPr>
                <w:rFonts w:ascii="IBM Plex Sans Light" w:hAnsi="IBM Plex Sans Light"/>
              </w:rPr>
              <w:t>from</w:t>
            </w:r>
            <w:r w:rsidRPr="00895810">
              <w:rPr>
                <w:rFonts w:ascii="IBM Plex Sans Light" w:hAnsi="IBM Plex Sans Light"/>
              </w:rPr>
              <w:t xml:space="preserve"> </w:t>
            </w:r>
            <w:r>
              <w:rPr>
                <w:rFonts w:ascii="IBM Plex Sans Light" w:hAnsi="IBM Plex Sans Light"/>
              </w:rPr>
              <w:t>joint ventures classified as assets held for sale</w:t>
            </w:r>
          </w:p>
        </w:tc>
        <w:tc>
          <w:tcPr>
            <w:tcW w:w="284" w:type="dxa"/>
            <w:vAlign w:val="bottom"/>
          </w:tcPr>
          <w:p w14:paraId="357DD303" w14:textId="3D4CC1BC"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3714D7D5" w14:textId="3F06847E" w:rsidR="00AD02E9" w:rsidRPr="00895810" w:rsidRDefault="00AD02E9" w:rsidP="00AD02E9">
            <w:pPr>
              <w:pStyle w:val="TableFiguresBold"/>
              <w:rPr>
                <w:rFonts w:ascii="IBM Plex Sans Light" w:hAnsi="IBM Plex Sans Light"/>
                <w:b w:val="0"/>
                <w:bCs w:val="0"/>
                <w:color w:val="3D7FE0" w:themeColor="accent1"/>
                <w:spacing w:val="-4"/>
                <w:sz w:val="18"/>
              </w:rPr>
            </w:pPr>
          </w:p>
        </w:tc>
        <w:tc>
          <w:tcPr>
            <w:tcW w:w="1106" w:type="dxa"/>
            <w:tcMar>
              <w:left w:w="0" w:type="dxa"/>
              <w:right w:w="0" w:type="dxa"/>
            </w:tcMar>
          </w:tcPr>
          <w:p w14:paraId="35A8D3A2" w14:textId="5AB41E08"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w:t>
            </w:r>
          </w:p>
        </w:tc>
        <w:tc>
          <w:tcPr>
            <w:tcW w:w="1221" w:type="dxa"/>
          </w:tcPr>
          <w:p w14:paraId="499C91DC" w14:textId="5438DD36"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6.0</w:t>
            </w:r>
          </w:p>
        </w:tc>
      </w:tr>
      <w:tr w:rsidR="00AD02E9" w:rsidRPr="00895810" w14:paraId="457D0D8A" w14:textId="1694892E" w:rsidTr="00024B10">
        <w:tc>
          <w:tcPr>
            <w:tcW w:w="6803" w:type="dxa"/>
            <w:tcBorders>
              <w:top w:val="single" w:sz="2" w:space="0" w:color="3D7FE0" w:themeColor="accent1"/>
              <w:bottom w:val="single" w:sz="2" w:space="0" w:color="3D7FE0" w:themeColor="accent1"/>
            </w:tcBorders>
            <w:tcMar>
              <w:left w:w="0" w:type="dxa"/>
              <w:right w:w="0" w:type="dxa"/>
            </w:tcMar>
            <w:vAlign w:val="bottom"/>
          </w:tcPr>
          <w:p w14:paraId="6809068A" w14:textId="77777777" w:rsidR="00AD02E9" w:rsidRPr="00895810" w:rsidRDefault="00AD02E9" w:rsidP="00AD02E9">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Cash flows from operating activities</w:t>
            </w:r>
          </w:p>
        </w:tc>
        <w:tc>
          <w:tcPr>
            <w:tcW w:w="284" w:type="dxa"/>
            <w:tcBorders>
              <w:top w:val="single" w:sz="2" w:space="0" w:color="3D7FE0" w:themeColor="accent1"/>
              <w:bottom w:val="single" w:sz="2" w:space="0" w:color="3D7FE0" w:themeColor="accent1"/>
            </w:tcBorders>
            <w:vAlign w:val="bottom"/>
          </w:tcPr>
          <w:p w14:paraId="2A50C091" w14:textId="031579EA" w:rsidR="00AD02E9" w:rsidRPr="00895810" w:rsidRDefault="00AD02E9" w:rsidP="00AD02E9">
            <w:pPr>
              <w:spacing w:after="0" w:line="240" w:lineRule="auto"/>
              <w:rPr>
                <w:rFonts w:ascii="IBM Plex Sans Light" w:hAnsi="IBM Plex Sans Light" w:cs="Arial"/>
                <w:b/>
                <w:bCs/>
                <w:sz w:val="17"/>
                <w:szCs w:val="17"/>
              </w:rPr>
            </w:pPr>
          </w:p>
        </w:tc>
        <w:tc>
          <w:tcPr>
            <w:tcW w:w="509" w:type="dxa"/>
            <w:tcBorders>
              <w:top w:val="single" w:sz="2" w:space="0" w:color="3D7FE0" w:themeColor="accent1"/>
              <w:bottom w:val="single" w:sz="2" w:space="0" w:color="3D7FE0" w:themeColor="accent1"/>
            </w:tcBorders>
            <w:tcMar>
              <w:left w:w="0" w:type="dxa"/>
              <w:right w:w="0" w:type="dxa"/>
            </w:tcMar>
            <w:vAlign w:val="bottom"/>
          </w:tcPr>
          <w:p w14:paraId="76F853EA" w14:textId="73DC41BF"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Borders>
              <w:top w:val="single" w:sz="2" w:space="0" w:color="3D7FE0" w:themeColor="accent1"/>
              <w:bottom w:val="single" w:sz="2" w:space="0" w:color="3D7FE0" w:themeColor="accent1"/>
            </w:tcBorders>
            <w:tcMar>
              <w:left w:w="0" w:type="dxa"/>
              <w:right w:w="0" w:type="dxa"/>
            </w:tcMar>
          </w:tcPr>
          <w:p w14:paraId="2FB81EA9" w14:textId="4AF10208"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38.3</w:t>
            </w:r>
          </w:p>
        </w:tc>
        <w:tc>
          <w:tcPr>
            <w:tcW w:w="1221" w:type="dxa"/>
            <w:tcBorders>
              <w:top w:val="single" w:sz="2" w:space="0" w:color="3D7FE0" w:themeColor="accent1"/>
              <w:bottom w:val="single" w:sz="2" w:space="0" w:color="3D7FE0" w:themeColor="accent1"/>
            </w:tcBorders>
          </w:tcPr>
          <w:p w14:paraId="5B5F5E89" w14:textId="0B90B4B7"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69.6</w:t>
            </w:r>
          </w:p>
        </w:tc>
      </w:tr>
      <w:tr w:rsidR="00FD6CDD" w:rsidRPr="00895810" w14:paraId="177AEF2D" w14:textId="74BA89C7" w:rsidTr="00024B10">
        <w:trPr>
          <w:trHeight w:val="206"/>
        </w:trPr>
        <w:tc>
          <w:tcPr>
            <w:tcW w:w="6803" w:type="dxa"/>
            <w:tcBorders>
              <w:top w:val="single" w:sz="2" w:space="0" w:color="3D7FE0" w:themeColor="accent1"/>
            </w:tcBorders>
            <w:tcMar>
              <w:left w:w="0" w:type="dxa"/>
              <w:right w:w="0" w:type="dxa"/>
            </w:tcMar>
            <w:vAlign w:val="bottom"/>
          </w:tcPr>
          <w:p w14:paraId="358EA174" w14:textId="77777777" w:rsidR="00FD6CDD" w:rsidRPr="00895810" w:rsidRDefault="00FD6CDD" w:rsidP="00FD6CDD">
            <w:pPr>
              <w:spacing w:after="0" w:line="240" w:lineRule="auto"/>
              <w:rPr>
                <w:rFonts w:ascii="IBM Plex Sans Light" w:hAnsi="IBM Plex Sans Light" w:cs="Arial"/>
                <w:sz w:val="17"/>
                <w:szCs w:val="17"/>
              </w:rPr>
            </w:pPr>
          </w:p>
        </w:tc>
        <w:tc>
          <w:tcPr>
            <w:tcW w:w="284" w:type="dxa"/>
            <w:tcBorders>
              <w:top w:val="single" w:sz="2" w:space="0" w:color="3D7FE0" w:themeColor="accent1"/>
            </w:tcBorders>
            <w:vAlign w:val="bottom"/>
          </w:tcPr>
          <w:p w14:paraId="5BEE36A3" w14:textId="113B934D" w:rsidR="00FD6CDD" w:rsidRPr="00895810" w:rsidRDefault="00FD6CDD" w:rsidP="00FD6CDD">
            <w:pPr>
              <w:spacing w:after="0" w:line="240" w:lineRule="auto"/>
              <w:rPr>
                <w:rFonts w:ascii="IBM Plex Sans Light" w:hAnsi="IBM Plex Sans Light" w:cs="Arial"/>
                <w:sz w:val="17"/>
                <w:szCs w:val="17"/>
              </w:rPr>
            </w:pPr>
          </w:p>
        </w:tc>
        <w:tc>
          <w:tcPr>
            <w:tcW w:w="509" w:type="dxa"/>
            <w:tcBorders>
              <w:top w:val="single" w:sz="2" w:space="0" w:color="3D7FE0" w:themeColor="accent1"/>
            </w:tcBorders>
            <w:tcMar>
              <w:left w:w="0" w:type="dxa"/>
              <w:right w:w="0" w:type="dxa"/>
            </w:tcMar>
            <w:vAlign w:val="bottom"/>
          </w:tcPr>
          <w:p w14:paraId="5CB2F6A9" w14:textId="77777777" w:rsidR="00FD6CDD" w:rsidRPr="00895810" w:rsidRDefault="00FD6CDD" w:rsidP="00FD6CDD">
            <w:pPr>
              <w:pStyle w:val="TableFigures"/>
              <w:rPr>
                <w:rFonts w:ascii="IBM Plex Sans Light" w:hAnsi="IBM Plex Sans Light"/>
                <w:color w:val="3D7FE0" w:themeColor="accent1"/>
                <w:spacing w:val="-4"/>
                <w:sz w:val="18"/>
                <w:szCs w:val="18"/>
              </w:rPr>
            </w:pPr>
          </w:p>
        </w:tc>
        <w:tc>
          <w:tcPr>
            <w:tcW w:w="1106" w:type="dxa"/>
            <w:tcBorders>
              <w:top w:val="single" w:sz="2" w:space="0" w:color="3D7FE0" w:themeColor="accent1"/>
            </w:tcBorders>
            <w:tcMar>
              <w:left w:w="0" w:type="dxa"/>
              <w:right w:w="0" w:type="dxa"/>
            </w:tcMar>
            <w:vAlign w:val="bottom"/>
          </w:tcPr>
          <w:p w14:paraId="58AD9D5D" w14:textId="77777777" w:rsidR="00FD6CDD" w:rsidRPr="00AD02E9" w:rsidRDefault="00FD6CDD" w:rsidP="00AD02E9">
            <w:pPr>
              <w:pStyle w:val="TableFigures"/>
              <w:rPr>
                <w:rFonts w:ascii="IBM Plex Sans Medium" w:hAnsi="IBM Plex Sans Medium"/>
                <w:b/>
                <w:bCs/>
                <w:color w:val="3D7FE0" w:themeColor="accent1"/>
                <w:spacing w:val="-4"/>
                <w:sz w:val="18"/>
                <w:szCs w:val="18"/>
              </w:rPr>
            </w:pPr>
          </w:p>
        </w:tc>
        <w:tc>
          <w:tcPr>
            <w:tcW w:w="1221" w:type="dxa"/>
            <w:tcBorders>
              <w:top w:val="single" w:sz="2" w:space="0" w:color="3D7FE0" w:themeColor="accent1"/>
            </w:tcBorders>
            <w:vAlign w:val="bottom"/>
          </w:tcPr>
          <w:p w14:paraId="33449998" w14:textId="77777777" w:rsidR="00FD6CDD" w:rsidRPr="00895810" w:rsidRDefault="00FD6CDD" w:rsidP="00FD6CDD">
            <w:pPr>
              <w:pStyle w:val="TableFiguresBold"/>
              <w:rPr>
                <w:rFonts w:ascii="IBM Plex Sans Light" w:hAnsi="IBM Plex Sans Light"/>
                <w:b w:val="0"/>
                <w:bCs w:val="0"/>
                <w:color w:val="auto"/>
                <w:spacing w:val="-4"/>
                <w:sz w:val="18"/>
                <w:szCs w:val="18"/>
              </w:rPr>
            </w:pPr>
          </w:p>
        </w:tc>
      </w:tr>
      <w:tr w:rsidR="00FD6CDD" w:rsidRPr="00895810" w14:paraId="5457303B" w14:textId="69C53143" w:rsidTr="00024B10">
        <w:tc>
          <w:tcPr>
            <w:tcW w:w="6803" w:type="dxa"/>
            <w:tcMar>
              <w:left w:w="0" w:type="dxa"/>
              <w:right w:w="0" w:type="dxa"/>
            </w:tcMar>
            <w:vAlign w:val="bottom"/>
          </w:tcPr>
          <w:p w14:paraId="59F46E62" w14:textId="77777777" w:rsidR="00FD6CDD" w:rsidRPr="00895810" w:rsidRDefault="00FD6CDD" w:rsidP="00FD6CDD">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Investing activities</w:t>
            </w:r>
          </w:p>
        </w:tc>
        <w:tc>
          <w:tcPr>
            <w:tcW w:w="284" w:type="dxa"/>
            <w:vAlign w:val="bottom"/>
          </w:tcPr>
          <w:p w14:paraId="37B92AE9" w14:textId="1D4E252A" w:rsidR="00FD6CDD" w:rsidRPr="00895810" w:rsidRDefault="00FD6CDD" w:rsidP="00FD6CDD">
            <w:pPr>
              <w:spacing w:after="0" w:line="240" w:lineRule="auto"/>
              <w:rPr>
                <w:rFonts w:ascii="IBM Plex Sans Light" w:hAnsi="IBM Plex Sans Light" w:cs="Arial"/>
                <w:b/>
                <w:bCs/>
                <w:sz w:val="17"/>
                <w:szCs w:val="17"/>
              </w:rPr>
            </w:pPr>
          </w:p>
        </w:tc>
        <w:tc>
          <w:tcPr>
            <w:tcW w:w="509" w:type="dxa"/>
            <w:tcMar>
              <w:left w:w="0" w:type="dxa"/>
              <w:right w:w="0" w:type="dxa"/>
            </w:tcMar>
            <w:vAlign w:val="bottom"/>
          </w:tcPr>
          <w:p w14:paraId="55B0067C" w14:textId="77777777" w:rsidR="00FD6CDD" w:rsidRPr="00895810" w:rsidRDefault="00FD6CDD" w:rsidP="00FD6CDD">
            <w:pPr>
              <w:pStyle w:val="TableFigures"/>
              <w:rPr>
                <w:rFonts w:ascii="IBM Plex Sans Light" w:hAnsi="IBM Plex Sans Light"/>
                <w:color w:val="3D7FE0" w:themeColor="accent1"/>
                <w:spacing w:val="-4"/>
                <w:sz w:val="18"/>
                <w:szCs w:val="18"/>
              </w:rPr>
            </w:pPr>
          </w:p>
        </w:tc>
        <w:tc>
          <w:tcPr>
            <w:tcW w:w="1106" w:type="dxa"/>
            <w:tcMar>
              <w:left w:w="0" w:type="dxa"/>
              <w:right w:w="0" w:type="dxa"/>
            </w:tcMar>
            <w:vAlign w:val="bottom"/>
          </w:tcPr>
          <w:p w14:paraId="5CF594B8" w14:textId="77777777" w:rsidR="00FD6CDD" w:rsidRPr="00AD02E9" w:rsidRDefault="00FD6CDD" w:rsidP="00AD02E9">
            <w:pPr>
              <w:pStyle w:val="TableFigures"/>
              <w:rPr>
                <w:rFonts w:ascii="IBM Plex Sans Medium" w:hAnsi="IBM Plex Sans Medium"/>
                <w:b/>
                <w:bCs/>
                <w:color w:val="3D7FE0" w:themeColor="accent1"/>
                <w:spacing w:val="-4"/>
                <w:sz w:val="18"/>
                <w:szCs w:val="18"/>
              </w:rPr>
            </w:pPr>
          </w:p>
        </w:tc>
        <w:tc>
          <w:tcPr>
            <w:tcW w:w="1221" w:type="dxa"/>
            <w:vAlign w:val="bottom"/>
          </w:tcPr>
          <w:p w14:paraId="4CFFB766" w14:textId="77777777" w:rsidR="00FD6CDD" w:rsidRPr="00895810" w:rsidRDefault="00FD6CDD" w:rsidP="00FD6CDD">
            <w:pPr>
              <w:pStyle w:val="TableFiguresBold"/>
              <w:rPr>
                <w:rFonts w:ascii="IBM Plex Sans Light" w:hAnsi="IBM Plex Sans Light"/>
                <w:b w:val="0"/>
                <w:bCs w:val="0"/>
                <w:color w:val="auto"/>
                <w:spacing w:val="-4"/>
                <w:sz w:val="18"/>
              </w:rPr>
            </w:pPr>
          </w:p>
        </w:tc>
      </w:tr>
      <w:tr w:rsidR="00AD02E9" w:rsidRPr="00895810" w14:paraId="5206D3D0" w14:textId="009C75D4" w:rsidTr="00024B10">
        <w:tc>
          <w:tcPr>
            <w:tcW w:w="6803" w:type="dxa"/>
            <w:tcMar>
              <w:left w:w="0" w:type="dxa"/>
              <w:right w:w="0" w:type="dxa"/>
            </w:tcMar>
            <w:vAlign w:val="bottom"/>
          </w:tcPr>
          <w:p w14:paraId="147A7B96" w14:textId="344179CB" w:rsidR="00AD02E9" w:rsidRPr="00895810" w:rsidRDefault="00AD02E9" w:rsidP="00AD02E9">
            <w:pPr>
              <w:spacing w:after="0" w:line="240" w:lineRule="auto"/>
              <w:rPr>
                <w:rFonts w:ascii="IBM Plex Sans Light" w:hAnsi="IBM Plex Sans Light" w:cs="Arial"/>
                <w:sz w:val="17"/>
                <w:szCs w:val="17"/>
              </w:rPr>
            </w:pPr>
            <w:r>
              <w:rPr>
                <w:rFonts w:ascii="IBM Plex Sans Light" w:hAnsi="IBM Plex Sans Light"/>
              </w:rPr>
              <w:t>C</w:t>
            </w:r>
            <w:r w:rsidRPr="00895810">
              <w:rPr>
                <w:rFonts w:ascii="IBM Plex Sans Light" w:hAnsi="IBM Plex Sans Light"/>
              </w:rPr>
              <w:t>apital expenditure</w:t>
            </w:r>
          </w:p>
        </w:tc>
        <w:tc>
          <w:tcPr>
            <w:tcW w:w="284" w:type="dxa"/>
            <w:vAlign w:val="bottom"/>
          </w:tcPr>
          <w:p w14:paraId="1A6A6D34" w14:textId="69F2C83E"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7FEC315D" w14:textId="3B2725A4"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232EB5F2" w14:textId="3F552490"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(18.7)</w:t>
            </w:r>
          </w:p>
        </w:tc>
        <w:tc>
          <w:tcPr>
            <w:tcW w:w="1221" w:type="dxa"/>
            <w:vAlign w:val="bottom"/>
          </w:tcPr>
          <w:p w14:paraId="0D610290" w14:textId="47A126FA" w:rsidR="00AD02E9" w:rsidRPr="00353E75"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(36.4)</w:t>
            </w:r>
          </w:p>
        </w:tc>
      </w:tr>
      <w:tr w:rsidR="00AD02E9" w:rsidRPr="00895810" w14:paraId="346E3AD6" w14:textId="5DABF8CC" w:rsidTr="00024B10">
        <w:tc>
          <w:tcPr>
            <w:tcW w:w="6803" w:type="dxa"/>
            <w:tcMar>
              <w:left w:w="0" w:type="dxa"/>
              <w:right w:w="0" w:type="dxa"/>
            </w:tcMar>
            <w:vAlign w:val="bottom"/>
          </w:tcPr>
          <w:p w14:paraId="1C32811A" w14:textId="170B2D93"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Sale of properties</w:t>
            </w:r>
            <w:r>
              <w:rPr>
                <w:rFonts w:ascii="IBM Plex Sans Light" w:hAnsi="IBM Plex Sans Light"/>
              </w:rPr>
              <w:t xml:space="preserve"> (including trading properties)</w:t>
            </w:r>
          </w:p>
        </w:tc>
        <w:tc>
          <w:tcPr>
            <w:tcW w:w="284" w:type="dxa"/>
            <w:vAlign w:val="bottom"/>
          </w:tcPr>
          <w:p w14:paraId="6477DD42" w14:textId="17AB2837"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65702B3B" w14:textId="76BD19E3" w:rsidR="00AD02E9" w:rsidRPr="00895810" w:rsidRDefault="00AD02E9" w:rsidP="00AD02E9">
            <w:pPr>
              <w:pStyle w:val="TableFiguresBold"/>
              <w:rPr>
                <w:rFonts w:ascii="IBM Plex Sans Light" w:hAnsi="IBM Plex Sans Light"/>
                <w:b w:val="0"/>
                <w:bCs w:val="0"/>
                <w:color w:val="3D7FE0" w:themeColor="accent1"/>
                <w:spacing w:val="-4"/>
                <w:sz w:val="17"/>
                <w:szCs w:val="17"/>
              </w:rPr>
            </w:pPr>
          </w:p>
        </w:tc>
        <w:tc>
          <w:tcPr>
            <w:tcW w:w="1106" w:type="dxa"/>
            <w:tcMar>
              <w:left w:w="0" w:type="dxa"/>
              <w:right w:w="0" w:type="dxa"/>
            </w:tcMar>
          </w:tcPr>
          <w:p w14:paraId="1B3752BF" w14:textId="40686C0C"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49.0</w:t>
            </w:r>
          </w:p>
        </w:tc>
        <w:tc>
          <w:tcPr>
            <w:tcW w:w="1221" w:type="dxa"/>
          </w:tcPr>
          <w:p w14:paraId="29748F14" w14:textId="1A224D79"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124.0</w:t>
            </w:r>
          </w:p>
        </w:tc>
      </w:tr>
      <w:tr w:rsidR="00AD02E9" w:rsidRPr="00895810" w14:paraId="4E551BB9" w14:textId="77A1AFB4" w:rsidTr="00024B10">
        <w:tc>
          <w:tcPr>
            <w:tcW w:w="6803" w:type="dxa"/>
            <w:tcMar>
              <w:left w:w="0" w:type="dxa"/>
              <w:right w:w="0" w:type="dxa"/>
            </w:tcMar>
            <w:vAlign w:val="bottom"/>
          </w:tcPr>
          <w:p w14:paraId="173998E4"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Sale of investments in joint ventures</w:t>
            </w:r>
          </w:p>
        </w:tc>
        <w:tc>
          <w:tcPr>
            <w:tcW w:w="284" w:type="dxa"/>
            <w:vAlign w:val="bottom"/>
          </w:tcPr>
          <w:p w14:paraId="44337BF8" w14:textId="124FB759"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0627C49F" w14:textId="72FFC405" w:rsidR="00AD02E9" w:rsidRPr="00895810" w:rsidRDefault="00AD02E9" w:rsidP="00AD02E9">
            <w:pPr>
              <w:pStyle w:val="TableFiguresBracketsBold"/>
              <w:rPr>
                <w:rFonts w:ascii="IBM Plex Sans Light" w:hAnsi="IBM Plex Sans Light"/>
                <w:b w:val="0"/>
                <w:bCs w:val="0"/>
                <w:color w:val="3D7FE0" w:themeColor="accent1"/>
                <w:spacing w:val="-4"/>
                <w:sz w:val="18"/>
                <w:szCs w:val="18"/>
              </w:rPr>
            </w:pPr>
          </w:p>
        </w:tc>
        <w:tc>
          <w:tcPr>
            <w:tcW w:w="1106" w:type="dxa"/>
            <w:tcMar>
              <w:left w:w="0" w:type="dxa"/>
              <w:right w:w="0" w:type="dxa"/>
            </w:tcMar>
          </w:tcPr>
          <w:p w14:paraId="3EAEADFA" w14:textId="0105E9FF"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69.0</w:t>
            </w:r>
          </w:p>
        </w:tc>
        <w:tc>
          <w:tcPr>
            <w:tcW w:w="1221" w:type="dxa"/>
          </w:tcPr>
          <w:p w14:paraId="10DE8A80" w14:textId="531B10FB"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67.9</w:t>
            </w:r>
          </w:p>
        </w:tc>
      </w:tr>
      <w:tr w:rsidR="00AD02E9" w:rsidRPr="00895810" w14:paraId="5374557C" w14:textId="4473F896" w:rsidTr="00024B10">
        <w:tc>
          <w:tcPr>
            <w:tcW w:w="6803" w:type="dxa"/>
            <w:tcMar>
              <w:left w:w="0" w:type="dxa"/>
              <w:right w:w="0" w:type="dxa"/>
            </w:tcMar>
            <w:vAlign w:val="bottom"/>
          </w:tcPr>
          <w:p w14:paraId="265B2964"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Sale of investments in associates</w:t>
            </w:r>
          </w:p>
        </w:tc>
        <w:tc>
          <w:tcPr>
            <w:tcW w:w="284" w:type="dxa"/>
            <w:vAlign w:val="bottom"/>
          </w:tcPr>
          <w:p w14:paraId="456F16E0" w14:textId="060C7117"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51CD71D4" w14:textId="52F4A24A" w:rsidR="00AD02E9" w:rsidRPr="00895810" w:rsidRDefault="00AD02E9" w:rsidP="00AD02E9">
            <w:pPr>
              <w:pStyle w:val="TableFiguresBracketsBold"/>
              <w:rPr>
                <w:rFonts w:ascii="IBM Plex Sans Light" w:hAnsi="IBM Plex Sans Light"/>
                <w:b w:val="0"/>
                <w:bCs w:val="0"/>
                <w:color w:val="3D7FE0" w:themeColor="accent1"/>
                <w:spacing w:val="-4"/>
                <w:sz w:val="18"/>
                <w:szCs w:val="18"/>
              </w:rPr>
            </w:pPr>
          </w:p>
        </w:tc>
        <w:tc>
          <w:tcPr>
            <w:tcW w:w="1106" w:type="dxa"/>
            <w:tcMar>
              <w:left w:w="0" w:type="dxa"/>
              <w:right w:w="0" w:type="dxa"/>
            </w:tcMar>
          </w:tcPr>
          <w:p w14:paraId="5194C5C7" w14:textId="5AEE82BF"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96.7</w:t>
            </w:r>
          </w:p>
        </w:tc>
        <w:tc>
          <w:tcPr>
            <w:tcW w:w="1221" w:type="dxa"/>
          </w:tcPr>
          <w:p w14:paraId="30147327" w14:textId="23E610D2"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w:t>
            </w:r>
          </w:p>
        </w:tc>
      </w:tr>
      <w:tr w:rsidR="00AD02E9" w:rsidRPr="00895810" w14:paraId="3DDEEFC7" w14:textId="1B925EC9" w:rsidTr="00024B10">
        <w:tc>
          <w:tcPr>
            <w:tcW w:w="6803" w:type="dxa"/>
            <w:tcMar>
              <w:left w:w="0" w:type="dxa"/>
              <w:right w:w="0" w:type="dxa"/>
            </w:tcMar>
            <w:vAlign w:val="bottom"/>
          </w:tcPr>
          <w:p w14:paraId="6E99317D" w14:textId="77777777" w:rsidR="00AD02E9" w:rsidRPr="00895810" w:rsidRDefault="00AD02E9" w:rsidP="00AD02E9">
            <w:pPr>
              <w:pStyle w:val="TableFigures"/>
              <w:jc w:val="left"/>
              <w:rPr>
                <w:rFonts w:ascii="IBM Plex Sans Light" w:hAnsi="IBM Plex Sans Light"/>
                <w:color w:val="auto"/>
                <w:spacing w:val="-4"/>
                <w:sz w:val="14"/>
              </w:rPr>
            </w:pPr>
            <w:r w:rsidRPr="00895810">
              <w:rPr>
                <w:rFonts w:ascii="IBM Plex Sans Light" w:hAnsi="IBM Plex Sans Light"/>
                <w:spacing w:val="-4"/>
                <w:sz w:val="18"/>
              </w:rPr>
              <w:t>Advances to joint ventures</w:t>
            </w:r>
          </w:p>
        </w:tc>
        <w:tc>
          <w:tcPr>
            <w:tcW w:w="284" w:type="dxa"/>
            <w:vAlign w:val="bottom"/>
          </w:tcPr>
          <w:p w14:paraId="59474DB8" w14:textId="232C1E75" w:rsidR="00AD02E9" w:rsidRPr="00895810" w:rsidRDefault="00AD02E9" w:rsidP="00AD02E9">
            <w:pPr>
              <w:pStyle w:val="TableFigures"/>
              <w:jc w:val="left"/>
              <w:rPr>
                <w:rFonts w:ascii="IBM Plex Sans Light" w:hAnsi="IBM Plex Sans Light"/>
                <w:color w:val="auto"/>
                <w:spacing w:val="-4"/>
                <w:sz w:val="14"/>
              </w:rPr>
            </w:pPr>
          </w:p>
        </w:tc>
        <w:tc>
          <w:tcPr>
            <w:tcW w:w="509" w:type="dxa"/>
            <w:tcMar>
              <w:left w:w="0" w:type="dxa"/>
              <w:right w:w="0" w:type="dxa"/>
            </w:tcMar>
            <w:vAlign w:val="bottom"/>
          </w:tcPr>
          <w:p w14:paraId="1F7D842E" w14:textId="1FBCE3A0"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2D44A79D" w14:textId="0B1AD28D"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(8.3)</w:t>
            </w:r>
          </w:p>
        </w:tc>
        <w:tc>
          <w:tcPr>
            <w:tcW w:w="1221" w:type="dxa"/>
          </w:tcPr>
          <w:p w14:paraId="594B00A9" w14:textId="056E78D3" w:rsidR="00AD02E9" w:rsidRPr="00353E75"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(4.0)</w:t>
            </w:r>
          </w:p>
        </w:tc>
      </w:tr>
      <w:tr w:rsidR="00AD02E9" w:rsidRPr="00895810" w14:paraId="440113C9" w14:textId="2D6543B7" w:rsidTr="00024B10">
        <w:tc>
          <w:tcPr>
            <w:tcW w:w="6803" w:type="dxa"/>
            <w:tcBorders>
              <w:bottom w:val="single" w:sz="2" w:space="0" w:color="3D7FE0" w:themeColor="accent1"/>
            </w:tcBorders>
            <w:tcMar>
              <w:left w:w="0" w:type="dxa"/>
              <w:right w:w="0" w:type="dxa"/>
            </w:tcMar>
            <w:vAlign w:val="bottom"/>
          </w:tcPr>
          <w:p w14:paraId="60EA9A3E" w14:textId="2187B4CD"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Distributions and capital returns received from associates</w:t>
            </w:r>
          </w:p>
        </w:tc>
        <w:tc>
          <w:tcPr>
            <w:tcW w:w="284" w:type="dxa"/>
            <w:tcBorders>
              <w:bottom w:val="single" w:sz="2" w:space="0" w:color="3D7FE0" w:themeColor="accent1"/>
            </w:tcBorders>
            <w:vAlign w:val="bottom"/>
          </w:tcPr>
          <w:p w14:paraId="59CA4AC3" w14:textId="1A664826" w:rsidR="00AD02E9" w:rsidRPr="00895810" w:rsidRDefault="00AD02E9" w:rsidP="00AD02E9">
            <w:pPr>
              <w:spacing w:after="0" w:line="240" w:lineRule="auto"/>
              <w:rPr>
                <w:rFonts w:ascii="IBM Plex Sans Light" w:hAnsi="IBM Plex Sans Light" w:cs="Arial"/>
                <w:sz w:val="17"/>
                <w:szCs w:val="17"/>
              </w:rPr>
            </w:pPr>
          </w:p>
        </w:tc>
        <w:tc>
          <w:tcPr>
            <w:tcW w:w="509" w:type="dxa"/>
            <w:tcBorders>
              <w:bottom w:val="single" w:sz="2" w:space="0" w:color="3D7FE0" w:themeColor="accent1"/>
            </w:tcBorders>
            <w:tcMar>
              <w:left w:w="0" w:type="dxa"/>
              <w:right w:w="0" w:type="dxa"/>
            </w:tcMar>
            <w:vAlign w:val="bottom"/>
          </w:tcPr>
          <w:p w14:paraId="40A30A69" w14:textId="292EA9E6" w:rsidR="00AD02E9" w:rsidRPr="00895810" w:rsidRDefault="00AD02E9" w:rsidP="00AD02E9">
            <w:pPr>
              <w:pStyle w:val="TableFiguresBold"/>
              <w:rPr>
                <w:rFonts w:ascii="IBM Plex Sans Light" w:hAnsi="IBM Plex Sans Light"/>
                <w:b w:val="0"/>
                <w:bCs w:val="0"/>
                <w:color w:val="3D7FE0" w:themeColor="accent1"/>
                <w:spacing w:val="-4"/>
                <w:sz w:val="18"/>
              </w:rPr>
            </w:pPr>
          </w:p>
        </w:tc>
        <w:tc>
          <w:tcPr>
            <w:tcW w:w="1106" w:type="dxa"/>
            <w:tcBorders>
              <w:bottom w:val="single" w:sz="2" w:space="0" w:color="3D7FE0" w:themeColor="accent1"/>
            </w:tcBorders>
            <w:tcMar>
              <w:left w:w="0" w:type="dxa"/>
              <w:right w:w="0" w:type="dxa"/>
            </w:tcMar>
          </w:tcPr>
          <w:p w14:paraId="49D32361" w14:textId="1F0C1F26"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73.6</w:t>
            </w:r>
          </w:p>
        </w:tc>
        <w:tc>
          <w:tcPr>
            <w:tcW w:w="1221" w:type="dxa"/>
            <w:tcBorders>
              <w:bottom w:val="single" w:sz="2" w:space="0" w:color="3D7FE0" w:themeColor="accent1"/>
            </w:tcBorders>
          </w:tcPr>
          <w:p w14:paraId="20E381AC" w14:textId="6610E3A9" w:rsidR="00AD02E9" w:rsidRPr="00353E75"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2.6</w:t>
            </w:r>
          </w:p>
        </w:tc>
      </w:tr>
      <w:tr w:rsidR="00AD02E9" w:rsidRPr="00895810" w14:paraId="688F96DF" w14:textId="52F2742E" w:rsidTr="00024B10">
        <w:tc>
          <w:tcPr>
            <w:tcW w:w="6803" w:type="dxa"/>
            <w:tcBorders>
              <w:top w:val="single" w:sz="2" w:space="0" w:color="3D7FE0" w:themeColor="accent1"/>
              <w:bottom w:val="single" w:sz="2" w:space="0" w:color="3D7FE0" w:themeColor="accent1"/>
            </w:tcBorders>
            <w:tcMar>
              <w:left w:w="0" w:type="dxa"/>
              <w:right w:w="0" w:type="dxa"/>
            </w:tcMar>
            <w:vAlign w:val="bottom"/>
          </w:tcPr>
          <w:p w14:paraId="0D914DE7" w14:textId="77777777" w:rsidR="00AD02E9" w:rsidRPr="00895810" w:rsidRDefault="00AD02E9" w:rsidP="00AD02E9">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Cash flows from investing activities</w:t>
            </w:r>
          </w:p>
        </w:tc>
        <w:tc>
          <w:tcPr>
            <w:tcW w:w="284" w:type="dxa"/>
            <w:tcBorders>
              <w:top w:val="single" w:sz="2" w:space="0" w:color="3D7FE0" w:themeColor="accent1"/>
              <w:bottom w:val="single" w:sz="2" w:space="0" w:color="3D7FE0" w:themeColor="accent1"/>
            </w:tcBorders>
            <w:vAlign w:val="bottom"/>
          </w:tcPr>
          <w:p w14:paraId="1674D9E7" w14:textId="21F8E23F" w:rsidR="00AD02E9" w:rsidRPr="00895810" w:rsidRDefault="00AD02E9" w:rsidP="00AD02E9">
            <w:pPr>
              <w:spacing w:after="0" w:line="240" w:lineRule="auto"/>
              <w:rPr>
                <w:rFonts w:ascii="IBM Plex Sans Light" w:hAnsi="IBM Plex Sans Light" w:cs="Arial"/>
                <w:b/>
                <w:bCs/>
                <w:sz w:val="17"/>
                <w:szCs w:val="17"/>
              </w:rPr>
            </w:pPr>
          </w:p>
        </w:tc>
        <w:tc>
          <w:tcPr>
            <w:tcW w:w="509" w:type="dxa"/>
            <w:tcBorders>
              <w:top w:val="single" w:sz="2" w:space="0" w:color="3D7FE0" w:themeColor="accent1"/>
              <w:bottom w:val="single" w:sz="2" w:space="0" w:color="3D7FE0" w:themeColor="accent1"/>
            </w:tcBorders>
            <w:tcMar>
              <w:left w:w="0" w:type="dxa"/>
              <w:right w:w="0" w:type="dxa"/>
            </w:tcMar>
            <w:vAlign w:val="bottom"/>
          </w:tcPr>
          <w:p w14:paraId="1BD83F46" w14:textId="5CFCDD6D" w:rsidR="00AD02E9" w:rsidRPr="00895810" w:rsidRDefault="00AD02E9" w:rsidP="00AD02E9">
            <w:pPr>
              <w:pStyle w:val="TableFiguresBold"/>
              <w:rPr>
                <w:rFonts w:ascii="IBM Plex Sans Light" w:hAnsi="IBM Plex Sans Light"/>
                <w:b w:val="0"/>
                <w:bCs w:val="0"/>
                <w:color w:val="3D7FE0" w:themeColor="accent1"/>
                <w:spacing w:val="-4"/>
                <w:sz w:val="18"/>
              </w:rPr>
            </w:pPr>
          </w:p>
        </w:tc>
        <w:tc>
          <w:tcPr>
            <w:tcW w:w="1106" w:type="dxa"/>
            <w:tcBorders>
              <w:top w:val="single" w:sz="2" w:space="0" w:color="3D7FE0" w:themeColor="accent1"/>
              <w:bottom w:val="single" w:sz="2" w:space="0" w:color="3D7FE0" w:themeColor="accent1"/>
            </w:tcBorders>
            <w:tcMar>
              <w:left w:w="0" w:type="dxa"/>
              <w:right w:w="0" w:type="dxa"/>
            </w:tcMar>
          </w:tcPr>
          <w:p w14:paraId="5200176D" w14:textId="2F13C9ED"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261.3</w:t>
            </w:r>
          </w:p>
        </w:tc>
        <w:tc>
          <w:tcPr>
            <w:tcW w:w="1221" w:type="dxa"/>
            <w:tcBorders>
              <w:top w:val="single" w:sz="2" w:space="0" w:color="3D7FE0" w:themeColor="accent1"/>
              <w:bottom w:val="single" w:sz="2" w:space="0" w:color="3D7FE0" w:themeColor="accent1"/>
            </w:tcBorders>
          </w:tcPr>
          <w:p w14:paraId="3A5FFA9A" w14:textId="1FBCA6F2" w:rsidR="00AD02E9" w:rsidRPr="00353E75"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154.1</w:t>
            </w:r>
          </w:p>
        </w:tc>
      </w:tr>
      <w:tr w:rsidR="00FD6CDD" w:rsidRPr="00895810" w14:paraId="110BB221" w14:textId="0F1DC362" w:rsidTr="00024B10">
        <w:trPr>
          <w:trHeight w:val="97"/>
        </w:trPr>
        <w:tc>
          <w:tcPr>
            <w:tcW w:w="6803" w:type="dxa"/>
            <w:tcBorders>
              <w:top w:val="single" w:sz="2" w:space="0" w:color="3D7FE0" w:themeColor="accent1"/>
            </w:tcBorders>
            <w:tcMar>
              <w:left w:w="0" w:type="dxa"/>
              <w:right w:w="0" w:type="dxa"/>
            </w:tcMar>
            <w:vAlign w:val="bottom"/>
          </w:tcPr>
          <w:p w14:paraId="0760D692" w14:textId="77777777" w:rsidR="00FD6CDD" w:rsidRPr="00895810" w:rsidRDefault="00FD6CDD" w:rsidP="00FD6CDD">
            <w:pPr>
              <w:spacing w:after="0" w:line="240" w:lineRule="auto"/>
              <w:rPr>
                <w:rFonts w:ascii="IBM Plex Sans Light" w:hAnsi="IBM Plex Sans Light" w:cs="Arial"/>
                <w:b/>
                <w:sz w:val="17"/>
                <w:szCs w:val="17"/>
              </w:rPr>
            </w:pPr>
          </w:p>
        </w:tc>
        <w:tc>
          <w:tcPr>
            <w:tcW w:w="284" w:type="dxa"/>
            <w:tcBorders>
              <w:top w:val="single" w:sz="2" w:space="0" w:color="3D7FE0" w:themeColor="accent1"/>
            </w:tcBorders>
            <w:vAlign w:val="bottom"/>
          </w:tcPr>
          <w:p w14:paraId="10830B64" w14:textId="72AA3930" w:rsidR="00FD6CDD" w:rsidRPr="00895810" w:rsidRDefault="00FD6CDD" w:rsidP="00FD6CDD">
            <w:pPr>
              <w:spacing w:after="0" w:line="240" w:lineRule="auto"/>
              <w:rPr>
                <w:rFonts w:ascii="IBM Plex Sans Light" w:hAnsi="IBM Plex Sans Light" w:cs="Arial"/>
                <w:sz w:val="17"/>
                <w:szCs w:val="17"/>
              </w:rPr>
            </w:pPr>
          </w:p>
        </w:tc>
        <w:tc>
          <w:tcPr>
            <w:tcW w:w="509" w:type="dxa"/>
            <w:tcBorders>
              <w:top w:val="single" w:sz="2" w:space="0" w:color="3D7FE0" w:themeColor="accent1"/>
            </w:tcBorders>
            <w:tcMar>
              <w:left w:w="0" w:type="dxa"/>
              <w:right w:w="0" w:type="dxa"/>
            </w:tcMar>
            <w:vAlign w:val="bottom"/>
          </w:tcPr>
          <w:p w14:paraId="0E58C12B" w14:textId="77777777" w:rsidR="00FD6CDD" w:rsidRPr="00895810" w:rsidRDefault="00FD6CDD" w:rsidP="00FD6CDD">
            <w:pPr>
              <w:pStyle w:val="TableFigures"/>
              <w:rPr>
                <w:rFonts w:ascii="IBM Plex Sans Light" w:hAnsi="IBM Plex Sans Light"/>
                <w:color w:val="3D7FE0" w:themeColor="accent1"/>
                <w:spacing w:val="-4"/>
                <w:sz w:val="18"/>
                <w:szCs w:val="18"/>
              </w:rPr>
            </w:pPr>
          </w:p>
        </w:tc>
        <w:tc>
          <w:tcPr>
            <w:tcW w:w="1106" w:type="dxa"/>
            <w:tcBorders>
              <w:top w:val="single" w:sz="2" w:space="0" w:color="3D7FE0" w:themeColor="accent1"/>
            </w:tcBorders>
            <w:tcMar>
              <w:left w:w="0" w:type="dxa"/>
              <w:right w:w="0" w:type="dxa"/>
            </w:tcMar>
            <w:vAlign w:val="bottom"/>
          </w:tcPr>
          <w:p w14:paraId="7DF73DD3" w14:textId="77777777" w:rsidR="00FD6CDD" w:rsidRPr="00AD02E9" w:rsidRDefault="00FD6CDD" w:rsidP="00AD02E9">
            <w:pPr>
              <w:pStyle w:val="TableFigures"/>
              <w:rPr>
                <w:rFonts w:ascii="IBM Plex Sans Medium" w:hAnsi="IBM Plex Sans Medium"/>
                <w:b/>
                <w:bCs/>
                <w:color w:val="3D7FE0" w:themeColor="accent1"/>
                <w:spacing w:val="-4"/>
                <w:sz w:val="18"/>
                <w:szCs w:val="18"/>
              </w:rPr>
            </w:pPr>
          </w:p>
        </w:tc>
        <w:tc>
          <w:tcPr>
            <w:tcW w:w="1221" w:type="dxa"/>
            <w:tcBorders>
              <w:top w:val="single" w:sz="2" w:space="0" w:color="3D7FE0" w:themeColor="accent1"/>
            </w:tcBorders>
            <w:vAlign w:val="bottom"/>
          </w:tcPr>
          <w:p w14:paraId="03DD4D7D" w14:textId="77777777" w:rsidR="00FD6CDD" w:rsidRPr="00895810" w:rsidRDefault="00FD6CDD" w:rsidP="00FD6CDD">
            <w:pPr>
              <w:pStyle w:val="TableFiguresBold"/>
              <w:rPr>
                <w:rFonts w:ascii="IBM Plex Sans Light" w:hAnsi="IBM Plex Sans Light"/>
                <w:b w:val="0"/>
                <w:bCs w:val="0"/>
                <w:color w:val="auto"/>
                <w:spacing w:val="-4"/>
                <w:sz w:val="18"/>
              </w:rPr>
            </w:pPr>
          </w:p>
        </w:tc>
      </w:tr>
      <w:tr w:rsidR="00FD6CDD" w:rsidRPr="00895810" w14:paraId="566703D3" w14:textId="5BF26171" w:rsidTr="00024B10">
        <w:tc>
          <w:tcPr>
            <w:tcW w:w="6803" w:type="dxa"/>
            <w:tcMar>
              <w:left w:w="0" w:type="dxa"/>
              <w:right w:w="0" w:type="dxa"/>
            </w:tcMar>
            <w:vAlign w:val="bottom"/>
          </w:tcPr>
          <w:p w14:paraId="333E28A6" w14:textId="77777777" w:rsidR="00FD6CDD" w:rsidRPr="00895810" w:rsidRDefault="00FD6CDD" w:rsidP="00FD6CDD">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Financing activities</w:t>
            </w:r>
          </w:p>
        </w:tc>
        <w:tc>
          <w:tcPr>
            <w:tcW w:w="284" w:type="dxa"/>
            <w:vAlign w:val="bottom"/>
          </w:tcPr>
          <w:p w14:paraId="3A53ECAF" w14:textId="1249C603" w:rsidR="00FD6CDD" w:rsidRPr="00895810" w:rsidRDefault="00FD6CDD" w:rsidP="00FD6CDD">
            <w:pPr>
              <w:spacing w:after="0" w:line="240" w:lineRule="auto"/>
              <w:rPr>
                <w:rFonts w:ascii="IBM Plex Sans Light" w:hAnsi="IBM Plex Sans Light" w:cs="Arial"/>
                <w:b/>
                <w:bCs/>
                <w:sz w:val="17"/>
                <w:szCs w:val="17"/>
              </w:rPr>
            </w:pPr>
          </w:p>
        </w:tc>
        <w:tc>
          <w:tcPr>
            <w:tcW w:w="509" w:type="dxa"/>
            <w:tcMar>
              <w:left w:w="0" w:type="dxa"/>
              <w:right w:w="0" w:type="dxa"/>
            </w:tcMar>
            <w:vAlign w:val="bottom"/>
          </w:tcPr>
          <w:p w14:paraId="40ABDB41" w14:textId="77777777" w:rsidR="00FD6CDD" w:rsidRPr="00895810" w:rsidRDefault="00FD6CDD" w:rsidP="00FD6CDD">
            <w:pPr>
              <w:pStyle w:val="TableFigures"/>
              <w:rPr>
                <w:rFonts w:ascii="IBM Plex Sans Light" w:hAnsi="IBM Plex Sans Light"/>
                <w:color w:val="3D7FE0" w:themeColor="accent1"/>
                <w:spacing w:val="-4"/>
                <w:sz w:val="18"/>
                <w:szCs w:val="18"/>
              </w:rPr>
            </w:pPr>
          </w:p>
        </w:tc>
        <w:tc>
          <w:tcPr>
            <w:tcW w:w="1106" w:type="dxa"/>
            <w:tcMar>
              <w:left w:w="0" w:type="dxa"/>
              <w:right w:w="0" w:type="dxa"/>
            </w:tcMar>
            <w:vAlign w:val="bottom"/>
          </w:tcPr>
          <w:p w14:paraId="1C0712C0" w14:textId="77777777" w:rsidR="00FD6CDD" w:rsidRPr="00AD02E9" w:rsidRDefault="00FD6CDD" w:rsidP="00AD02E9">
            <w:pPr>
              <w:pStyle w:val="TableFigures"/>
              <w:rPr>
                <w:rFonts w:ascii="IBM Plex Sans Medium" w:hAnsi="IBM Plex Sans Medium"/>
                <w:b/>
                <w:bCs/>
                <w:color w:val="3D7FE0" w:themeColor="accent1"/>
                <w:spacing w:val="-4"/>
                <w:sz w:val="18"/>
                <w:szCs w:val="18"/>
              </w:rPr>
            </w:pPr>
          </w:p>
        </w:tc>
        <w:tc>
          <w:tcPr>
            <w:tcW w:w="1221" w:type="dxa"/>
            <w:vAlign w:val="bottom"/>
          </w:tcPr>
          <w:p w14:paraId="7C910C41" w14:textId="77777777" w:rsidR="00FD6CDD" w:rsidRPr="00895810" w:rsidRDefault="00FD6CDD" w:rsidP="00FD6CDD">
            <w:pPr>
              <w:pStyle w:val="TableFiguresBold"/>
              <w:rPr>
                <w:rFonts w:ascii="IBM Plex Sans Light" w:hAnsi="IBM Plex Sans Light"/>
                <w:b w:val="0"/>
                <w:bCs w:val="0"/>
                <w:color w:val="auto"/>
                <w:spacing w:val="-4"/>
                <w:sz w:val="18"/>
              </w:rPr>
            </w:pPr>
          </w:p>
        </w:tc>
      </w:tr>
      <w:tr w:rsidR="00AD02E9" w:rsidRPr="00895810" w14:paraId="33F1BDD9" w14:textId="34E1FA29" w:rsidTr="00024B10">
        <w:tc>
          <w:tcPr>
            <w:tcW w:w="6803" w:type="dxa"/>
            <w:tcMar>
              <w:left w:w="0" w:type="dxa"/>
              <w:right w:w="0" w:type="dxa"/>
            </w:tcMar>
            <w:vAlign w:val="bottom"/>
          </w:tcPr>
          <w:p w14:paraId="5165088E" w14:textId="3B99EB54"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Share issue expenses</w:t>
            </w:r>
          </w:p>
        </w:tc>
        <w:tc>
          <w:tcPr>
            <w:tcW w:w="284" w:type="dxa"/>
            <w:vAlign w:val="bottom"/>
          </w:tcPr>
          <w:p w14:paraId="3EC363C6" w14:textId="2F0E4475"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68D77FFD" w14:textId="51BC44DE"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2E55FDAE" w14:textId="588C55CF"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w:t>
            </w:r>
          </w:p>
        </w:tc>
        <w:tc>
          <w:tcPr>
            <w:tcW w:w="1221" w:type="dxa"/>
            <w:vAlign w:val="bottom"/>
          </w:tcPr>
          <w:p w14:paraId="5C46C618" w14:textId="21C36E29" w:rsidR="00AD02E9" w:rsidRPr="00895810" w:rsidRDefault="00AD02E9" w:rsidP="00AD02E9">
            <w:pPr>
              <w:pStyle w:val="TableFiguresBracketsBold"/>
              <w:rPr>
                <w:rFonts w:ascii="IBM Plex Sans Light" w:hAnsi="IBM Plex Sans Light"/>
                <w:b w:val="0"/>
                <w:bCs w:val="0"/>
                <w:color w:val="auto"/>
                <w:spacing w:val="-4"/>
                <w:sz w:val="18"/>
                <w:szCs w:val="18"/>
              </w:rPr>
            </w:pPr>
            <w:r w:rsidRPr="00895810">
              <w:rPr>
                <w:rFonts w:ascii="IBM Plex Sans Light" w:hAnsi="IBM Plex Sans Light"/>
                <w:b w:val="0"/>
                <w:bCs w:val="0"/>
                <w:color w:val="auto"/>
                <w:spacing w:val="-4"/>
                <w:sz w:val="18"/>
                <w:szCs w:val="18"/>
              </w:rPr>
              <w:t>(</w:t>
            </w:r>
            <w:r>
              <w:rPr>
                <w:rFonts w:ascii="IBM Plex Sans Light" w:hAnsi="IBM Plex Sans Light"/>
                <w:b w:val="0"/>
                <w:bCs w:val="0"/>
                <w:color w:val="auto"/>
                <w:spacing w:val="-4"/>
                <w:sz w:val="18"/>
                <w:szCs w:val="18"/>
              </w:rPr>
              <w:t>0</w:t>
            </w:r>
            <w:r w:rsidRPr="00895810">
              <w:rPr>
                <w:rFonts w:ascii="IBM Plex Sans Light" w:hAnsi="IBM Plex Sans Light"/>
                <w:b w:val="0"/>
                <w:bCs w:val="0"/>
                <w:color w:val="auto"/>
                <w:spacing w:val="-4"/>
                <w:sz w:val="18"/>
                <w:szCs w:val="18"/>
              </w:rPr>
              <w:t>.5)</w:t>
            </w:r>
          </w:p>
        </w:tc>
      </w:tr>
      <w:tr w:rsidR="00AD02E9" w:rsidRPr="00895810" w14:paraId="68262870" w14:textId="222A6056" w:rsidTr="00024B10">
        <w:tc>
          <w:tcPr>
            <w:tcW w:w="6803" w:type="dxa"/>
            <w:tcMar>
              <w:left w:w="0" w:type="dxa"/>
              <w:right w:w="0" w:type="dxa"/>
            </w:tcMar>
            <w:vAlign w:val="bottom"/>
          </w:tcPr>
          <w:p w14:paraId="7FF9D932"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Proceeds from award of own shares</w:t>
            </w:r>
          </w:p>
        </w:tc>
        <w:tc>
          <w:tcPr>
            <w:tcW w:w="284" w:type="dxa"/>
            <w:vAlign w:val="bottom"/>
          </w:tcPr>
          <w:p w14:paraId="46010200" w14:textId="16601B09"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2FB6A107" w14:textId="3962A234" w:rsidR="00AD02E9" w:rsidRPr="00895810" w:rsidRDefault="00AD02E9" w:rsidP="00AD02E9">
            <w:pPr>
              <w:pStyle w:val="TableFiguresBold"/>
              <w:rPr>
                <w:rFonts w:ascii="IBM Plex Sans Light" w:hAnsi="IBM Plex Sans Light"/>
                <w:b w:val="0"/>
                <w:bCs w:val="0"/>
                <w:color w:val="3D7FE0" w:themeColor="accent1"/>
                <w:spacing w:val="-4"/>
                <w:sz w:val="18"/>
                <w:szCs w:val="18"/>
              </w:rPr>
            </w:pPr>
          </w:p>
        </w:tc>
        <w:tc>
          <w:tcPr>
            <w:tcW w:w="1106" w:type="dxa"/>
            <w:tcMar>
              <w:left w:w="0" w:type="dxa"/>
              <w:right w:w="0" w:type="dxa"/>
            </w:tcMar>
          </w:tcPr>
          <w:p w14:paraId="0C4C5A05" w14:textId="1AC4C1FD"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w:t>
            </w:r>
          </w:p>
        </w:tc>
        <w:tc>
          <w:tcPr>
            <w:tcW w:w="1221" w:type="dxa"/>
          </w:tcPr>
          <w:p w14:paraId="4EBE8002" w14:textId="4B33FB0B"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0.1</w:t>
            </w:r>
          </w:p>
        </w:tc>
      </w:tr>
      <w:tr w:rsidR="00AD02E9" w:rsidRPr="00895810" w14:paraId="11EF0A18" w14:textId="7D41B27A" w:rsidTr="00024B10">
        <w:tc>
          <w:tcPr>
            <w:tcW w:w="6803" w:type="dxa"/>
            <w:tcMar>
              <w:left w:w="0" w:type="dxa"/>
              <w:right w:w="0" w:type="dxa"/>
            </w:tcMar>
            <w:vAlign w:val="bottom"/>
          </w:tcPr>
          <w:p w14:paraId="624F46E8"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Purchase of own shares</w:t>
            </w:r>
          </w:p>
        </w:tc>
        <w:tc>
          <w:tcPr>
            <w:tcW w:w="284" w:type="dxa"/>
            <w:vAlign w:val="bottom"/>
          </w:tcPr>
          <w:p w14:paraId="6DBD436C" w14:textId="3820EDCB"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10D08996" w14:textId="41590E9B"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2B3B0301" w14:textId="0952CDF2"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w:t>
            </w:r>
          </w:p>
        </w:tc>
        <w:tc>
          <w:tcPr>
            <w:tcW w:w="1221" w:type="dxa"/>
          </w:tcPr>
          <w:p w14:paraId="5C68E5C9" w14:textId="4772B907"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(6.7)</w:t>
            </w:r>
          </w:p>
        </w:tc>
      </w:tr>
      <w:tr w:rsidR="00AD02E9" w:rsidRPr="00895810" w14:paraId="4FFD2BFB" w14:textId="4C6B4C55" w:rsidTr="00024B10">
        <w:trPr>
          <w:trHeight w:val="323"/>
        </w:trPr>
        <w:tc>
          <w:tcPr>
            <w:tcW w:w="6803" w:type="dxa"/>
            <w:tcMar>
              <w:left w:w="0" w:type="dxa"/>
              <w:right w:w="0" w:type="dxa"/>
            </w:tcMar>
            <w:vAlign w:val="bottom"/>
          </w:tcPr>
          <w:p w14:paraId="5FFAEB47" w14:textId="67523804"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 xml:space="preserve">Proceeds from new </w:t>
            </w:r>
            <w:r w:rsidR="007C0BC1">
              <w:rPr>
                <w:rFonts w:ascii="IBM Plex Sans Light" w:hAnsi="IBM Plex Sans Light"/>
              </w:rPr>
              <w:t>b</w:t>
            </w:r>
            <w:r w:rsidRPr="00895810">
              <w:rPr>
                <w:rFonts w:ascii="IBM Plex Sans Light" w:hAnsi="IBM Plex Sans Light"/>
              </w:rPr>
              <w:t>orrowings</w:t>
            </w:r>
          </w:p>
        </w:tc>
        <w:tc>
          <w:tcPr>
            <w:tcW w:w="284" w:type="dxa"/>
            <w:vAlign w:val="bottom"/>
          </w:tcPr>
          <w:p w14:paraId="43007358" w14:textId="0DB47BB8"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0355D695" w14:textId="4FB024C6" w:rsidR="00AD02E9" w:rsidRPr="00895810" w:rsidRDefault="00AD02E9" w:rsidP="00AD02E9">
            <w:pPr>
              <w:pStyle w:val="TableFiguresBold"/>
              <w:rPr>
                <w:rFonts w:ascii="IBM Plex Sans Light" w:hAnsi="IBM Plex Sans Light"/>
                <w:b w:val="0"/>
                <w:bCs w:val="0"/>
                <w:color w:val="3D7FE0" w:themeColor="accent1"/>
                <w:spacing w:val="-4"/>
                <w:sz w:val="18"/>
              </w:rPr>
            </w:pPr>
          </w:p>
        </w:tc>
        <w:tc>
          <w:tcPr>
            <w:tcW w:w="1106" w:type="dxa"/>
            <w:tcMar>
              <w:left w:w="0" w:type="dxa"/>
              <w:right w:w="0" w:type="dxa"/>
            </w:tcMar>
          </w:tcPr>
          <w:p w14:paraId="0F15BCEB" w14:textId="48B377E2"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96.0</w:t>
            </w:r>
          </w:p>
        </w:tc>
        <w:tc>
          <w:tcPr>
            <w:tcW w:w="1221" w:type="dxa"/>
          </w:tcPr>
          <w:p w14:paraId="4B5C3FFB" w14:textId="5008C663" w:rsidR="00AD02E9" w:rsidRPr="00506F30" w:rsidRDefault="00AD02E9" w:rsidP="00506F30">
            <w:pPr>
              <w:pStyle w:val="TableFiguresBold"/>
              <w:rPr>
                <w:rFonts w:ascii="IBM Plex Sans Light" w:hAnsi="IBM Plex Sans Light"/>
                <w:b w:val="0"/>
                <w:bCs w:val="0"/>
                <w:color w:val="auto"/>
                <w:spacing w:val="-4"/>
                <w:sz w:val="18"/>
                <w:szCs w:val="18"/>
              </w:rPr>
            </w:pPr>
            <w:r w:rsidRPr="00506F30">
              <w:rPr>
                <w:rFonts w:ascii="IBM Plex Sans Light" w:hAnsi="IBM Plex Sans Light"/>
                <w:b w:val="0"/>
                <w:bCs w:val="0"/>
                <w:color w:val="auto"/>
                <w:spacing w:val="-4"/>
                <w:sz w:val="18"/>
                <w:szCs w:val="18"/>
              </w:rPr>
              <w:t>–</w:t>
            </w:r>
          </w:p>
        </w:tc>
      </w:tr>
      <w:tr w:rsidR="00AD02E9" w:rsidRPr="00895810" w14:paraId="3741B25C" w14:textId="2D0F57A0" w:rsidTr="00024B10">
        <w:tc>
          <w:tcPr>
            <w:tcW w:w="6803" w:type="dxa"/>
            <w:tcMar>
              <w:left w:w="0" w:type="dxa"/>
              <w:right w:w="0" w:type="dxa"/>
            </w:tcMar>
            <w:vAlign w:val="bottom"/>
          </w:tcPr>
          <w:p w14:paraId="67F3C409" w14:textId="583BE1FF"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 xml:space="preserve">Repayment of </w:t>
            </w:r>
            <w:r w:rsidR="007C0BC1">
              <w:rPr>
                <w:rFonts w:ascii="IBM Plex Sans Light" w:hAnsi="IBM Plex Sans Light"/>
              </w:rPr>
              <w:t>b</w:t>
            </w:r>
            <w:r w:rsidRPr="00895810">
              <w:rPr>
                <w:rFonts w:ascii="IBM Plex Sans Light" w:hAnsi="IBM Plex Sans Light"/>
              </w:rPr>
              <w:t>orrowings</w:t>
            </w:r>
          </w:p>
        </w:tc>
        <w:tc>
          <w:tcPr>
            <w:tcW w:w="284" w:type="dxa"/>
            <w:vAlign w:val="bottom"/>
          </w:tcPr>
          <w:p w14:paraId="2DA5685B" w14:textId="3C06B252"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3DA13277" w14:textId="4123ED46" w:rsidR="00AD02E9" w:rsidRPr="00895810" w:rsidRDefault="00AD02E9" w:rsidP="00AD02E9">
            <w:pPr>
              <w:pStyle w:val="TableFiguresBracketsBold"/>
              <w:rPr>
                <w:rFonts w:ascii="IBM Plex Sans Light" w:hAnsi="IBM Plex Sans Light"/>
                <w:b w:val="0"/>
                <w:bCs w:val="0"/>
                <w:color w:val="3D7FE0" w:themeColor="accent1"/>
                <w:spacing w:val="-4"/>
                <w:sz w:val="18"/>
              </w:rPr>
            </w:pPr>
          </w:p>
        </w:tc>
        <w:tc>
          <w:tcPr>
            <w:tcW w:w="1106" w:type="dxa"/>
            <w:tcMar>
              <w:left w:w="0" w:type="dxa"/>
              <w:right w:w="0" w:type="dxa"/>
            </w:tcMar>
          </w:tcPr>
          <w:p w14:paraId="6C19DD0A" w14:textId="280AF112"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(111.1)</w:t>
            </w:r>
          </w:p>
        </w:tc>
        <w:tc>
          <w:tcPr>
            <w:tcW w:w="1221" w:type="dxa"/>
          </w:tcPr>
          <w:p w14:paraId="40A16DFE" w14:textId="1D53C1D8"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(302.4)</w:t>
            </w:r>
          </w:p>
        </w:tc>
      </w:tr>
      <w:tr w:rsidR="00AD02E9" w:rsidRPr="00895810" w14:paraId="5BCF562F" w14:textId="16BA4BCB" w:rsidTr="00024B10">
        <w:tc>
          <w:tcPr>
            <w:tcW w:w="6803" w:type="dxa"/>
            <w:tcBorders>
              <w:bottom w:val="single" w:sz="2" w:space="0" w:color="3D7FE0" w:themeColor="accent1"/>
            </w:tcBorders>
            <w:tcMar>
              <w:left w:w="0" w:type="dxa"/>
              <w:right w:w="0" w:type="dxa"/>
            </w:tcMar>
            <w:vAlign w:val="bottom"/>
          </w:tcPr>
          <w:p w14:paraId="5690A668" w14:textId="536965A4" w:rsidR="00AD02E9" w:rsidRPr="00895810" w:rsidRDefault="00AD02E9" w:rsidP="00AD02E9">
            <w:pPr>
              <w:pStyle w:val="Tabletext"/>
              <w:rPr>
                <w:rFonts w:ascii="IBM Plex Sans Light" w:hAnsi="IBM Plex Sans Light"/>
                <w:color w:val="auto"/>
                <w:spacing w:val="-4"/>
                <w:sz w:val="14"/>
              </w:rPr>
            </w:pPr>
            <w:r w:rsidRPr="00895810">
              <w:rPr>
                <w:rFonts w:ascii="IBM Plex Sans Light" w:hAnsi="IBM Plex Sans Light"/>
                <w:spacing w:val="-4"/>
                <w:sz w:val="18"/>
              </w:rPr>
              <w:t>Equity dividends paid</w:t>
            </w:r>
          </w:p>
        </w:tc>
        <w:tc>
          <w:tcPr>
            <w:tcW w:w="284" w:type="dxa"/>
            <w:tcBorders>
              <w:bottom w:val="single" w:sz="2" w:space="0" w:color="3D7FE0" w:themeColor="accent1"/>
            </w:tcBorders>
            <w:vAlign w:val="bottom"/>
          </w:tcPr>
          <w:p w14:paraId="27E00637" w14:textId="31243EF9" w:rsidR="00AD02E9" w:rsidRPr="00895810" w:rsidRDefault="00AD02E9" w:rsidP="00AD02E9">
            <w:pPr>
              <w:pStyle w:val="Tabletext"/>
              <w:rPr>
                <w:rFonts w:ascii="IBM Plex Sans Light" w:hAnsi="IBM Plex Sans Light"/>
                <w:color w:val="auto"/>
                <w:spacing w:val="-4"/>
                <w:sz w:val="14"/>
              </w:rPr>
            </w:pPr>
          </w:p>
        </w:tc>
        <w:tc>
          <w:tcPr>
            <w:tcW w:w="509" w:type="dxa"/>
            <w:tcBorders>
              <w:bottom w:val="single" w:sz="2" w:space="0" w:color="3D7FE0" w:themeColor="accent1"/>
            </w:tcBorders>
            <w:tcMar>
              <w:left w:w="0" w:type="dxa"/>
              <w:right w:w="0" w:type="dxa"/>
            </w:tcMar>
            <w:vAlign w:val="bottom"/>
          </w:tcPr>
          <w:p w14:paraId="585B3722" w14:textId="12FF584F" w:rsidR="00AD02E9" w:rsidRPr="00895810" w:rsidRDefault="00506F30" w:rsidP="00AD02E9">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18</w:t>
            </w:r>
          </w:p>
        </w:tc>
        <w:tc>
          <w:tcPr>
            <w:tcW w:w="1106" w:type="dxa"/>
            <w:tcBorders>
              <w:bottom w:val="single" w:sz="2" w:space="0" w:color="3D7FE0" w:themeColor="accent1"/>
            </w:tcBorders>
            <w:tcMar>
              <w:left w:w="0" w:type="dxa"/>
              <w:right w:w="0" w:type="dxa"/>
            </w:tcMar>
          </w:tcPr>
          <w:p w14:paraId="3E5EF44F" w14:textId="46CEFC75"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(29.9)</w:t>
            </w:r>
          </w:p>
        </w:tc>
        <w:tc>
          <w:tcPr>
            <w:tcW w:w="1221" w:type="dxa"/>
            <w:tcBorders>
              <w:bottom w:val="single" w:sz="2" w:space="0" w:color="3D7FE0" w:themeColor="accent1"/>
            </w:tcBorders>
          </w:tcPr>
          <w:p w14:paraId="03FA578F" w14:textId="083E759B"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(13.2)</w:t>
            </w:r>
          </w:p>
        </w:tc>
      </w:tr>
      <w:tr w:rsidR="00AD02E9" w:rsidRPr="00895810" w14:paraId="2F618F09" w14:textId="35FDADE4" w:rsidTr="00024B10">
        <w:trPr>
          <w:trHeight w:val="113"/>
        </w:trPr>
        <w:tc>
          <w:tcPr>
            <w:tcW w:w="6803" w:type="dxa"/>
            <w:tcBorders>
              <w:top w:val="single" w:sz="2" w:space="0" w:color="3D7FE0" w:themeColor="accent1"/>
              <w:bottom w:val="single" w:sz="2" w:space="0" w:color="3D7FE0" w:themeColor="accent1"/>
            </w:tcBorders>
            <w:tcMar>
              <w:left w:w="0" w:type="dxa"/>
              <w:right w:w="0" w:type="dxa"/>
            </w:tcMar>
            <w:vAlign w:val="bottom"/>
          </w:tcPr>
          <w:p w14:paraId="73A58D22" w14:textId="77777777" w:rsidR="00AD02E9" w:rsidRPr="00895810" w:rsidRDefault="00AD02E9" w:rsidP="00AD02E9">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Cash flows from financing activities</w:t>
            </w:r>
          </w:p>
        </w:tc>
        <w:tc>
          <w:tcPr>
            <w:tcW w:w="284" w:type="dxa"/>
            <w:tcBorders>
              <w:top w:val="single" w:sz="2" w:space="0" w:color="3D7FE0" w:themeColor="accent1"/>
              <w:bottom w:val="single" w:sz="2" w:space="0" w:color="3D7FE0" w:themeColor="accent1"/>
            </w:tcBorders>
            <w:vAlign w:val="bottom"/>
          </w:tcPr>
          <w:p w14:paraId="57AE5B7B" w14:textId="3EF261FA" w:rsidR="00AD02E9" w:rsidRPr="00895810" w:rsidRDefault="00AD02E9" w:rsidP="00AD02E9">
            <w:pPr>
              <w:spacing w:after="0" w:line="240" w:lineRule="auto"/>
              <w:rPr>
                <w:rFonts w:ascii="IBM Plex Sans Light" w:hAnsi="IBM Plex Sans Light" w:cs="Arial"/>
                <w:b/>
                <w:bCs/>
                <w:sz w:val="17"/>
                <w:szCs w:val="17"/>
              </w:rPr>
            </w:pPr>
          </w:p>
        </w:tc>
        <w:tc>
          <w:tcPr>
            <w:tcW w:w="509" w:type="dxa"/>
            <w:tcBorders>
              <w:top w:val="single" w:sz="2" w:space="0" w:color="3D7FE0" w:themeColor="accent1"/>
              <w:bottom w:val="single" w:sz="2" w:space="0" w:color="3D7FE0" w:themeColor="accent1"/>
            </w:tcBorders>
            <w:tcMar>
              <w:left w:w="0" w:type="dxa"/>
              <w:right w:w="0" w:type="dxa"/>
            </w:tcMar>
            <w:vAlign w:val="bottom"/>
          </w:tcPr>
          <w:p w14:paraId="56F850B4" w14:textId="0ADE2E2F" w:rsidR="00AD02E9" w:rsidRPr="00895810" w:rsidRDefault="00AD02E9" w:rsidP="00AD02E9">
            <w:pPr>
              <w:pStyle w:val="TableFiguresBracketsBold"/>
              <w:rPr>
                <w:rFonts w:ascii="IBM Plex Sans Light" w:hAnsi="IBM Plex Sans Light"/>
                <w:b w:val="0"/>
                <w:bCs w:val="0"/>
                <w:color w:val="3D7FE0" w:themeColor="accent1"/>
                <w:spacing w:val="-4"/>
                <w:sz w:val="17"/>
                <w:szCs w:val="17"/>
              </w:rPr>
            </w:pPr>
          </w:p>
        </w:tc>
        <w:tc>
          <w:tcPr>
            <w:tcW w:w="1106" w:type="dxa"/>
            <w:tcBorders>
              <w:top w:val="single" w:sz="2" w:space="0" w:color="3D7FE0" w:themeColor="accent1"/>
              <w:bottom w:val="single" w:sz="2" w:space="0" w:color="3D7FE0" w:themeColor="accent1"/>
            </w:tcBorders>
            <w:tcMar>
              <w:left w:w="0" w:type="dxa"/>
              <w:right w:w="0" w:type="dxa"/>
            </w:tcMar>
          </w:tcPr>
          <w:p w14:paraId="0F3CED20" w14:textId="0DB7E1D5"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(45.0)</w:t>
            </w:r>
          </w:p>
        </w:tc>
        <w:tc>
          <w:tcPr>
            <w:tcW w:w="1221" w:type="dxa"/>
            <w:tcBorders>
              <w:top w:val="single" w:sz="2" w:space="0" w:color="3D7FE0" w:themeColor="accent1"/>
              <w:bottom w:val="single" w:sz="2" w:space="0" w:color="3D7FE0" w:themeColor="accent1"/>
            </w:tcBorders>
          </w:tcPr>
          <w:p w14:paraId="6004CC5B" w14:textId="2B3E78CC"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(322.7)</w:t>
            </w:r>
          </w:p>
        </w:tc>
      </w:tr>
      <w:tr w:rsidR="00FD6CDD" w:rsidRPr="00895810" w14:paraId="1ACB01CA" w14:textId="3320B8AB" w:rsidTr="00024B10">
        <w:trPr>
          <w:trHeight w:val="123"/>
        </w:trPr>
        <w:tc>
          <w:tcPr>
            <w:tcW w:w="6803" w:type="dxa"/>
            <w:tcBorders>
              <w:top w:val="single" w:sz="2" w:space="0" w:color="3D7FE0" w:themeColor="accent1"/>
            </w:tcBorders>
            <w:tcMar>
              <w:left w:w="0" w:type="dxa"/>
              <w:right w:w="0" w:type="dxa"/>
            </w:tcMar>
            <w:vAlign w:val="bottom"/>
          </w:tcPr>
          <w:p w14:paraId="03AA7FB8" w14:textId="77777777" w:rsidR="00FD6CDD" w:rsidRPr="00895810" w:rsidRDefault="00FD6CDD" w:rsidP="00FD6CDD">
            <w:pPr>
              <w:spacing w:after="0" w:line="240" w:lineRule="auto"/>
              <w:rPr>
                <w:rFonts w:ascii="IBM Plex Sans Light" w:hAnsi="IBM Plex Sans Light" w:cs="Arial"/>
                <w:b/>
                <w:sz w:val="12"/>
                <w:szCs w:val="12"/>
              </w:rPr>
            </w:pPr>
          </w:p>
        </w:tc>
        <w:tc>
          <w:tcPr>
            <w:tcW w:w="284" w:type="dxa"/>
            <w:tcBorders>
              <w:top w:val="single" w:sz="2" w:space="0" w:color="3D7FE0" w:themeColor="accent1"/>
            </w:tcBorders>
            <w:vAlign w:val="bottom"/>
          </w:tcPr>
          <w:p w14:paraId="716E2659" w14:textId="23BF79A5" w:rsidR="00FD6CDD" w:rsidRPr="00895810" w:rsidRDefault="00FD6CDD" w:rsidP="00FD6CDD">
            <w:pPr>
              <w:spacing w:after="0" w:line="240" w:lineRule="auto"/>
              <w:rPr>
                <w:rFonts w:ascii="IBM Plex Sans Light" w:hAnsi="IBM Plex Sans Light" w:cs="Arial"/>
                <w:sz w:val="12"/>
                <w:szCs w:val="12"/>
              </w:rPr>
            </w:pPr>
          </w:p>
        </w:tc>
        <w:tc>
          <w:tcPr>
            <w:tcW w:w="509" w:type="dxa"/>
            <w:tcBorders>
              <w:top w:val="single" w:sz="2" w:space="0" w:color="3D7FE0" w:themeColor="accent1"/>
            </w:tcBorders>
            <w:tcMar>
              <w:left w:w="0" w:type="dxa"/>
              <w:right w:w="0" w:type="dxa"/>
            </w:tcMar>
            <w:vAlign w:val="bottom"/>
          </w:tcPr>
          <w:p w14:paraId="29C21D45" w14:textId="77777777" w:rsidR="00FD6CDD" w:rsidRPr="00895810" w:rsidRDefault="00FD6CDD" w:rsidP="00FD6CDD">
            <w:pPr>
              <w:pStyle w:val="TableFigures"/>
              <w:spacing w:before="0" w:after="0" w:line="240" w:lineRule="auto"/>
              <w:rPr>
                <w:rFonts w:ascii="IBM Plex Sans Light" w:hAnsi="IBM Plex Sans Light"/>
                <w:color w:val="3D7FE0" w:themeColor="accent1"/>
                <w:spacing w:val="-4"/>
                <w:sz w:val="12"/>
                <w:szCs w:val="12"/>
              </w:rPr>
            </w:pPr>
          </w:p>
        </w:tc>
        <w:tc>
          <w:tcPr>
            <w:tcW w:w="1106" w:type="dxa"/>
            <w:tcBorders>
              <w:top w:val="single" w:sz="2" w:space="0" w:color="3D7FE0" w:themeColor="accent1"/>
            </w:tcBorders>
            <w:tcMar>
              <w:left w:w="0" w:type="dxa"/>
              <w:right w:w="0" w:type="dxa"/>
            </w:tcMar>
            <w:vAlign w:val="bottom"/>
          </w:tcPr>
          <w:p w14:paraId="16E99A23" w14:textId="77777777" w:rsidR="00FD6CDD" w:rsidRPr="00AD02E9" w:rsidRDefault="00FD6CDD" w:rsidP="00AD02E9">
            <w:pPr>
              <w:pStyle w:val="TableFigures"/>
              <w:rPr>
                <w:rFonts w:ascii="IBM Plex Sans Medium" w:hAnsi="IBM Plex Sans Medium"/>
                <w:b/>
                <w:bCs/>
                <w:color w:val="3D7FE0" w:themeColor="accent1"/>
                <w:spacing w:val="-4"/>
                <w:sz w:val="18"/>
                <w:szCs w:val="18"/>
              </w:rPr>
            </w:pPr>
          </w:p>
        </w:tc>
        <w:tc>
          <w:tcPr>
            <w:tcW w:w="1221" w:type="dxa"/>
            <w:tcBorders>
              <w:top w:val="single" w:sz="2" w:space="0" w:color="3D7FE0" w:themeColor="accent1"/>
            </w:tcBorders>
            <w:vAlign w:val="bottom"/>
          </w:tcPr>
          <w:p w14:paraId="09594A65" w14:textId="77777777" w:rsidR="00FD6CDD" w:rsidRPr="00895810" w:rsidRDefault="00FD6CDD" w:rsidP="00FD6CDD">
            <w:pPr>
              <w:pStyle w:val="TableFiguresBold"/>
              <w:spacing w:before="0" w:after="0" w:line="240" w:lineRule="auto"/>
              <w:rPr>
                <w:rFonts w:ascii="IBM Plex Sans Light" w:hAnsi="IBM Plex Sans Light"/>
                <w:b w:val="0"/>
                <w:bCs w:val="0"/>
                <w:color w:val="auto"/>
                <w:spacing w:val="-4"/>
                <w:sz w:val="12"/>
                <w:szCs w:val="12"/>
              </w:rPr>
            </w:pPr>
          </w:p>
        </w:tc>
      </w:tr>
      <w:tr w:rsidR="00AD02E9" w:rsidRPr="00895810" w14:paraId="594EF723" w14:textId="77777777" w:rsidTr="00024B10">
        <w:tc>
          <w:tcPr>
            <w:tcW w:w="6803" w:type="dxa"/>
            <w:tcMar>
              <w:left w:w="0" w:type="dxa"/>
              <w:right w:w="0" w:type="dxa"/>
            </w:tcMar>
            <w:vAlign w:val="bottom"/>
          </w:tcPr>
          <w:p w14:paraId="28ADA03D" w14:textId="6A93DA10" w:rsidR="00AD02E9" w:rsidRPr="00895810" w:rsidRDefault="00AD02E9" w:rsidP="00AD02E9">
            <w:pPr>
              <w:spacing w:after="0" w:line="240" w:lineRule="auto"/>
              <w:rPr>
                <w:rFonts w:ascii="IBM Plex Sans Light" w:hAnsi="IBM Plex Sans Light"/>
              </w:rPr>
            </w:pPr>
            <w:r w:rsidRPr="00895810">
              <w:rPr>
                <w:rFonts w:ascii="IBM Plex Sans Light" w:hAnsi="IBM Plex Sans Light"/>
                <w:b/>
                <w:bCs/>
                <w:color w:val="3D7FE0" w:themeColor="accent1"/>
              </w:rPr>
              <w:t>Increase/(decrease) in cash and cash equivalents</w:t>
            </w:r>
          </w:p>
        </w:tc>
        <w:tc>
          <w:tcPr>
            <w:tcW w:w="284" w:type="dxa"/>
            <w:vAlign w:val="bottom"/>
          </w:tcPr>
          <w:p w14:paraId="4AD06DD5" w14:textId="2DD5590F" w:rsidR="00AD02E9" w:rsidRPr="00895810" w:rsidRDefault="00AD02E9" w:rsidP="00AD02E9">
            <w:pPr>
              <w:spacing w:after="0" w:line="240" w:lineRule="auto"/>
              <w:rPr>
                <w:rFonts w:ascii="IBM Plex Sans Light" w:hAnsi="IBM Plex Sans Light"/>
              </w:rPr>
            </w:pPr>
          </w:p>
        </w:tc>
        <w:tc>
          <w:tcPr>
            <w:tcW w:w="509" w:type="dxa"/>
            <w:tcMar>
              <w:left w:w="0" w:type="dxa"/>
              <w:right w:w="0" w:type="dxa"/>
            </w:tcMar>
            <w:vAlign w:val="bottom"/>
          </w:tcPr>
          <w:p w14:paraId="391259F3" w14:textId="77777777" w:rsidR="00AD02E9" w:rsidRPr="00895810" w:rsidRDefault="00AD02E9" w:rsidP="00AD02E9">
            <w:pPr>
              <w:pStyle w:val="TableFiguresBold"/>
              <w:rPr>
                <w:rFonts w:ascii="IBM Plex Sans Light" w:hAnsi="IBM Plex Sans Light"/>
                <w:b w:val="0"/>
                <w:bCs w:val="0"/>
                <w:color w:val="auto"/>
                <w:spacing w:val="-4"/>
                <w:szCs w:val="16"/>
              </w:rPr>
            </w:pPr>
          </w:p>
        </w:tc>
        <w:tc>
          <w:tcPr>
            <w:tcW w:w="1106" w:type="dxa"/>
            <w:tcMar>
              <w:left w:w="0" w:type="dxa"/>
              <w:right w:w="0" w:type="dxa"/>
            </w:tcMar>
          </w:tcPr>
          <w:p w14:paraId="10118364" w14:textId="016FB76D"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254.6</w:t>
            </w:r>
          </w:p>
        </w:tc>
        <w:tc>
          <w:tcPr>
            <w:tcW w:w="1221" w:type="dxa"/>
          </w:tcPr>
          <w:p w14:paraId="0AEA4B14" w14:textId="100BCDB4" w:rsidR="00AD02E9" w:rsidRPr="00895810" w:rsidRDefault="00AD02E9" w:rsidP="00AD02E9">
            <w:pPr>
              <w:pStyle w:val="TableFiguresBracket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(99.0)</w:t>
            </w:r>
          </w:p>
        </w:tc>
      </w:tr>
      <w:tr w:rsidR="00AD02E9" w:rsidRPr="00895810" w14:paraId="79A6B2E3" w14:textId="159A60EE" w:rsidTr="00024B10">
        <w:tc>
          <w:tcPr>
            <w:tcW w:w="6803" w:type="dxa"/>
            <w:tcMar>
              <w:left w:w="0" w:type="dxa"/>
              <w:right w:w="0" w:type="dxa"/>
            </w:tcMar>
            <w:vAlign w:val="bottom"/>
          </w:tcPr>
          <w:p w14:paraId="65BAB1B4" w14:textId="2A9CF8D3" w:rsidR="00AD02E9" w:rsidRPr="00895810" w:rsidRDefault="00AD02E9" w:rsidP="00AD02E9">
            <w:pPr>
              <w:spacing w:after="0" w:line="240" w:lineRule="auto"/>
              <w:rPr>
                <w:rFonts w:ascii="IBM Plex Sans Light" w:hAnsi="IBM Plex Sans Light" w:cs="Arial"/>
                <w:b/>
                <w:sz w:val="17"/>
                <w:szCs w:val="17"/>
              </w:rPr>
            </w:pPr>
            <w:r w:rsidRPr="00895810">
              <w:rPr>
                <w:rFonts w:ascii="IBM Plex Sans Light" w:hAnsi="IBM Plex Sans Light"/>
                <w:b/>
                <w:bCs/>
                <w:color w:val="3D7FE0" w:themeColor="accent1"/>
              </w:rPr>
              <w:t>Opening cash and cash equivalents</w:t>
            </w:r>
          </w:p>
        </w:tc>
        <w:tc>
          <w:tcPr>
            <w:tcW w:w="284" w:type="dxa"/>
            <w:vAlign w:val="bottom"/>
          </w:tcPr>
          <w:p w14:paraId="15F86D8A" w14:textId="6CC6679E" w:rsidR="00AD02E9" w:rsidRPr="00895810" w:rsidRDefault="00AD02E9" w:rsidP="00AD02E9">
            <w:pPr>
              <w:spacing w:after="0" w:line="240" w:lineRule="auto"/>
              <w:rPr>
                <w:rFonts w:ascii="IBM Plex Sans Light" w:hAnsi="IBM Plex Sans Light" w:cs="Arial"/>
                <w:sz w:val="17"/>
                <w:szCs w:val="17"/>
              </w:rPr>
            </w:pPr>
          </w:p>
        </w:tc>
        <w:tc>
          <w:tcPr>
            <w:tcW w:w="509" w:type="dxa"/>
            <w:tcMar>
              <w:left w:w="0" w:type="dxa"/>
              <w:right w:w="0" w:type="dxa"/>
            </w:tcMar>
            <w:vAlign w:val="bottom"/>
          </w:tcPr>
          <w:p w14:paraId="768EF98E" w14:textId="143793B8" w:rsidR="00AD02E9" w:rsidRPr="00895810" w:rsidRDefault="00506F30" w:rsidP="00AD02E9">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19</w:t>
            </w:r>
            <w:r w:rsidR="00AD02E9" w:rsidRPr="00895810">
              <w:rPr>
                <w:rFonts w:ascii="IBM Plex Sans Light" w:hAnsi="IBM Plex Sans Light"/>
                <w:b w:val="0"/>
                <w:bCs w:val="0"/>
                <w:color w:val="auto"/>
                <w:spacing w:val="-4"/>
                <w:szCs w:val="16"/>
              </w:rPr>
              <w:t>B</w:t>
            </w:r>
          </w:p>
        </w:tc>
        <w:tc>
          <w:tcPr>
            <w:tcW w:w="1106" w:type="dxa"/>
            <w:tcMar>
              <w:left w:w="0" w:type="dxa"/>
              <w:right w:w="0" w:type="dxa"/>
            </w:tcMar>
          </w:tcPr>
          <w:p w14:paraId="6608C627" w14:textId="35DC753D"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218.8</w:t>
            </w:r>
          </w:p>
        </w:tc>
        <w:tc>
          <w:tcPr>
            <w:tcW w:w="1221" w:type="dxa"/>
            <w:shd w:val="clear" w:color="auto" w:fill="auto"/>
          </w:tcPr>
          <w:p w14:paraId="5E853A43" w14:textId="1EC806CE" w:rsidR="00AD02E9" w:rsidRPr="00353E75"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315.1</w:t>
            </w:r>
          </w:p>
        </w:tc>
      </w:tr>
      <w:tr w:rsidR="00AD02E9" w:rsidRPr="00895810" w14:paraId="1CC8D18D" w14:textId="38191832" w:rsidTr="00024B10">
        <w:tc>
          <w:tcPr>
            <w:tcW w:w="6803" w:type="dxa"/>
            <w:tcBorders>
              <w:bottom w:val="single" w:sz="2" w:space="0" w:color="3D7FE0" w:themeColor="accent1"/>
            </w:tcBorders>
            <w:tcMar>
              <w:left w:w="0" w:type="dxa"/>
              <w:right w:w="0" w:type="dxa"/>
            </w:tcMar>
            <w:vAlign w:val="bottom"/>
          </w:tcPr>
          <w:p w14:paraId="166C1CBE" w14:textId="77777777" w:rsidR="00AD02E9" w:rsidRPr="00895810" w:rsidRDefault="00AD02E9" w:rsidP="00AD02E9">
            <w:pPr>
              <w:spacing w:after="0" w:line="240" w:lineRule="auto"/>
              <w:rPr>
                <w:rFonts w:ascii="IBM Plex Sans Light" w:hAnsi="IBM Plex Sans Light" w:cs="Arial"/>
                <w:sz w:val="17"/>
                <w:szCs w:val="17"/>
              </w:rPr>
            </w:pPr>
            <w:r w:rsidRPr="00895810">
              <w:rPr>
                <w:rFonts w:ascii="IBM Plex Sans Light" w:hAnsi="IBM Plex Sans Light"/>
              </w:rPr>
              <w:t>Exchange translation movement</w:t>
            </w:r>
          </w:p>
        </w:tc>
        <w:tc>
          <w:tcPr>
            <w:tcW w:w="284" w:type="dxa"/>
            <w:tcBorders>
              <w:bottom w:val="single" w:sz="2" w:space="0" w:color="3D7FE0" w:themeColor="accent1"/>
            </w:tcBorders>
            <w:vAlign w:val="bottom"/>
          </w:tcPr>
          <w:p w14:paraId="47A69E8B" w14:textId="041E388D" w:rsidR="00AD02E9" w:rsidRPr="00895810" w:rsidRDefault="00AD02E9" w:rsidP="00AD02E9">
            <w:pPr>
              <w:spacing w:after="0" w:line="240" w:lineRule="auto"/>
              <w:rPr>
                <w:rFonts w:ascii="IBM Plex Sans Light" w:hAnsi="IBM Plex Sans Light" w:cs="Arial"/>
                <w:sz w:val="17"/>
                <w:szCs w:val="17"/>
              </w:rPr>
            </w:pPr>
          </w:p>
        </w:tc>
        <w:tc>
          <w:tcPr>
            <w:tcW w:w="509" w:type="dxa"/>
            <w:tcBorders>
              <w:bottom w:val="single" w:sz="2" w:space="0" w:color="3D7FE0" w:themeColor="accent1"/>
            </w:tcBorders>
            <w:tcMar>
              <w:left w:w="0" w:type="dxa"/>
              <w:right w:w="0" w:type="dxa"/>
            </w:tcMar>
            <w:vAlign w:val="bottom"/>
          </w:tcPr>
          <w:p w14:paraId="5E1D0CB1" w14:textId="39D89440" w:rsidR="00AD02E9" w:rsidRPr="00895810" w:rsidRDefault="00506F30" w:rsidP="00AD02E9">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19</w:t>
            </w:r>
            <w:r w:rsidR="00AD02E9" w:rsidRPr="00895810">
              <w:rPr>
                <w:rFonts w:ascii="IBM Plex Sans Light" w:hAnsi="IBM Plex Sans Light"/>
                <w:b w:val="0"/>
                <w:bCs w:val="0"/>
                <w:color w:val="auto"/>
                <w:spacing w:val="-4"/>
                <w:szCs w:val="16"/>
              </w:rPr>
              <w:t>B</w:t>
            </w:r>
          </w:p>
        </w:tc>
        <w:tc>
          <w:tcPr>
            <w:tcW w:w="1106" w:type="dxa"/>
            <w:tcBorders>
              <w:bottom w:val="single" w:sz="2" w:space="0" w:color="3D7FE0" w:themeColor="accent1"/>
            </w:tcBorders>
            <w:tcMar>
              <w:left w:w="0" w:type="dxa"/>
              <w:right w:w="0" w:type="dxa"/>
            </w:tcMar>
          </w:tcPr>
          <w:p w14:paraId="1B7CC61C" w14:textId="658A782E" w:rsidR="00AD02E9" w:rsidRPr="00AD02E9" w:rsidRDefault="00AD02E9" w:rsidP="00506F30">
            <w:pPr>
              <w:pStyle w:val="TableFiguresBracket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(1.1)</w:t>
            </w:r>
          </w:p>
        </w:tc>
        <w:tc>
          <w:tcPr>
            <w:tcW w:w="1221" w:type="dxa"/>
            <w:tcBorders>
              <w:bottom w:val="single" w:sz="2" w:space="0" w:color="3D7FE0" w:themeColor="accent1"/>
            </w:tcBorders>
          </w:tcPr>
          <w:p w14:paraId="35C219AB" w14:textId="4649A9BF" w:rsidR="00AD02E9" w:rsidRPr="00895810"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2.7</w:t>
            </w:r>
          </w:p>
        </w:tc>
      </w:tr>
      <w:tr w:rsidR="00AD02E9" w:rsidRPr="00895810" w14:paraId="30105BCE" w14:textId="725F9759" w:rsidTr="00024B10">
        <w:tc>
          <w:tcPr>
            <w:tcW w:w="6803" w:type="dxa"/>
            <w:tcBorders>
              <w:top w:val="single" w:sz="2" w:space="0" w:color="3D7FE0" w:themeColor="accent1"/>
              <w:bottom w:val="single" w:sz="8" w:space="0" w:color="3D7FE0" w:themeColor="accent1"/>
            </w:tcBorders>
            <w:tcMar>
              <w:left w:w="0" w:type="dxa"/>
              <w:right w:w="0" w:type="dxa"/>
            </w:tcMar>
            <w:vAlign w:val="bottom"/>
          </w:tcPr>
          <w:p w14:paraId="2F6D0324" w14:textId="662CA92B" w:rsidR="00AD02E9" w:rsidRPr="00895810" w:rsidRDefault="00AD02E9" w:rsidP="00AD02E9">
            <w:pPr>
              <w:spacing w:after="0" w:line="240" w:lineRule="auto"/>
              <w:rPr>
                <w:rFonts w:ascii="IBM Plex Sans Light" w:hAnsi="IBM Plex Sans Light" w:cs="Arial"/>
                <w:b/>
                <w:bCs/>
                <w:sz w:val="17"/>
                <w:szCs w:val="17"/>
              </w:rPr>
            </w:pPr>
            <w:r w:rsidRPr="00895810">
              <w:rPr>
                <w:rFonts w:ascii="IBM Plex Sans Light" w:hAnsi="IBM Plex Sans Light"/>
                <w:b/>
                <w:bCs/>
                <w:color w:val="3D7FE0" w:themeColor="accent1"/>
              </w:rPr>
              <w:t>Closing cash and cash equivalents</w:t>
            </w:r>
          </w:p>
        </w:tc>
        <w:tc>
          <w:tcPr>
            <w:tcW w:w="284" w:type="dxa"/>
            <w:tcBorders>
              <w:top w:val="single" w:sz="2" w:space="0" w:color="3D7FE0" w:themeColor="accent1"/>
              <w:bottom w:val="single" w:sz="8" w:space="0" w:color="3D7FE0" w:themeColor="accent1"/>
            </w:tcBorders>
            <w:vAlign w:val="bottom"/>
          </w:tcPr>
          <w:p w14:paraId="1726E065" w14:textId="12820A11" w:rsidR="00AD02E9" w:rsidRPr="00895810" w:rsidRDefault="00AD02E9" w:rsidP="00AD02E9">
            <w:pPr>
              <w:spacing w:after="0" w:line="240" w:lineRule="auto"/>
              <w:rPr>
                <w:rFonts w:ascii="IBM Plex Sans Light" w:hAnsi="IBM Plex Sans Light" w:cs="Arial"/>
                <w:b/>
                <w:bCs/>
                <w:sz w:val="17"/>
                <w:szCs w:val="17"/>
              </w:rPr>
            </w:pPr>
          </w:p>
        </w:tc>
        <w:tc>
          <w:tcPr>
            <w:tcW w:w="509" w:type="dxa"/>
            <w:tcBorders>
              <w:top w:val="single" w:sz="2" w:space="0" w:color="3D7FE0" w:themeColor="accent1"/>
              <w:bottom w:val="single" w:sz="8" w:space="0" w:color="3D7FE0" w:themeColor="accent1"/>
            </w:tcBorders>
            <w:tcMar>
              <w:left w:w="0" w:type="dxa"/>
              <w:right w:w="0" w:type="dxa"/>
            </w:tcMar>
            <w:vAlign w:val="bottom"/>
          </w:tcPr>
          <w:p w14:paraId="497B2F33" w14:textId="7B163D0C" w:rsidR="00AD02E9" w:rsidRPr="00895810" w:rsidRDefault="00506F30" w:rsidP="00AD02E9">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19</w:t>
            </w:r>
            <w:r w:rsidR="00AD02E9" w:rsidRPr="00895810">
              <w:rPr>
                <w:rFonts w:ascii="IBM Plex Sans Light" w:hAnsi="IBM Plex Sans Light"/>
                <w:b w:val="0"/>
                <w:bCs w:val="0"/>
                <w:color w:val="auto"/>
                <w:spacing w:val="-4"/>
                <w:szCs w:val="16"/>
              </w:rPr>
              <w:t>B</w:t>
            </w:r>
          </w:p>
        </w:tc>
        <w:tc>
          <w:tcPr>
            <w:tcW w:w="1106" w:type="dxa"/>
            <w:tcBorders>
              <w:top w:val="single" w:sz="2" w:space="0" w:color="3D7FE0" w:themeColor="accent1"/>
              <w:bottom w:val="single" w:sz="8" w:space="0" w:color="3D7FE0" w:themeColor="accent1"/>
            </w:tcBorders>
            <w:tcMar>
              <w:left w:w="0" w:type="dxa"/>
              <w:right w:w="0" w:type="dxa"/>
            </w:tcMar>
          </w:tcPr>
          <w:p w14:paraId="15CE8D53" w14:textId="0C316BE8" w:rsidR="00AD02E9" w:rsidRPr="00AD02E9" w:rsidRDefault="00AD02E9" w:rsidP="00AD02E9">
            <w:pPr>
              <w:pStyle w:val="TableFigures"/>
              <w:rPr>
                <w:rFonts w:ascii="IBM Plex Sans Medium" w:hAnsi="IBM Plex Sans Medium"/>
                <w:b/>
                <w:bCs/>
                <w:color w:val="3D7FE0" w:themeColor="accent1"/>
                <w:spacing w:val="-4"/>
                <w:sz w:val="18"/>
                <w:szCs w:val="18"/>
              </w:rPr>
            </w:pPr>
            <w:r w:rsidRPr="00AD02E9">
              <w:rPr>
                <w:rFonts w:ascii="IBM Plex Sans Medium" w:hAnsi="IBM Plex Sans Medium"/>
                <w:b/>
                <w:bCs/>
                <w:color w:val="3D7FE0" w:themeColor="accent1"/>
                <w:spacing w:val="-4"/>
                <w:sz w:val="18"/>
                <w:szCs w:val="18"/>
              </w:rPr>
              <w:t>472.3</w:t>
            </w:r>
          </w:p>
        </w:tc>
        <w:tc>
          <w:tcPr>
            <w:tcW w:w="1221" w:type="dxa"/>
            <w:tcBorders>
              <w:top w:val="single" w:sz="2" w:space="0" w:color="3D7FE0" w:themeColor="accent1"/>
              <w:bottom w:val="single" w:sz="8" w:space="0" w:color="3D7FE0" w:themeColor="accent1"/>
            </w:tcBorders>
            <w:shd w:val="clear" w:color="auto" w:fill="auto"/>
          </w:tcPr>
          <w:p w14:paraId="583E368E" w14:textId="4B3E1727" w:rsidR="00AD02E9" w:rsidRPr="00353E75" w:rsidRDefault="00AD02E9" w:rsidP="00AD02E9">
            <w:pPr>
              <w:pStyle w:val="TableFiguresBold"/>
              <w:rPr>
                <w:rFonts w:ascii="IBM Plex Sans Light" w:hAnsi="IBM Plex Sans Light"/>
                <w:b w:val="0"/>
                <w:bCs w:val="0"/>
                <w:color w:val="auto"/>
                <w:spacing w:val="-4"/>
                <w:sz w:val="18"/>
                <w:szCs w:val="18"/>
              </w:rPr>
            </w:pPr>
            <w:r w:rsidRPr="00353E75">
              <w:rPr>
                <w:rFonts w:ascii="IBM Plex Sans Light" w:hAnsi="IBM Plex Sans Light"/>
                <w:b w:val="0"/>
                <w:bCs w:val="0"/>
                <w:color w:val="auto"/>
                <w:spacing w:val="-4"/>
                <w:sz w:val="18"/>
                <w:szCs w:val="18"/>
              </w:rPr>
              <w:t>218.8</w:t>
            </w:r>
          </w:p>
        </w:tc>
      </w:tr>
    </w:tbl>
    <w:p w14:paraId="76CB2A0C" w14:textId="1BAE2414" w:rsidR="0091380A" w:rsidRPr="00895810" w:rsidRDefault="0091380A">
      <w:pPr>
        <w:spacing w:after="0" w:line="240" w:lineRule="auto"/>
        <w:rPr>
          <w:rFonts w:ascii="IBM Plex Sans Light" w:hAnsi="IBM Plex Sans Light" w:cs="Arial"/>
          <w:b/>
          <w:caps/>
          <w:sz w:val="24"/>
        </w:rPr>
      </w:pPr>
    </w:p>
    <w:p w14:paraId="4F4860AA" w14:textId="3D01529D" w:rsidR="00CD4ABD" w:rsidRPr="00AB6B6E" w:rsidRDefault="00CD4ABD" w:rsidP="00CD4ABD">
      <w:pPr>
        <w:spacing w:after="0" w:line="240" w:lineRule="auto"/>
        <w:rPr>
          <w:rFonts w:ascii="IBM Plex Sans Medium" w:hAnsi="IBM Plex Sans Medium" w:cs="Arial"/>
          <w:b/>
          <w:caps/>
          <w:sz w:val="24"/>
        </w:rPr>
      </w:pPr>
      <w:r w:rsidRPr="00AB6B6E">
        <w:rPr>
          <w:rFonts w:ascii="IBM Plex Sans Medium" w:hAnsi="IBM Plex Sans Medium" w:cs="Arial"/>
          <w:b/>
          <w:caps/>
          <w:sz w:val="24"/>
        </w:rPr>
        <w:t xml:space="preserve">Notes to the </w:t>
      </w:r>
      <w:r w:rsidR="005A0088" w:rsidRPr="00AB6B6E">
        <w:rPr>
          <w:rFonts w:ascii="IBM Plex Sans Medium" w:hAnsi="IBM Plex Sans Medium" w:cs="Arial"/>
          <w:b/>
          <w:caps/>
          <w:sz w:val="24"/>
        </w:rPr>
        <w:t xml:space="preserve">CONSOLIDATED </w:t>
      </w:r>
      <w:r w:rsidR="00711B4B" w:rsidRPr="00AB6B6E">
        <w:rPr>
          <w:rFonts w:ascii="IBM Plex Sans Medium" w:hAnsi="IBM Plex Sans Medium" w:cs="Arial"/>
          <w:b/>
          <w:caps/>
          <w:sz w:val="24"/>
        </w:rPr>
        <w:t>FINANCIAL STATEMENTS</w:t>
      </w:r>
    </w:p>
    <w:p w14:paraId="45EC78F7" w14:textId="5C0D69B7" w:rsidR="00660661" w:rsidRPr="00895810" w:rsidRDefault="00660661" w:rsidP="00660661">
      <w:pPr>
        <w:spacing w:after="0" w:line="240" w:lineRule="auto"/>
        <w:jc w:val="both"/>
        <w:rPr>
          <w:rFonts w:ascii="IBM Plex Sans Light" w:hAnsi="IBM Plex Sans Light" w:cs="Arial"/>
          <w:szCs w:val="18"/>
        </w:rPr>
      </w:pPr>
    </w:p>
    <w:p w14:paraId="1BE97C2A" w14:textId="42D07128" w:rsidR="00660661" w:rsidRPr="00AB6B6E" w:rsidRDefault="00660661"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 xml:space="preserve">1. </w:t>
      </w:r>
      <w:r w:rsidR="00992FC9" w:rsidRPr="00AB6B6E">
        <w:rPr>
          <w:rFonts w:ascii="IBM Plex Sans Medium" w:hAnsi="IBM Plex Sans Medium" w:cs="Arial"/>
          <w:b/>
          <w:color w:val="3D7FE0" w:themeColor="accent1"/>
          <w:szCs w:val="18"/>
        </w:rPr>
        <w:tab/>
        <w:t xml:space="preserve">BASIS OF PREPARATION, </w:t>
      </w:r>
      <w:r w:rsidR="0003130A" w:rsidRPr="00AB6B6E">
        <w:rPr>
          <w:rFonts w:ascii="IBM Plex Sans Medium" w:hAnsi="IBM Plex Sans Medium" w:cs="Arial"/>
          <w:b/>
          <w:color w:val="3D7FE0" w:themeColor="accent1"/>
          <w:szCs w:val="18"/>
        </w:rPr>
        <w:t xml:space="preserve">CONSOLIDATION AND </w:t>
      </w:r>
      <w:r w:rsidR="00192A3A" w:rsidRPr="00AB6B6E">
        <w:rPr>
          <w:rFonts w:ascii="IBM Plex Sans Medium" w:hAnsi="IBM Plex Sans Medium" w:cs="Arial"/>
          <w:b/>
          <w:color w:val="3D7FE0" w:themeColor="accent1"/>
          <w:szCs w:val="18"/>
        </w:rPr>
        <w:t>PRINCIPAL</w:t>
      </w:r>
      <w:r w:rsidR="004A46A9" w:rsidRPr="00AB6B6E">
        <w:rPr>
          <w:rFonts w:ascii="IBM Plex Sans Medium" w:hAnsi="IBM Plex Sans Medium" w:cs="Arial"/>
          <w:b/>
          <w:color w:val="3D7FE0" w:themeColor="accent1"/>
          <w:szCs w:val="18"/>
        </w:rPr>
        <w:t xml:space="preserve"> ACCOUNTING POLICIES</w:t>
      </w:r>
    </w:p>
    <w:p w14:paraId="6CB4A7B3" w14:textId="5510E8EF" w:rsidR="004A46A9" w:rsidRPr="00895810" w:rsidRDefault="00321BE8" w:rsidP="004A46A9">
      <w:pPr>
        <w:spacing w:after="0" w:line="240" w:lineRule="auto"/>
        <w:jc w:val="both"/>
        <w:rPr>
          <w:rFonts w:ascii="IBM Plex Sans Light" w:hAnsi="IBM Plex Sans Light" w:cs="Arial"/>
          <w:b/>
          <w:color w:val="3D7FE0" w:themeColor="accent1"/>
          <w:szCs w:val="18"/>
        </w:rPr>
      </w:pPr>
      <w:r>
        <w:rPr>
          <w:rFonts w:ascii="IBM Plex Sans Light" w:hAnsi="IBM Plex Sans Light" w:cs="Arial"/>
          <w:b/>
          <w:color w:val="3D7FE0" w:themeColor="accent1"/>
          <w:szCs w:val="18"/>
        </w:rPr>
        <w:t>A</w:t>
      </w:r>
      <w:r w:rsidR="004A46A9" w:rsidRPr="00895810">
        <w:rPr>
          <w:rFonts w:ascii="IBM Plex Sans Light" w:hAnsi="IBM Plex Sans Light" w:cs="Arial"/>
          <w:b/>
          <w:color w:val="3D7FE0" w:themeColor="accent1"/>
          <w:szCs w:val="18"/>
        </w:rPr>
        <w:t xml:space="preserve">:  </w:t>
      </w:r>
      <w:r w:rsidR="00065416">
        <w:rPr>
          <w:rFonts w:ascii="IBM Plex Sans Light" w:hAnsi="IBM Plex Sans Light" w:cs="Arial"/>
          <w:b/>
          <w:color w:val="3D7FE0" w:themeColor="accent1"/>
          <w:szCs w:val="18"/>
        </w:rPr>
        <w:t>BASIS OF PREPARATION AND CONSOLIDATION</w:t>
      </w:r>
    </w:p>
    <w:p w14:paraId="3DD58E8B" w14:textId="77777777" w:rsidR="007E0F47" w:rsidRPr="001F09CD" w:rsidRDefault="007E0F47" w:rsidP="007E0F47">
      <w:pPr>
        <w:spacing w:after="0" w:line="240" w:lineRule="auto"/>
        <w:rPr>
          <w:rFonts w:ascii="IBM Plex Sans Light" w:hAnsi="IBM Plex Sans Light" w:cs="Arial"/>
          <w:b/>
          <w:bCs/>
          <w:color w:val="3D7FE0"/>
          <w:szCs w:val="18"/>
        </w:rPr>
      </w:pPr>
      <w:r w:rsidRPr="001F09CD">
        <w:rPr>
          <w:rFonts w:ascii="IBM Plex Sans Light" w:hAnsi="IBM Plex Sans Light" w:cs="Arial"/>
          <w:b/>
          <w:bCs/>
          <w:color w:val="3D7FE0"/>
          <w:szCs w:val="18"/>
        </w:rPr>
        <w:t>Basis of preparation</w:t>
      </w:r>
    </w:p>
    <w:p w14:paraId="44CA4A08" w14:textId="73FDBEAD"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The consolidated financial statements have been prepared in accordance with both UK</w:t>
      </w:r>
      <w:r w:rsidR="00951849">
        <w:rPr>
          <w:rFonts w:ascii="IBM Plex Sans Light" w:hAnsi="IBM Plex Sans Light" w:cs="Arial"/>
          <w:szCs w:val="18"/>
        </w:rPr>
        <w:t xml:space="preserve"> </w:t>
      </w:r>
      <w:r w:rsidRPr="00B93337">
        <w:rPr>
          <w:rFonts w:ascii="IBM Plex Sans Light" w:hAnsi="IBM Plex Sans Light" w:cs="Arial"/>
          <w:szCs w:val="18"/>
        </w:rPr>
        <w:t>adopted international accounting standards and International Financial Reporting Standards adopted pursuant to Regulation (EC) No 1606/2002 as it applies in the E</w:t>
      </w:r>
      <w:r w:rsidR="00951849">
        <w:rPr>
          <w:rFonts w:ascii="IBM Plex Sans Light" w:hAnsi="IBM Plex Sans Light" w:cs="Arial"/>
          <w:szCs w:val="18"/>
        </w:rPr>
        <w:t>U</w:t>
      </w:r>
      <w:r w:rsidRPr="00B93337">
        <w:rPr>
          <w:rFonts w:ascii="IBM Plex Sans Light" w:hAnsi="IBM Plex Sans Light" w:cs="Arial"/>
          <w:szCs w:val="18"/>
        </w:rPr>
        <w:t>, (IFRS adopted by the E</w:t>
      </w:r>
      <w:r w:rsidR="00951849">
        <w:rPr>
          <w:rFonts w:ascii="IBM Plex Sans Light" w:hAnsi="IBM Plex Sans Light" w:cs="Arial"/>
          <w:szCs w:val="18"/>
        </w:rPr>
        <w:t>U</w:t>
      </w:r>
      <w:r w:rsidRPr="00B93337">
        <w:rPr>
          <w:rFonts w:ascii="IBM Plex Sans Light" w:hAnsi="IBM Plex Sans Light" w:cs="Arial"/>
          <w:szCs w:val="18"/>
        </w:rPr>
        <w:t xml:space="preserve"> as at 31 December 2020), as well as SAICA Financial Reporting Guides as issued by the Accounting Practices committee and those parts of the Companies Act 2006 as applicable to companies reporting under IFRS. </w:t>
      </w:r>
    </w:p>
    <w:p w14:paraId="1F86DF16" w14:textId="77777777" w:rsidR="007E0F47" w:rsidRPr="00B93337" w:rsidRDefault="007E0F47" w:rsidP="007E0F47">
      <w:pPr>
        <w:spacing w:after="0" w:line="240" w:lineRule="auto"/>
        <w:rPr>
          <w:rFonts w:ascii="IBM Plex Sans Light" w:hAnsi="IBM Plex Sans Light" w:cs="Arial"/>
          <w:szCs w:val="18"/>
        </w:rPr>
      </w:pPr>
    </w:p>
    <w:p w14:paraId="14292217"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New accounting standards, amendments to standards and IFRIC interpretations which became applicable during the year or have been published but are not yet effective, were either not relevant or had no, or are not expected to have a material impact on the Group’s results or net assets.</w:t>
      </w:r>
    </w:p>
    <w:p w14:paraId="090D90B2" w14:textId="77777777" w:rsidR="007E0F47" w:rsidRPr="00B93337" w:rsidRDefault="007E0F47" w:rsidP="007E0F47">
      <w:pPr>
        <w:spacing w:after="0" w:line="240" w:lineRule="auto"/>
        <w:rPr>
          <w:rFonts w:ascii="IBM Plex Sans Light" w:hAnsi="IBM Plex Sans Light" w:cs="Arial"/>
          <w:szCs w:val="18"/>
        </w:rPr>
      </w:pPr>
    </w:p>
    <w:p w14:paraId="6874A2F3"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In addition to the above, an assessment has been undertaken on the Pillar 2 tax legislation (effective 1 January 2024), which is based around undertaxed profits. The Group is not expected to meet the minimum threshold in place for the legislative rules to apply.</w:t>
      </w:r>
    </w:p>
    <w:p w14:paraId="5D9C3D83" w14:textId="77777777" w:rsidR="007E0F47" w:rsidRPr="00B93337" w:rsidRDefault="007E0F47" w:rsidP="007E0F47">
      <w:pPr>
        <w:spacing w:after="0" w:line="240" w:lineRule="auto"/>
        <w:rPr>
          <w:rFonts w:ascii="IBM Plex Sans Light" w:hAnsi="IBM Plex Sans Light" w:cs="Arial"/>
          <w:szCs w:val="18"/>
        </w:rPr>
      </w:pPr>
    </w:p>
    <w:p w14:paraId="4DF0A062"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The financial statements are prepared on the historical cost basis, except that investment properties, other investments and derivative financial instruments are stated at fair value. Accounting policies have been applied consistently.</w:t>
      </w:r>
    </w:p>
    <w:p w14:paraId="2345A89E" w14:textId="77777777" w:rsidR="007E0F47" w:rsidRPr="007E0F47" w:rsidRDefault="007E0F47" w:rsidP="007E0F47">
      <w:pPr>
        <w:spacing w:after="0" w:line="240" w:lineRule="auto"/>
        <w:rPr>
          <w:rFonts w:ascii="IBM Plex Sans Light" w:hAnsi="IBM Plex Sans Light" w:cs="Arial"/>
          <w:b/>
          <w:bCs/>
          <w:szCs w:val="18"/>
        </w:rPr>
      </w:pPr>
    </w:p>
    <w:p w14:paraId="42628725" w14:textId="77777777" w:rsidR="007E0F47" w:rsidRPr="001F09CD" w:rsidRDefault="007E0F47" w:rsidP="007E0F47">
      <w:pPr>
        <w:spacing w:after="0" w:line="240" w:lineRule="auto"/>
        <w:rPr>
          <w:rFonts w:ascii="IBM Plex Sans Light" w:hAnsi="IBM Plex Sans Light" w:cs="Arial"/>
          <w:b/>
          <w:bCs/>
          <w:color w:val="3D7FE0"/>
          <w:szCs w:val="18"/>
        </w:rPr>
      </w:pPr>
      <w:r w:rsidRPr="001F09CD">
        <w:rPr>
          <w:rFonts w:ascii="IBM Plex Sans Light" w:hAnsi="IBM Plex Sans Light" w:cs="Arial"/>
          <w:b/>
          <w:bCs/>
          <w:color w:val="3D7FE0"/>
          <w:szCs w:val="18"/>
        </w:rPr>
        <w:t>Basis of consolidation</w:t>
      </w:r>
    </w:p>
    <w:p w14:paraId="58E776CC"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lastRenderedPageBreak/>
        <w:t>The consolidated financial statements incorporate the financial statements of the Company and entities controlled by the Company (its subsidiaries). Control is achieved where the Company has the power over the investee, is exposed, or has rights, to variable return from its involvement with the investee and has the ability to use its power to affect its returns.</w:t>
      </w:r>
    </w:p>
    <w:p w14:paraId="42C56094" w14:textId="77777777" w:rsidR="007E0F47" w:rsidRPr="00B93337" w:rsidRDefault="007E0F47" w:rsidP="007E0F47">
      <w:pPr>
        <w:spacing w:after="0" w:line="240" w:lineRule="auto"/>
        <w:rPr>
          <w:rFonts w:ascii="IBM Plex Sans Light" w:hAnsi="IBM Plex Sans Light" w:cs="Arial"/>
          <w:szCs w:val="18"/>
        </w:rPr>
      </w:pPr>
    </w:p>
    <w:p w14:paraId="2916D9E5"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The results of subsidiaries, joint ventures or associates are included in the consolidated income statement when control is achieved, which is usually from the effective date of acquisition, or up to the effective date of disposal which is usually on completion of the transaction. All intragroup transactions, balances, income and expenses are eliminated on consolidation. Where necessary, adjustments are made to bring the accounting policies used into line with those used by the Group. </w:t>
      </w:r>
    </w:p>
    <w:p w14:paraId="6CB1EEA5" w14:textId="77777777" w:rsidR="007E0F47" w:rsidRPr="00B93337" w:rsidRDefault="007E0F47" w:rsidP="007E0F47">
      <w:pPr>
        <w:spacing w:after="0" w:line="240" w:lineRule="auto"/>
        <w:rPr>
          <w:rFonts w:ascii="IBM Plex Sans Light" w:hAnsi="IBM Plex Sans Light" w:cs="Arial"/>
          <w:szCs w:val="18"/>
        </w:rPr>
      </w:pPr>
    </w:p>
    <w:p w14:paraId="7AF6230F" w14:textId="77777777" w:rsidR="001F09CD"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Business combinations are accounted for using the acquisition method where any excess of the purchase consideration </w:t>
      </w:r>
    </w:p>
    <w:p w14:paraId="00AF65DC" w14:textId="047AED81" w:rsidR="007E0F47" w:rsidRPr="00B93337" w:rsidRDefault="007E0F47" w:rsidP="007E0F47">
      <w:pPr>
        <w:spacing w:after="0" w:line="240" w:lineRule="auto"/>
        <w:rPr>
          <w:rFonts w:ascii="IBM Plex Sans Light" w:hAnsi="IBM Plex Sans Light" w:cs="Arial"/>
          <w:color w:val="3D7FE0" w:themeColor="accent1"/>
          <w:szCs w:val="18"/>
        </w:rPr>
      </w:pPr>
      <w:r w:rsidRPr="00B93337">
        <w:rPr>
          <w:rFonts w:ascii="IBM Plex Sans Light" w:hAnsi="IBM Plex Sans Light" w:cs="Arial"/>
          <w:szCs w:val="18"/>
        </w:rPr>
        <w:t>over the fair value of the assets, liabilities and contingent liabilities acquired and the resulting deferred tax thereon is recognised as goodwill which is then reviewed annually for impairment. Acquisition related costs are expensed.</w:t>
      </w:r>
      <w:r w:rsidRPr="00B93337">
        <w:rPr>
          <w:rFonts w:ascii="IBM Plex Sans Light" w:hAnsi="IBM Plex Sans Light" w:cs="Arial"/>
          <w:color w:val="3D7FE0" w:themeColor="accent1"/>
          <w:szCs w:val="18"/>
        </w:rPr>
        <w:t xml:space="preserve"> </w:t>
      </w:r>
    </w:p>
    <w:p w14:paraId="244B4781" w14:textId="77777777" w:rsidR="007E0F47" w:rsidRDefault="007E0F47" w:rsidP="007E0F47">
      <w:pPr>
        <w:spacing w:after="0" w:line="240" w:lineRule="auto"/>
        <w:rPr>
          <w:rFonts w:ascii="IBM Plex Sans Light" w:hAnsi="IBM Plex Sans Light" w:cs="Arial"/>
          <w:b/>
          <w:bCs/>
          <w:color w:val="3D7FE0" w:themeColor="accent1"/>
          <w:szCs w:val="18"/>
        </w:rPr>
      </w:pPr>
    </w:p>
    <w:p w14:paraId="52E9FEC7" w14:textId="737662D0" w:rsidR="007E0F47" w:rsidRPr="007E0F47" w:rsidRDefault="007E0F47" w:rsidP="007E0F47">
      <w:pPr>
        <w:spacing w:after="0" w:line="240" w:lineRule="auto"/>
        <w:rPr>
          <w:rFonts w:ascii="IBM Plex Sans Light" w:hAnsi="IBM Plex Sans Light" w:cs="Arial"/>
          <w:b/>
          <w:color w:val="3D7FE0" w:themeColor="accent1"/>
          <w:szCs w:val="18"/>
        </w:rPr>
      </w:pPr>
      <w:r>
        <w:rPr>
          <w:rFonts w:ascii="IBM Plex Sans Light" w:hAnsi="IBM Plex Sans Light" w:cs="Arial"/>
          <w:b/>
          <w:color w:val="3D7FE0" w:themeColor="accent1"/>
          <w:szCs w:val="18"/>
        </w:rPr>
        <w:t>B</w:t>
      </w:r>
      <w:r w:rsidRPr="007E0F47">
        <w:rPr>
          <w:rFonts w:ascii="IBM Plex Sans Light" w:hAnsi="IBM Plex Sans Light" w:cs="Arial"/>
          <w:b/>
          <w:color w:val="3D7FE0" w:themeColor="accent1"/>
          <w:szCs w:val="18"/>
        </w:rPr>
        <w:t>. ALTERNATIVE PERFORMANCE MEASURES (APMs)</w:t>
      </w:r>
    </w:p>
    <w:p w14:paraId="75DFFA4C"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The Group uses a number of performance measures which are non-IFRS. The key measures comprise the following: </w:t>
      </w:r>
    </w:p>
    <w:p w14:paraId="2C9225EE" w14:textId="1344902F"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 xml:space="preserve">- </w:t>
      </w:r>
      <w:r w:rsidRPr="00B93337">
        <w:rPr>
          <w:rFonts w:ascii="IBM Plex Sans Light" w:hAnsi="IBM Plex Sans Light" w:cs="Arial"/>
          <w:szCs w:val="18"/>
        </w:rPr>
        <w:tab/>
      </w:r>
      <w:r w:rsidR="007E0F47" w:rsidRPr="00B93337">
        <w:rPr>
          <w:rFonts w:ascii="IBM Plex Sans Light" w:hAnsi="IBM Plex Sans Light" w:cs="Arial"/>
          <w:szCs w:val="18"/>
        </w:rPr>
        <w:t xml:space="preserve">Adjusted measures: Used by the Directors and management to monitor business performance internally and exclude the same items as for EPRA earnings, but also certain cash and non-cash items which they believe are not reflective of the normal day-to-day operating activities of the Group. Furthermore, the Group evaluates the performance of its portfolio by aggregating its share of joint ventures and associates which are under the Group’s management (‘Share of Property interests’) on a proportionally consolidated basis. The Directors believe that disclosing such non-IFRS measures enables a reader to isolate and evaluate the impact of such items on results and allows for a fuller understanding of performance from year to year. Adjusted performance measures may not be directly comparable with other similarly titled measures used by other companies. </w:t>
      </w:r>
    </w:p>
    <w:p w14:paraId="7DC5D9B9" w14:textId="7E85481C"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w:t>
      </w:r>
      <w:r w:rsidRPr="00B93337">
        <w:rPr>
          <w:rFonts w:ascii="IBM Plex Sans Light" w:hAnsi="IBM Plex Sans Light" w:cs="Arial"/>
          <w:szCs w:val="18"/>
        </w:rPr>
        <w:tab/>
      </w:r>
      <w:r w:rsidR="007E0F47" w:rsidRPr="00B93337">
        <w:rPr>
          <w:rFonts w:ascii="IBM Plex Sans Light" w:hAnsi="IBM Plex Sans Light" w:cs="Arial"/>
          <w:szCs w:val="18"/>
        </w:rPr>
        <w:t xml:space="preserve">EPRA earnings and EPRA net assets: Calculated in accordance with guidance issued by the European Public Real Estate Association recommended bases. </w:t>
      </w:r>
    </w:p>
    <w:p w14:paraId="2A3E8C3D" w14:textId="08D60A76"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w:t>
      </w:r>
      <w:r w:rsidRPr="00B93337">
        <w:rPr>
          <w:rFonts w:ascii="IBM Plex Sans Light" w:hAnsi="IBM Plex Sans Light" w:cs="Arial"/>
          <w:szCs w:val="18"/>
        </w:rPr>
        <w:tab/>
      </w:r>
      <w:r w:rsidR="007E0F47" w:rsidRPr="00B93337">
        <w:rPr>
          <w:rFonts w:ascii="IBM Plex Sans Light" w:hAnsi="IBM Plex Sans Light" w:cs="Arial"/>
          <w:szCs w:val="18"/>
        </w:rPr>
        <w:t>Headline earnings: Calculated in accordance with the requirements of the Johannesburg Stock Exchange listing requirements.</w:t>
      </w:r>
    </w:p>
    <w:p w14:paraId="3C96C7B8" w14:textId="77777777" w:rsidR="007E0F47" w:rsidRPr="00B93337" w:rsidRDefault="007E0F47" w:rsidP="007E0F47">
      <w:pPr>
        <w:spacing w:after="0" w:line="240" w:lineRule="auto"/>
        <w:rPr>
          <w:rFonts w:ascii="IBM Plex Sans Light" w:hAnsi="IBM Plex Sans Light" w:cs="Arial"/>
          <w:szCs w:val="18"/>
        </w:rPr>
      </w:pPr>
    </w:p>
    <w:p w14:paraId="3443C931" w14:textId="77777777" w:rsidR="007E0F47" w:rsidRPr="00B93337" w:rsidRDefault="007E0F47" w:rsidP="007E0F47">
      <w:pPr>
        <w:spacing w:after="0" w:line="240" w:lineRule="auto"/>
        <w:rPr>
          <w:rFonts w:ascii="IBM Plex Sans Light" w:hAnsi="IBM Plex Sans Light" w:cs="Arial"/>
          <w:color w:val="3D7FE0" w:themeColor="accent1"/>
          <w:szCs w:val="18"/>
        </w:rPr>
      </w:pPr>
      <w:r w:rsidRPr="00B93337">
        <w:rPr>
          <w:rFonts w:ascii="IBM Plex Sans Light" w:hAnsi="IBM Plex Sans Light" w:cs="Arial"/>
          <w:szCs w:val="18"/>
        </w:rPr>
        <w:t>A reconciliation between reported and the above alternative earnings and net asset measures is set out in note 9.</w:t>
      </w:r>
      <w:r w:rsidRPr="00B93337">
        <w:rPr>
          <w:rFonts w:ascii="IBM Plex Sans Light" w:hAnsi="IBM Plex Sans Light" w:cs="Arial"/>
          <w:color w:val="3D7FE0" w:themeColor="accent1"/>
          <w:szCs w:val="18"/>
        </w:rPr>
        <w:t xml:space="preserve"> </w:t>
      </w:r>
    </w:p>
    <w:p w14:paraId="7D7016F6" w14:textId="77777777" w:rsidR="007E0F47" w:rsidRPr="00B93337" w:rsidRDefault="007E0F47" w:rsidP="007E0F47">
      <w:pPr>
        <w:spacing w:after="0" w:line="240" w:lineRule="auto"/>
        <w:rPr>
          <w:rFonts w:ascii="IBM Plex Sans Light" w:hAnsi="IBM Plex Sans Light" w:cs="Arial"/>
          <w:color w:val="3D7FE0" w:themeColor="accent1"/>
          <w:szCs w:val="18"/>
        </w:rPr>
      </w:pPr>
    </w:p>
    <w:p w14:paraId="7AA465CF" w14:textId="2F0A347A" w:rsidR="007E0F47" w:rsidRPr="00AB6B6E" w:rsidRDefault="007E0F47" w:rsidP="007E0F47">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 xml:space="preserve">1. </w:t>
      </w:r>
      <w:r w:rsidRPr="00AB6B6E">
        <w:rPr>
          <w:rFonts w:ascii="IBM Plex Sans Medium" w:hAnsi="IBM Plex Sans Medium" w:cs="Arial"/>
          <w:b/>
          <w:color w:val="3D7FE0" w:themeColor="accent1"/>
          <w:szCs w:val="18"/>
        </w:rPr>
        <w:tab/>
        <w:t>BASIS OF PREPARATION, CONSOLIDATION AND PRINCIPAL ACCOUNTING POLICIES</w:t>
      </w:r>
    </w:p>
    <w:p w14:paraId="5A805241" w14:textId="693659A7" w:rsidR="007E0F47" w:rsidRPr="007E0F47" w:rsidRDefault="007E0F47"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D. GOING CONCERN</w:t>
      </w:r>
    </w:p>
    <w:p w14:paraId="07E05EC2" w14:textId="77777777" w:rsidR="007E0F47" w:rsidRPr="007E0F47" w:rsidRDefault="007E0F47"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Introduction</w:t>
      </w:r>
    </w:p>
    <w:p w14:paraId="2498D0E4" w14:textId="0C59C6BC"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In order to prepare the financial statements for the year ended 31 December 2023 on a going concern basis the Directors have undertaken a detailed assessment of the Group’s principal risks and current and projected financial position over the period to 30 June 2025 (‘the going concern period’). This period has been selected as it coincides with the first six monthly covenant test date for the Group’s unsecured debt facilities falling due after the minimum 12 months going concern period. </w:t>
      </w:r>
    </w:p>
    <w:p w14:paraId="15927B92" w14:textId="77777777" w:rsidR="007E0F47" w:rsidRPr="00B93337" w:rsidRDefault="007E0F47" w:rsidP="007E0F47">
      <w:pPr>
        <w:spacing w:after="0" w:line="240" w:lineRule="auto"/>
        <w:rPr>
          <w:rFonts w:ascii="IBM Plex Sans Light" w:hAnsi="IBM Plex Sans Light" w:cs="Arial"/>
          <w:szCs w:val="18"/>
        </w:rPr>
      </w:pPr>
    </w:p>
    <w:p w14:paraId="2F9B411E"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The assessment included the preparation of a Base scenario which contained earnings, balance sheet, cash flow, liquidity and credit metric projections. The Base scenario was derived from the Group’s 2024 Business Plan, which was approved by the Board in December 2023, with amendments to exclude certain uncommitted transactions such as disposals. The Business Plan projections assumed further improvements in the Group’s near term operational performance, supported by the Group’s strong leasing pipeline; collections performance; robust occupancy; and footfall and sales growth seen in 2023. The projections also factored in the latest geopolitical, economic and trading outlook, particularly the financial challenges on both consumers and businesses from high interest rates, benign economic growth, inflation and supply chain pressures. </w:t>
      </w:r>
    </w:p>
    <w:p w14:paraId="721DF4C3" w14:textId="77777777" w:rsidR="007E0F47" w:rsidRPr="007E0F47" w:rsidRDefault="007E0F47"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 xml:space="preserve"> </w:t>
      </w:r>
    </w:p>
    <w:p w14:paraId="0243C704" w14:textId="77777777" w:rsidR="007E0F47" w:rsidRPr="007E0F47" w:rsidRDefault="007E0F47"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 xml:space="preserve">Financial position </w:t>
      </w:r>
    </w:p>
    <w:p w14:paraId="7D36A6C3" w14:textId="404EB981"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Over the course of 2023, the Group’s net debt has reduced by £406m to £1,326m. The Group also has significant liquidity of £1,225m (2022: £997m), comprising cash of £570m and undrawn revolving credit facilities of £655m. The net debt reduction was principally due to disposal proceeds in the year of £21</w:t>
      </w:r>
      <w:r w:rsidR="00C323D2">
        <w:rPr>
          <w:rFonts w:ascii="IBM Plex Sans Light" w:hAnsi="IBM Plex Sans Light" w:cs="Arial"/>
          <w:szCs w:val="18"/>
        </w:rPr>
        <w:t>6</w:t>
      </w:r>
      <w:r w:rsidRPr="00B93337">
        <w:rPr>
          <w:rFonts w:ascii="IBM Plex Sans Light" w:hAnsi="IBM Plex Sans Light" w:cs="Arial"/>
          <w:szCs w:val="18"/>
        </w:rPr>
        <w:t xml:space="preserve">m and the derecognition of the Group’s investment in Highcross and O’Parinor which included £125m of secured debt. This reduction has led to an improvement in the Group’s credit metrics as detailed on page </w:t>
      </w:r>
      <w:r w:rsidR="006B7177">
        <w:rPr>
          <w:rFonts w:ascii="IBM Plex Sans Light" w:hAnsi="IBM Plex Sans Light" w:cs="Arial"/>
          <w:szCs w:val="18"/>
        </w:rPr>
        <w:t>21</w:t>
      </w:r>
      <w:r w:rsidRPr="00B93337">
        <w:rPr>
          <w:rFonts w:ascii="IBM Plex Sans Light" w:hAnsi="IBM Plex Sans Light" w:cs="Arial"/>
          <w:szCs w:val="18"/>
        </w:rPr>
        <w:t xml:space="preserve"> of the Financial Review. Over the going concern period, there is only £109m of unsecured debt maturities, relating solely to a proportion of the Group’s £185m private placement notes. </w:t>
      </w:r>
    </w:p>
    <w:p w14:paraId="34A87D88" w14:textId="77777777" w:rsidR="007E0F47" w:rsidRPr="00B93337" w:rsidRDefault="007E0F47" w:rsidP="007E0F47">
      <w:pPr>
        <w:spacing w:after="0" w:line="240" w:lineRule="auto"/>
        <w:rPr>
          <w:rFonts w:ascii="IBM Plex Sans Light" w:hAnsi="IBM Plex Sans Light" w:cs="Arial"/>
          <w:szCs w:val="18"/>
        </w:rPr>
      </w:pPr>
    </w:p>
    <w:p w14:paraId="60958390" w14:textId="73892962"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The Group has three principal unsecured debt covenants: gearing, interest cover and unencumbered asset ratio, with the latter covenant only applicable to the private placement notes. It also has a covenant relating to the amount of secured debt as a percentage of equity shareholders’ funds which must remain below 50%. This was 11% at 31 December 2023 and is forecast to remain broadly unchanged over the going concern period.</w:t>
      </w:r>
      <w:r w:rsidR="001F09CD" w:rsidRPr="00B93337">
        <w:rPr>
          <w:rFonts w:ascii="IBM Plex Sans Light" w:hAnsi="IBM Plex Sans Light" w:cs="Arial"/>
          <w:szCs w:val="18"/>
        </w:rPr>
        <w:t xml:space="preserve"> </w:t>
      </w:r>
      <w:r w:rsidRPr="00B93337">
        <w:rPr>
          <w:rFonts w:ascii="IBM Plex Sans Light" w:hAnsi="IBM Plex Sans Light" w:cs="Arial"/>
          <w:szCs w:val="18"/>
        </w:rPr>
        <w:t xml:space="preserve">The key variables impacting the three principal covenants are valuation movements for the gearing and unencumbered asset ratio covenants, and changes in net rental income for the interest cover covenant. Net interest cost also impacts the interest cover ratio, although at 31 December 2023, 84% of the Group’s gross debt is at fixed interest rates, which limits the volatility of this element of the covenant over the going concern period. </w:t>
      </w:r>
    </w:p>
    <w:p w14:paraId="62E51363" w14:textId="77777777" w:rsidR="007E0F47" w:rsidRPr="00B93337" w:rsidRDefault="007E0F47" w:rsidP="007E0F47">
      <w:pPr>
        <w:spacing w:after="0" w:line="240" w:lineRule="auto"/>
        <w:rPr>
          <w:rFonts w:ascii="IBM Plex Sans Light" w:hAnsi="IBM Plex Sans Light" w:cs="Arial"/>
          <w:szCs w:val="18"/>
        </w:rPr>
      </w:pPr>
    </w:p>
    <w:p w14:paraId="0925A246"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lastRenderedPageBreak/>
        <w:t xml:space="preserve">The Group also has secured debt in its Dundrum joint venture and its associate, Value Retail. These secured facilities are non-recourse to the rest of the Group and subject to covenants, principally relating to loan to value and interest cover. The loan secured against Dundrum and three of the loans held by Value Retail mature over the going concern period. In total the Group’s share of these maturing loans was £513m at 31 December 2023. </w:t>
      </w:r>
    </w:p>
    <w:p w14:paraId="04829E6C" w14:textId="77777777" w:rsidR="001F09CD" w:rsidRDefault="001F09CD" w:rsidP="007E0F47">
      <w:pPr>
        <w:spacing w:after="0" w:line="240" w:lineRule="auto"/>
        <w:rPr>
          <w:rFonts w:ascii="IBM Plex Sans Light" w:hAnsi="IBM Plex Sans Light" w:cs="Arial"/>
          <w:b/>
          <w:bCs/>
          <w:szCs w:val="18"/>
        </w:rPr>
      </w:pPr>
    </w:p>
    <w:p w14:paraId="03CEFABA" w14:textId="3CA79818" w:rsidR="007E0F47" w:rsidRPr="001F09CD" w:rsidRDefault="007E0F47" w:rsidP="007E0F47">
      <w:pPr>
        <w:spacing w:after="0" w:line="240" w:lineRule="auto"/>
        <w:rPr>
          <w:rFonts w:ascii="IBM Plex Sans Light" w:hAnsi="IBM Plex Sans Light" w:cs="Arial"/>
          <w:b/>
          <w:bCs/>
          <w:color w:val="3D7FE0"/>
          <w:szCs w:val="18"/>
        </w:rPr>
      </w:pPr>
      <w:r w:rsidRPr="001F09CD">
        <w:rPr>
          <w:rFonts w:ascii="IBM Plex Sans Light" w:hAnsi="IBM Plex Sans Light" w:cs="Arial"/>
          <w:b/>
          <w:bCs/>
          <w:color w:val="3D7FE0"/>
          <w:szCs w:val="18"/>
        </w:rPr>
        <w:t>Assessment approach</w:t>
      </w:r>
    </w:p>
    <w:p w14:paraId="367553E3"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Consistent with the Group’s strong financial position, the Base scenario projections forecast that the Group will maintain significant covenant headroom and liquidity over the going concern period. </w:t>
      </w:r>
    </w:p>
    <w:p w14:paraId="4E200CA5" w14:textId="77777777" w:rsidR="007E0F47" w:rsidRPr="00B93337" w:rsidRDefault="007E0F47" w:rsidP="007E0F47">
      <w:pPr>
        <w:spacing w:after="0" w:line="240" w:lineRule="auto"/>
        <w:rPr>
          <w:rFonts w:ascii="IBM Plex Sans Light" w:hAnsi="IBM Plex Sans Light" w:cs="Arial"/>
          <w:szCs w:val="18"/>
        </w:rPr>
      </w:pPr>
    </w:p>
    <w:p w14:paraId="3E920656"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To further determine the Group’s ability to continue as a going concern, a reverse stress test (‘stress test’) was undertaken on the Base scenario to assess the maximum level that valuations and net rental income could fall over the going concern period before the Group reaches its key unsecured debt covenant thresholds. The stress test adopted valuation yields and ERVs as at 31 December 2023. However, to fully assess the impact on the going concern assessment the stress test adopted the following worse case assumptions:</w:t>
      </w:r>
    </w:p>
    <w:p w14:paraId="0309D668" w14:textId="79B124C5"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 xml:space="preserve">- </w:t>
      </w:r>
      <w:r w:rsidRPr="00B93337">
        <w:rPr>
          <w:rFonts w:ascii="IBM Plex Sans Light" w:hAnsi="IBM Plex Sans Light" w:cs="Arial"/>
          <w:szCs w:val="18"/>
        </w:rPr>
        <w:tab/>
      </w:r>
      <w:r w:rsidR="007E0F47" w:rsidRPr="00B93337">
        <w:rPr>
          <w:rFonts w:ascii="IBM Plex Sans Light" w:hAnsi="IBM Plex Sans Light" w:cs="Arial"/>
          <w:szCs w:val="18"/>
        </w:rPr>
        <w:t>the secured loans in Dundrum and Value Retail are not refinanced and the lenders enforce their security resulting in the Group derecognising the full value of its equity investments totalling £508m; and</w:t>
      </w:r>
    </w:p>
    <w:p w14:paraId="2B72F9FF" w14:textId="67939A78"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w:t>
      </w:r>
      <w:r w:rsidRPr="00B93337">
        <w:rPr>
          <w:rFonts w:ascii="IBM Plex Sans Light" w:hAnsi="IBM Plex Sans Light" w:cs="Arial"/>
          <w:szCs w:val="18"/>
        </w:rPr>
        <w:tab/>
      </w:r>
      <w:r w:rsidR="007E0F47" w:rsidRPr="00B93337">
        <w:rPr>
          <w:rFonts w:ascii="IBM Plex Sans Light" w:hAnsi="IBM Plex Sans Light" w:cs="Arial"/>
          <w:szCs w:val="18"/>
        </w:rPr>
        <w:t>the early repayment of £77m of the Group’s unsecured private placement notes which do not mature over the going concern period. This assumption has been adopted as the unencumbered asset ratio, which is only applicable to these notes, has the lowest covenant headroom to valuation falls at 31 December 2023 of 27% and hence would breach before the gearing covenant shown below. In practice, this potential issue can be avoided as the Group has the right to redeem the notes for their value plus a make</w:t>
      </w:r>
      <w:r w:rsidR="00951849">
        <w:rPr>
          <w:rFonts w:ascii="IBM Plex Sans Light" w:hAnsi="IBM Plex Sans Light" w:cs="Arial"/>
          <w:szCs w:val="18"/>
        </w:rPr>
        <w:t xml:space="preserve"> </w:t>
      </w:r>
      <w:r w:rsidR="007E0F47" w:rsidRPr="00B93337">
        <w:rPr>
          <w:rFonts w:ascii="IBM Plex Sans Light" w:hAnsi="IBM Plex Sans Light" w:cs="Arial"/>
          <w:szCs w:val="18"/>
        </w:rPr>
        <w:t xml:space="preserve">whole amount. </w:t>
      </w:r>
    </w:p>
    <w:p w14:paraId="74ED778A" w14:textId="77777777" w:rsidR="007E0F47" w:rsidRPr="00B93337" w:rsidRDefault="007E0F47" w:rsidP="007E0F47">
      <w:pPr>
        <w:spacing w:after="0" w:line="240" w:lineRule="auto"/>
        <w:rPr>
          <w:rFonts w:ascii="IBM Plex Sans Light" w:hAnsi="IBM Plex Sans Light" w:cs="Arial"/>
          <w:color w:val="3D7FE0" w:themeColor="accent1"/>
          <w:szCs w:val="18"/>
        </w:rPr>
      </w:pPr>
    </w:p>
    <w:p w14:paraId="63621B03"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Having reviewed the results of the stress tests, current external forecasts, recent precedents and plausible future adverse impacts to valuations and net rental income, the Directors are satisfied that the Group has sufficient covenant headroom over the going concern period.</w:t>
      </w:r>
    </w:p>
    <w:p w14:paraId="45B33900" w14:textId="77777777" w:rsidR="007E0F47" w:rsidRPr="00B93337" w:rsidRDefault="007E0F47" w:rsidP="007E0F47">
      <w:pPr>
        <w:spacing w:after="0" w:line="240" w:lineRule="auto"/>
        <w:rPr>
          <w:rFonts w:ascii="IBM Plex Sans Light" w:hAnsi="IBM Plex Sans Light" w:cs="Arial"/>
          <w:szCs w:val="18"/>
        </w:rPr>
      </w:pPr>
    </w:p>
    <w:p w14:paraId="079E98F5"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The Group is also forecast to retain significant liquidity over the going concern period, such that liquidity in the stress tests remains above £800m over the going concern period. </w:t>
      </w:r>
    </w:p>
    <w:p w14:paraId="71AB2C98" w14:textId="77777777" w:rsidR="00B93337" w:rsidRDefault="00B93337" w:rsidP="001F09CD">
      <w:pPr>
        <w:spacing w:after="80" w:line="240" w:lineRule="auto"/>
        <w:jc w:val="both"/>
        <w:rPr>
          <w:rFonts w:ascii="IBM Plex Sans Medium" w:hAnsi="IBM Plex Sans Medium" w:cs="Arial"/>
          <w:b/>
          <w:color w:val="3D7FE0" w:themeColor="accent1"/>
          <w:szCs w:val="18"/>
        </w:rPr>
      </w:pPr>
    </w:p>
    <w:p w14:paraId="619AEED5" w14:textId="03F80CD2" w:rsidR="001F09CD" w:rsidRPr="00AB6B6E" w:rsidRDefault="001F09CD" w:rsidP="001F09CD">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 xml:space="preserve">1. </w:t>
      </w:r>
      <w:r w:rsidRPr="00AB6B6E">
        <w:rPr>
          <w:rFonts w:ascii="IBM Plex Sans Medium" w:hAnsi="IBM Plex Sans Medium" w:cs="Arial"/>
          <w:b/>
          <w:color w:val="3D7FE0" w:themeColor="accent1"/>
          <w:szCs w:val="18"/>
        </w:rPr>
        <w:tab/>
        <w:t>BASIS OF PREPARATION, CONSOLIDATION AND PRINCIPAL ACCOUNTING POLICIES</w:t>
      </w:r>
    </w:p>
    <w:p w14:paraId="217AF0F7" w14:textId="4FAB7017" w:rsidR="001F09CD" w:rsidRDefault="001F09CD"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D. GOING CONCERN</w:t>
      </w:r>
    </w:p>
    <w:p w14:paraId="4D5245EC" w14:textId="700596E6" w:rsidR="007E0F47" w:rsidRPr="007E0F47" w:rsidRDefault="007E0F47"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Mitigating actions</w:t>
      </w:r>
    </w:p>
    <w:p w14:paraId="6851492C" w14:textId="77777777" w:rsidR="007E0F47"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The going concern assessment explained above excludes the beneficial impact of potential mitigating actions which would provide the Group with further financial strength and covenant headroom. These include: </w:t>
      </w:r>
    </w:p>
    <w:p w14:paraId="1171000B" w14:textId="30CC36DE"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w:t>
      </w:r>
      <w:r w:rsidRPr="00B93337">
        <w:rPr>
          <w:rFonts w:ascii="IBM Plex Sans Light" w:hAnsi="IBM Plex Sans Light" w:cs="Arial"/>
          <w:szCs w:val="18"/>
        </w:rPr>
        <w:tab/>
      </w:r>
      <w:r w:rsidR="007E0F47" w:rsidRPr="00B93337">
        <w:rPr>
          <w:rFonts w:ascii="IBM Plex Sans Light" w:hAnsi="IBM Plex Sans Light" w:cs="Arial"/>
          <w:szCs w:val="18"/>
        </w:rPr>
        <w:t>Refinancing of maturing loans in the ordinary course of business, particularly in relation to secured debt, as this avoids the modelled derecognition of these investments in the stress test. Refinancing discussions are progressing for the Dundrum secured loan while Value Retail management remain confident of refinancing its maturing loans following the major refinancing activities of £1.4bn in 2022 and 2023.</w:t>
      </w:r>
    </w:p>
    <w:p w14:paraId="371B5E6B" w14:textId="5F084DF5" w:rsidR="007E0F47" w:rsidRPr="00B93337" w:rsidRDefault="001F09CD" w:rsidP="001F09CD">
      <w:pPr>
        <w:spacing w:after="0" w:line="240" w:lineRule="auto"/>
        <w:ind w:left="284" w:hanging="284"/>
        <w:rPr>
          <w:rFonts w:ascii="IBM Plex Sans Light" w:hAnsi="IBM Plex Sans Light" w:cs="Arial"/>
          <w:szCs w:val="18"/>
        </w:rPr>
      </w:pPr>
      <w:r w:rsidRPr="00B93337">
        <w:rPr>
          <w:rFonts w:ascii="IBM Plex Sans Light" w:hAnsi="IBM Plex Sans Light" w:cs="Arial"/>
          <w:szCs w:val="18"/>
        </w:rPr>
        <w:t>-</w:t>
      </w:r>
      <w:r w:rsidRPr="00B93337">
        <w:rPr>
          <w:rFonts w:ascii="IBM Plex Sans Light" w:hAnsi="IBM Plex Sans Light" w:cs="Arial"/>
          <w:szCs w:val="18"/>
        </w:rPr>
        <w:tab/>
      </w:r>
      <w:r w:rsidR="007E0F47" w:rsidRPr="00B93337">
        <w:rPr>
          <w:rFonts w:ascii="IBM Plex Sans Light" w:hAnsi="IBM Plex Sans Light" w:cs="Arial"/>
          <w:szCs w:val="18"/>
        </w:rPr>
        <w:t xml:space="preserve">Additional liquidity from </w:t>
      </w:r>
      <w:r w:rsidR="008B3C5C">
        <w:rPr>
          <w:rFonts w:ascii="IBM Plex Sans Light" w:hAnsi="IBM Plex Sans Light" w:cs="Arial"/>
          <w:szCs w:val="18"/>
        </w:rPr>
        <w:t xml:space="preserve">further disposals including </w:t>
      </w:r>
      <w:r w:rsidR="007E0F47" w:rsidRPr="00B93337">
        <w:rPr>
          <w:rFonts w:ascii="IBM Plex Sans Light" w:hAnsi="IBM Plex Sans Light" w:cs="Arial"/>
          <w:szCs w:val="18"/>
        </w:rPr>
        <w:t xml:space="preserve">the </w:t>
      </w:r>
      <w:r w:rsidR="00B2340B">
        <w:rPr>
          <w:rFonts w:ascii="IBM Plex Sans Light" w:hAnsi="IBM Plex Sans Light" w:cs="Arial"/>
          <w:szCs w:val="18"/>
        </w:rPr>
        <w:t xml:space="preserve">recently contracted </w:t>
      </w:r>
      <w:r w:rsidR="008B3C5C">
        <w:rPr>
          <w:rFonts w:ascii="IBM Plex Sans Light" w:hAnsi="IBM Plex Sans Light" w:cs="Arial"/>
          <w:szCs w:val="18"/>
        </w:rPr>
        <w:t xml:space="preserve">sale </w:t>
      </w:r>
      <w:r w:rsidR="00B2340B">
        <w:rPr>
          <w:rFonts w:ascii="IBM Plex Sans Light" w:hAnsi="IBM Plex Sans Light" w:cs="Arial"/>
          <w:szCs w:val="18"/>
        </w:rPr>
        <w:t>of Union Square, Aberdeen for £111m which is due to complete in March 2024</w:t>
      </w:r>
      <w:r w:rsidR="007E0F47" w:rsidRPr="00B93337">
        <w:rPr>
          <w:rFonts w:ascii="IBM Plex Sans Light" w:hAnsi="IBM Plex Sans Light" w:cs="Arial"/>
          <w:szCs w:val="18"/>
        </w:rPr>
        <w:t>.</w:t>
      </w:r>
    </w:p>
    <w:p w14:paraId="30020018" w14:textId="1575DB0A" w:rsidR="007E0F47" w:rsidRPr="007E0F47" w:rsidRDefault="001F09CD" w:rsidP="001F09CD">
      <w:pPr>
        <w:spacing w:after="0" w:line="240" w:lineRule="auto"/>
        <w:ind w:left="284" w:hanging="284"/>
        <w:rPr>
          <w:rFonts w:ascii="IBM Plex Sans Light" w:hAnsi="IBM Plex Sans Light" w:cs="Arial"/>
          <w:b/>
          <w:bCs/>
          <w:szCs w:val="18"/>
        </w:rPr>
      </w:pPr>
      <w:r w:rsidRPr="00B93337">
        <w:rPr>
          <w:rFonts w:ascii="IBM Plex Sans Light" w:hAnsi="IBM Plex Sans Light" w:cs="Arial"/>
          <w:szCs w:val="18"/>
        </w:rPr>
        <w:t>-</w:t>
      </w:r>
      <w:r w:rsidRPr="00B93337">
        <w:rPr>
          <w:rFonts w:ascii="IBM Plex Sans Light" w:hAnsi="IBM Plex Sans Light" w:cs="Arial"/>
          <w:szCs w:val="18"/>
        </w:rPr>
        <w:tab/>
      </w:r>
      <w:r w:rsidR="007E0F47" w:rsidRPr="00B93337">
        <w:rPr>
          <w:rFonts w:ascii="IBM Plex Sans Light" w:hAnsi="IBM Plex Sans Light" w:cs="Arial"/>
          <w:szCs w:val="18"/>
        </w:rPr>
        <w:t>Curtailment of uncommitted capital expenditure plans and other discretionary cash flows factored into the assessment.</w:t>
      </w:r>
      <w:r w:rsidR="007E0F47" w:rsidRPr="007E0F47">
        <w:rPr>
          <w:rFonts w:ascii="IBM Plex Sans Light" w:hAnsi="IBM Plex Sans Light" w:cs="Arial"/>
          <w:b/>
          <w:bCs/>
          <w:szCs w:val="18"/>
        </w:rPr>
        <w:t xml:space="preserve"> </w:t>
      </w:r>
    </w:p>
    <w:p w14:paraId="57CA6EA9" w14:textId="77777777" w:rsidR="007E0F47" w:rsidRPr="007E0F47" w:rsidRDefault="007E0F47" w:rsidP="007E0F47">
      <w:pPr>
        <w:spacing w:after="0" w:line="240" w:lineRule="auto"/>
        <w:rPr>
          <w:rFonts w:ascii="IBM Plex Sans Light" w:hAnsi="IBM Plex Sans Light" w:cs="Arial"/>
          <w:b/>
          <w:bCs/>
          <w:szCs w:val="18"/>
        </w:rPr>
      </w:pPr>
    </w:p>
    <w:p w14:paraId="0C043059" w14:textId="77777777" w:rsidR="007E0F47" w:rsidRPr="007E0F47" w:rsidRDefault="007E0F47" w:rsidP="007E0F47">
      <w:pPr>
        <w:spacing w:after="0" w:line="240" w:lineRule="auto"/>
        <w:rPr>
          <w:rFonts w:ascii="IBM Plex Sans Light" w:hAnsi="IBM Plex Sans Light" w:cs="Arial"/>
          <w:b/>
          <w:color w:val="3D7FE0" w:themeColor="accent1"/>
          <w:szCs w:val="18"/>
        </w:rPr>
      </w:pPr>
      <w:r w:rsidRPr="007E0F47">
        <w:rPr>
          <w:rFonts w:ascii="IBM Plex Sans Light" w:hAnsi="IBM Plex Sans Light" w:cs="Arial"/>
          <w:b/>
          <w:color w:val="3D7FE0" w:themeColor="accent1"/>
          <w:szCs w:val="18"/>
        </w:rPr>
        <w:t>Conclusion</w:t>
      </w:r>
    </w:p>
    <w:p w14:paraId="45C5141C" w14:textId="7B49DA14" w:rsidR="00C24C11" w:rsidRPr="00B93337" w:rsidRDefault="007E0F47" w:rsidP="007E0F47">
      <w:pPr>
        <w:spacing w:after="0" w:line="240" w:lineRule="auto"/>
        <w:rPr>
          <w:rFonts w:ascii="IBM Plex Sans Light" w:hAnsi="IBM Plex Sans Light" w:cs="Arial"/>
          <w:szCs w:val="18"/>
        </w:rPr>
      </w:pPr>
      <w:r w:rsidRPr="00B93337">
        <w:rPr>
          <w:rFonts w:ascii="IBM Plex Sans Light" w:hAnsi="IBM Plex Sans Light" w:cs="Arial"/>
          <w:szCs w:val="18"/>
        </w:rPr>
        <w:t xml:space="preserve">The going concern assessment described above demonstrates that the Group is forecast to remain in a robust financial position over the going concern period with significant liquidity and debt covenant headroom. The Directors have therefore concluded that it is appropriate to prepare the financial statements on a going concern basis. </w:t>
      </w:r>
    </w:p>
    <w:p w14:paraId="31815DB1" w14:textId="77777777" w:rsidR="001F09CD" w:rsidRPr="00B93337" w:rsidRDefault="001F09CD" w:rsidP="001F09CD">
      <w:pPr>
        <w:spacing w:after="0" w:line="240" w:lineRule="auto"/>
        <w:jc w:val="both"/>
        <w:rPr>
          <w:rFonts w:ascii="IBM Plex Sans Medium" w:hAnsi="IBM Plex Sans Medium" w:cs="Arial"/>
          <w:color w:val="3D7FE0" w:themeColor="accent1"/>
          <w:szCs w:val="18"/>
        </w:rPr>
      </w:pPr>
    </w:p>
    <w:p w14:paraId="45DF5B23" w14:textId="5C408028" w:rsidR="007E0F47" w:rsidRDefault="007E0F47" w:rsidP="00AB6B6E">
      <w:pPr>
        <w:spacing w:after="120" w:line="240" w:lineRule="auto"/>
        <w:jc w:val="both"/>
        <w:rPr>
          <w:rFonts w:ascii="IBM Plex Sans Medium" w:hAnsi="IBM Plex Sans Medium" w:cs="Arial"/>
          <w:b/>
          <w:color w:val="3D7FE0" w:themeColor="accent1"/>
          <w:szCs w:val="18"/>
        </w:rPr>
      </w:pPr>
      <w:r w:rsidRPr="007E0F47">
        <w:rPr>
          <w:rFonts w:ascii="IBM Plex Sans Medium" w:hAnsi="IBM Plex Sans Medium" w:cs="Arial"/>
          <w:b/>
          <w:color w:val="3D7FE0" w:themeColor="accent1"/>
          <w:szCs w:val="18"/>
        </w:rPr>
        <w:t>Foreign currency</w:t>
      </w:r>
    </w:p>
    <w:p w14:paraId="77E143FB" w14:textId="20220C8B" w:rsidR="00C24C11" w:rsidRPr="00895810" w:rsidRDefault="00C24C11" w:rsidP="00C24C11">
      <w:pPr>
        <w:spacing w:after="0" w:line="240" w:lineRule="auto"/>
        <w:jc w:val="both"/>
        <w:rPr>
          <w:rFonts w:ascii="IBM Plex Sans Light" w:hAnsi="IBM Plex Sans Light" w:cs="Arial"/>
          <w:b/>
          <w:bCs/>
          <w:i/>
          <w:iCs/>
          <w:color w:val="3D7FE0" w:themeColor="accent1"/>
          <w:szCs w:val="18"/>
        </w:rPr>
      </w:pPr>
      <w:r w:rsidRPr="00895810">
        <w:rPr>
          <w:rFonts w:ascii="IBM Plex Sans Light" w:hAnsi="IBM Plex Sans Light" w:cs="Arial"/>
          <w:b/>
          <w:bCs/>
          <w:i/>
          <w:iCs/>
          <w:color w:val="3D7FE0" w:themeColor="accent1"/>
          <w:szCs w:val="18"/>
        </w:rPr>
        <w:t>Exchange rates</w:t>
      </w:r>
    </w:p>
    <w:p w14:paraId="4301F5DC" w14:textId="463D1013" w:rsidR="00C22D82" w:rsidRPr="00895810" w:rsidRDefault="00A05FAB" w:rsidP="00C22D82">
      <w:pPr>
        <w:spacing w:after="0" w:line="240" w:lineRule="auto"/>
        <w:ind w:right="-227"/>
        <w:rPr>
          <w:rFonts w:ascii="IBM Plex Sans Light" w:hAnsi="IBM Plex Sans Light" w:cs="Arial"/>
          <w:szCs w:val="18"/>
        </w:rPr>
      </w:pPr>
      <w:r w:rsidRPr="00A05FAB">
        <w:rPr>
          <w:rFonts w:ascii="IBM Plex Sans Light" w:hAnsi="IBM Plex Sans Light" w:cs="Arial"/>
          <w:szCs w:val="18"/>
        </w:rPr>
        <w:t>The principal foreign currency denominated balances are in euro where the translation exchange rates used are</w:t>
      </w:r>
      <w:r w:rsidR="00C22D82" w:rsidRPr="00895810">
        <w:rPr>
          <w:rFonts w:ascii="IBM Plex Sans Light" w:hAnsi="IBM Plex Sans Light" w:cs="Arial"/>
          <w:szCs w:val="18"/>
        </w:rPr>
        <w:t>:</w:t>
      </w:r>
    </w:p>
    <w:p w14:paraId="3D41E44B" w14:textId="5C50719C" w:rsidR="00C22D82" w:rsidRPr="00895810" w:rsidRDefault="00C22D82" w:rsidP="00C22D82">
      <w:pPr>
        <w:spacing w:before="120" w:after="0" w:line="240" w:lineRule="auto"/>
        <w:rPr>
          <w:rFonts w:ascii="IBM Plex Sans Light" w:hAnsi="IBM Plex Sans Light" w:cs="Arial"/>
          <w:b/>
          <w:bCs/>
          <w:i/>
          <w:iCs/>
          <w:szCs w:val="18"/>
        </w:rPr>
      </w:pPr>
      <w:r w:rsidRPr="00895810">
        <w:rPr>
          <w:rFonts w:ascii="IBM Plex Sans Light" w:hAnsi="IBM Plex Sans Light" w:cs="Arial"/>
          <w:b/>
          <w:bCs/>
          <w:i/>
          <w:iCs/>
          <w:szCs w:val="18"/>
        </w:rPr>
        <w:t>Consolidated income statement:</w:t>
      </w:r>
    </w:p>
    <w:tbl>
      <w:tblPr>
        <w:tblStyle w:val="TableGrid"/>
        <w:tblW w:w="9907" w:type="dxa"/>
        <w:tblLook w:val="04A0" w:firstRow="1" w:lastRow="0" w:firstColumn="1" w:lastColumn="0" w:noHBand="0" w:noVBand="1"/>
      </w:tblPr>
      <w:tblGrid>
        <w:gridCol w:w="7143"/>
        <w:gridCol w:w="1383"/>
        <w:gridCol w:w="1381"/>
      </w:tblGrid>
      <w:tr w:rsidR="00C22D82" w:rsidRPr="00895810" w14:paraId="06C5B16F" w14:textId="77777777" w:rsidTr="003F2C4C">
        <w:tc>
          <w:tcPr>
            <w:tcW w:w="7143" w:type="dxa"/>
            <w:tcBorders>
              <w:bottom w:val="single" w:sz="2" w:space="0" w:color="3480DE"/>
            </w:tcBorders>
            <w:shd w:val="clear" w:color="auto" w:fill="auto"/>
          </w:tcPr>
          <w:p w14:paraId="23DFF640" w14:textId="77777777" w:rsidR="00C22D82" w:rsidRPr="00895810" w:rsidRDefault="00C22D82" w:rsidP="003F2C4C">
            <w:pPr>
              <w:pStyle w:val="Tabletext"/>
              <w:rPr>
                <w:rFonts w:ascii="IBM Plex Sans Light" w:hAnsi="IBM Plex Sans Light"/>
              </w:rPr>
            </w:pPr>
            <w:r w:rsidRPr="00895810">
              <w:rPr>
                <w:rFonts w:ascii="IBM Plex Sans Light" w:hAnsi="IBM Plex Sans Light"/>
                <w:spacing w:val="-4"/>
                <w:sz w:val="18"/>
              </w:rPr>
              <w:t>Average rate</w:t>
            </w:r>
          </w:p>
        </w:tc>
        <w:tc>
          <w:tcPr>
            <w:tcW w:w="1383" w:type="dxa"/>
            <w:tcBorders>
              <w:bottom w:val="single" w:sz="2" w:space="0" w:color="3480DE"/>
            </w:tcBorders>
            <w:shd w:val="clear" w:color="auto" w:fill="auto"/>
          </w:tcPr>
          <w:p w14:paraId="61F6C965" w14:textId="3C3FE997" w:rsidR="00C22D82" w:rsidRPr="00895810" w:rsidRDefault="00D9723F"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Year</w:t>
            </w:r>
            <w:r w:rsidR="00C22D82" w:rsidRPr="00895810">
              <w:rPr>
                <w:rFonts w:ascii="IBM Plex Sans Light" w:hAnsi="IBM Plex Sans Light"/>
                <w:color w:val="3D7FE0" w:themeColor="accent1"/>
              </w:rPr>
              <w:t xml:space="preserve"> ended </w:t>
            </w:r>
          </w:p>
          <w:p w14:paraId="539900DB" w14:textId="795CEECF" w:rsidR="00C22D82" w:rsidRPr="00895810" w:rsidRDefault="00D9723F"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31 December </w:t>
            </w:r>
            <w:r w:rsidR="00785AC2">
              <w:rPr>
                <w:rFonts w:ascii="IBM Plex Sans Light" w:hAnsi="IBM Plex Sans Light"/>
                <w:color w:val="3D7FE0" w:themeColor="accent1"/>
              </w:rPr>
              <w:t>2023</w:t>
            </w:r>
          </w:p>
        </w:tc>
        <w:tc>
          <w:tcPr>
            <w:tcW w:w="1381" w:type="dxa"/>
            <w:tcBorders>
              <w:bottom w:val="single" w:sz="2" w:space="0" w:color="3480DE"/>
            </w:tcBorders>
            <w:shd w:val="clear" w:color="auto" w:fill="auto"/>
          </w:tcPr>
          <w:p w14:paraId="2FC2B13E" w14:textId="1613C554" w:rsidR="00C22D82" w:rsidRPr="00895810" w:rsidRDefault="00D9723F" w:rsidP="003F2C4C">
            <w:pPr>
              <w:pStyle w:val="TableColHeadsBold"/>
              <w:rPr>
                <w:rFonts w:ascii="IBM Plex Sans Light" w:hAnsi="IBM Plex Sans Light"/>
                <w:b w:val="0"/>
              </w:rPr>
            </w:pPr>
            <w:r w:rsidRPr="00895810">
              <w:rPr>
                <w:rFonts w:ascii="IBM Plex Sans Light" w:hAnsi="IBM Plex Sans Light"/>
                <w:b w:val="0"/>
              </w:rPr>
              <w:t>Year</w:t>
            </w:r>
            <w:r w:rsidR="00C22D82" w:rsidRPr="00895810">
              <w:rPr>
                <w:rFonts w:ascii="IBM Plex Sans Light" w:hAnsi="IBM Plex Sans Light"/>
                <w:b w:val="0"/>
              </w:rPr>
              <w:t xml:space="preserve"> ended </w:t>
            </w:r>
          </w:p>
          <w:p w14:paraId="5B166FA3" w14:textId="09A94E9D" w:rsidR="00C22D82" w:rsidRPr="00895810" w:rsidRDefault="00D9723F" w:rsidP="003F2C4C">
            <w:pPr>
              <w:pStyle w:val="TableColHeadsBold"/>
              <w:rPr>
                <w:rFonts w:ascii="IBM Plex Sans Light" w:hAnsi="IBM Plex Sans Light"/>
                <w:b w:val="0"/>
              </w:rPr>
            </w:pPr>
            <w:r w:rsidRPr="00895810">
              <w:rPr>
                <w:rFonts w:ascii="IBM Plex Sans Light" w:hAnsi="IBM Plex Sans Light"/>
                <w:b w:val="0"/>
              </w:rPr>
              <w:t>31 December</w:t>
            </w:r>
            <w:r w:rsidR="00C22D82" w:rsidRPr="00895810">
              <w:rPr>
                <w:rFonts w:ascii="IBM Plex Sans Light" w:hAnsi="IBM Plex Sans Light"/>
                <w:b w:val="0"/>
              </w:rPr>
              <w:t xml:space="preserve"> </w:t>
            </w:r>
            <w:r w:rsidR="004376EB">
              <w:rPr>
                <w:rFonts w:ascii="IBM Plex Sans Light" w:hAnsi="IBM Plex Sans Light"/>
                <w:b w:val="0"/>
              </w:rPr>
              <w:t>2022</w:t>
            </w:r>
            <w:r w:rsidR="00C22D82" w:rsidRPr="00895810">
              <w:rPr>
                <w:rFonts w:ascii="IBM Plex Sans Light" w:hAnsi="IBM Plex Sans Light"/>
                <w:b w:val="0"/>
              </w:rPr>
              <w:t xml:space="preserve"> </w:t>
            </w:r>
          </w:p>
        </w:tc>
      </w:tr>
      <w:tr w:rsidR="00A62AAF" w:rsidRPr="00895810" w14:paraId="55693141" w14:textId="77777777" w:rsidTr="003F2C4C">
        <w:tc>
          <w:tcPr>
            <w:tcW w:w="7143" w:type="dxa"/>
            <w:tcBorders>
              <w:top w:val="single" w:sz="2" w:space="0" w:color="3480DE"/>
            </w:tcBorders>
            <w:shd w:val="clear" w:color="auto" w:fill="auto"/>
          </w:tcPr>
          <w:p w14:paraId="6934B468" w14:textId="77777777" w:rsidR="00A62AAF" w:rsidRPr="00895810" w:rsidRDefault="00A62AAF" w:rsidP="00A62AAF">
            <w:pPr>
              <w:pStyle w:val="Tabletext"/>
              <w:rPr>
                <w:rFonts w:ascii="IBM Plex Sans Light" w:hAnsi="IBM Plex Sans Light"/>
                <w:spacing w:val="-4"/>
                <w:sz w:val="18"/>
              </w:rPr>
            </w:pPr>
            <w:r w:rsidRPr="00895810">
              <w:rPr>
                <w:rFonts w:ascii="IBM Plex Sans Light" w:hAnsi="IBM Plex Sans Light"/>
                <w:spacing w:val="-4"/>
                <w:sz w:val="18"/>
              </w:rPr>
              <w:t>Quarter 1</w:t>
            </w:r>
          </w:p>
        </w:tc>
        <w:tc>
          <w:tcPr>
            <w:tcW w:w="1383" w:type="dxa"/>
            <w:tcBorders>
              <w:top w:val="single" w:sz="2" w:space="0" w:color="3480DE"/>
            </w:tcBorders>
            <w:shd w:val="clear" w:color="auto" w:fill="auto"/>
          </w:tcPr>
          <w:p w14:paraId="25F9E5C1" w14:textId="039FCB4A" w:rsidR="00A62AAF" w:rsidRPr="00895810" w:rsidRDefault="00A62AAF" w:rsidP="00A62AAF">
            <w:pPr>
              <w:pStyle w:val="TableFigures"/>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w:t>
            </w:r>
            <w:r w:rsidR="00383D45" w:rsidRPr="00383D45">
              <w:rPr>
                <w:rFonts w:ascii="IBM Plex Sans Light" w:hAnsi="IBM Plex Sans Light"/>
                <w:b/>
                <w:color w:val="3D7FE0" w:themeColor="accent1"/>
                <w:spacing w:val="-4"/>
                <w:sz w:val="18"/>
                <w:szCs w:val="18"/>
              </w:rPr>
              <w:t>1.133</w:t>
            </w:r>
          </w:p>
        </w:tc>
        <w:tc>
          <w:tcPr>
            <w:tcW w:w="1381" w:type="dxa"/>
            <w:tcBorders>
              <w:top w:val="single" w:sz="2" w:space="0" w:color="3480DE"/>
            </w:tcBorders>
            <w:shd w:val="clear" w:color="auto" w:fill="auto"/>
          </w:tcPr>
          <w:p w14:paraId="7EEFED22" w14:textId="4612E1BA" w:rsidR="00A62AAF" w:rsidRPr="00A62AAF" w:rsidRDefault="00A62AAF" w:rsidP="00A62AAF">
            <w:pPr>
              <w:pStyle w:val="TableFiguresBold"/>
              <w:rPr>
                <w:rFonts w:ascii="IBM Plex Sans Light" w:hAnsi="IBM Plex Sans Light"/>
                <w:b w:val="0"/>
                <w:bCs w:val="0"/>
                <w:color w:val="auto"/>
                <w:spacing w:val="-4"/>
                <w:sz w:val="18"/>
              </w:rPr>
            </w:pPr>
            <w:r w:rsidRPr="00A62AAF">
              <w:rPr>
                <w:rFonts w:ascii="IBM Plex Sans Light" w:hAnsi="IBM Plex Sans Light"/>
                <w:b w:val="0"/>
                <w:bCs w:val="0"/>
                <w:color w:val="auto"/>
                <w:spacing w:val="-4"/>
                <w:sz w:val="18"/>
                <w:szCs w:val="18"/>
              </w:rPr>
              <w:t>€1.195</w:t>
            </w:r>
          </w:p>
        </w:tc>
      </w:tr>
      <w:tr w:rsidR="00A62AAF" w:rsidRPr="00895810" w14:paraId="5FAED85A" w14:textId="77777777" w:rsidTr="00AE0B5F">
        <w:tc>
          <w:tcPr>
            <w:tcW w:w="7143" w:type="dxa"/>
            <w:shd w:val="clear" w:color="auto" w:fill="auto"/>
          </w:tcPr>
          <w:p w14:paraId="3F9366DA" w14:textId="77777777" w:rsidR="00A62AAF" w:rsidRPr="00895810" w:rsidRDefault="00A62AAF" w:rsidP="00A62AAF">
            <w:pPr>
              <w:pStyle w:val="Tabletext"/>
              <w:rPr>
                <w:rFonts w:ascii="IBM Plex Sans Light" w:hAnsi="IBM Plex Sans Light"/>
                <w:spacing w:val="-4"/>
                <w:sz w:val="18"/>
              </w:rPr>
            </w:pPr>
            <w:r w:rsidRPr="00895810">
              <w:rPr>
                <w:rFonts w:ascii="IBM Plex Sans Light" w:hAnsi="IBM Plex Sans Light"/>
                <w:spacing w:val="-4"/>
                <w:sz w:val="18"/>
              </w:rPr>
              <w:t>Quarter 2</w:t>
            </w:r>
          </w:p>
        </w:tc>
        <w:tc>
          <w:tcPr>
            <w:tcW w:w="1383" w:type="dxa"/>
            <w:shd w:val="clear" w:color="auto" w:fill="auto"/>
          </w:tcPr>
          <w:p w14:paraId="14DD83AD" w14:textId="6B951FD5" w:rsidR="00A62AAF" w:rsidRPr="00895810" w:rsidRDefault="00A62AAF" w:rsidP="00A62AAF">
            <w:pPr>
              <w:pStyle w:val="TableFigures"/>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w:t>
            </w:r>
            <w:r w:rsidR="00546C56">
              <w:rPr>
                <w:rFonts w:ascii="IBM Plex Sans Light" w:hAnsi="IBM Plex Sans Light"/>
                <w:b/>
                <w:color w:val="3D7FE0" w:themeColor="accent1"/>
                <w:spacing w:val="-4"/>
                <w:sz w:val="18"/>
                <w:szCs w:val="18"/>
              </w:rPr>
              <w:t>1.150</w:t>
            </w:r>
          </w:p>
        </w:tc>
        <w:tc>
          <w:tcPr>
            <w:tcW w:w="1381" w:type="dxa"/>
            <w:shd w:val="clear" w:color="auto" w:fill="auto"/>
          </w:tcPr>
          <w:p w14:paraId="11114C75" w14:textId="58C34683" w:rsidR="00A62AAF" w:rsidRPr="00A62AAF" w:rsidRDefault="00A62AAF" w:rsidP="00A62AAF">
            <w:pPr>
              <w:pStyle w:val="TableFiguresBold"/>
              <w:rPr>
                <w:rFonts w:ascii="IBM Plex Sans Light" w:hAnsi="IBM Plex Sans Light"/>
                <w:b w:val="0"/>
                <w:bCs w:val="0"/>
                <w:color w:val="auto"/>
                <w:spacing w:val="-4"/>
                <w:sz w:val="18"/>
              </w:rPr>
            </w:pPr>
            <w:r w:rsidRPr="00A62AAF">
              <w:rPr>
                <w:rFonts w:ascii="IBM Plex Sans Light" w:hAnsi="IBM Plex Sans Light"/>
                <w:b w:val="0"/>
                <w:bCs w:val="0"/>
                <w:color w:val="auto"/>
                <w:spacing w:val="-4"/>
                <w:sz w:val="18"/>
                <w:szCs w:val="18"/>
              </w:rPr>
              <w:t>€1.179</w:t>
            </w:r>
          </w:p>
        </w:tc>
      </w:tr>
      <w:tr w:rsidR="00A62AAF" w:rsidRPr="00895810" w14:paraId="46C7B7CE" w14:textId="77777777" w:rsidTr="00AE0B5F">
        <w:tc>
          <w:tcPr>
            <w:tcW w:w="7143" w:type="dxa"/>
            <w:shd w:val="clear" w:color="auto" w:fill="auto"/>
          </w:tcPr>
          <w:p w14:paraId="2269A481" w14:textId="5ADF47DC" w:rsidR="00A62AAF" w:rsidRPr="00895810" w:rsidRDefault="00A62AAF" w:rsidP="00A62AAF">
            <w:pPr>
              <w:pStyle w:val="Tabletext"/>
              <w:rPr>
                <w:rFonts w:ascii="IBM Plex Sans Light" w:hAnsi="IBM Plex Sans Light"/>
                <w:spacing w:val="-4"/>
                <w:sz w:val="18"/>
              </w:rPr>
            </w:pPr>
            <w:r w:rsidRPr="00895810">
              <w:rPr>
                <w:rFonts w:ascii="IBM Plex Sans Light" w:hAnsi="IBM Plex Sans Light"/>
                <w:spacing w:val="-4"/>
                <w:sz w:val="18"/>
              </w:rPr>
              <w:t>Quarter 3</w:t>
            </w:r>
          </w:p>
        </w:tc>
        <w:tc>
          <w:tcPr>
            <w:tcW w:w="1383" w:type="dxa"/>
            <w:shd w:val="clear" w:color="auto" w:fill="auto"/>
          </w:tcPr>
          <w:p w14:paraId="49D8B6A3" w14:textId="4D986CED" w:rsidR="00A62AAF" w:rsidRPr="00895810" w:rsidRDefault="00A62AAF" w:rsidP="00A62AAF">
            <w:pPr>
              <w:pStyle w:val="TableFigures"/>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w:t>
            </w:r>
            <w:r w:rsidR="00546C56">
              <w:rPr>
                <w:rFonts w:ascii="IBM Plex Sans Light" w:hAnsi="IBM Plex Sans Light"/>
                <w:b/>
                <w:color w:val="3D7FE0" w:themeColor="accent1"/>
                <w:spacing w:val="-4"/>
                <w:sz w:val="18"/>
                <w:szCs w:val="18"/>
              </w:rPr>
              <w:t>1.163</w:t>
            </w:r>
          </w:p>
        </w:tc>
        <w:tc>
          <w:tcPr>
            <w:tcW w:w="1381" w:type="dxa"/>
            <w:shd w:val="clear" w:color="auto" w:fill="auto"/>
          </w:tcPr>
          <w:p w14:paraId="19E379E3" w14:textId="61876BF6" w:rsidR="00A62AAF" w:rsidRPr="00A62AAF" w:rsidRDefault="00A62AAF" w:rsidP="00A62AAF">
            <w:pPr>
              <w:pStyle w:val="TableFiguresBold"/>
              <w:rPr>
                <w:rFonts w:ascii="IBM Plex Sans Light" w:hAnsi="IBM Plex Sans Light"/>
                <w:b w:val="0"/>
                <w:bCs w:val="0"/>
                <w:color w:val="auto"/>
                <w:spacing w:val="-4"/>
                <w:sz w:val="18"/>
              </w:rPr>
            </w:pPr>
            <w:r w:rsidRPr="00A62AAF">
              <w:rPr>
                <w:rFonts w:ascii="IBM Plex Sans Light" w:hAnsi="IBM Plex Sans Light"/>
                <w:b w:val="0"/>
                <w:bCs w:val="0"/>
                <w:color w:val="auto"/>
                <w:spacing w:val="-4"/>
                <w:sz w:val="18"/>
                <w:szCs w:val="18"/>
              </w:rPr>
              <w:t>€1.168</w:t>
            </w:r>
          </w:p>
        </w:tc>
      </w:tr>
      <w:tr w:rsidR="00A62AAF" w:rsidRPr="00895810" w14:paraId="45DF308B" w14:textId="77777777" w:rsidTr="003F2C4C">
        <w:tc>
          <w:tcPr>
            <w:tcW w:w="7143" w:type="dxa"/>
            <w:tcBorders>
              <w:bottom w:val="single" w:sz="8" w:space="0" w:color="3D7FE0" w:themeColor="accent1"/>
            </w:tcBorders>
            <w:shd w:val="clear" w:color="auto" w:fill="auto"/>
          </w:tcPr>
          <w:p w14:paraId="2FAD32B3" w14:textId="2E9E8A6D" w:rsidR="00A62AAF" w:rsidRPr="00895810" w:rsidRDefault="00A62AAF" w:rsidP="00A62AAF">
            <w:pPr>
              <w:pStyle w:val="Tabletext"/>
              <w:rPr>
                <w:rFonts w:ascii="IBM Plex Sans Light" w:hAnsi="IBM Plex Sans Light"/>
                <w:spacing w:val="-4"/>
                <w:sz w:val="18"/>
              </w:rPr>
            </w:pPr>
            <w:r w:rsidRPr="00895810">
              <w:rPr>
                <w:rFonts w:ascii="IBM Plex Sans Light" w:hAnsi="IBM Plex Sans Light"/>
                <w:spacing w:val="-4"/>
                <w:sz w:val="18"/>
              </w:rPr>
              <w:t>Quarter 4</w:t>
            </w:r>
          </w:p>
        </w:tc>
        <w:tc>
          <w:tcPr>
            <w:tcW w:w="1383" w:type="dxa"/>
            <w:tcBorders>
              <w:bottom w:val="single" w:sz="8" w:space="0" w:color="3D7FE0" w:themeColor="accent1"/>
            </w:tcBorders>
            <w:shd w:val="clear" w:color="auto" w:fill="auto"/>
          </w:tcPr>
          <w:p w14:paraId="227EC57C" w14:textId="77FF02DF" w:rsidR="00A62AAF" w:rsidRPr="00895810" w:rsidRDefault="00A62AAF" w:rsidP="00A62AAF">
            <w:pPr>
              <w:pStyle w:val="TableFigures"/>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w:t>
            </w:r>
            <w:r w:rsidR="00546C56">
              <w:rPr>
                <w:rFonts w:ascii="IBM Plex Sans Light" w:hAnsi="IBM Plex Sans Light"/>
                <w:b/>
                <w:color w:val="3D7FE0" w:themeColor="accent1"/>
                <w:spacing w:val="-4"/>
                <w:sz w:val="18"/>
                <w:szCs w:val="18"/>
              </w:rPr>
              <w:t>1.154</w:t>
            </w:r>
          </w:p>
        </w:tc>
        <w:tc>
          <w:tcPr>
            <w:tcW w:w="1381" w:type="dxa"/>
            <w:tcBorders>
              <w:bottom w:val="single" w:sz="8" w:space="0" w:color="3D7FE0" w:themeColor="accent1"/>
            </w:tcBorders>
            <w:shd w:val="clear" w:color="auto" w:fill="auto"/>
          </w:tcPr>
          <w:p w14:paraId="746AF252" w14:textId="4B10F983" w:rsidR="00A62AAF" w:rsidRPr="00A62AAF" w:rsidRDefault="00A62AAF" w:rsidP="00A62AAF">
            <w:pPr>
              <w:pStyle w:val="TableFiguresBold"/>
              <w:rPr>
                <w:rFonts w:ascii="IBM Plex Sans Light" w:hAnsi="IBM Plex Sans Light"/>
                <w:b w:val="0"/>
                <w:bCs w:val="0"/>
                <w:color w:val="auto"/>
                <w:spacing w:val="-4"/>
                <w:sz w:val="18"/>
              </w:rPr>
            </w:pPr>
            <w:r w:rsidRPr="00A62AAF">
              <w:rPr>
                <w:rFonts w:ascii="IBM Plex Sans Light" w:hAnsi="IBM Plex Sans Light"/>
                <w:b w:val="0"/>
                <w:bCs w:val="0"/>
                <w:color w:val="auto"/>
                <w:spacing w:val="-4"/>
                <w:sz w:val="18"/>
                <w:szCs w:val="18"/>
              </w:rPr>
              <w:t>€1.1</w:t>
            </w:r>
            <w:r w:rsidR="00321BE8">
              <w:rPr>
                <w:rFonts w:ascii="IBM Plex Sans Light" w:hAnsi="IBM Plex Sans Light"/>
                <w:b w:val="0"/>
                <w:bCs w:val="0"/>
                <w:color w:val="auto"/>
                <w:spacing w:val="-4"/>
                <w:sz w:val="18"/>
                <w:szCs w:val="18"/>
              </w:rPr>
              <w:t>50</w:t>
            </w:r>
          </w:p>
        </w:tc>
      </w:tr>
    </w:tbl>
    <w:p w14:paraId="51AEE935" w14:textId="77777777" w:rsidR="00C22D82" w:rsidRPr="00895810" w:rsidRDefault="00C22D82" w:rsidP="00C22D82">
      <w:pPr>
        <w:spacing w:before="120" w:after="0" w:line="240" w:lineRule="auto"/>
        <w:rPr>
          <w:rFonts w:ascii="IBM Plex Sans Light" w:hAnsi="IBM Plex Sans Light" w:cs="Arial"/>
          <w:b/>
          <w:bCs/>
          <w:i/>
          <w:iCs/>
          <w:szCs w:val="18"/>
        </w:rPr>
      </w:pPr>
      <w:r w:rsidRPr="00895810">
        <w:rPr>
          <w:rFonts w:ascii="IBM Plex Sans Light" w:hAnsi="IBM Plex Sans Light" w:cs="Arial"/>
          <w:b/>
          <w:bCs/>
          <w:i/>
          <w:iCs/>
          <w:szCs w:val="18"/>
        </w:rPr>
        <w:t>Consolidated balance sheet:</w:t>
      </w:r>
    </w:p>
    <w:tbl>
      <w:tblPr>
        <w:tblStyle w:val="TableGrid"/>
        <w:tblW w:w="9900" w:type="dxa"/>
        <w:tblLook w:val="04A0" w:firstRow="1" w:lastRow="0" w:firstColumn="1" w:lastColumn="0" w:noHBand="0" w:noVBand="1"/>
      </w:tblPr>
      <w:tblGrid>
        <w:gridCol w:w="7143"/>
        <w:gridCol w:w="1373"/>
        <w:gridCol w:w="1384"/>
      </w:tblGrid>
      <w:tr w:rsidR="00C22D82" w:rsidRPr="00895810" w14:paraId="4A6F8AE8" w14:textId="77777777" w:rsidTr="003F2C4C">
        <w:tc>
          <w:tcPr>
            <w:tcW w:w="7143" w:type="dxa"/>
            <w:tcBorders>
              <w:bottom w:val="single" w:sz="2" w:space="0" w:color="3480DE"/>
            </w:tcBorders>
            <w:shd w:val="clear" w:color="auto" w:fill="auto"/>
          </w:tcPr>
          <w:p w14:paraId="3E358167" w14:textId="77777777" w:rsidR="00C22D82" w:rsidRPr="00895810" w:rsidRDefault="00C22D82" w:rsidP="003F2C4C">
            <w:pPr>
              <w:pStyle w:val="TableColHeadsLeft"/>
              <w:rPr>
                <w:rFonts w:ascii="IBM Plex Sans Light" w:hAnsi="IBM Plex Sans Light"/>
              </w:rPr>
            </w:pPr>
          </w:p>
        </w:tc>
        <w:tc>
          <w:tcPr>
            <w:tcW w:w="1373" w:type="dxa"/>
            <w:tcBorders>
              <w:bottom w:val="single" w:sz="2" w:space="0" w:color="3480DE"/>
            </w:tcBorders>
            <w:shd w:val="clear" w:color="auto" w:fill="auto"/>
          </w:tcPr>
          <w:p w14:paraId="25B21C85" w14:textId="779F5187" w:rsidR="00C22D82" w:rsidRPr="00895810" w:rsidRDefault="00C22D82"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3</w:t>
            </w:r>
            <w:r w:rsidR="00D9723F" w:rsidRPr="00895810">
              <w:rPr>
                <w:rFonts w:ascii="IBM Plex Sans Light" w:hAnsi="IBM Plex Sans Light"/>
                <w:color w:val="3D7FE0" w:themeColor="accent1"/>
              </w:rPr>
              <w:t>1 December</w:t>
            </w:r>
            <w:r w:rsidRPr="00895810">
              <w:rPr>
                <w:rFonts w:ascii="IBM Plex Sans Light" w:hAnsi="IBM Plex Sans Light"/>
                <w:color w:val="3D7FE0" w:themeColor="accent1"/>
              </w:rPr>
              <w:t xml:space="preserve"> </w:t>
            </w:r>
            <w:r w:rsidR="00785AC2">
              <w:rPr>
                <w:rFonts w:ascii="IBM Plex Sans Light" w:hAnsi="IBM Plex Sans Light"/>
                <w:color w:val="3D7FE0" w:themeColor="accent1"/>
              </w:rPr>
              <w:t>2023</w:t>
            </w:r>
          </w:p>
        </w:tc>
        <w:tc>
          <w:tcPr>
            <w:tcW w:w="1384" w:type="dxa"/>
            <w:tcBorders>
              <w:bottom w:val="single" w:sz="2" w:space="0" w:color="3480DE"/>
            </w:tcBorders>
            <w:shd w:val="clear" w:color="auto" w:fill="auto"/>
          </w:tcPr>
          <w:p w14:paraId="3CFCD476" w14:textId="1E920174" w:rsidR="00C22D82" w:rsidRPr="00895810" w:rsidRDefault="00C22D82" w:rsidP="003F2C4C">
            <w:pPr>
              <w:pStyle w:val="TableColHeadsBold"/>
              <w:rPr>
                <w:rFonts w:ascii="IBM Plex Sans Light" w:hAnsi="IBM Plex Sans Light"/>
                <w:b w:val="0"/>
              </w:rPr>
            </w:pPr>
            <w:r w:rsidRPr="00895810">
              <w:rPr>
                <w:rFonts w:ascii="IBM Plex Sans Light" w:hAnsi="IBM Plex Sans Light"/>
                <w:b w:val="0"/>
              </w:rPr>
              <w:t xml:space="preserve">31 December </w:t>
            </w:r>
            <w:r w:rsidR="004376EB">
              <w:rPr>
                <w:rFonts w:ascii="IBM Plex Sans Light" w:hAnsi="IBM Plex Sans Light"/>
                <w:b w:val="0"/>
              </w:rPr>
              <w:t>2022</w:t>
            </w:r>
            <w:r w:rsidRPr="00895810">
              <w:rPr>
                <w:rFonts w:ascii="IBM Plex Sans Light" w:hAnsi="IBM Plex Sans Light"/>
                <w:b w:val="0"/>
              </w:rPr>
              <w:t xml:space="preserve"> </w:t>
            </w:r>
          </w:p>
        </w:tc>
      </w:tr>
      <w:tr w:rsidR="00A62AAF" w:rsidRPr="00895810" w14:paraId="110ED09D" w14:textId="77777777" w:rsidTr="003F2C4C">
        <w:tc>
          <w:tcPr>
            <w:tcW w:w="7143" w:type="dxa"/>
            <w:tcBorders>
              <w:top w:val="single" w:sz="2" w:space="0" w:color="3480DE"/>
              <w:bottom w:val="single" w:sz="8" w:space="0" w:color="3D7FE0" w:themeColor="accent1"/>
            </w:tcBorders>
            <w:shd w:val="clear" w:color="auto" w:fill="auto"/>
          </w:tcPr>
          <w:p w14:paraId="3430D088" w14:textId="00673188" w:rsidR="00A62AAF" w:rsidRPr="00895810" w:rsidRDefault="00A62AAF" w:rsidP="00A62AAF">
            <w:pPr>
              <w:pStyle w:val="Tabletext"/>
              <w:rPr>
                <w:rFonts w:ascii="IBM Plex Sans Light" w:hAnsi="IBM Plex Sans Light"/>
                <w:spacing w:val="-4"/>
                <w:sz w:val="18"/>
              </w:rPr>
            </w:pPr>
            <w:proofErr w:type="spellStart"/>
            <w:r w:rsidRPr="00895810">
              <w:rPr>
                <w:rFonts w:ascii="IBM Plex Sans Light" w:hAnsi="IBM Plex Sans Light"/>
                <w:spacing w:val="-4"/>
                <w:sz w:val="18"/>
              </w:rPr>
              <w:t>Year end</w:t>
            </w:r>
            <w:proofErr w:type="spellEnd"/>
            <w:r w:rsidRPr="00895810">
              <w:rPr>
                <w:rFonts w:ascii="IBM Plex Sans Light" w:hAnsi="IBM Plex Sans Light"/>
                <w:spacing w:val="-4"/>
                <w:sz w:val="18"/>
              </w:rPr>
              <w:t xml:space="preserve"> rate </w:t>
            </w:r>
          </w:p>
        </w:tc>
        <w:tc>
          <w:tcPr>
            <w:tcW w:w="1373" w:type="dxa"/>
            <w:tcBorders>
              <w:top w:val="single" w:sz="2" w:space="0" w:color="3480DE"/>
              <w:bottom w:val="single" w:sz="8" w:space="0" w:color="3D7FE0" w:themeColor="accent1"/>
            </w:tcBorders>
            <w:shd w:val="clear" w:color="auto" w:fill="auto"/>
          </w:tcPr>
          <w:p w14:paraId="4FBCBA9C" w14:textId="466387C0" w:rsidR="00A62AAF" w:rsidRPr="00895810" w:rsidRDefault="00A62AAF" w:rsidP="00A62AAF">
            <w:pPr>
              <w:pStyle w:val="TableFigures"/>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w:t>
            </w:r>
            <w:r w:rsidR="00546C56">
              <w:rPr>
                <w:rFonts w:ascii="IBM Plex Sans Light" w:hAnsi="IBM Plex Sans Light"/>
                <w:b/>
                <w:color w:val="3D7FE0" w:themeColor="accent1"/>
                <w:spacing w:val="-4"/>
                <w:sz w:val="18"/>
                <w:szCs w:val="18"/>
              </w:rPr>
              <w:t>1.153</w:t>
            </w:r>
          </w:p>
        </w:tc>
        <w:tc>
          <w:tcPr>
            <w:tcW w:w="1384" w:type="dxa"/>
            <w:tcBorders>
              <w:top w:val="single" w:sz="2" w:space="0" w:color="3480DE"/>
              <w:bottom w:val="single" w:sz="8" w:space="0" w:color="3D7FE0" w:themeColor="accent1"/>
            </w:tcBorders>
            <w:shd w:val="clear" w:color="auto" w:fill="auto"/>
          </w:tcPr>
          <w:p w14:paraId="164FDE46" w14:textId="13EB0D8E" w:rsidR="00A62AAF" w:rsidRPr="00A62AAF" w:rsidRDefault="00A62AAF" w:rsidP="00A62AAF">
            <w:pPr>
              <w:pStyle w:val="TableFiguresBold"/>
              <w:rPr>
                <w:rFonts w:ascii="IBM Plex Sans Light" w:hAnsi="IBM Plex Sans Light"/>
                <w:b w:val="0"/>
                <w:bCs w:val="0"/>
                <w:color w:val="auto"/>
                <w:spacing w:val="-4"/>
                <w:sz w:val="18"/>
              </w:rPr>
            </w:pPr>
            <w:r w:rsidRPr="00A62AAF">
              <w:rPr>
                <w:rFonts w:ascii="IBM Plex Sans Light" w:hAnsi="IBM Plex Sans Light"/>
                <w:b w:val="0"/>
                <w:bCs w:val="0"/>
                <w:color w:val="auto"/>
                <w:spacing w:val="-4"/>
                <w:sz w:val="18"/>
                <w:szCs w:val="18"/>
              </w:rPr>
              <w:t>€1.</w:t>
            </w:r>
            <w:r w:rsidR="00321BE8">
              <w:rPr>
                <w:rFonts w:ascii="IBM Plex Sans Light" w:hAnsi="IBM Plex Sans Light"/>
                <w:b w:val="0"/>
                <w:bCs w:val="0"/>
                <w:color w:val="auto"/>
                <w:spacing w:val="-4"/>
                <w:sz w:val="18"/>
                <w:szCs w:val="18"/>
              </w:rPr>
              <w:t>128</w:t>
            </w:r>
          </w:p>
        </w:tc>
      </w:tr>
    </w:tbl>
    <w:p w14:paraId="2A8CACA2" w14:textId="5E10861D" w:rsidR="0084584E" w:rsidRDefault="0084584E">
      <w:pPr>
        <w:spacing w:after="0" w:line="240" w:lineRule="auto"/>
        <w:rPr>
          <w:rFonts w:ascii="IBM Plex Sans Medium" w:hAnsi="IBM Plex Sans Medium" w:cs="Arial"/>
          <w:b/>
          <w:color w:val="3D7FE0" w:themeColor="accent1"/>
          <w:szCs w:val="18"/>
        </w:rPr>
      </w:pPr>
    </w:p>
    <w:p w14:paraId="56B8FC0B" w14:textId="6E1EB182" w:rsidR="00F8548A" w:rsidRPr="00AB6B6E" w:rsidRDefault="00F8548A"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 xml:space="preserve">2. </w:t>
      </w:r>
      <w:r w:rsidR="00857F57" w:rsidRPr="00AB6B6E">
        <w:rPr>
          <w:rFonts w:ascii="IBM Plex Sans Medium" w:hAnsi="IBM Plex Sans Medium" w:cs="Arial"/>
          <w:b/>
          <w:color w:val="3D7FE0" w:themeColor="accent1"/>
          <w:szCs w:val="18"/>
        </w:rPr>
        <w:t>PROFIT/(</w:t>
      </w:r>
      <w:r w:rsidRPr="00AB6B6E">
        <w:rPr>
          <w:rFonts w:ascii="IBM Plex Sans Medium" w:hAnsi="IBM Plex Sans Medium" w:cs="Arial"/>
          <w:b/>
          <w:color w:val="3D7FE0" w:themeColor="accent1"/>
          <w:szCs w:val="18"/>
        </w:rPr>
        <w:t>LOSS</w:t>
      </w:r>
      <w:r w:rsidR="00857F57" w:rsidRPr="00AB6B6E">
        <w:rPr>
          <w:rFonts w:ascii="IBM Plex Sans Medium" w:hAnsi="IBM Plex Sans Medium" w:cs="Arial"/>
          <w:b/>
          <w:color w:val="3D7FE0" w:themeColor="accent1"/>
          <w:szCs w:val="18"/>
        </w:rPr>
        <w:t>)</w:t>
      </w:r>
      <w:r w:rsidRPr="00AB6B6E">
        <w:rPr>
          <w:rFonts w:ascii="IBM Plex Sans Medium" w:hAnsi="IBM Plex Sans Medium" w:cs="Arial"/>
          <w:b/>
          <w:color w:val="3D7FE0" w:themeColor="accent1"/>
          <w:szCs w:val="18"/>
        </w:rPr>
        <w:t xml:space="preserve"> FOR THE </w:t>
      </w:r>
      <w:r w:rsidR="00C52329" w:rsidRPr="00AB6B6E">
        <w:rPr>
          <w:rFonts w:ascii="IBM Plex Sans Medium" w:hAnsi="IBM Plex Sans Medium" w:cs="Arial"/>
          <w:b/>
          <w:color w:val="3D7FE0" w:themeColor="accent1"/>
          <w:szCs w:val="18"/>
        </w:rPr>
        <w:t>YEAR</w:t>
      </w:r>
    </w:p>
    <w:p w14:paraId="418845C4" w14:textId="77777777" w:rsidR="00546C56" w:rsidRPr="00024B10" w:rsidRDefault="00546C56" w:rsidP="00546C56">
      <w:pPr>
        <w:spacing w:after="0" w:line="240" w:lineRule="auto"/>
        <w:rPr>
          <w:rFonts w:ascii="IBM Plex Sans Light" w:hAnsi="IBM Plex Sans Light" w:cs="Arial"/>
          <w:szCs w:val="18"/>
        </w:rPr>
      </w:pPr>
      <w:r w:rsidRPr="00024B10">
        <w:rPr>
          <w:rFonts w:ascii="IBM Plex Sans Light" w:hAnsi="IBM Plex Sans Light" w:cs="Arial"/>
          <w:szCs w:val="18"/>
        </w:rPr>
        <w:t xml:space="preserve">As described in note 3, the Group evaluates the performance of its portfolio by aggregating its share of joint ventures (see note 12) and associates (see note 13) which are under the Group’s management (‘Share of Property interests’) on a proportionally consolidated basis with its wholly owned portfolio in its ‘Reported Group’. </w:t>
      </w:r>
    </w:p>
    <w:p w14:paraId="23E93CB5" w14:textId="77777777" w:rsidR="00546C56" w:rsidRPr="00024B10" w:rsidRDefault="00546C56" w:rsidP="00546C56">
      <w:pPr>
        <w:spacing w:after="0" w:line="240" w:lineRule="auto"/>
        <w:rPr>
          <w:rFonts w:ascii="IBM Plex Sans Light" w:hAnsi="IBM Plex Sans Light" w:cs="Arial"/>
          <w:szCs w:val="18"/>
        </w:rPr>
      </w:pPr>
    </w:p>
    <w:p w14:paraId="7E77959C" w14:textId="64FB81FC" w:rsidR="00695371" w:rsidRPr="00024B10" w:rsidRDefault="00546C56" w:rsidP="00024B10">
      <w:pPr>
        <w:spacing w:after="0" w:line="240" w:lineRule="auto"/>
        <w:rPr>
          <w:rFonts w:ascii="IBM Plex Sans Light" w:hAnsi="IBM Plex Sans Light" w:cs="Arial"/>
          <w:color w:val="3D7FE0" w:themeColor="accent1"/>
          <w:szCs w:val="18"/>
        </w:rPr>
      </w:pPr>
      <w:r w:rsidRPr="00024B10">
        <w:rPr>
          <w:rFonts w:ascii="IBM Plex Sans Light" w:hAnsi="IBM Plex Sans Light" w:cs="Arial"/>
          <w:szCs w:val="18"/>
        </w:rPr>
        <w:t>Adjusted earnings, which are also calculated on a proportionally consolidated basis, is the Group’s primary profit measure and this is the basis of information which is reported to the Board. The following table sets out a reconciliation from Reported earnings to Adjusted earnings.</w:t>
      </w:r>
    </w:p>
    <w:tbl>
      <w:tblPr>
        <w:tblW w:w="9925" w:type="dxa"/>
        <w:tblLayout w:type="fixed"/>
        <w:tblCellMar>
          <w:right w:w="0" w:type="dxa"/>
        </w:tblCellMar>
        <w:tblLook w:val="01E0" w:firstRow="1" w:lastRow="1" w:firstColumn="1" w:lastColumn="1" w:noHBand="0" w:noVBand="0"/>
      </w:tblPr>
      <w:tblGrid>
        <w:gridCol w:w="4678"/>
        <w:gridCol w:w="284"/>
        <w:gridCol w:w="567"/>
        <w:gridCol w:w="850"/>
        <w:gridCol w:w="851"/>
        <w:gridCol w:w="992"/>
        <w:gridCol w:w="850"/>
        <w:gridCol w:w="853"/>
      </w:tblGrid>
      <w:tr w:rsidR="00087787" w:rsidRPr="00895810" w14:paraId="74534315" w14:textId="77777777" w:rsidTr="00435CF7">
        <w:trPr>
          <w:trHeight w:val="188"/>
        </w:trPr>
        <w:tc>
          <w:tcPr>
            <w:tcW w:w="4678" w:type="dxa"/>
            <w:tcMar>
              <w:left w:w="0" w:type="dxa"/>
              <w:right w:w="0" w:type="dxa"/>
            </w:tcMar>
            <w:vAlign w:val="bottom"/>
          </w:tcPr>
          <w:p w14:paraId="27FBE447" w14:textId="77777777" w:rsidR="00087787" w:rsidRPr="00895810" w:rsidRDefault="00087787" w:rsidP="006341D2">
            <w:pPr>
              <w:spacing w:after="0" w:line="240" w:lineRule="auto"/>
              <w:jc w:val="both"/>
              <w:rPr>
                <w:rFonts w:ascii="IBM Plex Sans Light" w:hAnsi="IBM Plex Sans Light" w:cs="Arial"/>
                <w:sz w:val="14"/>
                <w:szCs w:val="14"/>
              </w:rPr>
            </w:pPr>
          </w:p>
        </w:tc>
        <w:tc>
          <w:tcPr>
            <w:tcW w:w="284" w:type="dxa"/>
            <w:vAlign w:val="bottom"/>
          </w:tcPr>
          <w:p w14:paraId="2F5DBBA1" w14:textId="7A4E46B7" w:rsidR="00087787" w:rsidRPr="00895810" w:rsidRDefault="00087787" w:rsidP="005E3F43">
            <w:pPr>
              <w:spacing w:after="0" w:line="240" w:lineRule="auto"/>
              <w:jc w:val="center"/>
              <w:rPr>
                <w:rFonts w:ascii="IBM Plex Sans Light" w:hAnsi="IBM Plex Sans Light" w:cs="Arial"/>
                <w:sz w:val="14"/>
                <w:szCs w:val="14"/>
              </w:rPr>
            </w:pPr>
          </w:p>
        </w:tc>
        <w:tc>
          <w:tcPr>
            <w:tcW w:w="567" w:type="dxa"/>
            <w:tcMar>
              <w:left w:w="0" w:type="dxa"/>
              <w:right w:w="0" w:type="dxa"/>
            </w:tcMar>
            <w:vAlign w:val="bottom"/>
          </w:tcPr>
          <w:p w14:paraId="39F3E25C" w14:textId="77777777" w:rsidR="00087787" w:rsidRPr="00895810" w:rsidRDefault="00087787" w:rsidP="006341D2">
            <w:pPr>
              <w:spacing w:after="0" w:line="240" w:lineRule="auto"/>
              <w:jc w:val="both"/>
              <w:rPr>
                <w:rFonts w:ascii="IBM Plex Sans Light" w:hAnsi="IBM Plex Sans Light" w:cs="Arial"/>
                <w:sz w:val="14"/>
                <w:szCs w:val="14"/>
              </w:rPr>
            </w:pPr>
          </w:p>
        </w:tc>
        <w:tc>
          <w:tcPr>
            <w:tcW w:w="4396" w:type="dxa"/>
            <w:gridSpan w:val="5"/>
            <w:tcMar>
              <w:left w:w="0" w:type="dxa"/>
              <w:right w:w="0" w:type="dxa"/>
            </w:tcMar>
            <w:vAlign w:val="bottom"/>
          </w:tcPr>
          <w:p w14:paraId="41765979" w14:textId="42258649" w:rsidR="006A36ED" w:rsidRPr="00895810" w:rsidRDefault="00785AC2" w:rsidP="00AA5577">
            <w:pPr>
              <w:pStyle w:val="TableColHeadsBold"/>
              <w:rPr>
                <w:rFonts w:ascii="IBM Plex Sans Light" w:hAnsi="IBM Plex Sans Light"/>
                <w:color w:val="3D7FE0" w:themeColor="accent1"/>
                <w:szCs w:val="14"/>
              </w:rPr>
            </w:pPr>
            <w:r>
              <w:rPr>
                <w:rFonts w:ascii="IBM Plex Sans Light" w:hAnsi="IBM Plex Sans Light"/>
                <w:color w:val="3D7FE0" w:themeColor="accent1"/>
                <w:szCs w:val="14"/>
              </w:rPr>
              <w:t>2023</w:t>
            </w:r>
          </w:p>
        </w:tc>
      </w:tr>
      <w:tr w:rsidR="00087787" w:rsidRPr="00895810" w14:paraId="7A8068C9" w14:textId="77777777" w:rsidTr="00435CF7">
        <w:tc>
          <w:tcPr>
            <w:tcW w:w="4678" w:type="dxa"/>
            <w:tcMar>
              <w:left w:w="0" w:type="dxa"/>
              <w:right w:w="0" w:type="dxa"/>
            </w:tcMar>
            <w:vAlign w:val="bottom"/>
          </w:tcPr>
          <w:p w14:paraId="57307D93" w14:textId="77777777" w:rsidR="00087787" w:rsidRPr="00895810" w:rsidRDefault="00087787" w:rsidP="00F418A9">
            <w:pPr>
              <w:spacing w:after="0" w:line="240" w:lineRule="auto"/>
              <w:jc w:val="both"/>
              <w:rPr>
                <w:rFonts w:ascii="IBM Plex Sans Light" w:hAnsi="IBM Plex Sans Light" w:cs="Arial"/>
                <w:sz w:val="14"/>
                <w:szCs w:val="14"/>
              </w:rPr>
            </w:pPr>
          </w:p>
        </w:tc>
        <w:tc>
          <w:tcPr>
            <w:tcW w:w="284" w:type="dxa"/>
            <w:vAlign w:val="bottom"/>
          </w:tcPr>
          <w:p w14:paraId="12879E2A" w14:textId="32D958CD" w:rsidR="00087787" w:rsidRPr="00895810" w:rsidRDefault="00087787" w:rsidP="005E3F43">
            <w:pPr>
              <w:spacing w:after="0" w:line="240" w:lineRule="auto"/>
              <w:jc w:val="center"/>
              <w:rPr>
                <w:rFonts w:ascii="IBM Plex Sans Light" w:hAnsi="IBM Plex Sans Light" w:cs="Arial"/>
                <w:sz w:val="14"/>
                <w:szCs w:val="14"/>
              </w:rPr>
            </w:pPr>
          </w:p>
        </w:tc>
        <w:tc>
          <w:tcPr>
            <w:tcW w:w="567" w:type="dxa"/>
            <w:tcMar>
              <w:left w:w="0" w:type="dxa"/>
              <w:right w:w="0" w:type="dxa"/>
            </w:tcMar>
            <w:vAlign w:val="bottom"/>
          </w:tcPr>
          <w:p w14:paraId="77CB7D62" w14:textId="77777777" w:rsidR="00087787" w:rsidRPr="00895810" w:rsidRDefault="00087787" w:rsidP="00F418A9">
            <w:pPr>
              <w:spacing w:after="0" w:line="240" w:lineRule="auto"/>
              <w:jc w:val="both"/>
              <w:rPr>
                <w:rFonts w:ascii="IBM Plex Sans Light" w:hAnsi="IBM Plex Sans Light" w:cs="Arial"/>
                <w:sz w:val="14"/>
                <w:szCs w:val="14"/>
              </w:rPr>
            </w:pPr>
          </w:p>
        </w:tc>
        <w:tc>
          <w:tcPr>
            <w:tcW w:w="850" w:type="dxa"/>
            <w:tcMar>
              <w:left w:w="0" w:type="dxa"/>
              <w:right w:w="0" w:type="dxa"/>
            </w:tcMar>
            <w:vAlign w:val="bottom"/>
          </w:tcPr>
          <w:p w14:paraId="5496076B" w14:textId="77777777" w:rsidR="00087787" w:rsidRPr="00895810" w:rsidRDefault="00087787" w:rsidP="00F418A9">
            <w:pPr>
              <w:pStyle w:val="TableColHeadsBold"/>
              <w:rPr>
                <w:rFonts w:ascii="IBM Plex Sans Light" w:hAnsi="IBM Plex Sans Light"/>
                <w:color w:val="548DD4"/>
                <w:szCs w:val="14"/>
                <w:highlight w:val="lightGray"/>
              </w:rPr>
            </w:pPr>
          </w:p>
        </w:tc>
        <w:tc>
          <w:tcPr>
            <w:tcW w:w="851" w:type="dxa"/>
            <w:tcBorders>
              <w:right w:val="single" w:sz="4" w:space="0" w:color="3D7FE0" w:themeColor="accent1"/>
            </w:tcBorders>
            <w:tcMar>
              <w:left w:w="0" w:type="dxa"/>
              <w:right w:w="0" w:type="dxa"/>
            </w:tcMar>
            <w:vAlign w:val="bottom"/>
          </w:tcPr>
          <w:p w14:paraId="1AA78697" w14:textId="77777777" w:rsidR="00087787" w:rsidRPr="00895810" w:rsidRDefault="00087787" w:rsidP="00F418A9">
            <w:pPr>
              <w:pStyle w:val="TableColHeadsBold"/>
              <w:rPr>
                <w:rFonts w:ascii="IBM Plex Sans Light" w:hAnsi="IBM Plex Sans Light"/>
                <w:szCs w:val="14"/>
                <w:highlight w:val="yellow"/>
              </w:rPr>
            </w:pPr>
          </w:p>
        </w:tc>
        <w:tc>
          <w:tcPr>
            <w:tcW w:w="2695" w:type="dxa"/>
            <w:gridSpan w:val="3"/>
            <w:tcBorders>
              <w:top w:val="single" w:sz="4" w:space="0" w:color="3D7FE0" w:themeColor="accent1"/>
              <w:left w:val="single" w:sz="4" w:space="0" w:color="3D7FE0" w:themeColor="accent1"/>
              <w:bottom w:val="single" w:sz="4" w:space="0" w:color="3D7FE0" w:themeColor="accent1"/>
              <w:right w:val="single" w:sz="4" w:space="0" w:color="3D7FE0" w:themeColor="accent1"/>
            </w:tcBorders>
            <w:tcMar>
              <w:left w:w="0" w:type="dxa"/>
              <w:right w:w="0" w:type="dxa"/>
            </w:tcMar>
            <w:vAlign w:val="bottom"/>
          </w:tcPr>
          <w:p w14:paraId="14ABFBAB" w14:textId="3FB5F874" w:rsidR="00087787" w:rsidRPr="00895810" w:rsidRDefault="00087787" w:rsidP="00F418A9">
            <w:pPr>
              <w:pStyle w:val="TableColHeadsBold"/>
              <w:jc w:val="center"/>
              <w:rPr>
                <w:rFonts w:ascii="IBM Plex Sans Light" w:hAnsi="IBM Plex Sans Light"/>
                <w:color w:val="3D7FE0" w:themeColor="accent1"/>
                <w:szCs w:val="14"/>
              </w:rPr>
            </w:pPr>
            <w:r w:rsidRPr="00895810">
              <w:rPr>
                <w:rFonts w:ascii="IBM Plex Sans Light" w:hAnsi="IBM Plex Sans Light"/>
                <w:color w:val="3D7FE0" w:themeColor="accent1"/>
                <w:szCs w:val="14"/>
              </w:rPr>
              <w:t>Proportionally consolidated</w:t>
            </w:r>
          </w:p>
        </w:tc>
      </w:tr>
      <w:tr w:rsidR="00087787" w:rsidRPr="00895810" w14:paraId="057CD328" w14:textId="77777777" w:rsidTr="00435CF7">
        <w:tc>
          <w:tcPr>
            <w:tcW w:w="4678" w:type="dxa"/>
            <w:tcMar>
              <w:left w:w="0" w:type="dxa"/>
              <w:right w:w="0" w:type="dxa"/>
            </w:tcMar>
            <w:vAlign w:val="bottom"/>
          </w:tcPr>
          <w:p w14:paraId="4787767C" w14:textId="77777777" w:rsidR="00087787" w:rsidRPr="00895810" w:rsidRDefault="00087787" w:rsidP="00F418A9">
            <w:pPr>
              <w:pStyle w:val="TableColHeads"/>
              <w:rPr>
                <w:rFonts w:ascii="IBM Plex Sans Light" w:hAnsi="IBM Plex Sans Light"/>
                <w:szCs w:val="14"/>
              </w:rPr>
            </w:pPr>
          </w:p>
        </w:tc>
        <w:tc>
          <w:tcPr>
            <w:tcW w:w="284" w:type="dxa"/>
            <w:vAlign w:val="bottom"/>
          </w:tcPr>
          <w:p w14:paraId="5D22910D" w14:textId="626E9643" w:rsidR="00087787" w:rsidRPr="00895810" w:rsidRDefault="00087787" w:rsidP="005E3F43">
            <w:pPr>
              <w:pStyle w:val="TableColHeads"/>
              <w:jc w:val="center"/>
              <w:rPr>
                <w:rFonts w:ascii="IBM Plex Sans Light" w:hAnsi="IBM Plex Sans Light"/>
                <w:szCs w:val="14"/>
              </w:rPr>
            </w:pPr>
          </w:p>
        </w:tc>
        <w:tc>
          <w:tcPr>
            <w:tcW w:w="567" w:type="dxa"/>
            <w:tcMar>
              <w:left w:w="0" w:type="dxa"/>
              <w:right w:w="0" w:type="dxa"/>
            </w:tcMar>
            <w:vAlign w:val="bottom"/>
          </w:tcPr>
          <w:p w14:paraId="12239AC2" w14:textId="77777777" w:rsidR="00087787" w:rsidRPr="00895810" w:rsidRDefault="00087787" w:rsidP="00F418A9">
            <w:pPr>
              <w:pStyle w:val="TableColHeads"/>
              <w:rPr>
                <w:rFonts w:ascii="IBM Plex Sans Light" w:hAnsi="IBM Plex Sans Light"/>
                <w:szCs w:val="14"/>
              </w:rPr>
            </w:pPr>
          </w:p>
        </w:tc>
        <w:tc>
          <w:tcPr>
            <w:tcW w:w="850" w:type="dxa"/>
            <w:tcMar>
              <w:left w:w="0" w:type="dxa"/>
              <w:right w:w="0" w:type="dxa"/>
            </w:tcMar>
            <w:vAlign w:val="bottom"/>
          </w:tcPr>
          <w:p w14:paraId="7AF4C1B1" w14:textId="77777777"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Reported Group </w:t>
            </w:r>
          </w:p>
        </w:tc>
        <w:tc>
          <w:tcPr>
            <w:tcW w:w="851" w:type="dxa"/>
            <w:tcBorders>
              <w:right w:val="single" w:sz="4" w:space="0" w:color="3D7FE0" w:themeColor="accent1"/>
            </w:tcBorders>
            <w:tcMar>
              <w:left w:w="0" w:type="dxa"/>
              <w:right w:w="0" w:type="dxa"/>
            </w:tcMar>
            <w:vAlign w:val="bottom"/>
          </w:tcPr>
          <w:p w14:paraId="1AB78C81" w14:textId="77777777"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Share of Property interests </w:t>
            </w:r>
          </w:p>
        </w:tc>
        <w:tc>
          <w:tcPr>
            <w:tcW w:w="992" w:type="dxa"/>
            <w:tcBorders>
              <w:top w:val="single" w:sz="4" w:space="0" w:color="3D7FE0" w:themeColor="accent1"/>
              <w:left w:val="single" w:sz="4" w:space="0" w:color="3D7FE0" w:themeColor="accent1"/>
            </w:tcBorders>
            <w:tcMar>
              <w:left w:w="0" w:type="dxa"/>
              <w:right w:w="0" w:type="dxa"/>
            </w:tcMar>
            <w:vAlign w:val="bottom"/>
          </w:tcPr>
          <w:p w14:paraId="0E95E53E" w14:textId="5817D8B5"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Sub-total before adjustments </w:t>
            </w:r>
          </w:p>
        </w:tc>
        <w:tc>
          <w:tcPr>
            <w:tcW w:w="850" w:type="dxa"/>
            <w:vAlign w:val="bottom"/>
          </w:tcPr>
          <w:p w14:paraId="68941C5A" w14:textId="74690C4C"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Capital and other </w:t>
            </w:r>
          </w:p>
        </w:tc>
        <w:tc>
          <w:tcPr>
            <w:tcW w:w="853" w:type="dxa"/>
            <w:tcBorders>
              <w:right w:val="single" w:sz="4" w:space="0" w:color="3D7FE0" w:themeColor="accent1"/>
            </w:tcBorders>
            <w:tcMar>
              <w:left w:w="0" w:type="dxa"/>
              <w:right w:w="0" w:type="dxa"/>
            </w:tcMar>
            <w:vAlign w:val="bottom"/>
          </w:tcPr>
          <w:p w14:paraId="2E4F06DF" w14:textId="0EDA524D"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Adjusted </w:t>
            </w:r>
          </w:p>
        </w:tc>
      </w:tr>
      <w:tr w:rsidR="00087787" w:rsidRPr="00895810" w14:paraId="5ED8DAAC" w14:textId="77777777" w:rsidTr="00435CF7">
        <w:tc>
          <w:tcPr>
            <w:tcW w:w="4678" w:type="dxa"/>
            <w:tcMar>
              <w:left w:w="0" w:type="dxa"/>
              <w:bottom w:w="28" w:type="dxa"/>
              <w:right w:w="0" w:type="dxa"/>
            </w:tcMar>
            <w:vAlign w:val="bottom"/>
          </w:tcPr>
          <w:p w14:paraId="01603219" w14:textId="77777777" w:rsidR="00087787" w:rsidRPr="00895810" w:rsidRDefault="00087787" w:rsidP="00F418A9">
            <w:pPr>
              <w:pStyle w:val="TableColHeads"/>
              <w:rPr>
                <w:rFonts w:ascii="IBM Plex Sans Light" w:hAnsi="IBM Plex Sans Light"/>
                <w:szCs w:val="14"/>
              </w:rPr>
            </w:pPr>
          </w:p>
        </w:tc>
        <w:tc>
          <w:tcPr>
            <w:tcW w:w="284" w:type="dxa"/>
            <w:vAlign w:val="bottom"/>
          </w:tcPr>
          <w:p w14:paraId="650DCA84" w14:textId="742D1A8B" w:rsidR="00087787" w:rsidRPr="00895810" w:rsidRDefault="00087787" w:rsidP="005E3F43">
            <w:pPr>
              <w:pStyle w:val="TableColHeads"/>
              <w:jc w:val="center"/>
              <w:rPr>
                <w:rFonts w:ascii="IBM Plex Sans Light" w:hAnsi="IBM Plex Sans Light"/>
                <w:szCs w:val="14"/>
              </w:rPr>
            </w:pPr>
          </w:p>
        </w:tc>
        <w:tc>
          <w:tcPr>
            <w:tcW w:w="567" w:type="dxa"/>
            <w:tcMar>
              <w:left w:w="0" w:type="dxa"/>
              <w:bottom w:w="28" w:type="dxa"/>
              <w:right w:w="0" w:type="dxa"/>
            </w:tcMar>
            <w:vAlign w:val="bottom"/>
          </w:tcPr>
          <w:p w14:paraId="5D1F0716" w14:textId="77777777" w:rsidR="00087787" w:rsidRPr="00895810" w:rsidRDefault="00087787" w:rsidP="00F418A9">
            <w:pPr>
              <w:pStyle w:val="TableColHeads"/>
              <w:rPr>
                <w:rFonts w:ascii="IBM Plex Sans Light" w:hAnsi="IBM Plex Sans Light"/>
                <w:szCs w:val="14"/>
              </w:rPr>
            </w:pPr>
          </w:p>
        </w:tc>
        <w:tc>
          <w:tcPr>
            <w:tcW w:w="850" w:type="dxa"/>
            <w:tcMar>
              <w:left w:w="0" w:type="dxa"/>
              <w:bottom w:w="28" w:type="dxa"/>
              <w:right w:w="0" w:type="dxa"/>
            </w:tcMar>
            <w:vAlign w:val="bottom"/>
          </w:tcPr>
          <w:p w14:paraId="0A5FCEBB" w14:textId="77777777" w:rsidR="00087787" w:rsidRPr="00895810" w:rsidRDefault="00087787" w:rsidP="00F418A9">
            <w:pPr>
              <w:pStyle w:val="TableColHeadsBold"/>
              <w:rPr>
                <w:rFonts w:ascii="IBM Plex Sans Light" w:hAnsi="IBM Plex Sans Light"/>
                <w:color w:val="3D7FE0" w:themeColor="accent1"/>
                <w:szCs w:val="14"/>
              </w:rPr>
            </w:pPr>
          </w:p>
        </w:tc>
        <w:tc>
          <w:tcPr>
            <w:tcW w:w="851" w:type="dxa"/>
            <w:tcBorders>
              <w:right w:val="single" w:sz="4" w:space="0" w:color="3D7FE0" w:themeColor="accent1"/>
            </w:tcBorders>
            <w:tcMar>
              <w:left w:w="0" w:type="dxa"/>
              <w:bottom w:w="28" w:type="dxa"/>
              <w:right w:w="0" w:type="dxa"/>
            </w:tcMar>
            <w:vAlign w:val="bottom"/>
          </w:tcPr>
          <w:p w14:paraId="188A9974" w14:textId="782AB0D2" w:rsidR="00087787" w:rsidRPr="00895810" w:rsidRDefault="00087787" w:rsidP="00F418A9">
            <w:pPr>
              <w:pStyle w:val="TableColHeadsBold"/>
              <w:rPr>
                <w:rFonts w:ascii="IBM Plex Sans Light" w:hAnsi="IBM Plex Sans Light"/>
                <w:bCs w:val="0"/>
                <w:color w:val="3D7FE0" w:themeColor="accent1"/>
                <w:szCs w:val="14"/>
              </w:rPr>
            </w:pPr>
          </w:p>
        </w:tc>
        <w:tc>
          <w:tcPr>
            <w:tcW w:w="992" w:type="dxa"/>
            <w:tcBorders>
              <w:left w:val="single" w:sz="4" w:space="0" w:color="3D7FE0" w:themeColor="accent1"/>
            </w:tcBorders>
            <w:tcMar>
              <w:left w:w="0" w:type="dxa"/>
              <w:bottom w:w="28" w:type="dxa"/>
              <w:right w:w="0" w:type="dxa"/>
            </w:tcMar>
            <w:vAlign w:val="bottom"/>
          </w:tcPr>
          <w:p w14:paraId="2BB218AA" w14:textId="77777777" w:rsidR="00087787" w:rsidRPr="00895810" w:rsidRDefault="00087787" w:rsidP="00F418A9">
            <w:pPr>
              <w:pStyle w:val="TableColHeadsBold"/>
              <w:rPr>
                <w:rFonts w:ascii="IBM Plex Sans Light" w:hAnsi="IBM Plex Sans Light"/>
                <w:bCs w:val="0"/>
                <w:color w:val="3D7FE0" w:themeColor="accent1"/>
                <w:szCs w:val="14"/>
              </w:rPr>
            </w:pPr>
          </w:p>
        </w:tc>
        <w:tc>
          <w:tcPr>
            <w:tcW w:w="850" w:type="dxa"/>
            <w:vAlign w:val="bottom"/>
          </w:tcPr>
          <w:p w14:paraId="3818B4AA" w14:textId="4DE785E7" w:rsidR="00087787" w:rsidRPr="00895810" w:rsidRDefault="00087787" w:rsidP="00F418A9">
            <w:pPr>
              <w:pStyle w:val="TableColHeadsBold"/>
              <w:rPr>
                <w:rFonts w:ascii="IBM Plex Sans Light" w:hAnsi="IBM Plex Sans Light"/>
                <w:b w:val="0"/>
                <w:bCs w:val="0"/>
                <w:color w:val="3D7FE0" w:themeColor="accent1"/>
                <w:sz w:val="16"/>
                <w:szCs w:val="16"/>
              </w:rPr>
            </w:pPr>
            <w:r w:rsidRPr="00895810">
              <w:rPr>
                <w:rFonts w:ascii="IBM Plex Sans Light" w:hAnsi="IBM Plex Sans Light"/>
                <w:b w:val="0"/>
                <w:bCs w:val="0"/>
                <w:sz w:val="16"/>
                <w:szCs w:val="16"/>
              </w:rPr>
              <w:t>a</w:t>
            </w:r>
          </w:p>
        </w:tc>
        <w:tc>
          <w:tcPr>
            <w:tcW w:w="853" w:type="dxa"/>
            <w:tcBorders>
              <w:right w:val="single" w:sz="4" w:space="0" w:color="3D7FE0" w:themeColor="accent1"/>
            </w:tcBorders>
            <w:tcMar>
              <w:left w:w="0" w:type="dxa"/>
              <w:bottom w:w="28" w:type="dxa"/>
              <w:right w:w="0" w:type="dxa"/>
            </w:tcMar>
            <w:vAlign w:val="bottom"/>
          </w:tcPr>
          <w:p w14:paraId="6A690BD2" w14:textId="1510945F" w:rsidR="00087787" w:rsidRPr="00895810" w:rsidRDefault="00087787" w:rsidP="00F418A9">
            <w:pPr>
              <w:pStyle w:val="TableColHeadsBold"/>
              <w:rPr>
                <w:rFonts w:ascii="IBM Plex Sans Light" w:hAnsi="IBM Plex Sans Light"/>
                <w:color w:val="3D7FE0" w:themeColor="accent1"/>
                <w:szCs w:val="14"/>
              </w:rPr>
            </w:pPr>
          </w:p>
        </w:tc>
      </w:tr>
      <w:tr w:rsidR="00087787" w:rsidRPr="00895810" w14:paraId="4705F7D1" w14:textId="77777777" w:rsidTr="00435CF7">
        <w:tc>
          <w:tcPr>
            <w:tcW w:w="4678" w:type="dxa"/>
            <w:tcBorders>
              <w:bottom w:val="single" w:sz="2" w:space="0" w:color="3D7FE0" w:themeColor="accent1"/>
            </w:tcBorders>
            <w:tcMar>
              <w:left w:w="0" w:type="dxa"/>
              <w:bottom w:w="28" w:type="dxa"/>
              <w:right w:w="0" w:type="dxa"/>
            </w:tcMar>
            <w:vAlign w:val="bottom"/>
          </w:tcPr>
          <w:p w14:paraId="649CF342" w14:textId="77777777" w:rsidR="00087787" w:rsidRPr="00895810" w:rsidRDefault="00087787" w:rsidP="00F418A9">
            <w:pPr>
              <w:pStyle w:val="TableColHeads"/>
              <w:rPr>
                <w:rFonts w:ascii="IBM Plex Sans Light" w:hAnsi="IBM Plex Sans Light"/>
                <w:szCs w:val="14"/>
              </w:rPr>
            </w:pPr>
          </w:p>
        </w:tc>
        <w:tc>
          <w:tcPr>
            <w:tcW w:w="284" w:type="dxa"/>
            <w:tcBorders>
              <w:bottom w:val="single" w:sz="2" w:space="0" w:color="3D7FE0" w:themeColor="accent1"/>
            </w:tcBorders>
            <w:vAlign w:val="bottom"/>
          </w:tcPr>
          <w:p w14:paraId="20BD606D" w14:textId="234336E0" w:rsidR="00087787" w:rsidRPr="00895810" w:rsidRDefault="00087787" w:rsidP="005E3F43">
            <w:pPr>
              <w:pStyle w:val="TableColHeads"/>
              <w:jc w:val="center"/>
              <w:rPr>
                <w:rFonts w:ascii="IBM Plex Sans Light" w:hAnsi="IBM Plex Sans Light"/>
                <w:szCs w:val="14"/>
              </w:rPr>
            </w:pPr>
          </w:p>
        </w:tc>
        <w:tc>
          <w:tcPr>
            <w:tcW w:w="567" w:type="dxa"/>
            <w:tcBorders>
              <w:bottom w:val="single" w:sz="2" w:space="0" w:color="3D7FE0" w:themeColor="accent1"/>
            </w:tcBorders>
            <w:tcMar>
              <w:left w:w="0" w:type="dxa"/>
              <w:bottom w:w="28" w:type="dxa"/>
              <w:right w:w="0" w:type="dxa"/>
            </w:tcMar>
            <w:vAlign w:val="bottom"/>
          </w:tcPr>
          <w:p w14:paraId="1C290699" w14:textId="42931BCD" w:rsidR="00087787" w:rsidRPr="00024B10" w:rsidRDefault="00087787" w:rsidP="00D91739">
            <w:pPr>
              <w:pStyle w:val="TableColHeads"/>
              <w:jc w:val="center"/>
              <w:rPr>
                <w:rFonts w:ascii="IBM Plex Sans Light" w:hAnsi="IBM Plex Sans Light"/>
                <w:bCs/>
                <w:sz w:val="16"/>
                <w:szCs w:val="16"/>
              </w:rPr>
            </w:pPr>
            <w:r w:rsidRPr="00024B10">
              <w:rPr>
                <w:rFonts w:ascii="IBM Plex Sans Light" w:hAnsi="IBM Plex Sans Light"/>
                <w:bCs/>
                <w:sz w:val="16"/>
                <w:szCs w:val="16"/>
              </w:rPr>
              <w:t>Note</w:t>
            </w:r>
          </w:p>
        </w:tc>
        <w:tc>
          <w:tcPr>
            <w:tcW w:w="850" w:type="dxa"/>
            <w:tcBorders>
              <w:bottom w:val="single" w:sz="2" w:space="0" w:color="3D7FE0" w:themeColor="accent1"/>
            </w:tcBorders>
            <w:tcMar>
              <w:left w:w="0" w:type="dxa"/>
              <w:bottom w:w="28" w:type="dxa"/>
              <w:right w:w="0" w:type="dxa"/>
            </w:tcMar>
            <w:vAlign w:val="bottom"/>
          </w:tcPr>
          <w:p w14:paraId="6CEEDC9E" w14:textId="77777777"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c>
          <w:tcPr>
            <w:tcW w:w="851" w:type="dxa"/>
            <w:tcBorders>
              <w:bottom w:val="single" w:sz="2" w:space="0" w:color="3D7FE0" w:themeColor="accent1"/>
              <w:right w:val="single" w:sz="4" w:space="0" w:color="3D7FE0" w:themeColor="accent1"/>
            </w:tcBorders>
            <w:tcMar>
              <w:left w:w="0" w:type="dxa"/>
              <w:bottom w:w="28" w:type="dxa"/>
              <w:right w:w="0" w:type="dxa"/>
            </w:tcMar>
            <w:vAlign w:val="bottom"/>
          </w:tcPr>
          <w:p w14:paraId="22928CB7" w14:textId="77777777" w:rsidR="00087787" w:rsidRPr="00895810" w:rsidRDefault="00087787" w:rsidP="00F418A9">
            <w:pPr>
              <w:pStyle w:val="TableColHeadsBold"/>
              <w:rPr>
                <w:rFonts w:ascii="IBM Plex Sans Light" w:hAnsi="IBM Plex Sans Light"/>
                <w:bCs w:val="0"/>
                <w:color w:val="3D7FE0" w:themeColor="accent1"/>
                <w:szCs w:val="14"/>
              </w:rPr>
            </w:pPr>
            <w:r w:rsidRPr="00895810">
              <w:rPr>
                <w:rFonts w:ascii="IBM Plex Sans Light" w:hAnsi="IBM Plex Sans Light"/>
                <w:bCs w:val="0"/>
                <w:color w:val="3D7FE0" w:themeColor="accent1"/>
                <w:szCs w:val="14"/>
              </w:rPr>
              <w:t xml:space="preserve">£m </w:t>
            </w:r>
          </w:p>
        </w:tc>
        <w:tc>
          <w:tcPr>
            <w:tcW w:w="992" w:type="dxa"/>
            <w:tcBorders>
              <w:left w:val="single" w:sz="4" w:space="0" w:color="3D7FE0" w:themeColor="accent1"/>
              <w:bottom w:val="single" w:sz="2" w:space="0" w:color="3D7FE0" w:themeColor="accent1"/>
            </w:tcBorders>
            <w:tcMar>
              <w:left w:w="0" w:type="dxa"/>
              <w:bottom w:w="28" w:type="dxa"/>
              <w:right w:w="0" w:type="dxa"/>
            </w:tcMar>
            <w:vAlign w:val="bottom"/>
          </w:tcPr>
          <w:p w14:paraId="6B2D10EF" w14:textId="0C223F61" w:rsidR="00087787" w:rsidRPr="00895810" w:rsidRDefault="00087787" w:rsidP="00F418A9">
            <w:pPr>
              <w:pStyle w:val="TableColHeadsBold"/>
              <w:rPr>
                <w:rFonts w:ascii="IBM Plex Sans Light" w:hAnsi="IBM Plex Sans Light"/>
                <w:bCs w:val="0"/>
                <w:color w:val="3D7FE0" w:themeColor="accent1"/>
                <w:szCs w:val="14"/>
              </w:rPr>
            </w:pPr>
            <w:r w:rsidRPr="00895810">
              <w:rPr>
                <w:rFonts w:ascii="IBM Plex Sans Light" w:hAnsi="IBM Plex Sans Light"/>
                <w:bCs w:val="0"/>
                <w:color w:val="3D7FE0" w:themeColor="accent1"/>
                <w:szCs w:val="14"/>
              </w:rPr>
              <w:t xml:space="preserve">£m </w:t>
            </w:r>
          </w:p>
        </w:tc>
        <w:tc>
          <w:tcPr>
            <w:tcW w:w="850" w:type="dxa"/>
            <w:tcBorders>
              <w:bottom w:val="single" w:sz="2" w:space="0" w:color="3D7FE0" w:themeColor="accent1"/>
            </w:tcBorders>
            <w:vAlign w:val="bottom"/>
          </w:tcPr>
          <w:p w14:paraId="39586089" w14:textId="7D09AD4D"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c>
          <w:tcPr>
            <w:tcW w:w="853" w:type="dxa"/>
            <w:tcBorders>
              <w:bottom w:val="single" w:sz="2" w:space="0" w:color="3D7FE0" w:themeColor="accent1"/>
              <w:right w:val="single" w:sz="4" w:space="0" w:color="3D7FE0" w:themeColor="accent1"/>
            </w:tcBorders>
            <w:tcMar>
              <w:left w:w="0" w:type="dxa"/>
              <w:bottom w:w="28" w:type="dxa"/>
              <w:right w:w="0" w:type="dxa"/>
            </w:tcMar>
            <w:vAlign w:val="bottom"/>
          </w:tcPr>
          <w:p w14:paraId="13F912C7" w14:textId="26D7A16C" w:rsidR="00087787" w:rsidRPr="00895810" w:rsidRDefault="00087787" w:rsidP="00F418A9">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r>
      <w:tr w:rsidR="00546C56" w:rsidRPr="00895810" w14:paraId="05EA3D7D" w14:textId="77777777" w:rsidTr="000959B3">
        <w:tc>
          <w:tcPr>
            <w:tcW w:w="4678" w:type="dxa"/>
            <w:tcBorders>
              <w:top w:val="single" w:sz="2" w:space="0" w:color="3D7FE0" w:themeColor="accent1"/>
              <w:bottom w:val="single" w:sz="4" w:space="0" w:color="3D7FE0" w:themeColor="accent1"/>
            </w:tcBorders>
            <w:tcMar>
              <w:left w:w="0" w:type="dxa"/>
              <w:right w:w="0" w:type="dxa"/>
            </w:tcMar>
            <w:vAlign w:val="bottom"/>
          </w:tcPr>
          <w:p w14:paraId="341BA2D9" w14:textId="77777777" w:rsidR="00546C56" w:rsidRPr="00895810" w:rsidRDefault="00546C56" w:rsidP="00546C56">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Revenue</w:t>
            </w:r>
          </w:p>
        </w:tc>
        <w:tc>
          <w:tcPr>
            <w:tcW w:w="284" w:type="dxa"/>
            <w:tcBorders>
              <w:top w:val="single" w:sz="2" w:space="0" w:color="3D7FE0" w:themeColor="accent1"/>
              <w:bottom w:val="single" w:sz="4" w:space="0" w:color="3D7FE0" w:themeColor="accent1"/>
            </w:tcBorders>
            <w:vAlign w:val="bottom"/>
          </w:tcPr>
          <w:p w14:paraId="030116E1" w14:textId="3C5C1843"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top w:val="single" w:sz="2" w:space="0" w:color="3D7FE0" w:themeColor="accent1"/>
              <w:bottom w:val="single" w:sz="4" w:space="0" w:color="3D7FE0" w:themeColor="accent1"/>
            </w:tcBorders>
            <w:tcMar>
              <w:left w:w="0" w:type="dxa"/>
              <w:right w:w="0" w:type="dxa"/>
            </w:tcMar>
            <w:vAlign w:val="bottom"/>
          </w:tcPr>
          <w:p w14:paraId="5BD7659E" w14:textId="77777777" w:rsidR="00546C56" w:rsidRPr="00895810" w:rsidRDefault="00546C56" w:rsidP="00546C56">
            <w:pPr>
              <w:pStyle w:val="TableFigures"/>
              <w:jc w:val="center"/>
              <w:rPr>
                <w:rStyle w:val="NotesStyle"/>
                <w:rFonts w:ascii="IBM Plex Sans Light" w:hAnsi="IBM Plex Sans Light"/>
                <w:b/>
                <w:spacing w:val="-4"/>
                <w:sz w:val="16"/>
                <w:szCs w:val="16"/>
              </w:rPr>
            </w:pPr>
          </w:p>
        </w:tc>
        <w:tc>
          <w:tcPr>
            <w:tcW w:w="850" w:type="dxa"/>
            <w:tcBorders>
              <w:top w:val="single" w:sz="2" w:space="0" w:color="3D7FE0" w:themeColor="accent1"/>
              <w:bottom w:val="single" w:sz="4" w:space="0" w:color="3D7FE0" w:themeColor="accent1"/>
            </w:tcBorders>
            <w:tcMar>
              <w:left w:w="0" w:type="dxa"/>
              <w:right w:w="0" w:type="dxa"/>
            </w:tcMar>
          </w:tcPr>
          <w:p w14:paraId="71623ADC" w14:textId="7B3A51B1"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134.3</w:t>
            </w:r>
          </w:p>
        </w:tc>
        <w:tc>
          <w:tcPr>
            <w:tcW w:w="851" w:type="dxa"/>
            <w:tcBorders>
              <w:top w:val="single" w:sz="2" w:space="0" w:color="3D7FE0" w:themeColor="accent1"/>
              <w:bottom w:val="single" w:sz="4" w:space="0" w:color="3D7FE0" w:themeColor="accent1"/>
              <w:right w:val="single" w:sz="4" w:space="0" w:color="3D7FE0" w:themeColor="accent1"/>
            </w:tcBorders>
            <w:tcMar>
              <w:left w:w="0" w:type="dxa"/>
              <w:right w:w="0" w:type="dxa"/>
            </w:tcMar>
          </w:tcPr>
          <w:p w14:paraId="6079004F" w14:textId="075CFB00"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132.4</w:t>
            </w:r>
          </w:p>
        </w:tc>
        <w:tc>
          <w:tcPr>
            <w:tcW w:w="992" w:type="dxa"/>
            <w:tcBorders>
              <w:top w:val="single" w:sz="2" w:space="0" w:color="3D7FE0" w:themeColor="accent1"/>
              <w:left w:val="single" w:sz="4" w:space="0" w:color="3D7FE0" w:themeColor="accent1"/>
              <w:bottom w:val="single" w:sz="4" w:space="0" w:color="3D7FE0" w:themeColor="accent1"/>
            </w:tcBorders>
            <w:tcMar>
              <w:left w:w="0" w:type="dxa"/>
              <w:right w:w="0" w:type="dxa"/>
            </w:tcMar>
          </w:tcPr>
          <w:p w14:paraId="1D0DB03E" w14:textId="1515E0AE"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266.7</w:t>
            </w:r>
          </w:p>
        </w:tc>
        <w:tc>
          <w:tcPr>
            <w:tcW w:w="850" w:type="dxa"/>
            <w:tcBorders>
              <w:top w:val="single" w:sz="2" w:space="0" w:color="3D7FE0" w:themeColor="accent1"/>
              <w:bottom w:val="single" w:sz="4" w:space="0" w:color="3D7FE0" w:themeColor="accent1"/>
            </w:tcBorders>
          </w:tcPr>
          <w:p w14:paraId="312EF053" w14:textId="0359371A"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top w:val="single" w:sz="2" w:space="0" w:color="3D7FE0" w:themeColor="accent1"/>
              <w:bottom w:val="single" w:sz="4" w:space="0" w:color="3D7FE0" w:themeColor="accent1"/>
              <w:right w:val="single" w:sz="4" w:space="0" w:color="3D7FE0" w:themeColor="accent1"/>
            </w:tcBorders>
            <w:tcMar>
              <w:left w:w="0" w:type="dxa"/>
              <w:right w:w="0" w:type="dxa"/>
            </w:tcMar>
          </w:tcPr>
          <w:p w14:paraId="70C663A9" w14:textId="10A3834A"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266.7</w:t>
            </w:r>
          </w:p>
        </w:tc>
      </w:tr>
      <w:tr w:rsidR="00546C56" w:rsidRPr="00895810" w14:paraId="527A20E2" w14:textId="77777777" w:rsidTr="0093148D">
        <w:tc>
          <w:tcPr>
            <w:tcW w:w="4678" w:type="dxa"/>
            <w:tcBorders>
              <w:top w:val="single" w:sz="4" w:space="0" w:color="3D7FE0" w:themeColor="accent1"/>
            </w:tcBorders>
            <w:tcMar>
              <w:left w:w="0" w:type="dxa"/>
              <w:right w:w="0" w:type="dxa"/>
            </w:tcMar>
            <w:vAlign w:val="bottom"/>
          </w:tcPr>
          <w:p w14:paraId="5D165231" w14:textId="77777777" w:rsidR="00546C56" w:rsidRPr="00895810" w:rsidRDefault="00546C56" w:rsidP="00546C56">
            <w:pPr>
              <w:pStyle w:val="TabletextBold"/>
              <w:rPr>
                <w:rFonts w:ascii="IBM Plex Sans Light" w:hAnsi="IBM Plex Sans Light"/>
                <w:bCs/>
                <w:color w:val="3D7FE0" w:themeColor="accent1"/>
                <w:sz w:val="18"/>
                <w:szCs w:val="18"/>
              </w:rPr>
            </w:pPr>
          </w:p>
        </w:tc>
        <w:tc>
          <w:tcPr>
            <w:tcW w:w="284" w:type="dxa"/>
            <w:tcBorders>
              <w:top w:val="single" w:sz="4" w:space="0" w:color="3D7FE0" w:themeColor="accent1"/>
            </w:tcBorders>
            <w:vAlign w:val="bottom"/>
          </w:tcPr>
          <w:p w14:paraId="672BC7F3" w14:textId="4680FA7C"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top w:val="single" w:sz="4" w:space="0" w:color="3D7FE0" w:themeColor="accent1"/>
            </w:tcBorders>
            <w:tcMar>
              <w:left w:w="0" w:type="dxa"/>
              <w:right w:w="0" w:type="dxa"/>
            </w:tcMar>
            <w:vAlign w:val="bottom"/>
          </w:tcPr>
          <w:p w14:paraId="15A2AD8A" w14:textId="77777777" w:rsidR="00546C56" w:rsidRPr="00895810" w:rsidRDefault="00546C56" w:rsidP="00546C56">
            <w:pPr>
              <w:pStyle w:val="TableFigures"/>
              <w:jc w:val="center"/>
              <w:rPr>
                <w:rStyle w:val="NotesStyle"/>
                <w:rFonts w:ascii="IBM Plex Sans Light" w:hAnsi="IBM Plex Sans Light"/>
                <w:b/>
                <w:spacing w:val="-4"/>
                <w:sz w:val="16"/>
                <w:szCs w:val="16"/>
              </w:rPr>
            </w:pPr>
          </w:p>
        </w:tc>
        <w:tc>
          <w:tcPr>
            <w:tcW w:w="850" w:type="dxa"/>
            <w:tcBorders>
              <w:top w:val="single" w:sz="4" w:space="0" w:color="3D7FE0" w:themeColor="accent1"/>
            </w:tcBorders>
            <w:tcMar>
              <w:left w:w="0" w:type="dxa"/>
              <w:right w:w="0" w:type="dxa"/>
            </w:tcMar>
          </w:tcPr>
          <w:p w14:paraId="1CE84F11" w14:textId="6BF0731D"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top w:val="single" w:sz="4" w:space="0" w:color="3D7FE0" w:themeColor="accent1"/>
              <w:right w:val="single" w:sz="4" w:space="0" w:color="3D7FE0" w:themeColor="accent1"/>
            </w:tcBorders>
            <w:tcMar>
              <w:left w:w="0" w:type="dxa"/>
              <w:right w:w="0" w:type="dxa"/>
            </w:tcMar>
          </w:tcPr>
          <w:p w14:paraId="172E010A" w14:textId="027D1973"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992" w:type="dxa"/>
            <w:tcBorders>
              <w:top w:val="single" w:sz="4" w:space="0" w:color="3D7FE0" w:themeColor="accent1"/>
              <w:left w:val="single" w:sz="4" w:space="0" w:color="3D7FE0" w:themeColor="accent1"/>
            </w:tcBorders>
            <w:tcMar>
              <w:left w:w="0" w:type="dxa"/>
              <w:right w:w="0" w:type="dxa"/>
            </w:tcMar>
          </w:tcPr>
          <w:p w14:paraId="5AEAA982" w14:textId="1445F246"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850" w:type="dxa"/>
            <w:tcBorders>
              <w:top w:val="single" w:sz="4" w:space="0" w:color="3D7FE0" w:themeColor="accent1"/>
            </w:tcBorders>
          </w:tcPr>
          <w:p w14:paraId="7775C800" w14:textId="5A6C2253"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3" w:type="dxa"/>
            <w:tcBorders>
              <w:top w:val="single" w:sz="4" w:space="0" w:color="3D7FE0" w:themeColor="accent1"/>
              <w:right w:val="single" w:sz="4" w:space="0" w:color="3D7FE0" w:themeColor="accent1"/>
            </w:tcBorders>
            <w:tcMar>
              <w:left w:w="0" w:type="dxa"/>
              <w:right w:w="0" w:type="dxa"/>
            </w:tcMar>
          </w:tcPr>
          <w:p w14:paraId="7C8697CA" w14:textId="016DB228"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49C25A92" w14:textId="77777777" w:rsidTr="0093148D">
        <w:tc>
          <w:tcPr>
            <w:tcW w:w="4678" w:type="dxa"/>
            <w:tcMar>
              <w:left w:w="0" w:type="dxa"/>
              <w:right w:w="0" w:type="dxa"/>
            </w:tcMar>
            <w:vAlign w:val="bottom"/>
          </w:tcPr>
          <w:p w14:paraId="3A0AAC4E" w14:textId="2CC45237" w:rsidR="00546C56" w:rsidRPr="00024B10" w:rsidRDefault="00546C56" w:rsidP="00546C56">
            <w:pPr>
              <w:pStyle w:val="TabletextBold"/>
              <w:rPr>
                <w:rFonts w:ascii="IBM Plex Sans Light" w:hAnsi="IBM Plex Sans Light"/>
                <w:bCs/>
                <w:sz w:val="18"/>
                <w:szCs w:val="18"/>
                <w:vertAlign w:val="superscript"/>
              </w:rPr>
            </w:pPr>
            <w:r w:rsidRPr="00895810">
              <w:rPr>
                <w:rFonts w:ascii="IBM Plex Sans Light" w:hAnsi="IBM Plex Sans Light"/>
                <w:bCs/>
                <w:color w:val="3D7FE0" w:themeColor="accent1"/>
                <w:sz w:val="18"/>
                <w:szCs w:val="18"/>
              </w:rPr>
              <w:t xml:space="preserve">Gross rental </w:t>
            </w:r>
            <w:proofErr w:type="spellStart"/>
            <w:r w:rsidRPr="00895810">
              <w:rPr>
                <w:rFonts w:ascii="IBM Plex Sans Light" w:hAnsi="IBM Plex Sans Light"/>
                <w:bCs/>
                <w:color w:val="3D7FE0" w:themeColor="accent1"/>
                <w:sz w:val="18"/>
                <w:szCs w:val="18"/>
              </w:rPr>
              <w:t>income</w:t>
            </w:r>
            <w:r w:rsidR="00016BDF">
              <w:rPr>
                <w:rFonts w:ascii="IBM Plex Sans Light" w:hAnsi="IBM Plex Sans Light"/>
                <w:bCs/>
                <w:color w:val="3D7FE0" w:themeColor="accent1"/>
                <w:sz w:val="18"/>
                <w:szCs w:val="18"/>
                <w:vertAlign w:val="superscript"/>
              </w:rPr>
              <w:t>b</w:t>
            </w:r>
            <w:proofErr w:type="spellEnd"/>
          </w:p>
        </w:tc>
        <w:tc>
          <w:tcPr>
            <w:tcW w:w="284" w:type="dxa"/>
            <w:vAlign w:val="bottom"/>
          </w:tcPr>
          <w:p w14:paraId="1EC94FD2" w14:textId="1FB69703" w:rsidR="00546C56" w:rsidRPr="00895810" w:rsidRDefault="00546C56" w:rsidP="00546C56">
            <w:pPr>
              <w:pStyle w:val="TableColHeadsBold"/>
              <w:ind w:left="-114"/>
              <w:jc w:val="center"/>
              <w:rPr>
                <w:rFonts w:ascii="IBM Plex Sans Light" w:hAnsi="IBM Plex Sans Light"/>
                <w:b w:val="0"/>
                <w:bCs w:val="0"/>
                <w:sz w:val="16"/>
                <w:szCs w:val="16"/>
              </w:rPr>
            </w:pPr>
          </w:p>
        </w:tc>
        <w:tc>
          <w:tcPr>
            <w:tcW w:w="567" w:type="dxa"/>
            <w:tcMar>
              <w:left w:w="0" w:type="dxa"/>
              <w:right w:w="0" w:type="dxa"/>
            </w:tcMar>
            <w:vAlign w:val="bottom"/>
          </w:tcPr>
          <w:p w14:paraId="2C07F8FE" w14:textId="1E0BC70B" w:rsidR="00546C56" w:rsidRPr="00895810" w:rsidRDefault="00546C56" w:rsidP="00546C56">
            <w:pPr>
              <w:pStyle w:val="TableFigures"/>
              <w:jc w:val="center"/>
              <w:rPr>
                <w:rStyle w:val="NotesStyle"/>
                <w:rFonts w:ascii="IBM Plex Sans Light" w:hAnsi="IBM Plex Sans Light"/>
                <w:b/>
                <w:bCs/>
                <w:color w:val="auto"/>
                <w:spacing w:val="-4"/>
                <w:sz w:val="16"/>
                <w:szCs w:val="16"/>
              </w:rPr>
            </w:pPr>
            <w:r w:rsidRPr="00895810">
              <w:rPr>
                <w:rStyle w:val="NotesStyle"/>
                <w:rFonts w:ascii="IBM Plex Sans Light" w:hAnsi="IBM Plex Sans Light"/>
                <w:spacing w:val="-4"/>
                <w:sz w:val="16"/>
                <w:szCs w:val="16"/>
              </w:rPr>
              <w:t>3A, 4</w:t>
            </w:r>
          </w:p>
        </w:tc>
        <w:tc>
          <w:tcPr>
            <w:tcW w:w="850" w:type="dxa"/>
            <w:tcMar>
              <w:left w:w="0" w:type="dxa"/>
              <w:right w:w="0" w:type="dxa"/>
            </w:tcMar>
          </w:tcPr>
          <w:p w14:paraId="48E7E99C" w14:textId="68586080"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92.8</w:t>
            </w:r>
          </w:p>
        </w:tc>
        <w:tc>
          <w:tcPr>
            <w:tcW w:w="851" w:type="dxa"/>
            <w:tcBorders>
              <w:right w:val="single" w:sz="4" w:space="0" w:color="3D7FE0" w:themeColor="accent1"/>
            </w:tcBorders>
            <w:tcMar>
              <w:left w:w="0" w:type="dxa"/>
              <w:right w:w="0" w:type="dxa"/>
            </w:tcMar>
          </w:tcPr>
          <w:p w14:paraId="03F9EE80" w14:textId="217B02A4"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115.6</w:t>
            </w:r>
          </w:p>
        </w:tc>
        <w:tc>
          <w:tcPr>
            <w:tcW w:w="992" w:type="dxa"/>
            <w:tcBorders>
              <w:left w:val="single" w:sz="4" w:space="0" w:color="3D7FE0" w:themeColor="accent1"/>
            </w:tcBorders>
            <w:tcMar>
              <w:left w:w="0" w:type="dxa"/>
              <w:right w:w="0" w:type="dxa"/>
            </w:tcMar>
          </w:tcPr>
          <w:p w14:paraId="263F5C66" w14:textId="0721215A"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208.4</w:t>
            </w:r>
          </w:p>
        </w:tc>
        <w:tc>
          <w:tcPr>
            <w:tcW w:w="850" w:type="dxa"/>
          </w:tcPr>
          <w:p w14:paraId="2AA5ED58" w14:textId="1D093005"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right w:val="single" w:sz="4" w:space="0" w:color="3D7FE0" w:themeColor="accent1"/>
            </w:tcBorders>
            <w:tcMar>
              <w:left w:w="0" w:type="dxa"/>
              <w:right w:w="0" w:type="dxa"/>
            </w:tcMar>
          </w:tcPr>
          <w:p w14:paraId="114499B7" w14:textId="0483FDBF"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208.4</w:t>
            </w:r>
          </w:p>
        </w:tc>
      </w:tr>
      <w:tr w:rsidR="00546C56" w:rsidRPr="00895810" w14:paraId="51AFBF55" w14:textId="77777777" w:rsidTr="0093148D">
        <w:tc>
          <w:tcPr>
            <w:tcW w:w="4678" w:type="dxa"/>
            <w:tcBorders>
              <w:bottom w:val="single" w:sz="2" w:space="0" w:color="3D7FE0" w:themeColor="accent1"/>
            </w:tcBorders>
            <w:tcMar>
              <w:left w:w="0" w:type="dxa"/>
              <w:right w:w="0" w:type="dxa"/>
            </w:tcMar>
            <w:vAlign w:val="bottom"/>
          </w:tcPr>
          <w:p w14:paraId="5D56B587" w14:textId="77777777"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spacing w:val="-4"/>
                <w:sz w:val="18"/>
                <w:szCs w:val="18"/>
              </w:rPr>
              <w:t>Service charge income</w:t>
            </w:r>
          </w:p>
        </w:tc>
        <w:tc>
          <w:tcPr>
            <w:tcW w:w="284" w:type="dxa"/>
            <w:tcBorders>
              <w:bottom w:val="single" w:sz="2" w:space="0" w:color="3D7FE0" w:themeColor="accent1"/>
            </w:tcBorders>
            <w:vAlign w:val="bottom"/>
          </w:tcPr>
          <w:p w14:paraId="40196AEE" w14:textId="0E152C71" w:rsidR="00546C56" w:rsidRPr="00895810" w:rsidRDefault="00546C56" w:rsidP="00546C56">
            <w:pPr>
              <w:pStyle w:val="Tabletext"/>
              <w:jc w:val="center"/>
              <w:rPr>
                <w:rFonts w:ascii="IBM Plex Sans Light" w:hAnsi="IBM Plex Sans Light"/>
                <w:spacing w:val="-4"/>
                <w:sz w:val="18"/>
                <w:szCs w:val="18"/>
              </w:rPr>
            </w:pPr>
          </w:p>
        </w:tc>
        <w:tc>
          <w:tcPr>
            <w:tcW w:w="567" w:type="dxa"/>
            <w:tcBorders>
              <w:bottom w:val="single" w:sz="2" w:space="0" w:color="3D7FE0" w:themeColor="accent1"/>
            </w:tcBorders>
            <w:tcMar>
              <w:left w:w="0" w:type="dxa"/>
              <w:right w:w="0" w:type="dxa"/>
            </w:tcMar>
            <w:vAlign w:val="bottom"/>
          </w:tcPr>
          <w:p w14:paraId="2A2808C6" w14:textId="3FB8A8D2" w:rsidR="00546C56" w:rsidRPr="00895810" w:rsidRDefault="00546C56" w:rsidP="00546C56">
            <w:pPr>
              <w:spacing w:after="0" w:line="240" w:lineRule="auto"/>
              <w:jc w:val="center"/>
              <w:rPr>
                <w:rFonts w:ascii="IBM Plex Sans Light" w:hAnsi="IBM Plex Sans Light" w:cs="Arial"/>
                <w:sz w:val="16"/>
                <w:szCs w:val="16"/>
              </w:rPr>
            </w:pPr>
            <w:r w:rsidRPr="00895810">
              <w:rPr>
                <w:rFonts w:ascii="IBM Plex Sans Light" w:hAnsi="IBM Plex Sans Light" w:cs="Arial"/>
                <w:sz w:val="16"/>
                <w:szCs w:val="16"/>
              </w:rPr>
              <w:t>4</w:t>
            </w:r>
          </w:p>
        </w:tc>
        <w:tc>
          <w:tcPr>
            <w:tcW w:w="850" w:type="dxa"/>
            <w:tcBorders>
              <w:bottom w:val="single" w:sz="2" w:space="0" w:color="3D7FE0" w:themeColor="accent1"/>
            </w:tcBorders>
            <w:tcMar>
              <w:left w:w="0" w:type="dxa"/>
              <w:right w:w="0" w:type="dxa"/>
            </w:tcMar>
          </w:tcPr>
          <w:p w14:paraId="5CE56560" w14:textId="5B3D652A"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26.6</w:t>
            </w:r>
          </w:p>
        </w:tc>
        <w:tc>
          <w:tcPr>
            <w:tcW w:w="851" w:type="dxa"/>
            <w:tcBorders>
              <w:bottom w:val="single" w:sz="2" w:space="0" w:color="3D7FE0" w:themeColor="accent1"/>
              <w:right w:val="single" w:sz="4" w:space="0" w:color="3D7FE0" w:themeColor="accent1"/>
            </w:tcBorders>
            <w:tcMar>
              <w:left w:w="0" w:type="dxa"/>
              <w:right w:w="0" w:type="dxa"/>
            </w:tcMar>
          </w:tcPr>
          <w:p w14:paraId="676EFEB8" w14:textId="1B1D0530"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17.1</w:t>
            </w:r>
          </w:p>
        </w:tc>
        <w:tc>
          <w:tcPr>
            <w:tcW w:w="992" w:type="dxa"/>
            <w:tcBorders>
              <w:left w:val="single" w:sz="4" w:space="0" w:color="3D7FE0" w:themeColor="accent1"/>
              <w:bottom w:val="single" w:sz="2" w:space="0" w:color="3D7FE0" w:themeColor="accent1"/>
            </w:tcBorders>
            <w:tcMar>
              <w:left w:w="0" w:type="dxa"/>
              <w:right w:w="0" w:type="dxa"/>
            </w:tcMar>
          </w:tcPr>
          <w:p w14:paraId="282ED9CC" w14:textId="56F52118"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43.7</w:t>
            </w:r>
          </w:p>
        </w:tc>
        <w:tc>
          <w:tcPr>
            <w:tcW w:w="850" w:type="dxa"/>
            <w:tcBorders>
              <w:bottom w:val="single" w:sz="2" w:space="0" w:color="3D7FE0" w:themeColor="accent1"/>
            </w:tcBorders>
          </w:tcPr>
          <w:p w14:paraId="1EAA82B8" w14:textId="3EEFDD3A"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bottom w:val="single" w:sz="2" w:space="0" w:color="3D7FE0" w:themeColor="accent1"/>
              <w:right w:val="single" w:sz="4" w:space="0" w:color="3D7FE0" w:themeColor="accent1"/>
            </w:tcBorders>
            <w:tcMar>
              <w:left w:w="0" w:type="dxa"/>
              <w:right w:w="0" w:type="dxa"/>
            </w:tcMar>
          </w:tcPr>
          <w:p w14:paraId="738EF633" w14:textId="06D170C5"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43.7</w:t>
            </w:r>
          </w:p>
        </w:tc>
      </w:tr>
      <w:tr w:rsidR="00546C56" w:rsidRPr="00895810" w14:paraId="21383018" w14:textId="77777777" w:rsidTr="0093148D">
        <w:tc>
          <w:tcPr>
            <w:tcW w:w="4678" w:type="dxa"/>
            <w:tcBorders>
              <w:top w:val="single" w:sz="2" w:space="0" w:color="3D7FE0" w:themeColor="accent1"/>
            </w:tcBorders>
            <w:tcMar>
              <w:left w:w="0" w:type="dxa"/>
              <w:right w:w="0" w:type="dxa"/>
            </w:tcMar>
            <w:vAlign w:val="bottom"/>
          </w:tcPr>
          <w:p w14:paraId="1DE5A5C5" w14:textId="77777777" w:rsidR="00546C56" w:rsidRPr="00895810" w:rsidRDefault="00546C56" w:rsidP="00546C56">
            <w:pPr>
              <w:pStyle w:val="TabletextBold"/>
              <w:rPr>
                <w:rFonts w:ascii="IBM Plex Sans Light" w:hAnsi="IBM Plex Sans Light"/>
                <w:sz w:val="18"/>
                <w:szCs w:val="18"/>
              </w:rPr>
            </w:pPr>
          </w:p>
        </w:tc>
        <w:tc>
          <w:tcPr>
            <w:tcW w:w="284" w:type="dxa"/>
            <w:tcBorders>
              <w:top w:val="single" w:sz="2" w:space="0" w:color="3D7FE0" w:themeColor="accent1"/>
            </w:tcBorders>
            <w:vAlign w:val="bottom"/>
          </w:tcPr>
          <w:p w14:paraId="5E4C11EB" w14:textId="51ED7671" w:rsidR="00546C56" w:rsidRPr="00895810" w:rsidRDefault="00546C56" w:rsidP="00546C56">
            <w:pPr>
              <w:pStyle w:val="TabletextBold"/>
              <w:jc w:val="center"/>
              <w:rPr>
                <w:rFonts w:ascii="IBM Plex Sans Light" w:hAnsi="IBM Plex Sans Light"/>
                <w:sz w:val="18"/>
                <w:szCs w:val="18"/>
              </w:rPr>
            </w:pPr>
          </w:p>
        </w:tc>
        <w:tc>
          <w:tcPr>
            <w:tcW w:w="567" w:type="dxa"/>
            <w:tcBorders>
              <w:top w:val="single" w:sz="2" w:space="0" w:color="3D7FE0" w:themeColor="accent1"/>
            </w:tcBorders>
            <w:tcMar>
              <w:left w:w="0" w:type="dxa"/>
              <w:right w:w="0" w:type="dxa"/>
            </w:tcMar>
            <w:vAlign w:val="bottom"/>
          </w:tcPr>
          <w:p w14:paraId="27584FBF" w14:textId="77777777" w:rsidR="00546C56" w:rsidRPr="00895810" w:rsidRDefault="00546C56" w:rsidP="00546C56">
            <w:pPr>
              <w:spacing w:after="0" w:line="240" w:lineRule="auto"/>
              <w:jc w:val="center"/>
              <w:rPr>
                <w:rFonts w:ascii="IBM Plex Sans Light" w:hAnsi="IBM Plex Sans Light" w:cs="Arial"/>
                <w:sz w:val="16"/>
                <w:szCs w:val="16"/>
              </w:rPr>
            </w:pPr>
          </w:p>
        </w:tc>
        <w:tc>
          <w:tcPr>
            <w:tcW w:w="850" w:type="dxa"/>
            <w:tcBorders>
              <w:top w:val="single" w:sz="2" w:space="0" w:color="3D7FE0" w:themeColor="accent1"/>
            </w:tcBorders>
            <w:tcMar>
              <w:left w:w="0" w:type="dxa"/>
              <w:right w:w="0" w:type="dxa"/>
            </w:tcMar>
          </w:tcPr>
          <w:p w14:paraId="01F81108" w14:textId="48E7D210"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119.4</w:t>
            </w:r>
          </w:p>
        </w:tc>
        <w:tc>
          <w:tcPr>
            <w:tcW w:w="851" w:type="dxa"/>
            <w:tcBorders>
              <w:top w:val="single" w:sz="2" w:space="0" w:color="3D7FE0" w:themeColor="accent1"/>
              <w:right w:val="single" w:sz="4" w:space="0" w:color="3D7FE0" w:themeColor="accent1"/>
            </w:tcBorders>
            <w:tcMar>
              <w:left w:w="0" w:type="dxa"/>
              <w:right w:w="0" w:type="dxa"/>
            </w:tcMar>
          </w:tcPr>
          <w:p w14:paraId="24B20DB0" w14:textId="46201171"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132.7</w:t>
            </w:r>
          </w:p>
        </w:tc>
        <w:tc>
          <w:tcPr>
            <w:tcW w:w="992" w:type="dxa"/>
            <w:tcBorders>
              <w:top w:val="single" w:sz="2" w:space="0" w:color="3D7FE0" w:themeColor="accent1"/>
              <w:left w:val="single" w:sz="4" w:space="0" w:color="3D7FE0" w:themeColor="accent1"/>
            </w:tcBorders>
            <w:tcMar>
              <w:left w:w="0" w:type="dxa"/>
              <w:right w:w="0" w:type="dxa"/>
            </w:tcMar>
          </w:tcPr>
          <w:p w14:paraId="5DC3F21A" w14:textId="4C0641FB"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252.1</w:t>
            </w:r>
          </w:p>
        </w:tc>
        <w:tc>
          <w:tcPr>
            <w:tcW w:w="850" w:type="dxa"/>
            <w:tcBorders>
              <w:top w:val="single" w:sz="2" w:space="0" w:color="3D7FE0" w:themeColor="accent1"/>
            </w:tcBorders>
          </w:tcPr>
          <w:p w14:paraId="6BA465A9" w14:textId="47D35D46"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top w:val="single" w:sz="2" w:space="0" w:color="3D7FE0" w:themeColor="accent1"/>
              <w:right w:val="single" w:sz="4" w:space="0" w:color="3D7FE0" w:themeColor="accent1"/>
            </w:tcBorders>
            <w:tcMar>
              <w:left w:w="0" w:type="dxa"/>
              <w:right w:w="0" w:type="dxa"/>
            </w:tcMar>
          </w:tcPr>
          <w:p w14:paraId="475CD567" w14:textId="3E12DD7D"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252.1</w:t>
            </w:r>
          </w:p>
        </w:tc>
      </w:tr>
      <w:tr w:rsidR="00546C56" w:rsidRPr="00895810" w14:paraId="697ABA9D" w14:textId="77777777" w:rsidTr="0093148D">
        <w:tc>
          <w:tcPr>
            <w:tcW w:w="4678" w:type="dxa"/>
            <w:tcMar>
              <w:left w:w="0" w:type="dxa"/>
              <w:right w:w="0" w:type="dxa"/>
            </w:tcMar>
            <w:vAlign w:val="bottom"/>
          </w:tcPr>
          <w:p w14:paraId="2BDB955B" w14:textId="0EB05D04" w:rsidR="00546C56" w:rsidRPr="00895810" w:rsidRDefault="00546C56" w:rsidP="00546C56">
            <w:pPr>
              <w:pStyle w:val="Tabletext"/>
              <w:ind w:left="142" w:right="3" w:hanging="142"/>
              <w:rPr>
                <w:rFonts w:ascii="IBM Plex Sans Light" w:hAnsi="IBM Plex Sans Light"/>
                <w:spacing w:val="-4"/>
                <w:sz w:val="18"/>
                <w:szCs w:val="18"/>
              </w:rPr>
            </w:pPr>
            <w:r w:rsidRPr="00895810">
              <w:rPr>
                <w:rFonts w:ascii="IBM Plex Sans Light" w:hAnsi="IBM Plex Sans Light"/>
                <w:spacing w:val="-4"/>
                <w:sz w:val="18"/>
                <w:szCs w:val="18"/>
              </w:rPr>
              <w:t>Service charge expenses</w:t>
            </w:r>
          </w:p>
        </w:tc>
        <w:tc>
          <w:tcPr>
            <w:tcW w:w="284" w:type="dxa"/>
            <w:vAlign w:val="bottom"/>
          </w:tcPr>
          <w:p w14:paraId="21FD9D3A" w14:textId="77777777" w:rsidR="00546C56" w:rsidRPr="00895810" w:rsidRDefault="00546C56" w:rsidP="00546C56">
            <w:pPr>
              <w:pStyle w:val="Tabletext"/>
              <w:ind w:left="142" w:right="3" w:hanging="142"/>
              <w:jc w:val="center"/>
              <w:rPr>
                <w:rFonts w:ascii="IBM Plex Sans Light" w:hAnsi="IBM Plex Sans Light"/>
                <w:spacing w:val="-4"/>
                <w:sz w:val="18"/>
                <w:szCs w:val="18"/>
              </w:rPr>
            </w:pPr>
          </w:p>
        </w:tc>
        <w:tc>
          <w:tcPr>
            <w:tcW w:w="567" w:type="dxa"/>
            <w:tcMar>
              <w:left w:w="0" w:type="dxa"/>
              <w:right w:w="0" w:type="dxa"/>
            </w:tcMar>
            <w:vAlign w:val="bottom"/>
          </w:tcPr>
          <w:p w14:paraId="19857365" w14:textId="77777777" w:rsidR="00546C56" w:rsidRPr="00895810" w:rsidRDefault="00546C56" w:rsidP="00546C56">
            <w:pPr>
              <w:pStyle w:val="TableFigures"/>
              <w:jc w:val="center"/>
              <w:rPr>
                <w:rStyle w:val="NotesStyle"/>
                <w:rFonts w:ascii="IBM Plex Sans Light" w:hAnsi="IBM Plex Sans Light"/>
                <w:spacing w:val="-4"/>
                <w:sz w:val="16"/>
                <w:szCs w:val="16"/>
              </w:rPr>
            </w:pPr>
          </w:p>
        </w:tc>
        <w:tc>
          <w:tcPr>
            <w:tcW w:w="850" w:type="dxa"/>
            <w:tcMar>
              <w:left w:w="0" w:type="dxa"/>
              <w:right w:w="0" w:type="dxa"/>
            </w:tcMar>
          </w:tcPr>
          <w:p w14:paraId="2FA89B72" w14:textId="30980697"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(29.1)</w:t>
            </w:r>
          </w:p>
        </w:tc>
        <w:tc>
          <w:tcPr>
            <w:tcW w:w="851" w:type="dxa"/>
            <w:tcBorders>
              <w:right w:val="single" w:sz="2" w:space="0" w:color="3D7FE0" w:themeColor="accent1"/>
            </w:tcBorders>
            <w:tcMar>
              <w:left w:w="0" w:type="dxa"/>
              <w:right w:w="0" w:type="dxa"/>
            </w:tcMar>
          </w:tcPr>
          <w:p w14:paraId="72602F44" w14:textId="16EC1D9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(20.4)</w:t>
            </w:r>
          </w:p>
        </w:tc>
        <w:tc>
          <w:tcPr>
            <w:tcW w:w="992" w:type="dxa"/>
            <w:tcBorders>
              <w:left w:val="single" w:sz="2" w:space="0" w:color="3D7FE0" w:themeColor="accent1"/>
            </w:tcBorders>
            <w:tcMar>
              <w:left w:w="0" w:type="dxa"/>
              <w:right w:w="0" w:type="dxa"/>
            </w:tcMar>
          </w:tcPr>
          <w:p w14:paraId="6F022F26" w14:textId="534E3294"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(49.5)</w:t>
            </w:r>
          </w:p>
        </w:tc>
        <w:tc>
          <w:tcPr>
            <w:tcW w:w="850" w:type="dxa"/>
          </w:tcPr>
          <w:p w14:paraId="41D7B0ED" w14:textId="1C1CCEA3"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right w:val="single" w:sz="2" w:space="0" w:color="3D7FE0" w:themeColor="accent1"/>
            </w:tcBorders>
            <w:tcMar>
              <w:left w:w="0" w:type="dxa"/>
              <w:right w:w="0" w:type="dxa"/>
            </w:tcMar>
          </w:tcPr>
          <w:p w14:paraId="0AAB5223" w14:textId="05621B98"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(49.5)</w:t>
            </w:r>
          </w:p>
        </w:tc>
      </w:tr>
      <w:tr w:rsidR="00546C56" w:rsidRPr="00895810" w14:paraId="11F80FC0" w14:textId="77777777" w:rsidTr="0093148D">
        <w:tc>
          <w:tcPr>
            <w:tcW w:w="4678" w:type="dxa"/>
            <w:tcBorders>
              <w:bottom w:val="single" w:sz="2" w:space="0" w:color="3D7FE0" w:themeColor="accent1"/>
            </w:tcBorders>
            <w:tcMar>
              <w:left w:w="0" w:type="dxa"/>
              <w:right w:w="0" w:type="dxa"/>
            </w:tcMar>
            <w:vAlign w:val="bottom"/>
          </w:tcPr>
          <w:p w14:paraId="66E74921" w14:textId="77777777" w:rsidR="00546C56" w:rsidRPr="00895810" w:rsidRDefault="00546C56" w:rsidP="00546C56">
            <w:pPr>
              <w:pStyle w:val="Tabletext"/>
              <w:ind w:left="142" w:right="3" w:hanging="142"/>
              <w:rPr>
                <w:rFonts w:ascii="IBM Plex Sans Light" w:hAnsi="IBM Plex Sans Light"/>
                <w:spacing w:val="-4"/>
                <w:sz w:val="18"/>
                <w:szCs w:val="18"/>
              </w:rPr>
            </w:pPr>
            <w:r w:rsidRPr="00895810">
              <w:rPr>
                <w:rFonts w:ascii="IBM Plex Sans Light" w:hAnsi="IBM Plex Sans Light"/>
                <w:spacing w:val="-4"/>
                <w:sz w:val="18"/>
                <w:szCs w:val="18"/>
              </w:rPr>
              <w:t>Cost of sales</w:t>
            </w:r>
          </w:p>
        </w:tc>
        <w:tc>
          <w:tcPr>
            <w:tcW w:w="284" w:type="dxa"/>
            <w:tcBorders>
              <w:bottom w:val="single" w:sz="2" w:space="0" w:color="3D7FE0" w:themeColor="accent1"/>
            </w:tcBorders>
            <w:vAlign w:val="bottom"/>
          </w:tcPr>
          <w:p w14:paraId="0399C75D" w14:textId="65436E31" w:rsidR="00546C56" w:rsidRPr="00895810" w:rsidRDefault="00546C56" w:rsidP="00546C56">
            <w:pPr>
              <w:pStyle w:val="Tabletext"/>
              <w:ind w:left="142" w:right="3" w:hanging="142"/>
              <w:jc w:val="center"/>
              <w:rPr>
                <w:rFonts w:ascii="IBM Plex Sans Light" w:hAnsi="IBM Plex Sans Light"/>
                <w:spacing w:val="-4"/>
                <w:sz w:val="18"/>
                <w:szCs w:val="18"/>
              </w:rPr>
            </w:pPr>
          </w:p>
        </w:tc>
        <w:tc>
          <w:tcPr>
            <w:tcW w:w="567" w:type="dxa"/>
            <w:tcBorders>
              <w:bottom w:val="single" w:sz="2" w:space="0" w:color="3D7FE0" w:themeColor="accent1"/>
            </w:tcBorders>
            <w:tcMar>
              <w:left w:w="0" w:type="dxa"/>
              <w:right w:w="0" w:type="dxa"/>
            </w:tcMar>
            <w:vAlign w:val="bottom"/>
          </w:tcPr>
          <w:p w14:paraId="3D81E891" w14:textId="1AE18D80" w:rsidR="00546C56" w:rsidRPr="00895810" w:rsidRDefault="00546C56" w:rsidP="00546C56">
            <w:pPr>
              <w:pStyle w:val="TableFigures"/>
              <w:jc w:val="center"/>
              <w:rPr>
                <w:rStyle w:val="NotesStyle"/>
                <w:rFonts w:ascii="IBM Plex Sans Light" w:hAnsi="IBM Plex Sans Light"/>
                <w:spacing w:val="-4"/>
                <w:sz w:val="16"/>
                <w:szCs w:val="16"/>
              </w:rPr>
            </w:pPr>
            <w:r w:rsidRPr="00895810">
              <w:rPr>
                <w:rStyle w:val="NotesStyle"/>
                <w:rFonts w:ascii="IBM Plex Sans Light" w:hAnsi="IBM Plex Sans Light"/>
                <w:spacing w:val="-4"/>
                <w:sz w:val="16"/>
                <w:szCs w:val="16"/>
              </w:rPr>
              <w:t>5</w:t>
            </w:r>
          </w:p>
        </w:tc>
        <w:tc>
          <w:tcPr>
            <w:tcW w:w="850" w:type="dxa"/>
            <w:tcBorders>
              <w:bottom w:val="single" w:sz="2" w:space="0" w:color="3D7FE0" w:themeColor="accent1"/>
            </w:tcBorders>
            <w:tcMar>
              <w:left w:w="0" w:type="dxa"/>
              <w:right w:w="0" w:type="dxa"/>
            </w:tcMar>
          </w:tcPr>
          <w:p w14:paraId="3BC3DBD7" w14:textId="088A3E6D"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(14.7)</w:t>
            </w:r>
          </w:p>
        </w:tc>
        <w:tc>
          <w:tcPr>
            <w:tcW w:w="851" w:type="dxa"/>
            <w:tcBorders>
              <w:bottom w:val="single" w:sz="2" w:space="0" w:color="3D7FE0" w:themeColor="accent1"/>
              <w:right w:val="single" w:sz="4" w:space="0" w:color="3D7FE0" w:themeColor="accent1"/>
            </w:tcBorders>
            <w:tcMar>
              <w:left w:w="0" w:type="dxa"/>
              <w:right w:w="0" w:type="dxa"/>
            </w:tcMar>
          </w:tcPr>
          <w:p w14:paraId="63D5A6C9" w14:textId="49B8A3C8"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(20.7)</w:t>
            </w:r>
          </w:p>
        </w:tc>
        <w:tc>
          <w:tcPr>
            <w:tcW w:w="992" w:type="dxa"/>
            <w:tcBorders>
              <w:left w:val="single" w:sz="4" w:space="0" w:color="3D7FE0" w:themeColor="accent1"/>
              <w:bottom w:val="single" w:sz="2" w:space="0" w:color="3D7FE0" w:themeColor="accent1"/>
            </w:tcBorders>
            <w:tcMar>
              <w:left w:w="0" w:type="dxa"/>
              <w:right w:w="0" w:type="dxa"/>
            </w:tcMar>
          </w:tcPr>
          <w:p w14:paraId="166C6B80" w14:textId="24FDD53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(35.4)</w:t>
            </w:r>
          </w:p>
        </w:tc>
        <w:tc>
          <w:tcPr>
            <w:tcW w:w="850" w:type="dxa"/>
            <w:tcBorders>
              <w:bottom w:val="single" w:sz="2" w:space="0" w:color="3D7FE0" w:themeColor="accent1"/>
            </w:tcBorders>
          </w:tcPr>
          <w:p w14:paraId="620121A0" w14:textId="1284D217"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0.3</w:t>
            </w:r>
          </w:p>
        </w:tc>
        <w:tc>
          <w:tcPr>
            <w:tcW w:w="853" w:type="dxa"/>
            <w:tcBorders>
              <w:bottom w:val="single" w:sz="2" w:space="0" w:color="3D7FE0" w:themeColor="accent1"/>
              <w:right w:val="single" w:sz="4" w:space="0" w:color="3D7FE0" w:themeColor="accent1"/>
            </w:tcBorders>
            <w:tcMar>
              <w:left w:w="0" w:type="dxa"/>
              <w:right w:w="0" w:type="dxa"/>
            </w:tcMar>
          </w:tcPr>
          <w:p w14:paraId="2FCCE025" w14:textId="1BEF5AA8"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(35.1)</w:t>
            </w:r>
          </w:p>
        </w:tc>
      </w:tr>
      <w:tr w:rsidR="00546C56" w:rsidRPr="00895810" w14:paraId="4D983CC3" w14:textId="77777777" w:rsidTr="0093148D">
        <w:tc>
          <w:tcPr>
            <w:tcW w:w="4678" w:type="dxa"/>
            <w:tcBorders>
              <w:top w:val="single" w:sz="2" w:space="0" w:color="3D7FE0" w:themeColor="accent1"/>
            </w:tcBorders>
            <w:tcMar>
              <w:left w:w="0" w:type="dxa"/>
              <w:right w:w="0" w:type="dxa"/>
            </w:tcMar>
            <w:vAlign w:val="bottom"/>
          </w:tcPr>
          <w:p w14:paraId="147EF32B" w14:textId="77777777" w:rsidR="00546C56" w:rsidRPr="00895810" w:rsidRDefault="00546C56" w:rsidP="00546C56">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Net rental income</w:t>
            </w:r>
          </w:p>
        </w:tc>
        <w:tc>
          <w:tcPr>
            <w:tcW w:w="284" w:type="dxa"/>
            <w:tcBorders>
              <w:top w:val="single" w:sz="2" w:space="0" w:color="3D7FE0" w:themeColor="accent1"/>
            </w:tcBorders>
            <w:vAlign w:val="bottom"/>
          </w:tcPr>
          <w:p w14:paraId="3915C67A" w14:textId="3673D353"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top w:val="single" w:sz="2" w:space="0" w:color="3D7FE0" w:themeColor="accent1"/>
            </w:tcBorders>
            <w:tcMar>
              <w:left w:w="0" w:type="dxa"/>
              <w:right w:w="0" w:type="dxa"/>
            </w:tcMar>
            <w:vAlign w:val="bottom"/>
          </w:tcPr>
          <w:p w14:paraId="136C0586" w14:textId="3B9102EE" w:rsidR="00546C56" w:rsidRPr="00895810" w:rsidRDefault="00546C56" w:rsidP="00546C56">
            <w:pPr>
              <w:pStyle w:val="TableFigures"/>
              <w:jc w:val="center"/>
              <w:rPr>
                <w:rStyle w:val="NotesStyle"/>
                <w:rFonts w:ascii="IBM Plex Sans Light" w:hAnsi="IBM Plex Sans Light"/>
                <w:b/>
                <w:spacing w:val="-4"/>
                <w:sz w:val="16"/>
                <w:szCs w:val="16"/>
              </w:rPr>
            </w:pPr>
          </w:p>
        </w:tc>
        <w:tc>
          <w:tcPr>
            <w:tcW w:w="850" w:type="dxa"/>
            <w:tcBorders>
              <w:top w:val="single" w:sz="2" w:space="0" w:color="3D7FE0" w:themeColor="accent1"/>
            </w:tcBorders>
            <w:tcMar>
              <w:left w:w="0" w:type="dxa"/>
              <w:right w:w="0" w:type="dxa"/>
            </w:tcMar>
          </w:tcPr>
          <w:p w14:paraId="321C98EF" w14:textId="66172222"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75.6</w:t>
            </w:r>
          </w:p>
        </w:tc>
        <w:tc>
          <w:tcPr>
            <w:tcW w:w="851" w:type="dxa"/>
            <w:tcBorders>
              <w:top w:val="single" w:sz="2" w:space="0" w:color="3D7FE0" w:themeColor="accent1"/>
              <w:right w:val="single" w:sz="4" w:space="0" w:color="3D7FE0" w:themeColor="accent1"/>
            </w:tcBorders>
            <w:tcMar>
              <w:left w:w="0" w:type="dxa"/>
              <w:right w:w="0" w:type="dxa"/>
            </w:tcMar>
          </w:tcPr>
          <w:p w14:paraId="0E23C598" w14:textId="35B47ADE"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91.6</w:t>
            </w:r>
          </w:p>
        </w:tc>
        <w:tc>
          <w:tcPr>
            <w:tcW w:w="992" w:type="dxa"/>
            <w:tcBorders>
              <w:top w:val="single" w:sz="2" w:space="0" w:color="3D7FE0" w:themeColor="accent1"/>
              <w:left w:val="single" w:sz="4" w:space="0" w:color="3D7FE0" w:themeColor="accent1"/>
            </w:tcBorders>
            <w:tcMar>
              <w:left w:w="0" w:type="dxa"/>
              <w:right w:w="0" w:type="dxa"/>
            </w:tcMar>
          </w:tcPr>
          <w:p w14:paraId="0D60179D" w14:textId="4322B12F"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167.2</w:t>
            </w:r>
          </w:p>
        </w:tc>
        <w:tc>
          <w:tcPr>
            <w:tcW w:w="850" w:type="dxa"/>
            <w:tcBorders>
              <w:top w:val="single" w:sz="2" w:space="0" w:color="3D7FE0" w:themeColor="accent1"/>
            </w:tcBorders>
          </w:tcPr>
          <w:p w14:paraId="11F3FD38" w14:textId="47C6E8B2"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0.3</w:t>
            </w:r>
          </w:p>
        </w:tc>
        <w:tc>
          <w:tcPr>
            <w:tcW w:w="853" w:type="dxa"/>
            <w:tcBorders>
              <w:top w:val="single" w:sz="2" w:space="0" w:color="3D7FE0" w:themeColor="accent1"/>
              <w:right w:val="single" w:sz="4" w:space="0" w:color="3D7FE0" w:themeColor="accent1"/>
            </w:tcBorders>
            <w:tcMar>
              <w:left w:w="0" w:type="dxa"/>
              <w:right w:w="0" w:type="dxa"/>
            </w:tcMar>
          </w:tcPr>
          <w:p w14:paraId="7069EA3F" w14:textId="23E7F01F"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167.5</w:t>
            </w:r>
          </w:p>
        </w:tc>
      </w:tr>
      <w:tr w:rsidR="00546C56" w:rsidRPr="00895810" w14:paraId="7BEFA729" w14:textId="77777777" w:rsidTr="0093148D">
        <w:trPr>
          <w:trHeight w:val="57"/>
        </w:trPr>
        <w:tc>
          <w:tcPr>
            <w:tcW w:w="4678" w:type="dxa"/>
            <w:tcMar>
              <w:left w:w="0" w:type="dxa"/>
              <w:right w:w="0" w:type="dxa"/>
            </w:tcMar>
            <w:vAlign w:val="bottom"/>
          </w:tcPr>
          <w:p w14:paraId="0D84B080" w14:textId="77777777" w:rsidR="00546C56" w:rsidRPr="00895810" w:rsidRDefault="00546C56" w:rsidP="00546C56">
            <w:pPr>
              <w:pStyle w:val="TabletextBold"/>
              <w:spacing w:line="240" w:lineRule="auto"/>
              <w:rPr>
                <w:rFonts w:ascii="IBM Plex Sans Light" w:hAnsi="IBM Plex Sans Light"/>
                <w:bCs/>
                <w:color w:val="3D7FE0" w:themeColor="accent1"/>
                <w:sz w:val="14"/>
                <w:szCs w:val="14"/>
              </w:rPr>
            </w:pPr>
          </w:p>
        </w:tc>
        <w:tc>
          <w:tcPr>
            <w:tcW w:w="284" w:type="dxa"/>
            <w:vAlign w:val="bottom"/>
          </w:tcPr>
          <w:p w14:paraId="416969B9" w14:textId="1475FD57" w:rsidR="00546C56" w:rsidRPr="00895810" w:rsidRDefault="00546C56" w:rsidP="00546C56">
            <w:pPr>
              <w:pStyle w:val="TabletextBold"/>
              <w:spacing w:line="240" w:lineRule="auto"/>
              <w:jc w:val="center"/>
              <w:rPr>
                <w:rFonts w:ascii="IBM Plex Sans Light" w:hAnsi="IBM Plex Sans Light"/>
                <w:bCs/>
                <w:color w:val="3D7FE0" w:themeColor="accent1"/>
                <w:sz w:val="14"/>
                <w:szCs w:val="14"/>
              </w:rPr>
            </w:pPr>
          </w:p>
        </w:tc>
        <w:tc>
          <w:tcPr>
            <w:tcW w:w="567" w:type="dxa"/>
            <w:tcMar>
              <w:left w:w="0" w:type="dxa"/>
              <w:right w:w="0" w:type="dxa"/>
            </w:tcMar>
            <w:vAlign w:val="bottom"/>
          </w:tcPr>
          <w:p w14:paraId="0409BC9F" w14:textId="77777777" w:rsidR="00546C56" w:rsidRPr="00895810" w:rsidRDefault="00546C56" w:rsidP="00546C56">
            <w:pPr>
              <w:pStyle w:val="TableFigures"/>
              <w:jc w:val="center"/>
              <w:rPr>
                <w:rStyle w:val="NotesStyle"/>
                <w:rFonts w:ascii="IBM Plex Sans Light" w:hAnsi="IBM Plex Sans Light"/>
                <w:b/>
                <w:spacing w:val="-4"/>
                <w:sz w:val="16"/>
                <w:szCs w:val="16"/>
              </w:rPr>
            </w:pPr>
          </w:p>
        </w:tc>
        <w:tc>
          <w:tcPr>
            <w:tcW w:w="850" w:type="dxa"/>
            <w:tcMar>
              <w:left w:w="0" w:type="dxa"/>
              <w:right w:w="0" w:type="dxa"/>
            </w:tcMar>
          </w:tcPr>
          <w:p w14:paraId="0495CE25" w14:textId="13F3A2AA"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021225A1" w14:textId="04B41F97"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992" w:type="dxa"/>
            <w:tcBorders>
              <w:left w:val="single" w:sz="4" w:space="0" w:color="3D7FE0" w:themeColor="accent1"/>
            </w:tcBorders>
            <w:tcMar>
              <w:left w:w="0" w:type="dxa"/>
              <w:right w:w="0" w:type="dxa"/>
            </w:tcMar>
          </w:tcPr>
          <w:p w14:paraId="0D3A5035" w14:textId="0D2C9071"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850" w:type="dxa"/>
          </w:tcPr>
          <w:p w14:paraId="1123B602" w14:textId="01ADF574" w:rsidR="00546C56" w:rsidRPr="00546C56" w:rsidRDefault="00546C56" w:rsidP="00546C56">
            <w:pPr>
              <w:pStyle w:val="TableFiguresBracketsBold"/>
              <w:rPr>
                <w:rFonts w:ascii="IBM Plex Sans Medium" w:hAnsi="IBM Plex Sans Medium"/>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220A3067" w14:textId="09AE11AD"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23B32001" w14:textId="77777777" w:rsidTr="00590715">
        <w:tc>
          <w:tcPr>
            <w:tcW w:w="4678" w:type="dxa"/>
            <w:tcMar>
              <w:left w:w="0" w:type="dxa"/>
              <w:right w:w="0" w:type="dxa"/>
            </w:tcMar>
            <w:vAlign w:val="bottom"/>
          </w:tcPr>
          <w:p w14:paraId="6584030D" w14:textId="77777777" w:rsidR="00546C56" w:rsidRPr="00895810" w:rsidRDefault="00546C56" w:rsidP="00546C56">
            <w:pPr>
              <w:pStyle w:val="Tabletext"/>
              <w:ind w:left="142" w:hanging="142"/>
              <w:rPr>
                <w:rFonts w:ascii="IBM Plex Sans Light" w:hAnsi="IBM Plex Sans Light"/>
                <w:spacing w:val="-4"/>
                <w:sz w:val="18"/>
                <w:szCs w:val="18"/>
              </w:rPr>
            </w:pPr>
            <w:r w:rsidRPr="00895810">
              <w:rPr>
                <w:rFonts w:ascii="IBM Plex Sans Light" w:hAnsi="IBM Plex Sans Light"/>
                <w:spacing w:val="-4"/>
                <w:sz w:val="18"/>
                <w:szCs w:val="18"/>
              </w:rPr>
              <w:t xml:space="preserve">Gross administration costs </w:t>
            </w:r>
          </w:p>
        </w:tc>
        <w:tc>
          <w:tcPr>
            <w:tcW w:w="284" w:type="dxa"/>
            <w:vAlign w:val="bottom"/>
          </w:tcPr>
          <w:p w14:paraId="34B777F9" w14:textId="732174A0" w:rsidR="00546C56" w:rsidRPr="00895810" w:rsidRDefault="00546C56" w:rsidP="00546C56">
            <w:pPr>
              <w:pStyle w:val="Tabletext"/>
              <w:ind w:left="142" w:hanging="142"/>
              <w:jc w:val="center"/>
              <w:rPr>
                <w:rFonts w:ascii="IBM Plex Sans Light" w:hAnsi="IBM Plex Sans Light"/>
                <w:spacing w:val="-4"/>
                <w:sz w:val="18"/>
                <w:szCs w:val="18"/>
              </w:rPr>
            </w:pPr>
          </w:p>
        </w:tc>
        <w:tc>
          <w:tcPr>
            <w:tcW w:w="567" w:type="dxa"/>
            <w:tcMar>
              <w:left w:w="0" w:type="dxa"/>
              <w:right w:w="0" w:type="dxa"/>
            </w:tcMar>
            <w:vAlign w:val="bottom"/>
          </w:tcPr>
          <w:p w14:paraId="7D825F26" w14:textId="7DCF55DE" w:rsidR="00546C56" w:rsidRPr="00895810" w:rsidRDefault="00546C56" w:rsidP="00546C56">
            <w:pPr>
              <w:pStyle w:val="TableFigures"/>
              <w:jc w:val="center"/>
              <w:rPr>
                <w:rStyle w:val="NotesStyle"/>
                <w:rFonts w:ascii="IBM Plex Sans Light" w:hAnsi="IBM Plex Sans Light"/>
                <w:spacing w:val="-4"/>
                <w:sz w:val="16"/>
                <w:szCs w:val="16"/>
              </w:rPr>
            </w:pPr>
            <w:r w:rsidRPr="00895810">
              <w:rPr>
                <w:rStyle w:val="NotesStyle"/>
                <w:rFonts w:ascii="IBM Plex Sans Light" w:hAnsi="IBM Plex Sans Light"/>
                <w:spacing w:val="-4"/>
                <w:sz w:val="16"/>
                <w:szCs w:val="16"/>
              </w:rPr>
              <w:t>5</w:t>
            </w:r>
          </w:p>
        </w:tc>
        <w:tc>
          <w:tcPr>
            <w:tcW w:w="850" w:type="dxa"/>
            <w:tcMar>
              <w:left w:w="0" w:type="dxa"/>
              <w:right w:w="0" w:type="dxa"/>
            </w:tcMar>
          </w:tcPr>
          <w:p w14:paraId="0D8930E4" w14:textId="75E8C59B"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(64.3)</w:t>
            </w:r>
          </w:p>
        </w:tc>
        <w:tc>
          <w:tcPr>
            <w:tcW w:w="851" w:type="dxa"/>
            <w:tcBorders>
              <w:right w:val="single" w:sz="4" w:space="0" w:color="3D7FE0" w:themeColor="accent1"/>
            </w:tcBorders>
            <w:tcMar>
              <w:left w:w="0" w:type="dxa"/>
              <w:right w:w="0" w:type="dxa"/>
            </w:tcMar>
          </w:tcPr>
          <w:p w14:paraId="63254682" w14:textId="7DF1BF23"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(0.4)</w:t>
            </w:r>
          </w:p>
        </w:tc>
        <w:tc>
          <w:tcPr>
            <w:tcW w:w="992" w:type="dxa"/>
            <w:tcBorders>
              <w:left w:val="single" w:sz="4" w:space="0" w:color="3D7FE0" w:themeColor="accent1"/>
            </w:tcBorders>
            <w:tcMar>
              <w:left w:w="0" w:type="dxa"/>
              <w:right w:w="0" w:type="dxa"/>
            </w:tcMar>
          </w:tcPr>
          <w:p w14:paraId="280EE576" w14:textId="3E3E8BBD"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(64.7)</w:t>
            </w:r>
          </w:p>
        </w:tc>
        <w:tc>
          <w:tcPr>
            <w:tcW w:w="850" w:type="dxa"/>
          </w:tcPr>
          <w:p w14:paraId="5E85997C" w14:textId="0083AC67"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13.2</w:t>
            </w:r>
          </w:p>
        </w:tc>
        <w:tc>
          <w:tcPr>
            <w:tcW w:w="853" w:type="dxa"/>
            <w:tcBorders>
              <w:right w:val="single" w:sz="4" w:space="0" w:color="3D7FE0" w:themeColor="accent1"/>
            </w:tcBorders>
            <w:tcMar>
              <w:left w:w="0" w:type="dxa"/>
              <w:right w:w="0" w:type="dxa"/>
            </w:tcMar>
          </w:tcPr>
          <w:p w14:paraId="465E1E09" w14:textId="56799D9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(51.5)</w:t>
            </w:r>
          </w:p>
        </w:tc>
      </w:tr>
      <w:tr w:rsidR="00546C56" w:rsidRPr="00895810" w14:paraId="613B533D" w14:textId="77777777" w:rsidTr="00590715">
        <w:trPr>
          <w:trHeight w:val="141"/>
        </w:trPr>
        <w:tc>
          <w:tcPr>
            <w:tcW w:w="4678" w:type="dxa"/>
            <w:tcBorders>
              <w:bottom w:val="single" w:sz="2" w:space="0" w:color="3D7FE0" w:themeColor="accent1"/>
            </w:tcBorders>
            <w:tcMar>
              <w:left w:w="0" w:type="dxa"/>
              <w:right w:w="0" w:type="dxa"/>
            </w:tcMar>
            <w:vAlign w:val="bottom"/>
          </w:tcPr>
          <w:p w14:paraId="74F19657" w14:textId="77777777"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spacing w:val="-4"/>
                <w:sz w:val="18"/>
                <w:szCs w:val="18"/>
              </w:rPr>
              <w:t>Other income</w:t>
            </w:r>
          </w:p>
        </w:tc>
        <w:tc>
          <w:tcPr>
            <w:tcW w:w="284" w:type="dxa"/>
            <w:tcBorders>
              <w:bottom w:val="single" w:sz="2" w:space="0" w:color="3D7FE0" w:themeColor="accent1"/>
            </w:tcBorders>
            <w:vAlign w:val="bottom"/>
          </w:tcPr>
          <w:p w14:paraId="6C7B2E7A" w14:textId="4DEF6B3B" w:rsidR="00546C56" w:rsidRPr="00895810" w:rsidRDefault="00546C56" w:rsidP="00546C56">
            <w:pPr>
              <w:pStyle w:val="Tabletext"/>
              <w:jc w:val="center"/>
              <w:rPr>
                <w:rFonts w:ascii="IBM Plex Sans Light" w:hAnsi="IBM Plex Sans Light"/>
                <w:spacing w:val="-4"/>
                <w:sz w:val="18"/>
                <w:szCs w:val="18"/>
              </w:rPr>
            </w:pPr>
          </w:p>
        </w:tc>
        <w:tc>
          <w:tcPr>
            <w:tcW w:w="567" w:type="dxa"/>
            <w:tcBorders>
              <w:bottom w:val="single" w:sz="2" w:space="0" w:color="3D7FE0" w:themeColor="accent1"/>
            </w:tcBorders>
            <w:tcMar>
              <w:left w:w="0" w:type="dxa"/>
              <w:right w:w="0" w:type="dxa"/>
            </w:tcMar>
            <w:vAlign w:val="bottom"/>
          </w:tcPr>
          <w:p w14:paraId="4CB2E45F" w14:textId="161E1392" w:rsidR="00546C56" w:rsidRPr="00895810" w:rsidRDefault="00546C56" w:rsidP="00546C56">
            <w:pPr>
              <w:pStyle w:val="TableFigures"/>
              <w:jc w:val="center"/>
              <w:rPr>
                <w:rStyle w:val="NotesStyle"/>
                <w:rFonts w:ascii="IBM Plex Sans Light" w:hAnsi="IBM Plex Sans Light"/>
                <w:spacing w:val="-4"/>
                <w:sz w:val="16"/>
                <w:szCs w:val="16"/>
              </w:rPr>
            </w:pPr>
            <w:r w:rsidRPr="00895810">
              <w:rPr>
                <w:rStyle w:val="NotesStyle"/>
                <w:rFonts w:ascii="IBM Plex Sans Light" w:hAnsi="IBM Plex Sans Light"/>
                <w:spacing w:val="-4"/>
                <w:sz w:val="16"/>
                <w:szCs w:val="16"/>
              </w:rPr>
              <w:t>4</w:t>
            </w:r>
          </w:p>
        </w:tc>
        <w:tc>
          <w:tcPr>
            <w:tcW w:w="850" w:type="dxa"/>
            <w:tcBorders>
              <w:bottom w:val="single" w:sz="2" w:space="0" w:color="3D7FE0" w:themeColor="accent1"/>
            </w:tcBorders>
            <w:tcMar>
              <w:left w:w="0" w:type="dxa"/>
              <w:right w:w="0" w:type="dxa"/>
            </w:tcMar>
          </w:tcPr>
          <w:p w14:paraId="05EFF9A4" w14:textId="38CF6300"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14.9</w:t>
            </w:r>
          </w:p>
        </w:tc>
        <w:tc>
          <w:tcPr>
            <w:tcW w:w="851" w:type="dxa"/>
            <w:tcBorders>
              <w:bottom w:val="single" w:sz="2" w:space="0" w:color="3D7FE0" w:themeColor="accent1"/>
              <w:right w:val="single" w:sz="4" w:space="0" w:color="3D7FE0" w:themeColor="accent1"/>
            </w:tcBorders>
            <w:tcMar>
              <w:left w:w="0" w:type="dxa"/>
              <w:right w:w="0" w:type="dxa"/>
            </w:tcMar>
          </w:tcPr>
          <w:p w14:paraId="6248B5FC" w14:textId="671426A7"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992" w:type="dxa"/>
            <w:tcBorders>
              <w:left w:val="single" w:sz="4" w:space="0" w:color="3D7FE0" w:themeColor="accent1"/>
              <w:bottom w:val="single" w:sz="2" w:space="0" w:color="3D7FE0" w:themeColor="accent1"/>
            </w:tcBorders>
            <w:tcMar>
              <w:left w:w="0" w:type="dxa"/>
              <w:right w:w="0" w:type="dxa"/>
            </w:tcMar>
          </w:tcPr>
          <w:p w14:paraId="1A7A613C" w14:textId="41869171"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14.9</w:t>
            </w:r>
          </w:p>
        </w:tc>
        <w:tc>
          <w:tcPr>
            <w:tcW w:w="850" w:type="dxa"/>
            <w:tcBorders>
              <w:bottom w:val="single" w:sz="2" w:space="0" w:color="3D7FE0" w:themeColor="accent1"/>
            </w:tcBorders>
          </w:tcPr>
          <w:p w14:paraId="63F108B8" w14:textId="58717F83"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bottom w:val="single" w:sz="2" w:space="0" w:color="3D7FE0" w:themeColor="accent1"/>
              <w:right w:val="single" w:sz="4" w:space="0" w:color="3D7FE0" w:themeColor="accent1"/>
            </w:tcBorders>
            <w:tcMar>
              <w:left w:w="0" w:type="dxa"/>
              <w:right w:w="0" w:type="dxa"/>
            </w:tcMar>
          </w:tcPr>
          <w:p w14:paraId="30E87773" w14:textId="466D43BA"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14.9</w:t>
            </w:r>
          </w:p>
        </w:tc>
      </w:tr>
      <w:tr w:rsidR="00546C56" w:rsidRPr="00895810" w14:paraId="4ADD55D6" w14:textId="77777777" w:rsidTr="00590715">
        <w:tc>
          <w:tcPr>
            <w:tcW w:w="4678" w:type="dxa"/>
            <w:tcBorders>
              <w:top w:val="single" w:sz="2" w:space="0" w:color="3D7FE0" w:themeColor="accent1"/>
            </w:tcBorders>
            <w:tcMar>
              <w:left w:w="0" w:type="dxa"/>
              <w:right w:w="0" w:type="dxa"/>
            </w:tcMar>
            <w:vAlign w:val="bottom"/>
          </w:tcPr>
          <w:p w14:paraId="185D4A13" w14:textId="6375CEE9"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spacing w:val="-4"/>
                <w:sz w:val="18"/>
                <w:szCs w:val="18"/>
              </w:rPr>
              <w:t>Net administration expenses</w:t>
            </w:r>
          </w:p>
        </w:tc>
        <w:tc>
          <w:tcPr>
            <w:tcW w:w="284" w:type="dxa"/>
            <w:tcBorders>
              <w:top w:val="single" w:sz="2" w:space="0" w:color="3D7FE0" w:themeColor="accent1"/>
            </w:tcBorders>
            <w:vAlign w:val="bottom"/>
          </w:tcPr>
          <w:p w14:paraId="0D1CC86A" w14:textId="57B36602" w:rsidR="00546C56" w:rsidRPr="00895810" w:rsidRDefault="00546C56" w:rsidP="00546C56">
            <w:pPr>
              <w:pStyle w:val="Tabletext"/>
              <w:jc w:val="center"/>
              <w:rPr>
                <w:rFonts w:ascii="IBM Plex Sans Light" w:hAnsi="IBM Plex Sans Light"/>
                <w:spacing w:val="-4"/>
                <w:sz w:val="18"/>
                <w:szCs w:val="18"/>
              </w:rPr>
            </w:pPr>
          </w:p>
        </w:tc>
        <w:tc>
          <w:tcPr>
            <w:tcW w:w="567" w:type="dxa"/>
            <w:tcBorders>
              <w:top w:val="single" w:sz="2" w:space="0" w:color="3D7FE0" w:themeColor="accent1"/>
            </w:tcBorders>
            <w:tcMar>
              <w:left w:w="0" w:type="dxa"/>
              <w:right w:w="0" w:type="dxa"/>
            </w:tcMar>
            <w:vAlign w:val="bottom"/>
          </w:tcPr>
          <w:p w14:paraId="2441501E" w14:textId="77777777" w:rsidR="00546C56" w:rsidRPr="00895810" w:rsidRDefault="00546C56" w:rsidP="00546C56">
            <w:pPr>
              <w:pStyle w:val="TableFigures"/>
              <w:jc w:val="center"/>
              <w:rPr>
                <w:rStyle w:val="NotesStyle"/>
                <w:rFonts w:ascii="IBM Plex Sans Light" w:hAnsi="IBM Plex Sans Light"/>
                <w:spacing w:val="-4"/>
                <w:sz w:val="16"/>
                <w:szCs w:val="16"/>
              </w:rPr>
            </w:pPr>
          </w:p>
        </w:tc>
        <w:tc>
          <w:tcPr>
            <w:tcW w:w="850" w:type="dxa"/>
            <w:tcBorders>
              <w:top w:val="single" w:sz="2" w:space="0" w:color="3D7FE0" w:themeColor="accent1"/>
            </w:tcBorders>
            <w:tcMar>
              <w:left w:w="0" w:type="dxa"/>
              <w:right w:w="0" w:type="dxa"/>
            </w:tcMar>
          </w:tcPr>
          <w:p w14:paraId="78AB5EEB" w14:textId="7653CCB0"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(49.4)</w:t>
            </w:r>
          </w:p>
        </w:tc>
        <w:tc>
          <w:tcPr>
            <w:tcW w:w="851" w:type="dxa"/>
            <w:tcBorders>
              <w:top w:val="single" w:sz="2" w:space="0" w:color="3D7FE0" w:themeColor="accent1"/>
              <w:right w:val="single" w:sz="4" w:space="0" w:color="3D7FE0" w:themeColor="accent1"/>
            </w:tcBorders>
            <w:tcMar>
              <w:left w:w="0" w:type="dxa"/>
              <w:right w:w="0" w:type="dxa"/>
            </w:tcMar>
          </w:tcPr>
          <w:p w14:paraId="61655D46" w14:textId="463E8E7C"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(0.4)</w:t>
            </w:r>
          </w:p>
        </w:tc>
        <w:tc>
          <w:tcPr>
            <w:tcW w:w="992" w:type="dxa"/>
            <w:tcBorders>
              <w:top w:val="single" w:sz="2" w:space="0" w:color="3D7FE0" w:themeColor="accent1"/>
              <w:left w:val="single" w:sz="4" w:space="0" w:color="3D7FE0" w:themeColor="accent1"/>
            </w:tcBorders>
            <w:tcMar>
              <w:left w:w="0" w:type="dxa"/>
              <w:right w:w="0" w:type="dxa"/>
            </w:tcMar>
          </w:tcPr>
          <w:p w14:paraId="08B822AC" w14:textId="654F07C0"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(49.8)</w:t>
            </w:r>
          </w:p>
        </w:tc>
        <w:tc>
          <w:tcPr>
            <w:tcW w:w="850" w:type="dxa"/>
            <w:tcBorders>
              <w:top w:val="single" w:sz="2" w:space="0" w:color="3D7FE0" w:themeColor="accent1"/>
            </w:tcBorders>
          </w:tcPr>
          <w:p w14:paraId="59E75F77" w14:textId="4674ED9A"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13.2</w:t>
            </w:r>
          </w:p>
        </w:tc>
        <w:tc>
          <w:tcPr>
            <w:tcW w:w="853" w:type="dxa"/>
            <w:tcBorders>
              <w:top w:val="single" w:sz="2" w:space="0" w:color="3D7FE0" w:themeColor="accent1"/>
              <w:right w:val="single" w:sz="4" w:space="0" w:color="3D7FE0" w:themeColor="accent1"/>
            </w:tcBorders>
            <w:tcMar>
              <w:left w:w="0" w:type="dxa"/>
              <w:right w:w="0" w:type="dxa"/>
            </w:tcMar>
          </w:tcPr>
          <w:p w14:paraId="5381108D" w14:textId="42305595"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(36.6)</w:t>
            </w:r>
          </w:p>
        </w:tc>
      </w:tr>
      <w:tr w:rsidR="00546C56" w:rsidRPr="00895810" w14:paraId="77E4D3D6" w14:textId="77777777" w:rsidTr="0093148D">
        <w:tc>
          <w:tcPr>
            <w:tcW w:w="4678" w:type="dxa"/>
            <w:tcMar>
              <w:left w:w="0" w:type="dxa"/>
              <w:right w:w="0" w:type="dxa"/>
            </w:tcMar>
            <w:vAlign w:val="bottom"/>
          </w:tcPr>
          <w:p w14:paraId="5A10F5D2" w14:textId="77777777" w:rsidR="00546C56" w:rsidRPr="00895810" w:rsidRDefault="00546C56" w:rsidP="00546C56">
            <w:pPr>
              <w:pStyle w:val="TabletextBold"/>
              <w:ind w:left="142" w:hanging="142"/>
              <w:rPr>
                <w:rFonts w:ascii="IBM Plex Sans Light" w:hAnsi="IBM Plex Sans Light"/>
                <w:bCs/>
                <w:color w:val="3D7FE0" w:themeColor="accent1"/>
                <w:sz w:val="18"/>
                <w:szCs w:val="18"/>
              </w:rPr>
            </w:pPr>
          </w:p>
        </w:tc>
        <w:tc>
          <w:tcPr>
            <w:tcW w:w="284" w:type="dxa"/>
            <w:vAlign w:val="bottom"/>
          </w:tcPr>
          <w:p w14:paraId="49335036" w14:textId="69D63736" w:rsidR="00546C56" w:rsidRPr="00895810" w:rsidRDefault="00546C56" w:rsidP="00546C56">
            <w:pPr>
              <w:pStyle w:val="TabletextBold"/>
              <w:ind w:left="142" w:hanging="142"/>
              <w:jc w:val="center"/>
              <w:rPr>
                <w:rFonts w:ascii="IBM Plex Sans Light" w:hAnsi="IBM Plex Sans Light"/>
                <w:bCs/>
                <w:color w:val="3D7FE0" w:themeColor="accent1"/>
                <w:sz w:val="18"/>
                <w:szCs w:val="18"/>
              </w:rPr>
            </w:pPr>
          </w:p>
        </w:tc>
        <w:tc>
          <w:tcPr>
            <w:tcW w:w="567" w:type="dxa"/>
            <w:tcMar>
              <w:left w:w="0" w:type="dxa"/>
              <w:right w:w="0" w:type="dxa"/>
            </w:tcMar>
            <w:vAlign w:val="bottom"/>
          </w:tcPr>
          <w:p w14:paraId="50990CB2" w14:textId="77777777" w:rsidR="00546C56" w:rsidRPr="00895810" w:rsidRDefault="00546C56" w:rsidP="00546C56">
            <w:pPr>
              <w:pStyle w:val="TableFigures"/>
              <w:jc w:val="center"/>
              <w:rPr>
                <w:rStyle w:val="NotesStyle"/>
                <w:rFonts w:ascii="IBM Plex Sans Light" w:hAnsi="IBM Plex Sans Light"/>
                <w:b/>
                <w:bCs/>
                <w:spacing w:val="-4"/>
                <w:sz w:val="16"/>
                <w:szCs w:val="16"/>
              </w:rPr>
            </w:pPr>
          </w:p>
        </w:tc>
        <w:tc>
          <w:tcPr>
            <w:tcW w:w="850" w:type="dxa"/>
            <w:tcMar>
              <w:left w:w="0" w:type="dxa"/>
              <w:right w:w="0" w:type="dxa"/>
            </w:tcMar>
          </w:tcPr>
          <w:p w14:paraId="1A88E3C8" w14:textId="53500F0B"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10971E57" w14:textId="415DF1A3"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992" w:type="dxa"/>
            <w:tcBorders>
              <w:left w:val="single" w:sz="4" w:space="0" w:color="3D7FE0" w:themeColor="accent1"/>
            </w:tcBorders>
            <w:tcMar>
              <w:left w:w="0" w:type="dxa"/>
              <w:right w:w="0" w:type="dxa"/>
            </w:tcMar>
          </w:tcPr>
          <w:p w14:paraId="1073A94E" w14:textId="4C0BCF7C"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850" w:type="dxa"/>
          </w:tcPr>
          <w:p w14:paraId="4032C391" w14:textId="7C2396A5" w:rsidR="00546C56" w:rsidRPr="00546C56" w:rsidRDefault="00546C56" w:rsidP="00546C56">
            <w:pPr>
              <w:pStyle w:val="TableFiguresBracketsBold"/>
              <w:rPr>
                <w:rFonts w:ascii="IBM Plex Sans Medium" w:hAnsi="IBM Plex Sans Medium"/>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76856E49" w14:textId="7C572688"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3FDC58CD" w14:textId="77777777" w:rsidTr="0093148D">
        <w:tc>
          <w:tcPr>
            <w:tcW w:w="4678" w:type="dxa"/>
            <w:tcMar>
              <w:left w:w="0" w:type="dxa"/>
              <w:right w:w="0" w:type="dxa"/>
            </w:tcMar>
            <w:vAlign w:val="bottom"/>
          </w:tcPr>
          <w:p w14:paraId="3E26995C" w14:textId="77777777" w:rsidR="00546C56" w:rsidRPr="00895810" w:rsidRDefault="00546C56" w:rsidP="00546C56">
            <w:pPr>
              <w:pStyle w:val="TabletextBold"/>
              <w:ind w:left="142" w:hanging="142"/>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Profit from operating activities</w:t>
            </w:r>
          </w:p>
        </w:tc>
        <w:tc>
          <w:tcPr>
            <w:tcW w:w="284" w:type="dxa"/>
            <w:vAlign w:val="bottom"/>
          </w:tcPr>
          <w:p w14:paraId="2832DDE4" w14:textId="516F83F8" w:rsidR="00546C56" w:rsidRPr="00895810" w:rsidRDefault="00546C56" w:rsidP="00546C56">
            <w:pPr>
              <w:pStyle w:val="TabletextBold"/>
              <w:ind w:left="142" w:hanging="142"/>
              <w:jc w:val="center"/>
              <w:rPr>
                <w:rFonts w:ascii="IBM Plex Sans Light" w:hAnsi="IBM Plex Sans Light"/>
                <w:bCs/>
                <w:color w:val="3D7FE0" w:themeColor="accent1"/>
                <w:sz w:val="18"/>
                <w:szCs w:val="18"/>
              </w:rPr>
            </w:pPr>
          </w:p>
        </w:tc>
        <w:tc>
          <w:tcPr>
            <w:tcW w:w="567" w:type="dxa"/>
            <w:tcMar>
              <w:left w:w="0" w:type="dxa"/>
              <w:right w:w="0" w:type="dxa"/>
            </w:tcMar>
            <w:vAlign w:val="bottom"/>
          </w:tcPr>
          <w:p w14:paraId="427743ED" w14:textId="2BECD9E6" w:rsidR="00546C56" w:rsidRPr="00895810" w:rsidRDefault="00546C56" w:rsidP="00546C56">
            <w:pPr>
              <w:pStyle w:val="TableFigures"/>
              <w:jc w:val="center"/>
              <w:rPr>
                <w:rStyle w:val="NotesStyle"/>
                <w:rFonts w:ascii="IBM Plex Sans Light" w:hAnsi="IBM Plex Sans Light"/>
                <w:b/>
                <w:bCs/>
                <w:spacing w:val="-4"/>
                <w:sz w:val="16"/>
                <w:szCs w:val="16"/>
              </w:rPr>
            </w:pPr>
          </w:p>
        </w:tc>
        <w:tc>
          <w:tcPr>
            <w:tcW w:w="850" w:type="dxa"/>
            <w:tcMar>
              <w:left w:w="0" w:type="dxa"/>
              <w:right w:w="0" w:type="dxa"/>
            </w:tcMar>
          </w:tcPr>
          <w:p w14:paraId="7475BB9A" w14:textId="366E3381"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26.2</w:t>
            </w:r>
          </w:p>
        </w:tc>
        <w:tc>
          <w:tcPr>
            <w:tcW w:w="851" w:type="dxa"/>
            <w:tcBorders>
              <w:right w:val="single" w:sz="4" w:space="0" w:color="3D7FE0" w:themeColor="accent1"/>
            </w:tcBorders>
            <w:tcMar>
              <w:left w:w="0" w:type="dxa"/>
              <w:right w:w="0" w:type="dxa"/>
            </w:tcMar>
          </w:tcPr>
          <w:p w14:paraId="63AB0159" w14:textId="3CBABEB2"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91.2</w:t>
            </w:r>
          </w:p>
        </w:tc>
        <w:tc>
          <w:tcPr>
            <w:tcW w:w="992" w:type="dxa"/>
            <w:tcBorders>
              <w:left w:val="single" w:sz="4" w:space="0" w:color="3D7FE0" w:themeColor="accent1"/>
            </w:tcBorders>
            <w:tcMar>
              <w:left w:w="0" w:type="dxa"/>
              <w:right w:w="0" w:type="dxa"/>
            </w:tcMar>
          </w:tcPr>
          <w:p w14:paraId="325F9DA8" w14:textId="63327C8B"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117.4</w:t>
            </w:r>
          </w:p>
        </w:tc>
        <w:tc>
          <w:tcPr>
            <w:tcW w:w="850" w:type="dxa"/>
          </w:tcPr>
          <w:p w14:paraId="4E3A9458" w14:textId="22E0BE15"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13.5</w:t>
            </w:r>
          </w:p>
        </w:tc>
        <w:tc>
          <w:tcPr>
            <w:tcW w:w="853" w:type="dxa"/>
            <w:tcBorders>
              <w:right w:val="single" w:sz="4" w:space="0" w:color="3D7FE0" w:themeColor="accent1"/>
            </w:tcBorders>
            <w:tcMar>
              <w:left w:w="0" w:type="dxa"/>
              <w:right w:w="0" w:type="dxa"/>
            </w:tcMar>
          </w:tcPr>
          <w:p w14:paraId="626AE05D" w14:textId="22E90073"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130.9</w:t>
            </w:r>
          </w:p>
        </w:tc>
      </w:tr>
      <w:tr w:rsidR="00546C56" w:rsidRPr="00895810" w14:paraId="2079C15C" w14:textId="77777777" w:rsidTr="0093148D">
        <w:trPr>
          <w:trHeight w:val="70"/>
        </w:trPr>
        <w:tc>
          <w:tcPr>
            <w:tcW w:w="4678" w:type="dxa"/>
            <w:tcMar>
              <w:left w:w="0" w:type="dxa"/>
              <w:right w:w="0" w:type="dxa"/>
            </w:tcMar>
            <w:vAlign w:val="bottom"/>
          </w:tcPr>
          <w:p w14:paraId="09B720BC" w14:textId="77777777" w:rsidR="00546C56" w:rsidRPr="00895810" w:rsidRDefault="00546C56" w:rsidP="00546C56">
            <w:pPr>
              <w:pStyle w:val="Tabletext"/>
              <w:rPr>
                <w:rFonts w:ascii="IBM Plex Sans Light" w:hAnsi="IBM Plex Sans Light"/>
                <w:spacing w:val="-4"/>
                <w:sz w:val="18"/>
                <w:szCs w:val="18"/>
              </w:rPr>
            </w:pPr>
          </w:p>
        </w:tc>
        <w:tc>
          <w:tcPr>
            <w:tcW w:w="284" w:type="dxa"/>
            <w:vAlign w:val="bottom"/>
          </w:tcPr>
          <w:p w14:paraId="5F4ED925" w14:textId="4C94F63B" w:rsidR="00546C56" w:rsidRPr="00895810" w:rsidRDefault="00546C56" w:rsidP="00546C56">
            <w:pPr>
              <w:pStyle w:val="Tabletext"/>
              <w:jc w:val="center"/>
              <w:rPr>
                <w:rFonts w:ascii="IBM Plex Sans Light" w:hAnsi="IBM Plex Sans Light"/>
                <w:spacing w:val="-4"/>
                <w:sz w:val="18"/>
                <w:szCs w:val="18"/>
              </w:rPr>
            </w:pPr>
          </w:p>
        </w:tc>
        <w:tc>
          <w:tcPr>
            <w:tcW w:w="567" w:type="dxa"/>
            <w:tcMar>
              <w:left w:w="0" w:type="dxa"/>
              <w:right w:w="0" w:type="dxa"/>
            </w:tcMar>
            <w:vAlign w:val="bottom"/>
          </w:tcPr>
          <w:p w14:paraId="6EED3CFA" w14:textId="77777777" w:rsidR="00546C56" w:rsidRPr="00895810" w:rsidRDefault="00546C56" w:rsidP="00546C56">
            <w:pPr>
              <w:pStyle w:val="TableFigures"/>
              <w:jc w:val="center"/>
              <w:rPr>
                <w:rStyle w:val="NotesStyle"/>
                <w:rFonts w:ascii="IBM Plex Sans Light" w:hAnsi="IBM Plex Sans Light"/>
                <w:spacing w:val="-4"/>
                <w:sz w:val="16"/>
                <w:szCs w:val="16"/>
              </w:rPr>
            </w:pPr>
          </w:p>
        </w:tc>
        <w:tc>
          <w:tcPr>
            <w:tcW w:w="850" w:type="dxa"/>
            <w:tcMar>
              <w:left w:w="0" w:type="dxa"/>
              <w:right w:w="0" w:type="dxa"/>
            </w:tcMar>
          </w:tcPr>
          <w:p w14:paraId="1E49292D" w14:textId="5FC306EE"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77BD5B9E" w14:textId="57EDB96B"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992" w:type="dxa"/>
            <w:tcBorders>
              <w:left w:val="single" w:sz="4" w:space="0" w:color="3D7FE0" w:themeColor="accent1"/>
            </w:tcBorders>
            <w:tcMar>
              <w:left w:w="0" w:type="dxa"/>
              <w:right w:w="0" w:type="dxa"/>
            </w:tcMar>
          </w:tcPr>
          <w:p w14:paraId="3670A60C" w14:textId="55EF195C"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0" w:type="dxa"/>
          </w:tcPr>
          <w:p w14:paraId="1A9EF8B2" w14:textId="50ACAFF1"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5FB79270" w14:textId="0BE6A25F"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5AF72C8E" w14:textId="77777777" w:rsidTr="0093148D">
        <w:trPr>
          <w:trHeight w:val="70"/>
        </w:trPr>
        <w:tc>
          <w:tcPr>
            <w:tcW w:w="4678" w:type="dxa"/>
            <w:tcMar>
              <w:left w:w="0" w:type="dxa"/>
              <w:right w:w="0" w:type="dxa"/>
            </w:tcMar>
            <w:vAlign w:val="bottom"/>
          </w:tcPr>
          <w:p w14:paraId="41B15EF7" w14:textId="77777777" w:rsidR="00546C56" w:rsidRPr="00895810" w:rsidRDefault="00546C56" w:rsidP="00546C56">
            <w:pPr>
              <w:pStyle w:val="TabletextBold"/>
              <w:rPr>
                <w:rFonts w:ascii="IBM Plex Sans Light" w:hAnsi="IBM Plex Sans Light"/>
                <w:sz w:val="18"/>
                <w:szCs w:val="18"/>
              </w:rPr>
            </w:pPr>
            <w:r w:rsidRPr="00895810">
              <w:rPr>
                <w:rFonts w:ascii="IBM Plex Sans Light" w:hAnsi="IBM Plex Sans Light"/>
                <w:bCs/>
                <w:color w:val="3D7FE0" w:themeColor="accent1"/>
                <w:sz w:val="18"/>
                <w:szCs w:val="18"/>
              </w:rPr>
              <w:t>Revaluation losses on properties</w:t>
            </w:r>
          </w:p>
        </w:tc>
        <w:tc>
          <w:tcPr>
            <w:tcW w:w="284" w:type="dxa"/>
            <w:vAlign w:val="bottom"/>
          </w:tcPr>
          <w:p w14:paraId="414062E2" w14:textId="69321736" w:rsidR="00546C56" w:rsidRPr="00895810" w:rsidRDefault="00546C56" w:rsidP="00546C56">
            <w:pPr>
              <w:pStyle w:val="TabletextBold"/>
              <w:jc w:val="center"/>
              <w:rPr>
                <w:rFonts w:ascii="IBM Plex Sans Light" w:hAnsi="IBM Plex Sans Light"/>
                <w:sz w:val="18"/>
                <w:szCs w:val="18"/>
              </w:rPr>
            </w:pPr>
          </w:p>
        </w:tc>
        <w:tc>
          <w:tcPr>
            <w:tcW w:w="567" w:type="dxa"/>
            <w:tcMar>
              <w:left w:w="0" w:type="dxa"/>
              <w:right w:w="0" w:type="dxa"/>
            </w:tcMar>
            <w:vAlign w:val="bottom"/>
          </w:tcPr>
          <w:p w14:paraId="5E1E42F4" w14:textId="7A119028" w:rsidR="00546C56" w:rsidRPr="00895810" w:rsidRDefault="00546C56" w:rsidP="00546C56">
            <w:pPr>
              <w:pStyle w:val="TableFigures"/>
              <w:jc w:val="center"/>
              <w:rPr>
                <w:rStyle w:val="NotesStyle"/>
                <w:rFonts w:ascii="IBM Plex Sans Light" w:hAnsi="IBM Plex Sans Light"/>
                <w:b/>
                <w:spacing w:val="-4"/>
                <w:sz w:val="16"/>
                <w:szCs w:val="16"/>
              </w:rPr>
            </w:pPr>
          </w:p>
        </w:tc>
        <w:tc>
          <w:tcPr>
            <w:tcW w:w="850" w:type="dxa"/>
            <w:tcMar>
              <w:left w:w="0" w:type="dxa"/>
              <w:right w:w="0" w:type="dxa"/>
            </w:tcMar>
          </w:tcPr>
          <w:p w14:paraId="49FB7616" w14:textId="29EFC69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(45.2)</w:t>
            </w:r>
          </w:p>
        </w:tc>
        <w:tc>
          <w:tcPr>
            <w:tcW w:w="851" w:type="dxa"/>
            <w:tcBorders>
              <w:right w:val="single" w:sz="4" w:space="0" w:color="3D7FE0" w:themeColor="accent1"/>
            </w:tcBorders>
            <w:tcMar>
              <w:left w:w="0" w:type="dxa"/>
              <w:right w:w="0" w:type="dxa"/>
            </w:tcMar>
          </w:tcPr>
          <w:p w14:paraId="4EEE15F7" w14:textId="6EA36666"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(73.9)</w:t>
            </w:r>
          </w:p>
        </w:tc>
        <w:tc>
          <w:tcPr>
            <w:tcW w:w="992" w:type="dxa"/>
            <w:tcBorders>
              <w:left w:val="single" w:sz="4" w:space="0" w:color="3D7FE0" w:themeColor="accent1"/>
            </w:tcBorders>
            <w:tcMar>
              <w:left w:w="0" w:type="dxa"/>
              <w:right w:w="0" w:type="dxa"/>
            </w:tcMar>
          </w:tcPr>
          <w:p w14:paraId="4B04E9A7" w14:textId="0D9C5071"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(119.1)</w:t>
            </w:r>
          </w:p>
        </w:tc>
        <w:tc>
          <w:tcPr>
            <w:tcW w:w="850" w:type="dxa"/>
          </w:tcPr>
          <w:p w14:paraId="6B1EEE81" w14:textId="40C6BC6B"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119.1</w:t>
            </w:r>
          </w:p>
        </w:tc>
        <w:tc>
          <w:tcPr>
            <w:tcW w:w="853" w:type="dxa"/>
            <w:tcBorders>
              <w:right w:val="single" w:sz="4" w:space="0" w:color="3D7FE0" w:themeColor="accent1"/>
            </w:tcBorders>
            <w:tcMar>
              <w:left w:w="0" w:type="dxa"/>
              <w:right w:w="0" w:type="dxa"/>
            </w:tcMar>
          </w:tcPr>
          <w:p w14:paraId="168487D5" w14:textId="233725A5"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304943FF" w14:textId="77777777" w:rsidTr="0093148D">
        <w:trPr>
          <w:trHeight w:val="70"/>
        </w:trPr>
        <w:tc>
          <w:tcPr>
            <w:tcW w:w="4678" w:type="dxa"/>
            <w:tcMar>
              <w:left w:w="0" w:type="dxa"/>
              <w:right w:w="0" w:type="dxa"/>
            </w:tcMar>
            <w:vAlign w:val="bottom"/>
          </w:tcPr>
          <w:p w14:paraId="1370CB40" w14:textId="77777777" w:rsidR="00546C56" w:rsidRPr="00895810" w:rsidRDefault="00546C56" w:rsidP="00546C56">
            <w:pPr>
              <w:pStyle w:val="Tabletext"/>
              <w:rPr>
                <w:rFonts w:ascii="IBM Plex Sans Light" w:hAnsi="IBM Plex Sans Light"/>
                <w:spacing w:val="-4"/>
                <w:sz w:val="18"/>
                <w:szCs w:val="18"/>
              </w:rPr>
            </w:pPr>
          </w:p>
        </w:tc>
        <w:tc>
          <w:tcPr>
            <w:tcW w:w="284" w:type="dxa"/>
            <w:vAlign w:val="bottom"/>
          </w:tcPr>
          <w:p w14:paraId="20E20371" w14:textId="6A81DFBA" w:rsidR="00546C56" w:rsidRPr="00895810" w:rsidRDefault="00546C56" w:rsidP="00546C56">
            <w:pPr>
              <w:pStyle w:val="Tabletext"/>
              <w:jc w:val="center"/>
              <w:rPr>
                <w:rFonts w:ascii="IBM Plex Sans Light" w:hAnsi="IBM Plex Sans Light"/>
                <w:spacing w:val="-4"/>
                <w:sz w:val="18"/>
                <w:szCs w:val="18"/>
              </w:rPr>
            </w:pPr>
          </w:p>
        </w:tc>
        <w:tc>
          <w:tcPr>
            <w:tcW w:w="567" w:type="dxa"/>
            <w:tcMar>
              <w:left w:w="0" w:type="dxa"/>
              <w:right w:w="0" w:type="dxa"/>
            </w:tcMar>
            <w:vAlign w:val="bottom"/>
          </w:tcPr>
          <w:p w14:paraId="19AACFA2" w14:textId="77777777" w:rsidR="00546C56" w:rsidRPr="00895810" w:rsidRDefault="00546C56" w:rsidP="00546C56">
            <w:pPr>
              <w:spacing w:after="0" w:line="240" w:lineRule="auto"/>
              <w:jc w:val="center"/>
              <w:rPr>
                <w:rFonts w:ascii="IBM Plex Sans Light" w:hAnsi="IBM Plex Sans Light" w:cs="Arial"/>
                <w:sz w:val="16"/>
                <w:szCs w:val="16"/>
              </w:rPr>
            </w:pPr>
          </w:p>
        </w:tc>
        <w:tc>
          <w:tcPr>
            <w:tcW w:w="850" w:type="dxa"/>
            <w:tcMar>
              <w:left w:w="0" w:type="dxa"/>
              <w:right w:w="0" w:type="dxa"/>
            </w:tcMar>
          </w:tcPr>
          <w:p w14:paraId="48EC3B90" w14:textId="2A5F5E84"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29B5E89E" w14:textId="46D9BE1E"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992" w:type="dxa"/>
            <w:tcBorders>
              <w:left w:val="single" w:sz="4" w:space="0" w:color="3D7FE0" w:themeColor="accent1"/>
            </w:tcBorders>
            <w:tcMar>
              <w:left w:w="0" w:type="dxa"/>
              <w:right w:w="0" w:type="dxa"/>
            </w:tcMar>
          </w:tcPr>
          <w:p w14:paraId="42A9BF0E" w14:textId="02EC85E8"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0" w:type="dxa"/>
          </w:tcPr>
          <w:p w14:paraId="051344C5" w14:textId="62416C81"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4F41F462" w14:textId="62AB574F"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20823145" w14:textId="77777777" w:rsidTr="0093148D">
        <w:trPr>
          <w:trHeight w:val="70"/>
        </w:trPr>
        <w:tc>
          <w:tcPr>
            <w:tcW w:w="4678" w:type="dxa"/>
            <w:tcMar>
              <w:left w:w="0" w:type="dxa"/>
              <w:right w:w="0" w:type="dxa"/>
            </w:tcMar>
            <w:vAlign w:val="bottom"/>
          </w:tcPr>
          <w:p w14:paraId="01E287D6" w14:textId="63B7235B"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spacing w:val="-4"/>
                <w:sz w:val="18"/>
                <w:szCs w:val="18"/>
              </w:rPr>
              <w:t xml:space="preserve">Disposals </w:t>
            </w:r>
          </w:p>
        </w:tc>
        <w:tc>
          <w:tcPr>
            <w:tcW w:w="284" w:type="dxa"/>
            <w:vAlign w:val="bottom"/>
          </w:tcPr>
          <w:p w14:paraId="1393C17E" w14:textId="0FB73114" w:rsidR="00546C56" w:rsidRPr="00895810" w:rsidRDefault="00546C56" w:rsidP="00546C56">
            <w:pPr>
              <w:pStyle w:val="Tabletext"/>
              <w:jc w:val="center"/>
              <w:rPr>
                <w:rFonts w:ascii="IBM Plex Sans Light" w:hAnsi="IBM Plex Sans Light"/>
                <w:spacing w:val="-4"/>
                <w:sz w:val="18"/>
                <w:szCs w:val="18"/>
              </w:rPr>
            </w:pPr>
          </w:p>
        </w:tc>
        <w:tc>
          <w:tcPr>
            <w:tcW w:w="567" w:type="dxa"/>
            <w:tcMar>
              <w:left w:w="0" w:type="dxa"/>
              <w:right w:w="0" w:type="dxa"/>
            </w:tcMar>
            <w:vAlign w:val="bottom"/>
          </w:tcPr>
          <w:p w14:paraId="2672B2A0" w14:textId="77777777" w:rsidR="00546C56" w:rsidRPr="00895810" w:rsidRDefault="00546C56" w:rsidP="00546C56">
            <w:pPr>
              <w:spacing w:after="0" w:line="240" w:lineRule="auto"/>
              <w:jc w:val="center"/>
              <w:rPr>
                <w:rFonts w:ascii="IBM Plex Sans Light" w:hAnsi="IBM Plex Sans Light" w:cs="Arial"/>
                <w:sz w:val="16"/>
                <w:szCs w:val="16"/>
              </w:rPr>
            </w:pPr>
          </w:p>
        </w:tc>
        <w:tc>
          <w:tcPr>
            <w:tcW w:w="850" w:type="dxa"/>
            <w:tcMar>
              <w:left w:w="0" w:type="dxa"/>
              <w:right w:w="0" w:type="dxa"/>
            </w:tcMar>
          </w:tcPr>
          <w:p w14:paraId="193B7247" w14:textId="77777777"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189BD294" w14:textId="77777777"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992" w:type="dxa"/>
            <w:tcBorders>
              <w:left w:val="single" w:sz="4" w:space="0" w:color="3D7FE0" w:themeColor="accent1"/>
            </w:tcBorders>
            <w:tcMar>
              <w:left w:w="0" w:type="dxa"/>
              <w:right w:w="0" w:type="dxa"/>
            </w:tcMar>
          </w:tcPr>
          <w:p w14:paraId="2CEA47DE" w14:textId="77777777"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0" w:type="dxa"/>
          </w:tcPr>
          <w:p w14:paraId="32D3C9CB" w14:textId="77777777"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01F148CA" w14:textId="77777777"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5993E545" w14:textId="77777777" w:rsidTr="0093148D">
        <w:trPr>
          <w:trHeight w:val="70"/>
        </w:trPr>
        <w:tc>
          <w:tcPr>
            <w:tcW w:w="4678" w:type="dxa"/>
            <w:tcMar>
              <w:left w:w="0" w:type="dxa"/>
              <w:right w:w="0" w:type="dxa"/>
            </w:tcMar>
            <w:vAlign w:val="bottom"/>
          </w:tcPr>
          <w:p w14:paraId="229D82FF" w14:textId="40994F56" w:rsidR="00546C56" w:rsidRPr="00895810" w:rsidRDefault="00546C56" w:rsidP="00546C56">
            <w:pPr>
              <w:pStyle w:val="Tabletext"/>
              <w:rPr>
                <w:rFonts w:ascii="IBM Plex Sans Light" w:hAnsi="IBM Plex Sans Light"/>
                <w:spacing w:val="-4"/>
                <w:sz w:val="18"/>
                <w:szCs w:val="18"/>
                <w:vertAlign w:val="superscript"/>
              </w:rPr>
            </w:pPr>
            <w:r w:rsidRPr="00895810">
              <w:rPr>
                <w:rFonts w:ascii="IBM Plex Sans Light" w:hAnsi="IBM Plex Sans Light" w:cs="Arial"/>
                <w:szCs w:val="18"/>
              </w:rPr>
              <w:t xml:space="preserve">– </w:t>
            </w:r>
            <w:r w:rsidRPr="00895810">
              <w:rPr>
                <w:rFonts w:ascii="IBM Plex Sans Light" w:hAnsi="IBM Plex Sans Light"/>
                <w:spacing w:val="-4"/>
                <w:sz w:val="18"/>
                <w:szCs w:val="18"/>
              </w:rPr>
              <w:t>Profit/(loss) on sale of properties</w:t>
            </w:r>
          </w:p>
        </w:tc>
        <w:tc>
          <w:tcPr>
            <w:tcW w:w="284" w:type="dxa"/>
            <w:vAlign w:val="bottom"/>
          </w:tcPr>
          <w:p w14:paraId="03477629" w14:textId="2BF2F493" w:rsidR="00546C56" w:rsidRPr="00895810" w:rsidRDefault="00546C56" w:rsidP="00546C56">
            <w:pPr>
              <w:pStyle w:val="Tabletext"/>
              <w:jc w:val="center"/>
              <w:rPr>
                <w:rFonts w:ascii="IBM Plex Sans Light" w:hAnsi="IBM Plex Sans Light"/>
                <w:spacing w:val="-4"/>
                <w:sz w:val="18"/>
                <w:szCs w:val="18"/>
                <w:vertAlign w:val="superscript"/>
              </w:rPr>
            </w:pPr>
          </w:p>
        </w:tc>
        <w:tc>
          <w:tcPr>
            <w:tcW w:w="567" w:type="dxa"/>
            <w:tcMar>
              <w:left w:w="0" w:type="dxa"/>
              <w:right w:w="0" w:type="dxa"/>
            </w:tcMar>
            <w:vAlign w:val="bottom"/>
          </w:tcPr>
          <w:p w14:paraId="678CB385" w14:textId="112E6F7C" w:rsidR="00546C56" w:rsidRPr="00895810" w:rsidRDefault="00546C56" w:rsidP="00546C56">
            <w:pPr>
              <w:pStyle w:val="TableFigures"/>
              <w:jc w:val="center"/>
              <w:rPr>
                <w:rStyle w:val="NotesStyle"/>
                <w:rFonts w:ascii="IBM Plex Sans Light" w:hAnsi="IBM Plex Sans Light"/>
                <w:spacing w:val="-4"/>
                <w:sz w:val="16"/>
                <w:szCs w:val="16"/>
              </w:rPr>
            </w:pPr>
            <w:r>
              <w:rPr>
                <w:rStyle w:val="NotesStyle"/>
                <w:rFonts w:ascii="IBM Plex Sans Light" w:hAnsi="IBM Plex Sans Light"/>
                <w:spacing w:val="-4"/>
                <w:sz w:val="16"/>
                <w:szCs w:val="16"/>
              </w:rPr>
              <w:t>8</w:t>
            </w:r>
            <w:r w:rsidRPr="00895810">
              <w:rPr>
                <w:rStyle w:val="NotesStyle"/>
                <w:rFonts w:ascii="IBM Plex Sans Light" w:hAnsi="IBM Plex Sans Light"/>
                <w:spacing w:val="-4"/>
                <w:sz w:val="16"/>
                <w:szCs w:val="16"/>
              </w:rPr>
              <w:t>A</w:t>
            </w:r>
          </w:p>
        </w:tc>
        <w:tc>
          <w:tcPr>
            <w:tcW w:w="850" w:type="dxa"/>
            <w:tcMar>
              <w:left w:w="0" w:type="dxa"/>
              <w:right w:w="0" w:type="dxa"/>
            </w:tcMar>
          </w:tcPr>
          <w:p w14:paraId="1BCFF11A" w14:textId="02BA9E35"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1.3</w:t>
            </w:r>
          </w:p>
        </w:tc>
        <w:tc>
          <w:tcPr>
            <w:tcW w:w="851" w:type="dxa"/>
            <w:tcBorders>
              <w:right w:val="single" w:sz="4" w:space="0" w:color="3D7FE0" w:themeColor="accent1"/>
            </w:tcBorders>
            <w:tcMar>
              <w:left w:w="0" w:type="dxa"/>
              <w:right w:w="0" w:type="dxa"/>
            </w:tcMar>
          </w:tcPr>
          <w:p w14:paraId="13613FA0" w14:textId="4C540230"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(19.1)</w:t>
            </w:r>
          </w:p>
        </w:tc>
        <w:tc>
          <w:tcPr>
            <w:tcW w:w="992" w:type="dxa"/>
            <w:tcBorders>
              <w:left w:val="single" w:sz="4" w:space="0" w:color="3D7FE0" w:themeColor="accent1"/>
            </w:tcBorders>
            <w:tcMar>
              <w:left w:w="0" w:type="dxa"/>
              <w:right w:w="0" w:type="dxa"/>
            </w:tcMar>
          </w:tcPr>
          <w:p w14:paraId="14D2940D" w14:textId="4DE4C85A"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(17.8)</w:t>
            </w:r>
          </w:p>
        </w:tc>
        <w:tc>
          <w:tcPr>
            <w:tcW w:w="850" w:type="dxa"/>
          </w:tcPr>
          <w:p w14:paraId="413DCD08" w14:textId="5CE6F82A"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17.8</w:t>
            </w:r>
          </w:p>
        </w:tc>
        <w:tc>
          <w:tcPr>
            <w:tcW w:w="853" w:type="dxa"/>
            <w:tcBorders>
              <w:right w:val="single" w:sz="4" w:space="0" w:color="3D7FE0" w:themeColor="accent1"/>
            </w:tcBorders>
            <w:tcMar>
              <w:left w:w="0" w:type="dxa"/>
              <w:right w:w="0" w:type="dxa"/>
            </w:tcMar>
          </w:tcPr>
          <w:p w14:paraId="5976CEC2" w14:textId="23CB4A70"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64C2456B" w14:textId="77777777" w:rsidTr="0093148D">
        <w:trPr>
          <w:trHeight w:val="70"/>
        </w:trPr>
        <w:tc>
          <w:tcPr>
            <w:tcW w:w="4678" w:type="dxa"/>
            <w:tcMar>
              <w:left w:w="0" w:type="dxa"/>
              <w:right w:w="0" w:type="dxa"/>
            </w:tcMar>
            <w:vAlign w:val="bottom"/>
          </w:tcPr>
          <w:p w14:paraId="1E793BAC" w14:textId="77777777"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cs="Arial"/>
                <w:szCs w:val="18"/>
              </w:rPr>
              <w:t xml:space="preserve">– </w:t>
            </w:r>
            <w:r w:rsidRPr="00895810">
              <w:rPr>
                <w:rFonts w:ascii="IBM Plex Sans Light" w:hAnsi="IBM Plex Sans Light"/>
                <w:spacing w:val="-4"/>
                <w:sz w:val="18"/>
                <w:szCs w:val="18"/>
              </w:rPr>
              <w:t>Recycled exchange gains on disposal of overseas interests</w:t>
            </w:r>
          </w:p>
        </w:tc>
        <w:tc>
          <w:tcPr>
            <w:tcW w:w="284" w:type="dxa"/>
            <w:vAlign w:val="bottom"/>
          </w:tcPr>
          <w:p w14:paraId="4206675A" w14:textId="51C21A56" w:rsidR="00546C56" w:rsidRPr="00895810" w:rsidRDefault="00546C56" w:rsidP="00546C56">
            <w:pPr>
              <w:pStyle w:val="Tabletext"/>
              <w:jc w:val="center"/>
              <w:rPr>
                <w:rFonts w:ascii="IBM Plex Sans Light" w:hAnsi="IBM Plex Sans Light"/>
                <w:spacing w:val="-4"/>
                <w:sz w:val="18"/>
                <w:szCs w:val="18"/>
              </w:rPr>
            </w:pPr>
          </w:p>
        </w:tc>
        <w:tc>
          <w:tcPr>
            <w:tcW w:w="567" w:type="dxa"/>
            <w:tcMar>
              <w:left w:w="0" w:type="dxa"/>
              <w:right w:w="0" w:type="dxa"/>
            </w:tcMar>
            <w:vAlign w:val="bottom"/>
          </w:tcPr>
          <w:p w14:paraId="0AB7C4D6" w14:textId="77777777" w:rsidR="00546C56" w:rsidRPr="00895810" w:rsidRDefault="00546C56" w:rsidP="00546C56">
            <w:pPr>
              <w:pStyle w:val="TableFigures"/>
              <w:jc w:val="center"/>
              <w:rPr>
                <w:rStyle w:val="NotesStyle"/>
                <w:rFonts w:ascii="IBM Plex Sans Light" w:hAnsi="IBM Plex Sans Light"/>
                <w:spacing w:val="-4"/>
                <w:sz w:val="16"/>
                <w:szCs w:val="16"/>
              </w:rPr>
            </w:pPr>
          </w:p>
        </w:tc>
        <w:tc>
          <w:tcPr>
            <w:tcW w:w="850" w:type="dxa"/>
            <w:tcMar>
              <w:left w:w="0" w:type="dxa"/>
              <w:right w:w="0" w:type="dxa"/>
            </w:tcMar>
          </w:tcPr>
          <w:p w14:paraId="4706F0C0" w14:textId="3C1F9B0B"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20.1</w:t>
            </w:r>
          </w:p>
        </w:tc>
        <w:tc>
          <w:tcPr>
            <w:tcW w:w="851" w:type="dxa"/>
            <w:tcBorders>
              <w:right w:val="single" w:sz="4" w:space="0" w:color="3D7FE0" w:themeColor="accent1"/>
            </w:tcBorders>
            <w:tcMar>
              <w:left w:w="0" w:type="dxa"/>
              <w:right w:w="0" w:type="dxa"/>
            </w:tcMar>
          </w:tcPr>
          <w:p w14:paraId="704ED9A0" w14:textId="424BFECA"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w:t>
            </w:r>
          </w:p>
        </w:tc>
        <w:tc>
          <w:tcPr>
            <w:tcW w:w="992" w:type="dxa"/>
            <w:tcBorders>
              <w:left w:val="single" w:sz="4" w:space="0" w:color="3D7FE0" w:themeColor="accent1"/>
            </w:tcBorders>
            <w:tcMar>
              <w:left w:w="0" w:type="dxa"/>
              <w:right w:w="0" w:type="dxa"/>
            </w:tcMar>
          </w:tcPr>
          <w:p w14:paraId="1BFFD433" w14:textId="0ABAEB2F"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20.1</w:t>
            </w:r>
          </w:p>
        </w:tc>
        <w:tc>
          <w:tcPr>
            <w:tcW w:w="850" w:type="dxa"/>
          </w:tcPr>
          <w:p w14:paraId="407C72C8" w14:textId="21B4F109" w:rsidR="00546C56" w:rsidRPr="00546C56" w:rsidRDefault="00546C56" w:rsidP="00546C56">
            <w:pPr>
              <w:pStyle w:val="TableFiguresBracket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(20.1)</w:t>
            </w:r>
          </w:p>
        </w:tc>
        <w:tc>
          <w:tcPr>
            <w:tcW w:w="853" w:type="dxa"/>
            <w:tcBorders>
              <w:right w:val="single" w:sz="4" w:space="0" w:color="3D7FE0" w:themeColor="accent1"/>
            </w:tcBorders>
            <w:tcMar>
              <w:left w:w="0" w:type="dxa"/>
              <w:right w:w="0" w:type="dxa"/>
            </w:tcMar>
          </w:tcPr>
          <w:p w14:paraId="014C3CB9" w14:textId="60D64862"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7F8C0C01" w14:textId="77777777" w:rsidTr="0093148D">
        <w:trPr>
          <w:trHeight w:val="70"/>
        </w:trPr>
        <w:tc>
          <w:tcPr>
            <w:tcW w:w="4678" w:type="dxa"/>
            <w:tcMar>
              <w:left w:w="0" w:type="dxa"/>
              <w:right w:w="0" w:type="dxa"/>
            </w:tcMar>
            <w:vAlign w:val="bottom"/>
          </w:tcPr>
          <w:p w14:paraId="76D12D41" w14:textId="55749765" w:rsidR="00546C56" w:rsidRPr="00895810" w:rsidRDefault="00546C56" w:rsidP="00546C56">
            <w:pPr>
              <w:pStyle w:val="Tabletext"/>
              <w:ind w:left="142" w:hanging="142"/>
              <w:rPr>
                <w:rFonts w:ascii="IBM Plex Sans Light" w:hAnsi="IBM Plex Sans Light"/>
                <w:color w:val="auto"/>
                <w:spacing w:val="-4"/>
                <w:sz w:val="18"/>
                <w:szCs w:val="18"/>
              </w:rPr>
            </w:pPr>
            <w:r w:rsidRPr="00895810">
              <w:rPr>
                <w:rFonts w:ascii="IBM Plex Sans Light" w:hAnsi="IBM Plex Sans Light"/>
                <w:spacing w:val="-4"/>
                <w:sz w:val="18"/>
                <w:szCs w:val="18"/>
              </w:rPr>
              <w:t>Change in fair value of other investments</w:t>
            </w:r>
          </w:p>
        </w:tc>
        <w:tc>
          <w:tcPr>
            <w:tcW w:w="284" w:type="dxa"/>
            <w:vAlign w:val="bottom"/>
          </w:tcPr>
          <w:p w14:paraId="33A2CF34" w14:textId="3E810608" w:rsidR="00546C56" w:rsidRPr="00895810" w:rsidRDefault="00546C56" w:rsidP="00546C56">
            <w:pPr>
              <w:pStyle w:val="Tabletext"/>
              <w:ind w:left="142" w:hanging="142"/>
              <w:jc w:val="center"/>
              <w:rPr>
                <w:rFonts w:ascii="IBM Plex Sans Light" w:hAnsi="IBM Plex Sans Light"/>
                <w:color w:val="auto"/>
                <w:spacing w:val="-4"/>
                <w:sz w:val="18"/>
                <w:szCs w:val="18"/>
              </w:rPr>
            </w:pPr>
          </w:p>
        </w:tc>
        <w:tc>
          <w:tcPr>
            <w:tcW w:w="567" w:type="dxa"/>
            <w:tcMar>
              <w:left w:w="0" w:type="dxa"/>
              <w:right w:w="0" w:type="dxa"/>
            </w:tcMar>
            <w:vAlign w:val="bottom"/>
          </w:tcPr>
          <w:p w14:paraId="07F3D436" w14:textId="77777777" w:rsidR="00546C56" w:rsidRPr="00895810" w:rsidRDefault="00546C56" w:rsidP="00546C56">
            <w:pPr>
              <w:pStyle w:val="TableFigures"/>
              <w:jc w:val="center"/>
              <w:rPr>
                <w:rStyle w:val="NotesStyle"/>
                <w:rFonts w:ascii="IBM Plex Sans Light" w:hAnsi="IBM Plex Sans Light"/>
                <w:spacing w:val="-4"/>
                <w:sz w:val="16"/>
                <w:szCs w:val="16"/>
              </w:rPr>
            </w:pPr>
          </w:p>
        </w:tc>
        <w:tc>
          <w:tcPr>
            <w:tcW w:w="850" w:type="dxa"/>
            <w:tcMar>
              <w:left w:w="0" w:type="dxa"/>
              <w:right w:w="0" w:type="dxa"/>
            </w:tcMar>
          </w:tcPr>
          <w:p w14:paraId="3020D8AF" w14:textId="0327D0AF"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(1.1)</w:t>
            </w:r>
          </w:p>
        </w:tc>
        <w:tc>
          <w:tcPr>
            <w:tcW w:w="851" w:type="dxa"/>
            <w:tcBorders>
              <w:right w:val="single" w:sz="4" w:space="0" w:color="3D7FE0" w:themeColor="accent1"/>
            </w:tcBorders>
            <w:tcMar>
              <w:left w:w="0" w:type="dxa"/>
              <w:right w:w="0" w:type="dxa"/>
            </w:tcMar>
          </w:tcPr>
          <w:p w14:paraId="77258CD5" w14:textId="4FD6DA84"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w:t>
            </w:r>
          </w:p>
        </w:tc>
        <w:tc>
          <w:tcPr>
            <w:tcW w:w="992" w:type="dxa"/>
            <w:tcBorders>
              <w:left w:val="single" w:sz="4" w:space="0" w:color="3D7FE0" w:themeColor="accent1"/>
            </w:tcBorders>
            <w:tcMar>
              <w:left w:w="0" w:type="dxa"/>
              <w:right w:w="0" w:type="dxa"/>
            </w:tcMar>
          </w:tcPr>
          <w:p w14:paraId="7698D0B8" w14:textId="42020AC1"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(1.1)</w:t>
            </w:r>
          </w:p>
        </w:tc>
        <w:tc>
          <w:tcPr>
            <w:tcW w:w="850" w:type="dxa"/>
          </w:tcPr>
          <w:p w14:paraId="5F8C2119" w14:textId="790AA817"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1.1</w:t>
            </w:r>
          </w:p>
        </w:tc>
        <w:tc>
          <w:tcPr>
            <w:tcW w:w="853" w:type="dxa"/>
            <w:tcBorders>
              <w:right w:val="single" w:sz="4" w:space="0" w:color="3D7FE0" w:themeColor="accent1"/>
            </w:tcBorders>
            <w:tcMar>
              <w:left w:w="0" w:type="dxa"/>
              <w:right w:w="0" w:type="dxa"/>
            </w:tcMar>
          </w:tcPr>
          <w:p w14:paraId="1DDE9879" w14:textId="1FFA96DF"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67CD63C9" w14:textId="77777777" w:rsidTr="0093148D">
        <w:trPr>
          <w:trHeight w:val="70"/>
        </w:trPr>
        <w:tc>
          <w:tcPr>
            <w:tcW w:w="4678" w:type="dxa"/>
            <w:tcMar>
              <w:left w:w="0" w:type="dxa"/>
              <w:right w:w="0" w:type="dxa"/>
            </w:tcMar>
            <w:vAlign w:val="bottom"/>
          </w:tcPr>
          <w:p w14:paraId="6B6FE3BF" w14:textId="72E6F4FC" w:rsidR="00546C56" w:rsidRPr="00895810" w:rsidRDefault="00546C56" w:rsidP="00546C56">
            <w:pPr>
              <w:pStyle w:val="Tabletext"/>
              <w:rPr>
                <w:rFonts w:ascii="IBM Plex Sans Light" w:hAnsi="IBM Plex Sans Light"/>
                <w:spacing w:val="-4"/>
                <w:sz w:val="18"/>
                <w:szCs w:val="18"/>
                <w:vertAlign w:val="superscript"/>
              </w:rPr>
            </w:pPr>
            <w:r w:rsidRPr="00895810">
              <w:rPr>
                <w:rFonts w:ascii="IBM Plex Sans Light" w:hAnsi="IBM Plex Sans Light"/>
                <w:color w:val="auto"/>
                <w:spacing w:val="-4"/>
                <w:sz w:val="18"/>
                <w:szCs w:val="18"/>
              </w:rPr>
              <w:t>Loss on sale of joint ventures and associates</w:t>
            </w:r>
          </w:p>
        </w:tc>
        <w:tc>
          <w:tcPr>
            <w:tcW w:w="284" w:type="dxa"/>
            <w:vAlign w:val="bottom"/>
          </w:tcPr>
          <w:p w14:paraId="01C9C17A" w14:textId="4CC6386F" w:rsidR="00546C56" w:rsidRPr="00895810" w:rsidRDefault="00546C56" w:rsidP="00546C56">
            <w:pPr>
              <w:pStyle w:val="Tabletext"/>
              <w:jc w:val="center"/>
              <w:rPr>
                <w:rFonts w:ascii="IBM Plex Sans Light" w:hAnsi="IBM Plex Sans Light"/>
                <w:spacing w:val="-4"/>
                <w:sz w:val="18"/>
                <w:szCs w:val="18"/>
                <w:vertAlign w:val="superscript"/>
              </w:rPr>
            </w:pPr>
          </w:p>
        </w:tc>
        <w:tc>
          <w:tcPr>
            <w:tcW w:w="567" w:type="dxa"/>
            <w:tcMar>
              <w:left w:w="0" w:type="dxa"/>
              <w:right w:w="0" w:type="dxa"/>
            </w:tcMar>
            <w:vAlign w:val="bottom"/>
          </w:tcPr>
          <w:p w14:paraId="34100D09" w14:textId="09304BB7" w:rsidR="00546C56" w:rsidRPr="00895810" w:rsidRDefault="00546C56" w:rsidP="00546C56">
            <w:pPr>
              <w:pStyle w:val="TableFigures"/>
              <w:ind w:right="2"/>
              <w:jc w:val="center"/>
              <w:rPr>
                <w:rStyle w:val="NotesStyle"/>
                <w:rFonts w:ascii="IBM Plex Sans Light" w:hAnsi="IBM Plex Sans Light"/>
                <w:spacing w:val="-4"/>
                <w:sz w:val="16"/>
                <w:szCs w:val="16"/>
              </w:rPr>
            </w:pPr>
          </w:p>
        </w:tc>
        <w:tc>
          <w:tcPr>
            <w:tcW w:w="850" w:type="dxa"/>
            <w:tcMar>
              <w:left w:w="0" w:type="dxa"/>
              <w:right w:w="0" w:type="dxa"/>
            </w:tcMar>
          </w:tcPr>
          <w:p w14:paraId="66D0D016" w14:textId="5C813A2C"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(19.1)</w:t>
            </w:r>
          </w:p>
        </w:tc>
        <w:tc>
          <w:tcPr>
            <w:tcW w:w="851" w:type="dxa"/>
            <w:tcBorders>
              <w:right w:val="single" w:sz="4" w:space="0" w:color="3D7FE0" w:themeColor="accent1"/>
            </w:tcBorders>
            <w:tcMar>
              <w:left w:w="0" w:type="dxa"/>
              <w:right w:w="0" w:type="dxa"/>
            </w:tcMar>
          </w:tcPr>
          <w:p w14:paraId="73CBC736" w14:textId="251CB260"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19.1</w:t>
            </w:r>
          </w:p>
        </w:tc>
        <w:tc>
          <w:tcPr>
            <w:tcW w:w="992" w:type="dxa"/>
            <w:tcBorders>
              <w:left w:val="single" w:sz="4" w:space="0" w:color="3D7FE0" w:themeColor="accent1"/>
            </w:tcBorders>
            <w:tcMar>
              <w:left w:w="0" w:type="dxa"/>
              <w:right w:w="0" w:type="dxa"/>
            </w:tcMar>
          </w:tcPr>
          <w:p w14:paraId="6BA6600B" w14:textId="1D856792" w:rsidR="00546C56" w:rsidRPr="00321BE8" w:rsidRDefault="00546C56" w:rsidP="00321BE8">
            <w:pPr>
              <w:pStyle w:val="TableFigures"/>
              <w:rPr>
                <w:rFonts w:ascii="IBM Plex Sans Medium" w:hAnsi="IBM Plex Sans Medium"/>
                <w:b/>
                <w:bCs/>
                <w:color w:val="3D7FE0" w:themeColor="accent1"/>
                <w:spacing w:val="-4"/>
                <w:sz w:val="18"/>
                <w:szCs w:val="18"/>
              </w:rPr>
            </w:pPr>
            <w:r w:rsidRPr="00321BE8">
              <w:rPr>
                <w:rFonts w:ascii="IBM Plex Sans Medium" w:hAnsi="IBM Plex Sans Medium"/>
                <w:b/>
                <w:bCs/>
                <w:color w:val="3D7FE0" w:themeColor="accent1"/>
                <w:spacing w:val="-4"/>
                <w:sz w:val="18"/>
                <w:szCs w:val="18"/>
              </w:rPr>
              <w:t>–</w:t>
            </w:r>
          </w:p>
        </w:tc>
        <w:tc>
          <w:tcPr>
            <w:tcW w:w="850" w:type="dxa"/>
          </w:tcPr>
          <w:p w14:paraId="6AC0EDC9" w14:textId="20D24A31"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right w:val="single" w:sz="4" w:space="0" w:color="3D7FE0" w:themeColor="accent1"/>
            </w:tcBorders>
            <w:tcMar>
              <w:left w:w="0" w:type="dxa"/>
              <w:right w:w="0" w:type="dxa"/>
            </w:tcMar>
          </w:tcPr>
          <w:p w14:paraId="16F39F9F" w14:textId="27498842"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333C7629" w14:textId="77777777" w:rsidTr="0093148D">
        <w:tc>
          <w:tcPr>
            <w:tcW w:w="4678" w:type="dxa"/>
            <w:tcBorders>
              <w:top w:val="single" w:sz="2" w:space="0" w:color="3D7FE0" w:themeColor="accent1"/>
            </w:tcBorders>
            <w:tcMar>
              <w:left w:w="0" w:type="dxa"/>
              <w:right w:w="0" w:type="dxa"/>
            </w:tcMar>
            <w:vAlign w:val="bottom"/>
          </w:tcPr>
          <w:p w14:paraId="272A754B" w14:textId="6218DEB9" w:rsidR="00546C56" w:rsidRPr="00895810" w:rsidRDefault="00546C56" w:rsidP="00546C56">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Other net gains</w:t>
            </w:r>
          </w:p>
        </w:tc>
        <w:tc>
          <w:tcPr>
            <w:tcW w:w="284" w:type="dxa"/>
            <w:tcBorders>
              <w:top w:val="single" w:sz="2" w:space="0" w:color="3D7FE0" w:themeColor="accent1"/>
            </w:tcBorders>
            <w:vAlign w:val="bottom"/>
          </w:tcPr>
          <w:p w14:paraId="717F7D48" w14:textId="1BA1BF09"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top w:val="single" w:sz="2" w:space="0" w:color="3D7FE0" w:themeColor="accent1"/>
            </w:tcBorders>
            <w:tcMar>
              <w:left w:w="0" w:type="dxa"/>
              <w:right w:w="0" w:type="dxa"/>
            </w:tcMar>
            <w:vAlign w:val="bottom"/>
          </w:tcPr>
          <w:p w14:paraId="42F6177C" w14:textId="77777777" w:rsidR="00546C56" w:rsidRPr="00895810" w:rsidRDefault="00546C56" w:rsidP="00546C56">
            <w:pPr>
              <w:pStyle w:val="TableFigures"/>
              <w:ind w:left="-142"/>
              <w:jc w:val="center"/>
              <w:rPr>
                <w:rStyle w:val="NotesStyle"/>
                <w:rFonts w:ascii="IBM Plex Sans Light" w:hAnsi="IBM Plex Sans Light"/>
                <w:b/>
                <w:spacing w:val="-4"/>
                <w:sz w:val="16"/>
                <w:szCs w:val="16"/>
              </w:rPr>
            </w:pPr>
          </w:p>
        </w:tc>
        <w:tc>
          <w:tcPr>
            <w:tcW w:w="850" w:type="dxa"/>
            <w:tcBorders>
              <w:top w:val="single" w:sz="2" w:space="0" w:color="3D7FE0" w:themeColor="accent1"/>
            </w:tcBorders>
            <w:tcMar>
              <w:left w:w="0" w:type="dxa"/>
              <w:right w:w="0" w:type="dxa"/>
            </w:tcMar>
          </w:tcPr>
          <w:p w14:paraId="75EFD246" w14:textId="6BA95FB8"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1.2</w:t>
            </w:r>
          </w:p>
        </w:tc>
        <w:tc>
          <w:tcPr>
            <w:tcW w:w="851" w:type="dxa"/>
            <w:tcBorders>
              <w:top w:val="single" w:sz="2" w:space="0" w:color="3D7FE0" w:themeColor="accent1"/>
              <w:right w:val="single" w:sz="4" w:space="0" w:color="3D7FE0" w:themeColor="accent1"/>
            </w:tcBorders>
            <w:tcMar>
              <w:left w:w="0" w:type="dxa"/>
              <w:right w:w="0" w:type="dxa"/>
            </w:tcMar>
          </w:tcPr>
          <w:p w14:paraId="0C62CCA8" w14:textId="6E4A4F51"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w:t>
            </w:r>
          </w:p>
        </w:tc>
        <w:tc>
          <w:tcPr>
            <w:tcW w:w="992" w:type="dxa"/>
            <w:tcBorders>
              <w:top w:val="single" w:sz="2" w:space="0" w:color="3D7FE0" w:themeColor="accent1"/>
              <w:left w:val="single" w:sz="4" w:space="0" w:color="3D7FE0" w:themeColor="accent1"/>
            </w:tcBorders>
            <w:tcMar>
              <w:left w:w="0" w:type="dxa"/>
              <w:right w:w="0" w:type="dxa"/>
            </w:tcMar>
          </w:tcPr>
          <w:p w14:paraId="4551FB02" w14:textId="12776395"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1.2</w:t>
            </w:r>
          </w:p>
        </w:tc>
        <w:tc>
          <w:tcPr>
            <w:tcW w:w="850" w:type="dxa"/>
            <w:tcBorders>
              <w:top w:val="single" w:sz="2" w:space="0" w:color="3D7FE0" w:themeColor="accent1"/>
            </w:tcBorders>
          </w:tcPr>
          <w:p w14:paraId="75175B7B" w14:textId="2CC95A51" w:rsidR="00546C56" w:rsidRPr="00546C56" w:rsidRDefault="00546C56" w:rsidP="00546C56">
            <w:pPr>
              <w:pStyle w:val="TableFiguresBracket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(1.2)</w:t>
            </w:r>
          </w:p>
        </w:tc>
        <w:tc>
          <w:tcPr>
            <w:tcW w:w="853" w:type="dxa"/>
            <w:tcBorders>
              <w:top w:val="single" w:sz="2" w:space="0" w:color="3D7FE0" w:themeColor="accent1"/>
              <w:right w:val="single" w:sz="4" w:space="0" w:color="3D7FE0" w:themeColor="accent1"/>
            </w:tcBorders>
            <w:tcMar>
              <w:left w:w="0" w:type="dxa"/>
              <w:right w:w="0" w:type="dxa"/>
            </w:tcMar>
          </w:tcPr>
          <w:p w14:paraId="1C1D8322" w14:textId="4F174B4E" w:rsidR="00546C56" w:rsidRPr="00546C56" w:rsidRDefault="00321BE8"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2E440C32" w14:textId="77777777" w:rsidTr="0093148D">
        <w:tc>
          <w:tcPr>
            <w:tcW w:w="4678" w:type="dxa"/>
            <w:tcMar>
              <w:left w:w="0" w:type="dxa"/>
              <w:right w:w="0" w:type="dxa"/>
            </w:tcMar>
            <w:vAlign w:val="bottom"/>
          </w:tcPr>
          <w:p w14:paraId="6B3CEECB" w14:textId="77777777" w:rsidR="00546C56" w:rsidRPr="00895810" w:rsidRDefault="00546C56" w:rsidP="00546C56">
            <w:pPr>
              <w:pStyle w:val="TabletextBold"/>
              <w:rPr>
                <w:rFonts w:ascii="IBM Plex Sans Light" w:hAnsi="IBM Plex Sans Light"/>
                <w:bCs/>
                <w:color w:val="3D7FE0" w:themeColor="accent1"/>
                <w:sz w:val="18"/>
                <w:szCs w:val="18"/>
              </w:rPr>
            </w:pPr>
          </w:p>
        </w:tc>
        <w:tc>
          <w:tcPr>
            <w:tcW w:w="284" w:type="dxa"/>
            <w:vAlign w:val="bottom"/>
          </w:tcPr>
          <w:p w14:paraId="2AEAF8A4" w14:textId="10F39236"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Mar>
              <w:left w:w="0" w:type="dxa"/>
              <w:right w:w="0" w:type="dxa"/>
            </w:tcMar>
            <w:vAlign w:val="bottom"/>
          </w:tcPr>
          <w:p w14:paraId="13518053" w14:textId="77777777" w:rsidR="00546C56" w:rsidRPr="00895810" w:rsidRDefault="00546C56" w:rsidP="00546C56">
            <w:pPr>
              <w:pStyle w:val="TableFigures"/>
              <w:ind w:left="-142"/>
              <w:jc w:val="center"/>
              <w:rPr>
                <w:rStyle w:val="NotesStyle"/>
                <w:rFonts w:ascii="IBM Plex Sans Light" w:hAnsi="IBM Plex Sans Light"/>
                <w:b/>
                <w:spacing w:val="-4"/>
                <w:sz w:val="16"/>
                <w:szCs w:val="16"/>
              </w:rPr>
            </w:pPr>
          </w:p>
        </w:tc>
        <w:tc>
          <w:tcPr>
            <w:tcW w:w="850" w:type="dxa"/>
            <w:tcMar>
              <w:left w:w="0" w:type="dxa"/>
              <w:right w:w="0" w:type="dxa"/>
            </w:tcMar>
          </w:tcPr>
          <w:p w14:paraId="38B4B456" w14:textId="4E27731A"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07772C53" w14:textId="6354FAD4"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992" w:type="dxa"/>
            <w:tcBorders>
              <w:left w:val="single" w:sz="4" w:space="0" w:color="3D7FE0" w:themeColor="accent1"/>
            </w:tcBorders>
            <w:tcMar>
              <w:left w:w="0" w:type="dxa"/>
              <w:right w:w="0" w:type="dxa"/>
            </w:tcMar>
          </w:tcPr>
          <w:p w14:paraId="01EC20E8" w14:textId="0EA4CCE4"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850" w:type="dxa"/>
          </w:tcPr>
          <w:p w14:paraId="5AB712F6" w14:textId="3DCA22C6"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3C5F476E" w14:textId="77777777"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252A98F7" w14:textId="77777777" w:rsidTr="0093148D">
        <w:tc>
          <w:tcPr>
            <w:tcW w:w="4678" w:type="dxa"/>
            <w:tcMar>
              <w:left w:w="0" w:type="dxa"/>
              <w:right w:w="0" w:type="dxa"/>
            </w:tcMar>
            <w:vAlign w:val="bottom"/>
          </w:tcPr>
          <w:p w14:paraId="1DA2FDE9" w14:textId="77777777" w:rsidR="00546C56" w:rsidRPr="00895810" w:rsidRDefault="00546C56" w:rsidP="00546C56">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Share of results of joint ventures</w:t>
            </w:r>
          </w:p>
        </w:tc>
        <w:tc>
          <w:tcPr>
            <w:tcW w:w="284" w:type="dxa"/>
            <w:vAlign w:val="bottom"/>
          </w:tcPr>
          <w:p w14:paraId="1612D2F1" w14:textId="76B5203F"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Mar>
              <w:left w:w="0" w:type="dxa"/>
              <w:right w:w="0" w:type="dxa"/>
            </w:tcMar>
            <w:vAlign w:val="bottom"/>
          </w:tcPr>
          <w:p w14:paraId="6B331C00" w14:textId="48E2B5AE" w:rsidR="00546C56" w:rsidRPr="00895810" w:rsidRDefault="00546C56" w:rsidP="00546C56">
            <w:pPr>
              <w:pStyle w:val="TableFigures"/>
              <w:jc w:val="center"/>
              <w:rPr>
                <w:rStyle w:val="NotesStyle"/>
                <w:rFonts w:ascii="IBM Plex Sans Light" w:hAnsi="IBM Plex Sans Light"/>
                <w:b/>
                <w:spacing w:val="-4"/>
                <w:sz w:val="16"/>
                <w:szCs w:val="16"/>
              </w:rPr>
            </w:pPr>
            <w:r w:rsidRPr="00895810">
              <w:rPr>
                <w:rStyle w:val="NotesStyle"/>
                <w:rFonts w:ascii="IBM Plex Sans Light" w:hAnsi="IBM Plex Sans Light"/>
                <w:spacing w:val="-4"/>
                <w:sz w:val="16"/>
                <w:szCs w:val="16"/>
              </w:rPr>
              <w:t>1</w:t>
            </w:r>
            <w:r>
              <w:rPr>
                <w:rStyle w:val="NotesStyle"/>
                <w:rFonts w:ascii="IBM Plex Sans Light" w:hAnsi="IBM Plex Sans Light"/>
                <w:spacing w:val="-4"/>
                <w:sz w:val="16"/>
                <w:szCs w:val="16"/>
              </w:rPr>
              <w:t>2</w:t>
            </w:r>
            <w:r w:rsidRPr="00895810">
              <w:rPr>
                <w:rStyle w:val="NotesStyle"/>
                <w:rFonts w:ascii="IBM Plex Sans Light" w:hAnsi="IBM Plex Sans Light"/>
                <w:spacing w:val="-4"/>
                <w:sz w:val="16"/>
                <w:szCs w:val="16"/>
              </w:rPr>
              <w:t>B</w:t>
            </w:r>
          </w:p>
        </w:tc>
        <w:tc>
          <w:tcPr>
            <w:tcW w:w="850" w:type="dxa"/>
            <w:tcMar>
              <w:left w:w="0" w:type="dxa"/>
              <w:right w:w="0" w:type="dxa"/>
            </w:tcMar>
          </w:tcPr>
          <w:p w14:paraId="22C60B89" w14:textId="26BEB1AD"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9.4</w:t>
            </w:r>
          </w:p>
        </w:tc>
        <w:tc>
          <w:tcPr>
            <w:tcW w:w="851" w:type="dxa"/>
            <w:tcBorders>
              <w:right w:val="single" w:sz="4" w:space="0" w:color="3D7FE0" w:themeColor="accent1"/>
            </w:tcBorders>
            <w:tcMar>
              <w:left w:w="0" w:type="dxa"/>
              <w:right w:w="0" w:type="dxa"/>
            </w:tcMar>
          </w:tcPr>
          <w:p w14:paraId="22B55107" w14:textId="7CB312DC" w:rsidR="00546C56" w:rsidRPr="00546C56" w:rsidRDefault="00546C56" w:rsidP="00546C56">
            <w:pPr>
              <w:pStyle w:val="TableFiguresBracket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(9.4)</w:t>
            </w:r>
          </w:p>
        </w:tc>
        <w:tc>
          <w:tcPr>
            <w:tcW w:w="992" w:type="dxa"/>
            <w:tcBorders>
              <w:left w:val="single" w:sz="4" w:space="0" w:color="3D7FE0" w:themeColor="accent1"/>
            </w:tcBorders>
            <w:tcMar>
              <w:left w:w="0" w:type="dxa"/>
              <w:right w:w="0" w:type="dxa"/>
            </w:tcMar>
          </w:tcPr>
          <w:p w14:paraId="20F22D3F" w14:textId="7CE77A07"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w:t>
            </w:r>
          </w:p>
        </w:tc>
        <w:tc>
          <w:tcPr>
            <w:tcW w:w="850" w:type="dxa"/>
          </w:tcPr>
          <w:p w14:paraId="4A59A867" w14:textId="57416556"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right w:val="single" w:sz="4" w:space="0" w:color="3D7FE0" w:themeColor="accent1"/>
            </w:tcBorders>
            <w:tcMar>
              <w:left w:w="0" w:type="dxa"/>
              <w:right w:w="0" w:type="dxa"/>
            </w:tcMar>
          </w:tcPr>
          <w:p w14:paraId="79C4D478" w14:textId="02D98BC2"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6374C02D" w14:textId="77777777" w:rsidTr="0093148D">
        <w:tc>
          <w:tcPr>
            <w:tcW w:w="4678" w:type="dxa"/>
            <w:tcMar>
              <w:left w:w="0" w:type="dxa"/>
              <w:right w:w="0" w:type="dxa"/>
            </w:tcMar>
            <w:vAlign w:val="bottom"/>
          </w:tcPr>
          <w:p w14:paraId="2C5B816B" w14:textId="3ACC13B3" w:rsidR="00546C56" w:rsidRPr="00895810" w:rsidRDefault="00546C56" w:rsidP="00546C56">
            <w:pPr>
              <w:pStyle w:val="TabletextBold"/>
              <w:rPr>
                <w:rFonts w:ascii="IBM Plex Sans Light" w:hAnsi="IBM Plex Sans Light"/>
                <w:bCs/>
                <w:color w:val="3D7FE0" w:themeColor="accent1"/>
                <w:sz w:val="18"/>
                <w:szCs w:val="18"/>
              </w:rPr>
            </w:pPr>
            <w:r>
              <w:rPr>
                <w:rFonts w:ascii="IBM Plex Sans Light" w:hAnsi="IBM Plex Sans Light"/>
                <w:bCs/>
                <w:color w:val="3D7FE0" w:themeColor="accent1"/>
                <w:sz w:val="18"/>
                <w:szCs w:val="18"/>
              </w:rPr>
              <w:t>Impairment of joint venture</w:t>
            </w:r>
          </w:p>
        </w:tc>
        <w:tc>
          <w:tcPr>
            <w:tcW w:w="284" w:type="dxa"/>
            <w:vAlign w:val="bottom"/>
          </w:tcPr>
          <w:p w14:paraId="4D80BD03" w14:textId="77777777"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Mar>
              <w:left w:w="0" w:type="dxa"/>
              <w:right w:w="0" w:type="dxa"/>
            </w:tcMar>
            <w:vAlign w:val="bottom"/>
          </w:tcPr>
          <w:p w14:paraId="5EDFFF71" w14:textId="77777777" w:rsidR="00546C56" w:rsidRPr="00895810" w:rsidRDefault="00546C56" w:rsidP="00546C56">
            <w:pPr>
              <w:pStyle w:val="TableFigures"/>
              <w:jc w:val="center"/>
              <w:rPr>
                <w:rStyle w:val="NotesStyle"/>
                <w:rFonts w:ascii="IBM Plex Sans Light" w:hAnsi="IBM Plex Sans Light"/>
                <w:spacing w:val="-4"/>
                <w:sz w:val="16"/>
                <w:szCs w:val="16"/>
              </w:rPr>
            </w:pPr>
          </w:p>
        </w:tc>
        <w:tc>
          <w:tcPr>
            <w:tcW w:w="850" w:type="dxa"/>
            <w:tcMar>
              <w:left w:w="0" w:type="dxa"/>
              <w:right w:w="0" w:type="dxa"/>
            </w:tcMar>
          </w:tcPr>
          <w:p w14:paraId="52578CB5" w14:textId="6ED33A16"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(22.2)</w:t>
            </w:r>
          </w:p>
        </w:tc>
        <w:tc>
          <w:tcPr>
            <w:tcW w:w="851" w:type="dxa"/>
            <w:tcBorders>
              <w:right w:val="single" w:sz="4" w:space="0" w:color="3D7FE0" w:themeColor="accent1"/>
            </w:tcBorders>
            <w:tcMar>
              <w:left w:w="0" w:type="dxa"/>
              <w:right w:w="0" w:type="dxa"/>
            </w:tcMar>
          </w:tcPr>
          <w:p w14:paraId="03BDE2DC" w14:textId="38684911"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w:t>
            </w:r>
          </w:p>
        </w:tc>
        <w:tc>
          <w:tcPr>
            <w:tcW w:w="992" w:type="dxa"/>
            <w:tcBorders>
              <w:left w:val="single" w:sz="4" w:space="0" w:color="3D7FE0" w:themeColor="accent1"/>
            </w:tcBorders>
            <w:tcMar>
              <w:left w:w="0" w:type="dxa"/>
              <w:right w:w="0" w:type="dxa"/>
            </w:tcMar>
          </w:tcPr>
          <w:p w14:paraId="26B4C300" w14:textId="13C7F150"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(22.2)</w:t>
            </w:r>
          </w:p>
        </w:tc>
        <w:tc>
          <w:tcPr>
            <w:tcW w:w="850" w:type="dxa"/>
          </w:tcPr>
          <w:p w14:paraId="7FA9AFDD" w14:textId="78813F42"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22.2</w:t>
            </w:r>
          </w:p>
        </w:tc>
        <w:tc>
          <w:tcPr>
            <w:tcW w:w="853" w:type="dxa"/>
            <w:tcBorders>
              <w:right w:val="single" w:sz="4" w:space="0" w:color="3D7FE0" w:themeColor="accent1"/>
            </w:tcBorders>
            <w:tcMar>
              <w:left w:w="0" w:type="dxa"/>
              <w:right w:w="0" w:type="dxa"/>
            </w:tcMar>
          </w:tcPr>
          <w:p w14:paraId="2BCC9B76" w14:textId="1164C5D5"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r>
      <w:tr w:rsidR="00546C56" w:rsidRPr="00895810" w14:paraId="3AFEDE76" w14:textId="77777777" w:rsidTr="0093148D">
        <w:trPr>
          <w:trHeight w:val="74"/>
        </w:trPr>
        <w:tc>
          <w:tcPr>
            <w:tcW w:w="4678" w:type="dxa"/>
            <w:tcBorders>
              <w:bottom w:val="single" w:sz="2" w:space="0" w:color="3D7FE0" w:themeColor="accent1"/>
            </w:tcBorders>
            <w:tcMar>
              <w:left w:w="0" w:type="dxa"/>
              <w:right w:w="0" w:type="dxa"/>
            </w:tcMar>
            <w:vAlign w:val="bottom"/>
          </w:tcPr>
          <w:p w14:paraId="3907AE43" w14:textId="77777777" w:rsidR="00546C56" w:rsidRPr="00895810" w:rsidRDefault="00546C56" w:rsidP="00546C56">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Share of results of associates</w:t>
            </w:r>
          </w:p>
        </w:tc>
        <w:tc>
          <w:tcPr>
            <w:tcW w:w="284" w:type="dxa"/>
            <w:tcBorders>
              <w:bottom w:val="single" w:sz="2" w:space="0" w:color="3D7FE0" w:themeColor="accent1"/>
            </w:tcBorders>
            <w:vAlign w:val="bottom"/>
          </w:tcPr>
          <w:p w14:paraId="6E3AF739" w14:textId="0A7B58BB"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bottom w:val="single" w:sz="2" w:space="0" w:color="3D7FE0" w:themeColor="accent1"/>
            </w:tcBorders>
            <w:tcMar>
              <w:left w:w="0" w:type="dxa"/>
              <w:right w:w="0" w:type="dxa"/>
            </w:tcMar>
            <w:vAlign w:val="bottom"/>
          </w:tcPr>
          <w:p w14:paraId="672B2816" w14:textId="62053149" w:rsidR="00546C56" w:rsidRPr="00895810" w:rsidRDefault="00546C56" w:rsidP="00546C56">
            <w:pPr>
              <w:pStyle w:val="TableFigures"/>
              <w:jc w:val="center"/>
              <w:rPr>
                <w:rStyle w:val="NotesStyle"/>
                <w:rFonts w:ascii="IBM Plex Sans Light" w:hAnsi="IBM Plex Sans Light"/>
                <w:b/>
                <w:spacing w:val="-4"/>
                <w:sz w:val="16"/>
                <w:szCs w:val="16"/>
              </w:rPr>
            </w:pPr>
            <w:r w:rsidRPr="00895810">
              <w:rPr>
                <w:rStyle w:val="NotesStyle"/>
                <w:rFonts w:ascii="IBM Plex Sans Light" w:hAnsi="IBM Plex Sans Light"/>
                <w:spacing w:val="-4"/>
                <w:sz w:val="16"/>
                <w:szCs w:val="16"/>
              </w:rPr>
              <w:t>1</w:t>
            </w:r>
            <w:r>
              <w:rPr>
                <w:rStyle w:val="NotesStyle"/>
                <w:rFonts w:ascii="IBM Plex Sans Light" w:hAnsi="IBM Plex Sans Light"/>
                <w:spacing w:val="-4"/>
                <w:sz w:val="16"/>
                <w:szCs w:val="16"/>
              </w:rPr>
              <w:t>3</w:t>
            </w:r>
            <w:r w:rsidRPr="00895810">
              <w:rPr>
                <w:rStyle w:val="NotesStyle"/>
                <w:rFonts w:ascii="IBM Plex Sans Light" w:hAnsi="IBM Plex Sans Light"/>
                <w:spacing w:val="-4"/>
                <w:sz w:val="16"/>
                <w:szCs w:val="16"/>
              </w:rPr>
              <w:t>B</w:t>
            </w:r>
          </w:p>
        </w:tc>
        <w:tc>
          <w:tcPr>
            <w:tcW w:w="850" w:type="dxa"/>
            <w:tcBorders>
              <w:bottom w:val="single" w:sz="2" w:space="0" w:color="3D7FE0" w:themeColor="accent1"/>
            </w:tcBorders>
            <w:tcMar>
              <w:left w:w="0" w:type="dxa"/>
              <w:right w:w="0" w:type="dxa"/>
            </w:tcMar>
          </w:tcPr>
          <w:p w14:paraId="7DADC0DC" w14:textId="620643C9"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16.0</w:t>
            </w:r>
          </w:p>
        </w:tc>
        <w:tc>
          <w:tcPr>
            <w:tcW w:w="851" w:type="dxa"/>
            <w:tcBorders>
              <w:bottom w:val="single" w:sz="2" w:space="0" w:color="3D7FE0" w:themeColor="accent1"/>
              <w:right w:val="single" w:sz="4" w:space="0" w:color="3D7FE0" w:themeColor="accent1"/>
            </w:tcBorders>
            <w:tcMar>
              <w:left w:w="0" w:type="dxa"/>
              <w:right w:w="0" w:type="dxa"/>
            </w:tcMar>
          </w:tcPr>
          <w:p w14:paraId="0DCCB535" w14:textId="256353D5"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(1.2)</w:t>
            </w:r>
          </w:p>
        </w:tc>
        <w:tc>
          <w:tcPr>
            <w:tcW w:w="992" w:type="dxa"/>
            <w:tcBorders>
              <w:left w:val="single" w:sz="4" w:space="0" w:color="3D7FE0" w:themeColor="accent1"/>
              <w:bottom w:val="single" w:sz="2" w:space="0" w:color="3D7FE0" w:themeColor="accent1"/>
            </w:tcBorders>
            <w:tcMar>
              <w:left w:w="0" w:type="dxa"/>
              <w:right w:w="0" w:type="dxa"/>
            </w:tcMar>
          </w:tcPr>
          <w:p w14:paraId="01505A58" w14:textId="6E93D5BD"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14.8</w:t>
            </w:r>
          </w:p>
        </w:tc>
        <w:tc>
          <w:tcPr>
            <w:tcW w:w="850" w:type="dxa"/>
            <w:tcBorders>
              <w:bottom w:val="single" w:sz="2" w:space="0" w:color="3D7FE0" w:themeColor="accent1"/>
            </w:tcBorders>
          </w:tcPr>
          <w:p w14:paraId="0F8C2F11" w14:textId="387B98D0"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17.3</w:t>
            </w:r>
          </w:p>
        </w:tc>
        <w:tc>
          <w:tcPr>
            <w:tcW w:w="853" w:type="dxa"/>
            <w:tcBorders>
              <w:bottom w:val="single" w:sz="2" w:space="0" w:color="3D7FE0" w:themeColor="accent1"/>
              <w:right w:val="single" w:sz="4" w:space="0" w:color="3D7FE0" w:themeColor="accent1"/>
            </w:tcBorders>
            <w:tcMar>
              <w:left w:w="0" w:type="dxa"/>
              <w:right w:w="0" w:type="dxa"/>
            </w:tcMar>
          </w:tcPr>
          <w:p w14:paraId="4CC59C51" w14:textId="78A245CA"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32.1</w:t>
            </w:r>
          </w:p>
        </w:tc>
      </w:tr>
      <w:tr w:rsidR="00546C56" w:rsidRPr="00895810" w14:paraId="138CB821" w14:textId="77777777" w:rsidTr="0093148D">
        <w:tc>
          <w:tcPr>
            <w:tcW w:w="4678" w:type="dxa"/>
            <w:tcBorders>
              <w:top w:val="single" w:sz="2" w:space="0" w:color="3D7FE0" w:themeColor="accent1"/>
            </w:tcBorders>
            <w:tcMar>
              <w:left w:w="0" w:type="dxa"/>
              <w:right w:w="0" w:type="dxa"/>
            </w:tcMar>
            <w:vAlign w:val="bottom"/>
          </w:tcPr>
          <w:p w14:paraId="56B575F7" w14:textId="421C8A0D" w:rsidR="00546C56" w:rsidRPr="00895810" w:rsidRDefault="00546C56" w:rsidP="00546C56">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Operating</w:t>
            </w:r>
            <w:r w:rsidR="00FC6179">
              <w:rPr>
                <w:rFonts w:ascii="IBM Plex Sans Light" w:hAnsi="IBM Plex Sans Light"/>
                <w:bCs/>
                <w:color w:val="3D7FE0" w:themeColor="accent1"/>
                <w:sz w:val="18"/>
                <w:szCs w:val="18"/>
              </w:rPr>
              <w:t xml:space="preserve"> (loss)/</w:t>
            </w:r>
            <w:r w:rsidRPr="00895810">
              <w:rPr>
                <w:rFonts w:ascii="IBM Plex Sans Light" w:hAnsi="IBM Plex Sans Light"/>
                <w:bCs/>
                <w:color w:val="3D7FE0" w:themeColor="accent1"/>
                <w:sz w:val="18"/>
                <w:szCs w:val="18"/>
              </w:rPr>
              <w:t>profit</w:t>
            </w:r>
          </w:p>
        </w:tc>
        <w:tc>
          <w:tcPr>
            <w:tcW w:w="284" w:type="dxa"/>
            <w:tcBorders>
              <w:top w:val="single" w:sz="2" w:space="0" w:color="3D7FE0" w:themeColor="accent1"/>
            </w:tcBorders>
            <w:vAlign w:val="bottom"/>
          </w:tcPr>
          <w:p w14:paraId="5EA93333" w14:textId="01593791"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top w:val="single" w:sz="2" w:space="0" w:color="3D7FE0" w:themeColor="accent1"/>
            </w:tcBorders>
            <w:tcMar>
              <w:left w:w="0" w:type="dxa"/>
              <w:right w:w="0" w:type="dxa"/>
            </w:tcMar>
            <w:vAlign w:val="bottom"/>
          </w:tcPr>
          <w:p w14:paraId="1C1E1FAB" w14:textId="77777777" w:rsidR="00546C56" w:rsidRPr="00895810" w:rsidRDefault="00546C56" w:rsidP="00546C56">
            <w:pPr>
              <w:spacing w:after="0" w:line="240" w:lineRule="auto"/>
              <w:jc w:val="center"/>
              <w:rPr>
                <w:rFonts w:ascii="IBM Plex Sans Light" w:hAnsi="IBM Plex Sans Light" w:cs="Arial"/>
                <w:sz w:val="16"/>
                <w:szCs w:val="16"/>
              </w:rPr>
            </w:pPr>
          </w:p>
        </w:tc>
        <w:tc>
          <w:tcPr>
            <w:tcW w:w="850" w:type="dxa"/>
            <w:tcBorders>
              <w:top w:val="single" w:sz="2" w:space="0" w:color="3D7FE0" w:themeColor="accent1"/>
            </w:tcBorders>
            <w:tcMar>
              <w:left w:w="0" w:type="dxa"/>
              <w:right w:w="0" w:type="dxa"/>
            </w:tcMar>
          </w:tcPr>
          <w:p w14:paraId="4AB1AB6D" w14:textId="045C5B9C"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(14.6)</w:t>
            </w:r>
          </w:p>
        </w:tc>
        <w:tc>
          <w:tcPr>
            <w:tcW w:w="851" w:type="dxa"/>
            <w:tcBorders>
              <w:top w:val="single" w:sz="2" w:space="0" w:color="3D7FE0" w:themeColor="accent1"/>
              <w:right w:val="single" w:sz="4" w:space="0" w:color="3D7FE0" w:themeColor="accent1"/>
            </w:tcBorders>
            <w:tcMar>
              <w:left w:w="0" w:type="dxa"/>
              <w:right w:w="0" w:type="dxa"/>
            </w:tcMar>
          </w:tcPr>
          <w:p w14:paraId="1D0A594E" w14:textId="663321A6"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6.7</w:t>
            </w:r>
          </w:p>
        </w:tc>
        <w:tc>
          <w:tcPr>
            <w:tcW w:w="992" w:type="dxa"/>
            <w:tcBorders>
              <w:top w:val="single" w:sz="2" w:space="0" w:color="3D7FE0" w:themeColor="accent1"/>
              <w:left w:val="single" w:sz="4" w:space="0" w:color="3D7FE0" w:themeColor="accent1"/>
            </w:tcBorders>
            <w:tcMar>
              <w:left w:w="0" w:type="dxa"/>
              <w:right w:w="0" w:type="dxa"/>
            </w:tcMar>
          </w:tcPr>
          <w:p w14:paraId="3110BD9C" w14:textId="529EBD10"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(7.9)</w:t>
            </w:r>
          </w:p>
        </w:tc>
        <w:tc>
          <w:tcPr>
            <w:tcW w:w="850" w:type="dxa"/>
            <w:tcBorders>
              <w:top w:val="single" w:sz="2" w:space="0" w:color="3D7FE0" w:themeColor="accent1"/>
            </w:tcBorders>
          </w:tcPr>
          <w:p w14:paraId="798E0E29" w14:textId="2EC7EDE6" w:rsidR="00546C56" w:rsidRPr="00546C56" w:rsidRDefault="00546C56" w:rsidP="00D9524D">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170.9</w:t>
            </w:r>
          </w:p>
        </w:tc>
        <w:tc>
          <w:tcPr>
            <w:tcW w:w="853" w:type="dxa"/>
            <w:tcBorders>
              <w:top w:val="single" w:sz="2" w:space="0" w:color="3D7FE0" w:themeColor="accent1"/>
              <w:right w:val="single" w:sz="4" w:space="0" w:color="3D7FE0" w:themeColor="accent1"/>
            </w:tcBorders>
            <w:tcMar>
              <w:left w:w="0" w:type="dxa"/>
              <w:right w:w="0" w:type="dxa"/>
            </w:tcMar>
          </w:tcPr>
          <w:p w14:paraId="3931B131" w14:textId="46FE5749"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163.0</w:t>
            </w:r>
          </w:p>
        </w:tc>
      </w:tr>
      <w:tr w:rsidR="00546C56" w:rsidRPr="00895810" w14:paraId="27AAE361" w14:textId="77777777" w:rsidTr="0093148D">
        <w:trPr>
          <w:trHeight w:hRule="exact" w:val="170"/>
        </w:trPr>
        <w:tc>
          <w:tcPr>
            <w:tcW w:w="4678" w:type="dxa"/>
            <w:tcMar>
              <w:left w:w="0" w:type="dxa"/>
              <w:right w:w="0" w:type="dxa"/>
            </w:tcMar>
            <w:vAlign w:val="bottom"/>
          </w:tcPr>
          <w:p w14:paraId="2476EC70" w14:textId="77777777" w:rsidR="00546C56" w:rsidRPr="00895810" w:rsidRDefault="00546C56" w:rsidP="00546C56">
            <w:pPr>
              <w:spacing w:after="0" w:line="240" w:lineRule="auto"/>
              <w:jc w:val="both"/>
              <w:rPr>
                <w:rFonts w:ascii="IBM Plex Sans Light" w:hAnsi="IBM Plex Sans Light" w:cs="Arial"/>
                <w:b/>
                <w:szCs w:val="18"/>
              </w:rPr>
            </w:pPr>
          </w:p>
        </w:tc>
        <w:tc>
          <w:tcPr>
            <w:tcW w:w="284" w:type="dxa"/>
            <w:vAlign w:val="bottom"/>
          </w:tcPr>
          <w:p w14:paraId="18808795" w14:textId="13B511C2" w:rsidR="00546C56" w:rsidRPr="00895810" w:rsidRDefault="00546C56" w:rsidP="00546C56">
            <w:pPr>
              <w:spacing w:after="0" w:line="240" w:lineRule="auto"/>
              <w:jc w:val="center"/>
              <w:rPr>
                <w:rFonts w:ascii="IBM Plex Sans Light" w:hAnsi="IBM Plex Sans Light" w:cs="Arial"/>
                <w:b/>
                <w:szCs w:val="18"/>
              </w:rPr>
            </w:pPr>
          </w:p>
        </w:tc>
        <w:tc>
          <w:tcPr>
            <w:tcW w:w="567" w:type="dxa"/>
            <w:tcMar>
              <w:left w:w="0" w:type="dxa"/>
              <w:right w:w="0" w:type="dxa"/>
            </w:tcMar>
            <w:vAlign w:val="bottom"/>
          </w:tcPr>
          <w:p w14:paraId="15DE1E72" w14:textId="77777777" w:rsidR="00546C56" w:rsidRPr="00895810" w:rsidRDefault="00546C56" w:rsidP="00546C56">
            <w:pPr>
              <w:spacing w:after="0" w:line="240" w:lineRule="auto"/>
              <w:jc w:val="center"/>
              <w:rPr>
                <w:rFonts w:ascii="IBM Plex Sans Light" w:hAnsi="IBM Plex Sans Light" w:cs="Arial"/>
                <w:sz w:val="16"/>
                <w:szCs w:val="16"/>
              </w:rPr>
            </w:pPr>
          </w:p>
        </w:tc>
        <w:tc>
          <w:tcPr>
            <w:tcW w:w="850" w:type="dxa"/>
            <w:tcMar>
              <w:left w:w="0" w:type="dxa"/>
              <w:right w:w="0" w:type="dxa"/>
            </w:tcMar>
          </w:tcPr>
          <w:p w14:paraId="0542C18D" w14:textId="481BED6C"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1" w:type="dxa"/>
            <w:tcBorders>
              <w:right w:val="single" w:sz="4" w:space="0" w:color="3D7FE0" w:themeColor="accent1"/>
            </w:tcBorders>
            <w:tcMar>
              <w:left w:w="0" w:type="dxa"/>
              <w:right w:w="0" w:type="dxa"/>
            </w:tcMar>
          </w:tcPr>
          <w:p w14:paraId="6D07F24C" w14:textId="71543FAE"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992" w:type="dxa"/>
            <w:tcBorders>
              <w:left w:val="single" w:sz="4" w:space="0" w:color="3D7FE0" w:themeColor="accent1"/>
            </w:tcBorders>
            <w:tcMar>
              <w:left w:w="0" w:type="dxa"/>
              <w:right w:w="0" w:type="dxa"/>
            </w:tcMar>
          </w:tcPr>
          <w:p w14:paraId="64E730AA" w14:textId="3D4A9573" w:rsidR="00546C56" w:rsidRPr="00546C56" w:rsidRDefault="00546C56" w:rsidP="00546C56">
            <w:pPr>
              <w:pStyle w:val="TableFiguresBold"/>
              <w:rPr>
                <w:rFonts w:ascii="IBM Plex Sans Medium" w:hAnsi="IBM Plex Sans Medium"/>
                <w:color w:val="3D7FE0" w:themeColor="accent1"/>
                <w:spacing w:val="-4"/>
                <w:sz w:val="18"/>
                <w:szCs w:val="18"/>
              </w:rPr>
            </w:pPr>
          </w:p>
        </w:tc>
        <w:tc>
          <w:tcPr>
            <w:tcW w:w="850" w:type="dxa"/>
          </w:tcPr>
          <w:p w14:paraId="0CB53092" w14:textId="1FD4AF02" w:rsidR="00546C56" w:rsidRPr="00546C56" w:rsidRDefault="00546C56" w:rsidP="00546C56">
            <w:pPr>
              <w:pStyle w:val="TableFigures"/>
              <w:rPr>
                <w:rFonts w:ascii="IBM Plex Sans Medium" w:hAnsi="IBM Plex Sans Medium"/>
                <w:b/>
                <w:bCs/>
                <w:color w:val="3D7FE0" w:themeColor="accent1"/>
                <w:spacing w:val="-4"/>
                <w:sz w:val="18"/>
                <w:szCs w:val="18"/>
              </w:rPr>
            </w:pPr>
          </w:p>
        </w:tc>
        <w:tc>
          <w:tcPr>
            <w:tcW w:w="853" w:type="dxa"/>
            <w:tcBorders>
              <w:right w:val="single" w:sz="4" w:space="0" w:color="3D7FE0" w:themeColor="accent1"/>
            </w:tcBorders>
            <w:tcMar>
              <w:left w:w="0" w:type="dxa"/>
              <w:right w:w="0" w:type="dxa"/>
            </w:tcMar>
          </w:tcPr>
          <w:p w14:paraId="611A0D75" w14:textId="25F414F5" w:rsidR="00546C56" w:rsidRPr="00546C56" w:rsidRDefault="00546C56" w:rsidP="00546C56">
            <w:pPr>
              <w:pStyle w:val="TableFigures"/>
              <w:rPr>
                <w:rFonts w:ascii="IBM Plex Sans Medium" w:hAnsi="IBM Plex Sans Medium"/>
                <w:b/>
                <w:bCs/>
                <w:color w:val="3D7FE0" w:themeColor="accent1"/>
                <w:spacing w:val="-4"/>
                <w:sz w:val="18"/>
                <w:szCs w:val="18"/>
              </w:rPr>
            </w:pPr>
          </w:p>
        </w:tc>
      </w:tr>
      <w:tr w:rsidR="00546C56" w:rsidRPr="00895810" w14:paraId="1A89865F" w14:textId="77777777" w:rsidTr="0093148D">
        <w:tc>
          <w:tcPr>
            <w:tcW w:w="4678" w:type="dxa"/>
            <w:tcBorders>
              <w:bottom w:val="single" w:sz="2" w:space="0" w:color="3D7FE0" w:themeColor="accent1"/>
            </w:tcBorders>
            <w:tcMar>
              <w:left w:w="0" w:type="dxa"/>
              <w:right w:w="0" w:type="dxa"/>
            </w:tcMar>
            <w:vAlign w:val="bottom"/>
          </w:tcPr>
          <w:p w14:paraId="3987397C" w14:textId="77777777"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spacing w:val="-4"/>
                <w:sz w:val="18"/>
                <w:szCs w:val="18"/>
              </w:rPr>
              <w:t>Net finance costs</w:t>
            </w:r>
          </w:p>
        </w:tc>
        <w:tc>
          <w:tcPr>
            <w:tcW w:w="284" w:type="dxa"/>
            <w:tcBorders>
              <w:bottom w:val="single" w:sz="2" w:space="0" w:color="3D7FE0" w:themeColor="accent1"/>
            </w:tcBorders>
            <w:vAlign w:val="bottom"/>
          </w:tcPr>
          <w:p w14:paraId="61E1C2B3" w14:textId="19E9CDC2" w:rsidR="00546C56" w:rsidRPr="00895810" w:rsidRDefault="00546C56" w:rsidP="00546C56">
            <w:pPr>
              <w:pStyle w:val="Tabletext"/>
              <w:jc w:val="center"/>
              <w:rPr>
                <w:rFonts w:ascii="IBM Plex Sans Light" w:hAnsi="IBM Plex Sans Light"/>
                <w:spacing w:val="-4"/>
                <w:sz w:val="18"/>
                <w:szCs w:val="18"/>
              </w:rPr>
            </w:pPr>
          </w:p>
        </w:tc>
        <w:tc>
          <w:tcPr>
            <w:tcW w:w="567" w:type="dxa"/>
            <w:tcBorders>
              <w:bottom w:val="single" w:sz="2" w:space="0" w:color="3D7FE0" w:themeColor="accent1"/>
            </w:tcBorders>
            <w:tcMar>
              <w:left w:w="0" w:type="dxa"/>
              <w:right w:w="0" w:type="dxa"/>
            </w:tcMar>
            <w:vAlign w:val="bottom"/>
          </w:tcPr>
          <w:p w14:paraId="2CF72B4A" w14:textId="54FE55F7" w:rsidR="00546C56" w:rsidRPr="00895810" w:rsidRDefault="00546C56" w:rsidP="00546C56">
            <w:pPr>
              <w:pStyle w:val="TableFigures"/>
              <w:jc w:val="center"/>
              <w:rPr>
                <w:rStyle w:val="NotesStyle"/>
                <w:rFonts w:ascii="IBM Plex Sans Light" w:hAnsi="IBM Plex Sans Light"/>
                <w:spacing w:val="-4"/>
                <w:sz w:val="16"/>
                <w:szCs w:val="16"/>
              </w:rPr>
            </w:pPr>
            <w:r>
              <w:rPr>
                <w:rStyle w:val="NotesStyle"/>
                <w:rFonts w:ascii="IBM Plex Sans Light" w:hAnsi="IBM Plex Sans Light"/>
                <w:spacing w:val="-4"/>
                <w:sz w:val="16"/>
                <w:szCs w:val="16"/>
              </w:rPr>
              <w:t>6</w:t>
            </w:r>
          </w:p>
        </w:tc>
        <w:tc>
          <w:tcPr>
            <w:tcW w:w="850" w:type="dxa"/>
            <w:tcBorders>
              <w:bottom w:val="single" w:sz="2" w:space="0" w:color="3D7FE0" w:themeColor="accent1"/>
            </w:tcBorders>
            <w:tcMar>
              <w:left w:w="0" w:type="dxa"/>
              <w:right w:w="0" w:type="dxa"/>
            </w:tcMar>
          </w:tcPr>
          <w:p w14:paraId="21447CB1" w14:textId="26677758"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(36.1)</w:t>
            </w:r>
          </w:p>
        </w:tc>
        <w:tc>
          <w:tcPr>
            <w:tcW w:w="851" w:type="dxa"/>
            <w:tcBorders>
              <w:bottom w:val="single" w:sz="2" w:space="0" w:color="3D7FE0" w:themeColor="accent1"/>
              <w:right w:val="single" w:sz="4" w:space="0" w:color="3D7FE0" w:themeColor="accent1"/>
            </w:tcBorders>
            <w:tcMar>
              <w:left w:w="0" w:type="dxa"/>
              <w:right w:w="0" w:type="dxa"/>
            </w:tcMar>
          </w:tcPr>
          <w:p w14:paraId="5B705EBA" w14:textId="6A5A2D0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(6.6)</w:t>
            </w:r>
          </w:p>
        </w:tc>
        <w:tc>
          <w:tcPr>
            <w:tcW w:w="992" w:type="dxa"/>
            <w:tcBorders>
              <w:left w:val="single" w:sz="4" w:space="0" w:color="3D7FE0" w:themeColor="accent1"/>
              <w:bottom w:val="single" w:sz="2" w:space="0" w:color="3D7FE0" w:themeColor="accent1"/>
            </w:tcBorders>
            <w:tcMar>
              <w:left w:w="0" w:type="dxa"/>
              <w:right w:w="0" w:type="dxa"/>
            </w:tcMar>
          </w:tcPr>
          <w:p w14:paraId="00EEE9E7" w14:textId="207F53DF"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(42.7)</w:t>
            </w:r>
          </w:p>
        </w:tc>
        <w:tc>
          <w:tcPr>
            <w:tcW w:w="850" w:type="dxa"/>
            <w:tcBorders>
              <w:bottom w:val="single" w:sz="2" w:space="0" w:color="3D7FE0" w:themeColor="accent1"/>
            </w:tcBorders>
          </w:tcPr>
          <w:p w14:paraId="2A324CE8" w14:textId="4FC1470F"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(3.2)</w:t>
            </w:r>
          </w:p>
        </w:tc>
        <w:tc>
          <w:tcPr>
            <w:tcW w:w="853" w:type="dxa"/>
            <w:tcBorders>
              <w:bottom w:val="single" w:sz="2" w:space="0" w:color="3D7FE0" w:themeColor="accent1"/>
              <w:right w:val="single" w:sz="4" w:space="0" w:color="3D7FE0" w:themeColor="accent1"/>
            </w:tcBorders>
            <w:tcMar>
              <w:left w:w="0" w:type="dxa"/>
              <w:right w:w="0" w:type="dxa"/>
            </w:tcMar>
          </w:tcPr>
          <w:p w14:paraId="772B6402" w14:textId="44CFFB5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(45.9)</w:t>
            </w:r>
          </w:p>
        </w:tc>
      </w:tr>
      <w:tr w:rsidR="00546C56" w:rsidRPr="00895810" w14:paraId="4EA0F4B0" w14:textId="77777777" w:rsidTr="0093148D">
        <w:tc>
          <w:tcPr>
            <w:tcW w:w="4678" w:type="dxa"/>
            <w:tcBorders>
              <w:top w:val="single" w:sz="2" w:space="0" w:color="3D7FE0" w:themeColor="accent1"/>
            </w:tcBorders>
            <w:tcMar>
              <w:left w:w="0" w:type="dxa"/>
              <w:right w:w="0" w:type="dxa"/>
            </w:tcMar>
            <w:vAlign w:val="bottom"/>
          </w:tcPr>
          <w:p w14:paraId="5896528D" w14:textId="1514141F" w:rsidR="00546C56" w:rsidRPr="00895810" w:rsidRDefault="00607220" w:rsidP="00546C56">
            <w:pPr>
              <w:pStyle w:val="TabletextBold"/>
              <w:rPr>
                <w:rFonts w:ascii="IBM Plex Sans Light" w:hAnsi="IBM Plex Sans Light" w:cs="MyriadPro-Light"/>
                <w:bCs/>
                <w:color w:val="3D7FE0" w:themeColor="accent1"/>
                <w:sz w:val="18"/>
                <w:szCs w:val="18"/>
              </w:rPr>
            </w:pPr>
            <w:r>
              <w:rPr>
                <w:rFonts w:ascii="IBM Plex Sans Light" w:hAnsi="IBM Plex Sans Light"/>
                <w:bCs/>
                <w:color w:val="3D7FE0" w:themeColor="accent1"/>
                <w:sz w:val="18"/>
                <w:szCs w:val="18"/>
              </w:rPr>
              <w:t>(Loss)/p</w:t>
            </w:r>
            <w:r w:rsidR="00546C56" w:rsidRPr="00895810">
              <w:rPr>
                <w:rFonts w:ascii="IBM Plex Sans Light" w:hAnsi="IBM Plex Sans Light"/>
                <w:bCs/>
                <w:color w:val="3D7FE0" w:themeColor="accent1"/>
                <w:sz w:val="18"/>
                <w:szCs w:val="18"/>
              </w:rPr>
              <w:t>rofit before tax</w:t>
            </w:r>
          </w:p>
        </w:tc>
        <w:tc>
          <w:tcPr>
            <w:tcW w:w="284" w:type="dxa"/>
            <w:tcBorders>
              <w:top w:val="single" w:sz="2" w:space="0" w:color="3D7FE0" w:themeColor="accent1"/>
            </w:tcBorders>
            <w:vAlign w:val="bottom"/>
          </w:tcPr>
          <w:p w14:paraId="28F4A542" w14:textId="706E7549" w:rsidR="00546C56" w:rsidRPr="00895810" w:rsidRDefault="00546C56" w:rsidP="00546C56">
            <w:pPr>
              <w:pStyle w:val="TabletextBold"/>
              <w:jc w:val="center"/>
              <w:rPr>
                <w:rFonts w:ascii="IBM Plex Sans Light" w:hAnsi="IBM Plex Sans Light" w:cs="MyriadPro-Light"/>
                <w:bCs/>
                <w:color w:val="3D7FE0" w:themeColor="accent1"/>
                <w:sz w:val="18"/>
                <w:szCs w:val="18"/>
              </w:rPr>
            </w:pPr>
          </w:p>
        </w:tc>
        <w:tc>
          <w:tcPr>
            <w:tcW w:w="567" w:type="dxa"/>
            <w:tcBorders>
              <w:top w:val="single" w:sz="2" w:space="0" w:color="3D7FE0" w:themeColor="accent1"/>
            </w:tcBorders>
            <w:tcMar>
              <w:left w:w="0" w:type="dxa"/>
              <w:right w:w="0" w:type="dxa"/>
            </w:tcMar>
            <w:vAlign w:val="bottom"/>
          </w:tcPr>
          <w:p w14:paraId="4C749809" w14:textId="77777777" w:rsidR="00546C56" w:rsidRPr="00895810" w:rsidRDefault="00546C56" w:rsidP="00546C56">
            <w:pPr>
              <w:spacing w:after="0" w:line="240" w:lineRule="auto"/>
              <w:jc w:val="center"/>
              <w:rPr>
                <w:rStyle w:val="NotesStyle"/>
                <w:rFonts w:ascii="IBM Plex Sans Light" w:hAnsi="IBM Plex Sans Light"/>
                <w:b/>
                <w:color w:val="000000"/>
                <w:sz w:val="16"/>
                <w:szCs w:val="16"/>
              </w:rPr>
            </w:pPr>
          </w:p>
        </w:tc>
        <w:tc>
          <w:tcPr>
            <w:tcW w:w="850" w:type="dxa"/>
            <w:tcBorders>
              <w:top w:val="single" w:sz="2" w:space="0" w:color="3D7FE0" w:themeColor="accent1"/>
            </w:tcBorders>
            <w:tcMar>
              <w:left w:w="0" w:type="dxa"/>
              <w:right w:w="0" w:type="dxa"/>
            </w:tcMar>
          </w:tcPr>
          <w:p w14:paraId="2FF980EA" w14:textId="79EB14B8"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(50.7)</w:t>
            </w:r>
          </w:p>
        </w:tc>
        <w:tc>
          <w:tcPr>
            <w:tcW w:w="851" w:type="dxa"/>
            <w:tcBorders>
              <w:top w:val="single" w:sz="2" w:space="0" w:color="3D7FE0" w:themeColor="accent1"/>
              <w:right w:val="single" w:sz="4" w:space="0" w:color="3D7FE0" w:themeColor="accent1"/>
            </w:tcBorders>
            <w:tcMar>
              <w:left w:w="0" w:type="dxa"/>
              <w:right w:w="0" w:type="dxa"/>
            </w:tcMar>
          </w:tcPr>
          <w:p w14:paraId="11D35D37" w14:textId="4A86D34D"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0.1</w:t>
            </w:r>
          </w:p>
        </w:tc>
        <w:tc>
          <w:tcPr>
            <w:tcW w:w="992" w:type="dxa"/>
            <w:tcBorders>
              <w:top w:val="single" w:sz="2" w:space="0" w:color="3D7FE0" w:themeColor="accent1"/>
              <w:left w:val="single" w:sz="4" w:space="0" w:color="3D7FE0" w:themeColor="accent1"/>
            </w:tcBorders>
            <w:tcMar>
              <w:left w:w="0" w:type="dxa"/>
              <w:right w:w="0" w:type="dxa"/>
            </w:tcMar>
          </w:tcPr>
          <w:p w14:paraId="74ABB00A" w14:textId="3164FF93" w:rsidR="00546C56" w:rsidRPr="00D9524D" w:rsidRDefault="00546C56" w:rsidP="00D9524D">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(50.6)</w:t>
            </w:r>
          </w:p>
        </w:tc>
        <w:tc>
          <w:tcPr>
            <w:tcW w:w="850" w:type="dxa"/>
            <w:tcBorders>
              <w:top w:val="single" w:sz="2" w:space="0" w:color="3D7FE0" w:themeColor="accent1"/>
            </w:tcBorders>
          </w:tcPr>
          <w:p w14:paraId="0354B57B" w14:textId="0AAD72A3" w:rsidR="00546C56" w:rsidRPr="00546C56" w:rsidRDefault="00546C56" w:rsidP="00546C56">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167.7</w:t>
            </w:r>
          </w:p>
        </w:tc>
        <w:tc>
          <w:tcPr>
            <w:tcW w:w="853" w:type="dxa"/>
            <w:tcBorders>
              <w:top w:val="single" w:sz="2" w:space="0" w:color="3D7FE0" w:themeColor="accent1"/>
              <w:right w:val="single" w:sz="4" w:space="0" w:color="3D7FE0" w:themeColor="accent1"/>
            </w:tcBorders>
            <w:tcMar>
              <w:left w:w="0" w:type="dxa"/>
              <w:right w:w="0" w:type="dxa"/>
            </w:tcMar>
          </w:tcPr>
          <w:p w14:paraId="3F61D503" w14:textId="3B138E96"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117.1</w:t>
            </w:r>
          </w:p>
        </w:tc>
      </w:tr>
      <w:tr w:rsidR="00546C56" w:rsidRPr="00895810" w14:paraId="7D6164B1" w14:textId="77777777" w:rsidTr="0093148D">
        <w:tc>
          <w:tcPr>
            <w:tcW w:w="4678" w:type="dxa"/>
            <w:tcBorders>
              <w:bottom w:val="single" w:sz="2" w:space="0" w:color="3D7FE0" w:themeColor="accent1"/>
            </w:tcBorders>
            <w:tcMar>
              <w:left w:w="0" w:type="dxa"/>
              <w:right w:w="0" w:type="dxa"/>
            </w:tcMar>
            <w:vAlign w:val="bottom"/>
          </w:tcPr>
          <w:p w14:paraId="710F3B9A" w14:textId="77777777" w:rsidR="00546C56" w:rsidRPr="00895810" w:rsidRDefault="00546C56" w:rsidP="00546C56">
            <w:pPr>
              <w:pStyle w:val="Tabletext"/>
              <w:rPr>
                <w:rFonts w:ascii="IBM Plex Sans Light" w:hAnsi="IBM Plex Sans Light"/>
                <w:spacing w:val="-4"/>
                <w:sz w:val="18"/>
                <w:szCs w:val="18"/>
              </w:rPr>
            </w:pPr>
            <w:r w:rsidRPr="00895810">
              <w:rPr>
                <w:rFonts w:ascii="IBM Plex Sans Light" w:hAnsi="IBM Plex Sans Light"/>
                <w:spacing w:val="-4"/>
                <w:sz w:val="18"/>
                <w:szCs w:val="18"/>
              </w:rPr>
              <w:t>Tax charge</w:t>
            </w:r>
          </w:p>
        </w:tc>
        <w:tc>
          <w:tcPr>
            <w:tcW w:w="284" w:type="dxa"/>
            <w:tcBorders>
              <w:bottom w:val="single" w:sz="2" w:space="0" w:color="3D7FE0" w:themeColor="accent1"/>
            </w:tcBorders>
            <w:vAlign w:val="bottom"/>
          </w:tcPr>
          <w:p w14:paraId="0FD7E56C" w14:textId="677E3DA1" w:rsidR="00546C56" w:rsidRPr="00895810" w:rsidRDefault="00546C56" w:rsidP="00546C56">
            <w:pPr>
              <w:pStyle w:val="Tabletext"/>
              <w:jc w:val="center"/>
              <w:rPr>
                <w:rFonts w:ascii="IBM Plex Sans Light" w:hAnsi="IBM Plex Sans Light"/>
                <w:spacing w:val="-4"/>
                <w:sz w:val="18"/>
                <w:szCs w:val="18"/>
              </w:rPr>
            </w:pPr>
          </w:p>
        </w:tc>
        <w:tc>
          <w:tcPr>
            <w:tcW w:w="567" w:type="dxa"/>
            <w:tcBorders>
              <w:bottom w:val="single" w:sz="2" w:space="0" w:color="3D7FE0" w:themeColor="accent1"/>
            </w:tcBorders>
            <w:tcMar>
              <w:left w:w="0" w:type="dxa"/>
              <w:right w:w="0" w:type="dxa"/>
            </w:tcMar>
            <w:vAlign w:val="bottom"/>
          </w:tcPr>
          <w:p w14:paraId="68891FC5" w14:textId="4DD34078" w:rsidR="00546C56" w:rsidRPr="00895810" w:rsidRDefault="00546C56" w:rsidP="00546C56">
            <w:pPr>
              <w:pStyle w:val="TableFigures"/>
              <w:jc w:val="center"/>
              <w:rPr>
                <w:rStyle w:val="NotesStyle"/>
                <w:rFonts w:ascii="IBM Plex Sans Light" w:hAnsi="IBM Plex Sans Light"/>
                <w:spacing w:val="-4"/>
                <w:sz w:val="16"/>
                <w:szCs w:val="16"/>
              </w:rPr>
            </w:pPr>
            <w:r>
              <w:rPr>
                <w:rStyle w:val="NotesStyle"/>
                <w:rFonts w:ascii="IBM Plex Sans Light" w:hAnsi="IBM Plex Sans Light"/>
                <w:spacing w:val="-4"/>
                <w:sz w:val="16"/>
                <w:szCs w:val="16"/>
              </w:rPr>
              <w:t>7</w:t>
            </w:r>
          </w:p>
        </w:tc>
        <w:tc>
          <w:tcPr>
            <w:tcW w:w="850" w:type="dxa"/>
            <w:tcBorders>
              <w:bottom w:val="single" w:sz="2" w:space="0" w:color="3D7FE0" w:themeColor="accent1"/>
            </w:tcBorders>
            <w:tcMar>
              <w:left w:w="0" w:type="dxa"/>
              <w:right w:w="0" w:type="dxa"/>
            </w:tcMar>
          </w:tcPr>
          <w:p w14:paraId="6F94C9F7" w14:textId="7851F33F"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(0.7)</w:t>
            </w:r>
          </w:p>
        </w:tc>
        <w:tc>
          <w:tcPr>
            <w:tcW w:w="851" w:type="dxa"/>
            <w:tcBorders>
              <w:bottom w:val="single" w:sz="2" w:space="0" w:color="3D7FE0" w:themeColor="accent1"/>
              <w:right w:val="single" w:sz="4" w:space="0" w:color="3D7FE0" w:themeColor="accent1"/>
            </w:tcBorders>
            <w:tcMar>
              <w:left w:w="0" w:type="dxa"/>
              <w:right w:w="0" w:type="dxa"/>
            </w:tcMar>
          </w:tcPr>
          <w:p w14:paraId="3A14FD2B" w14:textId="7AEDA128"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(0.1)</w:t>
            </w:r>
          </w:p>
        </w:tc>
        <w:tc>
          <w:tcPr>
            <w:tcW w:w="992" w:type="dxa"/>
            <w:tcBorders>
              <w:left w:val="single" w:sz="4" w:space="0" w:color="3D7FE0" w:themeColor="accent1"/>
              <w:bottom w:val="single" w:sz="2" w:space="0" w:color="3D7FE0" w:themeColor="accent1"/>
            </w:tcBorders>
            <w:tcMar>
              <w:left w:w="0" w:type="dxa"/>
              <w:right w:w="0" w:type="dxa"/>
            </w:tcMar>
          </w:tcPr>
          <w:p w14:paraId="52413EF3" w14:textId="094C83AE"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(0.8)</w:t>
            </w:r>
          </w:p>
        </w:tc>
        <w:tc>
          <w:tcPr>
            <w:tcW w:w="850" w:type="dxa"/>
            <w:tcBorders>
              <w:bottom w:val="single" w:sz="2" w:space="0" w:color="3D7FE0" w:themeColor="accent1"/>
            </w:tcBorders>
          </w:tcPr>
          <w:p w14:paraId="48EA328A" w14:textId="57645F56" w:rsidR="00546C56" w:rsidRPr="00546C56" w:rsidRDefault="00546C56" w:rsidP="00546C56">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w:t>
            </w:r>
          </w:p>
        </w:tc>
        <w:tc>
          <w:tcPr>
            <w:tcW w:w="853" w:type="dxa"/>
            <w:tcBorders>
              <w:bottom w:val="single" w:sz="2" w:space="0" w:color="3D7FE0" w:themeColor="accent1"/>
              <w:right w:val="single" w:sz="4" w:space="0" w:color="3D7FE0" w:themeColor="accent1"/>
            </w:tcBorders>
            <w:tcMar>
              <w:left w:w="0" w:type="dxa"/>
              <w:right w:w="0" w:type="dxa"/>
            </w:tcMar>
          </w:tcPr>
          <w:p w14:paraId="4F4DC437" w14:textId="40AA37C4" w:rsidR="00546C56" w:rsidRPr="00546C56" w:rsidRDefault="00546C56" w:rsidP="00D9524D">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(0.8)</w:t>
            </w:r>
          </w:p>
        </w:tc>
      </w:tr>
      <w:tr w:rsidR="00546C56" w:rsidRPr="00895810" w14:paraId="1589BC2B" w14:textId="77777777" w:rsidTr="00607220">
        <w:tc>
          <w:tcPr>
            <w:tcW w:w="4678" w:type="dxa"/>
            <w:tcBorders>
              <w:top w:val="single" w:sz="2" w:space="0" w:color="3D7FE0" w:themeColor="accent1"/>
              <w:bottom w:val="single" w:sz="8" w:space="0" w:color="3D7FE0" w:themeColor="accent1"/>
            </w:tcBorders>
            <w:tcMar>
              <w:left w:w="0" w:type="dxa"/>
              <w:right w:w="0" w:type="dxa"/>
            </w:tcMar>
            <w:vAlign w:val="bottom"/>
          </w:tcPr>
          <w:p w14:paraId="38246688" w14:textId="5BE8EE43" w:rsidR="00546C56" w:rsidRPr="00895810" w:rsidRDefault="00607220" w:rsidP="00546C56">
            <w:pPr>
              <w:pStyle w:val="TabletextBold"/>
              <w:rPr>
                <w:rFonts w:ascii="IBM Plex Sans Light" w:hAnsi="IBM Plex Sans Light"/>
                <w:bCs/>
                <w:color w:val="3D7FE0" w:themeColor="accent1"/>
                <w:sz w:val="18"/>
                <w:szCs w:val="18"/>
              </w:rPr>
            </w:pPr>
            <w:r>
              <w:rPr>
                <w:rFonts w:ascii="IBM Plex Sans Light" w:hAnsi="IBM Plex Sans Light"/>
                <w:bCs/>
                <w:color w:val="3D7FE0" w:themeColor="accent1"/>
                <w:sz w:val="18"/>
                <w:szCs w:val="18"/>
              </w:rPr>
              <w:t>(Loss)/p</w:t>
            </w:r>
            <w:r w:rsidR="00546C56" w:rsidRPr="00895810">
              <w:rPr>
                <w:rFonts w:ascii="IBM Plex Sans Light" w:hAnsi="IBM Plex Sans Light"/>
                <w:bCs/>
                <w:color w:val="3D7FE0" w:themeColor="accent1"/>
                <w:sz w:val="18"/>
                <w:szCs w:val="18"/>
              </w:rPr>
              <w:t>rofit for the year attributable to equity shareholders</w:t>
            </w:r>
          </w:p>
        </w:tc>
        <w:tc>
          <w:tcPr>
            <w:tcW w:w="284" w:type="dxa"/>
            <w:tcBorders>
              <w:top w:val="single" w:sz="2" w:space="0" w:color="3D7FE0" w:themeColor="accent1"/>
              <w:bottom w:val="single" w:sz="8" w:space="0" w:color="3D7FE0" w:themeColor="accent1"/>
            </w:tcBorders>
            <w:vAlign w:val="bottom"/>
          </w:tcPr>
          <w:p w14:paraId="10B74540" w14:textId="65062773" w:rsidR="00546C56" w:rsidRPr="00895810" w:rsidRDefault="00546C56" w:rsidP="00546C56">
            <w:pPr>
              <w:pStyle w:val="TabletextBold"/>
              <w:jc w:val="center"/>
              <w:rPr>
                <w:rFonts w:ascii="IBM Plex Sans Light" w:hAnsi="IBM Plex Sans Light"/>
                <w:bCs/>
                <w:color w:val="3D7FE0" w:themeColor="accent1"/>
                <w:sz w:val="18"/>
                <w:szCs w:val="18"/>
              </w:rPr>
            </w:pPr>
          </w:p>
        </w:tc>
        <w:tc>
          <w:tcPr>
            <w:tcW w:w="567" w:type="dxa"/>
            <w:tcBorders>
              <w:top w:val="single" w:sz="2" w:space="0" w:color="3D7FE0" w:themeColor="accent1"/>
              <w:bottom w:val="single" w:sz="8" w:space="0" w:color="3D7FE0" w:themeColor="accent1"/>
            </w:tcBorders>
            <w:tcMar>
              <w:left w:w="0" w:type="dxa"/>
              <w:right w:w="0" w:type="dxa"/>
            </w:tcMar>
            <w:vAlign w:val="bottom"/>
          </w:tcPr>
          <w:p w14:paraId="61E84F70" w14:textId="77777777" w:rsidR="00546C56" w:rsidRPr="00895810" w:rsidRDefault="00546C56" w:rsidP="00546C56">
            <w:pPr>
              <w:pStyle w:val="TableFigures"/>
              <w:jc w:val="center"/>
              <w:rPr>
                <w:rStyle w:val="NotesStyle"/>
                <w:rFonts w:ascii="IBM Plex Sans Light" w:hAnsi="IBM Plex Sans Light"/>
                <w:b/>
                <w:spacing w:val="-4"/>
                <w:sz w:val="16"/>
                <w:szCs w:val="16"/>
              </w:rPr>
            </w:pPr>
          </w:p>
        </w:tc>
        <w:tc>
          <w:tcPr>
            <w:tcW w:w="850" w:type="dxa"/>
            <w:tcBorders>
              <w:top w:val="single" w:sz="2" w:space="0" w:color="3D7FE0" w:themeColor="accent1"/>
              <w:bottom w:val="single" w:sz="8" w:space="0" w:color="3D7FE0" w:themeColor="accent1"/>
            </w:tcBorders>
            <w:tcMar>
              <w:left w:w="0" w:type="dxa"/>
              <w:right w:w="0" w:type="dxa"/>
            </w:tcMar>
            <w:vAlign w:val="bottom"/>
          </w:tcPr>
          <w:p w14:paraId="283C5574" w14:textId="5D2A25A8" w:rsidR="00546C56" w:rsidRPr="00546C56" w:rsidRDefault="00546C56" w:rsidP="00607220">
            <w:pPr>
              <w:pStyle w:val="TableFiguresBracket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(51.4)</w:t>
            </w:r>
          </w:p>
        </w:tc>
        <w:tc>
          <w:tcPr>
            <w:tcW w:w="851" w:type="dxa"/>
            <w:tcBorders>
              <w:top w:val="single" w:sz="2" w:space="0" w:color="3D7FE0" w:themeColor="accent1"/>
              <w:bottom w:val="single" w:sz="8" w:space="0" w:color="3D7FE0" w:themeColor="accent1"/>
              <w:right w:val="single" w:sz="4" w:space="0" w:color="3D7FE0" w:themeColor="accent1"/>
            </w:tcBorders>
            <w:tcMar>
              <w:left w:w="0" w:type="dxa"/>
              <w:right w:w="0" w:type="dxa"/>
            </w:tcMar>
            <w:vAlign w:val="bottom"/>
          </w:tcPr>
          <w:p w14:paraId="2DA70DD8" w14:textId="34F37480" w:rsidR="00546C56" w:rsidRPr="00546C56" w:rsidRDefault="00546C56" w:rsidP="00607220">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w:t>
            </w:r>
          </w:p>
        </w:tc>
        <w:tc>
          <w:tcPr>
            <w:tcW w:w="992" w:type="dxa"/>
            <w:tcBorders>
              <w:top w:val="single" w:sz="2" w:space="0" w:color="3D7FE0" w:themeColor="accent1"/>
              <w:left w:val="single" w:sz="4" w:space="0" w:color="3D7FE0" w:themeColor="accent1"/>
              <w:bottom w:val="single" w:sz="8" w:space="0" w:color="3D7FE0" w:themeColor="accent1"/>
            </w:tcBorders>
            <w:tcMar>
              <w:left w:w="0" w:type="dxa"/>
              <w:right w:w="0" w:type="dxa"/>
            </w:tcMar>
            <w:vAlign w:val="bottom"/>
          </w:tcPr>
          <w:p w14:paraId="11250F0A" w14:textId="7AC91D80" w:rsidR="00546C56" w:rsidRPr="00D9524D" w:rsidRDefault="00546C56" w:rsidP="00607220">
            <w:pPr>
              <w:pStyle w:val="TableFiguresBracket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(51.4)</w:t>
            </w:r>
          </w:p>
        </w:tc>
        <w:tc>
          <w:tcPr>
            <w:tcW w:w="850" w:type="dxa"/>
            <w:tcBorders>
              <w:top w:val="single" w:sz="2" w:space="0" w:color="3D7FE0" w:themeColor="accent1"/>
              <w:bottom w:val="single" w:sz="8" w:space="0" w:color="3D7FE0" w:themeColor="accent1"/>
            </w:tcBorders>
            <w:vAlign w:val="bottom"/>
          </w:tcPr>
          <w:p w14:paraId="6CFA9FB7" w14:textId="107DB0E3" w:rsidR="00546C56" w:rsidRPr="00546C56" w:rsidRDefault="00546C56" w:rsidP="00607220">
            <w:pPr>
              <w:pStyle w:val="TableFiguresBold"/>
              <w:rPr>
                <w:rFonts w:ascii="IBM Plex Sans Medium" w:hAnsi="IBM Plex Sans Medium"/>
                <w:color w:val="3D7FE0" w:themeColor="accent1"/>
                <w:spacing w:val="-4"/>
                <w:sz w:val="18"/>
                <w:szCs w:val="18"/>
              </w:rPr>
            </w:pPr>
            <w:r w:rsidRPr="00546C56">
              <w:rPr>
                <w:rFonts w:ascii="IBM Plex Sans Medium" w:hAnsi="IBM Plex Sans Medium"/>
                <w:color w:val="3D7FE0" w:themeColor="accent1"/>
                <w:spacing w:val="-4"/>
                <w:sz w:val="18"/>
                <w:szCs w:val="18"/>
              </w:rPr>
              <w:t>167.7</w:t>
            </w:r>
          </w:p>
        </w:tc>
        <w:tc>
          <w:tcPr>
            <w:tcW w:w="853" w:type="dxa"/>
            <w:tcBorders>
              <w:top w:val="single" w:sz="2" w:space="0" w:color="3D7FE0" w:themeColor="accent1"/>
              <w:bottom w:val="single" w:sz="8" w:space="0" w:color="3D7FE0" w:themeColor="accent1"/>
              <w:right w:val="single" w:sz="4" w:space="0" w:color="3D7FE0" w:themeColor="accent1"/>
            </w:tcBorders>
            <w:tcMar>
              <w:left w:w="0" w:type="dxa"/>
              <w:right w:w="0" w:type="dxa"/>
            </w:tcMar>
            <w:vAlign w:val="bottom"/>
          </w:tcPr>
          <w:p w14:paraId="55BE9B9E" w14:textId="40F7B1D5" w:rsidR="00546C56" w:rsidRPr="00546C56" w:rsidRDefault="00546C56" w:rsidP="00607220">
            <w:pPr>
              <w:pStyle w:val="TableFigures"/>
              <w:rPr>
                <w:rFonts w:ascii="IBM Plex Sans Medium" w:hAnsi="IBM Plex Sans Medium"/>
                <w:b/>
                <w:bCs/>
                <w:color w:val="3D7FE0" w:themeColor="accent1"/>
                <w:spacing w:val="-4"/>
                <w:sz w:val="18"/>
                <w:szCs w:val="18"/>
              </w:rPr>
            </w:pPr>
            <w:r w:rsidRPr="00546C56">
              <w:rPr>
                <w:rFonts w:ascii="IBM Plex Sans Medium" w:hAnsi="IBM Plex Sans Medium"/>
                <w:b/>
                <w:bCs/>
                <w:color w:val="3D7FE0" w:themeColor="accent1"/>
                <w:spacing w:val="-4"/>
                <w:sz w:val="18"/>
                <w:szCs w:val="18"/>
              </w:rPr>
              <w:t>116.3</w:t>
            </w:r>
          </w:p>
        </w:tc>
      </w:tr>
    </w:tbl>
    <w:p w14:paraId="1A2091DA" w14:textId="77777777" w:rsidR="00B93337" w:rsidRDefault="00B93337" w:rsidP="00B93337">
      <w:pPr>
        <w:pStyle w:val="ListParagraph"/>
        <w:ind w:left="284" w:right="-255" w:hanging="284"/>
        <w:rPr>
          <w:rFonts w:ascii="IBM Plex Sans Light" w:hAnsi="IBM Plex Sans Light" w:cs="Arial"/>
          <w:sz w:val="16"/>
          <w:szCs w:val="16"/>
        </w:rPr>
      </w:pPr>
    </w:p>
    <w:p w14:paraId="6CF7F724" w14:textId="4AFAFF4A" w:rsidR="00546C56" w:rsidRPr="00B93337" w:rsidRDefault="00546C56"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a</w:t>
      </w:r>
      <w:r w:rsidRPr="00B93337">
        <w:rPr>
          <w:rFonts w:ascii="IBM Plex Sans Light" w:hAnsi="IBM Plex Sans Light" w:cs="Arial"/>
          <w:sz w:val="16"/>
          <w:szCs w:val="16"/>
        </w:rPr>
        <w:tab/>
        <w:t>Adjusting items, described above as ‘Capital and other’, are set out in note 9A.</w:t>
      </w:r>
    </w:p>
    <w:p w14:paraId="20832878" w14:textId="7FD104DA" w:rsidR="00546C56" w:rsidRPr="00B93337" w:rsidRDefault="00546C56"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b</w:t>
      </w:r>
      <w:r w:rsidRPr="00B93337">
        <w:rPr>
          <w:rFonts w:ascii="IBM Plex Sans Light" w:hAnsi="IBM Plex Sans Light" w:cs="Arial"/>
          <w:sz w:val="16"/>
          <w:szCs w:val="16"/>
        </w:rPr>
        <w:tab/>
        <w:t>Proportionally consolidated figure includes £13.6m (2022: £13.7m) of contingent rents calculated by reference to tenants’ turnover.</w:t>
      </w:r>
    </w:p>
    <w:p w14:paraId="254C090C" w14:textId="77777777" w:rsidR="00546C56" w:rsidRDefault="00546C56" w:rsidP="00B93337">
      <w:pPr>
        <w:pStyle w:val="Footnotes"/>
        <w:spacing w:after="0" w:line="240" w:lineRule="auto"/>
        <w:rPr>
          <w:rFonts w:ascii="IBM Plex Sans Light" w:hAnsi="IBM Plex Sans Light"/>
          <w:sz w:val="16"/>
          <w:szCs w:val="22"/>
        </w:rPr>
      </w:pPr>
    </w:p>
    <w:tbl>
      <w:tblPr>
        <w:tblW w:w="9925" w:type="dxa"/>
        <w:tblLayout w:type="fixed"/>
        <w:tblCellMar>
          <w:right w:w="0" w:type="dxa"/>
        </w:tblCellMar>
        <w:tblLook w:val="01E0" w:firstRow="1" w:lastRow="1" w:firstColumn="1" w:lastColumn="1" w:noHBand="0" w:noVBand="0"/>
      </w:tblPr>
      <w:tblGrid>
        <w:gridCol w:w="4678"/>
        <w:gridCol w:w="284"/>
        <w:gridCol w:w="567"/>
        <w:gridCol w:w="850"/>
        <w:gridCol w:w="851"/>
        <w:gridCol w:w="992"/>
        <w:gridCol w:w="850"/>
        <w:gridCol w:w="853"/>
      </w:tblGrid>
      <w:tr w:rsidR="00AA5577" w:rsidRPr="00AA5577" w14:paraId="23C9063A" w14:textId="77777777" w:rsidTr="00435CF7">
        <w:tc>
          <w:tcPr>
            <w:tcW w:w="4678" w:type="dxa"/>
            <w:tcMar>
              <w:left w:w="0" w:type="dxa"/>
              <w:right w:w="0" w:type="dxa"/>
            </w:tcMar>
            <w:vAlign w:val="bottom"/>
          </w:tcPr>
          <w:p w14:paraId="1F28FD87" w14:textId="77777777" w:rsidR="00AA5577" w:rsidRPr="00AA5577" w:rsidRDefault="00AA5577" w:rsidP="002B525C">
            <w:pPr>
              <w:spacing w:after="0" w:line="240" w:lineRule="auto"/>
              <w:jc w:val="both"/>
              <w:rPr>
                <w:rFonts w:ascii="IBM Plex Sans Light" w:hAnsi="IBM Plex Sans Light" w:cs="Arial"/>
                <w:sz w:val="14"/>
                <w:szCs w:val="14"/>
              </w:rPr>
            </w:pPr>
          </w:p>
        </w:tc>
        <w:tc>
          <w:tcPr>
            <w:tcW w:w="284" w:type="dxa"/>
            <w:vAlign w:val="bottom"/>
          </w:tcPr>
          <w:p w14:paraId="0292F4E5" w14:textId="77777777" w:rsidR="00AA5577" w:rsidRPr="00AA5577" w:rsidRDefault="00AA5577" w:rsidP="002B525C">
            <w:pPr>
              <w:spacing w:after="0" w:line="240" w:lineRule="auto"/>
              <w:jc w:val="both"/>
              <w:rPr>
                <w:rFonts w:ascii="IBM Plex Sans Light" w:hAnsi="IBM Plex Sans Light" w:cs="Arial"/>
                <w:sz w:val="14"/>
                <w:szCs w:val="14"/>
              </w:rPr>
            </w:pPr>
          </w:p>
        </w:tc>
        <w:tc>
          <w:tcPr>
            <w:tcW w:w="567" w:type="dxa"/>
            <w:tcMar>
              <w:left w:w="0" w:type="dxa"/>
              <w:right w:w="0" w:type="dxa"/>
            </w:tcMar>
            <w:vAlign w:val="bottom"/>
          </w:tcPr>
          <w:p w14:paraId="5AC9A84B" w14:textId="77777777" w:rsidR="00AA5577" w:rsidRPr="00AA5577" w:rsidRDefault="00AA5577" w:rsidP="002B525C">
            <w:pPr>
              <w:spacing w:after="0" w:line="240" w:lineRule="auto"/>
              <w:jc w:val="both"/>
              <w:rPr>
                <w:rFonts w:ascii="IBM Plex Sans Light" w:hAnsi="IBM Plex Sans Light" w:cs="Arial"/>
                <w:sz w:val="14"/>
                <w:szCs w:val="14"/>
              </w:rPr>
            </w:pPr>
          </w:p>
        </w:tc>
        <w:tc>
          <w:tcPr>
            <w:tcW w:w="4396" w:type="dxa"/>
            <w:gridSpan w:val="5"/>
            <w:tcMar>
              <w:left w:w="0" w:type="dxa"/>
              <w:right w:w="0" w:type="dxa"/>
            </w:tcMar>
            <w:vAlign w:val="bottom"/>
          </w:tcPr>
          <w:p w14:paraId="06E53FB0" w14:textId="21C27B7B" w:rsidR="00AA5577" w:rsidRPr="00AA5577" w:rsidRDefault="00AA5577" w:rsidP="00AA5577">
            <w:pPr>
              <w:pStyle w:val="TableColHeadsBold"/>
              <w:rPr>
                <w:rFonts w:ascii="IBM Plex Sans Light" w:hAnsi="IBM Plex Sans Light"/>
                <w:szCs w:val="14"/>
              </w:rPr>
            </w:pPr>
            <w:r w:rsidRPr="00AA5577">
              <w:rPr>
                <w:rFonts w:ascii="IBM Plex Sans Light" w:hAnsi="IBM Plex Sans Light"/>
                <w:szCs w:val="14"/>
              </w:rPr>
              <w:t>202</w:t>
            </w:r>
            <w:r>
              <w:rPr>
                <w:rFonts w:ascii="IBM Plex Sans Light" w:hAnsi="IBM Plex Sans Light"/>
                <w:szCs w:val="14"/>
              </w:rPr>
              <w:t>2</w:t>
            </w:r>
          </w:p>
        </w:tc>
      </w:tr>
      <w:tr w:rsidR="00AA5577" w:rsidRPr="00AA5577" w14:paraId="5A62A0E0" w14:textId="77777777" w:rsidTr="00435CF7">
        <w:tc>
          <w:tcPr>
            <w:tcW w:w="4678" w:type="dxa"/>
            <w:tcMar>
              <w:left w:w="0" w:type="dxa"/>
              <w:right w:w="0" w:type="dxa"/>
            </w:tcMar>
            <w:vAlign w:val="bottom"/>
          </w:tcPr>
          <w:p w14:paraId="720096E4" w14:textId="77777777" w:rsidR="00AA5577" w:rsidRPr="00AA5577" w:rsidRDefault="00AA5577" w:rsidP="002B525C">
            <w:pPr>
              <w:spacing w:after="0" w:line="240" w:lineRule="auto"/>
              <w:jc w:val="both"/>
              <w:rPr>
                <w:rFonts w:ascii="IBM Plex Sans Light" w:hAnsi="IBM Plex Sans Light" w:cs="Arial"/>
                <w:sz w:val="14"/>
                <w:szCs w:val="14"/>
              </w:rPr>
            </w:pPr>
          </w:p>
        </w:tc>
        <w:tc>
          <w:tcPr>
            <w:tcW w:w="284" w:type="dxa"/>
            <w:vAlign w:val="bottom"/>
          </w:tcPr>
          <w:p w14:paraId="1BA98F08" w14:textId="77777777" w:rsidR="00AA5577" w:rsidRPr="00AA5577" w:rsidRDefault="00AA5577" w:rsidP="002B525C">
            <w:pPr>
              <w:spacing w:after="0" w:line="240" w:lineRule="auto"/>
              <w:jc w:val="both"/>
              <w:rPr>
                <w:rFonts w:ascii="IBM Plex Sans Light" w:hAnsi="IBM Plex Sans Light" w:cs="Arial"/>
                <w:sz w:val="14"/>
                <w:szCs w:val="14"/>
              </w:rPr>
            </w:pPr>
          </w:p>
        </w:tc>
        <w:tc>
          <w:tcPr>
            <w:tcW w:w="567" w:type="dxa"/>
            <w:tcMar>
              <w:left w:w="0" w:type="dxa"/>
              <w:right w:w="0" w:type="dxa"/>
            </w:tcMar>
            <w:vAlign w:val="bottom"/>
          </w:tcPr>
          <w:p w14:paraId="52E0F674" w14:textId="77777777" w:rsidR="00AA5577" w:rsidRPr="00AA5577" w:rsidRDefault="00AA5577" w:rsidP="002B525C">
            <w:pPr>
              <w:spacing w:after="0" w:line="240" w:lineRule="auto"/>
              <w:jc w:val="both"/>
              <w:rPr>
                <w:rFonts w:ascii="IBM Plex Sans Light" w:hAnsi="IBM Plex Sans Light" w:cs="Arial"/>
                <w:sz w:val="14"/>
                <w:szCs w:val="14"/>
              </w:rPr>
            </w:pPr>
          </w:p>
        </w:tc>
        <w:tc>
          <w:tcPr>
            <w:tcW w:w="850" w:type="dxa"/>
            <w:tcMar>
              <w:left w:w="0" w:type="dxa"/>
              <w:right w:w="0" w:type="dxa"/>
            </w:tcMar>
            <w:vAlign w:val="bottom"/>
          </w:tcPr>
          <w:p w14:paraId="1B5BA419" w14:textId="77777777" w:rsidR="00AA5577" w:rsidRPr="00AA5577" w:rsidRDefault="00AA5577" w:rsidP="002B525C">
            <w:pPr>
              <w:pStyle w:val="TableColHeadsBold"/>
              <w:rPr>
                <w:rFonts w:ascii="IBM Plex Sans Light" w:hAnsi="IBM Plex Sans Light"/>
                <w:szCs w:val="14"/>
                <w:highlight w:val="lightGray"/>
              </w:rPr>
            </w:pPr>
          </w:p>
        </w:tc>
        <w:tc>
          <w:tcPr>
            <w:tcW w:w="851" w:type="dxa"/>
            <w:tcBorders>
              <w:right w:val="single" w:sz="4" w:space="0" w:color="3D7FE0" w:themeColor="accent1"/>
            </w:tcBorders>
            <w:tcMar>
              <w:left w:w="0" w:type="dxa"/>
              <w:right w:w="0" w:type="dxa"/>
            </w:tcMar>
            <w:vAlign w:val="bottom"/>
          </w:tcPr>
          <w:p w14:paraId="25B31266" w14:textId="77777777" w:rsidR="00AA5577" w:rsidRPr="00AA5577" w:rsidRDefault="00AA5577" w:rsidP="002B525C">
            <w:pPr>
              <w:pStyle w:val="TableColHeadsBold"/>
              <w:rPr>
                <w:rFonts w:ascii="IBM Plex Sans Light" w:hAnsi="IBM Plex Sans Light"/>
                <w:szCs w:val="14"/>
                <w:highlight w:val="yellow"/>
              </w:rPr>
            </w:pPr>
          </w:p>
        </w:tc>
        <w:tc>
          <w:tcPr>
            <w:tcW w:w="2695" w:type="dxa"/>
            <w:gridSpan w:val="3"/>
            <w:tcBorders>
              <w:top w:val="single" w:sz="4" w:space="0" w:color="3D7FE0" w:themeColor="accent1"/>
              <w:left w:val="single" w:sz="4" w:space="0" w:color="3D7FE0" w:themeColor="accent1"/>
              <w:bottom w:val="single" w:sz="4" w:space="0" w:color="3D7FE0" w:themeColor="accent1"/>
              <w:right w:val="single" w:sz="4" w:space="0" w:color="3D7FE0" w:themeColor="accent1"/>
            </w:tcBorders>
            <w:tcMar>
              <w:left w:w="0" w:type="dxa"/>
              <w:right w:w="0" w:type="dxa"/>
            </w:tcMar>
            <w:vAlign w:val="bottom"/>
          </w:tcPr>
          <w:p w14:paraId="61D59930" w14:textId="77777777" w:rsidR="00AA5577" w:rsidRPr="00AA5577" w:rsidRDefault="00AA5577" w:rsidP="002B525C">
            <w:pPr>
              <w:pStyle w:val="TableColHeadsBold"/>
              <w:jc w:val="center"/>
              <w:rPr>
                <w:rFonts w:ascii="IBM Plex Sans Light" w:hAnsi="IBM Plex Sans Light"/>
                <w:szCs w:val="14"/>
              </w:rPr>
            </w:pPr>
            <w:r w:rsidRPr="00AA5577">
              <w:rPr>
                <w:rFonts w:ascii="IBM Plex Sans Light" w:hAnsi="IBM Plex Sans Light"/>
                <w:szCs w:val="14"/>
              </w:rPr>
              <w:t>Proportionally consolidated</w:t>
            </w:r>
          </w:p>
        </w:tc>
      </w:tr>
      <w:tr w:rsidR="00AA5577" w:rsidRPr="00AA5577" w14:paraId="659C2325" w14:textId="77777777" w:rsidTr="00435CF7">
        <w:tc>
          <w:tcPr>
            <w:tcW w:w="4678" w:type="dxa"/>
            <w:tcMar>
              <w:left w:w="0" w:type="dxa"/>
              <w:right w:w="0" w:type="dxa"/>
            </w:tcMar>
            <w:vAlign w:val="bottom"/>
          </w:tcPr>
          <w:p w14:paraId="14C2946F" w14:textId="77777777" w:rsidR="00AA5577" w:rsidRPr="00AA5577" w:rsidRDefault="00AA5577" w:rsidP="002B525C">
            <w:pPr>
              <w:pStyle w:val="TableColHeads"/>
              <w:rPr>
                <w:rFonts w:ascii="IBM Plex Sans Light" w:hAnsi="IBM Plex Sans Light"/>
                <w:szCs w:val="14"/>
              </w:rPr>
            </w:pPr>
          </w:p>
        </w:tc>
        <w:tc>
          <w:tcPr>
            <w:tcW w:w="284" w:type="dxa"/>
            <w:vAlign w:val="bottom"/>
          </w:tcPr>
          <w:p w14:paraId="07C51EC0" w14:textId="77777777" w:rsidR="00AA5577" w:rsidRPr="00AA5577" w:rsidRDefault="00AA5577" w:rsidP="002B525C">
            <w:pPr>
              <w:pStyle w:val="TableColHeads"/>
              <w:rPr>
                <w:rFonts w:ascii="IBM Plex Sans Light" w:hAnsi="IBM Plex Sans Light"/>
                <w:szCs w:val="14"/>
              </w:rPr>
            </w:pPr>
          </w:p>
        </w:tc>
        <w:tc>
          <w:tcPr>
            <w:tcW w:w="567" w:type="dxa"/>
            <w:tcMar>
              <w:left w:w="0" w:type="dxa"/>
              <w:right w:w="0" w:type="dxa"/>
            </w:tcMar>
            <w:vAlign w:val="bottom"/>
          </w:tcPr>
          <w:p w14:paraId="3039569C" w14:textId="77777777" w:rsidR="00AA5577" w:rsidRPr="00AA5577" w:rsidRDefault="00AA5577" w:rsidP="002B525C">
            <w:pPr>
              <w:pStyle w:val="TableColHeads"/>
              <w:rPr>
                <w:rFonts w:ascii="IBM Plex Sans Light" w:hAnsi="IBM Plex Sans Light"/>
                <w:szCs w:val="14"/>
              </w:rPr>
            </w:pPr>
          </w:p>
        </w:tc>
        <w:tc>
          <w:tcPr>
            <w:tcW w:w="850" w:type="dxa"/>
            <w:tcMar>
              <w:left w:w="0" w:type="dxa"/>
              <w:right w:w="0" w:type="dxa"/>
            </w:tcMar>
            <w:vAlign w:val="bottom"/>
          </w:tcPr>
          <w:p w14:paraId="22BC749E"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Reported Group </w:t>
            </w:r>
          </w:p>
        </w:tc>
        <w:tc>
          <w:tcPr>
            <w:tcW w:w="851" w:type="dxa"/>
            <w:tcBorders>
              <w:right w:val="single" w:sz="4" w:space="0" w:color="3D7FE0" w:themeColor="accent1"/>
            </w:tcBorders>
            <w:tcMar>
              <w:left w:w="0" w:type="dxa"/>
              <w:right w:w="0" w:type="dxa"/>
            </w:tcMar>
            <w:vAlign w:val="bottom"/>
          </w:tcPr>
          <w:p w14:paraId="32D291FD"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Share of Property interests </w:t>
            </w:r>
          </w:p>
        </w:tc>
        <w:tc>
          <w:tcPr>
            <w:tcW w:w="992" w:type="dxa"/>
            <w:tcBorders>
              <w:top w:val="single" w:sz="4" w:space="0" w:color="3D7FE0" w:themeColor="accent1"/>
              <w:left w:val="single" w:sz="4" w:space="0" w:color="3D7FE0" w:themeColor="accent1"/>
            </w:tcBorders>
            <w:tcMar>
              <w:left w:w="0" w:type="dxa"/>
              <w:right w:w="0" w:type="dxa"/>
            </w:tcMar>
            <w:vAlign w:val="bottom"/>
          </w:tcPr>
          <w:p w14:paraId="5337606A"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Sub-total before adjustments </w:t>
            </w:r>
          </w:p>
        </w:tc>
        <w:tc>
          <w:tcPr>
            <w:tcW w:w="850" w:type="dxa"/>
            <w:vAlign w:val="bottom"/>
          </w:tcPr>
          <w:p w14:paraId="0E7AA39E"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Capital and other </w:t>
            </w:r>
          </w:p>
        </w:tc>
        <w:tc>
          <w:tcPr>
            <w:tcW w:w="853" w:type="dxa"/>
            <w:tcBorders>
              <w:right w:val="single" w:sz="4" w:space="0" w:color="3D7FE0" w:themeColor="accent1"/>
            </w:tcBorders>
            <w:tcMar>
              <w:left w:w="0" w:type="dxa"/>
              <w:right w:w="0" w:type="dxa"/>
            </w:tcMar>
            <w:vAlign w:val="bottom"/>
          </w:tcPr>
          <w:p w14:paraId="11E3A776"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Adjusted </w:t>
            </w:r>
          </w:p>
        </w:tc>
      </w:tr>
      <w:tr w:rsidR="00AA5577" w:rsidRPr="00AA5577" w14:paraId="662AD744" w14:textId="77777777" w:rsidTr="00435CF7">
        <w:tc>
          <w:tcPr>
            <w:tcW w:w="4678" w:type="dxa"/>
            <w:tcMar>
              <w:left w:w="0" w:type="dxa"/>
              <w:bottom w:w="28" w:type="dxa"/>
              <w:right w:w="0" w:type="dxa"/>
            </w:tcMar>
            <w:vAlign w:val="bottom"/>
          </w:tcPr>
          <w:p w14:paraId="31FD3502" w14:textId="77777777" w:rsidR="00AA5577" w:rsidRPr="00AA5577" w:rsidRDefault="00AA5577" w:rsidP="002B525C">
            <w:pPr>
              <w:pStyle w:val="TableColHeads"/>
              <w:rPr>
                <w:rFonts w:ascii="IBM Plex Sans Light" w:hAnsi="IBM Plex Sans Light"/>
                <w:szCs w:val="14"/>
              </w:rPr>
            </w:pPr>
          </w:p>
        </w:tc>
        <w:tc>
          <w:tcPr>
            <w:tcW w:w="284" w:type="dxa"/>
            <w:vAlign w:val="bottom"/>
          </w:tcPr>
          <w:p w14:paraId="59E75D26" w14:textId="77777777" w:rsidR="00AA5577" w:rsidRPr="00AA5577" w:rsidRDefault="00AA5577" w:rsidP="002B525C">
            <w:pPr>
              <w:pStyle w:val="TableColHeads"/>
              <w:rPr>
                <w:rFonts w:ascii="IBM Plex Sans Light" w:hAnsi="IBM Plex Sans Light"/>
                <w:szCs w:val="14"/>
              </w:rPr>
            </w:pPr>
          </w:p>
        </w:tc>
        <w:tc>
          <w:tcPr>
            <w:tcW w:w="567" w:type="dxa"/>
            <w:tcMar>
              <w:left w:w="0" w:type="dxa"/>
              <w:bottom w:w="28" w:type="dxa"/>
              <w:right w:w="0" w:type="dxa"/>
            </w:tcMar>
            <w:vAlign w:val="bottom"/>
          </w:tcPr>
          <w:p w14:paraId="1BED6954" w14:textId="77777777" w:rsidR="00AA5577" w:rsidRPr="00AA5577" w:rsidRDefault="00AA5577" w:rsidP="002B525C">
            <w:pPr>
              <w:pStyle w:val="TableColHeads"/>
              <w:rPr>
                <w:rFonts w:ascii="IBM Plex Sans Light" w:hAnsi="IBM Plex Sans Light"/>
                <w:szCs w:val="14"/>
              </w:rPr>
            </w:pPr>
          </w:p>
        </w:tc>
        <w:tc>
          <w:tcPr>
            <w:tcW w:w="850" w:type="dxa"/>
            <w:tcMar>
              <w:left w:w="0" w:type="dxa"/>
              <w:bottom w:w="28" w:type="dxa"/>
              <w:right w:w="0" w:type="dxa"/>
            </w:tcMar>
            <w:vAlign w:val="bottom"/>
          </w:tcPr>
          <w:p w14:paraId="7DEE6BEA" w14:textId="77777777" w:rsidR="00AA5577" w:rsidRPr="00AA5577" w:rsidRDefault="00AA5577" w:rsidP="002B525C">
            <w:pPr>
              <w:pStyle w:val="TableColHeadsBold"/>
              <w:rPr>
                <w:rFonts w:ascii="IBM Plex Sans Light" w:hAnsi="IBM Plex Sans Light"/>
                <w:szCs w:val="14"/>
              </w:rPr>
            </w:pPr>
          </w:p>
        </w:tc>
        <w:tc>
          <w:tcPr>
            <w:tcW w:w="851" w:type="dxa"/>
            <w:tcBorders>
              <w:right w:val="single" w:sz="4" w:space="0" w:color="3D7FE0" w:themeColor="accent1"/>
            </w:tcBorders>
            <w:tcMar>
              <w:left w:w="0" w:type="dxa"/>
              <w:bottom w:w="28" w:type="dxa"/>
              <w:right w:w="0" w:type="dxa"/>
            </w:tcMar>
            <w:vAlign w:val="bottom"/>
          </w:tcPr>
          <w:p w14:paraId="3EAEFD40" w14:textId="77777777" w:rsidR="00AA5577" w:rsidRPr="00AA5577" w:rsidRDefault="00AA5577" w:rsidP="002B525C">
            <w:pPr>
              <w:pStyle w:val="TableColHeadsBold"/>
              <w:rPr>
                <w:rFonts w:ascii="IBM Plex Sans Light" w:hAnsi="IBM Plex Sans Light"/>
                <w:bCs w:val="0"/>
                <w:szCs w:val="14"/>
              </w:rPr>
            </w:pPr>
          </w:p>
        </w:tc>
        <w:tc>
          <w:tcPr>
            <w:tcW w:w="992" w:type="dxa"/>
            <w:tcBorders>
              <w:left w:val="single" w:sz="4" w:space="0" w:color="3D7FE0" w:themeColor="accent1"/>
            </w:tcBorders>
            <w:tcMar>
              <w:left w:w="0" w:type="dxa"/>
              <w:bottom w:w="28" w:type="dxa"/>
              <w:right w:w="0" w:type="dxa"/>
            </w:tcMar>
            <w:vAlign w:val="bottom"/>
          </w:tcPr>
          <w:p w14:paraId="5A3642DC" w14:textId="77777777" w:rsidR="00AA5577" w:rsidRPr="00AA5577" w:rsidRDefault="00AA5577" w:rsidP="002B525C">
            <w:pPr>
              <w:pStyle w:val="TableColHeadsBold"/>
              <w:rPr>
                <w:rFonts w:ascii="IBM Plex Sans Light" w:hAnsi="IBM Plex Sans Light"/>
                <w:bCs w:val="0"/>
                <w:szCs w:val="14"/>
              </w:rPr>
            </w:pPr>
          </w:p>
        </w:tc>
        <w:tc>
          <w:tcPr>
            <w:tcW w:w="850" w:type="dxa"/>
            <w:vAlign w:val="bottom"/>
          </w:tcPr>
          <w:p w14:paraId="6EAFDE1E" w14:textId="5EE4C18E" w:rsidR="00AA5577" w:rsidRPr="00AA5577" w:rsidRDefault="00AA5577" w:rsidP="002B525C">
            <w:pPr>
              <w:pStyle w:val="TableColHeadsBold"/>
              <w:rPr>
                <w:rFonts w:ascii="IBM Plex Sans Light" w:hAnsi="IBM Plex Sans Light"/>
                <w:b w:val="0"/>
                <w:bCs w:val="0"/>
                <w:sz w:val="16"/>
                <w:szCs w:val="16"/>
              </w:rPr>
            </w:pPr>
            <w:r w:rsidRPr="00AA5577">
              <w:rPr>
                <w:rFonts w:ascii="IBM Plex Sans Light" w:hAnsi="IBM Plex Sans Light"/>
                <w:b w:val="0"/>
                <w:bCs w:val="0"/>
                <w:sz w:val="16"/>
                <w:szCs w:val="16"/>
              </w:rPr>
              <w:t>a</w:t>
            </w:r>
          </w:p>
        </w:tc>
        <w:tc>
          <w:tcPr>
            <w:tcW w:w="853" w:type="dxa"/>
            <w:tcBorders>
              <w:right w:val="single" w:sz="4" w:space="0" w:color="3D7FE0" w:themeColor="accent1"/>
            </w:tcBorders>
            <w:tcMar>
              <w:left w:w="0" w:type="dxa"/>
              <w:bottom w:w="28" w:type="dxa"/>
              <w:right w:w="0" w:type="dxa"/>
            </w:tcMar>
            <w:vAlign w:val="bottom"/>
          </w:tcPr>
          <w:p w14:paraId="6BE909D3" w14:textId="77777777" w:rsidR="00AA5577" w:rsidRPr="00AA5577" w:rsidRDefault="00AA5577" w:rsidP="002B525C">
            <w:pPr>
              <w:pStyle w:val="TableColHeadsBold"/>
              <w:rPr>
                <w:rFonts w:ascii="IBM Plex Sans Light" w:hAnsi="IBM Plex Sans Light"/>
                <w:szCs w:val="14"/>
              </w:rPr>
            </w:pPr>
          </w:p>
        </w:tc>
      </w:tr>
      <w:tr w:rsidR="00AA5577" w:rsidRPr="00AA5577" w14:paraId="66AE2851" w14:textId="77777777" w:rsidTr="00435CF7">
        <w:tc>
          <w:tcPr>
            <w:tcW w:w="4678" w:type="dxa"/>
            <w:tcBorders>
              <w:bottom w:val="single" w:sz="2" w:space="0" w:color="3D7FE0" w:themeColor="accent1"/>
            </w:tcBorders>
            <w:tcMar>
              <w:left w:w="0" w:type="dxa"/>
              <w:bottom w:w="28" w:type="dxa"/>
              <w:right w:w="0" w:type="dxa"/>
            </w:tcMar>
            <w:vAlign w:val="bottom"/>
          </w:tcPr>
          <w:p w14:paraId="14913009" w14:textId="77777777" w:rsidR="00AA5577" w:rsidRPr="00AA5577" w:rsidRDefault="00AA5577" w:rsidP="002B525C">
            <w:pPr>
              <w:pStyle w:val="TableColHeads"/>
              <w:rPr>
                <w:rFonts w:ascii="IBM Plex Sans Light" w:hAnsi="IBM Plex Sans Light"/>
                <w:szCs w:val="14"/>
              </w:rPr>
            </w:pPr>
          </w:p>
        </w:tc>
        <w:tc>
          <w:tcPr>
            <w:tcW w:w="284" w:type="dxa"/>
            <w:tcBorders>
              <w:bottom w:val="single" w:sz="2" w:space="0" w:color="3D7FE0" w:themeColor="accent1"/>
            </w:tcBorders>
            <w:vAlign w:val="bottom"/>
          </w:tcPr>
          <w:p w14:paraId="20EC8511" w14:textId="77777777" w:rsidR="00AA5577" w:rsidRPr="00AA5577" w:rsidRDefault="00AA5577" w:rsidP="002B525C">
            <w:pPr>
              <w:pStyle w:val="TableColHeads"/>
              <w:rPr>
                <w:rFonts w:ascii="IBM Plex Sans Light" w:hAnsi="IBM Plex Sans Light"/>
                <w:szCs w:val="14"/>
              </w:rPr>
            </w:pPr>
          </w:p>
        </w:tc>
        <w:tc>
          <w:tcPr>
            <w:tcW w:w="567" w:type="dxa"/>
            <w:tcBorders>
              <w:bottom w:val="single" w:sz="2" w:space="0" w:color="3D7FE0" w:themeColor="accent1"/>
            </w:tcBorders>
            <w:tcMar>
              <w:left w:w="0" w:type="dxa"/>
              <w:bottom w:w="28" w:type="dxa"/>
              <w:right w:w="0" w:type="dxa"/>
            </w:tcMar>
            <w:vAlign w:val="bottom"/>
          </w:tcPr>
          <w:p w14:paraId="2CB98EB4" w14:textId="77777777" w:rsidR="00AA5577" w:rsidRPr="00024B10" w:rsidRDefault="00AA5577" w:rsidP="002B525C">
            <w:pPr>
              <w:pStyle w:val="TableColHeads"/>
              <w:jc w:val="center"/>
              <w:rPr>
                <w:rFonts w:ascii="IBM Plex Sans Light" w:hAnsi="IBM Plex Sans Light"/>
                <w:bCs/>
                <w:sz w:val="16"/>
                <w:szCs w:val="16"/>
              </w:rPr>
            </w:pPr>
            <w:r w:rsidRPr="00024B10">
              <w:rPr>
                <w:rFonts w:ascii="IBM Plex Sans Light" w:hAnsi="IBM Plex Sans Light"/>
                <w:bCs/>
                <w:sz w:val="16"/>
                <w:szCs w:val="16"/>
              </w:rPr>
              <w:t>Note</w:t>
            </w:r>
          </w:p>
        </w:tc>
        <w:tc>
          <w:tcPr>
            <w:tcW w:w="850" w:type="dxa"/>
            <w:tcBorders>
              <w:bottom w:val="single" w:sz="2" w:space="0" w:color="3D7FE0" w:themeColor="accent1"/>
            </w:tcBorders>
            <w:tcMar>
              <w:left w:w="0" w:type="dxa"/>
              <w:bottom w:w="28" w:type="dxa"/>
              <w:right w:w="0" w:type="dxa"/>
            </w:tcMar>
            <w:vAlign w:val="bottom"/>
          </w:tcPr>
          <w:p w14:paraId="65A46BB3"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£m </w:t>
            </w:r>
          </w:p>
        </w:tc>
        <w:tc>
          <w:tcPr>
            <w:tcW w:w="851" w:type="dxa"/>
            <w:tcBorders>
              <w:bottom w:val="single" w:sz="2" w:space="0" w:color="3D7FE0" w:themeColor="accent1"/>
              <w:right w:val="single" w:sz="4" w:space="0" w:color="3D7FE0" w:themeColor="accent1"/>
            </w:tcBorders>
            <w:tcMar>
              <w:left w:w="0" w:type="dxa"/>
              <w:bottom w:w="28" w:type="dxa"/>
              <w:right w:w="0" w:type="dxa"/>
            </w:tcMar>
            <w:vAlign w:val="bottom"/>
          </w:tcPr>
          <w:p w14:paraId="6FC4A9D6" w14:textId="77777777" w:rsidR="00AA5577" w:rsidRPr="00AA5577" w:rsidRDefault="00AA5577" w:rsidP="002B525C">
            <w:pPr>
              <w:pStyle w:val="TableColHeadsBold"/>
              <w:rPr>
                <w:rFonts w:ascii="IBM Plex Sans Light" w:hAnsi="IBM Plex Sans Light"/>
                <w:bCs w:val="0"/>
                <w:szCs w:val="14"/>
              </w:rPr>
            </w:pPr>
            <w:r w:rsidRPr="00AA5577">
              <w:rPr>
                <w:rFonts w:ascii="IBM Plex Sans Light" w:hAnsi="IBM Plex Sans Light"/>
                <w:bCs w:val="0"/>
                <w:szCs w:val="14"/>
              </w:rPr>
              <w:t xml:space="preserve">£m </w:t>
            </w:r>
          </w:p>
        </w:tc>
        <w:tc>
          <w:tcPr>
            <w:tcW w:w="992" w:type="dxa"/>
            <w:tcBorders>
              <w:left w:val="single" w:sz="4" w:space="0" w:color="3D7FE0" w:themeColor="accent1"/>
              <w:bottom w:val="single" w:sz="2" w:space="0" w:color="3D7FE0" w:themeColor="accent1"/>
            </w:tcBorders>
            <w:tcMar>
              <w:left w:w="0" w:type="dxa"/>
              <w:bottom w:w="28" w:type="dxa"/>
              <w:right w:w="0" w:type="dxa"/>
            </w:tcMar>
            <w:vAlign w:val="bottom"/>
          </w:tcPr>
          <w:p w14:paraId="66B46197" w14:textId="77777777" w:rsidR="00AA5577" w:rsidRPr="00AA5577" w:rsidRDefault="00AA5577" w:rsidP="002B525C">
            <w:pPr>
              <w:pStyle w:val="TableColHeadsBold"/>
              <w:rPr>
                <w:rFonts w:ascii="IBM Plex Sans Light" w:hAnsi="IBM Plex Sans Light"/>
                <w:bCs w:val="0"/>
                <w:szCs w:val="14"/>
              </w:rPr>
            </w:pPr>
            <w:r w:rsidRPr="00AA5577">
              <w:rPr>
                <w:rFonts w:ascii="IBM Plex Sans Light" w:hAnsi="IBM Plex Sans Light"/>
                <w:bCs w:val="0"/>
                <w:szCs w:val="14"/>
              </w:rPr>
              <w:t xml:space="preserve">£m </w:t>
            </w:r>
          </w:p>
        </w:tc>
        <w:tc>
          <w:tcPr>
            <w:tcW w:w="850" w:type="dxa"/>
            <w:tcBorders>
              <w:bottom w:val="single" w:sz="2" w:space="0" w:color="3D7FE0" w:themeColor="accent1"/>
            </w:tcBorders>
            <w:vAlign w:val="bottom"/>
          </w:tcPr>
          <w:p w14:paraId="3110B898"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£m </w:t>
            </w:r>
          </w:p>
        </w:tc>
        <w:tc>
          <w:tcPr>
            <w:tcW w:w="853" w:type="dxa"/>
            <w:tcBorders>
              <w:bottom w:val="single" w:sz="2" w:space="0" w:color="3D7FE0" w:themeColor="accent1"/>
              <w:right w:val="single" w:sz="4" w:space="0" w:color="3D7FE0" w:themeColor="accent1"/>
            </w:tcBorders>
            <w:tcMar>
              <w:left w:w="0" w:type="dxa"/>
              <w:bottom w:w="28" w:type="dxa"/>
              <w:right w:w="0" w:type="dxa"/>
            </w:tcMar>
            <w:vAlign w:val="bottom"/>
          </w:tcPr>
          <w:p w14:paraId="698677C8" w14:textId="77777777" w:rsidR="00AA5577" w:rsidRPr="00AA5577" w:rsidRDefault="00AA5577" w:rsidP="002B525C">
            <w:pPr>
              <w:pStyle w:val="TableColHeadsBold"/>
              <w:rPr>
                <w:rFonts w:ascii="IBM Plex Sans Light" w:hAnsi="IBM Plex Sans Light"/>
                <w:szCs w:val="14"/>
              </w:rPr>
            </w:pPr>
            <w:r w:rsidRPr="00AA5577">
              <w:rPr>
                <w:rFonts w:ascii="IBM Plex Sans Light" w:hAnsi="IBM Plex Sans Light"/>
                <w:szCs w:val="14"/>
              </w:rPr>
              <w:t xml:space="preserve">£m </w:t>
            </w:r>
          </w:p>
        </w:tc>
      </w:tr>
      <w:tr w:rsidR="00703D38" w:rsidRPr="00AA5577" w14:paraId="3DBA5401" w14:textId="77777777" w:rsidTr="00435CF7">
        <w:tc>
          <w:tcPr>
            <w:tcW w:w="4678" w:type="dxa"/>
            <w:tcBorders>
              <w:top w:val="single" w:sz="2" w:space="0" w:color="3D7FE0" w:themeColor="accent1"/>
              <w:bottom w:val="single" w:sz="4" w:space="0" w:color="3D7FE0" w:themeColor="accent1"/>
            </w:tcBorders>
            <w:tcMar>
              <w:left w:w="0" w:type="dxa"/>
              <w:right w:w="0" w:type="dxa"/>
            </w:tcMar>
            <w:vAlign w:val="bottom"/>
          </w:tcPr>
          <w:p w14:paraId="424DA483" w14:textId="77777777" w:rsidR="00703D38" w:rsidRPr="00AA5577" w:rsidRDefault="00703D38" w:rsidP="00703D38">
            <w:pPr>
              <w:pStyle w:val="TabletextBold"/>
              <w:rPr>
                <w:rFonts w:ascii="IBM Plex Sans Light" w:hAnsi="IBM Plex Sans Light"/>
                <w:bCs/>
                <w:color w:val="auto"/>
                <w:sz w:val="18"/>
                <w:szCs w:val="18"/>
              </w:rPr>
            </w:pPr>
            <w:r w:rsidRPr="00AA5577">
              <w:rPr>
                <w:rFonts w:ascii="IBM Plex Sans Light" w:hAnsi="IBM Plex Sans Light"/>
                <w:bCs/>
                <w:color w:val="auto"/>
                <w:sz w:val="18"/>
                <w:szCs w:val="18"/>
              </w:rPr>
              <w:t>Revenue</w:t>
            </w:r>
          </w:p>
        </w:tc>
        <w:tc>
          <w:tcPr>
            <w:tcW w:w="284" w:type="dxa"/>
            <w:tcBorders>
              <w:top w:val="single" w:sz="2" w:space="0" w:color="3D7FE0" w:themeColor="accent1"/>
              <w:bottom w:val="single" w:sz="4" w:space="0" w:color="3D7FE0" w:themeColor="accent1"/>
            </w:tcBorders>
            <w:vAlign w:val="bottom"/>
          </w:tcPr>
          <w:p w14:paraId="37ACFD72" w14:textId="77777777" w:rsidR="00703D38" w:rsidRPr="00AA5577" w:rsidRDefault="00703D38" w:rsidP="00703D38">
            <w:pPr>
              <w:pStyle w:val="TabletextBold"/>
              <w:rPr>
                <w:rFonts w:ascii="IBM Plex Sans Light" w:hAnsi="IBM Plex Sans Light"/>
                <w:bCs/>
                <w:color w:val="auto"/>
                <w:sz w:val="18"/>
                <w:szCs w:val="18"/>
              </w:rPr>
            </w:pPr>
          </w:p>
        </w:tc>
        <w:tc>
          <w:tcPr>
            <w:tcW w:w="567" w:type="dxa"/>
            <w:tcBorders>
              <w:top w:val="single" w:sz="2" w:space="0" w:color="3D7FE0" w:themeColor="accent1"/>
              <w:bottom w:val="single" w:sz="4" w:space="0" w:color="3D7FE0" w:themeColor="accent1"/>
            </w:tcBorders>
            <w:tcMar>
              <w:left w:w="0" w:type="dxa"/>
              <w:right w:w="0" w:type="dxa"/>
            </w:tcMar>
            <w:vAlign w:val="bottom"/>
          </w:tcPr>
          <w:p w14:paraId="0283DFAD" w14:textId="77777777" w:rsidR="00703D38" w:rsidRPr="00AA5577" w:rsidRDefault="00703D38" w:rsidP="00703D38">
            <w:pPr>
              <w:pStyle w:val="TableFigures"/>
              <w:jc w:val="center"/>
              <w:rPr>
                <w:rStyle w:val="NotesStyle"/>
                <w:rFonts w:ascii="IBM Plex Sans Light" w:hAnsi="IBM Plex Sans Light"/>
                <w:b/>
                <w:color w:val="auto"/>
                <w:spacing w:val="-4"/>
                <w:sz w:val="16"/>
                <w:szCs w:val="16"/>
              </w:rPr>
            </w:pPr>
          </w:p>
        </w:tc>
        <w:tc>
          <w:tcPr>
            <w:tcW w:w="850" w:type="dxa"/>
            <w:tcBorders>
              <w:top w:val="single" w:sz="2" w:space="0" w:color="3D7FE0" w:themeColor="accent1"/>
              <w:bottom w:val="single" w:sz="4" w:space="0" w:color="3D7FE0" w:themeColor="accent1"/>
            </w:tcBorders>
            <w:tcMar>
              <w:left w:w="0" w:type="dxa"/>
              <w:right w:w="0" w:type="dxa"/>
            </w:tcMar>
          </w:tcPr>
          <w:p w14:paraId="18289A7C" w14:textId="7982062D" w:rsidR="00703D38" w:rsidRPr="00CC46DB" w:rsidRDefault="00703D38" w:rsidP="00703D38">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131.4</w:t>
            </w:r>
          </w:p>
        </w:tc>
        <w:tc>
          <w:tcPr>
            <w:tcW w:w="851" w:type="dxa"/>
            <w:tcBorders>
              <w:top w:val="single" w:sz="2" w:space="0" w:color="3D7FE0" w:themeColor="accent1"/>
              <w:bottom w:val="single" w:sz="4" w:space="0" w:color="3D7FE0" w:themeColor="accent1"/>
              <w:right w:val="single" w:sz="4" w:space="0" w:color="3D7FE0" w:themeColor="accent1"/>
            </w:tcBorders>
            <w:tcMar>
              <w:left w:w="0" w:type="dxa"/>
              <w:right w:w="0" w:type="dxa"/>
            </w:tcMar>
          </w:tcPr>
          <w:p w14:paraId="68BB4816" w14:textId="0C33D7B9" w:rsidR="00703D38" w:rsidRPr="00CC46DB" w:rsidRDefault="00703D38" w:rsidP="00703D38">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143.6</w:t>
            </w:r>
          </w:p>
        </w:tc>
        <w:tc>
          <w:tcPr>
            <w:tcW w:w="992" w:type="dxa"/>
            <w:tcBorders>
              <w:top w:val="single" w:sz="2" w:space="0" w:color="3D7FE0" w:themeColor="accent1"/>
              <w:left w:val="single" w:sz="4" w:space="0" w:color="3D7FE0" w:themeColor="accent1"/>
              <w:bottom w:val="single" w:sz="4" w:space="0" w:color="3D7FE0" w:themeColor="accent1"/>
            </w:tcBorders>
            <w:tcMar>
              <w:left w:w="0" w:type="dxa"/>
              <w:right w:w="0" w:type="dxa"/>
            </w:tcMar>
          </w:tcPr>
          <w:p w14:paraId="73C957F2" w14:textId="3BE792EC" w:rsidR="00703D38" w:rsidRPr="00CC46DB" w:rsidRDefault="00703D38" w:rsidP="00703D38">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275.0</w:t>
            </w:r>
          </w:p>
        </w:tc>
        <w:tc>
          <w:tcPr>
            <w:tcW w:w="850" w:type="dxa"/>
            <w:tcBorders>
              <w:top w:val="single" w:sz="2" w:space="0" w:color="3D7FE0" w:themeColor="accent1"/>
              <w:bottom w:val="single" w:sz="4" w:space="0" w:color="3D7FE0" w:themeColor="accent1"/>
            </w:tcBorders>
          </w:tcPr>
          <w:p w14:paraId="0E3FC498" w14:textId="3DFC42D9" w:rsidR="00703D38" w:rsidRPr="00CC46DB" w:rsidRDefault="00703D38" w:rsidP="00703D38">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w:t>
            </w:r>
          </w:p>
        </w:tc>
        <w:tc>
          <w:tcPr>
            <w:tcW w:w="853" w:type="dxa"/>
            <w:tcBorders>
              <w:top w:val="single" w:sz="2" w:space="0" w:color="3D7FE0" w:themeColor="accent1"/>
              <w:bottom w:val="single" w:sz="4" w:space="0" w:color="3D7FE0" w:themeColor="accent1"/>
              <w:right w:val="single" w:sz="4" w:space="0" w:color="3D7FE0" w:themeColor="accent1"/>
            </w:tcBorders>
            <w:tcMar>
              <w:left w:w="0" w:type="dxa"/>
              <w:right w:w="0" w:type="dxa"/>
            </w:tcMar>
          </w:tcPr>
          <w:p w14:paraId="3F65C16D" w14:textId="119D53E1" w:rsidR="00703D38" w:rsidRPr="00CC46DB" w:rsidRDefault="00703D38" w:rsidP="00703D38">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275.0</w:t>
            </w:r>
          </w:p>
        </w:tc>
      </w:tr>
      <w:tr w:rsidR="00AA5577" w:rsidRPr="00AA5577" w14:paraId="21FFD362" w14:textId="77777777" w:rsidTr="00435CF7">
        <w:tc>
          <w:tcPr>
            <w:tcW w:w="4678" w:type="dxa"/>
            <w:tcBorders>
              <w:top w:val="single" w:sz="4" w:space="0" w:color="3D7FE0" w:themeColor="accent1"/>
            </w:tcBorders>
            <w:tcMar>
              <w:left w:w="0" w:type="dxa"/>
              <w:right w:w="0" w:type="dxa"/>
            </w:tcMar>
            <w:vAlign w:val="bottom"/>
          </w:tcPr>
          <w:p w14:paraId="3035894C" w14:textId="77777777" w:rsidR="00AA5577" w:rsidRPr="00AA5577" w:rsidRDefault="00AA5577" w:rsidP="002B525C">
            <w:pPr>
              <w:pStyle w:val="TabletextBold"/>
              <w:rPr>
                <w:rFonts w:ascii="IBM Plex Sans Light" w:hAnsi="IBM Plex Sans Light"/>
                <w:bCs/>
                <w:color w:val="auto"/>
                <w:sz w:val="18"/>
                <w:szCs w:val="18"/>
              </w:rPr>
            </w:pPr>
          </w:p>
        </w:tc>
        <w:tc>
          <w:tcPr>
            <w:tcW w:w="284" w:type="dxa"/>
            <w:tcBorders>
              <w:top w:val="single" w:sz="4" w:space="0" w:color="3D7FE0" w:themeColor="accent1"/>
            </w:tcBorders>
            <w:vAlign w:val="bottom"/>
          </w:tcPr>
          <w:p w14:paraId="10E107C6" w14:textId="77777777" w:rsidR="00AA5577" w:rsidRPr="00AA5577" w:rsidRDefault="00AA5577" w:rsidP="002B525C">
            <w:pPr>
              <w:pStyle w:val="TabletextBold"/>
              <w:rPr>
                <w:rFonts w:ascii="IBM Plex Sans Light" w:hAnsi="IBM Plex Sans Light"/>
                <w:bCs/>
                <w:color w:val="auto"/>
                <w:sz w:val="18"/>
                <w:szCs w:val="18"/>
              </w:rPr>
            </w:pPr>
          </w:p>
        </w:tc>
        <w:tc>
          <w:tcPr>
            <w:tcW w:w="567" w:type="dxa"/>
            <w:tcBorders>
              <w:top w:val="single" w:sz="4" w:space="0" w:color="3D7FE0" w:themeColor="accent1"/>
            </w:tcBorders>
            <w:tcMar>
              <w:left w:w="0" w:type="dxa"/>
              <w:right w:w="0" w:type="dxa"/>
            </w:tcMar>
            <w:vAlign w:val="bottom"/>
          </w:tcPr>
          <w:p w14:paraId="23F3DE45" w14:textId="77777777" w:rsidR="00AA5577" w:rsidRPr="00AA5577" w:rsidRDefault="00AA5577" w:rsidP="002B525C">
            <w:pPr>
              <w:pStyle w:val="TableFigures"/>
              <w:jc w:val="center"/>
              <w:rPr>
                <w:rStyle w:val="NotesStyle"/>
                <w:rFonts w:ascii="IBM Plex Sans Light" w:hAnsi="IBM Plex Sans Light"/>
                <w:b/>
                <w:color w:val="auto"/>
                <w:spacing w:val="-4"/>
                <w:sz w:val="16"/>
                <w:szCs w:val="16"/>
              </w:rPr>
            </w:pPr>
          </w:p>
        </w:tc>
        <w:tc>
          <w:tcPr>
            <w:tcW w:w="850" w:type="dxa"/>
            <w:tcBorders>
              <w:top w:val="single" w:sz="4" w:space="0" w:color="3D7FE0" w:themeColor="accent1"/>
            </w:tcBorders>
            <w:tcMar>
              <w:left w:w="0" w:type="dxa"/>
              <w:right w:w="0" w:type="dxa"/>
            </w:tcMar>
            <w:vAlign w:val="bottom"/>
          </w:tcPr>
          <w:p w14:paraId="5DA2BE67" w14:textId="77777777" w:rsidR="00AA5577" w:rsidRPr="00AA5577" w:rsidRDefault="00AA5577" w:rsidP="002B525C">
            <w:pPr>
              <w:pStyle w:val="TableFigures"/>
              <w:rPr>
                <w:rFonts w:ascii="IBM Plex Sans Light" w:hAnsi="IBM Plex Sans Light" w:cs="MyriadPro-Light"/>
                <w:b/>
                <w:color w:val="auto"/>
                <w:spacing w:val="-4"/>
                <w:sz w:val="18"/>
                <w:szCs w:val="18"/>
              </w:rPr>
            </w:pPr>
          </w:p>
        </w:tc>
        <w:tc>
          <w:tcPr>
            <w:tcW w:w="851" w:type="dxa"/>
            <w:tcBorders>
              <w:top w:val="single" w:sz="4" w:space="0" w:color="3D7FE0" w:themeColor="accent1"/>
              <w:right w:val="single" w:sz="4" w:space="0" w:color="3D7FE0" w:themeColor="accent1"/>
            </w:tcBorders>
            <w:tcMar>
              <w:left w:w="0" w:type="dxa"/>
              <w:right w:w="0" w:type="dxa"/>
            </w:tcMar>
            <w:vAlign w:val="bottom"/>
          </w:tcPr>
          <w:p w14:paraId="476F5E3E" w14:textId="77777777" w:rsidR="00AA5577" w:rsidRPr="00AA5577" w:rsidRDefault="00AA5577" w:rsidP="002B525C">
            <w:pPr>
              <w:pStyle w:val="TableFiguresBold"/>
              <w:rPr>
                <w:rFonts w:ascii="IBM Plex Sans Light" w:hAnsi="IBM Plex Sans Light" w:cs="MyriadPro-Light"/>
                <w:b w:val="0"/>
                <w:color w:val="auto"/>
                <w:spacing w:val="-4"/>
                <w:sz w:val="18"/>
                <w:szCs w:val="18"/>
              </w:rPr>
            </w:pPr>
          </w:p>
        </w:tc>
        <w:tc>
          <w:tcPr>
            <w:tcW w:w="992" w:type="dxa"/>
            <w:tcBorders>
              <w:top w:val="single" w:sz="4" w:space="0" w:color="3D7FE0" w:themeColor="accent1"/>
              <w:left w:val="single" w:sz="4" w:space="0" w:color="3D7FE0" w:themeColor="accent1"/>
            </w:tcBorders>
            <w:tcMar>
              <w:left w:w="0" w:type="dxa"/>
              <w:right w:w="0" w:type="dxa"/>
            </w:tcMar>
            <w:vAlign w:val="bottom"/>
          </w:tcPr>
          <w:p w14:paraId="167F4EC9" w14:textId="77777777" w:rsidR="00AA5577" w:rsidRPr="00AA5577" w:rsidRDefault="00AA5577" w:rsidP="002B525C">
            <w:pPr>
              <w:pStyle w:val="TableFiguresBold"/>
              <w:rPr>
                <w:rFonts w:ascii="IBM Plex Sans Light" w:hAnsi="IBM Plex Sans Light"/>
                <w:bCs w:val="0"/>
                <w:color w:val="auto"/>
                <w:spacing w:val="-4"/>
                <w:sz w:val="18"/>
                <w:szCs w:val="18"/>
              </w:rPr>
            </w:pPr>
          </w:p>
        </w:tc>
        <w:tc>
          <w:tcPr>
            <w:tcW w:w="850" w:type="dxa"/>
            <w:tcBorders>
              <w:top w:val="single" w:sz="4" w:space="0" w:color="3D7FE0" w:themeColor="accent1"/>
            </w:tcBorders>
            <w:vAlign w:val="bottom"/>
          </w:tcPr>
          <w:p w14:paraId="2CFE3BD4" w14:textId="77777777" w:rsidR="00AA5577" w:rsidRPr="00AA5577" w:rsidRDefault="00AA5577" w:rsidP="002B525C">
            <w:pPr>
              <w:pStyle w:val="TableFigures"/>
              <w:rPr>
                <w:rFonts w:ascii="IBM Plex Sans Light" w:hAnsi="IBM Plex Sans Light" w:cs="MyriadPro-Light"/>
                <w:bCs/>
                <w:color w:val="auto"/>
                <w:spacing w:val="-4"/>
                <w:sz w:val="18"/>
                <w:szCs w:val="18"/>
              </w:rPr>
            </w:pPr>
          </w:p>
        </w:tc>
        <w:tc>
          <w:tcPr>
            <w:tcW w:w="853" w:type="dxa"/>
            <w:tcBorders>
              <w:top w:val="single" w:sz="4" w:space="0" w:color="3D7FE0" w:themeColor="accent1"/>
              <w:right w:val="single" w:sz="4" w:space="0" w:color="3D7FE0" w:themeColor="accent1"/>
            </w:tcBorders>
            <w:tcMar>
              <w:left w:w="0" w:type="dxa"/>
              <w:right w:w="0" w:type="dxa"/>
            </w:tcMar>
            <w:vAlign w:val="bottom"/>
          </w:tcPr>
          <w:p w14:paraId="304A0072" w14:textId="77777777" w:rsidR="00AA5577" w:rsidRPr="00AA5577" w:rsidRDefault="00AA5577" w:rsidP="002B525C">
            <w:pPr>
              <w:pStyle w:val="TableFigures"/>
              <w:rPr>
                <w:rFonts w:ascii="IBM Plex Sans Light" w:hAnsi="IBM Plex Sans Light" w:cs="MyriadPro-Light"/>
                <w:b/>
                <w:color w:val="auto"/>
                <w:spacing w:val="-4"/>
                <w:sz w:val="18"/>
                <w:szCs w:val="18"/>
              </w:rPr>
            </w:pPr>
          </w:p>
        </w:tc>
      </w:tr>
      <w:tr w:rsidR="003460FA" w:rsidRPr="00AA5577" w14:paraId="4F5F5EB7" w14:textId="77777777" w:rsidTr="00024B10">
        <w:tc>
          <w:tcPr>
            <w:tcW w:w="4678" w:type="dxa"/>
            <w:tcMar>
              <w:left w:w="0" w:type="dxa"/>
              <w:right w:w="0" w:type="dxa"/>
            </w:tcMar>
            <w:vAlign w:val="bottom"/>
          </w:tcPr>
          <w:p w14:paraId="6E5D1264" w14:textId="2F4A740F" w:rsidR="003460FA" w:rsidRPr="00024B10" w:rsidRDefault="003460FA" w:rsidP="003460FA">
            <w:pPr>
              <w:pStyle w:val="TabletextBold"/>
              <w:rPr>
                <w:rFonts w:ascii="IBM Plex Sans Light" w:hAnsi="IBM Plex Sans Light"/>
                <w:bCs/>
                <w:color w:val="auto"/>
                <w:sz w:val="18"/>
                <w:szCs w:val="18"/>
                <w:vertAlign w:val="superscript"/>
              </w:rPr>
            </w:pPr>
            <w:r w:rsidRPr="00AA5577">
              <w:rPr>
                <w:rFonts w:ascii="IBM Plex Sans Light" w:hAnsi="IBM Plex Sans Light"/>
                <w:bCs/>
                <w:color w:val="auto"/>
                <w:sz w:val="18"/>
                <w:szCs w:val="18"/>
              </w:rPr>
              <w:t xml:space="preserve">Gross rental </w:t>
            </w:r>
            <w:proofErr w:type="spellStart"/>
            <w:r w:rsidRPr="00AA5577">
              <w:rPr>
                <w:rFonts w:ascii="IBM Plex Sans Light" w:hAnsi="IBM Plex Sans Light"/>
                <w:bCs/>
                <w:color w:val="auto"/>
                <w:sz w:val="18"/>
                <w:szCs w:val="18"/>
              </w:rPr>
              <w:t>income</w:t>
            </w:r>
            <w:r w:rsidR="00016BDF">
              <w:rPr>
                <w:rFonts w:ascii="IBM Plex Sans Light" w:hAnsi="IBM Plex Sans Light"/>
                <w:bCs/>
                <w:color w:val="auto"/>
                <w:sz w:val="18"/>
                <w:szCs w:val="18"/>
                <w:vertAlign w:val="superscript"/>
              </w:rPr>
              <w:t>b</w:t>
            </w:r>
            <w:proofErr w:type="spellEnd"/>
          </w:p>
        </w:tc>
        <w:tc>
          <w:tcPr>
            <w:tcW w:w="284" w:type="dxa"/>
            <w:vAlign w:val="bottom"/>
          </w:tcPr>
          <w:p w14:paraId="03978496" w14:textId="12095C81" w:rsidR="003460FA" w:rsidRPr="00024B10" w:rsidRDefault="003460FA" w:rsidP="00024B10">
            <w:pPr>
              <w:pStyle w:val="TableFigures"/>
              <w:jc w:val="center"/>
              <w:rPr>
                <w:rStyle w:val="NotesStyle"/>
                <w:spacing w:val="-4"/>
                <w:sz w:val="16"/>
              </w:rPr>
            </w:pPr>
          </w:p>
        </w:tc>
        <w:tc>
          <w:tcPr>
            <w:tcW w:w="567" w:type="dxa"/>
            <w:tcMar>
              <w:left w:w="0" w:type="dxa"/>
              <w:right w:w="0" w:type="dxa"/>
            </w:tcMar>
            <w:vAlign w:val="bottom"/>
          </w:tcPr>
          <w:p w14:paraId="66C62483" w14:textId="77777777" w:rsidR="003460FA" w:rsidRPr="00AA5577" w:rsidRDefault="003460FA" w:rsidP="003460FA">
            <w:pPr>
              <w:pStyle w:val="TableFigures"/>
              <w:jc w:val="center"/>
              <w:rPr>
                <w:rStyle w:val="NotesStyle"/>
                <w:rFonts w:ascii="IBM Plex Sans Light" w:hAnsi="IBM Plex Sans Light"/>
                <w:b/>
                <w:bCs/>
                <w:color w:val="auto"/>
                <w:spacing w:val="-4"/>
                <w:sz w:val="16"/>
                <w:szCs w:val="16"/>
              </w:rPr>
            </w:pPr>
            <w:r w:rsidRPr="00AA5577">
              <w:rPr>
                <w:rStyle w:val="NotesStyle"/>
                <w:rFonts w:ascii="IBM Plex Sans Light" w:hAnsi="IBM Plex Sans Light"/>
                <w:color w:val="auto"/>
                <w:spacing w:val="-4"/>
                <w:sz w:val="16"/>
                <w:szCs w:val="16"/>
              </w:rPr>
              <w:t>3A, 4</w:t>
            </w:r>
          </w:p>
        </w:tc>
        <w:tc>
          <w:tcPr>
            <w:tcW w:w="850" w:type="dxa"/>
            <w:tcMar>
              <w:left w:w="0" w:type="dxa"/>
              <w:right w:w="0" w:type="dxa"/>
            </w:tcMar>
          </w:tcPr>
          <w:p w14:paraId="5A73B45E" w14:textId="641326CF" w:rsidR="003460FA" w:rsidRPr="00CC46DB" w:rsidRDefault="003460FA" w:rsidP="003460FA">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90.2</w:t>
            </w:r>
          </w:p>
        </w:tc>
        <w:tc>
          <w:tcPr>
            <w:tcW w:w="851" w:type="dxa"/>
            <w:tcBorders>
              <w:right w:val="single" w:sz="4" w:space="0" w:color="3D7FE0" w:themeColor="accent1"/>
            </w:tcBorders>
            <w:tcMar>
              <w:left w:w="0" w:type="dxa"/>
              <w:right w:w="0" w:type="dxa"/>
            </w:tcMar>
          </w:tcPr>
          <w:p w14:paraId="23DB60E1" w14:textId="499F2FC3" w:rsidR="003460FA" w:rsidRPr="00CC46DB" w:rsidRDefault="003460FA" w:rsidP="003460FA">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125.0</w:t>
            </w:r>
          </w:p>
        </w:tc>
        <w:tc>
          <w:tcPr>
            <w:tcW w:w="992" w:type="dxa"/>
            <w:tcBorders>
              <w:left w:val="single" w:sz="4" w:space="0" w:color="3D7FE0" w:themeColor="accent1"/>
            </w:tcBorders>
            <w:tcMar>
              <w:left w:w="0" w:type="dxa"/>
              <w:right w:w="0" w:type="dxa"/>
            </w:tcMar>
          </w:tcPr>
          <w:p w14:paraId="32204C57" w14:textId="3CA1A7AE" w:rsidR="003460FA" w:rsidRPr="00CC46DB" w:rsidRDefault="003460FA" w:rsidP="003460FA">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215.2</w:t>
            </w:r>
          </w:p>
        </w:tc>
        <w:tc>
          <w:tcPr>
            <w:tcW w:w="850" w:type="dxa"/>
          </w:tcPr>
          <w:p w14:paraId="1C1D6CB7" w14:textId="0F7D6667" w:rsidR="003460FA" w:rsidRPr="00CC46DB" w:rsidRDefault="003460FA" w:rsidP="003460FA">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w:t>
            </w:r>
          </w:p>
        </w:tc>
        <w:tc>
          <w:tcPr>
            <w:tcW w:w="853" w:type="dxa"/>
            <w:tcBorders>
              <w:right w:val="single" w:sz="4" w:space="0" w:color="3D7FE0" w:themeColor="accent1"/>
            </w:tcBorders>
            <w:tcMar>
              <w:left w:w="0" w:type="dxa"/>
              <w:right w:w="0" w:type="dxa"/>
            </w:tcMar>
          </w:tcPr>
          <w:p w14:paraId="2FE06A6B" w14:textId="49549445" w:rsidR="003460FA" w:rsidRPr="00CC46DB" w:rsidRDefault="003460FA" w:rsidP="003460FA">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215.2</w:t>
            </w:r>
          </w:p>
        </w:tc>
      </w:tr>
      <w:tr w:rsidR="00CB5300" w:rsidRPr="00AA5577" w14:paraId="244E56AA" w14:textId="77777777" w:rsidTr="00435CF7">
        <w:tc>
          <w:tcPr>
            <w:tcW w:w="4678" w:type="dxa"/>
            <w:tcBorders>
              <w:bottom w:val="single" w:sz="2" w:space="0" w:color="3D7FE0" w:themeColor="accent1"/>
            </w:tcBorders>
            <w:tcMar>
              <w:left w:w="0" w:type="dxa"/>
              <w:right w:w="0" w:type="dxa"/>
            </w:tcMar>
            <w:vAlign w:val="bottom"/>
          </w:tcPr>
          <w:p w14:paraId="18C17623" w14:textId="77777777" w:rsidR="00CB5300" w:rsidRPr="00AA5577" w:rsidRDefault="00CB5300" w:rsidP="00CB5300">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Service charge income</w:t>
            </w:r>
          </w:p>
        </w:tc>
        <w:tc>
          <w:tcPr>
            <w:tcW w:w="284" w:type="dxa"/>
            <w:tcBorders>
              <w:bottom w:val="single" w:sz="2" w:space="0" w:color="3D7FE0" w:themeColor="accent1"/>
            </w:tcBorders>
            <w:vAlign w:val="bottom"/>
          </w:tcPr>
          <w:p w14:paraId="50DDE685" w14:textId="77777777" w:rsidR="00CB5300" w:rsidRPr="00AA5577" w:rsidRDefault="00CB5300" w:rsidP="00CB5300">
            <w:pPr>
              <w:pStyle w:val="Tabletext"/>
              <w:rPr>
                <w:rFonts w:ascii="IBM Plex Sans Light" w:hAnsi="IBM Plex Sans Light"/>
                <w:color w:val="auto"/>
                <w:spacing w:val="-4"/>
                <w:sz w:val="18"/>
                <w:szCs w:val="18"/>
              </w:rPr>
            </w:pPr>
          </w:p>
        </w:tc>
        <w:tc>
          <w:tcPr>
            <w:tcW w:w="567" w:type="dxa"/>
            <w:tcBorders>
              <w:bottom w:val="single" w:sz="2" w:space="0" w:color="3D7FE0" w:themeColor="accent1"/>
            </w:tcBorders>
            <w:tcMar>
              <w:left w:w="0" w:type="dxa"/>
              <w:right w:w="0" w:type="dxa"/>
            </w:tcMar>
            <w:vAlign w:val="bottom"/>
          </w:tcPr>
          <w:p w14:paraId="6BE152EE" w14:textId="77777777" w:rsidR="00CB5300" w:rsidRPr="00AA5577" w:rsidRDefault="00CB5300" w:rsidP="00CB5300">
            <w:pPr>
              <w:spacing w:after="0" w:line="240" w:lineRule="auto"/>
              <w:jc w:val="center"/>
              <w:rPr>
                <w:rFonts w:ascii="IBM Plex Sans Light" w:hAnsi="IBM Plex Sans Light" w:cs="Arial"/>
                <w:sz w:val="16"/>
                <w:szCs w:val="16"/>
              </w:rPr>
            </w:pPr>
            <w:r w:rsidRPr="00AA5577">
              <w:rPr>
                <w:rFonts w:ascii="IBM Plex Sans Light" w:hAnsi="IBM Plex Sans Light" w:cs="Arial"/>
                <w:sz w:val="16"/>
                <w:szCs w:val="16"/>
              </w:rPr>
              <w:t>4</w:t>
            </w:r>
          </w:p>
        </w:tc>
        <w:tc>
          <w:tcPr>
            <w:tcW w:w="850" w:type="dxa"/>
            <w:tcBorders>
              <w:bottom w:val="single" w:sz="2" w:space="0" w:color="3D7FE0" w:themeColor="accent1"/>
            </w:tcBorders>
            <w:tcMar>
              <w:left w:w="0" w:type="dxa"/>
              <w:right w:w="0" w:type="dxa"/>
            </w:tcMar>
          </w:tcPr>
          <w:p w14:paraId="3E3773C4" w14:textId="7E35411C" w:rsidR="00CB5300" w:rsidRPr="00CC46DB" w:rsidRDefault="00CB5300"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24.2</w:t>
            </w:r>
          </w:p>
        </w:tc>
        <w:tc>
          <w:tcPr>
            <w:tcW w:w="851" w:type="dxa"/>
            <w:tcBorders>
              <w:bottom w:val="single" w:sz="2" w:space="0" w:color="3D7FE0" w:themeColor="accent1"/>
              <w:right w:val="single" w:sz="4" w:space="0" w:color="3D7FE0" w:themeColor="accent1"/>
            </w:tcBorders>
            <w:tcMar>
              <w:left w:w="0" w:type="dxa"/>
              <w:right w:w="0" w:type="dxa"/>
            </w:tcMar>
          </w:tcPr>
          <w:p w14:paraId="7060F10E" w14:textId="5C0FD66B" w:rsidR="00CB5300" w:rsidRPr="00CC46DB" w:rsidRDefault="00CB5300"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18.6</w:t>
            </w:r>
          </w:p>
        </w:tc>
        <w:tc>
          <w:tcPr>
            <w:tcW w:w="992" w:type="dxa"/>
            <w:tcBorders>
              <w:left w:val="single" w:sz="4" w:space="0" w:color="3D7FE0" w:themeColor="accent1"/>
              <w:bottom w:val="single" w:sz="2" w:space="0" w:color="3D7FE0" w:themeColor="accent1"/>
            </w:tcBorders>
            <w:tcMar>
              <w:left w:w="0" w:type="dxa"/>
              <w:right w:w="0" w:type="dxa"/>
            </w:tcMar>
          </w:tcPr>
          <w:p w14:paraId="520C9188" w14:textId="66A19B77" w:rsidR="00CB5300" w:rsidRPr="00CC46DB" w:rsidRDefault="00CB5300"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42.8</w:t>
            </w:r>
          </w:p>
        </w:tc>
        <w:tc>
          <w:tcPr>
            <w:tcW w:w="850" w:type="dxa"/>
            <w:tcBorders>
              <w:bottom w:val="single" w:sz="2" w:space="0" w:color="3D7FE0" w:themeColor="accent1"/>
            </w:tcBorders>
          </w:tcPr>
          <w:p w14:paraId="4737FA87" w14:textId="60D600D7" w:rsidR="00CB5300" w:rsidRPr="00CC46DB" w:rsidRDefault="00CB5300"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w:t>
            </w:r>
          </w:p>
        </w:tc>
        <w:tc>
          <w:tcPr>
            <w:tcW w:w="853" w:type="dxa"/>
            <w:tcBorders>
              <w:bottom w:val="single" w:sz="2" w:space="0" w:color="3D7FE0" w:themeColor="accent1"/>
              <w:right w:val="single" w:sz="4" w:space="0" w:color="3D7FE0" w:themeColor="accent1"/>
            </w:tcBorders>
            <w:tcMar>
              <w:left w:w="0" w:type="dxa"/>
              <w:right w:w="0" w:type="dxa"/>
            </w:tcMar>
          </w:tcPr>
          <w:p w14:paraId="4992EB01" w14:textId="0CEB256E" w:rsidR="00CB5300" w:rsidRPr="00CC46DB" w:rsidRDefault="00CB5300"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42.8</w:t>
            </w:r>
          </w:p>
        </w:tc>
      </w:tr>
      <w:tr w:rsidR="00CB5300" w:rsidRPr="00AA5577" w14:paraId="065C42E6" w14:textId="77777777" w:rsidTr="00435CF7">
        <w:tc>
          <w:tcPr>
            <w:tcW w:w="4678" w:type="dxa"/>
            <w:tcBorders>
              <w:top w:val="single" w:sz="2" w:space="0" w:color="3D7FE0" w:themeColor="accent1"/>
            </w:tcBorders>
            <w:tcMar>
              <w:left w:w="0" w:type="dxa"/>
              <w:right w:w="0" w:type="dxa"/>
            </w:tcMar>
            <w:vAlign w:val="bottom"/>
          </w:tcPr>
          <w:p w14:paraId="6C5F6E4E" w14:textId="77777777" w:rsidR="00CB5300" w:rsidRPr="00AA5577" w:rsidRDefault="00CB5300" w:rsidP="00CB5300">
            <w:pPr>
              <w:pStyle w:val="TabletextBold"/>
              <w:rPr>
                <w:rFonts w:ascii="IBM Plex Sans Light" w:hAnsi="IBM Plex Sans Light"/>
                <w:color w:val="auto"/>
                <w:sz w:val="18"/>
                <w:szCs w:val="18"/>
              </w:rPr>
            </w:pPr>
          </w:p>
        </w:tc>
        <w:tc>
          <w:tcPr>
            <w:tcW w:w="284" w:type="dxa"/>
            <w:tcBorders>
              <w:top w:val="single" w:sz="2" w:space="0" w:color="3D7FE0" w:themeColor="accent1"/>
            </w:tcBorders>
            <w:vAlign w:val="bottom"/>
          </w:tcPr>
          <w:p w14:paraId="2417892B" w14:textId="77777777" w:rsidR="00CB5300" w:rsidRPr="00AA5577" w:rsidRDefault="00CB5300" w:rsidP="00CB5300">
            <w:pPr>
              <w:pStyle w:val="TabletextBold"/>
              <w:rPr>
                <w:rFonts w:ascii="IBM Plex Sans Light" w:hAnsi="IBM Plex Sans Light"/>
                <w:color w:val="auto"/>
                <w:sz w:val="18"/>
                <w:szCs w:val="18"/>
              </w:rPr>
            </w:pPr>
          </w:p>
        </w:tc>
        <w:tc>
          <w:tcPr>
            <w:tcW w:w="567" w:type="dxa"/>
            <w:tcBorders>
              <w:top w:val="single" w:sz="2" w:space="0" w:color="3D7FE0" w:themeColor="accent1"/>
            </w:tcBorders>
            <w:tcMar>
              <w:left w:w="0" w:type="dxa"/>
              <w:right w:w="0" w:type="dxa"/>
            </w:tcMar>
            <w:vAlign w:val="bottom"/>
          </w:tcPr>
          <w:p w14:paraId="35F60094" w14:textId="77777777" w:rsidR="00CB5300" w:rsidRPr="00AA5577" w:rsidRDefault="00CB5300" w:rsidP="00CB5300">
            <w:pPr>
              <w:spacing w:after="0" w:line="240" w:lineRule="auto"/>
              <w:jc w:val="center"/>
              <w:rPr>
                <w:rFonts w:ascii="IBM Plex Sans Light" w:hAnsi="IBM Plex Sans Light" w:cs="Arial"/>
                <w:sz w:val="16"/>
                <w:szCs w:val="16"/>
              </w:rPr>
            </w:pPr>
          </w:p>
        </w:tc>
        <w:tc>
          <w:tcPr>
            <w:tcW w:w="850" w:type="dxa"/>
            <w:tcBorders>
              <w:top w:val="single" w:sz="2" w:space="0" w:color="3D7FE0" w:themeColor="accent1"/>
            </w:tcBorders>
            <w:tcMar>
              <w:left w:w="0" w:type="dxa"/>
              <w:right w:w="0" w:type="dxa"/>
            </w:tcMar>
          </w:tcPr>
          <w:p w14:paraId="3980EBF5" w14:textId="3407A0F6" w:rsidR="00CB5300" w:rsidRPr="00CC46DB" w:rsidRDefault="00CB5300" w:rsidP="00CB5300">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114.4</w:t>
            </w:r>
          </w:p>
        </w:tc>
        <w:tc>
          <w:tcPr>
            <w:tcW w:w="851" w:type="dxa"/>
            <w:tcBorders>
              <w:top w:val="single" w:sz="2" w:space="0" w:color="3D7FE0" w:themeColor="accent1"/>
              <w:right w:val="single" w:sz="4" w:space="0" w:color="3D7FE0" w:themeColor="accent1"/>
            </w:tcBorders>
            <w:tcMar>
              <w:left w:w="0" w:type="dxa"/>
              <w:right w:w="0" w:type="dxa"/>
            </w:tcMar>
          </w:tcPr>
          <w:p w14:paraId="21E8E6B4" w14:textId="23B6D975" w:rsidR="00CB5300" w:rsidRPr="00CC46DB" w:rsidRDefault="00CB5300" w:rsidP="00CB5300">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143.6</w:t>
            </w:r>
          </w:p>
        </w:tc>
        <w:tc>
          <w:tcPr>
            <w:tcW w:w="992" w:type="dxa"/>
            <w:tcBorders>
              <w:top w:val="single" w:sz="2" w:space="0" w:color="3D7FE0" w:themeColor="accent1"/>
              <w:left w:val="single" w:sz="4" w:space="0" w:color="3D7FE0" w:themeColor="accent1"/>
            </w:tcBorders>
            <w:tcMar>
              <w:left w:w="0" w:type="dxa"/>
              <w:right w:w="0" w:type="dxa"/>
            </w:tcMar>
          </w:tcPr>
          <w:p w14:paraId="7EE752EA" w14:textId="38C11A0C" w:rsidR="00CB5300" w:rsidRPr="00CC46DB" w:rsidRDefault="00CB5300" w:rsidP="00CB5300">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258.0</w:t>
            </w:r>
          </w:p>
        </w:tc>
        <w:tc>
          <w:tcPr>
            <w:tcW w:w="850" w:type="dxa"/>
            <w:tcBorders>
              <w:top w:val="single" w:sz="2" w:space="0" w:color="3D7FE0" w:themeColor="accent1"/>
            </w:tcBorders>
          </w:tcPr>
          <w:p w14:paraId="0B64DECF" w14:textId="63110F35" w:rsidR="00CB5300" w:rsidRPr="00CC46DB" w:rsidRDefault="00CB5300" w:rsidP="00CB5300">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w:t>
            </w:r>
          </w:p>
        </w:tc>
        <w:tc>
          <w:tcPr>
            <w:tcW w:w="853" w:type="dxa"/>
            <w:tcBorders>
              <w:top w:val="single" w:sz="2" w:space="0" w:color="3D7FE0" w:themeColor="accent1"/>
              <w:right w:val="single" w:sz="4" w:space="0" w:color="3D7FE0" w:themeColor="accent1"/>
            </w:tcBorders>
            <w:tcMar>
              <w:left w:w="0" w:type="dxa"/>
              <w:right w:w="0" w:type="dxa"/>
            </w:tcMar>
          </w:tcPr>
          <w:p w14:paraId="37C47228" w14:textId="20813DB8" w:rsidR="00CB5300" w:rsidRPr="00CC46DB" w:rsidRDefault="00CB5300" w:rsidP="00CB5300">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258.0</w:t>
            </w:r>
          </w:p>
        </w:tc>
      </w:tr>
      <w:tr w:rsidR="00CB5300" w:rsidRPr="00AA5577" w14:paraId="125BB8D4" w14:textId="77777777" w:rsidTr="00435CF7">
        <w:tc>
          <w:tcPr>
            <w:tcW w:w="4678" w:type="dxa"/>
            <w:tcMar>
              <w:left w:w="0" w:type="dxa"/>
              <w:right w:w="0" w:type="dxa"/>
            </w:tcMar>
            <w:vAlign w:val="bottom"/>
          </w:tcPr>
          <w:p w14:paraId="1C7F2748" w14:textId="77777777" w:rsidR="00CB5300" w:rsidRPr="00AA5577" w:rsidRDefault="00CB5300" w:rsidP="00CB5300">
            <w:pPr>
              <w:pStyle w:val="Tabletext"/>
              <w:ind w:left="142" w:right="3" w:hanging="142"/>
              <w:rPr>
                <w:rFonts w:ascii="IBM Plex Sans Light" w:hAnsi="IBM Plex Sans Light"/>
                <w:color w:val="auto"/>
                <w:spacing w:val="-4"/>
                <w:sz w:val="18"/>
                <w:szCs w:val="18"/>
              </w:rPr>
            </w:pPr>
            <w:r w:rsidRPr="00AA5577">
              <w:rPr>
                <w:rFonts w:ascii="IBM Plex Sans Light" w:hAnsi="IBM Plex Sans Light"/>
                <w:color w:val="auto"/>
                <w:spacing w:val="-4"/>
                <w:sz w:val="18"/>
                <w:szCs w:val="18"/>
              </w:rPr>
              <w:t>Service charge expenses</w:t>
            </w:r>
          </w:p>
        </w:tc>
        <w:tc>
          <w:tcPr>
            <w:tcW w:w="284" w:type="dxa"/>
            <w:vAlign w:val="bottom"/>
          </w:tcPr>
          <w:p w14:paraId="5512B1B3" w14:textId="77777777" w:rsidR="00CB5300" w:rsidRPr="00AA5577" w:rsidRDefault="00CB5300" w:rsidP="00CB5300">
            <w:pPr>
              <w:pStyle w:val="Tabletext"/>
              <w:ind w:left="142" w:right="3" w:hanging="142"/>
              <w:rPr>
                <w:rFonts w:ascii="IBM Plex Sans Light" w:hAnsi="IBM Plex Sans Light"/>
                <w:color w:val="auto"/>
                <w:spacing w:val="-4"/>
                <w:sz w:val="18"/>
                <w:szCs w:val="18"/>
              </w:rPr>
            </w:pPr>
          </w:p>
        </w:tc>
        <w:tc>
          <w:tcPr>
            <w:tcW w:w="567" w:type="dxa"/>
            <w:tcMar>
              <w:left w:w="0" w:type="dxa"/>
              <w:right w:w="0" w:type="dxa"/>
            </w:tcMar>
            <w:vAlign w:val="bottom"/>
          </w:tcPr>
          <w:p w14:paraId="4937F0E0" w14:textId="77777777" w:rsidR="00CB5300" w:rsidRPr="00AA5577" w:rsidRDefault="00CB5300" w:rsidP="00CB5300">
            <w:pPr>
              <w:pStyle w:val="TableFigures"/>
              <w:jc w:val="center"/>
              <w:rPr>
                <w:rStyle w:val="NotesStyle"/>
                <w:rFonts w:ascii="IBM Plex Sans Light" w:hAnsi="IBM Plex Sans Light"/>
                <w:color w:val="auto"/>
                <w:spacing w:val="-4"/>
                <w:sz w:val="16"/>
                <w:szCs w:val="16"/>
              </w:rPr>
            </w:pPr>
          </w:p>
        </w:tc>
        <w:tc>
          <w:tcPr>
            <w:tcW w:w="850" w:type="dxa"/>
            <w:tcMar>
              <w:left w:w="0" w:type="dxa"/>
              <w:right w:w="0" w:type="dxa"/>
            </w:tcMar>
          </w:tcPr>
          <w:p w14:paraId="02209AD8" w14:textId="1929910A" w:rsidR="00CB5300" w:rsidRPr="00CC46DB"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(27.8)</w:t>
            </w:r>
          </w:p>
        </w:tc>
        <w:tc>
          <w:tcPr>
            <w:tcW w:w="851" w:type="dxa"/>
            <w:tcBorders>
              <w:right w:val="single" w:sz="2" w:space="0" w:color="3D7FE0" w:themeColor="accent1"/>
            </w:tcBorders>
            <w:tcMar>
              <w:left w:w="0" w:type="dxa"/>
              <w:right w:w="0" w:type="dxa"/>
            </w:tcMar>
          </w:tcPr>
          <w:p w14:paraId="37E0FF4D" w14:textId="6AADF443" w:rsidR="00CB5300" w:rsidRPr="00AA5577"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(22.5)</w:t>
            </w:r>
          </w:p>
        </w:tc>
        <w:tc>
          <w:tcPr>
            <w:tcW w:w="992" w:type="dxa"/>
            <w:tcBorders>
              <w:left w:val="single" w:sz="2" w:space="0" w:color="3D7FE0" w:themeColor="accent1"/>
            </w:tcBorders>
            <w:tcMar>
              <w:left w:w="0" w:type="dxa"/>
              <w:right w:w="0" w:type="dxa"/>
            </w:tcMar>
          </w:tcPr>
          <w:p w14:paraId="4DAEF49B" w14:textId="2E80A10E" w:rsidR="00CB5300" w:rsidRPr="00AA5577"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(50.3)</w:t>
            </w:r>
          </w:p>
        </w:tc>
        <w:tc>
          <w:tcPr>
            <w:tcW w:w="850" w:type="dxa"/>
          </w:tcPr>
          <w:p w14:paraId="4BEAC1AA" w14:textId="0C2E8461" w:rsidR="00CB5300" w:rsidRPr="00AA5577" w:rsidRDefault="00C323D2" w:rsidP="00CB5300">
            <w:pPr>
              <w:pStyle w:val="TableFigures"/>
              <w:rPr>
                <w:rFonts w:ascii="IBM Plex Sans Light" w:hAnsi="IBM Plex Sans Light" w:cs="MyriadPro-Light"/>
                <w:bCs/>
                <w:color w:val="auto"/>
                <w:spacing w:val="-4"/>
                <w:sz w:val="18"/>
                <w:szCs w:val="18"/>
              </w:rPr>
            </w:pPr>
            <w:r w:rsidRPr="00CC46DB">
              <w:rPr>
                <w:rFonts w:ascii="IBM Plex Sans Light" w:hAnsi="IBM Plex Sans Light"/>
                <w:bCs/>
                <w:color w:val="auto"/>
                <w:spacing w:val="-4"/>
                <w:sz w:val="18"/>
                <w:szCs w:val="18"/>
              </w:rPr>
              <w:t>–</w:t>
            </w:r>
          </w:p>
        </w:tc>
        <w:tc>
          <w:tcPr>
            <w:tcW w:w="853" w:type="dxa"/>
            <w:tcBorders>
              <w:right w:val="single" w:sz="2" w:space="0" w:color="3D7FE0" w:themeColor="accent1"/>
            </w:tcBorders>
            <w:tcMar>
              <w:left w:w="0" w:type="dxa"/>
              <w:right w:w="0" w:type="dxa"/>
            </w:tcMar>
          </w:tcPr>
          <w:p w14:paraId="08146B0E" w14:textId="40ECC2B1" w:rsidR="00CB5300" w:rsidRPr="00CC46DB"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(50.3)</w:t>
            </w:r>
          </w:p>
        </w:tc>
      </w:tr>
      <w:tr w:rsidR="00CB5300" w:rsidRPr="00AA5577" w14:paraId="414D3D0B" w14:textId="77777777" w:rsidTr="00435CF7">
        <w:tc>
          <w:tcPr>
            <w:tcW w:w="4678" w:type="dxa"/>
            <w:tcBorders>
              <w:bottom w:val="single" w:sz="2" w:space="0" w:color="3D7FE0" w:themeColor="accent1"/>
            </w:tcBorders>
            <w:tcMar>
              <w:left w:w="0" w:type="dxa"/>
              <w:right w:w="0" w:type="dxa"/>
            </w:tcMar>
            <w:vAlign w:val="bottom"/>
          </w:tcPr>
          <w:p w14:paraId="63CE4E18" w14:textId="77777777" w:rsidR="00CB5300" w:rsidRPr="00AA5577" w:rsidRDefault="00CB5300" w:rsidP="00CB5300">
            <w:pPr>
              <w:pStyle w:val="Tabletext"/>
              <w:ind w:left="142" w:right="3" w:hanging="142"/>
              <w:rPr>
                <w:rFonts w:ascii="IBM Plex Sans Light" w:hAnsi="IBM Plex Sans Light"/>
                <w:color w:val="auto"/>
                <w:spacing w:val="-4"/>
                <w:sz w:val="18"/>
                <w:szCs w:val="18"/>
              </w:rPr>
            </w:pPr>
            <w:r w:rsidRPr="00AA5577">
              <w:rPr>
                <w:rFonts w:ascii="IBM Plex Sans Light" w:hAnsi="IBM Plex Sans Light"/>
                <w:color w:val="auto"/>
                <w:spacing w:val="-4"/>
                <w:sz w:val="18"/>
                <w:szCs w:val="18"/>
              </w:rPr>
              <w:t>Cost of sales</w:t>
            </w:r>
          </w:p>
        </w:tc>
        <w:tc>
          <w:tcPr>
            <w:tcW w:w="284" w:type="dxa"/>
            <w:tcBorders>
              <w:bottom w:val="single" w:sz="2" w:space="0" w:color="3D7FE0" w:themeColor="accent1"/>
            </w:tcBorders>
            <w:vAlign w:val="bottom"/>
          </w:tcPr>
          <w:p w14:paraId="7C96C795" w14:textId="77777777" w:rsidR="00CB5300" w:rsidRPr="00AA5577" w:rsidRDefault="00CB5300" w:rsidP="00CB5300">
            <w:pPr>
              <w:pStyle w:val="Tabletext"/>
              <w:ind w:left="142" w:right="3" w:hanging="142"/>
              <w:rPr>
                <w:rFonts w:ascii="IBM Plex Sans Light" w:hAnsi="IBM Plex Sans Light"/>
                <w:color w:val="auto"/>
                <w:spacing w:val="-4"/>
                <w:sz w:val="18"/>
                <w:szCs w:val="18"/>
              </w:rPr>
            </w:pPr>
          </w:p>
        </w:tc>
        <w:tc>
          <w:tcPr>
            <w:tcW w:w="567" w:type="dxa"/>
            <w:tcBorders>
              <w:bottom w:val="single" w:sz="2" w:space="0" w:color="3D7FE0" w:themeColor="accent1"/>
            </w:tcBorders>
            <w:tcMar>
              <w:left w:w="0" w:type="dxa"/>
              <w:right w:w="0" w:type="dxa"/>
            </w:tcMar>
            <w:vAlign w:val="bottom"/>
          </w:tcPr>
          <w:p w14:paraId="3F73894D" w14:textId="77777777" w:rsidR="00CB5300" w:rsidRPr="00AA5577" w:rsidRDefault="00CB5300" w:rsidP="00CB5300">
            <w:pPr>
              <w:pStyle w:val="TableFigures"/>
              <w:jc w:val="center"/>
              <w:rPr>
                <w:rStyle w:val="NotesStyle"/>
                <w:rFonts w:ascii="IBM Plex Sans Light" w:hAnsi="IBM Plex Sans Light"/>
                <w:color w:val="auto"/>
                <w:spacing w:val="-4"/>
                <w:sz w:val="16"/>
                <w:szCs w:val="16"/>
              </w:rPr>
            </w:pPr>
            <w:r w:rsidRPr="00AA5577">
              <w:rPr>
                <w:rStyle w:val="NotesStyle"/>
                <w:rFonts w:ascii="IBM Plex Sans Light" w:hAnsi="IBM Plex Sans Light"/>
                <w:color w:val="auto"/>
                <w:spacing w:val="-4"/>
                <w:sz w:val="16"/>
                <w:szCs w:val="16"/>
              </w:rPr>
              <w:t>5</w:t>
            </w:r>
          </w:p>
        </w:tc>
        <w:tc>
          <w:tcPr>
            <w:tcW w:w="850" w:type="dxa"/>
            <w:tcBorders>
              <w:bottom w:val="single" w:sz="2" w:space="0" w:color="3D7FE0" w:themeColor="accent1"/>
            </w:tcBorders>
            <w:tcMar>
              <w:left w:w="0" w:type="dxa"/>
              <w:right w:w="0" w:type="dxa"/>
            </w:tcMar>
          </w:tcPr>
          <w:p w14:paraId="4E6737A6" w14:textId="55F5D7D1" w:rsidR="00CB5300" w:rsidRPr="00CC46DB"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(9.3)</w:t>
            </w:r>
          </w:p>
        </w:tc>
        <w:tc>
          <w:tcPr>
            <w:tcW w:w="851" w:type="dxa"/>
            <w:tcBorders>
              <w:bottom w:val="single" w:sz="2" w:space="0" w:color="3D7FE0" w:themeColor="accent1"/>
              <w:right w:val="single" w:sz="4" w:space="0" w:color="3D7FE0" w:themeColor="accent1"/>
            </w:tcBorders>
            <w:tcMar>
              <w:left w:w="0" w:type="dxa"/>
              <w:right w:w="0" w:type="dxa"/>
            </w:tcMar>
          </w:tcPr>
          <w:p w14:paraId="68CEABA0" w14:textId="53654CC2" w:rsidR="00CB5300" w:rsidRPr="00AA5577"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(21.2)</w:t>
            </w:r>
          </w:p>
        </w:tc>
        <w:tc>
          <w:tcPr>
            <w:tcW w:w="992" w:type="dxa"/>
            <w:tcBorders>
              <w:left w:val="single" w:sz="4" w:space="0" w:color="3D7FE0" w:themeColor="accent1"/>
              <w:bottom w:val="single" w:sz="2" w:space="0" w:color="3D7FE0" w:themeColor="accent1"/>
            </w:tcBorders>
            <w:tcMar>
              <w:left w:w="0" w:type="dxa"/>
              <w:right w:w="0" w:type="dxa"/>
            </w:tcMar>
          </w:tcPr>
          <w:p w14:paraId="5B9B0E89" w14:textId="703E9487" w:rsidR="00CB5300" w:rsidRPr="00AA5577"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(30.5)</w:t>
            </w:r>
          </w:p>
        </w:tc>
        <w:tc>
          <w:tcPr>
            <w:tcW w:w="850" w:type="dxa"/>
            <w:tcBorders>
              <w:bottom w:val="single" w:sz="2" w:space="0" w:color="3D7FE0" w:themeColor="accent1"/>
            </w:tcBorders>
          </w:tcPr>
          <w:p w14:paraId="66898FCF" w14:textId="2BD4E805" w:rsidR="00CB5300" w:rsidRPr="00CC46DB" w:rsidRDefault="00CB5300" w:rsidP="00CC46DB">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(2.4)</w:t>
            </w:r>
          </w:p>
        </w:tc>
        <w:tc>
          <w:tcPr>
            <w:tcW w:w="853" w:type="dxa"/>
            <w:tcBorders>
              <w:bottom w:val="single" w:sz="2" w:space="0" w:color="3D7FE0" w:themeColor="accent1"/>
              <w:right w:val="single" w:sz="4" w:space="0" w:color="3D7FE0" w:themeColor="accent1"/>
            </w:tcBorders>
            <w:tcMar>
              <w:left w:w="0" w:type="dxa"/>
              <w:right w:w="0" w:type="dxa"/>
            </w:tcMar>
          </w:tcPr>
          <w:p w14:paraId="465EE392" w14:textId="21D5CDBA" w:rsidR="00CB5300" w:rsidRPr="00CC46DB"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(32.9)</w:t>
            </w:r>
          </w:p>
        </w:tc>
      </w:tr>
      <w:tr w:rsidR="00CB5300" w:rsidRPr="00AA5577" w14:paraId="6BC64A5F" w14:textId="77777777" w:rsidTr="00435CF7">
        <w:tc>
          <w:tcPr>
            <w:tcW w:w="4678" w:type="dxa"/>
            <w:tcBorders>
              <w:top w:val="single" w:sz="2" w:space="0" w:color="3D7FE0" w:themeColor="accent1"/>
            </w:tcBorders>
            <w:tcMar>
              <w:left w:w="0" w:type="dxa"/>
              <w:right w:w="0" w:type="dxa"/>
            </w:tcMar>
            <w:vAlign w:val="bottom"/>
          </w:tcPr>
          <w:p w14:paraId="4B2BA324" w14:textId="77777777" w:rsidR="00CB5300" w:rsidRPr="00AA5577" w:rsidRDefault="00CB5300" w:rsidP="00CB5300">
            <w:pPr>
              <w:pStyle w:val="TabletextBold"/>
              <w:rPr>
                <w:rFonts w:ascii="IBM Plex Sans Light" w:hAnsi="IBM Plex Sans Light"/>
                <w:bCs/>
                <w:color w:val="auto"/>
                <w:sz w:val="18"/>
                <w:szCs w:val="18"/>
              </w:rPr>
            </w:pPr>
            <w:r w:rsidRPr="00AA5577">
              <w:rPr>
                <w:rFonts w:ascii="IBM Plex Sans Light" w:hAnsi="IBM Plex Sans Light"/>
                <w:bCs/>
                <w:color w:val="auto"/>
                <w:sz w:val="18"/>
                <w:szCs w:val="18"/>
              </w:rPr>
              <w:t>Net rental income</w:t>
            </w:r>
          </w:p>
        </w:tc>
        <w:tc>
          <w:tcPr>
            <w:tcW w:w="284" w:type="dxa"/>
            <w:tcBorders>
              <w:top w:val="single" w:sz="2" w:space="0" w:color="3D7FE0" w:themeColor="accent1"/>
            </w:tcBorders>
            <w:vAlign w:val="bottom"/>
          </w:tcPr>
          <w:p w14:paraId="641E753E" w14:textId="77777777" w:rsidR="00CB5300" w:rsidRPr="00AA5577" w:rsidRDefault="00CB5300" w:rsidP="00CB5300">
            <w:pPr>
              <w:pStyle w:val="TabletextBold"/>
              <w:rPr>
                <w:rFonts w:ascii="IBM Plex Sans Light" w:hAnsi="IBM Plex Sans Light"/>
                <w:bCs/>
                <w:color w:val="auto"/>
                <w:sz w:val="18"/>
                <w:szCs w:val="18"/>
              </w:rPr>
            </w:pPr>
          </w:p>
        </w:tc>
        <w:tc>
          <w:tcPr>
            <w:tcW w:w="567" w:type="dxa"/>
            <w:tcBorders>
              <w:top w:val="single" w:sz="2" w:space="0" w:color="3D7FE0" w:themeColor="accent1"/>
            </w:tcBorders>
            <w:tcMar>
              <w:left w:w="0" w:type="dxa"/>
              <w:right w:w="0" w:type="dxa"/>
            </w:tcMar>
            <w:vAlign w:val="bottom"/>
          </w:tcPr>
          <w:p w14:paraId="7F84AB34" w14:textId="77777777" w:rsidR="00CB5300" w:rsidRPr="00AA5577" w:rsidRDefault="00CB5300" w:rsidP="00CB5300">
            <w:pPr>
              <w:pStyle w:val="TableFigures"/>
              <w:jc w:val="center"/>
              <w:rPr>
                <w:rStyle w:val="NotesStyle"/>
                <w:rFonts w:ascii="IBM Plex Sans Light" w:hAnsi="IBM Plex Sans Light"/>
                <w:b/>
                <w:color w:val="auto"/>
                <w:spacing w:val="-4"/>
                <w:sz w:val="16"/>
                <w:szCs w:val="16"/>
              </w:rPr>
            </w:pPr>
          </w:p>
        </w:tc>
        <w:tc>
          <w:tcPr>
            <w:tcW w:w="850" w:type="dxa"/>
            <w:tcBorders>
              <w:top w:val="single" w:sz="2" w:space="0" w:color="3D7FE0" w:themeColor="accent1"/>
            </w:tcBorders>
            <w:tcMar>
              <w:left w:w="0" w:type="dxa"/>
              <w:right w:w="0" w:type="dxa"/>
            </w:tcMar>
          </w:tcPr>
          <w:p w14:paraId="1FA8E85F" w14:textId="22421E1B" w:rsidR="00CB5300" w:rsidRPr="00CC46DB" w:rsidRDefault="00CB5300" w:rsidP="00CB5300">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77.3</w:t>
            </w:r>
          </w:p>
        </w:tc>
        <w:tc>
          <w:tcPr>
            <w:tcW w:w="851" w:type="dxa"/>
            <w:tcBorders>
              <w:top w:val="single" w:sz="2" w:space="0" w:color="3D7FE0" w:themeColor="accent1"/>
              <w:right w:val="single" w:sz="4" w:space="0" w:color="3D7FE0" w:themeColor="accent1"/>
            </w:tcBorders>
            <w:tcMar>
              <w:left w:w="0" w:type="dxa"/>
              <w:right w:w="0" w:type="dxa"/>
            </w:tcMar>
          </w:tcPr>
          <w:p w14:paraId="2DE74F5E" w14:textId="5D89BADD" w:rsidR="00CB5300" w:rsidRPr="00CC46DB" w:rsidRDefault="00CB5300" w:rsidP="00CB5300">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99.9</w:t>
            </w:r>
          </w:p>
        </w:tc>
        <w:tc>
          <w:tcPr>
            <w:tcW w:w="992" w:type="dxa"/>
            <w:tcBorders>
              <w:top w:val="single" w:sz="2" w:space="0" w:color="3D7FE0" w:themeColor="accent1"/>
              <w:left w:val="single" w:sz="4" w:space="0" w:color="3D7FE0" w:themeColor="accent1"/>
            </w:tcBorders>
            <w:tcMar>
              <w:left w:w="0" w:type="dxa"/>
              <w:right w:w="0" w:type="dxa"/>
            </w:tcMar>
          </w:tcPr>
          <w:p w14:paraId="1DDC8E3C" w14:textId="07D28DF3" w:rsidR="00CB5300" w:rsidRPr="00CC46DB" w:rsidRDefault="00CB5300" w:rsidP="00CB5300">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177.2</w:t>
            </w:r>
          </w:p>
        </w:tc>
        <w:tc>
          <w:tcPr>
            <w:tcW w:w="850" w:type="dxa"/>
            <w:tcBorders>
              <w:top w:val="single" w:sz="2" w:space="0" w:color="3D7FE0" w:themeColor="accent1"/>
            </w:tcBorders>
          </w:tcPr>
          <w:p w14:paraId="31495968" w14:textId="339C58B4" w:rsidR="00CB5300" w:rsidRPr="00CC46DB" w:rsidRDefault="00CB5300" w:rsidP="00CB5300">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(2.4)</w:t>
            </w:r>
          </w:p>
        </w:tc>
        <w:tc>
          <w:tcPr>
            <w:tcW w:w="853" w:type="dxa"/>
            <w:tcBorders>
              <w:top w:val="single" w:sz="2" w:space="0" w:color="3D7FE0" w:themeColor="accent1"/>
              <w:right w:val="single" w:sz="4" w:space="0" w:color="3D7FE0" w:themeColor="accent1"/>
            </w:tcBorders>
            <w:tcMar>
              <w:left w:w="0" w:type="dxa"/>
              <w:right w:w="0" w:type="dxa"/>
            </w:tcMar>
          </w:tcPr>
          <w:p w14:paraId="65F7BACD" w14:textId="1003B86D" w:rsidR="00CB5300" w:rsidRPr="00CC46DB" w:rsidRDefault="00CB5300" w:rsidP="00CB5300">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174.8</w:t>
            </w:r>
          </w:p>
        </w:tc>
      </w:tr>
      <w:tr w:rsidR="00AA5577" w:rsidRPr="00AA5577" w14:paraId="53C78276" w14:textId="77777777" w:rsidTr="00435CF7">
        <w:trPr>
          <w:trHeight w:val="57"/>
        </w:trPr>
        <w:tc>
          <w:tcPr>
            <w:tcW w:w="4678" w:type="dxa"/>
            <w:tcMar>
              <w:left w:w="0" w:type="dxa"/>
              <w:right w:w="0" w:type="dxa"/>
            </w:tcMar>
            <w:vAlign w:val="bottom"/>
          </w:tcPr>
          <w:p w14:paraId="3120210A" w14:textId="77777777" w:rsidR="00AA5577" w:rsidRPr="00AA5577" w:rsidRDefault="00AA5577" w:rsidP="002B525C">
            <w:pPr>
              <w:pStyle w:val="TabletextBold"/>
              <w:spacing w:line="240" w:lineRule="auto"/>
              <w:rPr>
                <w:rFonts w:ascii="IBM Plex Sans Light" w:hAnsi="IBM Plex Sans Light"/>
                <w:bCs/>
                <w:color w:val="auto"/>
                <w:sz w:val="14"/>
                <w:szCs w:val="14"/>
              </w:rPr>
            </w:pPr>
          </w:p>
        </w:tc>
        <w:tc>
          <w:tcPr>
            <w:tcW w:w="284" w:type="dxa"/>
            <w:vAlign w:val="bottom"/>
          </w:tcPr>
          <w:p w14:paraId="38A0404B" w14:textId="77777777" w:rsidR="00AA5577" w:rsidRPr="00AA5577" w:rsidRDefault="00AA5577" w:rsidP="002B525C">
            <w:pPr>
              <w:pStyle w:val="TabletextBold"/>
              <w:spacing w:line="240" w:lineRule="auto"/>
              <w:rPr>
                <w:rFonts w:ascii="IBM Plex Sans Light" w:hAnsi="IBM Plex Sans Light"/>
                <w:bCs/>
                <w:color w:val="auto"/>
                <w:sz w:val="14"/>
                <w:szCs w:val="14"/>
              </w:rPr>
            </w:pPr>
          </w:p>
        </w:tc>
        <w:tc>
          <w:tcPr>
            <w:tcW w:w="567" w:type="dxa"/>
            <w:tcMar>
              <w:left w:w="0" w:type="dxa"/>
              <w:right w:w="0" w:type="dxa"/>
            </w:tcMar>
            <w:vAlign w:val="bottom"/>
          </w:tcPr>
          <w:p w14:paraId="76CF57E8" w14:textId="77777777" w:rsidR="00AA5577" w:rsidRPr="00AA5577" w:rsidRDefault="00AA5577" w:rsidP="002B525C">
            <w:pPr>
              <w:pStyle w:val="TableFigures"/>
              <w:jc w:val="center"/>
              <w:rPr>
                <w:rStyle w:val="NotesStyle"/>
                <w:rFonts w:ascii="IBM Plex Sans Light" w:hAnsi="IBM Plex Sans Light"/>
                <w:b/>
                <w:color w:val="auto"/>
                <w:spacing w:val="-4"/>
                <w:sz w:val="16"/>
                <w:szCs w:val="16"/>
              </w:rPr>
            </w:pPr>
          </w:p>
        </w:tc>
        <w:tc>
          <w:tcPr>
            <w:tcW w:w="850" w:type="dxa"/>
            <w:tcMar>
              <w:left w:w="0" w:type="dxa"/>
              <w:right w:w="0" w:type="dxa"/>
            </w:tcMar>
            <w:vAlign w:val="bottom"/>
          </w:tcPr>
          <w:p w14:paraId="0B6C573F" w14:textId="77777777" w:rsidR="00AA5577" w:rsidRPr="00AA5577" w:rsidRDefault="00AA5577" w:rsidP="002B525C">
            <w:pPr>
              <w:pStyle w:val="TableFigures"/>
              <w:spacing w:line="240" w:lineRule="auto"/>
              <w:rPr>
                <w:rFonts w:ascii="IBM Plex Sans Light" w:hAnsi="IBM Plex Sans Light" w:cs="MyriadPro-Light"/>
                <w:b/>
                <w:color w:val="auto"/>
                <w:spacing w:val="-4"/>
                <w:sz w:val="14"/>
                <w:szCs w:val="14"/>
              </w:rPr>
            </w:pPr>
          </w:p>
        </w:tc>
        <w:tc>
          <w:tcPr>
            <w:tcW w:w="851" w:type="dxa"/>
            <w:tcBorders>
              <w:right w:val="single" w:sz="4" w:space="0" w:color="3D7FE0" w:themeColor="accent1"/>
            </w:tcBorders>
            <w:tcMar>
              <w:left w:w="0" w:type="dxa"/>
              <w:right w:w="0" w:type="dxa"/>
            </w:tcMar>
            <w:vAlign w:val="bottom"/>
          </w:tcPr>
          <w:p w14:paraId="565BB805" w14:textId="77777777" w:rsidR="00AA5577" w:rsidRPr="00AA5577" w:rsidRDefault="00AA5577" w:rsidP="002B525C">
            <w:pPr>
              <w:pStyle w:val="TableFiguresBold"/>
              <w:spacing w:line="240" w:lineRule="auto"/>
              <w:rPr>
                <w:rFonts w:ascii="IBM Plex Sans Light" w:hAnsi="IBM Plex Sans Light" w:cs="MyriadPro-Light"/>
                <w:b w:val="0"/>
                <w:color w:val="auto"/>
                <w:spacing w:val="-4"/>
                <w:sz w:val="14"/>
                <w:szCs w:val="14"/>
              </w:rPr>
            </w:pPr>
          </w:p>
        </w:tc>
        <w:tc>
          <w:tcPr>
            <w:tcW w:w="992" w:type="dxa"/>
            <w:tcBorders>
              <w:left w:val="single" w:sz="4" w:space="0" w:color="3D7FE0" w:themeColor="accent1"/>
            </w:tcBorders>
            <w:tcMar>
              <w:left w:w="0" w:type="dxa"/>
              <w:right w:w="0" w:type="dxa"/>
            </w:tcMar>
            <w:vAlign w:val="bottom"/>
          </w:tcPr>
          <w:p w14:paraId="17AF7122" w14:textId="77777777" w:rsidR="00AA5577" w:rsidRPr="00AA5577" w:rsidRDefault="00AA5577" w:rsidP="002B525C">
            <w:pPr>
              <w:pStyle w:val="TableFiguresBold"/>
              <w:spacing w:line="240" w:lineRule="auto"/>
              <w:rPr>
                <w:rFonts w:ascii="IBM Plex Sans Light" w:hAnsi="IBM Plex Sans Light" w:cs="MyriadPro-Light"/>
                <w:bCs w:val="0"/>
                <w:color w:val="auto"/>
                <w:spacing w:val="-4"/>
                <w:sz w:val="14"/>
                <w:szCs w:val="14"/>
              </w:rPr>
            </w:pPr>
          </w:p>
        </w:tc>
        <w:tc>
          <w:tcPr>
            <w:tcW w:w="850" w:type="dxa"/>
            <w:vAlign w:val="bottom"/>
          </w:tcPr>
          <w:p w14:paraId="4093EC9C" w14:textId="77777777" w:rsidR="00AA5577" w:rsidRPr="00AA5577" w:rsidRDefault="00AA5577" w:rsidP="002B525C">
            <w:pPr>
              <w:pStyle w:val="TableFiguresBracketsBold"/>
              <w:spacing w:line="240" w:lineRule="auto"/>
              <w:rPr>
                <w:rFonts w:ascii="IBM Plex Sans Light" w:hAnsi="IBM Plex Sans Light"/>
                <w:b w:val="0"/>
                <w:color w:val="auto"/>
                <w:spacing w:val="-4"/>
                <w:sz w:val="14"/>
                <w:szCs w:val="14"/>
              </w:rPr>
            </w:pPr>
          </w:p>
        </w:tc>
        <w:tc>
          <w:tcPr>
            <w:tcW w:w="853" w:type="dxa"/>
            <w:tcBorders>
              <w:right w:val="single" w:sz="4" w:space="0" w:color="3D7FE0" w:themeColor="accent1"/>
            </w:tcBorders>
            <w:tcMar>
              <w:left w:w="0" w:type="dxa"/>
              <w:right w:w="0" w:type="dxa"/>
            </w:tcMar>
            <w:vAlign w:val="bottom"/>
          </w:tcPr>
          <w:p w14:paraId="05E8EC8D" w14:textId="77777777" w:rsidR="00AA5577" w:rsidRPr="00AA5577" w:rsidRDefault="00AA5577" w:rsidP="002B525C">
            <w:pPr>
              <w:pStyle w:val="TableFigures"/>
              <w:spacing w:line="240" w:lineRule="auto"/>
              <w:rPr>
                <w:rFonts w:ascii="IBM Plex Sans Light" w:hAnsi="IBM Plex Sans Light" w:cs="MyriadPro-Light"/>
                <w:b/>
                <w:color w:val="auto"/>
                <w:spacing w:val="-4"/>
                <w:sz w:val="14"/>
                <w:szCs w:val="14"/>
              </w:rPr>
            </w:pPr>
          </w:p>
        </w:tc>
      </w:tr>
      <w:tr w:rsidR="006F7F82" w:rsidRPr="00AA5577" w14:paraId="104F417F" w14:textId="77777777" w:rsidTr="00D9524D">
        <w:tc>
          <w:tcPr>
            <w:tcW w:w="4678" w:type="dxa"/>
            <w:tcMar>
              <w:left w:w="0" w:type="dxa"/>
              <w:right w:w="0" w:type="dxa"/>
            </w:tcMar>
            <w:vAlign w:val="bottom"/>
          </w:tcPr>
          <w:p w14:paraId="27E4CD46" w14:textId="77777777" w:rsidR="006F7F82" w:rsidRPr="00AA5577" w:rsidRDefault="006F7F82" w:rsidP="006F7F82">
            <w:pPr>
              <w:pStyle w:val="Tabletext"/>
              <w:ind w:left="142" w:hanging="142"/>
              <w:rPr>
                <w:rFonts w:ascii="IBM Plex Sans Light" w:hAnsi="IBM Plex Sans Light"/>
                <w:color w:val="auto"/>
                <w:spacing w:val="-4"/>
                <w:sz w:val="18"/>
                <w:szCs w:val="18"/>
              </w:rPr>
            </w:pPr>
            <w:r w:rsidRPr="00AA5577">
              <w:rPr>
                <w:rFonts w:ascii="IBM Plex Sans Light" w:hAnsi="IBM Plex Sans Light"/>
                <w:color w:val="auto"/>
                <w:spacing w:val="-4"/>
                <w:sz w:val="18"/>
                <w:szCs w:val="18"/>
              </w:rPr>
              <w:t xml:space="preserve">Gross administration costs </w:t>
            </w:r>
          </w:p>
        </w:tc>
        <w:tc>
          <w:tcPr>
            <w:tcW w:w="284" w:type="dxa"/>
            <w:vAlign w:val="bottom"/>
          </w:tcPr>
          <w:p w14:paraId="0FA3B932" w14:textId="77777777" w:rsidR="006F7F82" w:rsidRPr="00AA5577" w:rsidRDefault="006F7F82" w:rsidP="006F7F82">
            <w:pPr>
              <w:pStyle w:val="Tabletext"/>
              <w:ind w:left="142" w:hanging="142"/>
              <w:rPr>
                <w:rFonts w:ascii="IBM Plex Sans Light" w:hAnsi="IBM Plex Sans Light"/>
                <w:color w:val="auto"/>
                <w:spacing w:val="-4"/>
                <w:sz w:val="18"/>
                <w:szCs w:val="18"/>
              </w:rPr>
            </w:pPr>
          </w:p>
        </w:tc>
        <w:tc>
          <w:tcPr>
            <w:tcW w:w="567" w:type="dxa"/>
            <w:tcMar>
              <w:left w:w="0" w:type="dxa"/>
              <w:right w:w="0" w:type="dxa"/>
            </w:tcMar>
            <w:vAlign w:val="bottom"/>
          </w:tcPr>
          <w:p w14:paraId="17046093" w14:textId="77777777" w:rsidR="006F7F82" w:rsidRPr="00AA5577" w:rsidRDefault="006F7F82" w:rsidP="006F7F82">
            <w:pPr>
              <w:pStyle w:val="TableFigures"/>
              <w:jc w:val="center"/>
              <w:rPr>
                <w:rStyle w:val="NotesStyle"/>
                <w:rFonts w:ascii="IBM Plex Sans Light" w:hAnsi="IBM Plex Sans Light"/>
                <w:color w:val="auto"/>
                <w:spacing w:val="-4"/>
                <w:sz w:val="16"/>
                <w:szCs w:val="16"/>
              </w:rPr>
            </w:pPr>
            <w:r w:rsidRPr="00AA5577">
              <w:rPr>
                <w:rStyle w:val="NotesStyle"/>
                <w:rFonts w:ascii="IBM Plex Sans Light" w:hAnsi="IBM Plex Sans Light"/>
                <w:color w:val="auto"/>
                <w:spacing w:val="-4"/>
                <w:sz w:val="16"/>
                <w:szCs w:val="16"/>
              </w:rPr>
              <w:t>5</w:t>
            </w:r>
          </w:p>
        </w:tc>
        <w:tc>
          <w:tcPr>
            <w:tcW w:w="850" w:type="dxa"/>
            <w:tcMar>
              <w:left w:w="0" w:type="dxa"/>
              <w:right w:w="0" w:type="dxa"/>
            </w:tcMar>
          </w:tcPr>
          <w:p w14:paraId="1DF99DBA" w14:textId="330442D3"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(64.6)</w:t>
            </w:r>
          </w:p>
        </w:tc>
        <w:tc>
          <w:tcPr>
            <w:tcW w:w="851" w:type="dxa"/>
            <w:tcBorders>
              <w:right w:val="single" w:sz="4" w:space="0" w:color="3D7FE0" w:themeColor="accent1"/>
            </w:tcBorders>
            <w:tcMar>
              <w:left w:w="0" w:type="dxa"/>
              <w:right w:w="0" w:type="dxa"/>
            </w:tcMar>
          </w:tcPr>
          <w:p w14:paraId="0C24B680" w14:textId="458475F0"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(0.3)</w:t>
            </w:r>
          </w:p>
        </w:tc>
        <w:tc>
          <w:tcPr>
            <w:tcW w:w="992" w:type="dxa"/>
            <w:tcBorders>
              <w:left w:val="single" w:sz="4" w:space="0" w:color="3D7FE0" w:themeColor="accent1"/>
            </w:tcBorders>
            <w:tcMar>
              <w:left w:w="0" w:type="dxa"/>
              <w:right w:w="0" w:type="dxa"/>
            </w:tcMar>
          </w:tcPr>
          <w:p w14:paraId="7779FC60" w14:textId="05AD5780"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(64.9)</w:t>
            </w:r>
          </w:p>
        </w:tc>
        <w:tc>
          <w:tcPr>
            <w:tcW w:w="850" w:type="dxa"/>
          </w:tcPr>
          <w:p w14:paraId="1DD3F1B4" w14:textId="66027EC6" w:rsidR="006F7F82" w:rsidRPr="00CC46DB" w:rsidRDefault="006F7F82"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5.1</w:t>
            </w:r>
          </w:p>
        </w:tc>
        <w:tc>
          <w:tcPr>
            <w:tcW w:w="853" w:type="dxa"/>
            <w:tcBorders>
              <w:right w:val="single" w:sz="4" w:space="0" w:color="3D7FE0" w:themeColor="accent1"/>
            </w:tcBorders>
            <w:tcMar>
              <w:left w:w="0" w:type="dxa"/>
              <w:right w:w="0" w:type="dxa"/>
            </w:tcMar>
          </w:tcPr>
          <w:p w14:paraId="66EC3F8F" w14:textId="08C65164"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(59.8)</w:t>
            </w:r>
          </w:p>
        </w:tc>
      </w:tr>
      <w:tr w:rsidR="006F7F82" w:rsidRPr="00AA5577" w14:paraId="47E97044" w14:textId="77777777" w:rsidTr="00D9524D">
        <w:trPr>
          <w:trHeight w:val="141"/>
        </w:trPr>
        <w:tc>
          <w:tcPr>
            <w:tcW w:w="4678" w:type="dxa"/>
            <w:tcBorders>
              <w:bottom w:val="single" w:sz="2" w:space="0" w:color="3D7FE0" w:themeColor="accent1"/>
            </w:tcBorders>
            <w:tcMar>
              <w:left w:w="0" w:type="dxa"/>
              <w:right w:w="0" w:type="dxa"/>
            </w:tcMar>
            <w:vAlign w:val="bottom"/>
          </w:tcPr>
          <w:p w14:paraId="4B9051DE" w14:textId="77777777" w:rsidR="006F7F82" w:rsidRPr="00AA5577" w:rsidRDefault="006F7F82" w:rsidP="006F7F82">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Other income</w:t>
            </w:r>
          </w:p>
        </w:tc>
        <w:tc>
          <w:tcPr>
            <w:tcW w:w="284" w:type="dxa"/>
            <w:tcBorders>
              <w:bottom w:val="single" w:sz="2" w:space="0" w:color="3D7FE0" w:themeColor="accent1"/>
            </w:tcBorders>
            <w:vAlign w:val="bottom"/>
          </w:tcPr>
          <w:p w14:paraId="7AA19C58" w14:textId="77777777" w:rsidR="006F7F82" w:rsidRPr="00AA5577" w:rsidRDefault="006F7F82" w:rsidP="006F7F82">
            <w:pPr>
              <w:pStyle w:val="Tabletext"/>
              <w:rPr>
                <w:rFonts w:ascii="IBM Plex Sans Light" w:hAnsi="IBM Plex Sans Light"/>
                <w:color w:val="auto"/>
                <w:spacing w:val="-4"/>
                <w:sz w:val="18"/>
                <w:szCs w:val="18"/>
              </w:rPr>
            </w:pPr>
          </w:p>
        </w:tc>
        <w:tc>
          <w:tcPr>
            <w:tcW w:w="567" w:type="dxa"/>
            <w:tcBorders>
              <w:bottom w:val="single" w:sz="2" w:space="0" w:color="3D7FE0" w:themeColor="accent1"/>
            </w:tcBorders>
            <w:tcMar>
              <w:left w:w="0" w:type="dxa"/>
              <w:right w:w="0" w:type="dxa"/>
            </w:tcMar>
            <w:vAlign w:val="bottom"/>
          </w:tcPr>
          <w:p w14:paraId="24F7CEFC" w14:textId="77777777" w:rsidR="006F7F82" w:rsidRPr="00AA5577" w:rsidRDefault="006F7F82" w:rsidP="006F7F82">
            <w:pPr>
              <w:pStyle w:val="TableFigures"/>
              <w:jc w:val="center"/>
              <w:rPr>
                <w:rStyle w:val="NotesStyle"/>
                <w:rFonts w:ascii="IBM Plex Sans Light" w:hAnsi="IBM Plex Sans Light"/>
                <w:color w:val="auto"/>
                <w:spacing w:val="-4"/>
                <w:sz w:val="16"/>
                <w:szCs w:val="16"/>
              </w:rPr>
            </w:pPr>
            <w:r w:rsidRPr="00AA5577">
              <w:rPr>
                <w:rStyle w:val="NotesStyle"/>
                <w:rFonts w:ascii="IBM Plex Sans Light" w:hAnsi="IBM Plex Sans Light"/>
                <w:color w:val="auto"/>
                <w:spacing w:val="-4"/>
                <w:sz w:val="16"/>
                <w:szCs w:val="16"/>
              </w:rPr>
              <w:t>4</w:t>
            </w:r>
          </w:p>
        </w:tc>
        <w:tc>
          <w:tcPr>
            <w:tcW w:w="850" w:type="dxa"/>
            <w:tcBorders>
              <w:bottom w:val="single" w:sz="2" w:space="0" w:color="3D7FE0" w:themeColor="accent1"/>
            </w:tcBorders>
            <w:tcMar>
              <w:left w:w="0" w:type="dxa"/>
              <w:right w:w="0" w:type="dxa"/>
            </w:tcMar>
          </w:tcPr>
          <w:p w14:paraId="51CC6C7E" w14:textId="3B2D2C8A" w:rsidR="006F7F82" w:rsidRPr="00CC46DB" w:rsidRDefault="006F7F82" w:rsidP="006F7F82">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17.0</w:t>
            </w:r>
          </w:p>
        </w:tc>
        <w:tc>
          <w:tcPr>
            <w:tcW w:w="851" w:type="dxa"/>
            <w:tcBorders>
              <w:bottom w:val="single" w:sz="2" w:space="0" w:color="3D7FE0" w:themeColor="accent1"/>
              <w:right w:val="single" w:sz="4" w:space="0" w:color="3D7FE0" w:themeColor="accent1"/>
            </w:tcBorders>
            <w:tcMar>
              <w:left w:w="0" w:type="dxa"/>
              <w:right w:w="0" w:type="dxa"/>
            </w:tcMar>
          </w:tcPr>
          <w:p w14:paraId="2A6AFA89" w14:textId="4F128159" w:rsidR="006F7F82" w:rsidRPr="00CC46DB" w:rsidRDefault="006F7F82" w:rsidP="006F7F82">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w:t>
            </w:r>
          </w:p>
        </w:tc>
        <w:tc>
          <w:tcPr>
            <w:tcW w:w="992" w:type="dxa"/>
            <w:tcBorders>
              <w:left w:val="single" w:sz="4" w:space="0" w:color="3D7FE0" w:themeColor="accent1"/>
              <w:bottom w:val="single" w:sz="2" w:space="0" w:color="3D7FE0" w:themeColor="accent1"/>
            </w:tcBorders>
            <w:tcMar>
              <w:left w:w="0" w:type="dxa"/>
              <w:right w:w="0" w:type="dxa"/>
            </w:tcMar>
          </w:tcPr>
          <w:p w14:paraId="651A2EA9" w14:textId="13F91DA9" w:rsidR="006F7F82" w:rsidRPr="00CC46DB" w:rsidRDefault="006F7F82" w:rsidP="006F7F82">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17.0</w:t>
            </w:r>
          </w:p>
        </w:tc>
        <w:tc>
          <w:tcPr>
            <w:tcW w:w="850" w:type="dxa"/>
            <w:tcBorders>
              <w:bottom w:val="single" w:sz="2" w:space="0" w:color="3D7FE0" w:themeColor="accent1"/>
            </w:tcBorders>
          </w:tcPr>
          <w:p w14:paraId="387D01E1" w14:textId="56F38634" w:rsidR="006F7F82" w:rsidRPr="00CC46DB" w:rsidRDefault="006F7F82" w:rsidP="006F7F82">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w:t>
            </w:r>
          </w:p>
        </w:tc>
        <w:tc>
          <w:tcPr>
            <w:tcW w:w="853" w:type="dxa"/>
            <w:tcBorders>
              <w:bottom w:val="single" w:sz="2" w:space="0" w:color="3D7FE0" w:themeColor="accent1"/>
              <w:right w:val="single" w:sz="4" w:space="0" w:color="3D7FE0" w:themeColor="accent1"/>
            </w:tcBorders>
            <w:tcMar>
              <w:left w:w="0" w:type="dxa"/>
              <w:right w:w="0" w:type="dxa"/>
            </w:tcMar>
          </w:tcPr>
          <w:p w14:paraId="2EBDF193" w14:textId="5770605E" w:rsidR="006F7F82" w:rsidRPr="00D9524D" w:rsidRDefault="006F7F82" w:rsidP="00D9524D">
            <w:pPr>
              <w:pStyle w:val="TableFigures"/>
              <w:rPr>
                <w:rFonts w:ascii="IBM Plex Sans Light" w:hAnsi="IBM Plex Sans Light"/>
                <w:bCs/>
                <w:color w:val="auto"/>
                <w:spacing w:val="-4"/>
                <w:sz w:val="18"/>
                <w:szCs w:val="18"/>
              </w:rPr>
            </w:pPr>
            <w:r w:rsidRPr="00D9524D">
              <w:rPr>
                <w:rFonts w:ascii="IBM Plex Sans Light" w:hAnsi="IBM Plex Sans Light"/>
                <w:bCs/>
                <w:color w:val="auto"/>
                <w:spacing w:val="-4"/>
                <w:sz w:val="18"/>
                <w:szCs w:val="18"/>
              </w:rPr>
              <w:t>17.0</w:t>
            </w:r>
          </w:p>
        </w:tc>
      </w:tr>
      <w:tr w:rsidR="006F7F82" w:rsidRPr="00AA5577" w14:paraId="65E689C9" w14:textId="77777777" w:rsidTr="00D9524D">
        <w:tc>
          <w:tcPr>
            <w:tcW w:w="4678" w:type="dxa"/>
            <w:tcBorders>
              <w:top w:val="single" w:sz="2" w:space="0" w:color="3D7FE0" w:themeColor="accent1"/>
            </w:tcBorders>
            <w:tcMar>
              <w:left w:w="0" w:type="dxa"/>
              <w:right w:w="0" w:type="dxa"/>
            </w:tcMar>
            <w:vAlign w:val="bottom"/>
          </w:tcPr>
          <w:p w14:paraId="6184AEB4" w14:textId="77777777" w:rsidR="006F7F82" w:rsidRPr="00AA5577" w:rsidRDefault="006F7F82" w:rsidP="006F7F82">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Net administration expenses</w:t>
            </w:r>
          </w:p>
        </w:tc>
        <w:tc>
          <w:tcPr>
            <w:tcW w:w="284" w:type="dxa"/>
            <w:tcBorders>
              <w:top w:val="single" w:sz="2" w:space="0" w:color="3D7FE0" w:themeColor="accent1"/>
            </w:tcBorders>
            <w:vAlign w:val="bottom"/>
          </w:tcPr>
          <w:p w14:paraId="3A2F0C9A" w14:textId="77777777" w:rsidR="006F7F82" w:rsidRPr="00AA5577" w:rsidRDefault="006F7F82" w:rsidP="006F7F82">
            <w:pPr>
              <w:pStyle w:val="Tabletext"/>
              <w:rPr>
                <w:rFonts w:ascii="IBM Plex Sans Light" w:hAnsi="IBM Plex Sans Light"/>
                <w:color w:val="auto"/>
                <w:spacing w:val="-4"/>
                <w:sz w:val="18"/>
                <w:szCs w:val="18"/>
              </w:rPr>
            </w:pPr>
          </w:p>
        </w:tc>
        <w:tc>
          <w:tcPr>
            <w:tcW w:w="567" w:type="dxa"/>
            <w:tcBorders>
              <w:top w:val="single" w:sz="2" w:space="0" w:color="3D7FE0" w:themeColor="accent1"/>
            </w:tcBorders>
            <w:tcMar>
              <w:left w:w="0" w:type="dxa"/>
              <w:right w:w="0" w:type="dxa"/>
            </w:tcMar>
            <w:vAlign w:val="bottom"/>
          </w:tcPr>
          <w:p w14:paraId="3A034849" w14:textId="77777777" w:rsidR="006F7F82" w:rsidRPr="00AA5577" w:rsidRDefault="006F7F82" w:rsidP="006F7F82">
            <w:pPr>
              <w:pStyle w:val="TableFigures"/>
              <w:jc w:val="center"/>
              <w:rPr>
                <w:rStyle w:val="NotesStyle"/>
                <w:rFonts w:ascii="IBM Plex Sans Light" w:hAnsi="IBM Plex Sans Light"/>
                <w:color w:val="auto"/>
                <w:spacing w:val="-4"/>
                <w:sz w:val="16"/>
                <w:szCs w:val="16"/>
              </w:rPr>
            </w:pPr>
          </w:p>
        </w:tc>
        <w:tc>
          <w:tcPr>
            <w:tcW w:w="850" w:type="dxa"/>
            <w:tcBorders>
              <w:top w:val="single" w:sz="2" w:space="0" w:color="3D7FE0" w:themeColor="accent1"/>
            </w:tcBorders>
            <w:tcMar>
              <w:left w:w="0" w:type="dxa"/>
              <w:right w:w="0" w:type="dxa"/>
            </w:tcMar>
          </w:tcPr>
          <w:p w14:paraId="2AF8F848" w14:textId="0D2DCA12"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(47.6)</w:t>
            </w:r>
          </w:p>
        </w:tc>
        <w:tc>
          <w:tcPr>
            <w:tcW w:w="851" w:type="dxa"/>
            <w:tcBorders>
              <w:top w:val="single" w:sz="2" w:space="0" w:color="3D7FE0" w:themeColor="accent1"/>
              <w:right w:val="single" w:sz="4" w:space="0" w:color="3D7FE0" w:themeColor="accent1"/>
            </w:tcBorders>
            <w:tcMar>
              <w:left w:w="0" w:type="dxa"/>
              <w:right w:w="0" w:type="dxa"/>
            </w:tcMar>
          </w:tcPr>
          <w:p w14:paraId="2C599AE1" w14:textId="30ADD8CD"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(0.3)</w:t>
            </w:r>
          </w:p>
        </w:tc>
        <w:tc>
          <w:tcPr>
            <w:tcW w:w="992" w:type="dxa"/>
            <w:tcBorders>
              <w:top w:val="single" w:sz="2" w:space="0" w:color="3D7FE0" w:themeColor="accent1"/>
              <w:left w:val="single" w:sz="4" w:space="0" w:color="3D7FE0" w:themeColor="accent1"/>
            </w:tcBorders>
            <w:tcMar>
              <w:left w:w="0" w:type="dxa"/>
              <w:right w:w="0" w:type="dxa"/>
            </w:tcMar>
          </w:tcPr>
          <w:p w14:paraId="04977079" w14:textId="1862F629"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(47.9)</w:t>
            </w:r>
          </w:p>
        </w:tc>
        <w:tc>
          <w:tcPr>
            <w:tcW w:w="850" w:type="dxa"/>
            <w:tcBorders>
              <w:top w:val="single" w:sz="2" w:space="0" w:color="3D7FE0" w:themeColor="accent1"/>
            </w:tcBorders>
          </w:tcPr>
          <w:p w14:paraId="40C2976A" w14:textId="278A3386" w:rsidR="006F7F82" w:rsidRPr="00CC46DB" w:rsidRDefault="006F7F82"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5.1</w:t>
            </w:r>
          </w:p>
        </w:tc>
        <w:tc>
          <w:tcPr>
            <w:tcW w:w="853" w:type="dxa"/>
            <w:tcBorders>
              <w:top w:val="single" w:sz="2" w:space="0" w:color="3D7FE0" w:themeColor="accent1"/>
              <w:right w:val="single" w:sz="4" w:space="0" w:color="3D7FE0" w:themeColor="accent1"/>
            </w:tcBorders>
            <w:tcMar>
              <w:left w:w="0" w:type="dxa"/>
              <w:right w:w="0" w:type="dxa"/>
            </w:tcMar>
          </w:tcPr>
          <w:p w14:paraId="0437A5F6" w14:textId="7BE77118" w:rsidR="006F7F82" w:rsidRPr="00CC46DB" w:rsidRDefault="006F7F82" w:rsidP="006F7F82">
            <w:pPr>
              <w:pStyle w:val="TableFiguresBracket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(42.8)</w:t>
            </w:r>
          </w:p>
        </w:tc>
      </w:tr>
      <w:tr w:rsidR="00AA5577" w:rsidRPr="00AA5577" w14:paraId="3AB25CC7" w14:textId="77777777" w:rsidTr="00435CF7">
        <w:tc>
          <w:tcPr>
            <w:tcW w:w="4678" w:type="dxa"/>
            <w:tcMar>
              <w:left w:w="0" w:type="dxa"/>
              <w:right w:w="0" w:type="dxa"/>
            </w:tcMar>
            <w:vAlign w:val="bottom"/>
          </w:tcPr>
          <w:p w14:paraId="5840BF6E" w14:textId="77777777" w:rsidR="00AA5577" w:rsidRPr="00AA5577" w:rsidRDefault="00AA5577" w:rsidP="002B525C">
            <w:pPr>
              <w:pStyle w:val="TabletextBold"/>
              <w:ind w:left="142" w:hanging="142"/>
              <w:rPr>
                <w:rFonts w:ascii="IBM Plex Sans Light" w:hAnsi="IBM Plex Sans Light"/>
                <w:bCs/>
                <w:color w:val="auto"/>
                <w:sz w:val="18"/>
                <w:szCs w:val="18"/>
              </w:rPr>
            </w:pPr>
          </w:p>
        </w:tc>
        <w:tc>
          <w:tcPr>
            <w:tcW w:w="284" w:type="dxa"/>
            <w:vAlign w:val="bottom"/>
          </w:tcPr>
          <w:p w14:paraId="46FCCFE1" w14:textId="77777777" w:rsidR="00AA5577" w:rsidRPr="00AA5577" w:rsidRDefault="00AA5577" w:rsidP="002B525C">
            <w:pPr>
              <w:pStyle w:val="TabletextBold"/>
              <w:ind w:left="142" w:hanging="142"/>
              <w:rPr>
                <w:rFonts w:ascii="IBM Plex Sans Light" w:hAnsi="IBM Plex Sans Light"/>
                <w:bCs/>
                <w:color w:val="auto"/>
                <w:sz w:val="18"/>
                <w:szCs w:val="18"/>
              </w:rPr>
            </w:pPr>
          </w:p>
        </w:tc>
        <w:tc>
          <w:tcPr>
            <w:tcW w:w="567" w:type="dxa"/>
            <w:tcMar>
              <w:left w:w="0" w:type="dxa"/>
              <w:right w:w="0" w:type="dxa"/>
            </w:tcMar>
            <w:vAlign w:val="bottom"/>
          </w:tcPr>
          <w:p w14:paraId="6BBFBA4F" w14:textId="77777777" w:rsidR="00AA5577" w:rsidRPr="00AA5577" w:rsidRDefault="00AA5577" w:rsidP="002B525C">
            <w:pPr>
              <w:pStyle w:val="TableFigures"/>
              <w:jc w:val="center"/>
              <w:rPr>
                <w:rStyle w:val="NotesStyle"/>
                <w:rFonts w:ascii="IBM Plex Sans Light" w:hAnsi="IBM Plex Sans Light"/>
                <w:b/>
                <w:bCs/>
                <w:color w:val="auto"/>
                <w:spacing w:val="-4"/>
                <w:sz w:val="16"/>
                <w:szCs w:val="16"/>
              </w:rPr>
            </w:pPr>
          </w:p>
        </w:tc>
        <w:tc>
          <w:tcPr>
            <w:tcW w:w="850" w:type="dxa"/>
            <w:tcMar>
              <w:left w:w="0" w:type="dxa"/>
              <w:right w:w="0" w:type="dxa"/>
            </w:tcMar>
            <w:vAlign w:val="bottom"/>
          </w:tcPr>
          <w:p w14:paraId="355B6528" w14:textId="77777777" w:rsidR="00AA5577" w:rsidRPr="00AA5577" w:rsidRDefault="00AA5577" w:rsidP="002B525C">
            <w:pPr>
              <w:pStyle w:val="TableFigures"/>
              <w:rPr>
                <w:rFonts w:ascii="IBM Plex Sans Light" w:hAnsi="IBM Plex Sans Light" w:cs="MyriadPro-Light"/>
                <w:b/>
                <w:color w:val="auto"/>
                <w:spacing w:val="-4"/>
                <w:sz w:val="18"/>
                <w:szCs w:val="18"/>
              </w:rPr>
            </w:pPr>
          </w:p>
        </w:tc>
        <w:tc>
          <w:tcPr>
            <w:tcW w:w="851" w:type="dxa"/>
            <w:tcBorders>
              <w:right w:val="single" w:sz="4" w:space="0" w:color="3D7FE0" w:themeColor="accent1"/>
            </w:tcBorders>
            <w:tcMar>
              <w:left w:w="0" w:type="dxa"/>
              <w:right w:w="0" w:type="dxa"/>
            </w:tcMar>
            <w:vAlign w:val="bottom"/>
          </w:tcPr>
          <w:p w14:paraId="0E447E22" w14:textId="77777777" w:rsidR="00AA5577" w:rsidRPr="00AA5577" w:rsidRDefault="00AA5577" w:rsidP="002B525C">
            <w:pPr>
              <w:pStyle w:val="TableFiguresBold"/>
              <w:rPr>
                <w:rFonts w:ascii="IBM Plex Sans Light" w:hAnsi="IBM Plex Sans Light" w:cs="MyriadPro-Light"/>
                <w:b w:val="0"/>
                <w:color w:val="auto"/>
                <w:spacing w:val="-4"/>
                <w:sz w:val="18"/>
                <w:szCs w:val="18"/>
              </w:rPr>
            </w:pPr>
          </w:p>
        </w:tc>
        <w:tc>
          <w:tcPr>
            <w:tcW w:w="992" w:type="dxa"/>
            <w:tcBorders>
              <w:left w:val="single" w:sz="4" w:space="0" w:color="3D7FE0" w:themeColor="accent1"/>
            </w:tcBorders>
            <w:tcMar>
              <w:left w:w="0" w:type="dxa"/>
              <w:right w:w="0" w:type="dxa"/>
            </w:tcMar>
            <w:vAlign w:val="bottom"/>
          </w:tcPr>
          <w:p w14:paraId="74A7A694" w14:textId="77777777" w:rsidR="00AA5577" w:rsidRPr="00AA5577" w:rsidRDefault="00AA5577" w:rsidP="002B525C">
            <w:pPr>
              <w:pStyle w:val="TableFiguresBold"/>
              <w:rPr>
                <w:rFonts w:ascii="IBM Plex Sans Light" w:hAnsi="IBM Plex Sans Light" w:cs="MyriadPro-Light"/>
                <w:bCs w:val="0"/>
                <w:color w:val="auto"/>
                <w:spacing w:val="-4"/>
                <w:sz w:val="18"/>
                <w:szCs w:val="18"/>
              </w:rPr>
            </w:pPr>
          </w:p>
        </w:tc>
        <w:tc>
          <w:tcPr>
            <w:tcW w:w="850" w:type="dxa"/>
            <w:vAlign w:val="bottom"/>
          </w:tcPr>
          <w:p w14:paraId="5EAE7FDD" w14:textId="77777777" w:rsidR="00AA5577" w:rsidRPr="00CC46DB" w:rsidRDefault="00AA5577" w:rsidP="00CC46DB">
            <w:pPr>
              <w:pStyle w:val="TableFigures"/>
              <w:rPr>
                <w:rFonts w:ascii="IBM Plex Sans Light" w:hAnsi="IBM Plex Sans Light"/>
                <w:bCs/>
                <w:color w:val="auto"/>
                <w:spacing w:val="-4"/>
                <w:sz w:val="18"/>
                <w:szCs w:val="18"/>
              </w:rPr>
            </w:pPr>
          </w:p>
        </w:tc>
        <w:tc>
          <w:tcPr>
            <w:tcW w:w="853" w:type="dxa"/>
            <w:tcBorders>
              <w:right w:val="single" w:sz="4" w:space="0" w:color="3D7FE0" w:themeColor="accent1"/>
            </w:tcBorders>
            <w:tcMar>
              <w:left w:w="0" w:type="dxa"/>
              <w:right w:w="0" w:type="dxa"/>
            </w:tcMar>
            <w:vAlign w:val="bottom"/>
          </w:tcPr>
          <w:p w14:paraId="676C241D" w14:textId="77777777" w:rsidR="00AA5577" w:rsidRPr="00AA5577" w:rsidRDefault="00AA5577" w:rsidP="002B525C">
            <w:pPr>
              <w:pStyle w:val="TableFigures"/>
              <w:rPr>
                <w:rFonts w:ascii="IBM Plex Sans Light" w:hAnsi="IBM Plex Sans Light" w:cs="MyriadPro-Light"/>
                <w:b/>
                <w:color w:val="auto"/>
                <w:spacing w:val="-4"/>
                <w:sz w:val="18"/>
                <w:szCs w:val="18"/>
              </w:rPr>
            </w:pPr>
          </w:p>
        </w:tc>
      </w:tr>
      <w:tr w:rsidR="00BC6ECB" w:rsidRPr="00AA5577" w14:paraId="26DACBCD" w14:textId="77777777" w:rsidTr="00435CF7">
        <w:tc>
          <w:tcPr>
            <w:tcW w:w="4678" w:type="dxa"/>
            <w:tcMar>
              <w:left w:w="0" w:type="dxa"/>
              <w:right w:w="0" w:type="dxa"/>
            </w:tcMar>
            <w:vAlign w:val="bottom"/>
          </w:tcPr>
          <w:p w14:paraId="679E1BE0" w14:textId="77777777" w:rsidR="00BC6ECB" w:rsidRPr="00AA5577" w:rsidRDefault="00BC6ECB" w:rsidP="00BC6ECB">
            <w:pPr>
              <w:pStyle w:val="TabletextBold"/>
              <w:ind w:left="142" w:hanging="142"/>
              <w:rPr>
                <w:rFonts w:ascii="IBM Plex Sans Light" w:hAnsi="IBM Plex Sans Light"/>
                <w:bCs/>
                <w:color w:val="auto"/>
                <w:sz w:val="18"/>
                <w:szCs w:val="18"/>
              </w:rPr>
            </w:pPr>
            <w:r w:rsidRPr="00AA5577">
              <w:rPr>
                <w:rFonts w:ascii="IBM Plex Sans Light" w:hAnsi="IBM Plex Sans Light"/>
                <w:bCs/>
                <w:color w:val="auto"/>
                <w:sz w:val="18"/>
                <w:szCs w:val="18"/>
              </w:rPr>
              <w:t>Profit from operating activities</w:t>
            </w:r>
          </w:p>
        </w:tc>
        <w:tc>
          <w:tcPr>
            <w:tcW w:w="284" w:type="dxa"/>
            <w:vAlign w:val="bottom"/>
          </w:tcPr>
          <w:p w14:paraId="37A05B8F" w14:textId="77777777" w:rsidR="00BC6ECB" w:rsidRPr="00AA5577" w:rsidRDefault="00BC6ECB" w:rsidP="00BC6ECB">
            <w:pPr>
              <w:pStyle w:val="TabletextBold"/>
              <w:ind w:left="142" w:hanging="142"/>
              <w:rPr>
                <w:rFonts w:ascii="IBM Plex Sans Light" w:hAnsi="IBM Plex Sans Light"/>
                <w:bCs/>
                <w:color w:val="auto"/>
                <w:sz w:val="18"/>
                <w:szCs w:val="18"/>
              </w:rPr>
            </w:pPr>
          </w:p>
        </w:tc>
        <w:tc>
          <w:tcPr>
            <w:tcW w:w="567" w:type="dxa"/>
            <w:tcMar>
              <w:left w:w="0" w:type="dxa"/>
              <w:right w:w="0" w:type="dxa"/>
            </w:tcMar>
            <w:vAlign w:val="bottom"/>
          </w:tcPr>
          <w:p w14:paraId="1DE5481B" w14:textId="77777777" w:rsidR="00BC6ECB" w:rsidRPr="00AA5577" w:rsidRDefault="00BC6ECB" w:rsidP="00BC6ECB">
            <w:pPr>
              <w:pStyle w:val="TableFigures"/>
              <w:jc w:val="center"/>
              <w:rPr>
                <w:rStyle w:val="NotesStyle"/>
                <w:rFonts w:ascii="IBM Plex Sans Light" w:hAnsi="IBM Plex Sans Light"/>
                <w:b/>
                <w:bCs/>
                <w:color w:val="auto"/>
                <w:spacing w:val="-4"/>
                <w:sz w:val="16"/>
                <w:szCs w:val="16"/>
              </w:rPr>
            </w:pPr>
          </w:p>
        </w:tc>
        <w:tc>
          <w:tcPr>
            <w:tcW w:w="850" w:type="dxa"/>
            <w:tcMar>
              <w:left w:w="0" w:type="dxa"/>
              <w:right w:w="0" w:type="dxa"/>
            </w:tcMar>
          </w:tcPr>
          <w:p w14:paraId="000BEE68" w14:textId="3F2BDCDF" w:rsidR="00BC6ECB" w:rsidRPr="00CC46DB" w:rsidRDefault="00BC6ECB" w:rsidP="00BC6EC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29.7</w:t>
            </w:r>
          </w:p>
        </w:tc>
        <w:tc>
          <w:tcPr>
            <w:tcW w:w="851" w:type="dxa"/>
            <w:tcBorders>
              <w:right w:val="single" w:sz="4" w:space="0" w:color="3D7FE0" w:themeColor="accent1"/>
            </w:tcBorders>
            <w:tcMar>
              <w:left w:w="0" w:type="dxa"/>
              <w:right w:w="0" w:type="dxa"/>
            </w:tcMar>
          </w:tcPr>
          <w:p w14:paraId="64C5C0E7" w14:textId="10C5308E" w:rsidR="00BC6ECB" w:rsidRPr="00CC46DB" w:rsidRDefault="00BC6ECB" w:rsidP="00BC6ECB">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99.6</w:t>
            </w:r>
          </w:p>
        </w:tc>
        <w:tc>
          <w:tcPr>
            <w:tcW w:w="992" w:type="dxa"/>
            <w:tcBorders>
              <w:left w:val="single" w:sz="4" w:space="0" w:color="3D7FE0" w:themeColor="accent1"/>
            </w:tcBorders>
            <w:tcMar>
              <w:left w:w="0" w:type="dxa"/>
              <w:right w:w="0" w:type="dxa"/>
            </w:tcMar>
          </w:tcPr>
          <w:p w14:paraId="118655CF" w14:textId="77E46D62" w:rsidR="00BC6ECB" w:rsidRPr="00CC46DB" w:rsidRDefault="00BC6ECB" w:rsidP="00BC6ECB">
            <w:pPr>
              <w:pStyle w:val="TableFiguresBold"/>
              <w:rPr>
                <w:rFonts w:ascii="IBM Plex Sans Light" w:hAnsi="IBM Plex Sans Light"/>
                <w:b w:val="0"/>
                <w:color w:val="auto"/>
                <w:spacing w:val="-4"/>
                <w:sz w:val="18"/>
                <w:szCs w:val="18"/>
              </w:rPr>
            </w:pPr>
            <w:r w:rsidRPr="00CC46DB">
              <w:rPr>
                <w:rFonts w:ascii="IBM Plex Sans Light" w:hAnsi="IBM Plex Sans Light"/>
                <w:b w:val="0"/>
                <w:color w:val="auto"/>
                <w:spacing w:val="-4"/>
                <w:sz w:val="18"/>
                <w:szCs w:val="18"/>
              </w:rPr>
              <w:t>129.3</w:t>
            </w:r>
          </w:p>
        </w:tc>
        <w:tc>
          <w:tcPr>
            <w:tcW w:w="850" w:type="dxa"/>
          </w:tcPr>
          <w:p w14:paraId="699698EC" w14:textId="1145327A" w:rsidR="00BC6ECB" w:rsidRPr="00CC46DB" w:rsidRDefault="00BC6ECB"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2.7</w:t>
            </w:r>
          </w:p>
        </w:tc>
        <w:tc>
          <w:tcPr>
            <w:tcW w:w="853" w:type="dxa"/>
            <w:tcBorders>
              <w:right w:val="single" w:sz="4" w:space="0" w:color="3D7FE0" w:themeColor="accent1"/>
            </w:tcBorders>
            <w:tcMar>
              <w:left w:w="0" w:type="dxa"/>
              <w:right w:w="0" w:type="dxa"/>
            </w:tcMar>
          </w:tcPr>
          <w:p w14:paraId="517594D0" w14:textId="26AE3F20" w:rsidR="00BC6ECB" w:rsidRPr="00D9524D" w:rsidRDefault="00BC6ECB" w:rsidP="00BC6ECB">
            <w:pPr>
              <w:pStyle w:val="TableFigures"/>
              <w:rPr>
                <w:rFonts w:ascii="IBM Plex Sans Light" w:hAnsi="IBM Plex Sans Light"/>
                <w:bCs/>
                <w:color w:val="auto"/>
                <w:spacing w:val="-4"/>
                <w:sz w:val="18"/>
                <w:szCs w:val="18"/>
              </w:rPr>
            </w:pPr>
            <w:r w:rsidRPr="00D9524D">
              <w:rPr>
                <w:rFonts w:ascii="IBM Plex Sans Light" w:hAnsi="IBM Plex Sans Light"/>
                <w:bCs/>
                <w:color w:val="auto"/>
                <w:spacing w:val="-4"/>
                <w:sz w:val="18"/>
                <w:szCs w:val="18"/>
              </w:rPr>
              <w:t>132.0</w:t>
            </w:r>
          </w:p>
        </w:tc>
      </w:tr>
      <w:tr w:rsidR="00AA5577" w:rsidRPr="00AA5577" w14:paraId="2DAE632F" w14:textId="77777777" w:rsidTr="00435CF7">
        <w:trPr>
          <w:trHeight w:val="70"/>
        </w:trPr>
        <w:tc>
          <w:tcPr>
            <w:tcW w:w="4678" w:type="dxa"/>
            <w:tcMar>
              <w:left w:w="0" w:type="dxa"/>
              <w:right w:w="0" w:type="dxa"/>
            </w:tcMar>
            <w:vAlign w:val="bottom"/>
          </w:tcPr>
          <w:p w14:paraId="32C941F4" w14:textId="77777777" w:rsidR="00AA5577" w:rsidRPr="00AA5577" w:rsidRDefault="00AA5577" w:rsidP="002B525C">
            <w:pPr>
              <w:pStyle w:val="Tabletext"/>
              <w:rPr>
                <w:rFonts w:ascii="IBM Plex Sans Light" w:hAnsi="IBM Plex Sans Light"/>
                <w:color w:val="auto"/>
                <w:spacing w:val="-4"/>
                <w:sz w:val="18"/>
                <w:szCs w:val="18"/>
              </w:rPr>
            </w:pPr>
          </w:p>
        </w:tc>
        <w:tc>
          <w:tcPr>
            <w:tcW w:w="284" w:type="dxa"/>
            <w:vAlign w:val="bottom"/>
          </w:tcPr>
          <w:p w14:paraId="6DF3F63E" w14:textId="77777777" w:rsidR="00AA5577" w:rsidRPr="00AA5577" w:rsidRDefault="00AA5577" w:rsidP="002B525C">
            <w:pPr>
              <w:pStyle w:val="Tabletext"/>
              <w:rPr>
                <w:rFonts w:ascii="IBM Plex Sans Light" w:hAnsi="IBM Plex Sans Light"/>
                <w:color w:val="auto"/>
                <w:spacing w:val="-4"/>
                <w:sz w:val="18"/>
                <w:szCs w:val="18"/>
              </w:rPr>
            </w:pPr>
          </w:p>
        </w:tc>
        <w:tc>
          <w:tcPr>
            <w:tcW w:w="567" w:type="dxa"/>
            <w:tcMar>
              <w:left w:w="0" w:type="dxa"/>
              <w:right w:w="0" w:type="dxa"/>
            </w:tcMar>
            <w:vAlign w:val="bottom"/>
          </w:tcPr>
          <w:p w14:paraId="433AA91A" w14:textId="77777777" w:rsidR="00AA5577" w:rsidRPr="00AA5577" w:rsidRDefault="00AA5577" w:rsidP="002B525C">
            <w:pPr>
              <w:pStyle w:val="TableFigures"/>
              <w:jc w:val="center"/>
              <w:rPr>
                <w:rStyle w:val="NotesStyle"/>
                <w:rFonts w:ascii="IBM Plex Sans Light" w:hAnsi="IBM Plex Sans Light"/>
                <w:color w:val="auto"/>
                <w:spacing w:val="-4"/>
                <w:sz w:val="16"/>
                <w:szCs w:val="16"/>
              </w:rPr>
            </w:pPr>
          </w:p>
        </w:tc>
        <w:tc>
          <w:tcPr>
            <w:tcW w:w="850" w:type="dxa"/>
            <w:tcMar>
              <w:left w:w="0" w:type="dxa"/>
              <w:right w:w="0" w:type="dxa"/>
            </w:tcMar>
            <w:vAlign w:val="bottom"/>
          </w:tcPr>
          <w:p w14:paraId="3C761899" w14:textId="77777777" w:rsidR="00AA5577" w:rsidRPr="00AA5577" w:rsidRDefault="00AA5577" w:rsidP="002B525C">
            <w:pPr>
              <w:pStyle w:val="TableFiguresBracketsBold"/>
              <w:rPr>
                <w:rFonts w:ascii="IBM Plex Sans Light" w:hAnsi="IBM Plex Sans Light" w:cs="MyriadPro-Light"/>
                <w:b w:val="0"/>
                <w:color w:val="auto"/>
                <w:spacing w:val="-4"/>
                <w:sz w:val="18"/>
                <w:szCs w:val="18"/>
              </w:rPr>
            </w:pPr>
          </w:p>
        </w:tc>
        <w:tc>
          <w:tcPr>
            <w:tcW w:w="851" w:type="dxa"/>
            <w:tcBorders>
              <w:right w:val="single" w:sz="4" w:space="0" w:color="3D7FE0" w:themeColor="accent1"/>
            </w:tcBorders>
            <w:tcMar>
              <w:left w:w="0" w:type="dxa"/>
              <w:right w:w="0" w:type="dxa"/>
            </w:tcMar>
            <w:vAlign w:val="bottom"/>
          </w:tcPr>
          <w:p w14:paraId="199A6A5E" w14:textId="77777777" w:rsidR="00AA5577" w:rsidRPr="00AA5577" w:rsidRDefault="00AA5577" w:rsidP="002B525C">
            <w:pPr>
              <w:pStyle w:val="TableFiguresBracketsBold"/>
              <w:rPr>
                <w:rFonts w:ascii="IBM Plex Sans Light" w:hAnsi="IBM Plex Sans Light" w:cs="MyriadPro-Light"/>
                <w:b w:val="0"/>
                <w:color w:val="auto"/>
                <w:spacing w:val="-4"/>
                <w:sz w:val="18"/>
                <w:szCs w:val="18"/>
              </w:rPr>
            </w:pPr>
          </w:p>
        </w:tc>
        <w:tc>
          <w:tcPr>
            <w:tcW w:w="992" w:type="dxa"/>
            <w:tcBorders>
              <w:left w:val="single" w:sz="4" w:space="0" w:color="3D7FE0" w:themeColor="accent1"/>
            </w:tcBorders>
            <w:tcMar>
              <w:left w:w="0" w:type="dxa"/>
              <w:right w:w="0" w:type="dxa"/>
            </w:tcMar>
            <w:vAlign w:val="bottom"/>
          </w:tcPr>
          <w:p w14:paraId="53EF683F" w14:textId="77777777" w:rsidR="00AA5577" w:rsidRPr="00AA5577" w:rsidRDefault="00AA5577" w:rsidP="002B525C">
            <w:pPr>
              <w:pStyle w:val="TableFiguresBracketsBold"/>
              <w:rPr>
                <w:rFonts w:ascii="IBM Plex Sans Light" w:hAnsi="IBM Plex Sans Light" w:cs="MyriadPro-Light"/>
                <w:b w:val="0"/>
                <w:color w:val="auto"/>
                <w:spacing w:val="-4"/>
                <w:sz w:val="18"/>
                <w:szCs w:val="18"/>
              </w:rPr>
            </w:pPr>
          </w:p>
        </w:tc>
        <w:tc>
          <w:tcPr>
            <w:tcW w:w="850" w:type="dxa"/>
            <w:vAlign w:val="bottom"/>
          </w:tcPr>
          <w:p w14:paraId="227F1966" w14:textId="77777777" w:rsidR="00AA5577" w:rsidRPr="00AA5577" w:rsidRDefault="00AA5577" w:rsidP="002B525C">
            <w:pPr>
              <w:pStyle w:val="TableFigures"/>
              <w:rPr>
                <w:rFonts w:ascii="IBM Plex Sans Light" w:hAnsi="IBM Plex Sans Light"/>
                <w:bCs/>
                <w:color w:val="auto"/>
                <w:spacing w:val="-4"/>
                <w:sz w:val="18"/>
                <w:szCs w:val="18"/>
              </w:rPr>
            </w:pPr>
          </w:p>
        </w:tc>
        <w:tc>
          <w:tcPr>
            <w:tcW w:w="853" w:type="dxa"/>
            <w:tcBorders>
              <w:right w:val="single" w:sz="4" w:space="0" w:color="3D7FE0" w:themeColor="accent1"/>
            </w:tcBorders>
            <w:tcMar>
              <w:left w:w="0" w:type="dxa"/>
              <w:right w:w="0" w:type="dxa"/>
            </w:tcMar>
            <w:vAlign w:val="bottom"/>
          </w:tcPr>
          <w:p w14:paraId="00FE0FBC" w14:textId="77777777" w:rsidR="00AA5577" w:rsidRPr="00AA5577" w:rsidRDefault="00AA5577" w:rsidP="002B525C">
            <w:pPr>
              <w:pStyle w:val="TableFigures"/>
              <w:rPr>
                <w:rFonts w:ascii="IBM Plex Sans Light" w:hAnsi="IBM Plex Sans Light"/>
                <w:bCs/>
                <w:color w:val="auto"/>
                <w:spacing w:val="-4"/>
                <w:sz w:val="18"/>
                <w:szCs w:val="18"/>
              </w:rPr>
            </w:pPr>
          </w:p>
        </w:tc>
      </w:tr>
      <w:tr w:rsidR="005258C8" w:rsidRPr="00AA5577" w14:paraId="49858C9F" w14:textId="77777777" w:rsidTr="00435CF7">
        <w:trPr>
          <w:trHeight w:val="70"/>
        </w:trPr>
        <w:tc>
          <w:tcPr>
            <w:tcW w:w="4678" w:type="dxa"/>
            <w:tcMar>
              <w:left w:w="0" w:type="dxa"/>
              <w:right w:w="0" w:type="dxa"/>
            </w:tcMar>
            <w:vAlign w:val="bottom"/>
          </w:tcPr>
          <w:p w14:paraId="161FCB49" w14:textId="77777777" w:rsidR="005258C8" w:rsidRPr="00AA5577" w:rsidRDefault="005258C8" w:rsidP="005258C8">
            <w:pPr>
              <w:pStyle w:val="TabletextBold"/>
              <w:rPr>
                <w:rFonts w:ascii="IBM Plex Sans Light" w:hAnsi="IBM Plex Sans Light"/>
                <w:color w:val="auto"/>
                <w:sz w:val="18"/>
                <w:szCs w:val="18"/>
              </w:rPr>
            </w:pPr>
            <w:r w:rsidRPr="00AA5577">
              <w:rPr>
                <w:rFonts w:ascii="IBM Plex Sans Light" w:hAnsi="IBM Plex Sans Light"/>
                <w:bCs/>
                <w:color w:val="auto"/>
                <w:sz w:val="18"/>
                <w:szCs w:val="18"/>
              </w:rPr>
              <w:t>Revaluation losses on properties</w:t>
            </w:r>
          </w:p>
        </w:tc>
        <w:tc>
          <w:tcPr>
            <w:tcW w:w="284" w:type="dxa"/>
            <w:vAlign w:val="bottom"/>
          </w:tcPr>
          <w:p w14:paraId="5CC659E4" w14:textId="77777777" w:rsidR="005258C8" w:rsidRPr="00AA5577" w:rsidRDefault="005258C8" w:rsidP="005258C8">
            <w:pPr>
              <w:pStyle w:val="TabletextBold"/>
              <w:rPr>
                <w:rFonts w:ascii="IBM Plex Sans Light" w:hAnsi="IBM Plex Sans Light"/>
                <w:color w:val="auto"/>
                <w:sz w:val="18"/>
                <w:szCs w:val="18"/>
              </w:rPr>
            </w:pPr>
          </w:p>
        </w:tc>
        <w:tc>
          <w:tcPr>
            <w:tcW w:w="567" w:type="dxa"/>
            <w:tcMar>
              <w:left w:w="0" w:type="dxa"/>
              <w:right w:w="0" w:type="dxa"/>
            </w:tcMar>
            <w:vAlign w:val="bottom"/>
          </w:tcPr>
          <w:p w14:paraId="40736206" w14:textId="77777777" w:rsidR="005258C8" w:rsidRPr="00AA5577" w:rsidRDefault="005258C8" w:rsidP="005258C8">
            <w:pPr>
              <w:pStyle w:val="TableFigures"/>
              <w:jc w:val="center"/>
              <w:rPr>
                <w:rStyle w:val="NotesStyle"/>
                <w:rFonts w:ascii="IBM Plex Sans Light" w:hAnsi="IBM Plex Sans Light"/>
                <w:b/>
                <w:color w:val="auto"/>
                <w:spacing w:val="-4"/>
                <w:sz w:val="16"/>
                <w:szCs w:val="16"/>
              </w:rPr>
            </w:pPr>
          </w:p>
        </w:tc>
        <w:tc>
          <w:tcPr>
            <w:tcW w:w="850" w:type="dxa"/>
            <w:tcMar>
              <w:left w:w="0" w:type="dxa"/>
              <w:right w:w="0" w:type="dxa"/>
            </w:tcMar>
          </w:tcPr>
          <w:p w14:paraId="2584486A" w14:textId="1D0CDD85" w:rsidR="005258C8" w:rsidRPr="0047498C" w:rsidRDefault="005258C8" w:rsidP="005258C8">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(82.7)</w:t>
            </w:r>
          </w:p>
        </w:tc>
        <w:tc>
          <w:tcPr>
            <w:tcW w:w="851" w:type="dxa"/>
            <w:tcBorders>
              <w:right w:val="single" w:sz="4" w:space="0" w:color="3D7FE0" w:themeColor="accent1"/>
            </w:tcBorders>
            <w:tcMar>
              <w:left w:w="0" w:type="dxa"/>
              <w:right w:w="0" w:type="dxa"/>
            </w:tcMar>
          </w:tcPr>
          <w:p w14:paraId="5EDAC1E1" w14:textId="119AF7D5" w:rsidR="005258C8" w:rsidRPr="0047498C" w:rsidRDefault="005258C8" w:rsidP="005258C8">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(138.3)</w:t>
            </w:r>
          </w:p>
        </w:tc>
        <w:tc>
          <w:tcPr>
            <w:tcW w:w="992" w:type="dxa"/>
            <w:tcBorders>
              <w:left w:val="single" w:sz="4" w:space="0" w:color="3D7FE0" w:themeColor="accent1"/>
            </w:tcBorders>
            <w:tcMar>
              <w:left w:w="0" w:type="dxa"/>
              <w:right w:w="0" w:type="dxa"/>
            </w:tcMar>
          </w:tcPr>
          <w:p w14:paraId="094CB77F" w14:textId="012268EB" w:rsidR="005258C8" w:rsidRPr="0047498C" w:rsidRDefault="005258C8" w:rsidP="005258C8">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(221.0)</w:t>
            </w:r>
          </w:p>
        </w:tc>
        <w:tc>
          <w:tcPr>
            <w:tcW w:w="850" w:type="dxa"/>
          </w:tcPr>
          <w:p w14:paraId="5F28460C" w14:textId="201FBE3D" w:rsidR="005258C8" w:rsidRPr="00CC46DB" w:rsidRDefault="005258C8" w:rsidP="00CC46DB">
            <w:pPr>
              <w:pStyle w:val="TableFigures"/>
              <w:rPr>
                <w:rFonts w:ascii="IBM Plex Sans Light" w:hAnsi="IBM Plex Sans Light"/>
                <w:bCs/>
                <w:color w:val="auto"/>
                <w:spacing w:val="-4"/>
                <w:sz w:val="18"/>
                <w:szCs w:val="18"/>
              </w:rPr>
            </w:pPr>
            <w:r w:rsidRPr="00CC46DB">
              <w:rPr>
                <w:rFonts w:ascii="IBM Plex Sans Light" w:hAnsi="IBM Plex Sans Light"/>
                <w:bCs/>
                <w:color w:val="auto"/>
                <w:spacing w:val="-4"/>
                <w:sz w:val="18"/>
                <w:szCs w:val="18"/>
              </w:rPr>
              <w:t>221.0</w:t>
            </w:r>
          </w:p>
        </w:tc>
        <w:tc>
          <w:tcPr>
            <w:tcW w:w="853" w:type="dxa"/>
            <w:tcBorders>
              <w:right w:val="single" w:sz="4" w:space="0" w:color="3D7FE0" w:themeColor="accent1"/>
            </w:tcBorders>
            <w:tcMar>
              <w:left w:w="0" w:type="dxa"/>
              <w:right w:w="0" w:type="dxa"/>
            </w:tcMar>
          </w:tcPr>
          <w:p w14:paraId="27141C11" w14:textId="6F992399" w:rsidR="005258C8" w:rsidRPr="00024B10" w:rsidRDefault="00C323D2" w:rsidP="005258C8">
            <w:pPr>
              <w:pStyle w:val="TableFigures"/>
              <w:rPr>
                <w:rFonts w:ascii="IBM Plex Sans Light" w:hAnsi="IBM Plex Sans Light"/>
                <w:color w:val="auto"/>
                <w:spacing w:val="-4"/>
                <w:sz w:val="18"/>
                <w:szCs w:val="18"/>
              </w:rPr>
            </w:pPr>
            <w:r w:rsidRPr="00CC46DB">
              <w:rPr>
                <w:rFonts w:ascii="IBM Plex Sans Light" w:hAnsi="IBM Plex Sans Light"/>
                <w:bCs/>
                <w:color w:val="auto"/>
                <w:spacing w:val="-4"/>
                <w:sz w:val="18"/>
                <w:szCs w:val="18"/>
              </w:rPr>
              <w:t>–</w:t>
            </w:r>
          </w:p>
        </w:tc>
      </w:tr>
      <w:tr w:rsidR="00AA5577" w:rsidRPr="00AA5577" w14:paraId="68A9E84A" w14:textId="77777777" w:rsidTr="00435CF7">
        <w:trPr>
          <w:trHeight w:val="70"/>
        </w:trPr>
        <w:tc>
          <w:tcPr>
            <w:tcW w:w="4678" w:type="dxa"/>
            <w:tcMar>
              <w:left w:w="0" w:type="dxa"/>
              <w:right w:w="0" w:type="dxa"/>
            </w:tcMar>
            <w:vAlign w:val="bottom"/>
          </w:tcPr>
          <w:p w14:paraId="23707E70" w14:textId="77777777" w:rsidR="00AA5577" w:rsidRPr="00AA5577" w:rsidRDefault="00AA5577" w:rsidP="002B525C">
            <w:pPr>
              <w:pStyle w:val="Tabletext"/>
              <w:rPr>
                <w:rFonts w:ascii="IBM Plex Sans Light" w:hAnsi="IBM Plex Sans Light"/>
                <w:color w:val="auto"/>
                <w:spacing w:val="-4"/>
                <w:sz w:val="18"/>
                <w:szCs w:val="18"/>
              </w:rPr>
            </w:pPr>
          </w:p>
        </w:tc>
        <w:tc>
          <w:tcPr>
            <w:tcW w:w="284" w:type="dxa"/>
            <w:vAlign w:val="bottom"/>
          </w:tcPr>
          <w:p w14:paraId="2DAF5DE3" w14:textId="77777777" w:rsidR="00AA5577" w:rsidRPr="00AA5577" w:rsidRDefault="00AA5577" w:rsidP="002B525C">
            <w:pPr>
              <w:pStyle w:val="Tabletext"/>
              <w:rPr>
                <w:rFonts w:ascii="IBM Plex Sans Light" w:hAnsi="IBM Plex Sans Light"/>
                <w:color w:val="auto"/>
                <w:spacing w:val="-4"/>
                <w:sz w:val="18"/>
                <w:szCs w:val="18"/>
              </w:rPr>
            </w:pPr>
          </w:p>
        </w:tc>
        <w:tc>
          <w:tcPr>
            <w:tcW w:w="567" w:type="dxa"/>
            <w:tcMar>
              <w:left w:w="0" w:type="dxa"/>
              <w:right w:w="0" w:type="dxa"/>
            </w:tcMar>
            <w:vAlign w:val="bottom"/>
          </w:tcPr>
          <w:p w14:paraId="3BB1A714" w14:textId="77777777" w:rsidR="00AA5577" w:rsidRPr="00AA5577" w:rsidRDefault="00AA5577" w:rsidP="002B525C">
            <w:pPr>
              <w:spacing w:after="0" w:line="240" w:lineRule="auto"/>
              <w:jc w:val="center"/>
              <w:rPr>
                <w:rFonts w:ascii="IBM Plex Sans Light" w:hAnsi="IBM Plex Sans Light" w:cs="Arial"/>
                <w:sz w:val="16"/>
                <w:szCs w:val="16"/>
              </w:rPr>
            </w:pPr>
          </w:p>
        </w:tc>
        <w:tc>
          <w:tcPr>
            <w:tcW w:w="850" w:type="dxa"/>
            <w:tcMar>
              <w:left w:w="0" w:type="dxa"/>
              <w:right w:w="0" w:type="dxa"/>
            </w:tcMar>
            <w:vAlign w:val="bottom"/>
          </w:tcPr>
          <w:p w14:paraId="29638D66" w14:textId="77777777" w:rsidR="00AA5577" w:rsidRPr="00AA5577" w:rsidRDefault="00AA5577" w:rsidP="002B525C">
            <w:pPr>
              <w:pStyle w:val="TableFiguresBracketsBold"/>
              <w:rPr>
                <w:rFonts w:ascii="IBM Plex Sans Light" w:hAnsi="IBM Plex Sans Light"/>
                <w:b w:val="0"/>
                <w:color w:val="auto"/>
                <w:spacing w:val="-4"/>
                <w:sz w:val="18"/>
                <w:szCs w:val="18"/>
              </w:rPr>
            </w:pPr>
          </w:p>
        </w:tc>
        <w:tc>
          <w:tcPr>
            <w:tcW w:w="851" w:type="dxa"/>
            <w:tcBorders>
              <w:right w:val="single" w:sz="4" w:space="0" w:color="3D7FE0" w:themeColor="accent1"/>
            </w:tcBorders>
            <w:tcMar>
              <w:left w:w="0" w:type="dxa"/>
              <w:right w:w="0" w:type="dxa"/>
            </w:tcMar>
            <w:vAlign w:val="bottom"/>
          </w:tcPr>
          <w:p w14:paraId="6B344171" w14:textId="77777777" w:rsidR="00AA5577" w:rsidRPr="00AA5577" w:rsidRDefault="00AA5577" w:rsidP="002B525C">
            <w:pPr>
              <w:pStyle w:val="TableFiguresBracketsBold"/>
              <w:rPr>
                <w:rFonts w:ascii="IBM Plex Sans Light" w:hAnsi="IBM Plex Sans Light"/>
                <w:b w:val="0"/>
                <w:color w:val="auto"/>
                <w:spacing w:val="-4"/>
                <w:sz w:val="18"/>
                <w:szCs w:val="18"/>
              </w:rPr>
            </w:pPr>
          </w:p>
        </w:tc>
        <w:tc>
          <w:tcPr>
            <w:tcW w:w="992" w:type="dxa"/>
            <w:tcBorders>
              <w:left w:val="single" w:sz="4" w:space="0" w:color="3D7FE0" w:themeColor="accent1"/>
            </w:tcBorders>
            <w:tcMar>
              <w:left w:w="0" w:type="dxa"/>
              <w:right w:w="0" w:type="dxa"/>
            </w:tcMar>
            <w:vAlign w:val="bottom"/>
          </w:tcPr>
          <w:p w14:paraId="4EBF7F84" w14:textId="77777777" w:rsidR="00AA5577" w:rsidRPr="00AA5577" w:rsidRDefault="00AA5577" w:rsidP="002B525C">
            <w:pPr>
              <w:pStyle w:val="TableFiguresBracketsBold"/>
              <w:rPr>
                <w:rFonts w:ascii="IBM Plex Sans Light" w:hAnsi="IBM Plex Sans Light"/>
                <w:b w:val="0"/>
                <w:color w:val="auto"/>
                <w:spacing w:val="-4"/>
                <w:sz w:val="18"/>
                <w:szCs w:val="18"/>
              </w:rPr>
            </w:pPr>
          </w:p>
        </w:tc>
        <w:tc>
          <w:tcPr>
            <w:tcW w:w="850" w:type="dxa"/>
            <w:vAlign w:val="bottom"/>
          </w:tcPr>
          <w:p w14:paraId="238BC159" w14:textId="77777777" w:rsidR="00AA5577" w:rsidRPr="00AA5577" w:rsidRDefault="00AA5577" w:rsidP="002B525C">
            <w:pPr>
              <w:pStyle w:val="TableFigures"/>
              <w:rPr>
                <w:rFonts w:ascii="IBM Plex Sans Light" w:hAnsi="IBM Plex Sans Light"/>
                <w:bCs/>
                <w:color w:val="auto"/>
                <w:spacing w:val="-4"/>
                <w:sz w:val="18"/>
                <w:szCs w:val="18"/>
              </w:rPr>
            </w:pPr>
          </w:p>
        </w:tc>
        <w:tc>
          <w:tcPr>
            <w:tcW w:w="853" w:type="dxa"/>
            <w:tcBorders>
              <w:right w:val="single" w:sz="4" w:space="0" w:color="3D7FE0" w:themeColor="accent1"/>
            </w:tcBorders>
            <w:tcMar>
              <w:left w:w="0" w:type="dxa"/>
              <w:right w:w="0" w:type="dxa"/>
            </w:tcMar>
            <w:vAlign w:val="bottom"/>
          </w:tcPr>
          <w:p w14:paraId="4385375E" w14:textId="77777777" w:rsidR="00AA5577" w:rsidRPr="005B0D3D" w:rsidRDefault="00AA5577" w:rsidP="002B525C">
            <w:pPr>
              <w:pStyle w:val="TableFigures"/>
              <w:rPr>
                <w:rFonts w:ascii="IBM Plex Sans Light" w:hAnsi="IBM Plex Sans Light"/>
                <w:color w:val="auto"/>
                <w:spacing w:val="-4"/>
                <w:sz w:val="18"/>
                <w:szCs w:val="18"/>
              </w:rPr>
            </w:pPr>
          </w:p>
        </w:tc>
      </w:tr>
      <w:tr w:rsidR="00AA5577" w:rsidRPr="00AA5577" w14:paraId="4D528918" w14:textId="77777777" w:rsidTr="00435CF7">
        <w:trPr>
          <w:trHeight w:val="70"/>
        </w:trPr>
        <w:tc>
          <w:tcPr>
            <w:tcW w:w="4678" w:type="dxa"/>
            <w:tcMar>
              <w:left w:w="0" w:type="dxa"/>
              <w:right w:w="0" w:type="dxa"/>
            </w:tcMar>
            <w:vAlign w:val="bottom"/>
          </w:tcPr>
          <w:p w14:paraId="5941423D" w14:textId="77777777" w:rsidR="00AA5577" w:rsidRPr="00AA5577" w:rsidRDefault="00AA5577" w:rsidP="002B525C">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Disposals and assets held for sale</w:t>
            </w:r>
          </w:p>
        </w:tc>
        <w:tc>
          <w:tcPr>
            <w:tcW w:w="284" w:type="dxa"/>
            <w:vAlign w:val="bottom"/>
          </w:tcPr>
          <w:p w14:paraId="3796F275" w14:textId="77777777" w:rsidR="00AA5577" w:rsidRPr="00AA5577" w:rsidRDefault="00AA5577" w:rsidP="002B525C">
            <w:pPr>
              <w:pStyle w:val="Tabletext"/>
              <w:rPr>
                <w:rFonts w:ascii="IBM Plex Sans Light" w:hAnsi="IBM Plex Sans Light"/>
                <w:color w:val="auto"/>
                <w:spacing w:val="-4"/>
                <w:sz w:val="18"/>
                <w:szCs w:val="18"/>
              </w:rPr>
            </w:pPr>
          </w:p>
        </w:tc>
        <w:tc>
          <w:tcPr>
            <w:tcW w:w="567" w:type="dxa"/>
            <w:tcMar>
              <w:left w:w="0" w:type="dxa"/>
              <w:right w:w="0" w:type="dxa"/>
            </w:tcMar>
            <w:vAlign w:val="bottom"/>
          </w:tcPr>
          <w:p w14:paraId="34E0333E" w14:textId="77777777" w:rsidR="00AA5577" w:rsidRPr="00AA5577" w:rsidRDefault="00AA5577" w:rsidP="002B525C">
            <w:pPr>
              <w:spacing w:after="0" w:line="240" w:lineRule="auto"/>
              <w:jc w:val="center"/>
              <w:rPr>
                <w:rFonts w:ascii="IBM Plex Sans Light" w:hAnsi="IBM Plex Sans Light" w:cs="Arial"/>
                <w:sz w:val="16"/>
                <w:szCs w:val="16"/>
              </w:rPr>
            </w:pPr>
          </w:p>
        </w:tc>
        <w:tc>
          <w:tcPr>
            <w:tcW w:w="850" w:type="dxa"/>
            <w:tcMar>
              <w:left w:w="0" w:type="dxa"/>
              <w:right w:w="0" w:type="dxa"/>
            </w:tcMar>
            <w:vAlign w:val="bottom"/>
          </w:tcPr>
          <w:p w14:paraId="181AA8F8" w14:textId="77777777" w:rsidR="00AA5577" w:rsidRPr="00AA5577" w:rsidRDefault="00AA5577" w:rsidP="002B525C">
            <w:pPr>
              <w:pStyle w:val="TableFiguresBracketsBold"/>
              <w:rPr>
                <w:rFonts w:ascii="IBM Plex Sans Light" w:hAnsi="IBM Plex Sans Light"/>
                <w:b w:val="0"/>
                <w:color w:val="auto"/>
                <w:spacing w:val="-4"/>
                <w:sz w:val="18"/>
                <w:szCs w:val="18"/>
              </w:rPr>
            </w:pPr>
          </w:p>
        </w:tc>
        <w:tc>
          <w:tcPr>
            <w:tcW w:w="851" w:type="dxa"/>
            <w:tcBorders>
              <w:right w:val="single" w:sz="4" w:space="0" w:color="3D7FE0" w:themeColor="accent1"/>
            </w:tcBorders>
            <w:tcMar>
              <w:left w:w="0" w:type="dxa"/>
              <w:right w:w="0" w:type="dxa"/>
            </w:tcMar>
            <w:vAlign w:val="bottom"/>
          </w:tcPr>
          <w:p w14:paraId="51D0E498" w14:textId="77777777" w:rsidR="00AA5577" w:rsidRPr="00AA5577" w:rsidRDefault="00AA5577" w:rsidP="002B525C">
            <w:pPr>
              <w:pStyle w:val="TableFiguresBracketsBold"/>
              <w:rPr>
                <w:rFonts w:ascii="IBM Plex Sans Light" w:hAnsi="IBM Plex Sans Light"/>
                <w:b w:val="0"/>
                <w:color w:val="auto"/>
                <w:spacing w:val="-4"/>
                <w:sz w:val="18"/>
                <w:szCs w:val="18"/>
              </w:rPr>
            </w:pPr>
          </w:p>
        </w:tc>
        <w:tc>
          <w:tcPr>
            <w:tcW w:w="992" w:type="dxa"/>
            <w:tcBorders>
              <w:left w:val="single" w:sz="4" w:space="0" w:color="3D7FE0" w:themeColor="accent1"/>
            </w:tcBorders>
            <w:tcMar>
              <w:left w:w="0" w:type="dxa"/>
              <w:right w:w="0" w:type="dxa"/>
            </w:tcMar>
            <w:vAlign w:val="bottom"/>
          </w:tcPr>
          <w:p w14:paraId="55DE8564" w14:textId="77777777" w:rsidR="00AA5577" w:rsidRPr="00AA5577" w:rsidRDefault="00AA5577" w:rsidP="002B525C">
            <w:pPr>
              <w:pStyle w:val="TableFiguresBracketsBold"/>
              <w:rPr>
                <w:rFonts w:ascii="IBM Plex Sans Light" w:hAnsi="IBM Plex Sans Light"/>
                <w:b w:val="0"/>
                <w:color w:val="auto"/>
                <w:spacing w:val="-4"/>
                <w:sz w:val="18"/>
                <w:szCs w:val="18"/>
              </w:rPr>
            </w:pPr>
          </w:p>
        </w:tc>
        <w:tc>
          <w:tcPr>
            <w:tcW w:w="850" w:type="dxa"/>
            <w:vAlign w:val="bottom"/>
          </w:tcPr>
          <w:p w14:paraId="54B035ED" w14:textId="77777777" w:rsidR="00AA5577" w:rsidRPr="00AA5577" w:rsidRDefault="00AA5577" w:rsidP="002B525C">
            <w:pPr>
              <w:pStyle w:val="TableFigures"/>
              <w:rPr>
                <w:rFonts w:ascii="IBM Plex Sans Light" w:hAnsi="IBM Plex Sans Light"/>
                <w:bCs/>
                <w:color w:val="auto"/>
                <w:spacing w:val="-4"/>
                <w:sz w:val="18"/>
                <w:szCs w:val="18"/>
              </w:rPr>
            </w:pPr>
          </w:p>
        </w:tc>
        <w:tc>
          <w:tcPr>
            <w:tcW w:w="853" w:type="dxa"/>
            <w:tcBorders>
              <w:right w:val="single" w:sz="4" w:space="0" w:color="3D7FE0" w:themeColor="accent1"/>
            </w:tcBorders>
            <w:tcMar>
              <w:left w:w="0" w:type="dxa"/>
              <w:right w:w="0" w:type="dxa"/>
            </w:tcMar>
            <w:vAlign w:val="bottom"/>
          </w:tcPr>
          <w:p w14:paraId="0711B4D2" w14:textId="77777777" w:rsidR="00AA5577" w:rsidRPr="005B0D3D" w:rsidRDefault="00AA5577" w:rsidP="002B525C">
            <w:pPr>
              <w:pStyle w:val="TableFigures"/>
              <w:rPr>
                <w:rFonts w:ascii="IBM Plex Sans Light" w:hAnsi="IBM Plex Sans Light"/>
                <w:color w:val="auto"/>
                <w:spacing w:val="-4"/>
                <w:sz w:val="18"/>
                <w:szCs w:val="18"/>
              </w:rPr>
            </w:pPr>
          </w:p>
        </w:tc>
      </w:tr>
      <w:tr w:rsidR="00C323D2" w:rsidRPr="00AA5577" w14:paraId="21CCD112" w14:textId="77777777" w:rsidTr="00435CF7">
        <w:trPr>
          <w:trHeight w:val="70"/>
        </w:trPr>
        <w:tc>
          <w:tcPr>
            <w:tcW w:w="4678" w:type="dxa"/>
            <w:tcMar>
              <w:left w:w="0" w:type="dxa"/>
              <w:right w:w="0" w:type="dxa"/>
            </w:tcMar>
            <w:vAlign w:val="bottom"/>
          </w:tcPr>
          <w:p w14:paraId="72624F62" w14:textId="177984C5" w:rsidR="00C323D2" w:rsidRPr="00AA5577" w:rsidRDefault="00C323D2" w:rsidP="00C323D2">
            <w:pPr>
              <w:pStyle w:val="Tabletext"/>
              <w:rPr>
                <w:rFonts w:ascii="IBM Plex Sans Light" w:hAnsi="IBM Plex Sans Light"/>
                <w:color w:val="auto"/>
                <w:spacing w:val="-4"/>
                <w:sz w:val="18"/>
                <w:szCs w:val="18"/>
                <w:vertAlign w:val="superscript"/>
              </w:rPr>
            </w:pPr>
            <w:r w:rsidRPr="00AA5577">
              <w:rPr>
                <w:rFonts w:ascii="IBM Plex Sans Light" w:hAnsi="IBM Plex Sans Light" w:cs="Arial"/>
                <w:color w:val="auto"/>
                <w:szCs w:val="18"/>
              </w:rPr>
              <w:t xml:space="preserve">– </w:t>
            </w:r>
            <w:r w:rsidRPr="00AA5577">
              <w:rPr>
                <w:rFonts w:ascii="IBM Plex Sans Light" w:hAnsi="IBM Plex Sans Light"/>
                <w:color w:val="auto"/>
                <w:spacing w:val="-4"/>
                <w:sz w:val="18"/>
                <w:szCs w:val="18"/>
              </w:rPr>
              <w:t>Profit/(loss) on sale of properties</w:t>
            </w:r>
          </w:p>
        </w:tc>
        <w:tc>
          <w:tcPr>
            <w:tcW w:w="284" w:type="dxa"/>
            <w:vAlign w:val="bottom"/>
          </w:tcPr>
          <w:p w14:paraId="408C517F" w14:textId="77777777" w:rsidR="00C323D2" w:rsidRPr="00AA5577" w:rsidRDefault="00C323D2" w:rsidP="00C323D2">
            <w:pPr>
              <w:pStyle w:val="Tabletext"/>
              <w:rPr>
                <w:rFonts w:ascii="IBM Plex Sans Light" w:hAnsi="IBM Plex Sans Light"/>
                <w:color w:val="auto"/>
                <w:spacing w:val="-4"/>
                <w:sz w:val="18"/>
                <w:szCs w:val="18"/>
                <w:vertAlign w:val="superscript"/>
              </w:rPr>
            </w:pPr>
          </w:p>
        </w:tc>
        <w:tc>
          <w:tcPr>
            <w:tcW w:w="567" w:type="dxa"/>
            <w:tcMar>
              <w:left w:w="0" w:type="dxa"/>
              <w:right w:w="0" w:type="dxa"/>
            </w:tcMar>
            <w:vAlign w:val="bottom"/>
          </w:tcPr>
          <w:p w14:paraId="621F4861" w14:textId="5C8A3849" w:rsidR="00C323D2" w:rsidRPr="00AA5577" w:rsidRDefault="00C323D2" w:rsidP="00C323D2">
            <w:pPr>
              <w:pStyle w:val="TableFigures"/>
              <w:jc w:val="center"/>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8</w:t>
            </w:r>
            <w:r w:rsidRPr="00AA5577">
              <w:rPr>
                <w:rStyle w:val="NotesStyle"/>
                <w:rFonts w:ascii="IBM Plex Sans Light" w:hAnsi="IBM Plex Sans Light"/>
                <w:color w:val="auto"/>
                <w:spacing w:val="-4"/>
                <w:sz w:val="16"/>
                <w:szCs w:val="16"/>
              </w:rPr>
              <w:t>A</w:t>
            </w:r>
          </w:p>
        </w:tc>
        <w:tc>
          <w:tcPr>
            <w:tcW w:w="850" w:type="dxa"/>
            <w:tcMar>
              <w:left w:w="0" w:type="dxa"/>
              <w:right w:w="0" w:type="dxa"/>
            </w:tcMar>
          </w:tcPr>
          <w:p w14:paraId="6528A9DF" w14:textId="362C3055" w:rsidR="00C323D2" w:rsidRPr="0047498C" w:rsidRDefault="00C323D2" w:rsidP="00C323D2">
            <w:pPr>
              <w:pStyle w:val="TableFigures"/>
              <w:rPr>
                <w:rFonts w:ascii="IBM Plex Sans Light" w:hAnsi="IBM Plex Sans Light"/>
                <w:bCs/>
                <w:color w:val="auto"/>
                <w:spacing w:val="-4"/>
                <w:sz w:val="18"/>
                <w:szCs w:val="18"/>
              </w:rPr>
            </w:pPr>
            <w:r w:rsidRPr="0047498C">
              <w:rPr>
                <w:rFonts w:ascii="IBM Plex Sans Light" w:hAnsi="IBM Plex Sans Light"/>
                <w:bCs/>
                <w:color w:val="auto"/>
                <w:spacing w:val="-4"/>
                <w:sz w:val="18"/>
                <w:szCs w:val="18"/>
              </w:rPr>
              <w:t>0.7</w:t>
            </w:r>
          </w:p>
        </w:tc>
        <w:tc>
          <w:tcPr>
            <w:tcW w:w="851" w:type="dxa"/>
            <w:tcBorders>
              <w:right w:val="single" w:sz="4" w:space="0" w:color="3D7FE0" w:themeColor="accent1"/>
            </w:tcBorders>
            <w:tcMar>
              <w:left w:w="0" w:type="dxa"/>
              <w:right w:w="0" w:type="dxa"/>
            </w:tcMar>
          </w:tcPr>
          <w:p w14:paraId="6409BAC8" w14:textId="37219ACB" w:rsidR="00C323D2" w:rsidRPr="0047498C" w:rsidRDefault="00C323D2" w:rsidP="00C323D2">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(0.1)</w:t>
            </w:r>
          </w:p>
        </w:tc>
        <w:tc>
          <w:tcPr>
            <w:tcW w:w="992" w:type="dxa"/>
            <w:tcBorders>
              <w:left w:val="single" w:sz="4" w:space="0" w:color="3D7FE0" w:themeColor="accent1"/>
            </w:tcBorders>
            <w:tcMar>
              <w:left w:w="0" w:type="dxa"/>
              <w:right w:w="0" w:type="dxa"/>
            </w:tcMar>
          </w:tcPr>
          <w:p w14:paraId="644F84A3" w14:textId="63641037" w:rsidR="00C323D2" w:rsidRPr="00FE025B" w:rsidRDefault="00C323D2" w:rsidP="00C323D2">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0.6</w:t>
            </w:r>
          </w:p>
        </w:tc>
        <w:tc>
          <w:tcPr>
            <w:tcW w:w="850" w:type="dxa"/>
          </w:tcPr>
          <w:p w14:paraId="59A05654" w14:textId="6F8B9355" w:rsidR="00C323D2" w:rsidRPr="00FE025B" w:rsidRDefault="00C323D2" w:rsidP="00C323D2">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(0.6)</w:t>
            </w:r>
          </w:p>
        </w:tc>
        <w:tc>
          <w:tcPr>
            <w:tcW w:w="853" w:type="dxa"/>
            <w:tcBorders>
              <w:right w:val="single" w:sz="4" w:space="0" w:color="3D7FE0" w:themeColor="accent1"/>
            </w:tcBorders>
            <w:tcMar>
              <w:left w:w="0" w:type="dxa"/>
              <w:right w:w="0" w:type="dxa"/>
            </w:tcMar>
          </w:tcPr>
          <w:p w14:paraId="771CAAAE" w14:textId="2BE73390" w:rsidR="00C323D2" w:rsidRPr="005B0D3D" w:rsidRDefault="00C323D2" w:rsidP="00C323D2">
            <w:pPr>
              <w:pStyle w:val="TableFigures"/>
              <w:rPr>
                <w:rFonts w:ascii="IBM Plex Sans Light" w:hAnsi="IBM Plex Sans Light"/>
                <w:color w:val="auto"/>
                <w:spacing w:val="-4"/>
                <w:sz w:val="18"/>
                <w:szCs w:val="18"/>
              </w:rPr>
            </w:pPr>
            <w:r w:rsidRPr="000C0B18">
              <w:rPr>
                <w:rFonts w:ascii="IBM Plex Sans Light" w:hAnsi="IBM Plex Sans Light"/>
                <w:bCs/>
                <w:color w:val="auto"/>
                <w:spacing w:val="-4"/>
                <w:sz w:val="18"/>
                <w:szCs w:val="18"/>
              </w:rPr>
              <w:t>–</w:t>
            </w:r>
          </w:p>
        </w:tc>
      </w:tr>
      <w:tr w:rsidR="00C323D2" w:rsidRPr="00AA5577" w14:paraId="4E66349C" w14:textId="77777777" w:rsidTr="00435CF7">
        <w:trPr>
          <w:trHeight w:val="70"/>
        </w:trPr>
        <w:tc>
          <w:tcPr>
            <w:tcW w:w="4678" w:type="dxa"/>
            <w:tcMar>
              <w:left w:w="0" w:type="dxa"/>
              <w:right w:w="0" w:type="dxa"/>
            </w:tcMar>
            <w:vAlign w:val="bottom"/>
          </w:tcPr>
          <w:p w14:paraId="0C1294AE" w14:textId="77777777" w:rsidR="00C323D2" w:rsidRPr="00AA5577" w:rsidRDefault="00C323D2" w:rsidP="00C323D2">
            <w:pPr>
              <w:pStyle w:val="Tabletext"/>
              <w:rPr>
                <w:rFonts w:ascii="IBM Plex Sans Light" w:hAnsi="IBM Plex Sans Light"/>
                <w:color w:val="auto"/>
                <w:spacing w:val="-4"/>
                <w:sz w:val="18"/>
                <w:szCs w:val="18"/>
                <w:vertAlign w:val="superscript"/>
              </w:rPr>
            </w:pPr>
            <w:r w:rsidRPr="00AA5577">
              <w:rPr>
                <w:rFonts w:ascii="IBM Plex Sans Light" w:hAnsi="IBM Plex Sans Light" w:cs="Arial"/>
                <w:color w:val="auto"/>
                <w:szCs w:val="18"/>
              </w:rPr>
              <w:t xml:space="preserve">– </w:t>
            </w:r>
            <w:r w:rsidRPr="00AA5577">
              <w:rPr>
                <w:rFonts w:ascii="IBM Plex Sans Light" w:hAnsi="IBM Plex Sans Light"/>
                <w:color w:val="auto"/>
                <w:spacing w:val="-4"/>
                <w:sz w:val="18"/>
                <w:szCs w:val="18"/>
              </w:rPr>
              <w:t>Income from assets held for sale</w:t>
            </w:r>
          </w:p>
        </w:tc>
        <w:tc>
          <w:tcPr>
            <w:tcW w:w="284" w:type="dxa"/>
            <w:vAlign w:val="bottom"/>
          </w:tcPr>
          <w:p w14:paraId="3FDE8511" w14:textId="77777777" w:rsidR="00C323D2" w:rsidRPr="00AA5577" w:rsidRDefault="00C323D2" w:rsidP="00C323D2">
            <w:pPr>
              <w:pStyle w:val="Tabletext"/>
              <w:rPr>
                <w:rFonts w:ascii="IBM Plex Sans Light" w:hAnsi="IBM Plex Sans Light"/>
                <w:color w:val="auto"/>
                <w:spacing w:val="-4"/>
                <w:sz w:val="18"/>
                <w:szCs w:val="18"/>
                <w:vertAlign w:val="superscript"/>
              </w:rPr>
            </w:pPr>
          </w:p>
        </w:tc>
        <w:tc>
          <w:tcPr>
            <w:tcW w:w="567" w:type="dxa"/>
            <w:tcMar>
              <w:left w:w="0" w:type="dxa"/>
              <w:right w:w="0" w:type="dxa"/>
            </w:tcMar>
            <w:vAlign w:val="bottom"/>
          </w:tcPr>
          <w:p w14:paraId="56A3BD4F" w14:textId="0500D240" w:rsidR="00C323D2" w:rsidRPr="00AA5577" w:rsidRDefault="00C323D2" w:rsidP="00C323D2">
            <w:pPr>
              <w:pStyle w:val="TableFigures"/>
              <w:ind w:right="2"/>
              <w:jc w:val="center"/>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8</w:t>
            </w:r>
            <w:r w:rsidRPr="00AA5577">
              <w:rPr>
                <w:rStyle w:val="NotesStyle"/>
                <w:rFonts w:ascii="IBM Plex Sans Light" w:hAnsi="IBM Plex Sans Light"/>
                <w:color w:val="auto"/>
                <w:spacing w:val="-4"/>
                <w:sz w:val="16"/>
                <w:szCs w:val="16"/>
              </w:rPr>
              <w:t>A,</w:t>
            </w:r>
            <w:r>
              <w:rPr>
                <w:rStyle w:val="NotesStyle"/>
                <w:rFonts w:ascii="IBM Plex Sans Light" w:hAnsi="IBM Plex Sans Light"/>
                <w:color w:val="auto"/>
                <w:spacing w:val="-4"/>
                <w:sz w:val="16"/>
                <w:szCs w:val="16"/>
              </w:rPr>
              <w:t xml:space="preserve"> 9</w:t>
            </w:r>
            <w:r w:rsidRPr="00AA5577">
              <w:rPr>
                <w:rStyle w:val="NotesStyle"/>
                <w:rFonts w:ascii="IBM Plex Sans Light" w:hAnsi="IBM Plex Sans Light"/>
                <w:color w:val="auto"/>
                <w:spacing w:val="-4"/>
                <w:sz w:val="16"/>
                <w:szCs w:val="16"/>
              </w:rPr>
              <w:t>A</w:t>
            </w:r>
          </w:p>
        </w:tc>
        <w:tc>
          <w:tcPr>
            <w:tcW w:w="850" w:type="dxa"/>
            <w:tcMar>
              <w:left w:w="0" w:type="dxa"/>
              <w:right w:w="0" w:type="dxa"/>
            </w:tcMar>
          </w:tcPr>
          <w:p w14:paraId="62A25B43" w14:textId="0ED059FA" w:rsidR="00C323D2" w:rsidRPr="0047498C" w:rsidRDefault="00C323D2" w:rsidP="00C323D2">
            <w:pPr>
              <w:pStyle w:val="TableFigures"/>
              <w:rPr>
                <w:rFonts w:ascii="IBM Plex Sans Light" w:hAnsi="IBM Plex Sans Light"/>
                <w:bCs/>
                <w:color w:val="auto"/>
                <w:spacing w:val="-4"/>
                <w:sz w:val="18"/>
                <w:szCs w:val="18"/>
              </w:rPr>
            </w:pPr>
            <w:r w:rsidRPr="0047498C">
              <w:rPr>
                <w:rFonts w:ascii="IBM Plex Sans Light" w:hAnsi="IBM Plex Sans Light"/>
                <w:bCs/>
                <w:color w:val="auto"/>
                <w:spacing w:val="-4"/>
                <w:sz w:val="18"/>
                <w:szCs w:val="18"/>
              </w:rPr>
              <w:t>–</w:t>
            </w:r>
          </w:p>
        </w:tc>
        <w:tc>
          <w:tcPr>
            <w:tcW w:w="851" w:type="dxa"/>
            <w:tcBorders>
              <w:right w:val="single" w:sz="4" w:space="0" w:color="3D7FE0" w:themeColor="accent1"/>
            </w:tcBorders>
            <w:tcMar>
              <w:left w:w="0" w:type="dxa"/>
              <w:right w:w="0" w:type="dxa"/>
            </w:tcMar>
          </w:tcPr>
          <w:p w14:paraId="0993F1D5" w14:textId="487F3C4A" w:rsidR="00C323D2" w:rsidRPr="0047498C" w:rsidRDefault="00C323D2" w:rsidP="00C323D2">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(1.6)</w:t>
            </w:r>
          </w:p>
        </w:tc>
        <w:tc>
          <w:tcPr>
            <w:tcW w:w="992" w:type="dxa"/>
            <w:tcBorders>
              <w:left w:val="single" w:sz="4" w:space="0" w:color="3D7FE0" w:themeColor="accent1"/>
            </w:tcBorders>
            <w:tcMar>
              <w:left w:w="0" w:type="dxa"/>
              <w:right w:w="0" w:type="dxa"/>
            </w:tcMar>
          </w:tcPr>
          <w:p w14:paraId="0BB13FB7" w14:textId="218161CD" w:rsidR="00C323D2" w:rsidRPr="00FE025B" w:rsidRDefault="00C323D2" w:rsidP="00C323D2">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(1.6)</w:t>
            </w:r>
          </w:p>
        </w:tc>
        <w:tc>
          <w:tcPr>
            <w:tcW w:w="850" w:type="dxa"/>
          </w:tcPr>
          <w:p w14:paraId="29E5FFF6" w14:textId="20CB8444" w:rsidR="00C323D2" w:rsidRPr="00FE025B" w:rsidRDefault="00C323D2" w:rsidP="00C323D2">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1.6</w:t>
            </w:r>
          </w:p>
        </w:tc>
        <w:tc>
          <w:tcPr>
            <w:tcW w:w="853" w:type="dxa"/>
            <w:tcBorders>
              <w:right w:val="single" w:sz="4" w:space="0" w:color="3D7FE0" w:themeColor="accent1"/>
            </w:tcBorders>
            <w:tcMar>
              <w:left w:w="0" w:type="dxa"/>
              <w:right w:w="0" w:type="dxa"/>
            </w:tcMar>
          </w:tcPr>
          <w:p w14:paraId="779947D9" w14:textId="5FB1E56A" w:rsidR="00C323D2" w:rsidRPr="005B0D3D" w:rsidRDefault="00C323D2" w:rsidP="00C323D2">
            <w:pPr>
              <w:pStyle w:val="TableFigures"/>
              <w:rPr>
                <w:rFonts w:ascii="IBM Plex Sans Light" w:hAnsi="IBM Plex Sans Light"/>
                <w:color w:val="auto"/>
                <w:spacing w:val="-4"/>
                <w:sz w:val="18"/>
                <w:szCs w:val="18"/>
              </w:rPr>
            </w:pPr>
            <w:r w:rsidRPr="000C0B18">
              <w:rPr>
                <w:rFonts w:ascii="IBM Plex Sans Light" w:hAnsi="IBM Plex Sans Light"/>
                <w:bCs/>
                <w:color w:val="auto"/>
                <w:spacing w:val="-4"/>
                <w:sz w:val="18"/>
                <w:szCs w:val="18"/>
              </w:rPr>
              <w:t>–</w:t>
            </w:r>
          </w:p>
        </w:tc>
      </w:tr>
      <w:tr w:rsidR="00B821F5" w:rsidRPr="00AA5577" w14:paraId="69975126" w14:textId="77777777" w:rsidTr="00435CF7">
        <w:trPr>
          <w:trHeight w:val="70"/>
        </w:trPr>
        <w:tc>
          <w:tcPr>
            <w:tcW w:w="4678" w:type="dxa"/>
            <w:tcMar>
              <w:left w:w="0" w:type="dxa"/>
              <w:right w:w="0" w:type="dxa"/>
            </w:tcMar>
            <w:vAlign w:val="bottom"/>
          </w:tcPr>
          <w:p w14:paraId="6898FA9C" w14:textId="77777777" w:rsidR="00B821F5" w:rsidRPr="00AA5577" w:rsidRDefault="00B821F5" w:rsidP="00B821F5">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Change in fair value of other investments</w:t>
            </w:r>
          </w:p>
        </w:tc>
        <w:tc>
          <w:tcPr>
            <w:tcW w:w="284" w:type="dxa"/>
            <w:vAlign w:val="bottom"/>
          </w:tcPr>
          <w:p w14:paraId="4FD332E0" w14:textId="77777777" w:rsidR="00B821F5" w:rsidRPr="00AA5577" w:rsidRDefault="00B821F5" w:rsidP="00B821F5">
            <w:pPr>
              <w:pStyle w:val="Tabletext"/>
              <w:rPr>
                <w:rFonts w:ascii="IBM Plex Sans Light" w:hAnsi="IBM Plex Sans Light"/>
                <w:color w:val="auto"/>
                <w:spacing w:val="-4"/>
                <w:sz w:val="18"/>
                <w:szCs w:val="18"/>
              </w:rPr>
            </w:pPr>
          </w:p>
        </w:tc>
        <w:tc>
          <w:tcPr>
            <w:tcW w:w="567" w:type="dxa"/>
            <w:tcMar>
              <w:left w:w="0" w:type="dxa"/>
              <w:right w:w="0" w:type="dxa"/>
            </w:tcMar>
            <w:vAlign w:val="bottom"/>
          </w:tcPr>
          <w:p w14:paraId="74538D0B" w14:textId="77777777" w:rsidR="00B821F5" w:rsidRPr="00AA5577" w:rsidRDefault="00B821F5" w:rsidP="00B821F5">
            <w:pPr>
              <w:pStyle w:val="TableFigures"/>
              <w:jc w:val="center"/>
              <w:rPr>
                <w:rStyle w:val="NotesStyle"/>
                <w:rFonts w:ascii="IBM Plex Sans Light" w:hAnsi="IBM Plex Sans Light"/>
                <w:color w:val="auto"/>
                <w:spacing w:val="-4"/>
                <w:sz w:val="16"/>
                <w:szCs w:val="16"/>
              </w:rPr>
            </w:pPr>
          </w:p>
        </w:tc>
        <w:tc>
          <w:tcPr>
            <w:tcW w:w="850" w:type="dxa"/>
            <w:tcMar>
              <w:left w:w="0" w:type="dxa"/>
              <w:right w:w="0" w:type="dxa"/>
            </w:tcMar>
          </w:tcPr>
          <w:p w14:paraId="4456DEC0" w14:textId="28E427D2" w:rsidR="00B821F5" w:rsidRPr="0047498C" w:rsidRDefault="00B821F5" w:rsidP="0047498C">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(0.1)</w:t>
            </w:r>
          </w:p>
        </w:tc>
        <w:tc>
          <w:tcPr>
            <w:tcW w:w="851" w:type="dxa"/>
            <w:tcBorders>
              <w:right w:val="single" w:sz="4" w:space="0" w:color="3D7FE0" w:themeColor="accent1"/>
            </w:tcBorders>
            <w:tcMar>
              <w:left w:w="0" w:type="dxa"/>
              <w:right w:w="0" w:type="dxa"/>
            </w:tcMar>
          </w:tcPr>
          <w:p w14:paraId="53AC3A0D" w14:textId="2EB0616D" w:rsidR="00B821F5" w:rsidRPr="00AA5577" w:rsidRDefault="00B821F5" w:rsidP="00B821F5">
            <w:pPr>
              <w:pStyle w:val="TableFigure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w:t>
            </w:r>
          </w:p>
        </w:tc>
        <w:tc>
          <w:tcPr>
            <w:tcW w:w="992" w:type="dxa"/>
            <w:tcBorders>
              <w:left w:val="single" w:sz="4" w:space="0" w:color="3D7FE0" w:themeColor="accent1"/>
            </w:tcBorders>
            <w:tcMar>
              <w:left w:w="0" w:type="dxa"/>
              <w:right w:w="0" w:type="dxa"/>
            </w:tcMar>
          </w:tcPr>
          <w:p w14:paraId="113BD772" w14:textId="07BCA285" w:rsidR="00B821F5" w:rsidRPr="00FE025B" w:rsidRDefault="00B821F5"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(0.1)</w:t>
            </w:r>
          </w:p>
        </w:tc>
        <w:tc>
          <w:tcPr>
            <w:tcW w:w="850" w:type="dxa"/>
          </w:tcPr>
          <w:p w14:paraId="3FC4F845" w14:textId="031F66BB" w:rsidR="00B821F5" w:rsidRPr="00FE025B" w:rsidRDefault="00B821F5"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0.1</w:t>
            </w:r>
          </w:p>
        </w:tc>
        <w:tc>
          <w:tcPr>
            <w:tcW w:w="853" w:type="dxa"/>
            <w:tcBorders>
              <w:right w:val="single" w:sz="4" w:space="0" w:color="3D7FE0" w:themeColor="accent1"/>
            </w:tcBorders>
            <w:tcMar>
              <w:left w:w="0" w:type="dxa"/>
              <w:right w:w="0" w:type="dxa"/>
            </w:tcMar>
          </w:tcPr>
          <w:p w14:paraId="02755054" w14:textId="41D4077D" w:rsidR="00B821F5" w:rsidRPr="005B0D3D" w:rsidRDefault="00B821F5" w:rsidP="00B821F5">
            <w:pPr>
              <w:pStyle w:val="TableFigures"/>
              <w:rPr>
                <w:rFonts w:ascii="IBM Plex Sans Light" w:hAnsi="IBM Plex Sans Light"/>
                <w:color w:val="auto"/>
                <w:spacing w:val="-4"/>
                <w:sz w:val="18"/>
                <w:szCs w:val="18"/>
              </w:rPr>
            </w:pPr>
            <w:r w:rsidRPr="005B0D3D">
              <w:rPr>
                <w:rFonts w:ascii="IBM Plex Sans Light" w:hAnsi="IBM Plex Sans Light"/>
                <w:color w:val="auto"/>
                <w:spacing w:val="-4"/>
                <w:sz w:val="18"/>
                <w:szCs w:val="18"/>
              </w:rPr>
              <w:t>–</w:t>
            </w:r>
          </w:p>
        </w:tc>
      </w:tr>
      <w:tr w:rsidR="00B821F5" w:rsidRPr="00AA5577" w14:paraId="59150CAA" w14:textId="77777777" w:rsidTr="00435CF7">
        <w:tc>
          <w:tcPr>
            <w:tcW w:w="4678" w:type="dxa"/>
            <w:tcBorders>
              <w:top w:val="single" w:sz="2" w:space="0" w:color="3D7FE0" w:themeColor="accent1"/>
            </w:tcBorders>
            <w:tcMar>
              <w:left w:w="0" w:type="dxa"/>
              <w:right w:w="0" w:type="dxa"/>
            </w:tcMar>
            <w:vAlign w:val="bottom"/>
          </w:tcPr>
          <w:p w14:paraId="19700C98" w14:textId="0FE1F675" w:rsidR="00B821F5" w:rsidRPr="00AA5577" w:rsidRDefault="00B821F5" w:rsidP="00B821F5">
            <w:pPr>
              <w:pStyle w:val="TabletextBold"/>
              <w:rPr>
                <w:rFonts w:ascii="IBM Plex Sans Light" w:hAnsi="IBM Plex Sans Light"/>
                <w:bCs/>
                <w:color w:val="auto"/>
                <w:sz w:val="18"/>
                <w:szCs w:val="18"/>
              </w:rPr>
            </w:pPr>
            <w:r w:rsidRPr="00AA5577">
              <w:rPr>
                <w:rFonts w:ascii="IBM Plex Sans Light" w:hAnsi="IBM Plex Sans Light"/>
                <w:bCs/>
                <w:color w:val="auto"/>
                <w:sz w:val="18"/>
                <w:szCs w:val="18"/>
              </w:rPr>
              <w:t>Other net gains/(losses)</w:t>
            </w:r>
          </w:p>
        </w:tc>
        <w:tc>
          <w:tcPr>
            <w:tcW w:w="284" w:type="dxa"/>
            <w:tcBorders>
              <w:top w:val="single" w:sz="2" w:space="0" w:color="3D7FE0" w:themeColor="accent1"/>
            </w:tcBorders>
            <w:vAlign w:val="bottom"/>
          </w:tcPr>
          <w:p w14:paraId="7A9FD7E4" w14:textId="77777777" w:rsidR="00B821F5" w:rsidRPr="00AA5577" w:rsidRDefault="00B821F5" w:rsidP="00B821F5">
            <w:pPr>
              <w:pStyle w:val="TabletextBold"/>
              <w:rPr>
                <w:rFonts w:ascii="IBM Plex Sans Light" w:hAnsi="IBM Plex Sans Light"/>
                <w:bCs/>
                <w:color w:val="auto"/>
                <w:sz w:val="18"/>
                <w:szCs w:val="18"/>
              </w:rPr>
            </w:pPr>
          </w:p>
        </w:tc>
        <w:tc>
          <w:tcPr>
            <w:tcW w:w="567" w:type="dxa"/>
            <w:tcBorders>
              <w:top w:val="single" w:sz="2" w:space="0" w:color="3D7FE0" w:themeColor="accent1"/>
            </w:tcBorders>
            <w:tcMar>
              <w:left w:w="0" w:type="dxa"/>
              <w:right w:w="0" w:type="dxa"/>
            </w:tcMar>
            <w:vAlign w:val="bottom"/>
          </w:tcPr>
          <w:p w14:paraId="612A3A44" w14:textId="77777777" w:rsidR="00B821F5" w:rsidRPr="00AA5577" w:rsidRDefault="00B821F5" w:rsidP="00B821F5">
            <w:pPr>
              <w:pStyle w:val="TableFigures"/>
              <w:ind w:left="-142"/>
              <w:jc w:val="center"/>
              <w:rPr>
                <w:rStyle w:val="NotesStyle"/>
                <w:rFonts w:ascii="IBM Plex Sans Light" w:hAnsi="IBM Plex Sans Light"/>
                <w:b/>
                <w:color w:val="auto"/>
                <w:spacing w:val="-4"/>
                <w:sz w:val="16"/>
                <w:szCs w:val="16"/>
              </w:rPr>
            </w:pPr>
          </w:p>
        </w:tc>
        <w:tc>
          <w:tcPr>
            <w:tcW w:w="850" w:type="dxa"/>
            <w:tcBorders>
              <w:top w:val="single" w:sz="2" w:space="0" w:color="3D7FE0" w:themeColor="accent1"/>
            </w:tcBorders>
            <w:tcMar>
              <w:left w:w="0" w:type="dxa"/>
              <w:right w:w="0" w:type="dxa"/>
            </w:tcMar>
          </w:tcPr>
          <w:p w14:paraId="2C0A2709" w14:textId="46DB3B7C" w:rsidR="00B821F5" w:rsidRPr="0047498C" w:rsidRDefault="00B821F5" w:rsidP="00B821F5">
            <w:pPr>
              <w:pStyle w:val="TableFigures"/>
              <w:rPr>
                <w:rFonts w:ascii="IBM Plex Sans Light" w:hAnsi="IBM Plex Sans Light"/>
                <w:bCs/>
                <w:color w:val="auto"/>
                <w:spacing w:val="-4"/>
                <w:sz w:val="18"/>
                <w:szCs w:val="18"/>
              </w:rPr>
            </w:pPr>
            <w:r w:rsidRPr="0047498C">
              <w:rPr>
                <w:rFonts w:ascii="IBM Plex Sans Light" w:hAnsi="IBM Plex Sans Light"/>
                <w:bCs/>
                <w:color w:val="auto"/>
                <w:spacing w:val="-4"/>
                <w:sz w:val="18"/>
                <w:szCs w:val="18"/>
              </w:rPr>
              <w:t>0.6</w:t>
            </w:r>
          </w:p>
        </w:tc>
        <w:tc>
          <w:tcPr>
            <w:tcW w:w="851" w:type="dxa"/>
            <w:tcBorders>
              <w:top w:val="single" w:sz="2" w:space="0" w:color="3D7FE0" w:themeColor="accent1"/>
              <w:right w:val="single" w:sz="4" w:space="0" w:color="3D7FE0" w:themeColor="accent1"/>
            </w:tcBorders>
            <w:tcMar>
              <w:left w:w="0" w:type="dxa"/>
              <w:right w:w="0" w:type="dxa"/>
            </w:tcMar>
          </w:tcPr>
          <w:p w14:paraId="1C884011" w14:textId="23810969" w:rsidR="00B821F5" w:rsidRPr="0047498C" w:rsidRDefault="00B821F5" w:rsidP="00B821F5">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(1.7)</w:t>
            </w:r>
          </w:p>
        </w:tc>
        <w:tc>
          <w:tcPr>
            <w:tcW w:w="992" w:type="dxa"/>
            <w:tcBorders>
              <w:top w:val="single" w:sz="2" w:space="0" w:color="3D7FE0" w:themeColor="accent1"/>
              <w:left w:val="single" w:sz="4" w:space="0" w:color="3D7FE0" w:themeColor="accent1"/>
            </w:tcBorders>
            <w:tcMar>
              <w:left w:w="0" w:type="dxa"/>
              <w:right w:w="0" w:type="dxa"/>
            </w:tcMar>
          </w:tcPr>
          <w:p w14:paraId="320E7DB4" w14:textId="0D518B1A" w:rsidR="00B821F5" w:rsidRPr="00FE025B" w:rsidRDefault="00B821F5"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(1.1)</w:t>
            </w:r>
          </w:p>
        </w:tc>
        <w:tc>
          <w:tcPr>
            <w:tcW w:w="850" w:type="dxa"/>
            <w:tcBorders>
              <w:top w:val="single" w:sz="2" w:space="0" w:color="3D7FE0" w:themeColor="accent1"/>
            </w:tcBorders>
          </w:tcPr>
          <w:p w14:paraId="70F93EB3" w14:textId="45A2FC70" w:rsidR="00B821F5" w:rsidRPr="00FE025B" w:rsidRDefault="00B821F5"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1.1</w:t>
            </w:r>
          </w:p>
        </w:tc>
        <w:tc>
          <w:tcPr>
            <w:tcW w:w="853" w:type="dxa"/>
            <w:tcBorders>
              <w:top w:val="single" w:sz="2" w:space="0" w:color="3D7FE0" w:themeColor="accent1"/>
              <w:right w:val="single" w:sz="4" w:space="0" w:color="3D7FE0" w:themeColor="accent1"/>
            </w:tcBorders>
            <w:tcMar>
              <w:left w:w="0" w:type="dxa"/>
              <w:right w:w="0" w:type="dxa"/>
            </w:tcMar>
          </w:tcPr>
          <w:p w14:paraId="24E750D7" w14:textId="622DE91B" w:rsidR="00B821F5" w:rsidRPr="005B0D3D" w:rsidRDefault="00B821F5" w:rsidP="00B821F5">
            <w:pPr>
              <w:pStyle w:val="TableFigures"/>
              <w:rPr>
                <w:rFonts w:ascii="IBM Plex Sans Light" w:hAnsi="IBM Plex Sans Light"/>
                <w:color w:val="auto"/>
                <w:spacing w:val="-4"/>
                <w:sz w:val="18"/>
                <w:szCs w:val="18"/>
              </w:rPr>
            </w:pPr>
            <w:r w:rsidRPr="005B0D3D">
              <w:rPr>
                <w:rFonts w:ascii="IBM Plex Sans Light" w:hAnsi="IBM Plex Sans Light"/>
                <w:color w:val="auto"/>
                <w:spacing w:val="-4"/>
                <w:sz w:val="18"/>
                <w:szCs w:val="18"/>
              </w:rPr>
              <w:t>–</w:t>
            </w:r>
          </w:p>
        </w:tc>
      </w:tr>
      <w:tr w:rsidR="00AA5577" w:rsidRPr="00AA5577" w14:paraId="3EA6C0D3" w14:textId="77777777" w:rsidTr="00435CF7">
        <w:tc>
          <w:tcPr>
            <w:tcW w:w="4678" w:type="dxa"/>
            <w:tcMar>
              <w:left w:w="0" w:type="dxa"/>
              <w:right w:w="0" w:type="dxa"/>
            </w:tcMar>
            <w:vAlign w:val="bottom"/>
          </w:tcPr>
          <w:p w14:paraId="1793B751" w14:textId="77777777" w:rsidR="00AA5577" w:rsidRPr="00AA5577" w:rsidRDefault="00AA5577" w:rsidP="002B525C">
            <w:pPr>
              <w:pStyle w:val="TabletextBold"/>
              <w:rPr>
                <w:rFonts w:ascii="IBM Plex Sans Light" w:hAnsi="IBM Plex Sans Light"/>
                <w:bCs/>
                <w:color w:val="auto"/>
                <w:sz w:val="18"/>
                <w:szCs w:val="18"/>
              </w:rPr>
            </w:pPr>
          </w:p>
        </w:tc>
        <w:tc>
          <w:tcPr>
            <w:tcW w:w="284" w:type="dxa"/>
            <w:vAlign w:val="bottom"/>
          </w:tcPr>
          <w:p w14:paraId="18EC64F0" w14:textId="77777777" w:rsidR="00AA5577" w:rsidRPr="00AA5577" w:rsidRDefault="00AA5577" w:rsidP="002B525C">
            <w:pPr>
              <w:pStyle w:val="TabletextBold"/>
              <w:rPr>
                <w:rFonts w:ascii="IBM Plex Sans Light" w:hAnsi="IBM Plex Sans Light"/>
                <w:bCs/>
                <w:color w:val="auto"/>
                <w:sz w:val="18"/>
                <w:szCs w:val="18"/>
              </w:rPr>
            </w:pPr>
          </w:p>
        </w:tc>
        <w:tc>
          <w:tcPr>
            <w:tcW w:w="567" w:type="dxa"/>
            <w:tcMar>
              <w:left w:w="0" w:type="dxa"/>
              <w:right w:w="0" w:type="dxa"/>
            </w:tcMar>
            <w:vAlign w:val="bottom"/>
          </w:tcPr>
          <w:p w14:paraId="3FE8FBBE" w14:textId="77777777" w:rsidR="00AA5577" w:rsidRPr="00AA5577" w:rsidRDefault="00AA5577" w:rsidP="002B525C">
            <w:pPr>
              <w:pStyle w:val="TableFigures"/>
              <w:ind w:left="-142"/>
              <w:jc w:val="center"/>
              <w:rPr>
                <w:rStyle w:val="NotesStyle"/>
                <w:rFonts w:ascii="IBM Plex Sans Light" w:hAnsi="IBM Plex Sans Light"/>
                <w:b/>
                <w:color w:val="auto"/>
                <w:spacing w:val="-4"/>
                <w:sz w:val="16"/>
                <w:szCs w:val="16"/>
              </w:rPr>
            </w:pPr>
          </w:p>
        </w:tc>
        <w:tc>
          <w:tcPr>
            <w:tcW w:w="850" w:type="dxa"/>
            <w:tcMar>
              <w:left w:w="0" w:type="dxa"/>
              <w:right w:w="0" w:type="dxa"/>
            </w:tcMar>
            <w:vAlign w:val="bottom"/>
          </w:tcPr>
          <w:p w14:paraId="680E7679" w14:textId="77777777" w:rsidR="00AA5577" w:rsidRPr="00AA5577" w:rsidRDefault="00AA5577" w:rsidP="002B525C">
            <w:pPr>
              <w:pStyle w:val="TableFigures"/>
              <w:rPr>
                <w:rFonts w:ascii="IBM Plex Sans Light" w:hAnsi="IBM Plex Sans Light" w:cs="MyriadPro-Light"/>
                <w:bCs/>
                <w:color w:val="auto"/>
                <w:spacing w:val="-4"/>
                <w:sz w:val="18"/>
                <w:szCs w:val="18"/>
              </w:rPr>
            </w:pPr>
          </w:p>
        </w:tc>
        <w:tc>
          <w:tcPr>
            <w:tcW w:w="851" w:type="dxa"/>
            <w:tcBorders>
              <w:right w:val="single" w:sz="4" w:space="0" w:color="3D7FE0" w:themeColor="accent1"/>
            </w:tcBorders>
            <w:tcMar>
              <w:left w:w="0" w:type="dxa"/>
              <w:right w:w="0" w:type="dxa"/>
            </w:tcMar>
            <w:vAlign w:val="bottom"/>
          </w:tcPr>
          <w:p w14:paraId="0DE3E09E" w14:textId="77777777" w:rsidR="00AA5577" w:rsidRPr="00AA5577" w:rsidRDefault="00AA5577" w:rsidP="002B525C">
            <w:pPr>
              <w:pStyle w:val="TableFiguresBold"/>
              <w:rPr>
                <w:rFonts w:ascii="IBM Plex Sans Light" w:hAnsi="IBM Plex Sans Light"/>
                <w:b w:val="0"/>
                <w:color w:val="auto"/>
                <w:spacing w:val="-4"/>
                <w:sz w:val="18"/>
                <w:szCs w:val="18"/>
              </w:rPr>
            </w:pPr>
          </w:p>
        </w:tc>
        <w:tc>
          <w:tcPr>
            <w:tcW w:w="992" w:type="dxa"/>
            <w:tcBorders>
              <w:left w:val="single" w:sz="4" w:space="0" w:color="3D7FE0" w:themeColor="accent1"/>
            </w:tcBorders>
            <w:tcMar>
              <w:left w:w="0" w:type="dxa"/>
              <w:right w:w="0" w:type="dxa"/>
            </w:tcMar>
            <w:vAlign w:val="bottom"/>
          </w:tcPr>
          <w:p w14:paraId="7A2CCD02" w14:textId="77777777" w:rsidR="00AA5577" w:rsidRPr="00AA5577" w:rsidRDefault="00AA5577" w:rsidP="002B525C">
            <w:pPr>
              <w:pStyle w:val="TableFiguresBold"/>
              <w:rPr>
                <w:rFonts w:ascii="IBM Plex Sans Light" w:hAnsi="IBM Plex Sans Light" w:cs="MyriadPro-Light"/>
                <w:b w:val="0"/>
                <w:color w:val="auto"/>
                <w:spacing w:val="-4"/>
                <w:sz w:val="18"/>
                <w:szCs w:val="18"/>
              </w:rPr>
            </w:pPr>
          </w:p>
        </w:tc>
        <w:tc>
          <w:tcPr>
            <w:tcW w:w="850" w:type="dxa"/>
            <w:vAlign w:val="bottom"/>
          </w:tcPr>
          <w:p w14:paraId="23C1CE19" w14:textId="77777777" w:rsidR="00AA5577" w:rsidRPr="00FE025B" w:rsidRDefault="00AA5577" w:rsidP="002B525C">
            <w:pPr>
              <w:pStyle w:val="TableFigures"/>
              <w:rPr>
                <w:rFonts w:ascii="IBM Plex Sans Light" w:hAnsi="IBM Plex Sans Light"/>
                <w:bCs/>
                <w:color w:val="auto"/>
                <w:spacing w:val="-4"/>
                <w:sz w:val="18"/>
                <w:szCs w:val="18"/>
              </w:rPr>
            </w:pPr>
          </w:p>
        </w:tc>
        <w:tc>
          <w:tcPr>
            <w:tcW w:w="853" w:type="dxa"/>
            <w:tcBorders>
              <w:right w:val="single" w:sz="4" w:space="0" w:color="3D7FE0" w:themeColor="accent1"/>
            </w:tcBorders>
            <w:tcMar>
              <w:left w:w="0" w:type="dxa"/>
              <w:right w:w="0" w:type="dxa"/>
            </w:tcMar>
            <w:vAlign w:val="bottom"/>
          </w:tcPr>
          <w:p w14:paraId="5D0C5F09" w14:textId="77777777" w:rsidR="00AA5577" w:rsidRPr="00AA5577" w:rsidRDefault="00AA5577" w:rsidP="002B525C">
            <w:pPr>
              <w:pStyle w:val="TableFigures"/>
              <w:rPr>
                <w:rFonts w:ascii="IBM Plex Sans Light" w:hAnsi="IBM Plex Sans Light"/>
                <w:bCs/>
                <w:color w:val="auto"/>
                <w:spacing w:val="-4"/>
                <w:sz w:val="18"/>
                <w:szCs w:val="18"/>
              </w:rPr>
            </w:pPr>
          </w:p>
        </w:tc>
      </w:tr>
      <w:tr w:rsidR="00C32FE8" w:rsidRPr="00AA5577" w14:paraId="70ED6888" w14:textId="77777777" w:rsidTr="00435CF7">
        <w:tc>
          <w:tcPr>
            <w:tcW w:w="4678" w:type="dxa"/>
            <w:tcMar>
              <w:left w:w="0" w:type="dxa"/>
              <w:right w:w="0" w:type="dxa"/>
            </w:tcMar>
            <w:vAlign w:val="bottom"/>
          </w:tcPr>
          <w:p w14:paraId="1E402F5A" w14:textId="77777777" w:rsidR="00C32FE8" w:rsidRPr="00AA5577" w:rsidRDefault="00C32FE8" w:rsidP="00C32FE8">
            <w:pPr>
              <w:pStyle w:val="TabletextBold"/>
              <w:rPr>
                <w:rFonts w:ascii="IBM Plex Sans Light" w:hAnsi="IBM Plex Sans Light"/>
                <w:bCs/>
                <w:color w:val="auto"/>
                <w:sz w:val="18"/>
                <w:szCs w:val="18"/>
              </w:rPr>
            </w:pPr>
            <w:r w:rsidRPr="00AA5577">
              <w:rPr>
                <w:rFonts w:ascii="IBM Plex Sans Light" w:hAnsi="IBM Plex Sans Light"/>
                <w:bCs/>
                <w:color w:val="auto"/>
                <w:sz w:val="18"/>
                <w:szCs w:val="18"/>
              </w:rPr>
              <w:t>Share of results of joint ventures</w:t>
            </w:r>
          </w:p>
        </w:tc>
        <w:tc>
          <w:tcPr>
            <w:tcW w:w="284" w:type="dxa"/>
            <w:vAlign w:val="bottom"/>
          </w:tcPr>
          <w:p w14:paraId="1F655B3A" w14:textId="77777777" w:rsidR="00C32FE8" w:rsidRPr="00AA5577" w:rsidRDefault="00C32FE8" w:rsidP="00C32FE8">
            <w:pPr>
              <w:pStyle w:val="TabletextBold"/>
              <w:rPr>
                <w:rFonts w:ascii="IBM Plex Sans Light" w:hAnsi="IBM Plex Sans Light"/>
                <w:bCs/>
                <w:color w:val="auto"/>
                <w:sz w:val="18"/>
                <w:szCs w:val="18"/>
              </w:rPr>
            </w:pPr>
          </w:p>
        </w:tc>
        <w:tc>
          <w:tcPr>
            <w:tcW w:w="567" w:type="dxa"/>
            <w:tcMar>
              <w:left w:w="0" w:type="dxa"/>
              <w:right w:w="0" w:type="dxa"/>
            </w:tcMar>
            <w:vAlign w:val="bottom"/>
          </w:tcPr>
          <w:p w14:paraId="0E697725" w14:textId="771D7E8D" w:rsidR="00C32FE8" w:rsidRPr="00AA5577" w:rsidRDefault="00C32FE8" w:rsidP="00C32FE8">
            <w:pPr>
              <w:pStyle w:val="TableFigures"/>
              <w:jc w:val="center"/>
              <w:rPr>
                <w:rStyle w:val="NotesStyle"/>
                <w:rFonts w:ascii="IBM Plex Sans Light" w:hAnsi="IBM Plex Sans Light"/>
                <w:b/>
                <w:color w:val="auto"/>
                <w:spacing w:val="-4"/>
                <w:sz w:val="16"/>
                <w:szCs w:val="16"/>
              </w:rPr>
            </w:pPr>
            <w:r w:rsidRPr="00AA5577">
              <w:rPr>
                <w:rStyle w:val="NotesStyle"/>
                <w:rFonts w:ascii="IBM Plex Sans Light" w:hAnsi="IBM Plex Sans Light"/>
                <w:color w:val="auto"/>
                <w:spacing w:val="-4"/>
                <w:sz w:val="16"/>
                <w:szCs w:val="16"/>
              </w:rPr>
              <w:t>1</w:t>
            </w:r>
            <w:r w:rsidR="001E118C">
              <w:rPr>
                <w:rStyle w:val="NotesStyle"/>
                <w:rFonts w:ascii="IBM Plex Sans Light" w:hAnsi="IBM Plex Sans Light"/>
                <w:color w:val="auto"/>
                <w:spacing w:val="-4"/>
                <w:sz w:val="16"/>
                <w:szCs w:val="16"/>
              </w:rPr>
              <w:t>2</w:t>
            </w:r>
            <w:r w:rsidRPr="00AA5577">
              <w:rPr>
                <w:rStyle w:val="NotesStyle"/>
                <w:rFonts w:ascii="IBM Plex Sans Light" w:hAnsi="IBM Plex Sans Light"/>
                <w:color w:val="auto"/>
                <w:spacing w:val="-4"/>
                <w:sz w:val="16"/>
                <w:szCs w:val="16"/>
              </w:rPr>
              <w:t>B</w:t>
            </w:r>
          </w:p>
        </w:tc>
        <w:tc>
          <w:tcPr>
            <w:tcW w:w="850" w:type="dxa"/>
            <w:tcMar>
              <w:left w:w="0" w:type="dxa"/>
              <w:right w:w="0" w:type="dxa"/>
            </w:tcMar>
          </w:tcPr>
          <w:p w14:paraId="7F0C8D52" w14:textId="1FDF0BF8" w:rsidR="00C32FE8" w:rsidRPr="0047498C" w:rsidRDefault="00C32FE8" w:rsidP="0047498C">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(41.5)</w:t>
            </w:r>
          </w:p>
        </w:tc>
        <w:tc>
          <w:tcPr>
            <w:tcW w:w="851" w:type="dxa"/>
            <w:tcBorders>
              <w:right w:val="single" w:sz="4" w:space="0" w:color="3D7FE0" w:themeColor="accent1"/>
            </w:tcBorders>
            <w:tcMar>
              <w:left w:w="0" w:type="dxa"/>
              <w:right w:w="0" w:type="dxa"/>
            </w:tcMar>
          </w:tcPr>
          <w:p w14:paraId="1F967C8D" w14:textId="4ADAED6E" w:rsidR="00C32FE8" w:rsidRPr="00AA5577" w:rsidRDefault="00C32FE8" w:rsidP="0047498C">
            <w:pPr>
              <w:pStyle w:val="TableFigure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41.5</w:t>
            </w:r>
          </w:p>
        </w:tc>
        <w:tc>
          <w:tcPr>
            <w:tcW w:w="992" w:type="dxa"/>
            <w:tcBorders>
              <w:left w:val="single" w:sz="4" w:space="0" w:color="3D7FE0" w:themeColor="accent1"/>
            </w:tcBorders>
            <w:tcMar>
              <w:left w:w="0" w:type="dxa"/>
              <w:right w:w="0" w:type="dxa"/>
            </w:tcMar>
          </w:tcPr>
          <w:p w14:paraId="6B34E724" w14:textId="4BD3619D" w:rsidR="00C32FE8" w:rsidRPr="00FE025B" w:rsidRDefault="00C32FE8"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w:t>
            </w:r>
          </w:p>
        </w:tc>
        <w:tc>
          <w:tcPr>
            <w:tcW w:w="850" w:type="dxa"/>
          </w:tcPr>
          <w:p w14:paraId="67943993" w14:textId="075496E9" w:rsidR="00C32FE8" w:rsidRPr="00FE025B" w:rsidRDefault="00C32FE8" w:rsidP="00C32FE8">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w:t>
            </w:r>
          </w:p>
        </w:tc>
        <w:tc>
          <w:tcPr>
            <w:tcW w:w="853" w:type="dxa"/>
            <w:tcBorders>
              <w:right w:val="single" w:sz="4" w:space="0" w:color="3D7FE0" w:themeColor="accent1"/>
            </w:tcBorders>
            <w:tcMar>
              <w:left w:w="0" w:type="dxa"/>
              <w:right w:w="0" w:type="dxa"/>
            </w:tcMar>
          </w:tcPr>
          <w:p w14:paraId="3C71B304" w14:textId="532E1813" w:rsidR="00C32FE8" w:rsidRPr="00FE025B" w:rsidRDefault="00C32FE8" w:rsidP="00C32FE8">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w:t>
            </w:r>
          </w:p>
        </w:tc>
      </w:tr>
      <w:tr w:rsidR="0076348D" w:rsidRPr="00AA5577" w14:paraId="06025D71" w14:textId="77777777" w:rsidTr="00435CF7">
        <w:trPr>
          <w:trHeight w:val="74"/>
        </w:trPr>
        <w:tc>
          <w:tcPr>
            <w:tcW w:w="4678" w:type="dxa"/>
            <w:tcBorders>
              <w:bottom w:val="single" w:sz="2" w:space="0" w:color="3D7FE0" w:themeColor="accent1"/>
            </w:tcBorders>
            <w:tcMar>
              <w:left w:w="0" w:type="dxa"/>
              <w:right w:w="0" w:type="dxa"/>
            </w:tcMar>
            <w:vAlign w:val="bottom"/>
          </w:tcPr>
          <w:p w14:paraId="5ED01F91" w14:textId="77777777" w:rsidR="0076348D" w:rsidRPr="00AA5577" w:rsidRDefault="0076348D" w:rsidP="0076348D">
            <w:pPr>
              <w:pStyle w:val="TabletextBold"/>
              <w:rPr>
                <w:rFonts w:ascii="IBM Plex Sans Light" w:hAnsi="IBM Plex Sans Light"/>
                <w:bCs/>
                <w:color w:val="auto"/>
                <w:sz w:val="18"/>
                <w:szCs w:val="18"/>
              </w:rPr>
            </w:pPr>
            <w:r w:rsidRPr="00AA5577">
              <w:rPr>
                <w:rFonts w:ascii="IBM Plex Sans Light" w:hAnsi="IBM Plex Sans Light"/>
                <w:bCs/>
                <w:color w:val="auto"/>
                <w:sz w:val="18"/>
                <w:szCs w:val="18"/>
              </w:rPr>
              <w:t>Share of results of associates</w:t>
            </w:r>
          </w:p>
        </w:tc>
        <w:tc>
          <w:tcPr>
            <w:tcW w:w="284" w:type="dxa"/>
            <w:tcBorders>
              <w:bottom w:val="single" w:sz="2" w:space="0" w:color="3D7FE0" w:themeColor="accent1"/>
            </w:tcBorders>
            <w:vAlign w:val="bottom"/>
          </w:tcPr>
          <w:p w14:paraId="7157E8BF" w14:textId="77777777" w:rsidR="0076348D" w:rsidRPr="00AA5577" w:rsidRDefault="0076348D" w:rsidP="0076348D">
            <w:pPr>
              <w:pStyle w:val="TabletextBold"/>
              <w:rPr>
                <w:rFonts w:ascii="IBM Plex Sans Light" w:hAnsi="IBM Plex Sans Light"/>
                <w:bCs/>
                <w:color w:val="auto"/>
                <w:sz w:val="18"/>
                <w:szCs w:val="18"/>
              </w:rPr>
            </w:pPr>
          </w:p>
        </w:tc>
        <w:tc>
          <w:tcPr>
            <w:tcW w:w="567" w:type="dxa"/>
            <w:tcBorders>
              <w:bottom w:val="single" w:sz="2" w:space="0" w:color="3D7FE0" w:themeColor="accent1"/>
            </w:tcBorders>
            <w:tcMar>
              <w:left w:w="0" w:type="dxa"/>
              <w:right w:w="0" w:type="dxa"/>
            </w:tcMar>
            <w:vAlign w:val="bottom"/>
          </w:tcPr>
          <w:p w14:paraId="5488D6E1" w14:textId="53FEE4B5" w:rsidR="0076348D" w:rsidRPr="00AA5577" w:rsidRDefault="0076348D" w:rsidP="0076348D">
            <w:pPr>
              <w:pStyle w:val="TableFigures"/>
              <w:jc w:val="center"/>
              <w:rPr>
                <w:rStyle w:val="NotesStyle"/>
                <w:rFonts w:ascii="IBM Plex Sans Light" w:hAnsi="IBM Plex Sans Light"/>
                <w:b/>
                <w:color w:val="auto"/>
                <w:spacing w:val="-4"/>
                <w:sz w:val="16"/>
                <w:szCs w:val="16"/>
              </w:rPr>
            </w:pPr>
            <w:r w:rsidRPr="00AA5577">
              <w:rPr>
                <w:rStyle w:val="NotesStyle"/>
                <w:rFonts w:ascii="IBM Plex Sans Light" w:hAnsi="IBM Plex Sans Light"/>
                <w:color w:val="auto"/>
                <w:spacing w:val="-4"/>
                <w:sz w:val="16"/>
                <w:szCs w:val="16"/>
              </w:rPr>
              <w:t>1</w:t>
            </w:r>
            <w:r w:rsidR="001E118C">
              <w:rPr>
                <w:rStyle w:val="NotesStyle"/>
                <w:rFonts w:ascii="IBM Plex Sans Light" w:hAnsi="IBM Plex Sans Light"/>
                <w:color w:val="auto"/>
                <w:spacing w:val="-4"/>
                <w:sz w:val="16"/>
                <w:szCs w:val="16"/>
              </w:rPr>
              <w:t>3</w:t>
            </w:r>
            <w:r w:rsidRPr="00AA5577">
              <w:rPr>
                <w:rStyle w:val="NotesStyle"/>
                <w:rFonts w:ascii="IBM Plex Sans Light" w:hAnsi="IBM Plex Sans Light"/>
                <w:color w:val="auto"/>
                <w:spacing w:val="-4"/>
                <w:sz w:val="16"/>
                <w:szCs w:val="16"/>
              </w:rPr>
              <w:t>B</w:t>
            </w:r>
          </w:p>
        </w:tc>
        <w:tc>
          <w:tcPr>
            <w:tcW w:w="850" w:type="dxa"/>
            <w:tcBorders>
              <w:bottom w:val="single" w:sz="2" w:space="0" w:color="3D7FE0" w:themeColor="accent1"/>
            </w:tcBorders>
            <w:tcMar>
              <w:left w:w="0" w:type="dxa"/>
              <w:right w:w="0" w:type="dxa"/>
            </w:tcMar>
          </w:tcPr>
          <w:p w14:paraId="20A85A5F" w14:textId="0FC8DD23" w:rsidR="0076348D" w:rsidRPr="0047498C" w:rsidRDefault="0076348D" w:rsidP="0047498C">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(7.1)</w:t>
            </w:r>
          </w:p>
        </w:tc>
        <w:tc>
          <w:tcPr>
            <w:tcW w:w="851" w:type="dxa"/>
            <w:tcBorders>
              <w:bottom w:val="single" w:sz="2" w:space="0" w:color="3D7FE0" w:themeColor="accent1"/>
              <w:right w:val="single" w:sz="4" w:space="0" w:color="3D7FE0" w:themeColor="accent1"/>
            </w:tcBorders>
            <w:tcMar>
              <w:left w:w="0" w:type="dxa"/>
              <w:right w:w="0" w:type="dxa"/>
            </w:tcMar>
          </w:tcPr>
          <w:p w14:paraId="759F9FD0" w14:textId="27D83B31" w:rsidR="0076348D" w:rsidRPr="0047498C" w:rsidRDefault="0076348D" w:rsidP="0076348D">
            <w:pPr>
              <w:pStyle w:val="TableFigure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1.8</w:t>
            </w:r>
          </w:p>
        </w:tc>
        <w:tc>
          <w:tcPr>
            <w:tcW w:w="992" w:type="dxa"/>
            <w:tcBorders>
              <w:left w:val="single" w:sz="4" w:space="0" w:color="3D7FE0" w:themeColor="accent1"/>
              <w:bottom w:val="single" w:sz="2" w:space="0" w:color="3D7FE0" w:themeColor="accent1"/>
            </w:tcBorders>
            <w:tcMar>
              <w:left w:w="0" w:type="dxa"/>
              <w:right w:w="0" w:type="dxa"/>
            </w:tcMar>
          </w:tcPr>
          <w:p w14:paraId="07C2DC56" w14:textId="2D639879" w:rsidR="0076348D" w:rsidRPr="00FE025B" w:rsidRDefault="0076348D"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(5.3)</w:t>
            </w:r>
          </w:p>
        </w:tc>
        <w:tc>
          <w:tcPr>
            <w:tcW w:w="850" w:type="dxa"/>
            <w:tcBorders>
              <w:bottom w:val="single" w:sz="2" w:space="0" w:color="3D7FE0" w:themeColor="accent1"/>
            </w:tcBorders>
          </w:tcPr>
          <w:p w14:paraId="598B86C3" w14:textId="60DD3358" w:rsidR="0076348D" w:rsidRPr="00FE025B" w:rsidRDefault="0076348D"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32.7</w:t>
            </w:r>
          </w:p>
        </w:tc>
        <w:tc>
          <w:tcPr>
            <w:tcW w:w="853" w:type="dxa"/>
            <w:tcBorders>
              <w:bottom w:val="single" w:sz="2" w:space="0" w:color="3D7FE0" w:themeColor="accent1"/>
              <w:right w:val="single" w:sz="4" w:space="0" w:color="3D7FE0" w:themeColor="accent1"/>
            </w:tcBorders>
            <w:tcMar>
              <w:left w:w="0" w:type="dxa"/>
              <w:right w:w="0" w:type="dxa"/>
            </w:tcMar>
          </w:tcPr>
          <w:p w14:paraId="58BDD788" w14:textId="2107AB8F" w:rsidR="0076348D" w:rsidRPr="00FE025B" w:rsidRDefault="0076348D"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27.4</w:t>
            </w:r>
          </w:p>
        </w:tc>
      </w:tr>
      <w:tr w:rsidR="0076348D" w:rsidRPr="00AA5577" w14:paraId="5DD98726" w14:textId="77777777" w:rsidTr="00435CF7">
        <w:tc>
          <w:tcPr>
            <w:tcW w:w="4678" w:type="dxa"/>
            <w:tcBorders>
              <w:top w:val="single" w:sz="2" w:space="0" w:color="3D7FE0" w:themeColor="accent1"/>
            </w:tcBorders>
            <w:tcMar>
              <w:left w:w="0" w:type="dxa"/>
              <w:right w:w="0" w:type="dxa"/>
            </w:tcMar>
            <w:vAlign w:val="bottom"/>
          </w:tcPr>
          <w:p w14:paraId="23C77425" w14:textId="2D24D2BB" w:rsidR="0076348D" w:rsidRPr="00AA5577" w:rsidRDefault="0076348D" w:rsidP="0076348D">
            <w:pPr>
              <w:pStyle w:val="TabletextBold"/>
              <w:rPr>
                <w:rFonts w:ascii="IBM Plex Sans Light" w:hAnsi="IBM Plex Sans Light"/>
                <w:bCs/>
                <w:color w:val="auto"/>
                <w:sz w:val="18"/>
                <w:szCs w:val="18"/>
              </w:rPr>
            </w:pPr>
            <w:r w:rsidRPr="00AA5577">
              <w:rPr>
                <w:rFonts w:ascii="IBM Plex Sans Light" w:hAnsi="IBM Plex Sans Light"/>
                <w:bCs/>
                <w:color w:val="auto"/>
                <w:sz w:val="18"/>
                <w:szCs w:val="18"/>
              </w:rPr>
              <w:t xml:space="preserve">Operating </w:t>
            </w:r>
            <w:r w:rsidR="00FC6179">
              <w:rPr>
                <w:rFonts w:ascii="IBM Plex Sans Light" w:hAnsi="IBM Plex Sans Light"/>
                <w:bCs/>
                <w:color w:val="auto"/>
                <w:sz w:val="18"/>
                <w:szCs w:val="18"/>
              </w:rPr>
              <w:t>(loss)/</w:t>
            </w:r>
            <w:r w:rsidRPr="00AA5577">
              <w:rPr>
                <w:rFonts w:ascii="IBM Plex Sans Light" w:hAnsi="IBM Plex Sans Light"/>
                <w:bCs/>
                <w:color w:val="auto"/>
                <w:sz w:val="18"/>
                <w:szCs w:val="18"/>
              </w:rPr>
              <w:t>profit</w:t>
            </w:r>
          </w:p>
        </w:tc>
        <w:tc>
          <w:tcPr>
            <w:tcW w:w="284" w:type="dxa"/>
            <w:tcBorders>
              <w:top w:val="single" w:sz="2" w:space="0" w:color="3D7FE0" w:themeColor="accent1"/>
            </w:tcBorders>
            <w:vAlign w:val="bottom"/>
          </w:tcPr>
          <w:p w14:paraId="35BF7CD8" w14:textId="77777777" w:rsidR="0076348D" w:rsidRPr="00AA5577" w:rsidRDefault="0076348D" w:rsidP="0076348D">
            <w:pPr>
              <w:pStyle w:val="TabletextBold"/>
              <w:rPr>
                <w:rFonts w:ascii="IBM Plex Sans Light" w:hAnsi="IBM Plex Sans Light"/>
                <w:bCs/>
                <w:color w:val="auto"/>
                <w:sz w:val="18"/>
                <w:szCs w:val="18"/>
              </w:rPr>
            </w:pPr>
          </w:p>
        </w:tc>
        <w:tc>
          <w:tcPr>
            <w:tcW w:w="567" w:type="dxa"/>
            <w:tcBorders>
              <w:top w:val="single" w:sz="2" w:space="0" w:color="3D7FE0" w:themeColor="accent1"/>
            </w:tcBorders>
            <w:tcMar>
              <w:left w:w="0" w:type="dxa"/>
              <w:right w:w="0" w:type="dxa"/>
            </w:tcMar>
            <w:vAlign w:val="bottom"/>
          </w:tcPr>
          <w:p w14:paraId="0E25364D" w14:textId="77777777" w:rsidR="0076348D" w:rsidRPr="00AA5577" w:rsidRDefault="0076348D" w:rsidP="0076348D">
            <w:pPr>
              <w:spacing w:after="0" w:line="240" w:lineRule="auto"/>
              <w:jc w:val="center"/>
              <w:rPr>
                <w:rFonts w:ascii="IBM Plex Sans Light" w:hAnsi="IBM Plex Sans Light" w:cs="Arial"/>
                <w:sz w:val="16"/>
                <w:szCs w:val="16"/>
              </w:rPr>
            </w:pPr>
          </w:p>
        </w:tc>
        <w:tc>
          <w:tcPr>
            <w:tcW w:w="850" w:type="dxa"/>
            <w:tcBorders>
              <w:top w:val="single" w:sz="2" w:space="0" w:color="3D7FE0" w:themeColor="accent1"/>
            </w:tcBorders>
            <w:tcMar>
              <w:left w:w="0" w:type="dxa"/>
              <w:right w:w="0" w:type="dxa"/>
            </w:tcMar>
          </w:tcPr>
          <w:p w14:paraId="44A0D48E" w14:textId="3E4D58B4" w:rsidR="0076348D" w:rsidRPr="0047498C" w:rsidRDefault="0076348D" w:rsidP="0047498C">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(101.0)</w:t>
            </w:r>
          </w:p>
        </w:tc>
        <w:tc>
          <w:tcPr>
            <w:tcW w:w="851" w:type="dxa"/>
            <w:tcBorders>
              <w:top w:val="single" w:sz="2" w:space="0" w:color="3D7FE0" w:themeColor="accent1"/>
              <w:right w:val="single" w:sz="4" w:space="0" w:color="3D7FE0" w:themeColor="accent1"/>
            </w:tcBorders>
            <w:tcMar>
              <w:left w:w="0" w:type="dxa"/>
              <w:right w:w="0" w:type="dxa"/>
            </w:tcMar>
          </w:tcPr>
          <w:p w14:paraId="69072858" w14:textId="3850BD5E" w:rsidR="0076348D" w:rsidRPr="0047498C" w:rsidRDefault="0076348D" w:rsidP="0076348D">
            <w:pPr>
              <w:pStyle w:val="TableFigure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2.9</w:t>
            </w:r>
          </w:p>
        </w:tc>
        <w:tc>
          <w:tcPr>
            <w:tcW w:w="992" w:type="dxa"/>
            <w:tcBorders>
              <w:top w:val="single" w:sz="2" w:space="0" w:color="3D7FE0" w:themeColor="accent1"/>
              <w:left w:val="single" w:sz="4" w:space="0" w:color="3D7FE0" w:themeColor="accent1"/>
            </w:tcBorders>
            <w:tcMar>
              <w:left w:w="0" w:type="dxa"/>
              <w:right w:w="0" w:type="dxa"/>
            </w:tcMar>
          </w:tcPr>
          <w:p w14:paraId="52A3B33A" w14:textId="0C7DA009" w:rsidR="0076348D" w:rsidRPr="00FE025B" w:rsidRDefault="0076348D"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(98.1)</w:t>
            </w:r>
          </w:p>
        </w:tc>
        <w:tc>
          <w:tcPr>
            <w:tcW w:w="850" w:type="dxa"/>
            <w:tcBorders>
              <w:top w:val="single" w:sz="2" w:space="0" w:color="3D7FE0" w:themeColor="accent1"/>
            </w:tcBorders>
          </w:tcPr>
          <w:p w14:paraId="6D1F8A30" w14:textId="4A71276D" w:rsidR="0076348D" w:rsidRPr="00FE025B" w:rsidRDefault="0076348D"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257.5</w:t>
            </w:r>
          </w:p>
        </w:tc>
        <w:tc>
          <w:tcPr>
            <w:tcW w:w="853" w:type="dxa"/>
            <w:tcBorders>
              <w:top w:val="single" w:sz="2" w:space="0" w:color="3D7FE0" w:themeColor="accent1"/>
              <w:right w:val="single" w:sz="4" w:space="0" w:color="3D7FE0" w:themeColor="accent1"/>
            </w:tcBorders>
            <w:tcMar>
              <w:left w:w="0" w:type="dxa"/>
              <w:right w:w="0" w:type="dxa"/>
            </w:tcMar>
          </w:tcPr>
          <w:p w14:paraId="6E0556A2" w14:textId="7202563D" w:rsidR="0076348D" w:rsidRPr="00FE025B" w:rsidRDefault="0076348D" w:rsidP="0076348D">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159.4</w:t>
            </w:r>
          </w:p>
        </w:tc>
      </w:tr>
      <w:tr w:rsidR="00AA5577" w:rsidRPr="00AA5577" w14:paraId="464BB022" w14:textId="77777777" w:rsidTr="00435CF7">
        <w:trPr>
          <w:trHeight w:hRule="exact" w:val="170"/>
        </w:trPr>
        <w:tc>
          <w:tcPr>
            <w:tcW w:w="4678" w:type="dxa"/>
            <w:tcMar>
              <w:left w:w="0" w:type="dxa"/>
              <w:right w:w="0" w:type="dxa"/>
            </w:tcMar>
            <w:vAlign w:val="bottom"/>
          </w:tcPr>
          <w:p w14:paraId="7D22B835" w14:textId="77777777" w:rsidR="00AA5577" w:rsidRPr="00AA5577" w:rsidRDefault="00AA5577" w:rsidP="002B525C">
            <w:pPr>
              <w:spacing w:after="0" w:line="240" w:lineRule="auto"/>
              <w:jc w:val="both"/>
              <w:rPr>
                <w:rFonts w:ascii="IBM Plex Sans Light" w:hAnsi="IBM Plex Sans Light" w:cs="Arial"/>
                <w:b/>
                <w:szCs w:val="18"/>
              </w:rPr>
            </w:pPr>
          </w:p>
        </w:tc>
        <w:tc>
          <w:tcPr>
            <w:tcW w:w="284" w:type="dxa"/>
            <w:vAlign w:val="bottom"/>
          </w:tcPr>
          <w:p w14:paraId="3801CFAD" w14:textId="77777777" w:rsidR="00AA5577" w:rsidRPr="00AA5577" w:rsidRDefault="00AA5577" w:rsidP="002B525C">
            <w:pPr>
              <w:spacing w:after="0" w:line="240" w:lineRule="auto"/>
              <w:jc w:val="both"/>
              <w:rPr>
                <w:rFonts w:ascii="IBM Plex Sans Light" w:hAnsi="IBM Plex Sans Light" w:cs="Arial"/>
                <w:b/>
                <w:szCs w:val="18"/>
              </w:rPr>
            </w:pPr>
          </w:p>
        </w:tc>
        <w:tc>
          <w:tcPr>
            <w:tcW w:w="567" w:type="dxa"/>
            <w:tcMar>
              <w:left w:w="0" w:type="dxa"/>
              <w:right w:w="0" w:type="dxa"/>
            </w:tcMar>
            <w:vAlign w:val="bottom"/>
          </w:tcPr>
          <w:p w14:paraId="3888F498" w14:textId="77777777" w:rsidR="00AA5577" w:rsidRPr="00AA5577" w:rsidRDefault="00AA5577" w:rsidP="002B525C">
            <w:pPr>
              <w:spacing w:after="0" w:line="240" w:lineRule="auto"/>
              <w:jc w:val="center"/>
              <w:rPr>
                <w:rFonts w:ascii="IBM Plex Sans Light" w:hAnsi="IBM Plex Sans Light" w:cs="Arial"/>
                <w:sz w:val="16"/>
                <w:szCs w:val="16"/>
              </w:rPr>
            </w:pPr>
          </w:p>
        </w:tc>
        <w:tc>
          <w:tcPr>
            <w:tcW w:w="850" w:type="dxa"/>
            <w:tcMar>
              <w:left w:w="0" w:type="dxa"/>
              <w:right w:w="0" w:type="dxa"/>
            </w:tcMar>
            <w:vAlign w:val="bottom"/>
          </w:tcPr>
          <w:p w14:paraId="791C2F66" w14:textId="77777777" w:rsidR="00AA5577" w:rsidRPr="00AA5577" w:rsidRDefault="00AA5577" w:rsidP="002B525C">
            <w:pPr>
              <w:pStyle w:val="TableFigures"/>
              <w:rPr>
                <w:rFonts w:ascii="IBM Plex Sans Light" w:hAnsi="IBM Plex Sans Light"/>
                <w:bCs/>
                <w:color w:val="auto"/>
                <w:spacing w:val="-4"/>
                <w:sz w:val="18"/>
                <w:szCs w:val="18"/>
              </w:rPr>
            </w:pPr>
          </w:p>
        </w:tc>
        <w:tc>
          <w:tcPr>
            <w:tcW w:w="851" w:type="dxa"/>
            <w:tcBorders>
              <w:right w:val="single" w:sz="4" w:space="0" w:color="3D7FE0" w:themeColor="accent1"/>
            </w:tcBorders>
            <w:tcMar>
              <w:left w:w="0" w:type="dxa"/>
              <w:right w:w="0" w:type="dxa"/>
            </w:tcMar>
            <w:vAlign w:val="bottom"/>
          </w:tcPr>
          <w:p w14:paraId="4953677F" w14:textId="77777777" w:rsidR="00AA5577" w:rsidRPr="00AA5577" w:rsidRDefault="00AA5577" w:rsidP="002B525C">
            <w:pPr>
              <w:pStyle w:val="TableFiguresBold"/>
              <w:rPr>
                <w:rFonts w:ascii="IBM Plex Sans Light" w:hAnsi="IBM Plex Sans Light"/>
                <w:b w:val="0"/>
                <w:color w:val="auto"/>
                <w:spacing w:val="-4"/>
                <w:sz w:val="18"/>
                <w:szCs w:val="18"/>
              </w:rPr>
            </w:pPr>
          </w:p>
        </w:tc>
        <w:tc>
          <w:tcPr>
            <w:tcW w:w="992" w:type="dxa"/>
            <w:tcBorders>
              <w:left w:val="single" w:sz="4" w:space="0" w:color="3D7FE0" w:themeColor="accent1"/>
            </w:tcBorders>
            <w:tcMar>
              <w:left w:w="0" w:type="dxa"/>
              <w:right w:w="0" w:type="dxa"/>
            </w:tcMar>
            <w:vAlign w:val="bottom"/>
          </w:tcPr>
          <w:p w14:paraId="1FB64E54" w14:textId="77777777" w:rsidR="00AA5577" w:rsidRPr="00AA5577" w:rsidRDefault="00AA5577" w:rsidP="002B525C">
            <w:pPr>
              <w:pStyle w:val="TableFiguresBold"/>
              <w:rPr>
                <w:rFonts w:ascii="IBM Plex Sans Light" w:hAnsi="IBM Plex Sans Light" w:cs="MyriadPro-Light"/>
                <w:b w:val="0"/>
                <w:color w:val="auto"/>
                <w:spacing w:val="-4"/>
                <w:sz w:val="18"/>
                <w:szCs w:val="18"/>
              </w:rPr>
            </w:pPr>
          </w:p>
        </w:tc>
        <w:tc>
          <w:tcPr>
            <w:tcW w:w="850" w:type="dxa"/>
            <w:vAlign w:val="bottom"/>
          </w:tcPr>
          <w:p w14:paraId="2FE7A22A" w14:textId="77777777" w:rsidR="00AA5577" w:rsidRPr="00FE025B" w:rsidRDefault="00AA5577" w:rsidP="002B525C">
            <w:pPr>
              <w:pStyle w:val="TableFigures"/>
              <w:rPr>
                <w:rFonts w:ascii="IBM Plex Sans Light" w:hAnsi="IBM Plex Sans Light"/>
                <w:bCs/>
                <w:color w:val="auto"/>
                <w:spacing w:val="-4"/>
                <w:sz w:val="18"/>
                <w:szCs w:val="18"/>
              </w:rPr>
            </w:pPr>
          </w:p>
        </w:tc>
        <w:tc>
          <w:tcPr>
            <w:tcW w:w="853" w:type="dxa"/>
            <w:tcBorders>
              <w:right w:val="single" w:sz="4" w:space="0" w:color="3D7FE0" w:themeColor="accent1"/>
            </w:tcBorders>
            <w:tcMar>
              <w:left w:w="0" w:type="dxa"/>
              <w:right w:w="0" w:type="dxa"/>
            </w:tcMar>
            <w:vAlign w:val="bottom"/>
          </w:tcPr>
          <w:p w14:paraId="64450131" w14:textId="77777777" w:rsidR="00AA5577" w:rsidRPr="00FE025B" w:rsidRDefault="00AA5577" w:rsidP="002B525C">
            <w:pPr>
              <w:pStyle w:val="TableFigures"/>
              <w:rPr>
                <w:rFonts w:ascii="IBM Plex Sans Light" w:hAnsi="IBM Plex Sans Light"/>
                <w:bCs/>
                <w:color w:val="auto"/>
                <w:spacing w:val="-4"/>
                <w:sz w:val="18"/>
                <w:szCs w:val="18"/>
              </w:rPr>
            </w:pPr>
          </w:p>
        </w:tc>
      </w:tr>
      <w:tr w:rsidR="006755CF" w:rsidRPr="00AA5577" w14:paraId="5137100F" w14:textId="77777777" w:rsidTr="00435CF7">
        <w:tc>
          <w:tcPr>
            <w:tcW w:w="4678" w:type="dxa"/>
            <w:tcBorders>
              <w:bottom w:val="single" w:sz="2" w:space="0" w:color="3D7FE0" w:themeColor="accent1"/>
            </w:tcBorders>
            <w:tcMar>
              <w:left w:w="0" w:type="dxa"/>
              <w:right w:w="0" w:type="dxa"/>
            </w:tcMar>
            <w:vAlign w:val="bottom"/>
          </w:tcPr>
          <w:p w14:paraId="60B0E171" w14:textId="77777777" w:rsidR="006755CF" w:rsidRPr="00AA5577" w:rsidRDefault="006755CF" w:rsidP="006755CF">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Net finance costs</w:t>
            </w:r>
          </w:p>
        </w:tc>
        <w:tc>
          <w:tcPr>
            <w:tcW w:w="284" w:type="dxa"/>
            <w:tcBorders>
              <w:bottom w:val="single" w:sz="2" w:space="0" w:color="3D7FE0" w:themeColor="accent1"/>
            </w:tcBorders>
            <w:vAlign w:val="bottom"/>
          </w:tcPr>
          <w:p w14:paraId="7CC584C3" w14:textId="77777777" w:rsidR="006755CF" w:rsidRPr="00AA5577" w:rsidRDefault="006755CF" w:rsidP="006755CF">
            <w:pPr>
              <w:pStyle w:val="Tabletext"/>
              <w:rPr>
                <w:rFonts w:ascii="IBM Plex Sans Light" w:hAnsi="IBM Plex Sans Light"/>
                <w:color w:val="auto"/>
                <w:spacing w:val="-4"/>
                <w:sz w:val="18"/>
                <w:szCs w:val="18"/>
              </w:rPr>
            </w:pPr>
          </w:p>
        </w:tc>
        <w:tc>
          <w:tcPr>
            <w:tcW w:w="567" w:type="dxa"/>
            <w:tcBorders>
              <w:bottom w:val="single" w:sz="2" w:space="0" w:color="3D7FE0" w:themeColor="accent1"/>
            </w:tcBorders>
            <w:tcMar>
              <w:left w:w="0" w:type="dxa"/>
              <w:right w:w="0" w:type="dxa"/>
            </w:tcMar>
            <w:vAlign w:val="bottom"/>
          </w:tcPr>
          <w:p w14:paraId="40832F71" w14:textId="2783D5D4" w:rsidR="006755CF" w:rsidRPr="00AA5577" w:rsidRDefault="001E118C" w:rsidP="006755CF">
            <w:pPr>
              <w:pStyle w:val="TableFigures"/>
              <w:jc w:val="center"/>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6</w:t>
            </w:r>
          </w:p>
        </w:tc>
        <w:tc>
          <w:tcPr>
            <w:tcW w:w="850" w:type="dxa"/>
            <w:tcBorders>
              <w:bottom w:val="single" w:sz="2" w:space="0" w:color="3D7FE0" w:themeColor="accent1"/>
            </w:tcBorders>
            <w:tcMar>
              <w:left w:w="0" w:type="dxa"/>
              <w:right w:w="0" w:type="dxa"/>
            </w:tcMar>
          </w:tcPr>
          <w:p w14:paraId="03BFCC9C" w14:textId="7884F276" w:rsidR="006755CF" w:rsidRPr="0047498C" w:rsidRDefault="006755CF" w:rsidP="006755CF">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(63.0)</w:t>
            </w:r>
          </w:p>
        </w:tc>
        <w:tc>
          <w:tcPr>
            <w:tcW w:w="851" w:type="dxa"/>
            <w:tcBorders>
              <w:bottom w:val="single" w:sz="2" w:space="0" w:color="3D7FE0" w:themeColor="accent1"/>
              <w:right w:val="single" w:sz="4" w:space="0" w:color="3D7FE0" w:themeColor="accent1"/>
            </w:tcBorders>
            <w:tcMar>
              <w:left w:w="0" w:type="dxa"/>
              <w:right w:w="0" w:type="dxa"/>
            </w:tcMar>
          </w:tcPr>
          <w:p w14:paraId="701925E1" w14:textId="1F56A031" w:rsidR="006755CF" w:rsidRPr="0047498C" w:rsidRDefault="006755CF" w:rsidP="006755CF">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(2.6)</w:t>
            </w:r>
          </w:p>
        </w:tc>
        <w:tc>
          <w:tcPr>
            <w:tcW w:w="992" w:type="dxa"/>
            <w:tcBorders>
              <w:left w:val="single" w:sz="4" w:space="0" w:color="3D7FE0" w:themeColor="accent1"/>
              <w:bottom w:val="single" w:sz="2" w:space="0" w:color="3D7FE0" w:themeColor="accent1"/>
            </w:tcBorders>
            <w:tcMar>
              <w:left w:w="0" w:type="dxa"/>
              <w:right w:w="0" w:type="dxa"/>
            </w:tcMar>
          </w:tcPr>
          <w:p w14:paraId="0FCF2533" w14:textId="594C2D13" w:rsidR="006755CF" w:rsidRPr="00FE025B" w:rsidRDefault="006755CF" w:rsidP="006755CF">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(65.6)</w:t>
            </w:r>
          </w:p>
        </w:tc>
        <w:tc>
          <w:tcPr>
            <w:tcW w:w="850" w:type="dxa"/>
            <w:tcBorders>
              <w:bottom w:val="single" w:sz="2" w:space="0" w:color="3D7FE0" w:themeColor="accent1"/>
            </w:tcBorders>
          </w:tcPr>
          <w:p w14:paraId="18D2BDC4" w14:textId="5A6A115C" w:rsidR="006755CF" w:rsidRPr="00FE025B" w:rsidRDefault="006755CF"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11.6</w:t>
            </w:r>
          </w:p>
        </w:tc>
        <w:tc>
          <w:tcPr>
            <w:tcW w:w="853" w:type="dxa"/>
            <w:tcBorders>
              <w:bottom w:val="single" w:sz="2" w:space="0" w:color="3D7FE0" w:themeColor="accent1"/>
              <w:right w:val="single" w:sz="4" w:space="0" w:color="3D7FE0" w:themeColor="accent1"/>
            </w:tcBorders>
            <w:tcMar>
              <w:left w:w="0" w:type="dxa"/>
              <w:right w:w="0" w:type="dxa"/>
            </w:tcMar>
          </w:tcPr>
          <w:p w14:paraId="67C6D06F" w14:textId="3228DFFF" w:rsidR="006755CF" w:rsidRPr="00FE025B" w:rsidRDefault="006755CF"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(54.0)</w:t>
            </w:r>
          </w:p>
        </w:tc>
      </w:tr>
      <w:tr w:rsidR="006755CF" w:rsidRPr="00AA5577" w14:paraId="53C45E4F" w14:textId="77777777" w:rsidTr="00435CF7">
        <w:tc>
          <w:tcPr>
            <w:tcW w:w="4678" w:type="dxa"/>
            <w:tcBorders>
              <w:top w:val="single" w:sz="2" w:space="0" w:color="3D7FE0" w:themeColor="accent1"/>
            </w:tcBorders>
            <w:tcMar>
              <w:left w:w="0" w:type="dxa"/>
              <w:right w:w="0" w:type="dxa"/>
            </w:tcMar>
            <w:vAlign w:val="bottom"/>
          </w:tcPr>
          <w:p w14:paraId="486FF234" w14:textId="52CD9572" w:rsidR="006755CF" w:rsidRPr="00AA5577" w:rsidRDefault="00607220" w:rsidP="006755CF">
            <w:pPr>
              <w:pStyle w:val="TabletextBold"/>
              <w:rPr>
                <w:rFonts w:ascii="IBM Plex Sans Light" w:hAnsi="IBM Plex Sans Light" w:cs="MyriadPro-Light"/>
                <w:bCs/>
                <w:color w:val="auto"/>
                <w:sz w:val="18"/>
                <w:szCs w:val="18"/>
              </w:rPr>
            </w:pPr>
            <w:r>
              <w:rPr>
                <w:rFonts w:ascii="IBM Plex Sans Light" w:hAnsi="IBM Plex Sans Light"/>
                <w:bCs/>
                <w:color w:val="auto"/>
                <w:sz w:val="18"/>
                <w:szCs w:val="18"/>
              </w:rPr>
              <w:t>(Loss)/p</w:t>
            </w:r>
            <w:r w:rsidR="006755CF" w:rsidRPr="00AA5577">
              <w:rPr>
                <w:rFonts w:ascii="IBM Plex Sans Light" w:hAnsi="IBM Plex Sans Light"/>
                <w:bCs/>
                <w:color w:val="auto"/>
                <w:sz w:val="18"/>
                <w:szCs w:val="18"/>
              </w:rPr>
              <w:t>rofit before tax</w:t>
            </w:r>
          </w:p>
        </w:tc>
        <w:tc>
          <w:tcPr>
            <w:tcW w:w="284" w:type="dxa"/>
            <w:tcBorders>
              <w:top w:val="single" w:sz="2" w:space="0" w:color="3D7FE0" w:themeColor="accent1"/>
            </w:tcBorders>
            <w:vAlign w:val="bottom"/>
          </w:tcPr>
          <w:p w14:paraId="09AB9E2B" w14:textId="77777777" w:rsidR="006755CF" w:rsidRPr="00AA5577" w:rsidRDefault="006755CF" w:rsidP="006755CF">
            <w:pPr>
              <w:pStyle w:val="TabletextBold"/>
              <w:rPr>
                <w:rFonts w:ascii="IBM Plex Sans Light" w:hAnsi="IBM Plex Sans Light" w:cs="MyriadPro-Light"/>
                <w:bCs/>
                <w:color w:val="auto"/>
                <w:sz w:val="18"/>
                <w:szCs w:val="18"/>
              </w:rPr>
            </w:pPr>
          </w:p>
        </w:tc>
        <w:tc>
          <w:tcPr>
            <w:tcW w:w="567" w:type="dxa"/>
            <w:tcBorders>
              <w:top w:val="single" w:sz="2" w:space="0" w:color="3D7FE0" w:themeColor="accent1"/>
            </w:tcBorders>
            <w:tcMar>
              <w:left w:w="0" w:type="dxa"/>
              <w:right w:w="0" w:type="dxa"/>
            </w:tcMar>
            <w:vAlign w:val="bottom"/>
          </w:tcPr>
          <w:p w14:paraId="17DF92F8" w14:textId="77777777" w:rsidR="006755CF" w:rsidRPr="00AA5577" w:rsidRDefault="006755CF" w:rsidP="006755CF">
            <w:pPr>
              <w:spacing w:after="0" w:line="240" w:lineRule="auto"/>
              <w:jc w:val="center"/>
              <w:rPr>
                <w:rStyle w:val="NotesStyle"/>
                <w:rFonts w:ascii="IBM Plex Sans Light" w:hAnsi="IBM Plex Sans Light"/>
                <w:b/>
                <w:sz w:val="16"/>
                <w:szCs w:val="16"/>
              </w:rPr>
            </w:pPr>
          </w:p>
        </w:tc>
        <w:tc>
          <w:tcPr>
            <w:tcW w:w="850" w:type="dxa"/>
            <w:tcBorders>
              <w:top w:val="single" w:sz="2" w:space="0" w:color="3D7FE0" w:themeColor="accent1"/>
            </w:tcBorders>
            <w:tcMar>
              <w:left w:w="0" w:type="dxa"/>
              <w:right w:w="0" w:type="dxa"/>
            </w:tcMar>
          </w:tcPr>
          <w:p w14:paraId="7715E22C" w14:textId="652610DA" w:rsidR="006755CF" w:rsidRPr="0047498C" w:rsidRDefault="006755CF" w:rsidP="0047498C">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(164.0)</w:t>
            </w:r>
          </w:p>
        </w:tc>
        <w:tc>
          <w:tcPr>
            <w:tcW w:w="851" w:type="dxa"/>
            <w:tcBorders>
              <w:top w:val="single" w:sz="2" w:space="0" w:color="3D7FE0" w:themeColor="accent1"/>
              <w:right w:val="single" w:sz="4" w:space="0" w:color="3D7FE0" w:themeColor="accent1"/>
            </w:tcBorders>
            <w:tcMar>
              <w:left w:w="0" w:type="dxa"/>
              <w:right w:w="0" w:type="dxa"/>
            </w:tcMar>
          </w:tcPr>
          <w:p w14:paraId="1D92A706" w14:textId="00616586" w:rsidR="006755CF" w:rsidRPr="0047498C" w:rsidRDefault="006755CF" w:rsidP="006755CF">
            <w:pPr>
              <w:pStyle w:val="TableFigure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0.3</w:t>
            </w:r>
          </w:p>
        </w:tc>
        <w:tc>
          <w:tcPr>
            <w:tcW w:w="992" w:type="dxa"/>
            <w:tcBorders>
              <w:top w:val="single" w:sz="2" w:space="0" w:color="3D7FE0" w:themeColor="accent1"/>
              <w:left w:val="single" w:sz="4" w:space="0" w:color="3D7FE0" w:themeColor="accent1"/>
            </w:tcBorders>
            <w:tcMar>
              <w:left w:w="0" w:type="dxa"/>
              <w:right w:w="0" w:type="dxa"/>
            </w:tcMar>
          </w:tcPr>
          <w:p w14:paraId="1E1E6088" w14:textId="33806F7E" w:rsidR="006755CF" w:rsidRPr="00FE025B" w:rsidRDefault="006755CF"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(163.7)</w:t>
            </w:r>
          </w:p>
        </w:tc>
        <w:tc>
          <w:tcPr>
            <w:tcW w:w="850" w:type="dxa"/>
            <w:tcBorders>
              <w:top w:val="single" w:sz="2" w:space="0" w:color="3D7FE0" w:themeColor="accent1"/>
            </w:tcBorders>
          </w:tcPr>
          <w:p w14:paraId="0E6A0299" w14:textId="6141F5E3" w:rsidR="006755CF" w:rsidRPr="00FE025B" w:rsidRDefault="006755CF"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269.1</w:t>
            </w:r>
          </w:p>
        </w:tc>
        <w:tc>
          <w:tcPr>
            <w:tcW w:w="853" w:type="dxa"/>
            <w:tcBorders>
              <w:top w:val="single" w:sz="2" w:space="0" w:color="3D7FE0" w:themeColor="accent1"/>
              <w:right w:val="single" w:sz="4" w:space="0" w:color="3D7FE0" w:themeColor="accent1"/>
            </w:tcBorders>
            <w:tcMar>
              <w:left w:w="0" w:type="dxa"/>
              <w:right w:w="0" w:type="dxa"/>
            </w:tcMar>
          </w:tcPr>
          <w:p w14:paraId="13F25C1C" w14:textId="3A82E7C5" w:rsidR="006755CF" w:rsidRPr="00FE025B" w:rsidRDefault="006755CF" w:rsidP="006755CF">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105.4</w:t>
            </w:r>
          </w:p>
        </w:tc>
      </w:tr>
      <w:tr w:rsidR="006755CF" w:rsidRPr="00AA5577" w14:paraId="44945A85" w14:textId="77777777" w:rsidTr="00435CF7">
        <w:tc>
          <w:tcPr>
            <w:tcW w:w="4678" w:type="dxa"/>
            <w:tcBorders>
              <w:bottom w:val="single" w:sz="2" w:space="0" w:color="3D7FE0" w:themeColor="accent1"/>
            </w:tcBorders>
            <w:tcMar>
              <w:left w:w="0" w:type="dxa"/>
              <w:right w:w="0" w:type="dxa"/>
            </w:tcMar>
            <w:vAlign w:val="bottom"/>
          </w:tcPr>
          <w:p w14:paraId="2F62E91F" w14:textId="77777777" w:rsidR="006755CF" w:rsidRPr="00AA5577" w:rsidRDefault="006755CF" w:rsidP="006755CF">
            <w:pPr>
              <w:pStyle w:val="Tabletext"/>
              <w:rPr>
                <w:rFonts w:ascii="IBM Plex Sans Light" w:hAnsi="IBM Plex Sans Light"/>
                <w:color w:val="auto"/>
                <w:spacing w:val="-4"/>
                <w:sz w:val="18"/>
                <w:szCs w:val="18"/>
              </w:rPr>
            </w:pPr>
            <w:r w:rsidRPr="00AA5577">
              <w:rPr>
                <w:rFonts w:ascii="IBM Plex Sans Light" w:hAnsi="IBM Plex Sans Light"/>
                <w:color w:val="auto"/>
                <w:spacing w:val="-4"/>
                <w:sz w:val="18"/>
                <w:szCs w:val="18"/>
              </w:rPr>
              <w:t>Tax charge</w:t>
            </w:r>
          </w:p>
        </w:tc>
        <w:tc>
          <w:tcPr>
            <w:tcW w:w="284" w:type="dxa"/>
            <w:tcBorders>
              <w:bottom w:val="single" w:sz="2" w:space="0" w:color="3D7FE0" w:themeColor="accent1"/>
            </w:tcBorders>
            <w:vAlign w:val="bottom"/>
          </w:tcPr>
          <w:p w14:paraId="00961DBC" w14:textId="77777777" w:rsidR="006755CF" w:rsidRPr="00AA5577" w:rsidRDefault="006755CF" w:rsidP="006755CF">
            <w:pPr>
              <w:pStyle w:val="Tabletext"/>
              <w:rPr>
                <w:rFonts w:ascii="IBM Plex Sans Light" w:hAnsi="IBM Plex Sans Light"/>
                <w:color w:val="auto"/>
                <w:spacing w:val="-4"/>
                <w:sz w:val="18"/>
                <w:szCs w:val="18"/>
              </w:rPr>
            </w:pPr>
          </w:p>
        </w:tc>
        <w:tc>
          <w:tcPr>
            <w:tcW w:w="567" w:type="dxa"/>
            <w:tcBorders>
              <w:bottom w:val="single" w:sz="2" w:space="0" w:color="3D7FE0" w:themeColor="accent1"/>
            </w:tcBorders>
            <w:tcMar>
              <w:left w:w="0" w:type="dxa"/>
              <w:right w:w="0" w:type="dxa"/>
            </w:tcMar>
            <w:vAlign w:val="bottom"/>
          </w:tcPr>
          <w:p w14:paraId="19FF761D" w14:textId="5DC2DB70" w:rsidR="006755CF" w:rsidRPr="00AA5577" w:rsidRDefault="001E118C" w:rsidP="006755CF">
            <w:pPr>
              <w:pStyle w:val="TableFigures"/>
              <w:jc w:val="center"/>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7</w:t>
            </w:r>
          </w:p>
        </w:tc>
        <w:tc>
          <w:tcPr>
            <w:tcW w:w="850" w:type="dxa"/>
            <w:tcBorders>
              <w:bottom w:val="single" w:sz="2" w:space="0" w:color="3D7FE0" w:themeColor="accent1"/>
            </w:tcBorders>
            <w:tcMar>
              <w:left w:w="0" w:type="dxa"/>
              <w:right w:w="0" w:type="dxa"/>
            </w:tcMar>
          </w:tcPr>
          <w:p w14:paraId="7862EE94" w14:textId="4B025665" w:rsidR="006755CF" w:rsidRPr="0047498C" w:rsidRDefault="006755CF" w:rsidP="006755CF">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(0.2)</w:t>
            </w:r>
          </w:p>
        </w:tc>
        <w:tc>
          <w:tcPr>
            <w:tcW w:w="851" w:type="dxa"/>
            <w:tcBorders>
              <w:bottom w:val="single" w:sz="2" w:space="0" w:color="3D7FE0" w:themeColor="accent1"/>
              <w:right w:val="single" w:sz="4" w:space="0" w:color="3D7FE0" w:themeColor="accent1"/>
            </w:tcBorders>
            <w:tcMar>
              <w:left w:w="0" w:type="dxa"/>
              <w:right w:w="0" w:type="dxa"/>
            </w:tcMar>
          </w:tcPr>
          <w:p w14:paraId="0667AA61" w14:textId="33B934C3" w:rsidR="006755CF" w:rsidRPr="0047498C" w:rsidRDefault="006755CF" w:rsidP="0047498C">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(0.3)</w:t>
            </w:r>
          </w:p>
        </w:tc>
        <w:tc>
          <w:tcPr>
            <w:tcW w:w="992" w:type="dxa"/>
            <w:tcBorders>
              <w:left w:val="single" w:sz="4" w:space="0" w:color="3D7FE0" w:themeColor="accent1"/>
              <w:bottom w:val="single" w:sz="2" w:space="0" w:color="3D7FE0" w:themeColor="accent1"/>
            </w:tcBorders>
            <w:tcMar>
              <w:left w:w="0" w:type="dxa"/>
              <w:right w:w="0" w:type="dxa"/>
            </w:tcMar>
          </w:tcPr>
          <w:p w14:paraId="51FFF7D2" w14:textId="6329EF09" w:rsidR="006755CF" w:rsidRPr="00FE025B" w:rsidRDefault="006755CF" w:rsidP="006755CF">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(0.5)</w:t>
            </w:r>
          </w:p>
        </w:tc>
        <w:tc>
          <w:tcPr>
            <w:tcW w:w="850" w:type="dxa"/>
            <w:tcBorders>
              <w:bottom w:val="single" w:sz="2" w:space="0" w:color="3D7FE0" w:themeColor="accent1"/>
            </w:tcBorders>
          </w:tcPr>
          <w:p w14:paraId="63D3100C" w14:textId="5AC41013" w:rsidR="006755CF" w:rsidRPr="00FE025B" w:rsidRDefault="006755CF" w:rsidP="00FE025B">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w:t>
            </w:r>
          </w:p>
        </w:tc>
        <w:tc>
          <w:tcPr>
            <w:tcW w:w="853" w:type="dxa"/>
            <w:tcBorders>
              <w:bottom w:val="single" w:sz="2" w:space="0" w:color="3D7FE0" w:themeColor="accent1"/>
              <w:right w:val="single" w:sz="4" w:space="0" w:color="3D7FE0" w:themeColor="accent1"/>
            </w:tcBorders>
            <w:tcMar>
              <w:left w:w="0" w:type="dxa"/>
              <w:right w:w="0" w:type="dxa"/>
            </w:tcMar>
          </w:tcPr>
          <w:p w14:paraId="331B979E" w14:textId="2EA980A5" w:rsidR="006755CF" w:rsidRPr="00FE025B" w:rsidRDefault="006755CF" w:rsidP="00FE025B">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(0.5)</w:t>
            </w:r>
          </w:p>
        </w:tc>
      </w:tr>
      <w:tr w:rsidR="006755CF" w:rsidRPr="00AA5577" w14:paraId="2F63136D" w14:textId="77777777" w:rsidTr="00607220">
        <w:tc>
          <w:tcPr>
            <w:tcW w:w="4678" w:type="dxa"/>
            <w:tcBorders>
              <w:top w:val="single" w:sz="2" w:space="0" w:color="3D7FE0" w:themeColor="accent1"/>
              <w:bottom w:val="single" w:sz="8" w:space="0" w:color="3D7FE0" w:themeColor="accent1"/>
            </w:tcBorders>
            <w:tcMar>
              <w:left w:w="0" w:type="dxa"/>
              <w:right w:w="0" w:type="dxa"/>
            </w:tcMar>
            <w:vAlign w:val="bottom"/>
          </w:tcPr>
          <w:p w14:paraId="0A617D28" w14:textId="6634D3D6" w:rsidR="006755CF" w:rsidRPr="00AA5577" w:rsidRDefault="00607220" w:rsidP="006755CF">
            <w:pPr>
              <w:pStyle w:val="TabletextBold"/>
              <w:rPr>
                <w:rFonts w:ascii="IBM Plex Sans Light" w:hAnsi="IBM Plex Sans Light"/>
                <w:bCs/>
                <w:color w:val="auto"/>
                <w:sz w:val="18"/>
                <w:szCs w:val="18"/>
              </w:rPr>
            </w:pPr>
            <w:r>
              <w:rPr>
                <w:rFonts w:ascii="IBM Plex Sans Light" w:hAnsi="IBM Plex Sans Light"/>
                <w:bCs/>
                <w:color w:val="auto"/>
                <w:sz w:val="18"/>
                <w:szCs w:val="18"/>
              </w:rPr>
              <w:t>(Loss)/p</w:t>
            </w:r>
            <w:r w:rsidR="006755CF" w:rsidRPr="00AA5577">
              <w:rPr>
                <w:rFonts w:ascii="IBM Plex Sans Light" w:hAnsi="IBM Plex Sans Light"/>
                <w:bCs/>
                <w:color w:val="auto"/>
                <w:sz w:val="18"/>
                <w:szCs w:val="18"/>
              </w:rPr>
              <w:t>rofit for the year attributable to equity shareholders</w:t>
            </w:r>
          </w:p>
        </w:tc>
        <w:tc>
          <w:tcPr>
            <w:tcW w:w="284" w:type="dxa"/>
            <w:tcBorders>
              <w:top w:val="single" w:sz="2" w:space="0" w:color="3D7FE0" w:themeColor="accent1"/>
              <w:bottom w:val="single" w:sz="8" w:space="0" w:color="3D7FE0" w:themeColor="accent1"/>
            </w:tcBorders>
            <w:vAlign w:val="bottom"/>
          </w:tcPr>
          <w:p w14:paraId="590B1D07" w14:textId="77777777" w:rsidR="006755CF" w:rsidRPr="00AA5577" w:rsidRDefault="006755CF" w:rsidP="006755CF">
            <w:pPr>
              <w:pStyle w:val="TabletextBold"/>
              <w:rPr>
                <w:rFonts w:ascii="IBM Plex Sans Light" w:hAnsi="IBM Plex Sans Light"/>
                <w:bCs/>
                <w:color w:val="auto"/>
                <w:sz w:val="18"/>
                <w:szCs w:val="18"/>
              </w:rPr>
            </w:pPr>
          </w:p>
        </w:tc>
        <w:tc>
          <w:tcPr>
            <w:tcW w:w="567" w:type="dxa"/>
            <w:tcBorders>
              <w:top w:val="single" w:sz="2" w:space="0" w:color="3D7FE0" w:themeColor="accent1"/>
              <w:bottom w:val="single" w:sz="8" w:space="0" w:color="3D7FE0" w:themeColor="accent1"/>
            </w:tcBorders>
            <w:tcMar>
              <w:left w:w="0" w:type="dxa"/>
              <w:right w:w="0" w:type="dxa"/>
            </w:tcMar>
            <w:vAlign w:val="bottom"/>
          </w:tcPr>
          <w:p w14:paraId="1A6589E9" w14:textId="77777777" w:rsidR="006755CF" w:rsidRPr="00AA5577" w:rsidRDefault="006755CF" w:rsidP="006755CF">
            <w:pPr>
              <w:pStyle w:val="TableFigures"/>
              <w:jc w:val="center"/>
              <w:rPr>
                <w:rStyle w:val="NotesStyle"/>
                <w:rFonts w:ascii="IBM Plex Sans Light" w:hAnsi="IBM Plex Sans Light"/>
                <w:b/>
                <w:color w:val="auto"/>
                <w:spacing w:val="-4"/>
                <w:sz w:val="16"/>
                <w:szCs w:val="16"/>
              </w:rPr>
            </w:pPr>
          </w:p>
        </w:tc>
        <w:tc>
          <w:tcPr>
            <w:tcW w:w="850" w:type="dxa"/>
            <w:tcBorders>
              <w:top w:val="single" w:sz="2" w:space="0" w:color="3D7FE0" w:themeColor="accent1"/>
              <w:bottom w:val="single" w:sz="8" w:space="0" w:color="3D7FE0" w:themeColor="accent1"/>
            </w:tcBorders>
            <w:tcMar>
              <w:left w:w="0" w:type="dxa"/>
              <w:right w:w="0" w:type="dxa"/>
            </w:tcMar>
            <w:vAlign w:val="bottom"/>
          </w:tcPr>
          <w:p w14:paraId="4468667E" w14:textId="37B90851" w:rsidR="006755CF" w:rsidRPr="0047498C" w:rsidRDefault="006755CF" w:rsidP="00607220">
            <w:pPr>
              <w:pStyle w:val="TableFiguresBracket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(164.2)</w:t>
            </w:r>
          </w:p>
        </w:tc>
        <w:tc>
          <w:tcPr>
            <w:tcW w:w="851" w:type="dxa"/>
            <w:tcBorders>
              <w:top w:val="single" w:sz="2" w:space="0" w:color="3D7FE0" w:themeColor="accent1"/>
              <w:bottom w:val="single" w:sz="8" w:space="0" w:color="3D7FE0" w:themeColor="accent1"/>
              <w:right w:val="single" w:sz="4" w:space="0" w:color="3D7FE0" w:themeColor="accent1"/>
            </w:tcBorders>
            <w:tcMar>
              <w:left w:w="0" w:type="dxa"/>
              <w:right w:w="0" w:type="dxa"/>
            </w:tcMar>
            <w:vAlign w:val="bottom"/>
          </w:tcPr>
          <w:p w14:paraId="7430C81C" w14:textId="5080E51D" w:rsidR="006755CF" w:rsidRPr="0047498C" w:rsidRDefault="006755CF" w:rsidP="00607220">
            <w:pPr>
              <w:pStyle w:val="TableFiguresBold"/>
              <w:rPr>
                <w:rFonts w:ascii="IBM Plex Sans Light" w:hAnsi="IBM Plex Sans Light"/>
                <w:b w:val="0"/>
                <w:color w:val="auto"/>
                <w:spacing w:val="-4"/>
                <w:sz w:val="18"/>
                <w:szCs w:val="18"/>
              </w:rPr>
            </w:pPr>
            <w:r w:rsidRPr="0047498C">
              <w:rPr>
                <w:rFonts w:ascii="IBM Plex Sans Light" w:hAnsi="IBM Plex Sans Light"/>
                <w:b w:val="0"/>
                <w:color w:val="auto"/>
                <w:spacing w:val="-4"/>
                <w:sz w:val="18"/>
                <w:szCs w:val="18"/>
              </w:rPr>
              <w:t>–</w:t>
            </w:r>
          </w:p>
        </w:tc>
        <w:tc>
          <w:tcPr>
            <w:tcW w:w="992" w:type="dxa"/>
            <w:tcBorders>
              <w:top w:val="single" w:sz="2" w:space="0" w:color="3D7FE0" w:themeColor="accent1"/>
              <w:left w:val="single" w:sz="4" w:space="0" w:color="3D7FE0" w:themeColor="accent1"/>
              <w:bottom w:val="single" w:sz="8" w:space="0" w:color="3D7FE0" w:themeColor="accent1"/>
            </w:tcBorders>
            <w:tcMar>
              <w:left w:w="0" w:type="dxa"/>
              <w:right w:w="0" w:type="dxa"/>
            </w:tcMar>
            <w:vAlign w:val="bottom"/>
          </w:tcPr>
          <w:p w14:paraId="0E79E04C" w14:textId="7BE273A1" w:rsidR="006755CF" w:rsidRPr="00FE025B" w:rsidRDefault="006755CF" w:rsidP="00607220">
            <w:pPr>
              <w:pStyle w:val="TableFiguresBracketsBold"/>
              <w:rPr>
                <w:rFonts w:ascii="IBM Plex Sans Light" w:hAnsi="IBM Plex Sans Light"/>
                <w:b w:val="0"/>
                <w:color w:val="auto"/>
                <w:spacing w:val="-4"/>
                <w:sz w:val="18"/>
                <w:szCs w:val="18"/>
              </w:rPr>
            </w:pPr>
            <w:r w:rsidRPr="00FE025B">
              <w:rPr>
                <w:rFonts w:ascii="IBM Plex Sans Light" w:hAnsi="IBM Plex Sans Light"/>
                <w:b w:val="0"/>
                <w:color w:val="auto"/>
                <w:spacing w:val="-4"/>
                <w:sz w:val="18"/>
                <w:szCs w:val="18"/>
              </w:rPr>
              <w:t>(164.2)</w:t>
            </w:r>
          </w:p>
        </w:tc>
        <w:tc>
          <w:tcPr>
            <w:tcW w:w="850" w:type="dxa"/>
            <w:tcBorders>
              <w:top w:val="single" w:sz="2" w:space="0" w:color="3D7FE0" w:themeColor="accent1"/>
              <w:bottom w:val="single" w:sz="8" w:space="0" w:color="3D7FE0" w:themeColor="accent1"/>
            </w:tcBorders>
            <w:vAlign w:val="bottom"/>
          </w:tcPr>
          <w:p w14:paraId="749E7C7A" w14:textId="397AEF7C" w:rsidR="006755CF" w:rsidRPr="00FE025B" w:rsidRDefault="006755CF" w:rsidP="00607220">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269.1</w:t>
            </w:r>
          </w:p>
        </w:tc>
        <w:tc>
          <w:tcPr>
            <w:tcW w:w="853" w:type="dxa"/>
            <w:tcBorders>
              <w:top w:val="single" w:sz="2" w:space="0" w:color="3D7FE0" w:themeColor="accent1"/>
              <w:bottom w:val="single" w:sz="8" w:space="0" w:color="3D7FE0" w:themeColor="accent1"/>
              <w:right w:val="single" w:sz="4" w:space="0" w:color="3D7FE0" w:themeColor="accent1"/>
            </w:tcBorders>
            <w:tcMar>
              <w:left w:w="0" w:type="dxa"/>
              <w:right w:w="0" w:type="dxa"/>
            </w:tcMar>
            <w:vAlign w:val="bottom"/>
          </w:tcPr>
          <w:p w14:paraId="7F1A4F59" w14:textId="3C423599" w:rsidR="006755CF" w:rsidRPr="00FE025B" w:rsidRDefault="006755CF" w:rsidP="00607220">
            <w:pPr>
              <w:pStyle w:val="TableFigures"/>
              <w:rPr>
                <w:rFonts w:ascii="IBM Plex Sans Light" w:hAnsi="IBM Plex Sans Light"/>
                <w:bCs/>
                <w:color w:val="auto"/>
                <w:spacing w:val="-4"/>
                <w:sz w:val="18"/>
                <w:szCs w:val="18"/>
              </w:rPr>
            </w:pPr>
            <w:r w:rsidRPr="00FE025B">
              <w:rPr>
                <w:rFonts w:ascii="IBM Plex Sans Light" w:hAnsi="IBM Plex Sans Light"/>
                <w:bCs/>
                <w:color w:val="auto"/>
                <w:spacing w:val="-4"/>
                <w:sz w:val="18"/>
                <w:szCs w:val="18"/>
              </w:rPr>
              <w:t>104.9</w:t>
            </w:r>
          </w:p>
        </w:tc>
      </w:tr>
    </w:tbl>
    <w:p w14:paraId="672593DA" w14:textId="66BFE8EC" w:rsidR="00AA5577" w:rsidRDefault="00AA5577" w:rsidP="000A2B6A">
      <w:pPr>
        <w:spacing w:after="60" w:line="240" w:lineRule="auto"/>
        <w:jc w:val="both"/>
        <w:rPr>
          <w:rFonts w:ascii="IBM Plex Sans Light" w:hAnsi="IBM Plex Sans Light" w:cs="Arial"/>
          <w:b/>
          <w:color w:val="3D7FE0" w:themeColor="accent1"/>
          <w:szCs w:val="18"/>
        </w:rPr>
      </w:pPr>
    </w:p>
    <w:p w14:paraId="608A374C" w14:textId="77777777" w:rsidR="00C21D3A" w:rsidRDefault="00C21D3A"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3. SEGMENTAL ANALYSIS</w:t>
      </w:r>
    </w:p>
    <w:p w14:paraId="6664E00E" w14:textId="77777777" w:rsidR="00546C56" w:rsidRPr="000278A3" w:rsidRDefault="00546C56" w:rsidP="00546C56">
      <w:pPr>
        <w:spacing w:after="0" w:line="240" w:lineRule="auto"/>
        <w:rPr>
          <w:rFonts w:ascii="IBM Plex Sans Light" w:hAnsi="IBM Plex Sans Light" w:cs="Arial"/>
          <w:szCs w:val="18"/>
        </w:rPr>
      </w:pPr>
      <w:r w:rsidRPr="000278A3">
        <w:rPr>
          <w:rFonts w:ascii="IBM Plex Sans Light" w:hAnsi="IBM Plex Sans Light" w:cs="Arial"/>
          <w:szCs w:val="18"/>
        </w:rPr>
        <w:t xml:space="preserve">The Group’s reportable segments are determined by the internal performance reported to the Chief Operating Decision Makers which has been determined to be the Chief Executive Officer and the Group Executive Committee. Such reporting is both by sector and geographic location as these demonstrate different characteristics and risks, are managed by separate teams and are the basis on which resources are allocated. </w:t>
      </w:r>
    </w:p>
    <w:p w14:paraId="29CCF55A" w14:textId="77777777" w:rsidR="00546C56" w:rsidRPr="000278A3" w:rsidRDefault="00546C56" w:rsidP="00024B10">
      <w:pPr>
        <w:spacing w:before="120" w:after="0" w:line="240" w:lineRule="auto"/>
        <w:rPr>
          <w:rFonts w:ascii="IBM Plex Sans Light" w:hAnsi="IBM Plex Sans Light" w:cs="Arial"/>
          <w:szCs w:val="18"/>
        </w:rPr>
      </w:pPr>
      <w:r w:rsidRPr="000278A3">
        <w:rPr>
          <w:rFonts w:ascii="IBM Plex Sans Light" w:hAnsi="IBM Plex Sans Light" w:cs="Arial"/>
          <w:szCs w:val="18"/>
        </w:rPr>
        <w:t xml:space="preserve">The Group evaluates the performance of its portfolio by aggregating its wholly owned properties and joint operations in the ‘Reported Group’ with share of joint ventures and associates which are under the Group’s management (‘Share of Property interests’) on a proportionally consolidated line-by-line basis. The Group does not proportionally consolidate the Group’s investment in Value Retail as this is not under the Group’s management, and instead monitors the performance of this investment separately as its share of results of associates as reported under IFRS. </w:t>
      </w:r>
    </w:p>
    <w:p w14:paraId="48D9C4BC" w14:textId="77777777" w:rsidR="00546C56" w:rsidRPr="000278A3" w:rsidRDefault="00546C56" w:rsidP="00024B10">
      <w:pPr>
        <w:spacing w:before="120" w:after="0" w:line="240" w:lineRule="auto"/>
        <w:rPr>
          <w:rFonts w:ascii="IBM Plex Sans Light" w:hAnsi="IBM Plex Sans Light" w:cs="Arial"/>
          <w:szCs w:val="18"/>
        </w:rPr>
      </w:pPr>
      <w:r w:rsidRPr="000278A3">
        <w:rPr>
          <w:rFonts w:ascii="IBM Plex Sans Light" w:hAnsi="IBM Plex Sans Light" w:cs="Arial"/>
          <w:szCs w:val="18"/>
        </w:rPr>
        <w:t>The Group’s activities presented on a proportionally consolidated basis including Share of Property interests are:</w:t>
      </w:r>
    </w:p>
    <w:p w14:paraId="655D4E37" w14:textId="77777777" w:rsidR="00546C56" w:rsidRPr="00024B10" w:rsidRDefault="00546C56" w:rsidP="00024B10">
      <w:pPr>
        <w:pStyle w:val="ListParagraph"/>
        <w:numPr>
          <w:ilvl w:val="0"/>
          <w:numId w:val="42"/>
        </w:numPr>
        <w:rPr>
          <w:rFonts w:ascii="IBM Plex Sans Light" w:hAnsi="IBM Plex Sans Light" w:cs="Arial"/>
          <w:szCs w:val="14"/>
        </w:rPr>
      </w:pPr>
      <w:r w:rsidRPr="00024B10">
        <w:rPr>
          <w:rFonts w:ascii="IBM Plex Sans Light" w:hAnsi="IBM Plex Sans Light" w:cs="Arial"/>
          <w:sz w:val="18"/>
          <w:szCs w:val="14"/>
        </w:rPr>
        <w:t>Flagship destinations</w:t>
      </w:r>
    </w:p>
    <w:p w14:paraId="478E7FBA" w14:textId="77777777" w:rsidR="00546C56" w:rsidRPr="00024B10" w:rsidRDefault="00546C56" w:rsidP="00024B10">
      <w:pPr>
        <w:pStyle w:val="ListParagraph"/>
        <w:numPr>
          <w:ilvl w:val="0"/>
          <w:numId w:val="42"/>
        </w:numPr>
        <w:rPr>
          <w:rFonts w:ascii="IBM Plex Sans Light" w:hAnsi="IBM Plex Sans Light" w:cs="Arial"/>
          <w:szCs w:val="14"/>
        </w:rPr>
      </w:pPr>
      <w:r w:rsidRPr="00024B10">
        <w:rPr>
          <w:rFonts w:ascii="IBM Plex Sans Light" w:hAnsi="IBM Plex Sans Light" w:cs="Arial"/>
          <w:sz w:val="18"/>
          <w:szCs w:val="14"/>
        </w:rPr>
        <w:t>Developments and other</w:t>
      </w:r>
    </w:p>
    <w:p w14:paraId="64E489C0" w14:textId="42F89FB4" w:rsidR="00546C56" w:rsidRPr="000278A3" w:rsidRDefault="00546C56" w:rsidP="00024B10">
      <w:pPr>
        <w:spacing w:before="120" w:after="0" w:line="240" w:lineRule="auto"/>
        <w:rPr>
          <w:rFonts w:ascii="IBM Plex Sans Light" w:hAnsi="IBM Plex Sans Light" w:cs="Arial"/>
          <w:szCs w:val="18"/>
        </w:rPr>
      </w:pPr>
      <w:r w:rsidRPr="000278A3">
        <w:rPr>
          <w:rFonts w:ascii="IBM Plex Sans Light" w:hAnsi="IBM Plex Sans Light" w:cs="Arial"/>
          <w:szCs w:val="18"/>
        </w:rPr>
        <w:t>Total assets are not monitored by segment and resource allocation is based on the distribution of property assets between segments.</w:t>
      </w:r>
    </w:p>
    <w:p w14:paraId="7EC8DDA0" w14:textId="77777777" w:rsidR="00546C56" w:rsidRPr="00546C56" w:rsidRDefault="00546C56" w:rsidP="00546C56">
      <w:pPr>
        <w:spacing w:after="0" w:line="240" w:lineRule="auto"/>
        <w:rPr>
          <w:rFonts w:ascii="IBM Plex Sans Light" w:hAnsi="IBM Plex Sans Light" w:cs="Arial"/>
          <w:b/>
          <w:bCs/>
          <w:szCs w:val="18"/>
        </w:rPr>
      </w:pPr>
    </w:p>
    <w:p w14:paraId="2CC0274E" w14:textId="118209A5" w:rsidR="00C21D3A" w:rsidRPr="00895810" w:rsidRDefault="00065416" w:rsidP="00C21D3A">
      <w:pPr>
        <w:numPr>
          <w:ilvl w:val="0"/>
          <w:numId w:val="12"/>
        </w:numPr>
        <w:tabs>
          <w:tab w:val="num" w:pos="360"/>
        </w:tabs>
        <w:spacing w:after="0" w:line="240" w:lineRule="auto"/>
        <w:ind w:left="0" w:firstLine="0"/>
        <w:jc w:val="both"/>
        <w:rPr>
          <w:rFonts w:ascii="IBM Plex Sans Light" w:hAnsi="IBM Plex Sans Light" w:cs="Arial"/>
          <w:b/>
          <w:color w:val="3D7FE0" w:themeColor="accent1"/>
          <w:szCs w:val="18"/>
        </w:rPr>
      </w:pPr>
      <w:r>
        <w:rPr>
          <w:rFonts w:ascii="IBM Plex Sans Light" w:hAnsi="IBM Plex Sans Light" w:cs="Arial"/>
          <w:b/>
          <w:color w:val="3D7FE0" w:themeColor="accent1"/>
          <w:szCs w:val="18"/>
        </w:rPr>
        <w:t>INCOME BY SEGMENT</w:t>
      </w:r>
    </w:p>
    <w:tbl>
      <w:tblPr>
        <w:tblW w:w="9923" w:type="dxa"/>
        <w:tblLayout w:type="fixed"/>
        <w:tblLook w:val="01E0" w:firstRow="1" w:lastRow="1" w:firstColumn="1" w:lastColumn="1" w:noHBand="0" w:noVBand="0"/>
      </w:tblPr>
      <w:tblGrid>
        <w:gridCol w:w="5954"/>
        <w:gridCol w:w="709"/>
        <w:gridCol w:w="850"/>
        <w:gridCol w:w="851"/>
        <w:gridCol w:w="708"/>
        <w:gridCol w:w="851"/>
      </w:tblGrid>
      <w:tr w:rsidR="00C21D3A" w:rsidRPr="00895810" w14:paraId="3CF88F07" w14:textId="77777777" w:rsidTr="003F2C4C">
        <w:tc>
          <w:tcPr>
            <w:tcW w:w="5954" w:type="dxa"/>
            <w:tcBorders>
              <w:bottom w:val="single" w:sz="2" w:space="0" w:color="3D7FE0" w:themeColor="accent1"/>
            </w:tcBorders>
            <w:tcMar>
              <w:left w:w="0" w:type="dxa"/>
              <w:right w:w="0" w:type="dxa"/>
            </w:tcMar>
            <w:vAlign w:val="bottom"/>
          </w:tcPr>
          <w:p w14:paraId="62B09B19" w14:textId="77777777" w:rsidR="00C21D3A" w:rsidRPr="00895810" w:rsidRDefault="00C21D3A" w:rsidP="003F2C4C">
            <w:pPr>
              <w:pStyle w:val="TableColHeadsBold"/>
              <w:rPr>
                <w:rFonts w:ascii="IBM Plex Sans Light" w:hAnsi="IBM Plex Sans Light"/>
              </w:rPr>
            </w:pPr>
          </w:p>
        </w:tc>
        <w:tc>
          <w:tcPr>
            <w:tcW w:w="709" w:type="dxa"/>
            <w:tcBorders>
              <w:bottom w:val="single" w:sz="2" w:space="0" w:color="3D7FE0" w:themeColor="accent1"/>
            </w:tcBorders>
            <w:vAlign w:val="bottom"/>
          </w:tcPr>
          <w:p w14:paraId="2C3AFE07" w14:textId="77777777" w:rsidR="00C21D3A" w:rsidRPr="00895810" w:rsidRDefault="00C21D3A" w:rsidP="003F2C4C">
            <w:pPr>
              <w:pStyle w:val="TableColHeadsBold"/>
              <w:rPr>
                <w:rFonts w:ascii="IBM Plex Sans Light" w:hAnsi="IBM Plex Sans Light"/>
              </w:rPr>
            </w:pPr>
          </w:p>
        </w:tc>
        <w:tc>
          <w:tcPr>
            <w:tcW w:w="1701" w:type="dxa"/>
            <w:gridSpan w:val="2"/>
            <w:tcBorders>
              <w:bottom w:val="single" w:sz="2" w:space="0" w:color="3D7FE0" w:themeColor="accent1"/>
            </w:tcBorders>
            <w:tcMar>
              <w:left w:w="0" w:type="dxa"/>
              <w:right w:w="0" w:type="dxa"/>
            </w:tcMar>
            <w:vAlign w:val="bottom"/>
          </w:tcPr>
          <w:p w14:paraId="557C10CB" w14:textId="55D77019" w:rsidR="00C21D3A" w:rsidRPr="00895810" w:rsidRDefault="002449F2" w:rsidP="003F2C4C">
            <w:pPr>
              <w:pStyle w:val="TableColHeadsBold"/>
              <w:rPr>
                <w:rFonts w:ascii="IBM Plex Sans Light" w:hAnsi="IBM Plex Sans Light"/>
                <w:color w:val="3D7FE0" w:themeColor="accent1"/>
              </w:rPr>
            </w:pPr>
            <w:r>
              <w:rPr>
                <w:rFonts w:ascii="IBM Plex Sans Light" w:hAnsi="IBM Plex Sans Light"/>
                <w:color w:val="3D7FE0" w:themeColor="accent1"/>
              </w:rPr>
              <w:t>Gross rental income</w:t>
            </w:r>
          </w:p>
          <w:p w14:paraId="6E301441" w14:textId="33E4396E" w:rsidR="006A36ED" w:rsidRPr="00895810" w:rsidRDefault="006A36ED" w:rsidP="003F2C4C">
            <w:pPr>
              <w:pStyle w:val="TableColHeadsBold"/>
              <w:rPr>
                <w:rFonts w:ascii="IBM Plex Sans Light" w:hAnsi="IBM Plex Sans Light"/>
                <w:color w:val="3D7FE0" w:themeColor="accent1"/>
              </w:rPr>
            </w:pPr>
          </w:p>
        </w:tc>
        <w:tc>
          <w:tcPr>
            <w:tcW w:w="1559" w:type="dxa"/>
            <w:gridSpan w:val="2"/>
            <w:tcBorders>
              <w:bottom w:val="single" w:sz="2" w:space="0" w:color="3D7FE0" w:themeColor="accent1"/>
            </w:tcBorders>
            <w:tcMar>
              <w:left w:w="0" w:type="dxa"/>
              <w:right w:w="0" w:type="dxa"/>
            </w:tcMar>
            <w:vAlign w:val="bottom"/>
          </w:tcPr>
          <w:p w14:paraId="4585E6EB" w14:textId="124DE4B9" w:rsidR="00C21D3A" w:rsidRPr="00024B10" w:rsidRDefault="002449F2" w:rsidP="006A36ED">
            <w:pPr>
              <w:pStyle w:val="TableColHeadsBold"/>
              <w:ind w:right="-2"/>
              <w:rPr>
                <w:rFonts w:ascii="IBM Plex Sans Light" w:hAnsi="IBM Plex Sans Light"/>
                <w:b w:val="0"/>
                <w:color w:val="3D7FE0" w:themeColor="accent1"/>
              </w:rPr>
            </w:pPr>
            <w:r w:rsidRPr="00024B10">
              <w:rPr>
                <w:rFonts w:ascii="IBM Plex Sans Light" w:hAnsi="IBM Plex Sans Light"/>
                <w:b w:val="0"/>
                <w:color w:val="3D7FE0" w:themeColor="accent1"/>
              </w:rPr>
              <w:t>Adjusted net rental income</w:t>
            </w:r>
          </w:p>
        </w:tc>
      </w:tr>
      <w:tr w:rsidR="00C21D3A" w:rsidRPr="00895810" w14:paraId="04274585" w14:textId="77777777" w:rsidTr="003F2C4C">
        <w:trPr>
          <w:trHeight w:val="340"/>
        </w:trPr>
        <w:tc>
          <w:tcPr>
            <w:tcW w:w="5954" w:type="dxa"/>
            <w:tcBorders>
              <w:top w:val="single" w:sz="2" w:space="0" w:color="3D7FE0" w:themeColor="accent1"/>
            </w:tcBorders>
            <w:tcMar>
              <w:left w:w="0" w:type="dxa"/>
              <w:right w:w="0" w:type="dxa"/>
            </w:tcMar>
            <w:vAlign w:val="bottom"/>
          </w:tcPr>
          <w:p w14:paraId="2693C83A" w14:textId="77777777" w:rsidR="00C21D3A" w:rsidRPr="00895810" w:rsidRDefault="00C21D3A" w:rsidP="003F2C4C">
            <w:pPr>
              <w:pStyle w:val="TableColHeadsBold"/>
              <w:rPr>
                <w:rFonts w:ascii="IBM Plex Sans Light" w:hAnsi="IBM Plex Sans Light"/>
              </w:rPr>
            </w:pPr>
          </w:p>
        </w:tc>
        <w:tc>
          <w:tcPr>
            <w:tcW w:w="709" w:type="dxa"/>
            <w:tcBorders>
              <w:top w:val="single" w:sz="2" w:space="0" w:color="3D7FE0" w:themeColor="accent1"/>
            </w:tcBorders>
            <w:vAlign w:val="bottom"/>
          </w:tcPr>
          <w:p w14:paraId="0E7513E4" w14:textId="77777777" w:rsidR="00C21D3A" w:rsidRPr="00895810" w:rsidRDefault="00C21D3A" w:rsidP="003F2C4C">
            <w:pPr>
              <w:pStyle w:val="TableColHeadsBold"/>
              <w:rPr>
                <w:rFonts w:ascii="IBM Plex Sans Light" w:hAnsi="IBM Plex Sans Light"/>
              </w:rPr>
            </w:pPr>
          </w:p>
        </w:tc>
        <w:tc>
          <w:tcPr>
            <w:tcW w:w="850" w:type="dxa"/>
            <w:tcBorders>
              <w:top w:val="single" w:sz="2" w:space="0" w:color="3D7FE0" w:themeColor="accent1"/>
            </w:tcBorders>
            <w:tcMar>
              <w:left w:w="0" w:type="dxa"/>
              <w:right w:w="0" w:type="dxa"/>
            </w:tcMar>
            <w:vAlign w:val="bottom"/>
          </w:tcPr>
          <w:p w14:paraId="69674C14" w14:textId="3966981F" w:rsidR="00C21D3A" w:rsidRPr="00895810" w:rsidRDefault="002449F2" w:rsidP="003F2C4C">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C21D3A" w:rsidRPr="00895810">
              <w:rPr>
                <w:rFonts w:ascii="IBM Plex Sans Light" w:hAnsi="IBM Plex Sans Light"/>
                <w:color w:val="3D7FE0" w:themeColor="accent1"/>
              </w:rPr>
              <w:t xml:space="preserve"> </w:t>
            </w:r>
          </w:p>
        </w:tc>
        <w:tc>
          <w:tcPr>
            <w:tcW w:w="851" w:type="dxa"/>
            <w:tcBorders>
              <w:top w:val="single" w:sz="2" w:space="0" w:color="3D7FE0" w:themeColor="accent1"/>
            </w:tcBorders>
            <w:tcMar>
              <w:left w:w="0" w:type="dxa"/>
              <w:right w:w="0" w:type="dxa"/>
            </w:tcMar>
            <w:vAlign w:val="bottom"/>
          </w:tcPr>
          <w:p w14:paraId="7F3CFF71" w14:textId="1A5DD78C" w:rsidR="00C21D3A" w:rsidRPr="002449F2" w:rsidRDefault="002449F2" w:rsidP="003F2C4C">
            <w:pPr>
              <w:pStyle w:val="TableColHeadsBold"/>
              <w:rPr>
                <w:rFonts w:ascii="IBM Plex Sans Light" w:hAnsi="IBM Plex Sans Light"/>
                <w:b w:val="0"/>
              </w:rPr>
            </w:pPr>
            <w:r w:rsidRPr="002449F2">
              <w:rPr>
                <w:rFonts w:ascii="IBM Plex Sans Light" w:hAnsi="IBM Plex Sans Light"/>
                <w:b w:val="0"/>
              </w:rPr>
              <w:t>2022</w:t>
            </w:r>
          </w:p>
        </w:tc>
        <w:tc>
          <w:tcPr>
            <w:tcW w:w="708" w:type="dxa"/>
            <w:tcBorders>
              <w:top w:val="single" w:sz="2" w:space="0" w:color="3D7FE0" w:themeColor="accent1"/>
            </w:tcBorders>
            <w:tcMar>
              <w:left w:w="0" w:type="dxa"/>
              <w:right w:w="0" w:type="dxa"/>
            </w:tcMar>
            <w:vAlign w:val="bottom"/>
          </w:tcPr>
          <w:p w14:paraId="6220910D" w14:textId="6492C706" w:rsidR="00C21D3A" w:rsidRPr="002449F2" w:rsidRDefault="002449F2" w:rsidP="003F2C4C">
            <w:pPr>
              <w:pStyle w:val="TableColHeadsBold"/>
              <w:rPr>
                <w:rFonts w:ascii="IBM Plex Sans Light" w:hAnsi="IBM Plex Sans Light"/>
                <w:color w:val="3D7FE0" w:themeColor="accent1"/>
              </w:rPr>
            </w:pPr>
            <w:r w:rsidRPr="002449F2">
              <w:rPr>
                <w:rFonts w:ascii="IBM Plex Sans Light" w:hAnsi="IBM Plex Sans Light"/>
                <w:color w:val="3D7FE0" w:themeColor="accent1"/>
              </w:rPr>
              <w:t>2023</w:t>
            </w:r>
          </w:p>
        </w:tc>
        <w:tc>
          <w:tcPr>
            <w:tcW w:w="851" w:type="dxa"/>
            <w:tcBorders>
              <w:top w:val="single" w:sz="2" w:space="0" w:color="3D7FE0" w:themeColor="accent1"/>
            </w:tcBorders>
            <w:tcMar>
              <w:left w:w="0" w:type="dxa"/>
              <w:right w:w="0" w:type="dxa"/>
            </w:tcMar>
            <w:vAlign w:val="bottom"/>
          </w:tcPr>
          <w:p w14:paraId="6C7CA087" w14:textId="3F48EFBE" w:rsidR="00C21D3A" w:rsidRPr="00895810" w:rsidRDefault="002449F2" w:rsidP="003F2C4C">
            <w:pPr>
              <w:pStyle w:val="TableColHeadsBold"/>
              <w:rPr>
                <w:rFonts w:ascii="IBM Plex Sans Light" w:hAnsi="IBM Plex Sans Light"/>
                <w:b w:val="0"/>
              </w:rPr>
            </w:pPr>
            <w:r>
              <w:rPr>
                <w:rFonts w:ascii="IBM Plex Sans Light" w:hAnsi="IBM Plex Sans Light"/>
                <w:b w:val="0"/>
              </w:rPr>
              <w:t>2022</w:t>
            </w:r>
          </w:p>
        </w:tc>
      </w:tr>
      <w:tr w:rsidR="00C21D3A" w:rsidRPr="00895810" w14:paraId="0025F708" w14:textId="77777777" w:rsidTr="003F2C4C">
        <w:tc>
          <w:tcPr>
            <w:tcW w:w="5954" w:type="dxa"/>
            <w:tcBorders>
              <w:bottom w:val="single" w:sz="2" w:space="0" w:color="3D7FE0" w:themeColor="accent1"/>
            </w:tcBorders>
            <w:tcMar>
              <w:left w:w="0" w:type="dxa"/>
              <w:bottom w:w="28" w:type="dxa"/>
              <w:right w:w="0" w:type="dxa"/>
            </w:tcMar>
            <w:vAlign w:val="bottom"/>
          </w:tcPr>
          <w:p w14:paraId="71A2B723" w14:textId="77777777" w:rsidR="00C21D3A" w:rsidRPr="00895810" w:rsidRDefault="00C21D3A" w:rsidP="003F2C4C">
            <w:pPr>
              <w:pStyle w:val="TableColHeadsBold"/>
              <w:rPr>
                <w:rFonts w:ascii="IBM Plex Sans Light" w:hAnsi="IBM Plex Sans Light"/>
              </w:rPr>
            </w:pPr>
          </w:p>
        </w:tc>
        <w:tc>
          <w:tcPr>
            <w:tcW w:w="709" w:type="dxa"/>
            <w:tcBorders>
              <w:bottom w:val="single" w:sz="2" w:space="0" w:color="3D7FE0" w:themeColor="accent1"/>
            </w:tcBorders>
            <w:vAlign w:val="bottom"/>
          </w:tcPr>
          <w:p w14:paraId="0A589FEC" w14:textId="77777777" w:rsidR="00C21D3A" w:rsidRPr="00895810" w:rsidRDefault="00C21D3A" w:rsidP="003F2C4C">
            <w:pPr>
              <w:pStyle w:val="TableColHeadsBold"/>
              <w:ind w:right="0"/>
              <w:rPr>
                <w:rFonts w:ascii="IBM Plex Sans Light" w:hAnsi="IBM Plex Sans Light"/>
                <w:bCs w:val="0"/>
              </w:rPr>
            </w:pPr>
          </w:p>
        </w:tc>
        <w:tc>
          <w:tcPr>
            <w:tcW w:w="850" w:type="dxa"/>
            <w:tcBorders>
              <w:bottom w:val="single" w:sz="2" w:space="0" w:color="3D7FE0" w:themeColor="accent1"/>
            </w:tcBorders>
            <w:tcMar>
              <w:left w:w="0" w:type="dxa"/>
              <w:bottom w:w="28" w:type="dxa"/>
              <w:right w:w="0" w:type="dxa"/>
            </w:tcMar>
            <w:vAlign w:val="bottom"/>
          </w:tcPr>
          <w:p w14:paraId="04FBCAEC" w14:textId="77777777" w:rsidR="00C21D3A" w:rsidRPr="00895810" w:rsidRDefault="00C21D3A"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1" w:type="dxa"/>
            <w:tcBorders>
              <w:bottom w:val="single" w:sz="2" w:space="0" w:color="3D7FE0" w:themeColor="accent1"/>
            </w:tcBorders>
            <w:tcMar>
              <w:left w:w="0" w:type="dxa"/>
              <w:bottom w:w="28" w:type="dxa"/>
              <w:right w:w="0" w:type="dxa"/>
            </w:tcMar>
            <w:vAlign w:val="bottom"/>
          </w:tcPr>
          <w:p w14:paraId="4AA47D53" w14:textId="77777777" w:rsidR="00C21D3A" w:rsidRPr="002449F2" w:rsidRDefault="00C21D3A" w:rsidP="003F2C4C">
            <w:pPr>
              <w:pStyle w:val="TableColHeadsBold"/>
              <w:rPr>
                <w:rFonts w:ascii="IBM Plex Sans Light" w:hAnsi="IBM Plex Sans Light"/>
                <w:b w:val="0"/>
              </w:rPr>
            </w:pPr>
            <w:r w:rsidRPr="002449F2">
              <w:rPr>
                <w:rFonts w:ascii="IBM Plex Sans Light" w:hAnsi="IBM Plex Sans Light"/>
                <w:b w:val="0"/>
              </w:rPr>
              <w:t xml:space="preserve">£m </w:t>
            </w:r>
          </w:p>
        </w:tc>
        <w:tc>
          <w:tcPr>
            <w:tcW w:w="708" w:type="dxa"/>
            <w:tcBorders>
              <w:bottom w:val="single" w:sz="2" w:space="0" w:color="3D7FE0" w:themeColor="accent1"/>
            </w:tcBorders>
            <w:tcMar>
              <w:left w:w="0" w:type="dxa"/>
              <w:bottom w:w="28" w:type="dxa"/>
              <w:right w:w="0" w:type="dxa"/>
            </w:tcMar>
            <w:vAlign w:val="bottom"/>
          </w:tcPr>
          <w:p w14:paraId="2368BED5" w14:textId="77777777" w:rsidR="00C21D3A" w:rsidRPr="002449F2" w:rsidRDefault="00C21D3A" w:rsidP="003F2C4C">
            <w:pPr>
              <w:pStyle w:val="TableColHeadsBold"/>
              <w:rPr>
                <w:rFonts w:ascii="IBM Plex Sans Light" w:hAnsi="IBM Plex Sans Light"/>
                <w:color w:val="3D7FE0" w:themeColor="accent1"/>
              </w:rPr>
            </w:pPr>
            <w:r w:rsidRPr="002449F2">
              <w:rPr>
                <w:rFonts w:ascii="IBM Plex Sans Light" w:hAnsi="IBM Plex Sans Light"/>
                <w:color w:val="3D7FE0" w:themeColor="accent1"/>
              </w:rPr>
              <w:t xml:space="preserve">£m </w:t>
            </w:r>
          </w:p>
        </w:tc>
        <w:tc>
          <w:tcPr>
            <w:tcW w:w="851" w:type="dxa"/>
            <w:tcBorders>
              <w:bottom w:val="single" w:sz="2" w:space="0" w:color="3D7FE0" w:themeColor="accent1"/>
            </w:tcBorders>
            <w:tcMar>
              <w:left w:w="0" w:type="dxa"/>
              <w:bottom w:w="28" w:type="dxa"/>
              <w:right w:w="0" w:type="dxa"/>
            </w:tcMar>
            <w:vAlign w:val="bottom"/>
          </w:tcPr>
          <w:p w14:paraId="046DB784" w14:textId="77777777" w:rsidR="00C21D3A" w:rsidRPr="00895810" w:rsidRDefault="00C21D3A" w:rsidP="003F2C4C">
            <w:pPr>
              <w:pStyle w:val="TableColHeadsBold"/>
              <w:rPr>
                <w:rFonts w:ascii="IBM Plex Sans Light" w:hAnsi="IBM Plex Sans Light"/>
                <w:b w:val="0"/>
              </w:rPr>
            </w:pPr>
            <w:r w:rsidRPr="00895810">
              <w:rPr>
                <w:rFonts w:ascii="IBM Plex Sans Light" w:hAnsi="IBM Plex Sans Light"/>
                <w:b w:val="0"/>
              </w:rPr>
              <w:t xml:space="preserve">£m </w:t>
            </w:r>
          </w:p>
        </w:tc>
      </w:tr>
      <w:tr w:rsidR="00C21D3A" w:rsidRPr="00895810" w14:paraId="3A3844A9" w14:textId="77777777" w:rsidTr="003F2C4C">
        <w:trPr>
          <w:trHeight w:hRule="exact" w:val="278"/>
        </w:trPr>
        <w:tc>
          <w:tcPr>
            <w:tcW w:w="5954" w:type="dxa"/>
            <w:tcBorders>
              <w:top w:val="single" w:sz="2" w:space="0" w:color="3D7FE0" w:themeColor="accent1"/>
            </w:tcBorders>
            <w:tcMar>
              <w:left w:w="0" w:type="dxa"/>
              <w:right w:w="0" w:type="dxa"/>
            </w:tcMar>
            <w:vAlign w:val="bottom"/>
          </w:tcPr>
          <w:p w14:paraId="4B82AA99" w14:textId="77777777" w:rsidR="00C21D3A" w:rsidRPr="00895810" w:rsidRDefault="00C21D3A" w:rsidP="003F2C4C">
            <w:pPr>
              <w:spacing w:after="0" w:line="240" w:lineRule="auto"/>
              <w:rPr>
                <w:rFonts w:ascii="IBM Plex Sans Light" w:hAnsi="IBM Plex Sans Light" w:cs="Arial"/>
                <w:b/>
                <w:bCs/>
                <w:color w:val="3D7FE0" w:themeColor="accent1"/>
                <w:szCs w:val="18"/>
              </w:rPr>
            </w:pPr>
            <w:r w:rsidRPr="00895810">
              <w:rPr>
                <w:rFonts w:ascii="IBM Plex Sans Light" w:hAnsi="IBM Plex Sans Light"/>
                <w:b/>
                <w:color w:val="3D7FE0" w:themeColor="accent1"/>
                <w:szCs w:val="18"/>
              </w:rPr>
              <w:t>Flagship destinations</w:t>
            </w:r>
          </w:p>
        </w:tc>
        <w:tc>
          <w:tcPr>
            <w:tcW w:w="709" w:type="dxa"/>
            <w:tcBorders>
              <w:top w:val="single" w:sz="2" w:space="0" w:color="3D7FE0" w:themeColor="accent1"/>
            </w:tcBorders>
            <w:vAlign w:val="bottom"/>
          </w:tcPr>
          <w:p w14:paraId="6ED78E5E" w14:textId="77777777" w:rsidR="00C21D3A" w:rsidRPr="00895810" w:rsidRDefault="00C21D3A" w:rsidP="003F2C4C">
            <w:pPr>
              <w:spacing w:after="0" w:line="240" w:lineRule="auto"/>
              <w:rPr>
                <w:rFonts w:ascii="IBM Plex Sans Light" w:hAnsi="IBM Plex Sans Light" w:cs="Arial"/>
                <w:b/>
                <w:bCs/>
                <w:color w:val="3D7FE0" w:themeColor="accent1"/>
                <w:szCs w:val="18"/>
              </w:rPr>
            </w:pPr>
          </w:p>
        </w:tc>
        <w:tc>
          <w:tcPr>
            <w:tcW w:w="850" w:type="dxa"/>
            <w:tcBorders>
              <w:top w:val="single" w:sz="2" w:space="0" w:color="3D7FE0" w:themeColor="accent1"/>
            </w:tcBorders>
            <w:tcMar>
              <w:left w:w="0" w:type="dxa"/>
              <w:right w:w="0" w:type="dxa"/>
            </w:tcMar>
            <w:vAlign w:val="bottom"/>
          </w:tcPr>
          <w:p w14:paraId="5E7D8BC1" w14:textId="77777777" w:rsidR="00C21D3A" w:rsidRPr="00895810" w:rsidRDefault="00C21D3A" w:rsidP="003F2C4C">
            <w:pPr>
              <w:spacing w:after="0" w:line="240" w:lineRule="auto"/>
              <w:rPr>
                <w:rFonts w:ascii="IBM Plex Sans Light" w:hAnsi="IBM Plex Sans Light" w:cs="Arial"/>
                <w:b/>
                <w:bCs/>
                <w:color w:val="3D7FE0" w:themeColor="accent1"/>
                <w:sz w:val="16"/>
                <w:szCs w:val="16"/>
              </w:rPr>
            </w:pPr>
          </w:p>
        </w:tc>
        <w:tc>
          <w:tcPr>
            <w:tcW w:w="851" w:type="dxa"/>
            <w:tcBorders>
              <w:top w:val="single" w:sz="2" w:space="0" w:color="3D7FE0" w:themeColor="accent1"/>
            </w:tcBorders>
            <w:tcMar>
              <w:left w:w="0" w:type="dxa"/>
              <w:right w:w="0" w:type="dxa"/>
            </w:tcMar>
            <w:vAlign w:val="bottom"/>
          </w:tcPr>
          <w:p w14:paraId="116762A1" w14:textId="77777777" w:rsidR="00C21D3A" w:rsidRPr="00895810" w:rsidRDefault="00C21D3A" w:rsidP="003F2C4C">
            <w:pPr>
              <w:spacing w:after="0" w:line="240" w:lineRule="auto"/>
              <w:rPr>
                <w:rFonts w:ascii="IBM Plex Sans Light" w:hAnsi="IBM Plex Sans Light" w:cs="Arial"/>
                <w:b/>
                <w:bCs/>
                <w:color w:val="3D7FE0" w:themeColor="accent1"/>
                <w:sz w:val="16"/>
                <w:szCs w:val="16"/>
              </w:rPr>
            </w:pPr>
          </w:p>
        </w:tc>
        <w:tc>
          <w:tcPr>
            <w:tcW w:w="708" w:type="dxa"/>
            <w:tcBorders>
              <w:top w:val="single" w:sz="2" w:space="0" w:color="3D7FE0" w:themeColor="accent1"/>
            </w:tcBorders>
            <w:tcMar>
              <w:left w:w="0" w:type="dxa"/>
              <w:right w:w="0" w:type="dxa"/>
            </w:tcMar>
            <w:vAlign w:val="bottom"/>
          </w:tcPr>
          <w:p w14:paraId="463F6319" w14:textId="77777777" w:rsidR="00C21D3A" w:rsidRPr="00895810" w:rsidRDefault="00C21D3A" w:rsidP="003F2C4C">
            <w:pPr>
              <w:pStyle w:val="TableFigures"/>
              <w:rPr>
                <w:rFonts w:ascii="IBM Plex Sans Light" w:hAnsi="IBM Plex Sans Light"/>
                <w:bCs/>
                <w:color w:val="auto"/>
                <w:spacing w:val="-4"/>
                <w:sz w:val="18"/>
                <w:szCs w:val="18"/>
              </w:rPr>
            </w:pPr>
          </w:p>
        </w:tc>
        <w:tc>
          <w:tcPr>
            <w:tcW w:w="851" w:type="dxa"/>
            <w:tcBorders>
              <w:top w:val="single" w:sz="2" w:space="0" w:color="3D7FE0" w:themeColor="accent1"/>
            </w:tcBorders>
            <w:tcMar>
              <w:left w:w="0" w:type="dxa"/>
              <w:right w:w="0" w:type="dxa"/>
            </w:tcMar>
            <w:vAlign w:val="bottom"/>
          </w:tcPr>
          <w:p w14:paraId="08C9A129" w14:textId="77777777" w:rsidR="00C21D3A" w:rsidRPr="00895810" w:rsidRDefault="00C21D3A" w:rsidP="003F2C4C">
            <w:pPr>
              <w:pStyle w:val="TableFigures"/>
              <w:rPr>
                <w:rFonts w:ascii="IBM Plex Sans Light" w:hAnsi="IBM Plex Sans Light"/>
                <w:bCs/>
                <w:color w:val="auto"/>
                <w:spacing w:val="-4"/>
                <w:sz w:val="18"/>
                <w:szCs w:val="18"/>
              </w:rPr>
            </w:pPr>
          </w:p>
        </w:tc>
      </w:tr>
      <w:tr w:rsidR="004F07AE" w:rsidRPr="00895810" w14:paraId="06BFDD5A" w14:textId="77777777" w:rsidTr="00AD34EA">
        <w:trPr>
          <w:trHeight w:hRule="exact" w:val="278"/>
        </w:trPr>
        <w:tc>
          <w:tcPr>
            <w:tcW w:w="5954" w:type="dxa"/>
            <w:tcMar>
              <w:left w:w="0" w:type="dxa"/>
              <w:right w:w="0" w:type="dxa"/>
            </w:tcMar>
            <w:vAlign w:val="bottom"/>
          </w:tcPr>
          <w:p w14:paraId="1BAEEC07" w14:textId="77777777" w:rsidR="004F07AE" w:rsidRPr="00895810" w:rsidRDefault="004F07AE"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UK</w:t>
            </w:r>
          </w:p>
        </w:tc>
        <w:tc>
          <w:tcPr>
            <w:tcW w:w="709" w:type="dxa"/>
            <w:vAlign w:val="bottom"/>
          </w:tcPr>
          <w:p w14:paraId="20A179D9" w14:textId="02B0A3E0" w:rsidR="004F07AE" w:rsidRPr="00895810" w:rsidRDefault="004F07AE" w:rsidP="004F07AE">
            <w:pPr>
              <w:pStyle w:val="Tabletext"/>
              <w:rPr>
                <w:rFonts w:ascii="IBM Plex Sans Light" w:hAnsi="IBM Plex Sans Light"/>
                <w:spacing w:val="-4"/>
                <w:sz w:val="18"/>
                <w:szCs w:val="18"/>
              </w:rPr>
            </w:pPr>
          </w:p>
        </w:tc>
        <w:tc>
          <w:tcPr>
            <w:tcW w:w="850" w:type="dxa"/>
            <w:tcMar>
              <w:left w:w="0" w:type="dxa"/>
              <w:right w:w="0" w:type="dxa"/>
            </w:tcMar>
          </w:tcPr>
          <w:p w14:paraId="6DCC413C" w14:textId="2565D9DD"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92.8</w:t>
            </w:r>
          </w:p>
        </w:tc>
        <w:tc>
          <w:tcPr>
            <w:tcW w:w="851" w:type="dxa"/>
            <w:tcMar>
              <w:left w:w="0" w:type="dxa"/>
              <w:right w:w="0" w:type="dxa"/>
            </w:tcMar>
          </w:tcPr>
          <w:p w14:paraId="4FEF9EF8" w14:textId="1BE01661" w:rsidR="004F07AE" w:rsidRPr="00895810" w:rsidRDefault="004F07AE" w:rsidP="004F07AE">
            <w:pPr>
              <w:pStyle w:val="TableFigures"/>
              <w:rPr>
                <w:rFonts w:ascii="IBM Plex Sans Light" w:hAnsi="IBM Plex Sans Light" w:cs="MyriadPro-Light"/>
                <w:b/>
                <w:color w:val="3D7FE0" w:themeColor="accent1"/>
                <w:spacing w:val="-4"/>
                <w:sz w:val="18"/>
                <w:szCs w:val="18"/>
              </w:rPr>
            </w:pPr>
            <w:r>
              <w:rPr>
                <w:rFonts w:ascii="IBM Plex Sans Light" w:hAnsi="IBM Plex Sans Light"/>
                <w:bCs/>
                <w:color w:val="auto"/>
                <w:spacing w:val="-4"/>
                <w:sz w:val="18"/>
                <w:szCs w:val="18"/>
              </w:rPr>
              <w:t>90.5</w:t>
            </w:r>
          </w:p>
        </w:tc>
        <w:tc>
          <w:tcPr>
            <w:tcW w:w="708" w:type="dxa"/>
            <w:tcMar>
              <w:left w:w="0" w:type="dxa"/>
              <w:right w:w="0" w:type="dxa"/>
            </w:tcMar>
          </w:tcPr>
          <w:p w14:paraId="36B279D2" w14:textId="193B6775"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72.9</w:t>
            </w:r>
          </w:p>
        </w:tc>
        <w:tc>
          <w:tcPr>
            <w:tcW w:w="851" w:type="dxa"/>
            <w:tcMar>
              <w:left w:w="0" w:type="dxa"/>
              <w:right w:w="0" w:type="dxa"/>
            </w:tcMar>
          </w:tcPr>
          <w:p w14:paraId="77F82C13" w14:textId="749F3C93" w:rsidR="004F07AE" w:rsidRPr="00895810" w:rsidRDefault="004F07AE" w:rsidP="004F07AE">
            <w:pPr>
              <w:pStyle w:val="TableFigures"/>
              <w:rPr>
                <w:rFonts w:ascii="IBM Plex Sans Light" w:hAnsi="IBM Plex Sans Light"/>
                <w:bCs/>
                <w:color w:val="auto"/>
                <w:spacing w:val="-4"/>
                <w:sz w:val="18"/>
                <w:szCs w:val="18"/>
              </w:rPr>
            </w:pPr>
            <w:r>
              <w:rPr>
                <w:rFonts w:ascii="IBM Plex Sans Light" w:hAnsi="IBM Plex Sans Light"/>
                <w:bCs/>
                <w:color w:val="auto"/>
                <w:spacing w:val="-4"/>
                <w:sz w:val="18"/>
                <w:szCs w:val="18"/>
              </w:rPr>
              <w:t>74.3</w:t>
            </w:r>
          </w:p>
        </w:tc>
      </w:tr>
      <w:tr w:rsidR="004F07AE" w:rsidRPr="00895810" w14:paraId="36C10B51" w14:textId="77777777" w:rsidTr="00AD34EA">
        <w:trPr>
          <w:trHeight w:hRule="exact" w:val="278"/>
        </w:trPr>
        <w:tc>
          <w:tcPr>
            <w:tcW w:w="5954" w:type="dxa"/>
            <w:tcMar>
              <w:left w:w="0" w:type="dxa"/>
              <w:right w:w="0" w:type="dxa"/>
            </w:tcMar>
            <w:vAlign w:val="bottom"/>
          </w:tcPr>
          <w:p w14:paraId="099B7055" w14:textId="77777777" w:rsidR="004F07AE" w:rsidRPr="00895810" w:rsidRDefault="004F07AE"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France</w:t>
            </w:r>
          </w:p>
        </w:tc>
        <w:tc>
          <w:tcPr>
            <w:tcW w:w="709" w:type="dxa"/>
            <w:vAlign w:val="bottom"/>
          </w:tcPr>
          <w:p w14:paraId="2B312DEB" w14:textId="4D8B80B8" w:rsidR="004F07AE" w:rsidRPr="00895810" w:rsidRDefault="004F07AE" w:rsidP="004F07AE">
            <w:pPr>
              <w:pStyle w:val="Tabletext"/>
              <w:rPr>
                <w:rFonts w:ascii="IBM Plex Sans Light" w:hAnsi="IBM Plex Sans Light"/>
                <w:spacing w:val="-4"/>
                <w:sz w:val="18"/>
                <w:szCs w:val="18"/>
              </w:rPr>
            </w:pPr>
          </w:p>
        </w:tc>
        <w:tc>
          <w:tcPr>
            <w:tcW w:w="850" w:type="dxa"/>
            <w:tcMar>
              <w:left w:w="0" w:type="dxa"/>
              <w:right w:w="0" w:type="dxa"/>
            </w:tcMar>
          </w:tcPr>
          <w:p w14:paraId="18BB5D53" w14:textId="4F63C1F6"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58.6</w:t>
            </w:r>
          </w:p>
        </w:tc>
        <w:tc>
          <w:tcPr>
            <w:tcW w:w="851" w:type="dxa"/>
            <w:tcMar>
              <w:left w:w="0" w:type="dxa"/>
              <w:right w:w="0" w:type="dxa"/>
            </w:tcMar>
          </w:tcPr>
          <w:p w14:paraId="66F80188" w14:textId="7EC73CE2" w:rsidR="004F07AE" w:rsidRPr="00895810" w:rsidRDefault="004F07AE" w:rsidP="004F07AE">
            <w:pPr>
              <w:pStyle w:val="TableFigures"/>
              <w:rPr>
                <w:rFonts w:ascii="IBM Plex Sans Light" w:hAnsi="IBM Plex Sans Light" w:cs="MyriadPro-Light"/>
                <w:b/>
                <w:color w:val="3D7FE0" w:themeColor="accent1"/>
                <w:spacing w:val="-4"/>
                <w:sz w:val="18"/>
                <w:szCs w:val="18"/>
              </w:rPr>
            </w:pPr>
            <w:r w:rsidRPr="00472806">
              <w:rPr>
                <w:rFonts w:ascii="IBM Plex Sans Light" w:hAnsi="IBM Plex Sans Light"/>
                <w:bCs/>
                <w:color w:val="auto"/>
                <w:spacing w:val="-4"/>
                <w:sz w:val="18"/>
                <w:szCs w:val="18"/>
              </w:rPr>
              <w:t>61.8</w:t>
            </w:r>
          </w:p>
        </w:tc>
        <w:tc>
          <w:tcPr>
            <w:tcW w:w="708" w:type="dxa"/>
            <w:tcMar>
              <w:left w:w="0" w:type="dxa"/>
              <w:right w:w="0" w:type="dxa"/>
            </w:tcMar>
          </w:tcPr>
          <w:p w14:paraId="535FAA14" w14:textId="16FCAB1B"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49.4</w:t>
            </w:r>
          </w:p>
        </w:tc>
        <w:tc>
          <w:tcPr>
            <w:tcW w:w="851" w:type="dxa"/>
            <w:tcMar>
              <w:left w:w="0" w:type="dxa"/>
              <w:right w:w="0" w:type="dxa"/>
            </w:tcMar>
          </w:tcPr>
          <w:p w14:paraId="180C9BC8" w14:textId="56AB7297" w:rsidR="004F07AE" w:rsidRPr="00895810" w:rsidRDefault="004F07AE" w:rsidP="004F07AE">
            <w:pPr>
              <w:pStyle w:val="TableFigures"/>
              <w:rPr>
                <w:rFonts w:ascii="IBM Plex Sans Light" w:hAnsi="IBM Plex Sans Light"/>
                <w:bCs/>
                <w:color w:val="auto"/>
                <w:spacing w:val="-4"/>
                <w:sz w:val="18"/>
                <w:szCs w:val="18"/>
              </w:rPr>
            </w:pPr>
            <w:r w:rsidRPr="00BA2D25">
              <w:rPr>
                <w:rFonts w:ascii="IBM Plex Sans Light" w:hAnsi="IBM Plex Sans Light"/>
                <w:bCs/>
                <w:color w:val="auto"/>
                <w:spacing w:val="-4"/>
                <w:sz w:val="18"/>
                <w:szCs w:val="18"/>
              </w:rPr>
              <w:t>53.8</w:t>
            </w:r>
          </w:p>
        </w:tc>
      </w:tr>
      <w:tr w:rsidR="004F07AE" w:rsidRPr="00895810" w14:paraId="3D7E2C96" w14:textId="77777777" w:rsidTr="00AD34EA">
        <w:trPr>
          <w:trHeight w:hRule="exact" w:val="278"/>
        </w:trPr>
        <w:tc>
          <w:tcPr>
            <w:tcW w:w="5954" w:type="dxa"/>
            <w:tcBorders>
              <w:bottom w:val="single" w:sz="2" w:space="0" w:color="3D7FE0" w:themeColor="accent1"/>
            </w:tcBorders>
            <w:tcMar>
              <w:left w:w="0" w:type="dxa"/>
              <w:right w:w="0" w:type="dxa"/>
            </w:tcMar>
            <w:vAlign w:val="bottom"/>
          </w:tcPr>
          <w:p w14:paraId="26DBFD17" w14:textId="77777777" w:rsidR="004F07AE" w:rsidRPr="00895810" w:rsidRDefault="004F07AE"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Ireland</w:t>
            </w:r>
          </w:p>
        </w:tc>
        <w:tc>
          <w:tcPr>
            <w:tcW w:w="709" w:type="dxa"/>
            <w:tcBorders>
              <w:bottom w:val="single" w:sz="2" w:space="0" w:color="3D7FE0" w:themeColor="accent1"/>
            </w:tcBorders>
            <w:vAlign w:val="bottom"/>
          </w:tcPr>
          <w:p w14:paraId="60892CF3" w14:textId="7BD60376" w:rsidR="004F07AE" w:rsidRPr="00895810" w:rsidRDefault="004F07AE" w:rsidP="004F07AE">
            <w:pPr>
              <w:pStyle w:val="Tabletext"/>
              <w:rPr>
                <w:rFonts w:ascii="IBM Plex Sans Light" w:hAnsi="IBM Plex Sans Light"/>
                <w:spacing w:val="-4"/>
                <w:sz w:val="18"/>
                <w:szCs w:val="18"/>
              </w:rPr>
            </w:pPr>
          </w:p>
        </w:tc>
        <w:tc>
          <w:tcPr>
            <w:tcW w:w="850" w:type="dxa"/>
            <w:tcBorders>
              <w:bottom w:val="single" w:sz="2" w:space="0" w:color="3D7FE0" w:themeColor="accent1"/>
            </w:tcBorders>
            <w:tcMar>
              <w:left w:w="0" w:type="dxa"/>
              <w:right w:w="0" w:type="dxa"/>
            </w:tcMar>
          </w:tcPr>
          <w:p w14:paraId="098E5F11" w14:textId="4114C991"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40.0</w:t>
            </w:r>
          </w:p>
        </w:tc>
        <w:tc>
          <w:tcPr>
            <w:tcW w:w="851" w:type="dxa"/>
            <w:tcBorders>
              <w:bottom w:val="single" w:sz="2" w:space="0" w:color="3D7FE0" w:themeColor="accent1"/>
            </w:tcBorders>
            <w:tcMar>
              <w:left w:w="0" w:type="dxa"/>
              <w:right w:w="0" w:type="dxa"/>
            </w:tcMar>
          </w:tcPr>
          <w:p w14:paraId="35E1BB29" w14:textId="3C77AC67" w:rsidR="004F07AE" w:rsidRPr="00895810" w:rsidRDefault="004F07AE" w:rsidP="004F07AE">
            <w:pPr>
              <w:pStyle w:val="TableFigures"/>
              <w:rPr>
                <w:rFonts w:ascii="IBM Plex Sans Light" w:hAnsi="IBM Plex Sans Light" w:cs="MyriadPro-Light"/>
                <w:b/>
                <w:color w:val="3D7FE0" w:themeColor="accent1"/>
                <w:spacing w:val="-4"/>
                <w:sz w:val="18"/>
                <w:szCs w:val="18"/>
              </w:rPr>
            </w:pPr>
            <w:r w:rsidRPr="00472806">
              <w:rPr>
                <w:rFonts w:ascii="IBM Plex Sans Light" w:hAnsi="IBM Plex Sans Light"/>
                <w:bCs/>
                <w:color w:val="auto"/>
                <w:spacing w:val="-4"/>
                <w:sz w:val="18"/>
                <w:szCs w:val="18"/>
              </w:rPr>
              <w:t>37.3</w:t>
            </w:r>
          </w:p>
        </w:tc>
        <w:tc>
          <w:tcPr>
            <w:tcW w:w="708" w:type="dxa"/>
            <w:tcBorders>
              <w:bottom w:val="single" w:sz="2" w:space="0" w:color="3D7FE0" w:themeColor="accent1"/>
            </w:tcBorders>
            <w:tcMar>
              <w:left w:w="0" w:type="dxa"/>
              <w:right w:w="0" w:type="dxa"/>
            </w:tcMar>
          </w:tcPr>
          <w:p w14:paraId="2FD5DF46" w14:textId="763CD5BD"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36.3</w:t>
            </w:r>
          </w:p>
        </w:tc>
        <w:tc>
          <w:tcPr>
            <w:tcW w:w="851" w:type="dxa"/>
            <w:tcBorders>
              <w:bottom w:val="single" w:sz="2" w:space="0" w:color="3D7FE0" w:themeColor="accent1"/>
            </w:tcBorders>
            <w:tcMar>
              <w:left w:w="0" w:type="dxa"/>
              <w:right w:w="0" w:type="dxa"/>
            </w:tcMar>
          </w:tcPr>
          <w:p w14:paraId="3AE34FEE" w14:textId="6BD01119" w:rsidR="004F07AE" w:rsidRPr="00895810" w:rsidRDefault="004F07AE" w:rsidP="004F07AE">
            <w:pPr>
              <w:pStyle w:val="TableFigures"/>
              <w:rPr>
                <w:rFonts w:ascii="IBM Plex Sans Light" w:hAnsi="IBM Plex Sans Light"/>
                <w:bCs/>
                <w:color w:val="auto"/>
                <w:spacing w:val="-4"/>
                <w:sz w:val="18"/>
                <w:szCs w:val="18"/>
              </w:rPr>
            </w:pPr>
            <w:r w:rsidRPr="00BA2D25">
              <w:rPr>
                <w:rFonts w:ascii="IBM Plex Sans Light" w:hAnsi="IBM Plex Sans Light"/>
                <w:bCs/>
                <w:color w:val="auto"/>
                <w:spacing w:val="-4"/>
                <w:sz w:val="18"/>
                <w:szCs w:val="18"/>
              </w:rPr>
              <w:t>33.6</w:t>
            </w:r>
          </w:p>
        </w:tc>
      </w:tr>
      <w:tr w:rsidR="004F07AE" w:rsidRPr="00895810" w14:paraId="57AC9BD0" w14:textId="77777777" w:rsidTr="00AD34EA">
        <w:trPr>
          <w:trHeight w:hRule="exact" w:val="278"/>
        </w:trPr>
        <w:tc>
          <w:tcPr>
            <w:tcW w:w="5954" w:type="dxa"/>
            <w:tcBorders>
              <w:top w:val="single" w:sz="2" w:space="0" w:color="3D7FE0" w:themeColor="accent1"/>
            </w:tcBorders>
            <w:tcMar>
              <w:left w:w="0" w:type="dxa"/>
              <w:right w:w="0" w:type="dxa"/>
            </w:tcMar>
            <w:vAlign w:val="bottom"/>
          </w:tcPr>
          <w:p w14:paraId="2C814924" w14:textId="77777777" w:rsidR="004F07AE" w:rsidRPr="00895810" w:rsidRDefault="004F07AE" w:rsidP="004F07AE">
            <w:pPr>
              <w:pStyle w:val="Tabletext"/>
              <w:rPr>
                <w:rFonts w:ascii="IBM Plex Sans Light" w:hAnsi="IBM Plex Sans Light"/>
                <w:b/>
                <w:color w:val="3D7FE0" w:themeColor="accent1"/>
                <w:spacing w:val="-4"/>
                <w:sz w:val="18"/>
                <w:szCs w:val="18"/>
              </w:rPr>
            </w:pPr>
          </w:p>
        </w:tc>
        <w:tc>
          <w:tcPr>
            <w:tcW w:w="709" w:type="dxa"/>
            <w:tcBorders>
              <w:top w:val="single" w:sz="2" w:space="0" w:color="3D7FE0" w:themeColor="accent1"/>
            </w:tcBorders>
            <w:vAlign w:val="bottom"/>
          </w:tcPr>
          <w:p w14:paraId="76DFAAF7" w14:textId="5C4FB6EF" w:rsidR="004F07AE" w:rsidRPr="00895810" w:rsidRDefault="004F07AE" w:rsidP="004F07AE">
            <w:pPr>
              <w:pStyle w:val="Tabletext"/>
              <w:rPr>
                <w:rFonts w:ascii="IBM Plex Sans Light" w:hAnsi="IBM Plex Sans Light"/>
                <w:b/>
                <w:color w:val="3D7FE0" w:themeColor="accent1"/>
                <w:spacing w:val="-4"/>
                <w:sz w:val="18"/>
                <w:szCs w:val="18"/>
              </w:rPr>
            </w:pPr>
          </w:p>
        </w:tc>
        <w:tc>
          <w:tcPr>
            <w:tcW w:w="850" w:type="dxa"/>
            <w:tcBorders>
              <w:top w:val="single" w:sz="2" w:space="0" w:color="3D7FE0" w:themeColor="accent1"/>
            </w:tcBorders>
            <w:tcMar>
              <w:left w:w="0" w:type="dxa"/>
              <w:right w:w="0" w:type="dxa"/>
            </w:tcMar>
          </w:tcPr>
          <w:p w14:paraId="7DAEAB1B" w14:textId="5585994A"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191.4</w:t>
            </w:r>
          </w:p>
        </w:tc>
        <w:tc>
          <w:tcPr>
            <w:tcW w:w="851" w:type="dxa"/>
            <w:tcBorders>
              <w:top w:val="single" w:sz="2" w:space="0" w:color="3D7FE0" w:themeColor="accent1"/>
            </w:tcBorders>
            <w:tcMar>
              <w:left w:w="0" w:type="dxa"/>
              <w:right w:w="0" w:type="dxa"/>
            </w:tcMar>
          </w:tcPr>
          <w:p w14:paraId="30E721DF" w14:textId="561DC076" w:rsidR="004F07AE" w:rsidRPr="00895810" w:rsidRDefault="004F07AE" w:rsidP="004F07AE">
            <w:pPr>
              <w:pStyle w:val="TableFigures"/>
              <w:rPr>
                <w:rFonts w:ascii="IBM Plex Sans Light" w:hAnsi="IBM Plex Sans Light" w:cs="MyriadPro-Light"/>
                <w:b/>
                <w:color w:val="3D7FE0" w:themeColor="accent1"/>
                <w:spacing w:val="-4"/>
                <w:sz w:val="18"/>
                <w:szCs w:val="18"/>
              </w:rPr>
            </w:pPr>
            <w:r w:rsidRPr="00472806">
              <w:rPr>
                <w:rFonts w:ascii="IBM Plex Sans Light" w:hAnsi="IBM Plex Sans Light"/>
                <w:bCs/>
                <w:color w:val="auto"/>
                <w:spacing w:val="-4"/>
                <w:sz w:val="18"/>
                <w:szCs w:val="18"/>
              </w:rPr>
              <w:t>189.6</w:t>
            </w:r>
          </w:p>
        </w:tc>
        <w:tc>
          <w:tcPr>
            <w:tcW w:w="708" w:type="dxa"/>
            <w:tcBorders>
              <w:top w:val="single" w:sz="2" w:space="0" w:color="3D7FE0" w:themeColor="accent1"/>
            </w:tcBorders>
            <w:tcMar>
              <w:left w:w="0" w:type="dxa"/>
              <w:right w:w="0" w:type="dxa"/>
            </w:tcMar>
          </w:tcPr>
          <w:p w14:paraId="2E0B339E" w14:textId="16E0B6F0"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158.6</w:t>
            </w:r>
          </w:p>
        </w:tc>
        <w:tc>
          <w:tcPr>
            <w:tcW w:w="851" w:type="dxa"/>
            <w:tcBorders>
              <w:top w:val="single" w:sz="2" w:space="0" w:color="3D7FE0" w:themeColor="accent1"/>
            </w:tcBorders>
            <w:tcMar>
              <w:left w:w="0" w:type="dxa"/>
              <w:right w:w="0" w:type="dxa"/>
            </w:tcMar>
          </w:tcPr>
          <w:p w14:paraId="7EC7F270" w14:textId="5AE24756" w:rsidR="004F07AE" w:rsidRPr="00895810" w:rsidRDefault="004F07AE" w:rsidP="004F07AE">
            <w:pPr>
              <w:pStyle w:val="TableFigures"/>
              <w:rPr>
                <w:rFonts w:ascii="IBM Plex Sans Light" w:hAnsi="IBM Plex Sans Light"/>
                <w:bCs/>
                <w:color w:val="auto"/>
                <w:spacing w:val="-4"/>
                <w:sz w:val="18"/>
                <w:szCs w:val="18"/>
              </w:rPr>
            </w:pPr>
            <w:r w:rsidRPr="00BA2D25">
              <w:rPr>
                <w:rFonts w:ascii="IBM Plex Sans Light" w:hAnsi="IBM Plex Sans Light"/>
                <w:bCs/>
                <w:color w:val="auto"/>
                <w:spacing w:val="-4"/>
                <w:sz w:val="18"/>
                <w:szCs w:val="18"/>
              </w:rPr>
              <w:t>161.7</w:t>
            </w:r>
          </w:p>
        </w:tc>
      </w:tr>
      <w:tr w:rsidR="004F07AE" w:rsidRPr="00895810" w14:paraId="7BD43A26" w14:textId="77777777" w:rsidTr="00AD34EA">
        <w:trPr>
          <w:trHeight w:hRule="exact" w:val="278"/>
        </w:trPr>
        <w:tc>
          <w:tcPr>
            <w:tcW w:w="5954" w:type="dxa"/>
            <w:tcMar>
              <w:left w:w="0" w:type="dxa"/>
              <w:right w:w="0" w:type="dxa"/>
            </w:tcMar>
            <w:vAlign w:val="bottom"/>
          </w:tcPr>
          <w:p w14:paraId="13E24E69" w14:textId="77777777" w:rsidR="004F07AE" w:rsidRPr="00895810" w:rsidRDefault="004F07AE"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 xml:space="preserve">Developments and other </w:t>
            </w:r>
          </w:p>
        </w:tc>
        <w:tc>
          <w:tcPr>
            <w:tcW w:w="709" w:type="dxa"/>
            <w:vAlign w:val="bottom"/>
          </w:tcPr>
          <w:p w14:paraId="6BE6CF6F" w14:textId="58A0577F" w:rsidR="004F07AE" w:rsidRPr="00895810" w:rsidRDefault="004F07AE" w:rsidP="004F07AE">
            <w:pPr>
              <w:pStyle w:val="Tabletext"/>
              <w:ind w:right="-57"/>
              <w:jc w:val="right"/>
              <w:rPr>
                <w:rFonts w:ascii="IBM Plex Sans Light" w:hAnsi="IBM Plex Sans Light"/>
                <w:spacing w:val="-4"/>
                <w:szCs w:val="16"/>
              </w:rPr>
            </w:pPr>
          </w:p>
        </w:tc>
        <w:tc>
          <w:tcPr>
            <w:tcW w:w="850" w:type="dxa"/>
            <w:tcMar>
              <w:left w:w="0" w:type="dxa"/>
              <w:right w:w="0" w:type="dxa"/>
            </w:tcMar>
          </w:tcPr>
          <w:p w14:paraId="10B0C57F" w14:textId="01568F04"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17.0</w:t>
            </w:r>
          </w:p>
        </w:tc>
        <w:tc>
          <w:tcPr>
            <w:tcW w:w="851" w:type="dxa"/>
            <w:tcMar>
              <w:left w:w="0" w:type="dxa"/>
              <w:right w:w="0" w:type="dxa"/>
            </w:tcMar>
          </w:tcPr>
          <w:p w14:paraId="68954977" w14:textId="4E6D4EED" w:rsidR="004F07AE" w:rsidRPr="00895810" w:rsidRDefault="004F07AE" w:rsidP="004F07AE">
            <w:pPr>
              <w:pStyle w:val="TableFigures"/>
              <w:rPr>
                <w:rFonts w:ascii="IBM Plex Sans Light" w:hAnsi="IBM Plex Sans Light" w:cs="MyriadPro-Light"/>
                <w:b/>
                <w:color w:val="3D7FE0" w:themeColor="accent1"/>
                <w:spacing w:val="-4"/>
                <w:sz w:val="18"/>
                <w:szCs w:val="18"/>
              </w:rPr>
            </w:pPr>
            <w:r w:rsidRPr="00472806">
              <w:rPr>
                <w:rFonts w:ascii="IBM Plex Sans Light" w:hAnsi="IBM Plex Sans Light"/>
                <w:bCs/>
                <w:color w:val="auto"/>
                <w:spacing w:val="-4"/>
                <w:sz w:val="18"/>
                <w:szCs w:val="18"/>
              </w:rPr>
              <w:t>25.6</w:t>
            </w:r>
          </w:p>
        </w:tc>
        <w:tc>
          <w:tcPr>
            <w:tcW w:w="708" w:type="dxa"/>
            <w:tcMar>
              <w:left w:w="0" w:type="dxa"/>
              <w:right w:w="0" w:type="dxa"/>
            </w:tcMar>
          </w:tcPr>
          <w:p w14:paraId="42303A24" w14:textId="45D6D1A8"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8.9</w:t>
            </w:r>
          </w:p>
        </w:tc>
        <w:tc>
          <w:tcPr>
            <w:tcW w:w="851" w:type="dxa"/>
            <w:tcMar>
              <w:left w:w="0" w:type="dxa"/>
              <w:right w:w="0" w:type="dxa"/>
            </w:tcMar>
          </w:tcPr>
          <w:p w14:paraId="4F333DBC" w14:textId="2ADF6488" w:rsidR="004F07AE" w:rsidRPr="00895810" w:rsidRDefault="004F07AE" w:rsidP="004F07AE">
            <w:pPr>
              <w:pStyle w:val="TableFigures"/>
              <w:rPr>
                <w:rFonts w:ascii="IBM Plex Sans Light" w:hAnsi="IBM Plex Sans Light"/>
                <w:bCs/>
                <w:color w:val="auto"/>
                <w:spacing w:val="-4"/>
                <w:sz w:val="18"/>
                <w:szCs w:val="18"/>
              </w:rPr>
            </w:pPr>
            <w:r w:rsidRPr="00BA2D25">
              <w:rPr>
                <w:rFonts w:ascii="IBM Plex Sans Light" w:hAnsi="IBM Plex Sans Light"/>
                <w:bCs/>
                <w:color w:val="auto"/>
                <w:spacing w:val="-4"/>
                <w:sz w:val="18"/>
                <w:szCs w:val="18"/>
              </w:rPr>
              <w:t>13.1</w:t>
            </w:r>
          </w:p>
        </w:tc>
      </w:tr>
      <w:tr w:rsidR="004F07AE" w:rsidRPr="00895810" w14:paraId="18B0996A" w14:textId="77777777" w:rsidTr="00AD34EA">
        <w:trPr>
          <w:trHeight w:hRule="exact" w:val="278"/>
        </w:trPr>
        <w:tc>
          <w:tcPr>
            <w:tcW w:w="5954" w:type="dxa"/>
            <w:tcBorders>
              <w:top w:val="single" w:sz="2" w:space="0" w:color="3D7FE0" w:themeColor="accent1"/>
            </w:tcBorders>
            <w:tcMar>
              <w:left w:w="0" w:type="dxa"/>
              <w:right w:w="0" w:type="dxa"/>
            </w:tcMar>
            <w:vAlign w:val="bottom"/>
          </w:tcPr>
          <w:p w14:paraId="6ED9A5DE" w14:textId="2C1AD340" w:rsidR="004F07AE" w:rsidRPr="00895810" w:rsidRDefault="004F07AE" w:rsidP="004F07AE">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Managed portfolio – proportionally consolidated</w:t>
            </w:r>
          </w:p>
        </w:tc>
        <w:tc>
          <w:tcPr>
            <w:tcW w:w="709" w:type="dxa"/>
            <w:tcBorders>
              <w:top w:val="single" w:sz="2" w:space="0" w:color="3D7FE0" w:themeColor="accent1"/>
            </w:tcBorders>
            <w:vAlign w:val="bottom"/>
          </w:tcPr>
          <w:p w14:paraId="2EBD3793" w14:textId="635F4AE2" w:rsidR="004F07AE" w:rsidRPr="00895810" w:rsidRDefault="004F07AE" w:rsidP="004F07AE">
            <w:pPr>
              <w:pStyle w:val="TabletextBold"/>
              <w:rPr>
                <w:rFonts w:ascii="IBM Plex Sans Light" w:hAnsi="IBM Plex Sans Light"/>
                <w:bCs/>
                <w:color w:val="3D7FE0" w:themeColor="accent1"/>
                <w:szCs w:val="16"/>
              </w:rPr>
            </w:pPr>
          </w:p>
        </w:tc>
        <w:tc>
          <w:tcPr>
            <w:tcW w:w="850" w:type="dxa"/>
            <w:tcBorders>
              <w:top w:val="single" w:sz="2" w:space="0" w:color="3D7FE0" w:themeColor="accent1"/>
            </w:tcBorders>
            <w:tcMar>
              <w:left w:w="0" w:type="dxa"/>
              <w:right w:w="0" w:type="dxa"/>
            </w:tcMar>
          </w:tcPr>
          <w:p w14:paraId="2C09DB0B" w14:textId="70B94BD7"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208.4</w:t>
            </w:r>
          </w:p>
        </w:tc>
        <w:tc>
          <w:tcPr>
            <w:tcW w:w="851" w:type="dxa"/>
            <w:tcBorders>
              <w:top w:val="single" w:sz="2" w:space="0" w:color="3D7FE0" w:themeColor="accent1"/>
            </w:tcBorders>
            <w:tcMar>
              <w:left w:w="0" w:type="dxa"/>
              <w:right w:w="0" w:type="dxa"/>
            </w:tcMar>
          </w:tcPr>
          <w:p w14:paraId="11250A45" w14:textId="212F98EA" w:rsidR="004F07AE" w:rsidRPr="00895810" w:rsidRDefault="004F07AE" w:rsidP="004F07AE">
            <w:pPr>
              <w:pStyle w:val="TableFigures"/>
              <w:rPr>
                <w:rFonts w:ascii="IBM Plex Sans Light" w:hAnsi="IBM Plex Sans Light" w:cs="MyriadPro-Light"/>
                <w:b/>
                <w:color w:val="3D7FE0" w:themeColor="accent1"/>
                <w:spacing w:val="-4"/>
                <w:sz w:val="18"/>
                <w:szCs w:val="18"/>
              </w:rPr>
            </w:pPr>
            <w:r w:rsidRPr="00472806">
              <w:rPr>
                <w:rFonts w:ascii="IBM Plex Sans Light" w:hAnsi="IBM Plex Sans Light"/>
                <w:bCs/>
                <w:color w:val="auto"/>
                <w:spacing w:val="-4"/>
                <w:sz w:val="18"/>
                <w:szCs w:val="18"/>
              </w:rPr>
              <w:t>215.2</w:t>
            </w:r>
          </w:p>
        </w:tc>
        <w:tc>
          <w:tcPr>
            <w:tcW w:w="708" w:type="dxa"/>
            <w:tcBorders>
              <w:top w:val="single" w:sz="2" w:space="0" w:color="3D7FE0" w:themeColor="accent1"/>
              <w:bottom w:val="single" w:sz="8" w:space="0" w:color="3D7FE0" w:themeColor="accent1"/>
            </w:tcBorders>
            <w:tcMar>
              <w:left w:w="0" w:type="dxa"/>
              <w:right w:w="0" w:type="dxa"/>
            </w:tcMar>
          </w:tcPr>
          <w:p w14:paraId="5507A14D" w14:textId="5D35E3E9"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167.5</w:t>
            </w:r>
          </w:p>
        </w:tc>
        <w:tc>
          <w:tcPr>
            <w:tcW w:w="851" w:type="dxa"/>
            <w:tcBorders>
              <w:top w:val="single" w:sz="2" w:space="0" w:color="3D7FE0" w:themeColor="accent1"/>
              <w:bottom w:val="single" w:sz="8" w:space="0" w:color="3D7FE0" w:themeColor="accent1"/>
            </w:tcBorders>
            <w:tcMar>
              <w:left w:w="0" w:type="dxa"/>
              <w:right w:w="0" w:type="dxa"/>
            </w:tcMar>
          </w:tcPr>
          <w:p w14:paraId="20C3F592" w14:textId="5BCA7614" w:rsidR="004F07AE" w:rsidRPr="00895810" w:rsidRDefault="004F07AE" w:rsidP="004F07AE">
            <w:pPr>
              <w:pStyle w:val="TableFigures"/>
              <w:rPr>
                <w:rFonts w:ascii="IBM Plex Sans Light" w:hAnsi="IBM Plex Sans Light"/>
                <w:bCs/>
                <w:color w:val="auto"/>
                <w:spacing w:val="-4"/>
                <w:sz w:val="18"/>
                <w:szCs w:val="18"/>
              </w:rPr>
            </w:pPr>
            <w:r w:rsidRPr="00BA2D25">
              <w:rPr>
                <w:rFonts w:ascii="IBM Plex Sans Light" w:hAnsi="IBM Plex Sans Light"/>
                <w:bCs/>
                <w:color w:val="auto"/>
                <w:spacing w:val="-4"/>
                <w:sz w:val="18"/>
                <w:szCs w:val="18"/>
              </w:rPr>
              <w:t>174.8</w:t>
            </w:r>
          </w:p>
        </w:tc>
      </w:tr>
      <w:tr w:rsidR="004F07AE" w:rsidRPr="00895810" w14:paraId="03C50CFB" w14:textId="77777777" w:rsidTr="00AD34EA">
        <w:trPr>
          <w:trHeight w:hRule="exact" w:val="300"/>
        </w:trPr>
        <w:tc>
          <w:tcPr>
            <w:tcW w:w="5954" w:type="dxa"/>
            <w:tcMar>
              <w:left w:w="0" w:type="dxa"/>
              <w:right w:w="0" w:type="dxa"/>
            </w:tcMar>
            <w:vAlign w:val="bottom"/>
          </w:tcPr>
          <w:p w14:paraId="49FA33E6" w14:textId="7B8D2C92" w:rsidR="004F07AE" w:rsidRPr="00895810" w:rsidRDefault="004F07AE" w:rsidP="004F07AE">
            <w:pPr>
              <w:pStyle w:val="TabletextBold"/>
              <w:rPr>
                <w:rFonts w:ascii="IBM Plex Sans Light" w:hAnsi="IBM Plex Sans Light"/>
                <w:b w:val="0"/>
                <w:bCs/>
                <w:sz w:val="18"/>
                <w:szCs w:val="18"/>
              </w:rPr>
            </w:pPr>
            <w:r w:rsidRPr="00895810">
              <w:rPr>
                <w:rFonts w:ascii="IBM Plex Sans Light" w:hAnsi="IBM Plex Sans Light"/>
                <w:b w:val="0"/>
                <w:bCs/>
                <w:sz w:val="18"/>
                <w:szCs w:val="18"/>
              </w:rPr>
              <w:t>Less Share of Property interests</w:t>
            </w:r>
          </w:p>
        </w:tc>
        <w:tc>
          <w:tcPr>
            <w:tcW w:w="709" w:type="dxa"/>
            <w:vAlign w:val="bottom"/>
          </w:tcPr>
          <w:p w14:paraId="1EA5E7D5" w14:textId="59C8A10F" w:rsidR="004F07AE" w:rsidRPr="00895810" w:rsidRDefault="004F07AE" w:rsidP="004F07AE">
            <w:pPr>
              <w:pStyle w:val="TabletextBold"/>
              <w:rPr>
                <w:rFonts w:ascii="IBM Plex Sans Light" w:hAnsi="IBM Plex Sans Light"/>
                <w:b w:val="0"/>
                <w:bCs/>
                <w:szCs w:val="16"/>
              </w:rPr>
            </w:pPr>
          </w:p>
        </w:tc>
        <w:tc>
          <w:tcPr>
            <w:tcW w:w="850" w:type="dxa"/>
            <w:tcMar>
              <w:left w:w="0" w:type="dxa"/>
              <w:right w:w="0" w:type="dxa"/>
            </w:tcMar>
          </w:tcPr>
          <w:p w14:paraId="5DBB91B8" w14:textId="0F9F6A93" w:rsidR="004F07AE" w:rsidRPr="004F07AE" w:rsidRDefault="004F07AE" w:rsidP="00D9524D">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(115.6)</w:t>
            </w:r>
          </w:p>
        </w:tc>
        <w:tc>
          <w:tcPr>
            <w:tcW w:w="851" w:type="dxa"/>
            <w:tcMar>
              <w:left w:w="0" w:type="dxa"/>
              <w:right w:w="0" w:type="dxa"/>
            </w:tcMar>
          </w:tcPr>
          <w:p w14:paraId="7FD23AA6" w14:textId="3A0A0FF7" w:rsidR="004F07AE" w:rsidRPr="002449F2" w:rsidRDefault="004F07AE" w:rsidP="004F07AE">
            <w:pPr>
              <w:pStyle w:val="TableFiguresBrackets"/>
              <w:rPr>
                <w:rFonts w:ascii="IBM Plex Sans Light" w:hAnsi="IBM Plex Sans Light" w:cs="MyriadPro-Light"/>
                <w:color w:val="3D7FE0" w:themeColor="accent1"/>
                <w:spacing w:val="-4"/>
                <w:sz w:val="18"/>
                <w:szCs w:val="18"/>
              </w:rPr>
            </w:pPr>
            <w:r w:rsidRPr="002449F2">
              <w:rPr>
                <w:rFonts w:ascii="IBM Plex Sans Light" w:hAnsi="IBM Plex Sans Light"/>
                <w:color w:val="auto"/>
                <w:spacing w:val="-4"/>
                <w:sz w:val="18"/>
                <w:szCs w:val="18"/>
              </w:rPr>
              <w:t>(125.0)</w:t>
            </w:r>
          </w:p>
        </w:tc>
        <w:tc>
          <w:tcPr>
            <w:tcW w:w="708" w:type="dxa"/>
            <w:tcBorders>
              <w:top w:val="single" w:sz="8" w:space="0" w:color="3D7FE0" w:themeColor="accent1"/>
            </w:tcBorders>
            <w:tcMar>
              <w:left w:w="0" w:type="dxa"/>
              <w:right w:w="0" w:type="dxa"/>
            </w:tcMar>
          </w:tcPr>
          <w:p w14:paraId="3F20E758" w14:textId="13C5E72F" w:rsidR="004F07AE" w:rsidRPr="004F07AE" w:rsidRDefault="004F07AE" w:rsidP="004F07AE">
            <w:pPr>
              <w:pStyle w:val="TableFigures"/>
              <w:rPr>
                <w:rFonts w:ascii="IBM Plex Sans Medium" w:hAnsi="IBM Plex Sans Medium"/>
                <w:b/>
                <w:bCs/>
                <w:color w:val="3D7FE0" w:themeColor="accent1"/>
                <w:spacing w:val="-4"/>
                <w:sz w:val="18"/>
                <w:szCs w:val="18"/>
              </w:rPr>
            </w:pPr>
          </w:p>
        </w:tc>
        <w:tc>
          <w:tcPr>
            <w:tcW w:w="851" w:type="dxa"/>
            <w:tcBorders>
              <w:top w:val="single" w:sz="8" w:space="0" w:color="3D7FE0" w:themeColor="accent1"/>
            </w:tcBorders>
            <w:tcMar>
              <w:left w:w="0" w:type="dxa"/>
              <w:right w:w="0" w:type="dxa"/>
            </w:tcMar>
          </w:tcPr>
          <w:p w14:paraId="6C57EA51" w14:textId="19ECEE4A" w:rsidR="004F07AE" w:rsidRPr="00895810" w:rsidRDefault="004F07AE" w:rsidP="004F07AE">
            <w:pPr>
              <w:pStyle w:val="TableFiguresBracketsBold"/>
              <w:rPr>
                <w:rFonts w:ascii="IBM Plex Sans Light" w:hAnsi="IBM Plex Sans Light"/>
                <w:b w:val="0"/>
                <w:color w:val="auto"/>
                <w:spacing w:val="-4"/>
                <w:sz w:val="18"/>
                <w:szCs w:val="18"/>
              </w:rPr>
            </w:pPr>
          </w:p>
        </w:tc>
      </w:tr>
      <w:tr w:rsidR="004F07AE" w:rsidRPr="00895810" w14:paraId="1A6576EC" w14:textId="77777777" w:rsidTr="00AD34EA">
        <w:trPr>
          <w:trHeight w:hRule="exact" w:val="278"/>
        </w:trPr>
        <w:tc>
          <w:tcPr>
            <w:tcW w:w="5954" w:type="dxa"/>
            <w:tcBorders>
              <w:top w:val="single" w:sz="2" w:space="0" w:color="3D7FE0" w:themeColor="accent1"/>
              <w:bottom w:val="single" w:sz="8" w:space="0" w:color="3D7FE0" w:themeColor="accent1"/>
            </w:tcBorders>
            <w:tcMar>
              <w:left w:w="0" w:type="dxa"/>
              <w:right w:w="0" w:type="dxa"/>
            </w:tcMar>
            <w:vAlign w:val="bottom"/>
          </w:tcPr>
          <w:p w14:paraId="7F7C4D1C" w14:textId="075D6B98" w:rsidR="004F07AE" w:rsidRPr="00895810" w:rsidRDefault="004F07AE" w:rsidP="004F07AE">
            <w:pPr>
              <w:pStyle w:val="TabletextBold"/>
              <w:rPr>
                <w:rFonts w:ascii="IBM Plex Sans Light" w:hAnsi="IBM Plex Sans Light"/>
                <w:bCs/>
                <w:color w:val="3D7FE0" w:themeColor="accent1"/>
                <w:sz w:val="18"/>
                <w:szCs w:val="18"/>
              </w:rPr>
            </w:pPr>
            <w:r>
              <w:rPr>
                <w:rFonts w:ascii="IBM Plex Sans Light" w:hAnsi="IBM Plex Sans Light"/>
                <w:bCs/>
                <w:color w:val="3D7FE0" w:themeColor="accent1"/>
                <w:sz w:val="18"/>
                <w:szCs w:val="18"/>
              </w:rPr>
              <w:t>Reported Group</w:t>
            </w:r>
          </w:p>
        </w:tc>
        <w:tc>
          <w:tcPr>
            <w:tcW w:w="709" w:type="dxa"/>
            <w:tcBorders>
              <w:top w:val="single" w:sz="2" w:space="0" w:color="3D7FE0" w:themeColor="accent1"/>
              <w:bottom w:val="single" w:sz="8" w:space="0" w:color="3D7FE0" w:themeColor="accent1"/>
            </w:tcBorders>
            <w:vAlign w:val="bottom"/>
          </w:tcPr>
          <w:p w14:paraId="5EA72F58" w14:textId="69ECA3B5" w:rsidR="004F07AE" w:rsidRPr="00895810" w:rsidRDefault="004F07AE" w:rsidP="004F07AE">
            <w:pPr>
              <w:pStyle w:val="TabletextBold"/>
              <w:rPr>
                <w:rFonts w:ascii="IBM Plex Sans Light" w:hAnsi="IBM Plex Sans Light"/>
                <w:bCs/>
                <w:color w:val="3D7FE0" w:themeColor="accent1"/>
                <w:sz w:val="18"/>
                <w:szCs w:val="18"/>
              </w:rPr>
            </w:pPr>
          </w:p>
        </w:tc>
        <w:tc>
          <w:tcPr>
            <w:tcW w:w="850" w:type="dxa"/>
            <w:tcBorders>
              <w:top w:val="single" w:sz="2" w:space="0" w:color="3D7FE0" w:themeColor="accent1"/>
              <w:bottom w:val="single" w:sz="8" w:space="0" w:color="3D7FE0" w:themeColor="accent1"/>
            </w:tcBorders>
            <w:tcMar>
              <w:left w:w="0" w:type="dxa"/>
              <w:right w:w="0" w:type="dxa"/>
            </w:tcMar>
          </w:tcPr>
          <w:p w14:paraId="4ED02CB1" w14:textId="71C844F8"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92.8</w:t>
            </w:r>
          </w:p>
        </w:tc>
        <w:tc>
          <w:tcPr>
            <w:tcW w:w="851" w:type="dxa"/>
            <w:tcBorders>
              <w:top w:val="single" w:sz="2" w:space="0" w:color="3D7FE0" w:themeColor="accent1"/>
              <w:bottom w:val="single" w:sz="8" w:space="0" w:color="3D7FE0" w:themeColor="accent1"/>
            </w:tcBorders>
            <w:tcMar>
              <w:left w:w="0" w:type="dxa"/>
              <w:right w:w="0" w:type="dxa"/>
            </w:tcMar>
          </w:tcPr>
          <w:p w14:paraId="234F6775" w14:textId="131AE1CF" w:rsidR="004F07AE" w:rsidRPr="00895810" w:rsidRDefault="004F07AE" w:rsidP="004F07AE">
            <w:pPr>
              <w:pStyle w:val="TableFigures"/>
              <w:rPr>
                <w:rFonts w:ascii="IBM Plex Sans Light" w:hAnsi="IBM Plex Sans Light" w:cs="MyriadPro-Light"/>
                <w:b/>
                <w:color w:val="3D7FE0" w:themeColor="accent1"/>
                <w:spacing w:val="-4"/>
                <w:sz w:val="18"/>
                <w:szCs w:val="18"/>
              </w:rPr>
            </w:pPr>
            <w:r>
              <w:rPr>
                <w:rFonts w:ascii="IBM Plex Sans Light" w:hAnsi="IBM Plex Sans Light"/>
                <w:bCs/>
                <w:color w:val="auto"/>
                <w:spacing w:val="-4"/>
                <w:sz w:val="18"/>
                <w:szCs w:val="18"/>
              </w:rPr>
              <w:t>90.2</w:t>
            </w:r>
          </w:p>
        </w:tc>
        <w:tc>
          <w:tcPr>
            <w:tcW w:w="708" w:type="dxa"/>
            <w:tcMar>
              <w:left w:w="0" w:type="dxa"/>
              <w:right w:w="0" w:type="dxa"/>
            </w:tcMar>
          </w:tcPr>
          <w:p w14:paraId="3840AF39" w14:textId="5B63ACE7" w:rsidR="004F07AE" w:rsidRPr="002449F2" w:rsidRDefault="004F07AE" w:rsidP="004F07AE">
            <w:pPr>
              <w:pStyle w:val="TableFigures"/>
              <w:rPr>
                <w:rFonts w:ascii="IBM Plex Sans Medium" w:hAnsi="IBM Plex Sans Medium"/>
                <w:b/>
                <w:color w:val="3D7FE0" w:themeColor="accent1"/>
                <w:spacing w:val="-4"/>
                <w:sz w:val="18"/>
                <w:szCs w:val="18"/>
              </w:rPr>
            </w:pPr>
          </w:p>
        </w:tc>
        <w:tc>
          <w:tcPr>
            <w:tcW w:w="851" w:type="dxa"/>
            <w:tcMar>
              <w:left w:w="0" w:type="dxa"/>
              <w:right w:w="0" w:type="dxa"/>
            </w:tcMar>
          </w:tcPr>
          <w:p w14:paraId="248EEEA2" w14:textId="567FF82D" w:rsidR="004F07AE" w:rsidRPr="00895810" w:rsidRDefault="004F07AE" w:rsidP="004F07AE">
            <w:pPr>
              <w:pStyle w:val="TableFigures"/>
              <w:rPr>
                <w:rFonts w:ascii="IBM Plex Sans Light" w:hAnsi="IBM Plex Sans Light"/>
                <w:bCs/>
                <w:color w:val="auto"/>
                <w:spacing w:val="-4"/>
                <w:sz w:val="18"/>
                <w:szCs w:val="18"/>
              </w:rPr>
            </w:pPr>
          </w:p>
        </w:tc>
      </w:tr>
    </w:tbl>
    <w:p w14:paraId="5D08A2EB" w14:textId="77777777" w:rsidR="00F554C6" w:rsidRPr="00895810" w:rsidRDefault="00F554C6" w:rsidP="00C21D3A">
      <w:pPr>
        <w:rPr>
          <w:rFonts w:ascii="IBM Plex Sans Light" w:hAnsi="IBM Plex Sans Light"/>
        </w:rPr>
      </w:pPr>
    </w:p>
    <w:p w14:paraId="5920D7BF" w14:textId="08C9CAF6" w:rsidR="00C21D3A" w:rsidRPr="00895810" w:rsidRDefault="00435CF7" w:rsidP="00C21D3A">
      <w:pPr>
        <w:numPr>
          <w:ilvl w:val="0"/>
          <w:numId w:val="12"/>
        </w:numPr>
        <w:tabs>
          <w:tab w:val="num" w:pos="360"/>
        </w:tabs>
        <w:spacing w:after="0" w:line="240" w:lineRule="auto"/>
        <w:ind w:left="142" w:hanging="142"/>
        <w:jc w:val="both"/>
        <w:rPr>
          <w:rFonts w:ascii="IBM Plex Sans Light" w:hAnsi="IBM Plex Sans Light" w:cs="Arial"/>
          <w:b/>
          <w:color w:val="3D7FE0" w:themeColor="accent1"/>
          <w:szCs w:val="18"/>
        </w:rPr>
      </w:pPr>
      <w:r>
        <w:rPr>
          <w:rFonts w:ascii="IBM Plex Sans Light" w:hAnsi="IBM Plex Sans Light" w:cs="Arial"/>
          <w:b/>
          <w:color w:val="3D7FE0" w:themeColor="accent1"/>
          <w:szCs w:val="18"/>
        </w:rPr>
        <w:t xml:space="preserve">INVESTMENT AND DEVELOPMENT PROPERTY ASSETS BY SEGMENT </w:t>
      </w:r>
    </w:p>
    <w:p w14:paraId="5C01A289" w14:textId="77777777" w:rsidR="00C21D3A" w:rsidRPr="00895810" w:rsidRDefault="00C21D3A" w:rsidP="00C21D3A">
      <w:pPr>
        <w:pStyle w:val="NoSpace"/>
        <w:rPr>
          <w:rFonts w:ascii="IBM Plex Sans Light" w:hAnsi="IBM Plex Sans Light"/>
        </w:rPr>
      </w:pPr>
    </w:p>
    <w:tbl>
      <w:tblPr>
        <w:tblW w:w="9923" w:type="dxa"/>
        <w:tblLayout w:type="fixed"/>
        <w:tblLook w:val="01E0" w:firstRow="1" w:lastRow="1" w:firstColumn="1" w:lastColumn="1" w:noHBand="0" w:noVBand="0"/>
      </w:tblPr>
      <w:tblGrid>
        <w:gridCol w:w="3912"/>
        <w:gridCol w:w="454"/>
        <w:gridCol w:w="972"/>
        <w:gridCol w:w="871"/>
        <w:gridCol w:w="879"/>
        <w:gridCol w:w="992"/>
        <w:gridCol w:w="851"/>
        <w:gridCol w:w="992"/>
      </w:tblGrid>
      <w:tr w:rsidR="00FC6179" w:rsidRPr="00895810" w14:paraId="3164B1D5" w14:textId="77777777" w:rsidTr="00024B10">
        <w:trPr>
          <w:trHeight w:val="170"/>
        </w:trPr>
        <w:tc>
          <w:tcPr>
            <w:tcW w:w="3912" w:type="dxa"/>
            <w:tcBorders>
              <w:bottom w:val="single" w:sz="2" w:space="0" w:color="3D7FE0" w:themeColor="accent1"/>
            </w:tcBorders>
            <w:tcMar>
              <w:left w:w="0" w:type="dxa"/>
              <w:bottom w:w="57" w:type="dxa"/>
              <w:right w:w="0" w:type="dxa"/>
            </w:tcMar>
            <w:vAlign w:val="bottom"/>
          </w:tcPr>
          <w:p w14:paraId="71456B3A" w14:textId="77777777" w:rsidR="00FC6179" w:rsidRPr="00895810" w:rsidRDefault="00FC6179" w:rsidP="003F2C4C">
            <w:pPr>
              <w:pStyle w:val="TableColHeadsBold"/>
              <w:rPr>
                <w:rFonts w:ascii="IBM Plex Sans Light" w:hAnsi="IBM Plex Sans Light"/>
              </w:rPr>
            </w:pPr>
          </w:p>
        </w:tc>
        <w:tc>
          <w:tcPr>
            <w:tcW w:w="454" w:type="dxa"/>
            <w:tcBorders>
              <w:bottom w:val="single" w:sz="2" w:space="0" w:color="3D7FE0" w:themeColor="accent1"/>
            </w:tcBorders>
            <w:vAlign w:val="bottom"/>
          </w:tcPr>
          <w:p w14:paraId="3D4FC188" w14:textId="77777777" w:rsidR="00FC6179" w:rsidRPr="00895810" w:rsidRDefault="00FC6179" w:rsidP="003F2C4C">
            <w:pPr>
              <w:pStyle w:val="TableColHeadsBold"/>
              <w:rPr>
                <w:rFonts w:ascii="IBM Plex Sans Light" w:hAnsi="IBM Plex Sans Light"/>
              </w:rPr>
            </w:pPr>
          </w:p>
        </w:tc>
        <w:tc>
          <w:tcPr>
            <w:tcW w:w="2722" w:type="dxa"/>
            <w:gridSpan w:val="3"/>
            <w:tcBorders>
              <w:bottom w:val="single" w:sz="2" w:space="0" w:color="3D7FE0" w:themeColor="accent1"/>
            </w:tcBorders>
            <w:tcMar>
              <w:left w:w="0" w:type="dxa"/>
              <w:bottom w:w="57" w:type="dxa"/>
              <w:right w:w="0" w:type="dxa"/>
            </w:tcMar>
            <w:vAlign w:val="bottom"/>
          </w:tcPr>
          <w:p w14:paraId="37C04776" w14:textId="08D2FF1B" w:rsidR="00FC6179" w:rsidRPr="00895810" w:rsidRDefault="00FC6179" w:rsidP="00785AC2">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2835" w:type="dxa"/>
            <w:gridSpan w:val="3"/>
            <w:tcBorders>
              <w:bottom w:val="single" w:sz="2" w:space="0" w:color="3D7FE0" w:themeColor="accent1"/>
            </w:tcBorders>
            <w:tcMar>
              <w:left w:w="0" w:type="dxa"/>
              <w:bottom w:w="57" w:type="dxa"/>
              <w:right w:w="0" w:type="dxa"/>
            </w:tcMar>
            <w:vAlign w:val="bottom"/>
          </w:tcPr>
          <w:p w14:paraId="66825787" w14:textId="4AE70DA7" w:rsidR="00FC6179" w:rsidRPr="00895810" w:rsidRDefault="00FC6179" w:rsidP="00785AC2">
            <w:pPr>
              <w:pStyle w:val="TableColHeadsBold"/>
              <w:rPr>
                <w:rFonts w:ascii="IBM Plex Sans Light" w:hAnsi="IBM Plex Sans Light"/>
                <w:b w:val="0"/>
              </w:rPr>
            </w:pPr>
            <w:r>
              <w:rPr>
                <w:rFonts w:ascii="IBM Plex Sans Light" w:hAnsi="IBM Plex Sans Light"/>
                <w:b w:val="0"/>
              </w:rPr>
              <w:t>2022</w:t>
            </w:r>
          </w:p>
        </w:tc>
      </w:tr>
      <w:tr w:rsidR="00FC6179" w:rsidRPr="00895810" w14:paraId="7459AB9D" w14:textId="77777777" w:rsidTr="00024B10">
        <w:trPr>
          <w:trHeight w:val="363"/>
        </w:trPr>
        <w:tc>
          <w:tcPr>
            <w:tcW w:w="3912" w:type="dxa"/>
            <w:tcBorders>
              <w:top w:val="single" w:sz="2" w:space="0" w:color="3D7FE0" w:themeColor="accent1"/>
            </w:tcBorders>
            <w:tcMar>
              <w:left w:w="0" w:type="dxa"/>
              <w:right w:w="0" w:type="dxa"/>
            </w:tcMar>
            <w:vAlign w:val="bottom"/>
          </w:tcPr>
          <w:p w14:paraId="502FEABA" w14:textId="77777777" w:rsidR="00FC6179" w:rsidRPr="00895810" w:rsidRDefault="00FC6179" w:rsidP="003F2C4C">
            <w:pPr>
              <w:pStyle w:val="TableColHeadsBold"/>
              <w:rPr>
                <w:rFonts w:ascii="IBM Plex Sans Light" w:hAnsi="IBM Plex Sans Light"/>
              </w:rPr>
            </w:pPr>
          </w:p>
        </w:tc>
        <w:tc>
          <w:tcPr>
            <w:tcW w:w="454" w:type="dxa"/>
            <w:tcBorders>
              <w:top w:val="single" w:sz="2" w:space="0" w:color="3D7FE0" w:themeColor="accent1"/>
            </w:tcBorders>
            <w:vAlign w:val="bottom"/>
          </w:tcPr>
          <w:p w14:paraId="4A81407A" w14:textId="77777777" w:rsidR="00FC6179" w:rsidRPr="00895810" w:rsidRDefault="00FC6179" w:rsidP="003F2C4C">
            <w:pPr>
              <w:pStyle w:val="TableColHeadsBold"/>
              <w:rPr>
                <w:rFonts w:ascii="IBM Plex Sans Light" w:hAnsi="IBM Plex Sans Light"/>
              </w:rPr>
            </w:pPr>
          </w:p>
        </w:tc>
        <w:tc>
          <w:tcPr>
            <w:tcW w:w="972" w:type="dxa"/>
            <w:tcBorders>
              <w:top w:val="single" w:sz="2" w:space="0" w:color="3D7FE0" w:themeColor="accent1"/>
            </w:tcBorders>
            <w:tcMar>
              <w:left w:w="0" w:type="dxa"/>
              <w:right w:w="0" w:type="dxa"/>
            </w:tcMar>
            <w:vAlign w:val="bottom"/>
          </w:tcPr>
          <w:p w14:paraId="5B93605C" w14:textId="77777777" w:rsidR="00FC6179" w:rsidRPr="00895810" w:rsidRDefault="00FC6179"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Property valuation </w:t>
            </w:r>
          </w:p>
        </w:tc>
        <w:tc>
          <w:tcPr>
            <w:tcW w:w="871" w:type="dxa"/>
            <w:tcBorders>
              <w:top w:val="single" w:sz="2" w:space="0" w:color="3D7FE0" w:themeColor="accent1"/>
            </w:tcBorders>
            <w:tcMar>
              <w:left w:w="0" w:type="dxa"/>
              <w:right w:w="0" w:type="dxa"/>
            </w:tcMar>
            <w:vAlign w:val="bottom"/>
          </w:tcPr>
          <w:p w14:paraId="3FE493AC" w14:textId="77777777" w:rsidR="00FC6179" w:rsidRPr="00895810" w:rsidRDefault="00FC6179"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 Capital expenditure</w:t>
            </w:r>
          </w:p>
        </w:tc>
        <w:tc>
          <w:tcPr>
            <w:tcW w:w="879" w:type="dxa"/>
            <w:tcBorders>
              <w:top w:val="single" w:sz="2" w:space="0" w:color="3D7FE0" w:themeColor="accent1"/>
            </w:tcBorders>
            <w:tcMar>
              <w:left w:w="0" w:type="dxa"/>
              <w:right w:w="0" w:type="dxa"/>
            </w:tcMar>
            <w:vAlign w:val="bottom"/>
          </w:tcPr>
          <w:p w14:paraId="3F01F6B1" w14:textId="4AAF790C" w:rsidR="00FC6179" w:rsidRPr="00895810" w:rsidRDefault="00FC6179"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Revaluation losses</w:t>
            </w:r>
          </w:p>
        </w:tc>
        <w:tc>
          <w:tcPr>
            <w:tcW w:w="992" w:type="dxa"/>
            <w:tcBorders>
              <w:top w:val="single" w:sz="2" w:space="0" w:color="3D7FE0" w:themeColor="accent1"/>
            </w:tcBorders>
            <w:tcMar>
              <w:left w:w="0" w:type="dxa"/>
              <w:right w:w="0" w:type="dxa"/>
            </w:tcMar>
            <w:vAlign w:val="bottom"/>
          </w:tcPr>
          <w:p w14:paraId="4961A989"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 xml:space="preserve">Property valuation </w:t>
            </w:r>
          </w:p>
        </w:tc>
        <w:tc>
          <w:tcPr>
            <w:tcW w:w="851" w:type="dxa"/>
            <w:tcBorders>
              <w:top w:val="single" w:sz="2" w:space="0" w:color="3D7FE0" w:themeColor="accent1"/>
            </w:tcBorders>
            <w:tcMar>
              <w:left w:w="0" w:type="dxa"/>
              <w:right w:w="0" w:type="dxa"/>
            </w:tcMar>
            <w:vAlign w:val="bottom"/>
          </w:tcPr>
          <w:p w14:paraId="42B1C051"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 xml:space="preserve"> Capital expenditure</w:t>
            </w:r>
          </w:p>
        </w:tc>
        <w:tc>
          <w:tcPr>
            <w:tcW w:w="992" w:type="dxa"/>
            <w:tcBorders>
              <w:top w:val="single" w:sz="2" w:space="0" w:color="3D7FE0" w:themeColor="accent1"/>
            </w:tcBorders>
            <w:tcMar>
              <w:left w:w="0" w:type="dxa"/>
              <w:right w:w="0" w:type="dxa"/>
            </w:tcMar>
            <w:vAlign w:val="bottom"/>
          </w:tcPr>
          <w:p w14:paraId="382BAB35"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Revaluation</w:t>
            </w:r>
          </w:p>
          <w:p w14:paraId="7E53EA8A"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 xml:space="preserve"> losses</w:t>
            </w:r>
          </w:p>
        </w:tc>
      </w:tr>
      <w:tr w:rsidR="00FC6179" w:rsidRPr="00895810" w14:paraId="23A91FED" w14:textId="77777777" w:rsidTr="00024B10">
        <w:trPr>
          <w:trHeight w:val="171"/>
        </w:trPr>
        <w:tc>
          <w:tcPr>
            <w:tcW w:w="3912" w:type="dxa"/>
            <w:tcBorders>
              <w:bottom w:val="single" w:sz="2" w:space="0" w:color="3D7FE0" w:themeColor="accent1"/>
            </w:tcBorders>
            <w:tcMar>
              <w:left w:w="0" w:type="dxa"/>
              <w:bottom w:w="28" w:type="dxa"/>
              <w:right w:w="0" w:type="dxa"/>
            </w:tcMar>
            <w:vAlign w:val="bottom"/>
          </w:tcPr>
          <w:p w14:paraId="163B0685" w14:textId="77777777" w:rsidR="00FC6179" w:rsidRPr="00895810" w:rsidRDefault="00FC6179" w:rsidP="003F2C4C">
            <w:pPr>
              <w:pStyle w:val="TableColHeadsBold"/>
              <w:rPr>
                <w:rFonts w:ascii="IBM Plex Sans Light" w:hAnsi="IBM Plex Sans Light"/>
              </w:rPr>
            </w:pPr>
          </w:p>
        </w:tc>
        <w:tc>
          <w:tcPr>
            <w:tcW w:w="454" w:type="dxa"/>
            <w:tcBorders>
              <w:bottom w:val="single" w:sz="2" w:space="0" w:color="3D7FE0" w:themeColor="accent1"/>
            </w:tcBorders>
            <w:vAlign w:val="bottom"/>
          </w:tcPr>
          <w:p w14:paraId="02456F5D" w14:textId="77777777" w:rsidR="00FC6179" w:rsidRPr="00895810" w:rsidRDefault="00FC6179" w:rsidP="00B877C0">
            <w:pPr>
              <w:pStyle w:val="TableColHeadsBold"/>
              <w:tabs>
                <w:tab w:val="clear" w:pos="284"/>
              </w:tabs>
              <w:ind w:left="-108" w:right="-105"/>
              <w:jc w:val="center"/>
              <w:rPr>
                <w:rFonts w:ascii="IBM Plex Sans Light" w:hAnsi="IBM Plex Sans Light"/>
                <w:bCs w:val="0"/>
              </w:rPr>
            </w:pPr>
            <w:r w:rsidRPr="00895810">
              <w:rPr>
                <w:rFonts w:ascii="IBM Plex Sans Light" w:hAnsi="IBM Plex Sans Light"/>
                <w:bCs w:val="0"/>
              </w:rPr>
              <w:t>Note</w:t>
            </w:r>
          </w:p>
        </w:tc>
        <w:tc>
          <w:tcPr>
            <w:tcW w:w="972" w:type="dxa"/>
            <w:tcBorders>
              <w:bottom w:val="single" w:sz="2" w:space="0" w:color="3D7FE0" w:themeColor="accent1"/>
            </w:tcBorders>
            <w:tcMar>
              <w:left w:w="0" w:type="dxa"/>
              <w:bottom w:w="28" w:type="dxa"/>
              <w:right w:w="0" w:type="dxa"/>
            </w:tcMar>
            <w:vAlign w:val="bottom"/>
          </w:tcPr>
          <w:p w14:paraId="3CCE0060" w14:textId="77777777" w:rsidR="00FC6179" w:rsidRPr="00895810" w:rsidRDefault="00FC6179"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1" w:type="dxa"/>
            <w:tcBorders>
              <w:bottom w:val="single" w:sz="2" w:space="0" w:color="3D7FE0" w:themeColor="accent1"/>
            </w:tcBorders>
            <w:tcMar>
              <w:left w:w="0" w:type="dxa"/>
              <w:bottom w:w="28" w:type="dxa"/>
              <w:right w:w="0" w:type="dxa"/>
            </w:tcMar>
            <w:vAlign w:val="bottom"/>
          </w:tcPr>
          <w:p w14:paraId="45F1488E" w14:textId="77777777" w:rsidR="00FC6179" w:rsidRPr="00895810" w:rsidRDefault="00FC6179"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9" w:type="dxa"/>
            <w:tcBorders>
              <w:bottom w:val="single" w:sz="2" w:space="0" w:color="3D7FE0" w:themeColor="accent1"/>
            </w:tcBorders>
            <w:tcMar>
              <w:left w:w="0" w:type="dxa"/>
              <w:bottom w:w="28" w:type="dxa"/>
              <w:right w:w="0" w:type="dxa"/>
            </w:tcMar>
            <w:vAlign w:val="bottom"/>
          </w:tcPr>
          <w:p w14:paraId="54794CB9" w14:textId="77777777" w:rsidR="00FC6179" w:rsidRPr="00895810" w:rsidRDefault="00FC6179"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992" w:type="dxa"/>
            <w:tcBorders>
              <w:bottom w:val="single" w:sz="2" w:space="0" w:color="3D7FE0" w:themeColor="accent1"/>
            </w:tcBorders>
            <w:tcMar>
              <w:left w:w="0" w:type="dxa"/>
              <w:bottom w:w="28" w:type="dxa"/>
              <w:right w:w="0" w:type="dxa"/>
            </w:tcMar>
            <w:vAlign w:val="bottom"/>
          </w:tcPr>
          <w:p w14:paraId="4C812694"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 xml:space="preserve">£m </w:t>
            </w:r>
          </w:p>
        </w:tc>
        <w:tc>
          <w:tcPr>
            <w:tcW w:w="851" w:type="dxa"/>
            <w:tcBorders>
              <w:bottom w:val="single" w:sz="2" w:space="0" w:color="3D7FE0" w:themeColor="accent1"/>
            </w:tcBorders>
            <w:tcMar>
              <w:left w:w="0" w:type="dxa"/>
              <w:bottom w:w="28" w:type="dxa"/>
              <w:right w:w="0" w:type="dxa"/>
            </w:tcMar>
            <w:vAlign w:val="bottom"/>
          </w:tcPr>
          <w:p w14:paraId="11B1DFA6"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 xml:space="preserve">£m </w:t>
            </w:r>
          </w:p>
        </w:tc>
        <w:tc>
          <w:tcPr>
            <w:tcW w:w="992" w:type="dxa"/>
            <w:tcBorders>
              <w:bottom w:val="single" w:sz="2" w:space="0" w:color="3D7FE0" w:themeColor="accent1"/>
            </w:tcBorders>
            <w:tcMar>
              <w:left w:w="0" w:type="dxa"/>
              <w:bottom w:w="28" w:type="dxa"/>
              <w:right w:w="0" w:type="dxa"/>
            </w:tcMar>
            <w:vAlign w:val="bottom"/>
          </w:tcPr>
          <w:p w14:paraId="6FDD9BA6" w14:textId="77777777" w:rsidR="00FC6179" w:rsidRPr="00895810" w:rsidRDefault="00FC6179" w:rsidP="003F2C4C">
            <w:pPr>
              <w:pStyle w:val="TableColHeadsBold"/>
              <w:rPr>
                <w:rFonts w:ascii="IBM Plex Sans Light" w:hAnsi="IBM Plex Sans Light"/>
                <w:b w:val="0"/>
              </w:rPr>
            </w:pPr>
            <w:r w:rsidRPr="00895810">
              <w:rPr>
                <w:rFonts w:ascii="IBM Plex Sans Light" w:hAnsi="IBM Plex Sans Light"/>
                <w:b w:val="0"/>
              </w:rPr>
              <w:t xml:space="preserve">£m </w:t>
            </w:r>
          </w:p>
        </w:tc>
      </w:tr>
      <w:tr w:rsidR="00FC6179" w:rsidRPr="00895810" w14:paraId="1FCC7A11" w14:textId="77777777" w:rsidTr="00024B10">
        <w:trPr>
          <w:trHeight w:hRule="exact" w:val="272"/>
        </w:trPr>
        <w:tc>
          <w:tcPr>
            <w:tcW w:w="3912" w:type="dxa"/>
            <w:tcBorders>
              <w:top w:val="single" w:sz="2" w:space="0" w:color="3D7FE0" w:themeColor="accent1"/>
            </w:tcBorders>
            <w:tcMar>
              <w:left w:w="0" w:type="dxa"/>
              <w:right w:w="0" w:type="dxa"/>
            </w:tcMar>
            <w:vAlign w:val="bottom"/>
          </w:tcPr>
          <w:p w14:paraId="349DA56D" w14:textId="77777777" w:rsidR="00FC6179" w:rsidRPr="00895810" w:rsidRDefault="00FC6179" w:rsidP="003F2C4C">
            <w:pPr>
              <w:pStyle w:val="Tabletext"/>
              <w:rPr>
                <w:rFonts w:ascii="IBM Plex Sans Light" w:hAnsi="IBM Plex Sans Light" w:cs="Arial"/>
                <w:b/>
                <w:bCs/>
                <w:color w:val="auto"/>
                <w:sz w:val="18"/>
                <w:szCs w:val="18"/>
              </w:rPr>
            </w:pPr>
            <w:r w:rsidRPr="00895810">
              <w:rPr>
                <w:rFonts w:ascii="IBM Plex Sans Light" w:hAnsi="IBM Plex Sans Light"/>
                <w:b/>
                <w:color w:val="3D7FE0" w:themeColor="accent1"/>
                <w:spacing w:val="-4"/>
                <w:sz w:val="18"/>
                <w:szCs w:val="18"/>
              </w:rPr>
              <w:t>Flagship destinations</w:t>
            </w:r>
          </w:p>
        </w:tc>
        <w:tc>
          <w:tcPr>
            <w:tcW w:w="454" w:type="dxa"/>
            <w:tcBorders>
              <w:top w:val="single" w:sz="2" w:space="0" w:color="3D7FE0" w:themeColor="accent1"/>
            </w:tcBorders>
            <w:vAlign w:val="bottom"/>
          </w:tcPr>
          <w:p w14:paraId="2088AA8F" w14:textId="77777777" w:rsidR="00FC6179" w:rsidRPr="00895810" w:rsidRDefault="00FC6179" w:rsidP="00B877C0">
            <w:pPr>
              <w:spacing w:after="0" w:line="240" w:lineRule="auto"/>
              <w:jc w:val="center"/>
              <w:rPr>
                <w:rFonts w:ascii="IBM Plex Sans Light" w:hAnsi="IBM Plex Sans Light" w:cs="Arial"/>
                <w:b/>
                <w:bCs/>
                <w:color w:val="3D7FE0" w:themeColor="accent1"/>
                <w:szCs w:val="18"/>
              </w:rPr>
            </w:pPr>
          </w:p>
        </w:tc>
        <w:tc>
          <w:tcPr>
            <w:tcW w:w="972" w:type="dxa"/>
            <w:tcBorders>
              <w:top w:val="single" w:sz="2" w:space="0" w:color="3D7FE0" w:themeColor="accent1"/>
            </w:tcBorders>
            <w:tcMar>
              <w:left w:w="0" w:type="dxa"/>
              <w:right w:w="0" w:type="dxa"/>
            </w:tcMar>
            <w:vAlign w:val="bottom"/>
          </w:tcPr>
          <w:p w14:paraId="3603F8DB" w14:textId="77777777" w:rsidR="00FC6179" w:rsidRPr="00895810" w:rsidRDefault="00FC6179" w:rsidP="003F2C4C">
            <w:pPr>
              <w:spacing w:after="0" w:line="240" w:lineRule="auto"/>
              <w:rPr>
                <w:rFonts w:ascii="IBM Plex Sans Light" w:hAnsi="IBM Plex Sans Light" w:cs="Arial"/>
                <w:b/>
                <w:bCs/>
                <w:color w:val="3D7FE0" w:themeColor="accent1"/>
                <w:szCs w:val="18"/>
              </w:rPr>
            </w:pPr>
          </w:p>
        </w:tc>
        <w:tc>
          <w:tcPr>
            <w:tcW w:w="871" w:type="dxa"/>
            <w:tcBorders>
              <w:top w:val="single" w:sz="2" w:space="0" w:color="3D7FE0" w:themeColor="accent1"/>
            </w:tcBorders>
            <w:tcMar>
              <w:left w:w="0" w:type="dxa"/>
              <w:right w:w="0" w:type="dxa"/>
            </w:tcMar>
            <w:vAlign w:val="bottom"/>
          </w:tcPr>
          <w:p w14:paraId="516EB948" w14:textId="77777777" w:rsidR="00FC6179" w:rsidRPr="00895810" w:rsidRDefault="00FC6179" w:rsidP="003F2C4C">
            <w:pPr>
              <w:spacing w:after="0" w:line="240" w:lineRule="auto"/>
              <w:rPr>
                <w:rFonts w:ascii="IBM Plex Sans Light" w:hAnsi="IBM Plex Sans Light" w:cs="Arial"/>
                <w:b/>
                <w:bCs/>
                <w:color w:val="3D7FE0" w:themeColor="accent1"/>
                <w:szCs w:val="18"/>
              </w:rPr>
            </w:pPr>
          </w:p>
        </w:tc>
        <w:tc>
          <w:tcPr>
            <w:tcW w:w="879" w:type="dxa"/>
            <w:tcBorders>
              <w:top w:val="single" w:sz="2" w:space="0" w:color="3D7FE0" w:themeColor="accent1"/>
            </w:tcBorders>
            <w:tcMar>
              <w:left w:w="0" w:type="dxa"/>
              <w:right w:w="0" w:type="dxa"/>
            </w:tcMar>
            <w:vAlign w:val="bottom"/>
          </w:tcPr>
          <w:p w14:paraId="1FC6E330" w14:textId="77777777" w:rsidR="00FC6179" w:rsidRPr="00895810" w:rsidRDefault="00FC6179" w:rsidP="003F2C4C">
            <w:pPr>
              <w:spacing w:after="0" w:line="240" w:lineRule="auto"/>
              <w:rPr>
                <w:rFonts w:ascii="IBM Plex Sans Light" w:hAnsi="IBM Plex Sans Light" w:cs="Arial"/>
                <w:b/>
                <w:bCs/>
                <w:color w:val="3D7FE0" w:themeColor="accent1"/>
                <w:szCs w:val="18"/>
              </w:rPr>
            </w:pPr>
          </w:p>
        </w:tc>
        <w:tc>
          <w:tcPr>
            <w:tcW w:w="992" w:type="dxa"/>
            <w:tcBorders>
              <w:top w:val="single" w:sz="2" w:space="0" w:color="3D7FE0" w:themeColor="accent1"/>
            </w:tcBorders>
            <w:tcMar>
              <w:left w:w="0" w:type="dxa"/>
              <w:right w:w="0" w:type="dxa"/>
            </w:tcMar>
            <w:vAlign w:val="bottom"/>
          </w:tcPr>
          <w:p w14:paraId="2C066EB9" w14:textId="77777777" w:rsidR="00FC6179" w:rsidRPr="00895810" w:rsidRDefault="00FC6179" w:rsidP="003F2C4C">
            <w:pPr>
              <w:spacing w:after="0" w:line="240" w:lineRule="auto"/>
              <w:rPr>
                <w:rFonts w:ascii="IBM Plex Sans Light" w:hAnsi="IBM Plex Sans Light" w:cs="Arial"/>
                <w:b/>
                <w:bCs/>
                <w:szCs w:val="18"/>
              </w:rPr>
            </w:pPr>
          </w:p>
        </w:tc>
        <w:tc>
          <w:tcPr>
            <w:tcW w:w="851" w:type="dxa"/>
            <w:tcBorders>
              <w:top w:val="single" w:sz="2" w:space="0" w:color="3D7FE0" w:themeColor="accent1"/>
            </w:tcBorders>
            <w:tcMar>
              <w:left w:w="0" w:type="dxa"/>
              <w:right w:w="0" w:type="dxa"/>
            </w:tcMar>
            <w:vAlign w:val="bottom"/>
          </w:tcPr>
          <w:p w14:paraId="0DD27139" w14:textId="77777777" w:rsidR="00FC6179" w:rsidRPr="00895810" w:rsidRDefault="00FC6179" w:rsidP="003F2C4C">
            <w:pPr>
              <w:spacing w:after="0" w:line="240" w:lineRule="auto"/>
              <w:rPr>
                <w:rFonts w:ascii="IBM Plex Sans Light" w:hAnsi="IBM Plex Sans Light" w:cs="Arial"/>
                <w:b/>
                <w:bCs/>
                <w:szCs w:val="18"/>
              </w:rPr>
            </w:pPr>
          </w:p>
        </w:tc>
        <w:tc>
          <w:tcPr>
            <w:tcW w:w="992" w:type="dxa"/>
            <w:tcBorders>
              <w:top w:val="single" w:sz="2" w:space="0" w:color="3D7FE0" w:themeColor="accent1"/>
            </w:tcBorders>
            <w:tcMar>
              <w:left w:w="0" w:type="dxa"/>
              <w:right w:w="0" w:type="dxa"/>
            </w:tcMar>
            <w:vAlign w:val="bottom"/>
          </w:tcPr>
          <w:p w14:paraId="5D4E4C28" w14:textId="77777777" w:rsidR="00FC6179" w:rsidRPr="00895810" w:rsidRDefault="00FC6179" w:rsidP="003F2C4C">
            <w:pPr>
              <w:spacing w:after="0" w:line="240" w:lineRule="auto"/>
              <w:rPr>
                <w:rFonts w:ascii="IBM Plex Sans Light" w:hAnsi="IBM Plex Sans Light" w:cs="Arial"/>
                <w:b/>
                <w:bCs/>
                <w:szCs w:val="18"/>
              </w:rPr>
            </w:pPr>
          </w:p>
        </w:tc>
      </w:tr>
      <w:tr w:rsidR="00FC6179" w:rsidRPr="00895810" w14:paraId="038FCFAE" w14:textId="77777777" w:rsidTr="00024B10">
        <w:trPr>
          <w:trHeight w:hRule="exact" w:val="272"/>
        </w:trPr>
        <w:tc>
          <w:tcPr>
            <w:tcW w:w="3912" w:type="dxa"/>
            <w:shd w:val="clear" w:color="auto" w:fill="auto"/>
            <w:tcMar>
              <w:left w:w="0" w:type="dxa"/>
              <w:right w:w="0" w:type="dxa"/>
            </w:tcMar>
            <w:vAlign w:val="bottom"/>
          </w:tcPr>
          <w:p w14:paraId="18B94BD2" w14:textId="77777777" w:rsidR="00FC6179" w:rsidRPr="00895810" w:rsidRDefault="00FC6179"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UK</w:t>
            </w:r>
          </w:p>
        </w:tc>
        <w:tc>
          <w:tcPr>
            <w:tcW w:w="454" w:type="dxa"/>
            <w:shd w:val="clear" w:color="auto" w:fill="auto"/>
            <w:vAlign w:val="bottom"/>
          </w:tcPr>
          <w:p w14:paraId="2A0E7E28" w14:textId="77777777" w:rsidR="00FC6179" w:rsidRPr="00895810" w:rsidRDefault="00FC6179" w:rsidP="004F07AE">
            <w:pPr>
              <w:pStyle w:val="Tabletext"/>
              <w:jc w:val="center"/>
              <w:rPr>
                <w:rFonts w:ascii="IBM Plex Sans Light" w:hAnsi="IBM Plex Sans Light"/>
                <w:spacing w:val="-4"/>
                <w:sz w:val="18"/>
                <w:szCs w:val="18"/>
              </w:rPr>
            </w:pPr>
          </w:p>
        </w:tc>
        <w:tc>
          <w:tcPr>
            <w:tcW w:w="972" w:type="dxa"/>
            <w:tcMar>
              <w:left w:w="0" w:type="dxa"/>
              <w:right w:w="0" w:type="dxa"/>
            </w:tcMar>
          </w:tcPr>
          <w:p w14:paraId="090A88DF" w14:textId="2938346F"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863.1</w:t>
            </w:r>
          </w:p>
        </w:tc>
        <w:tc>
          <w:tcPr>
            <w:tcW w:w="871" w:type="dxa"/>
            <w:tcMar>
              <w:left w:w="0" w:type="dxa"/>
              <w:right w:w="0" w:type="dxa"/>
            </w:tcMar>
          </w:tcPr>
          <w:p w14:paraId="7431904D" w14:textId="6C4050CD"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13.9</w:t>
            </w:r>
          </w:p>
        </w:tc>
        <w:tc>
          <w:tcPr>
            <w:tcW w:w="879" w:type="dxa"/>
            <w:tcMar>
              <w:left w:w="0" w:type="dxa"/>
              <w:right w:w="0" w:type="dxa"/>
            </w:tcMar>
          </w:tcPr>
          <w:p w14:paraId="2C79CA24" w14:textId="7A68B770"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(21.8)</w:t>
            </w:r>
          </w:p>
        </w:tc>
        <w:tc>
          <w:tcPr>
            <w:tcW w:w="992" w:type="dxa"/>
            <w:tcMar>
              <w:left w:w="0" w:type="dxa"/>
              <w:right w:w="0" w:type="dxa"/>
            </w:tcMar>
            <w:vAlign w:val="bottom"/>
          </w:tcPr>
          <w:p w14:paraId="574C9DC5" w14:textId="6D0DB375"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871.0</w:t>
            </w:r>
          </w:p>
        </w:tc>
        <w:tc>
          <w:tcPr>
            <w:tcW w:w="851" w:type="dxa"/>
            <w:tcMar>
              <w:left w:w="0" w:type="dxa"/>
              <w:right w:w="0" w:type="dxa"/>
            </w:tcMar>
            <w:vAlign w:val="bottom"/>
          </w:tcPr>
          <w:p w14:paraId="314D6E7A" w14:textId="7B53DE29"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12.8</w:t>
            </w:r>
          </w:p>
        </w:tc>
        <w:tc>
          <w:tcPr>
            <w:tcW w:w="992" w:type="dxa"/>
            <w:tcMar>
              <w:left w:w="0" w:type="dxa"/>
              <w:right w:w="0" w:type="dxa"/>
            </w:tcMar>
            <w:vAlign w:val="bottom"/>
          </w:tcPr>
          <w:p w14:paraId="029404FB" w14:textId="727FCDD7"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(90.2)</w:t>
            </w:r>
          </w:p>
        </w:tc>
      </w:tr>
      <w:tr w:rsidR="00FC6179" w:rsidRPr="00895810" w14:paraId="0E977E8B" w14:textId="77777777" w:rsidTr="00024B10">
        <w:trPr>
          <w:trHeight w:hRule="exact" w:val="272"/>
        </w:trPr>
        <w:tc>
          <w:tcPr>
            <w:tcW w:w="3912" w:type="dxa"/>
            <w:shd w:val="clear" w:color="auto" w:fill="auto"/>
            <w:tcMar>
              <w:left w:w="0" w:type="dxa"/>
              <w:right w:w="0" w:type="dxa"/>
            </w:tcMar>
            <w:vAlign w:val="bottom"/>
          </w:tcPr>
          <w:p w14:paraId="66568A87" w14:textId="77777777" w:rsidR="00FC6179" w:rsidRPr="00895810" w:rsidRDefault="00FC6179"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France</w:t>
            </w:r>
          </w:p>
        </w:tc>
        <w:tc>
          <w:tcPr>
            <w:tcW w:w="454" w:type="dxa"/>
            <w:shd w:val="clear" w:color="auto" w:fill="auto"/>
            <w:vAlign w:val="bottom"/>
          </w:tcPr>
          <w:p w14:paraId="1F6C9F7D" w14:textId="77777777" w:rsidR="00FC6179" w:rsidRPr="00895810" w:rsidRDefault="00FC6179" w:rsidP="004F07AE">
            <w:pPr>
              <w:pStyle w:val="Tabletext"/>
              <w:jc w:val="center"/>
              <w:rPr>
                <w:rFonts w:ascii="IBM Plex Sans Light" w:hAnsi="IBM Plex Sans Light"/>
                <w:spacing w:val="-4"/>
                <w:sz w:val="18"/>
                <w:szCs w:val="18"/>
              </w:rPr>
            </w:pPr>
          </w:p>
        </w:tc>
        <w:tc>
          <w:tcPr>
            <w:tcW w:w="972" w:type="dxa"/>
            <w:tcMar>
              <w:left w:w="0" w:type="dxa"/>
              <w:right w:w="0" w:type="dxa"/>
            </w:tcMar>
          </w:tcPr>
          <w:p w14:paraId="252F44FF" w14:textId="1E524457"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1,003.3</w:t>
            </w:r>
          </w:p>
        </w:tc>
        <w:tc>
          <w:tcPr>
            <w:tcW w:w="871" w:type="dxa"/>
            <w:tcMar>
              <w:left w:w="0" w:type="dxa"/>
              <w:right w:w="0" w:type="dxa"/>
            </w:tcMar>
          </w:tcPr>
          <w:p w14:paraId="2176A229" w14:textId="551492CC"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14.3</w:t>
            </w:r>
          </w:p>
        </w:tc>
        <w:tc>
          <w:tcPr>
            <w:tcW w:w="879" w:type="dxa"/>
            <w:tcMar>
              <w:left w:w="0" w:type="dxa"/>
              <w:right w:w="0" w:type="dxa"/>
            </w:tcMar>
          </w:tcPr>
          <w:p w14:paraId="5F37C939" w14:textId="11508A1B"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(15.2)</w:t>
            </w:r>
          </w:p>
        </w:tc>
        <w:tc>
          <w:tcPr>
            <w:tcW w:w="992" w:type="dxa"/>
            <w:tcMar>
              <w:left w:w="0" w:type="dxa"/>
              <w:right w:w="0" w:type="dxa"/>
            </w:tcMar>
          </w:tcPr>
          <w:p w14:paraId="7A2F70BC" w14:textId="3EBAC03B"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1,241.0</w:t>
            </w:r>
          </w:p>
        </w:tc>
        <w:tc>
          <w:tcPr>
            <w:tcW w:w="851" w:type="dxa"/>
            <w:tcMar>
              <w:left w:w="0" w:type="dxa"/>
              <w:right w:w="0" w:type="dxa"/>
            </w:tcMar>
          </w:tcPr>
          <w:p w14:paraId="0904E51F" w14:textId="24ADF4FE"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33.3</w:t>
            </w:r>
          </w:p>
        </w:tc>
        <w:tc>
          <w:tcPr>
            <w:tcW w:w="992" w:type="dxa"/>
            <w:tcMar>
              <w:left w:w="0" w:type="dxa"/>
              <w:right w:w="0" w:type="dxa"/>
            </w:tcMar>
          </w:tcPr>
          <w:p w14:paraId="1BD67D74" w14:textId="3B13D7E8"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(57.2)</w:t>
            </w:r>
          </w:p>
        </w:tc>
      </w:tr>
      <w:tr w:rsidR="00FC6179" w:rsidRPr="00895810" w14:paraId="32B32B5A" w14:textId="77777777" w:rsidTr="00024B10">
        <w:trPr>
          <w:trHeight w:hRule="exact" w:val="272"/>
        </w:trPr>
        <w:tc>
          <w:tcPr>
            <w:tcW w:w="3912" w:type="dxa"/>
            <w:tcBorders>
              <w:bottom w:val="single" w:sz="2" w:space="0" w:color="3D7FE0" w:themeColor="accent1"/>
            </w:tcBorders>
            <w:shd w:val="clear" w:color="auto" w:fill="auto"/>
            <w:tcMar>
              <w:left w:w="0" w:type="dxa"/>
              <w:right w:w="0" w:type="dxa"/>
            </w:tcMar>
            <w:vAlign w:val="bottom"/>
          </w:tcPr>
          <w:p w14:paraId="11D75013" w14:textId="77777777" w:rsidR="00FC6179" w:rsidRPr="00895810" w:rsidRDefault="00FC6179"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Ireland</w:t>
            </w:r>
          </w:p>
        </w:tc>
        <w:tc>
          <w:tcPr>
            <w:tcW w:w="454" w:type="dxa"/>
            <w:tcBorders>
              <w:bottom w:val="single" w:sz="2" w:space="0" w:color="3D7FE0" w:themeColor="accent1"/>
            </w:tcBorders>
            <w:shd w:val="clear" w:color="auto" w:fill="auto"/>
            <w:vAlign w:val="bottom"/>
          </w:tcPr>
          <w:p w14:paraId="42DD330A" w14:textId="77777777" w:rsidR="00FC6179" w:rsidRPr="00895810" w:rsidRDefault="00FC6179" w:rsidP="004F07AE">
            <w:pPr>
              <w:pStyle w:val="Tabletext"/>
              <w:jc w:val="center"/>
              <w:rPr>
                <w:rFonts w:ascii="IBM Plex Sans Light" w:hAnsi="IBM Plex Sans Light"/>
                <w:spacing w:val="-4"/>
                <w:sz w:val="18"/>
                <w:szCs w:val="18"/>
              </w:rPr>
            </w:pPr>
          </w:p>
        </w:tc>
        <w:tc>
          <w:tcPr>
            <w:tcW w:w="972" w:type="dxa"/>
            <w:tcBorders>
              <w:bottom w:val="single" w:sz="2" w:space="0" w:color="3D7FE0" w:themeColor="accent1"/>
            </w:tcBorders>
            <w:tcMar>
              <w:left w:w="0" w:type="dxa"/>
              <w:right w:w="0" w:type="dxa"/>
            </w:tcMar>
          </w:tcPr>
          <w:p w14:paraId="3AFBD47C" w14:textId="59CEFA29"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629.7</w:t>
            </w:r>
          </w:p>
        </w:tc>
        <w:tc>
          <w:tcPr>
            <w:tcW w:w="871" w:type="dxa"/>
            <w:tcBorders>
              <w:bottom w:val="single" w:sz="2" w:space="0" w:color="3D7FE0" w:themeColor="accent1"/>
            </w:tcBorders>
            <w:tcMar>
              <w:left w:w="0" w:type="dxa"/>
              <w:right w:w="0" w:type="dxa"/>
            </w:tcMar>
          </w:tcPr>
          <w:p w14:paraId="6A136852" w14:textId="745FD441"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5.4</w:t>
            </w:r>
          </w:p>
        </w:tc>
        <w:tc>
          <w:tcPr>
            <w:tcW w:w="879" w:type="dxa"/>
            <w:tcBorders>
              <w:bottom w:val="single" w:sz="2" w:space="0" w:color="3D7FE0" w:themeColor="accent1"/>
            </w:tcBorders>
            <w:tcMar>
              <w:left w:w="0" w:type="dxa"/>
              <w:right w:w="0" w:type="dxa"/>
            </w:tcMar>
          </w:tcPr>
          <w:p w14:paraId="0595F260" w14:textId="1B5EA7E5"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(37.5)</w:t>
            </w:r>
          </w:p>
        </w:tc>
        <w:tc>
          <w:tcPr>
            <w:tcW w:w="992" w:type="dxa"/>
            <w:tcBorders>
              <w:bottom w:val="single" w:sz="2" w:space="0" w:color="3D7FE0" w:themeColor="accent1"/>
            </w:tcBorders>
            <w:tcMar>
              <w:left w:w="0" w:type="dxa"/>
              <w:right w:w="0" w:type="dxa"/>
            </w:tcMar>
          </w:tcPr>
          <w:p w14:paraId="64800585" w14:textId="0738634B"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676.4</w:t>
            </w:r>
          </w:p>
        </w:tc>
        <w:tc>
          <w:tcPr>
            <w:tcW w:w="851" w:type="dxa"/>
            <w:tcBorders>
              <w:bottom w:val="single" w:sz="2" w:space="0" w:color="3D7FE0" w:themeColor="accent1"/>
            </w:tcBorders>
            <w:tcMar>
              <w:left w:w="0" w:type="dxa"/>
              <w:right w:w="0" w:type="dxa"/>
            </w:tcMar>
          </w:tcPr>
          <w:p w14:paraId="1E60A572" w14:textId="4F0AD6F8"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4.9</w:t>
            </w:r>
          </w:p>
        </w:tc>
        <w:tc>
          <w:tcPr>
            <w:tcW w:w="992" w:type="dxa"/>
            <w:tcBorders>
              <w:bottom w:val="single" w:sz="2" w:space="0" w:color="3D7FE0" w:themeColor="accent1"/>
            </w:tcBorders>
            <w:tcMar>
              <w:left w:w="0" w:type="dxa"/>
              <w:right w:w="0" w:type="dxa"/>
            </w:tcMar>
          </w:tcPr>
          <w:p w14:paraId="7CB7CFFE" w14:textId="7E8B0725"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(20.1)</w:t>
            </w:r>
          </w:p>
        </w:tc>
      </w:tr>
      <w:tr w:rsidR="00FC6179" w:rsidRPr="00895810" w14:paraId="0629D9D2" w14:textId="77777777" w:rsidTr="00024B10">
        <w:trPr>
          <w:trHeight w:hRule="exact" w:val="272"/>
        </w:trPr>
        <w:tc>
          <w:tcPr>
            <w:tcW w:w="3912" w:type="dxa"/>
            <w:tcBorders>
              <w:top w:val="single" w:sz="2" w:space="0" w:color="3D7FE0" w:themeColor="accent1"/>
            </w:tcBorders>
            <w:shd w:val="clear" w:color="auto" w:fill="auto"/>
            <w:tcMar>
              <w:left w:w="0" w:type="dxa"/>
              <w:right w:w="0" w:type="dxa"/>
            </w:tcMar>
            <w:vAlign w:val="bottom"/>
          </w:tcPr>
          <w:p w14:paraId="1B53FAD4" w14:textId="77777777" w:rsidR="00FC6179" w:rsidRPr="00895810" w:rsidRDefault="00FC6179" w:rsidP="004F07AE">
            <w:pPr>
              <w:pStyle w:val="Tabletext"/>
              <w:rPr>
                <w:rFonts w:ascii="IBM Plex Sans Light" w:hAnsi="IBM Plex Sans Light"/>
                <w:b/>
                <w:color w:val="3D7FE0" w:themeColor="accent1"/>
                <w:spacing w:val="-4"/>
                <w:sz w:val="18"/>
                <w:szCs w:val="18"/>
              </w:rPr>
            </w:pPr>
          </w:p>
        </w:tc>
        <w:tc>
          <w:tcPr>
            <w:tcW w:w="454" w:type="dxa"/>
            <w:tcBorders>
              <w:top w:val="single" w:sz="2" w:space="0" w:color="3D7FE0" w:themeColor="accent1"/>
            </w:tcBorders>
            <w:shd w:val="clear" w:color="auto" w:fill="auto"/>
            <w:vAlign w:val="bottom"/>
          </w:tcPr>
          <w:p w14:paraId="02DD48BE" w14:textId="77777777" w:rsidR="00FC6179" w:rsidRPr="00895810" w:rsidRDefault="00FC6179" w:rsidP="004F07AE">
            <w:pPr>
              <w:pStyle w:val="Tabletext"/>
              <w:jc w:val="center"/>
              <w:rPr>
                <w:rFonts w:ascii="IBM Plex Sans Light" w:hAnsi="IBM Plex Sans Light"/>
                <w:b/>
                <w:color w:val="3D7FE0" w:themeColor="accent1"/>
                <w:spacing w:val="-4"/>
                <w:sz w:val="18"/>
                <w:szCs w:val="18"/>
              </w:rPr>
            </w:pPr>
          </w:p>
        </w:tc>
        <w:tc>
          <w:tcPr>
            <w:tcW w:w="972" w:type="dxa"/>
            <w:tcBorders>
              <w:top w:val="single" w:sz="2" w:space="0" w:color="3D7FE0" w:themeColor="accent1"/>
            </w:tcBorders>
            <w:tcMar>
              <w:left w:w="0" w:type="dxa"/>
              <w:right w:w="0" w:type="dxa"/>
            </w:tcMar>
          </w:tcPr>
          <w:p w14:paraId="7E3C6594" w14:textId="195BAD6C"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2,496.1</w:t>
            </w:r>
          </w:p>
        </w:tc>
        <w:tc>
          <w:tcPr>
            <w:tcW w:w="871" w:type="dxa"/>
            <w:tcBorders>
              <w:top w:val="single" w:sz="2" w:space="0" w:color="3D7FE0" w:themeColor="accent1"/>
            </w:tcBorders>
            <w:tcMar>
              <w:left w:w="0" w:type="dxa"/>
              <w:right w:w="0" w:type="dxa"/>
            </w:tcMar>
          </w:tcPr>
          <w:p w14:paraId="6E11E6AF" w14:textId="6D18C8AC"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33.6</w:t>
            </w:r>
          </w:p>
        </w:tc>
        <w:tc>
          <w:tcPr>
            <w:tcW w:w="879" w:type="dxa"/>
            <w:tcBorders>
              <w:top w:val="single" w:sz="2" w:space="0" w:color="3D7FE0" w:themeColor="accent1"/>
            </w:tcBorders>
            <w:tcMar>
              <w:left w:w="0" w:type="dxa"/>
              <w:right w:w="0" w:type="dxa"/>
            </w:tcMar>
          </w:tcPr>
          <w:p w14:paraId="3FCBCB86" w14:textId="6AD7506A"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(74.5)</w:t>
            </w:r>
          </w:p>
        </w:tc>
        <w:tc>
          <w:tcPr>
            <w:tcW w:w="992" w:type="dxa"/>
            <w:tcBorders>
              <w:top w:val="single" w:sz="2" w:space="0" w:color="3D7FE0" w:themeColor="accent1"/>
            </w:tcBorders>
            <w:tcMar>
              <w:left w:w="0" w:type="dxa"/>
              <w:right w:w="0" w:type="dxa"/>
            </w:tcMar>
          </w:tcPr>
          <w:p w14:paraId="084BA894" w14:textId="272E3488"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2,788.4</w:t>
            </w:r>
          </w:p>
        </w:tc>
        <w:tc>
          <w:tcPr>
            <w:tcW w:w="851" w:type="dxa"/>
            <w:tcBorders>
              <w:top w:val="single" w:sz="2" w:space="0" w:color="3D7FE0" w:themeColor="accent1"/>
            </w:tcBorders>
            <w:tcMar>
              <w:left w:w="0" w:type="dxa"/>
              <w:right w:w="0" w:type="dxa"/>
            </w:tcMar>
          </w:tcPr>
          <w:p w14:paraId="598EE186" w14:textId="21B2867B"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51.0</w:t>
            </w:r>
          </w:p>
        </w:tc>
        <w:tc>
          <w:tcPr>
            <w:tcW w:w="992" w:type="dxa"/>
            <w:tcBorders>
              <w:top w:val="single" w:sz="2" w:space="0" w:color="3D7FE0" w:themeColor="accent1"/>
            </w:tcBorders>
            <w:tcMar>
              <w:left w:w="0" w:type="dxa"/>
              <w:right w:w="0" w:type="dxa"/>
            </w:tcMar>
          </w:tcPr>
          <w:p w14:paraId="596EAE84" w14:textId="69EBBFC9"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(167.5)</w:t>
            </w:r>
          </w:p>
        </w:tc>
      </w:tr>
      <w:tr w:rsidR="00FC6179" w:rsidRPr="00895810" w14:paraId="21D4CBA3" w14:textId="77777777" w:rsidTr="00024B10">
        <w:trPr>
          <w:trHeight w:hRule="exact" w:val="272"/>
        </w:trPr>
        <w:tc>
          <w:tcPr>
            <w:tcW w:w="3912" w:type="dxa"/>
            <w:shd w:val="clear" w:color="auto" w:fill="auto"/>
            <w:tcMar>
              <w:left w:w="0" w:type="dxa"/>
              <w:right w:w="0" w:type="dxa"/>
            </w:tcMar>
            <w:vAlign w:val="bottom"/>
          </w:tcPr>
          <w:p w14:paraId="0267AFEB" w14:textId="77777777" w:rsidR="00FC6179" w:rsidRPr="00895810" w:rsidRDefault="00FC6179" w:rsidP="004F07AE">
            <w:pPr>
              <w:pStyle w:val="Tabletext"/>
              <w:rPr>
                <w:rFonts w:ascii="IBM Plex Sans Light" w:hAnsi="IBM Plex Sans Light"/>
                <w:spacing w:val="-4"/>
                <w:sz w:val="18"/>
                <w:szCs w:val="18"/>
              </w:rPr>
            </w:pPr>
            <w:r w:rsidRPr="00895810">
              <w:rPr>
                <w:rFonts w:ascii="IBM Plex Sans Light" w:hAnsi="IBM Plex Sans Light"/>
                <w:spacing w:val="-4"/>
                <w:sz w:val="18"/>
                <w:szCs w:val="18"/>
              </w:rPr>
              <w:t>Developments and other</w:t>
            </w:r>
          </w:p>
        </w:tc>
        <w:tc>
          <w:tcPr>
            <w:tcW w:w="454" w:type="dxa"/>
            <w:shd w:val="clear" w:color="auto" w:fill="auto"/>
            <w:vAlign w:val="bottom"/>
          </w:tcPr>
          <w:p w14:paraId="29E2054F" w14:textId="77777777" w:rsidR="00FC6179" w:rsidRPr="00895810" w:rsidRDefault="00FC6179" w:rsidP="004F07AE">
            <w:pPr>
              <w:pStyle w:val="Tabletext"/>
              <w:jc w:val="center"/>
              <w:rPr>
                <w:rFonts w:ascii="IBM Plex Sans Light" w:hAnsi="IBM Plex Sans Light"/>
                <w:bCs/>
                <w:color w:val="auto"/>
                <w:spacing w:val="-4"/>
                <w:sz w:val="18"/>
                <w:szCs w:val="18"/>
              </w:rPr>
            </w:pPr>
          </w:p>
        </w:tc>
        <w:tc>
          <w:tcPr>
            <w:tcW w:w="972" w:type="dxa"/>
            <w:tcMar>
              <w:left w:w="0" w:type="dxa"/>
              <w:right w:w="0" w:type="dxa"/>
            </w:tcMar>
          </w:tcPr>
          <w:p w14:paraId="5EF2800A" w14:textId="6134DBEE"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280.0</w:t>
            </w:r>
          </w:p>
        </w:tc>
        <w:tc>
          <w:tcPr>
            <w:tcW w:w="871" w:type="dxa"/>
            <w:tcMar>
              <w:left w:w="0" w:type="dxa"/>
              <w:right w:w="0" w:type="dxa"/>
            </w:tcMar>
          </w:tcPr>
          <w:p w14:paraId="1826DF65" w14:textId="43E6292E"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13.3</w:t>
            </w:r>
          </w:p>
        </w:tc>
        <w:tc>
          <w:tcPr>
            <w:tcW w:w="879" w:type="dxa"/>
            <w:tcMar>
              <w:left w:w="0" w:type="dxa"/>
              <w:right w:w="0" w:type="dxa"/>
            </w:tcMar>
          </w:tcPr>
          <w:p w14:paraId="2654DE6A" w14:textId="6FC69CE1"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(44.6)</w:t>
            </w:r>
          </w:p>
        </w:tc>
        <w:tc>
          <w:tcPr>
            <w:tcW w:w="992" w:type="dxa"/>
            <w:tcMar>
              <w:left w:w="0" w:type="dxa"/>
              <w:right w:w="0" w:type="dxa"/>
            </w:tcMar>
          </w:tcPr>
          <w:p w14:paraId="20E54F3E" w14:textId="0D680A29"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431.7</w:t>
            </w:r>
          </w:p>
        </w:tc>
        <w:tc>
          <w:tcPr>
            <w:tcW w:w="851" w:type="dxa"/>
            <w:tcMar>
              <w:left w:w="0" w:type="dxa"/>
              <w:right w:w="0" w:type="dxa"/>
            </w:tcMar>
          </w:tcPr>
          <w:p w14:paraId="181DC2FC" w14:textId="5510D251"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21.9</w:t>
            </w:r>
          </w:p>
        </w:tc>
        <w:tc>
          <w:tcPr>
            <w:tcW w:w="992" w:type="dxa"/>
            <w:tcMar>
              <w:left w:w="0" w:type="dxa"/>
              <w:right w:w="0" w:type="dxa"/>
            </w:tcMar>
          </w:tcPr>
          <w:p w14:paraId="48CDFFA2" w14:textId="12C12C92"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(53.5)</w:t>
            </w:r>
          </w:p>
        </w:tc>
      </w:tr>
      <w:tr w:rsidR="00FC6179" w:rsidRPr="00895810" w14:paraId="6BAB6C25" w14:textId="77777777" w:rsidTr="00024B10">
        <w:trPr>
          <w:trHeight w:hRule="exact" w:val="272"/>
        </w:trPr>
        <w:tc>
          <w:tcPr>
            <w:tcW w:w="3912" w:type="dxa"/>
            <w:tcBorders>
              <w:top w:val="single" w:sz="2" w:space="0" w:color="3D7FE0" w:themeColor="accent1"/>
            </w:tcBorders>
            <w:shd w:val="clear" w:color="auto" w:fill="auto"/>
            <w:tcMar>
              <w:left w:w="0" w:type="dxa"/>
              <w:right w:w="0" w:type="dxa"/>
            </w:tcMar>
            <w:vAlign w:val="bottom"/>
          </w:tcPr>
          <w:p w14:paraId="2D9FFD60" w14:textId="197BDD65" w:rsidR="00FC6179" w:rsidRPr="00895810" w:rsidRDefault="00FC6179" w:rsidP="004F07AE">
            <w:pPr>
              <w:pStyle w:val="Tabletext"/>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 xml:space="preserve">Managed portfolio </w:t>
            </w:r>
            <w:r>
              <w:rPr>
                <w:rFonts w:ascii="IBM Plex Sans Light" w:hAnsi="IBM Plex Sans Light"/>
                <w:b/>
                <w:color w:val="3D7FE0" w:themeColor="accent1"/>
                <w:spacing w:val="-4"/>
                <w:sz w:val="18"/>
                <w:szCs w:val="18"/>
              </w:rPr>
              <w:t>– proportionally consolidated</w:t>
            </w:r>
          </w:p>
        </w:tc>
        <w:tc>
          <w:tcPr>
            <w:tcW w:w="454" w:type="dxa"/>
            <w:tcBorders>
              <w:top w:val="single" w:sz="2" w:space="0" w:color="3D7FE0" w:themeColor="accent1"/>
            </w:tcBorders>
            <w:shd w:val="clear" w:color="auto" w:fill="auto"/>
            <w:vAlign w:val="bottom"/>
          </w:tcPr>
          <w:p w14:paraId="4D1F4315" w14:textId="77777777" w:rsidR="00FC6179" w:rsidRPr="00895810" w:rsidRDefault="00FC6179" w:rsidP="004F07AE">
            <w:pPr>
              <w:pStyle w:val="Tabletext"/>
              <w:jc w:val="center"/>
              <w:rPr>
                <w:rFonts w:ascii="IBM Plex Sans Light" w:hAnsi="IBM Plex Sans Light"/>
                <w:b/>
                <w:color w:val="3D7FE0" w:themeColor="accent1"/>
                <w:spacing w:val="-4"/>
                <w:sz w:val="18"/>
                <w:szCs w:val="18"/>
              </w:rPr>
            </w:pPr>
          </w:p>
        </w:tc>
        <w:tc>
          <w:tcPr>
            <w:tcW w:w="972" w:type="dxa"/>
            <w:tcBorders>
              <w:top w:val="single" w:sz="2" w:space="0" w:color="3D7FE0" w:themeColor="accent1"/>
            </w:tcBorders>
            <w:tcMar>
              <w:left w:w="0" w:type="dxa"/>
              <w:right w:w="0" w:type="dxa"/>
            </w:tcMar>
          </w:tcPr>
          <w:p w14:paraId="435D66F4" w14:textId="317D5568"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2,776.1</w:t>
            </w:r>
          </w:p>
        </w:tc>
        <w:tc>
          <w:tcPr>
            <w:tcW w:w="871" w:type="dxa"/>
            <w:tcBorders>
              <w:top w:val="single" w:sz="2" w:space="0" w:color="3D7FE0" w:themeColor="accent1"/>
            </w:tcBorders>
            <w:tcMar>
              <w:left w:w="0" w:type="dxa"/>
              <w:right w:w="0" w:type="dxa"/>
            </w:tcMar>
          </w:tcPr>
          <w:p w14:paraId="71436ED0" w14:textId="30423F63"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46.9</w:t>
            </w:r>
          </w:p>
        </w:tc>
        <w:tc>
          <w:tcPr>
            <w:tcW w:w="879" w:type="dxa"/>
            <w:tcBorders>
              <w:top w:val="single" w:sz="2" w:space="0" w:color="3D7FE0" w:themeColor="accent1"/>
            </w:tcBorders>
            <w:tcMar>
              <w:left w:w="0" w:type="dxa"/>
              <w:right w:w="0" w:type="dxa"/>
            </w:tcMar>
          </w:tcPr>
          <w:p w14:paraId="42FF090A" w14:textId="7886932D"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(119.1)</w:t>
            </w:r>
          </w:p>
        </w:tc>
        <w:tc>
          <w:tcPr>
            <w:tcW w:w="992" w:type="dxa"/>
            <w:tcBorders>
              <w:top w:val="single" w:sz="2" w:space="0" w:color="3D7FE0" w:themeColor="accent1"/>
            </w:tcBorders>
            <w:tcMar>
              <w:left w:w="0" w:type="dxa"/>
              <w:right w:w="0" w:type="dxa"/>
            </w:tcMar>
          </w:tcPr>
          <w:p w14:paraId="4D0A98A1" w14:textId="2328E95C"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3,220.1</w:t>
            </w:r>
          </w:p>
        </w:tc>
        <w:tc>
          <w:tcPr>
            <w:tcW w:w="851" w:type="dxa"/>
            <w:tcBorders>
              <w:top w:val="single" w:sz="2" w:space="0" w:color="3D7FE0" w:themeColor="accent1"/>
            </w:tcBorders>
            <w:tcMar>
              <w:left w:w="0" w:type="dxa"/>
              <w:right w:w="0" w:type="dxa"/>
            </w:tcMar>
          </w:tcPr>
          <w:p w14:paraId="2A8E23B8" w14:textId="7E0D857F"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72.9</w:t>
            </w:r>
          </w:p>
        </w:tc>
        <w:tc>
          <w:tcPr>
            <w:tcW w:w="992" w:type="dxa"/>
            <w:tcBorders>
              <w:top w:val="single" w:sz="2" w:space="0" w:color="3D7FE0" w:themeColor="accent1"/>
            </w:tcBorders>
            <w:tcMar>
              <w:left w:w="0" w:type="dxa"/>
              <w:right w:w="0" w:type="dxa"/>
            </w:tcMar>
          </w:tcPr>
          <w:p w14:paraId="29FD0B68" w14:textId="7FC9DDF9"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(221.0)</w:t>
            </w:r>
          </w:p>
        </w:tc>
      </w:tr>
      <w:tr w:rsidR="00FC6179" w:rsidRPr="00895810" w14:paraId="5551119F" w14:textId="77777777" w:rsidTr="00024B10">
        <w:trPr>
          <w:trHeight w:hRule="exact" w:val="272"/>
        </w:trPr>
        <w:tc>
          <w:tcPr>
            <w:tcW w:w="3912" w:type="dxa"/>
            <w:tcBorders>
              <w:bottom w:val="single" w:sz="2" w:space="0" w:color="3D7FE0" w:themeColor="accent1"/>
            </w:tcBorders>
            <w:shd w:val="clear" w:color="auto" w:fill="auto"/>
            <w:tcMar>
              <w:left w:w="0" w:type="dxa"/>
              <w:right w:w="0" w:type="dxa"/>
            </w:tcMar>
            <w:vAlign w:val="bottom"/>
          </w:tcPr>
          <w:p w14:paraId="3C24D317" w14:textId="77777777" w:rsidR="00FC6179" w:rsidRPr="00895810" w:rsidRDefault="00FC6179" w:rsidP="004F07AE">
            <w:pPr>
              <w:pStyle w:val="TabletextBold"/>
              <w:ind w:right="-156"/>
              <w:rPr>
                <w:rFonts w:ascii="IBM Plex Sans Light" w:hAnsi="IBM Plex Sans Light"/>
                <w:b w:val="0"/>
                <w:bCs/>
                <w:sz w:val="18"/>
                <w:szCs w:val="18"/>
              </w:rPr>
            </w:pPr>
            <w:r w:rsidRPr="00895810">
              <w:rPr>
                <w:rFonts w:ascii="IBM Plex Sans Light" w:hAnsi="IBM Plex Sans Light"/>
                <w:b w:val="0"/>
                <w:bCs/>
                <w:sz w:val="18"/>
                <w:szCs w:val="18"/>
              </w:rPr>
              <w:t>Value Retail</w:t>
            </w:r>
          </w:p>
        </w:tc>
        <w:tc>
          <w:tcPr>
            <w:tcW w:w="454" w:type="dxa"/>
            <w:tcBorders>
              <w:bottom w:val="single" w:sz="2" w:space="0" w:color="3D7FE0" w:themeColor="accent1"/>
            </w:tcBorders>
            <w:shd w:val="clear" w:color="auto" w:fill="auto"/>
            <w:vAlign w:val="bottom"/>
          </w:tcPr>
          <w:p w14:paraId="5CA72465" w14:textId="77777777" w:rsidR="00FC6179" w:rsidRPr="00895810" w:rsidRDefault="00FC6179" w:rsidP="004F07AE">
            <w:pPr>
              <w:pStyle w:val="TabletextBold"/>
              <w:ind w:right="-156"/>
              <w:jc w:val="center"/>
              <w:rPr>
                <w:rFonts w:ascii="IBM Plex Sans Light" w:hAnsi="IBM Plex Sans Light"/>
                <w:b w:val="0"/>
                <w:bCs/>
                <w:sz w:val="18"/>
                <w:szCs w:val="18"/>
              </w:rPr>
            </w:pPr>
          </w:p>
        </w:tc>
        <w:tc>
          <w:tcPr>
            <w:tcW w:w="972" w:type="dxa"/>
            <w:tcBorders>
              <w:bottom w:val="single" w:sz="2" w:space="0" w:color="3D7FE0" w:themeColor="accent1"/>
            </w:tcBorders>
            <w:tcMar>
              <w:left w:w="0" w:type="dxa"/>
              <w:right w:w="0" w:type="dxa"/>
            </w:tcMar>
          </w:tcPr>
          <w:p w14:paraId="132C25E3" w14:textId="5DC919DC"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1,885.7</w:t>
            </w:r>
          </w:p>
        </w:tc>
        <w:tc>
          <w:tcPr>
            <w:tcW w:w="871" w:type="dxa"/>
            <w:tcBorders>
              <w:bottom w:val="single" w:sz="2" w:space="0" w:color="3D7FE0" w:themeColor="accent1"/>
            </w:tcBorders>
            <w:tcMar>
              <w:left w:w="0" w:type="dxa"/>
              <w:right w:w="0" w:type="dxa"/>
            </w:tcMar>
          </w:tcPr>
          <w:p w14:paraId="1FB63E39" w14:textId="06F1F826"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27.5</w:t>
            </w:r>
          </w:p>
        </w:tc>
        <w:tc>
          <w:tcPr>
            <w:tcW w:w="879" w:type="dxa"/>
            <w:tcBorders>
              <w:bottom w:val="single" w:sz="2" w:space="0" w:color="3D7FE0" w:themeColor="accent1"/>
            </w:tcBorders>
            <w:tcMar>
              <w:left w:w="0" w:type="dxa"/>
              <w:right w:w="0" w:type="dxa"/>
            </w:tcMar>
          </w:tcPr>
          <w:p w14:paraId="2D7DD27F" w14:textId="0BC97A83" w:rsidR="00FC6179" w:rsidRPr="004F07AE" w:rsidRDefault="00FC6179" w:rsidP="00D9524D">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(7.7)</w:t>
            </w:r>
          </w:p>
        </w:tc>
        <w:tc>
          <w:tcPr>
            <w:tcW w:w="992" w:type="dxa"/>
            <w:tcBorders>
              <w:bottom w:val="single" w:sz="2" w:space="0" w:color="3D7FE0" w:themeColor="accent1"/>
            </w:tcBorders>
            <w:tcMar>
              <w:left w:w="0" w:type="dxa"/>
              <w:right w:w="0" w:type="dxa"/>
            </w:tcMar>
          </w:tcPr>
          <w:p w14:paraId="4F01180B" w14:textId="0934BC67"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1,887.0</w:t>
            </w:r>
          </w:p>
        </w:tc>
        <w:tc>
          <w:tcPr>
            <w:tcW w:w="851" w:type="dxa"/>
            <w:tcBorders>
              <w:bottom w:val="single" w:sz="2" w:space="0" w:color="3D7FE0" w:themeColor="accent1"/>
            </w:tcBorders>
            <w:tcMar>
              <w:left w:w="0" w:type="dxa"/>
              <w:right w:w="0" w:type="dxa"/>
            </w:tcMar>
          </w:tcPr>
          <w:p w14:paraId="780449E4" w14:textId="66D7C39F"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6.6</w:t>
            </w:r>
          </w:p>
        </w:tc>
        <w:tc>
          <w:tcPr>
            <w:tcW w:w="992" w:type="dxa"/>
            <w:tcBorders>
              <w:bottom w:val="single" w:sz="2" w:space="0" w:color="3D7FE0" w:themeColor="accent1"/>
            </w:tcBorders>
            <w:tcMar>
              <w:left w:w="0" w:type="dxa"/>
              <w:right w:w="0" w:type="dxa"/>
            </w:tcMar>
          </w:tcPr>
          <w:p w14:paraId="57939F3F" w14:textId="335F6C74"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(60.7)</w:t>
            </w:r>
          </w:p>
        </w:tc>
      </w:tr>
      <w:tr w:rsidR="00FC6179" w:rsidRPr="00895810" w14:paraId="0BFC0139" w14:textId="77777777" w:rsidTr="00024B10">
        <w:trPr>
          <w:trHeight w:hRule="exact" w:val="272"/>
        </w:trPr>
        <w:tc>
          <w:tcPr>
            <w:tcW w:w="3912" w:type="dxa"/>
            <w:tcBorders>
              <w:top w:val="single" w:sz="2" w:space="0" w:color="3D7FE0" w:themeColor="accent1"/>
              <w:bottom w:val="single" w:sz="2" w:space="0" w:color="3D7FE0" w:themeColor="accent1"/>
            </w:tcBorders>
            <w:shd w:val="clear" w:color="auto" w:fill="auto"/>
            <w:tcMar>
              <w:left w:w="0" w:type="dxa"/>
              <w:right w:w="0" w:type="dxa"/>
            </w:tcMar>
            <w:vAlign w:val="bottom"/>
          </w:tcPr>
          <w:p w14:paraId="1FA5DEF4" w14:textId="77777777" w:rsidR="00FC6179" w:rsidRPr="00895810" w:rsidRDefault="00FC6179" w:rsidP="004F07AE">
            <w:pPr>
              <w:pStyle w:val="Tabletext"/>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Group portfolio</w:t>
            </w:r>
          </w:p>
        </w:tc>
        <w:tc>
          <w:tcPr>
            <w:tcW w:w="454" w:type="dxa"/>
            <w:tcBorders>
              <w:top w:val="single" w:sz="2" w:space="0" w:color="3D7FE0" w:themeColor="accent1"/>
              <w:bottom w:val="single" w:sz="2" w:space="0" w:color="3D7FE0" w:themeColor="accent1"/>
            </w:tcBorders>
            <w:shd w:val="clear" w:color="auto" w:fill="auto"/>
            <w:vAlign w:val="bottom"/>
          </w:tcPr>
          <w:p w14:paraId="6FAE283A" w14:textId="77777777" w:rsidR="00FC6179" w:rsidRPr="00895810" w:rsidRDefault="00FC6179" w:rsidP="004F07AE">
            <w:pPr>
              <w:pStyle w:val="Tabletext"/>
              <w:jc w:val="center"/>
              <w:rPr>
                <w:rFonts w:ascii="IBM Plex Sans Light" w:hAnsi="IBM Plex Sans Light"/>
                <w:b/>
                <w:color w:val="3D7FE0" w:themeColor="accent1"/>
                <w:spacing w:val="-4"/>
                <w:sz w:val="18"/>
                <w:szCs w:val="18"/>
              </w:rPr>
            </w:pPr>
          </w:p>
        </w:tc>
        <w:tc>
          <w:tcPr>
            <w:tcW w:w="972" w:type="dxa"/>
            <w:tcBorders>
              <w:top w:val="single" w:sz="2" w:space="0" w:color="3D7FE0" w:themeColor="accent1"/>
              <w:bottom w:val="single" w:sz="2" w:space="0" w:color="3D7FE0" w:themeColor="accent1"/>
            </w:tcBorders>
            <w:tcMar>
              <w:left w:w="0" w:type="dxa"/>
              <w:right w:w="0" w:type="dxa"/>
            </w:tcMar>
          </w:tcPr>
          <w:p w14:paraId="074A1AC8" w14:textId="4B6DA99D"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4,661.8</w:t>
            </w:r>
          </w:p>
        </w:tc>
        <w:tc>
          <w:tcPr>
            <w:tcW w:w="871" w:type="dxa"/>
            <w:tcBorders>
              <w:top w:val="single" w:sz="2" w:space="0" w:color="3D7FE0" w:themeColor="accent1"/>
              <w:bottom w:val="single" w:sz="2" w:space="0" w:color="3D7FE0" w:themeColor="accent1"/>
            </w:tcBorders>
            <w:tcMar>
              <w:left w:w="0" w:type="dxa"/>
              <w:right w:w="0" w:type="dxa"/>
            </w:tcMar>
          </w:tcPr>
          <w:p w14:paraId="40F218BD" w14:textId="4910C473"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74.4</w:t>
            </w:r>
          </w:p>
        </w:tc>
        <w:tc>
          <w:tcPr>
            <w:tcW w:w="879" w:type="dxa"/>
            <w:tcBorders>
              <w:top w:val="single" w:sz="2" w:space="0" w:color="3D7FE0" w:themeColor="accent1"/>
              <w:bottom w:val="single" w:sz="2" w:space="0" w:color="3D7FE0" w:themeColor="accent1"/>
            </w:tcBorders>
            <w:tcMar>
              <w:left w:w="0" w:type="dxa"/>
              <w:right w:w="0" w:type="dxa"/>
            </w:tcMar>
          </w:tcPr>
          <w:p w14:paraId="22ABD956" w14:textId="234D5682"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(126.8)</w:t>
            </w:r>
          </w:p>
        </w:tc>
        <w:tc>
          <w:tcPr>
            <w:tcW w:w="992" w:type="dxa"/>
            <w:tcBorders>
              <w:top w:val="single" w:sz="2" w:space="0" w:color="3D7FE0" w:themeColor="accent1"/>
              <w:bottom w:val="single" w:sz="2" w:space="0" w:color="3D7FE0" w:themeColor="accent1"/>
            </w:tcBorders>
            <w:tcMar>
              <w:left w:w="0" w:type="dxa"/>
              <w:right w:w="0" w:type="dxa"/>
            </w:tcMar>
            <w:vAlign w:val="bottom"/>
          </w:tcPr>
          <w:p w14:paraId="35BD8771" w14:textId="0DAA243F"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5,107.1</w:t>
            </w:r>
          </w:p>
        </w:tc>
        <w:tc>
          <w:tcPr>
            <w:tcW w:w="851" w:type="dxa"/>
            <w:tcBorders>
              <w:top w:val="single" w:sz="2" w:space="0" w:color="3D7FE0" w:themeColor="accent1"/>
              <w:bottom w:val="single" w:sz="2" w:space="0" w:color="3D7FE0" w:themeColor="accent1"/>
            </w:tcBorders>
            <w:tcMar>
              <w:left w:w="0" w:type="dxa"/>
              <w:right w:w="0" w:type="dxa"/>
            </w:tcMar>
          </w:tcPr>
          <w:p w14:paraId="4301D3AA" w14:textId="74A2CA27"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79.5</w:t>
            </w:r>
          </w:p>
        </w:tc>
        <w:tc>
          <w:tcPr>
            <w:tcW w:w="992" w:type="dxa"/>
            <w:tcBorders>
              <w:top w:val="single" w:sz="2" w:space="0" w:color="3D7FE0" w:themeColor="accent1"/>
              <w:bottom w:val="single" w:sz="2" w:space="0" w:color="3D7FE0" w:themeColor="accent1"/>
            </w:tcBorders>
            <w:tcMar>
              <w:left w:w="0" w:type="dxa"/>
              <w:right w:w="0" w:type="dxa"/>
            </w:tcMar>
          </w:tcPr>
          <w:p w14:paraId="382203E4" w14:textId="4BB7CAF6"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(281.7)</w:t>
            </w:r>
          </w:p>
        </w:tc>
      </w:tr>
      <w:tr w:rsidR="00FC6179" w:rsidRPr="00895810" w14:paraId="4A296B5A" w14:textId="77777777" w:rsidTr="00024B10">
        <w:trPr>
          <w:trHeight w:val="288"/>
        </w:trPr>
        <w:tc>
          <w:tcPr>
            <w:tcW w:w="3912" w:type="dxa"/>
            <w:tcBorders>
              <w:top w:val="single" w:sz="2" w:space="0" w:color="3D7FE0" w:themeColor="accent1"/>
            </w:tcBorders>
            <w:shd w:val="clear" w:color="auto" w:fill="auto"/>
            <w:tcMar>
              <w:left w:w="0" w:type="dxa"/>
              <w:right w:w="0" w:type="dxa"/>
            </w:tcMar>
            <w:vAlign w:val="bottom"/>
          </w:tcPr>
          <w:p w14:paraId="593FBFB8" w14:textId="77777777" w:rsidR="00FC6179" w:rsidRPr="00895810" w:rsidRDefault="00FC6179" w:rsidP="004F07AE">
            <w:pPr>
              <w:pStyle w:val="TabletextBold"/>
              <w:ind w:right="-156"/>
              <w:rPr>
                <w:rFonts w:ascii="IBM Plex Sans Light" w:hAnsi="IBM Plex Sans Light"/>
                <w:b w:val="0"/>
                <w:bCs/>
                <w:sz w:val="18"/>
                <w:szCs w:val="18"/>
                <w:vertAlign w:val="superscript"/>
              </w:rPr>
            </w:pPr>
            <w:r w:rsidRPr="00895810">
              <w:rPr>
                <w:rFonts w:ascii="IBM Plex Sans Light" w:hAnsi="IBM Plex Sans Light"/>
                <w:b w:val="0"/>
                <w:bCs/>
                <w:sz w:val="18"/>
                <w:szCs w:val="18"/>
              </w:rPr>
              <w:t>Less Value Retail</w:t>
            </w:r>
          </w:p>
        </w:tc>
        <w:tc>
          <w:tcPr>
            <w:tcW w:w="454" w:type="dxa"/>
            <w:tcBorders>
              <w:top w:val="single" w:sz="2" w:space="0" w:color="3D7FE0" w:themeColor="accent1"/>
            </w:tcBorders>
            <w:shd w:val="clear" w:color="auto" w:fill="auto"/>
            <w:vAlign w:val="bottom"/>
          </w:tcPr>
          <w:p w14:paraId="4BB081BB" w14:textId="0D55D008" w:rsidR="00FC6179" w:rsidRPr="00D9524D" w:rsidRDefault="00FC6179" w:rsidP="00D9524D">
            <w:pPr>
              <w:pStyle w:val="TabletextBold"/>
              <w:ind w:left="-112" w:right="-57"/>
              <w:jc w:val="center"/>
              <w:rPr>
                <w:rFonts w:ascii="IBM Plex Sans Light" w:hAnsi="IBM Plex Sans Light"/>
                <w:b w:val="0"/>
                <w:bCs/>
                <w:szCs w:val="16"/>
              </w:rPr>
            </w:pPr>
            <w:r w:rsidRPr="00D9524D">
              <w:rPr>
                <w:rFonts w:ascii="IBM Plex Sans Light" w:hAnsi="IBM Plex Sans Light"/>
                <w:b w:val="0"/>
                <w:bCs/>
                <w:szCs w:val="16"/>
              </w:rPr>
              <w:t>13C</w:t>
            </w:r>
          </w:p>
        </w:tc>
        <w:tc>
          <w:tcPr>
            <w:tcW w:w="972" w:type="dxa"/>
            <w:tcBorders>
              <w:top w:val="single" w:sz="2" w:space="0" w:color="3D7FE0" w:themeColor="accent1"/>
            </w:tcBorders>
            <w:tcMar>
              <w:left w:w="0" w:type="dxa"/>
              <w:right w:w="0" w:type="dxa"/>
            </w:tcMar>
          </w:tcPr>
          <w:p w14:paraId="4D6DC65D" w14:textId="68FC6DD3" w:rsidR="00FC6179" w:rsidRPr="004F07AE" w:rsidRDefault="00FC6179" w:rsidP="00D9524D">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(1,885.7)</w:t>
            </w:r>
          </w:p>
        </w:tc>
        <w:tc>
          <w:tcPr>
            <w:tcW w:w="871" w:type="dxa"/>
            <w:tcBorders>
              <w:top w:val="single" w:sz="2" w:space="0" w:color="3D7FE0" w:themeColor="accent1"/>
            </w:tcBorders>
            <w:tcMar>
              <w:left w:w="0" w:type="dxa"/>
              <w:right w:w="0" w:type="dxa"/>
            </w:tcMar>
          </w:tcPr>
          <w:p w14:paraId="075FB90D" w14:textId="370E2520" w:rsidR="00FC6179" w:rsidRPr="004F07AE" w:rsidRDefault="00FC6179" w:rsidP="00D9524D">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(27.5)</w:t>
            </w:r>
          </w:p>
        </w:tc>
        <w:tc>
          <w:tcPr>
            <w:tcW w:w="879" w:type="dxa"/>
            <w:tcBorders>
              <w:top w:val="single" w:sz="2" w:space="0" w:color="3D7FE0" w:themeColor="accent1"/>
            </w:tcBorders>
            <w:tcMar>
              <w:left w:w="0" w:type="dxa"/>
              <w:right w:w="0" w:type="dxa"/>
            </w:tcMar>
          </w:tcPr>
          <w:p w14:paraId="7E4AE456" w14:textId="34B2FE90"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7.7</w:t>
            </w:r>
          </w:p>
        </w:tc>
        <w:tc>
          <w:tcPr>
            <w:tcW w:w="992" w:type="dxa"/>
            <w:tcBorders>
              <w:top w:val="single" w:sz="2" w:space="0" w:color="3D7FE0" w:themeColor="accent1"/>
            </w:tcBorders>
            <w:tcMar>
              <w:left w:w="0" w:type="dxa"/>
              <w:right w:w="0" w:type="dxa"/>
            </w:tcMar>
          </w:tcPr>
          <w:p w14:paraId="1A26B56D" w14:textId="7131BC3A"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(1,887.0)</w:t>
            </w:r>
          </w:p>
        </w:tc>
        <w:tc>
          <w:tcPr>
            <w:tcW w:w="851" w:type="dxa"/>
            <w:tcBorders>
              <w:top w:val="single" w:sz="2" w:space="0" w:color="3D7FE0" w:themeColor="accent1"/>
            </w:tcBorders>
            <w:tcMar>
              <w:left w:w="0" w:type="dxa"/>
              <w:right w:w="0" w:type="dxa"/>
            </w:tcMar>
          </w:tcPr>
          <w:p w14:paraId="5A0AC594" w14:textId="3377FCF8"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(6.6)</w:t>
            </w:r>
          </w:p>
        </w:tc>
        <w:tc>
          <w:tcPr>
            <w:tcW w:w="992" w:type="dxa"/>
            <w:tcBorders>
              <w:top w:val="single" w:sz="2" w:space="0" w:color="3D7FE0" w:themeColor="accent1"/>
            </w:tcBorders>
            <w:tcMar>
              <w:left w:w="0" w:type="dxa"/>
              <w:right w:w="0" w:type="dxa"/>
            </w:tcMar>
          </w:tcPr>
          <w:p w14:paraId="6A4A9455" w14:textId="39923756" w:rsidR="00FC6179" w:rsidRPr="00FC6179" w:rsidRDefault="00FC6179" w:rsidP="004F07AE">
            <w:pPr>
              <w:pStyle w:val="TableFiguresBold"/>
              <w:rPr>
                <w:rFonts w:ascii="IBM Plex Sans Light" w:hAnsi="IBM Plex Sans Light"/>
                <w:b w:val="0"/>
                <w:bCs w:val="0"/>
                <w:color w:val="auto"/>
                <w:sz w:val="18"/>
                <w:szCs w:val="18"/>
              </w:rPr>
            </w:pPr>
            <w:r w:rsidRPr="00024B10">
              <w:rPr>
                <w:rFonts w:ascii="IBM Plex Sans Light" w:hAnsi="IBM Plex Sans Light"/>
                <w:b w:val="0"/>
                <w:bCs w:val="0"/>
                <w:color w:val="auto"/>
                <w:spacing w:val="-4"/>
                <w:sz w:val="18"/>
                <w:szCs w:val="18"/>
              </w:rPr>
              <w:t>60.7</w:t>
            </w:r>
          </w:p>
        </w:tc>
      </w:tr>
      <w:tr w:rsidR="00FC6179" w:rsidRPr="00895810" w14:paraId="2741FCF2" w14:textId="77777777" w:rsidTr="00024B10">
        <w:trPr>
          <w:trHeight w:val="299"/>
        </w:trPr>
        <w:tc>
          <w:tcPr>
            <w:tcW w:w="3912" w:type="dxa"/>
            <w:shd w:val="clear" w:color="auto" w:fill="auto"/>
            <w:tcMar>
              <w:left w:w="0" w:type="dxa"/>
              <w:right w:w="0" w:type="dxa"/>
            </w:tcMar>
            <w:vAlign w:val="bottom"/>
          </w:tcPr>
          <w:p w14:paraId="54DC8873" w14:textId="0475E814" w:rsidR="00FC6179" w:rsidRPr="00024B10" w:rsidRDefault="00FC6179" w:rsidP="004F07AE">
            <w:pPr>
              <w:pStyle w:val="TabletextBold"/>
              <w:ind w:right="-156"/>
              <w:rPr>
                <w:rFonts w:ascii="IBM Plex Sans Light" w:hAnsi="IBM Plex Sans Light"/>
                <w:b w:val="0"/>
                <w:bCs/>
                <w:sz w:val="18"/>
                <w:szCs w:val="18"/>
                <w:vertAlign w:val="superscript"/>
              </w:rPr>
            </w:pPr>
            <w:r w:rsidRPr="00895810">
              <w:rPr>
                <w:rFonts w:ascii="IBM Plex Sans Light" w:hAnsi="IBM Plex Sans Light"/>
                <w:b w:val="0"/>
                <w:bCs/>
                <w:sz w:val="18"/>
                <w:szCs w:val="18"/>
              </w:rPr>
              <w:t xml:space="preserve">Less Share of Property </w:t>
            </w:r>
            <w:proofErr w:type="spellStart"/>
            <w:r w:rsidRPr="00895810">
              <w:rPr>
                <w:rFonts w:ascii="IBM Plex Sans Light" w:hAnsi="IBM Plex Sans Light"/>
                <w:b w:val="0"/>
                <w:bCs/>
                <w:sz w:val="18"/>
                <w:szCs w:val="18"/>
              </w:rPr>
              <w:t>interests</w:t>
            </w:r>
            <w:r>
              <w:rPr>
                <w:rFonts w:ascii="IBM Plex Sans Light" w:hAnsi="IBM Plex Sans Light"/>
                <w:b w:val="0"/>
                <w:bCs/>
                <w:sz w:val="18"/>
                <w:szCs w:val="18"/>
                <w:vertAlign w:val="superscript"/>
              </w:rPr>
              <w:t>a</w:t>
            </w:r>
            <w:proofErr w:type="spellEnd"/>
          </w:p>
        </w:tc>
        <w:tc>
          <w:tcPr>
            <w:tcW w:w="454" w:type="dxa"/>
            <w:shd w:val="clear" w:color="auto" w:fill="auto"/>
            <w:vAlign w:val="bottom"/>
          </w:tcPr>
          <w:p w14:paraId="009E7313" w14:textId="78CC5655" w:rsidR="00FC6179" w:rsidRPr="00895810" w:rsidRDefault="00FC6179" w:rsidP="004F07AE">
            <w:pPr>
              <w:pStyle w:val="TabletextBold"/>
              <w:ind w:left="-112" w:right="-57"/>
              <w:jc w:val="center"/>
              <w:rPr>
                <w:rFonts w:ascii="IBM Plex Sans Light" w:hAnsi="IBM Plex Sans Light"/>
                <w:b w:val="0"/>
                <w:bCs/>
                <w:szCs w:val="16"/>
              </w:rPr>
            </w:pPr>
            <w:r>
              <w:rPr>
                <w:rFonts w:ascii="IBM Plex Sans Light" w:hAnsi="IBM Plex Sans Light"/>
                <w:b w:val="0"/>
                <w:bCs/>
                <w:szCs w:val="16"/>
              </w:rPr>
              <w:t>12C</w:t>
            </w:r>
          </w:p>
        </w:tc>
        <w:tc>
          <w:tcPr>
            <w:tcW w:w="972" w:type="dxa"/>
            <w:tcMar>
              <w:left w:w="0" w:type="dxa"/>
              <w:right w:w="0" w:type="dxa"/>
            </w:tcMar>
          </w:tcPr>
          <w:p w14:paraId="59B14E35" w14:textId="51DCAE28" w:rsidR="00FC6179" w:rsidRPr="004F07AE" w:rsidRDefault="00FC6179" w:rsidP="00D9524D">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(1,379.9)</w:t>
            </w:r>
          </w:p>
        </w:tc>
        <w:tc>
          <w:tcPr>
            <w:tcW w:w="871" w:type="dxa"/>
            <w:tcMar>
              <w:left w:w="0" w:type="dxa"/>
              <w:right w:w="0" w:type="dxa"/>
            </w:tcMar>
          </w:tcPr>
          <w:p w14:paraId="02122AD7" w14:textId="1A121830" w:rsidR="00FC6179" w:rsidRPr="004F07AE" w:rsidRDefault="00FC6179" w:rsidP="00D9524D">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(27.3)</w:t>
            </w:r>
          </w:p>
        </w:tc>
        <w:tc>
          <w:tcPr>
            <w:tcW w:w="879" w:type="dxa"/>
            <w:tcMar>
              <w:left w:w="0" w:type="dxa"/>
              <w:right w:w="0" w:type="dxa"/>
            </w:tcMar>
          </w:tcPr>
          <w:p w14:paraId="0E02220C" w14:textId="4336B33E"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73.9</w:t>
            </w:r>
          </w:p>
        </w:tc>
        <w:tc>
          <w:tcPr>
            <w:tcW w:w="992" w:type="dxa"/>
            <w:tcMar>
              <w:left w:w="0" w:type="dxa"/>
              <w:right w:w="0" w:type="dxa"/>
            </w:tcMar>
          </w:tcPr>
          <w:p w14:paraId="02E0D2B9" w14:textId="046DCB52"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(1,722.9)</w:t>
            </w:r>
          </w:p>
        </w:tc>
        <w:tc>
          <w:tcPr>
            <w:tcW w:w="851" w:type="dxa"/>
            <w:tcMar>
              <w:left w:w="0" w:type="dxa"/>
              <w:right w:w="0" w:type="dxa"/>
            </w:tcMar>
          </w:tcPr>
          <w:p w14:paraId="0600BBB5" w14:textId="6B287454"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(35.2)</w:t>
            </w:r>
          </w:p>
        </w:tc>
        <w:tc>
          <w:tcPr>
            <w:tcW w:w="992" w:type="dxa"/>
            <w:tcMar>
              <w:left w:w="0" w:type="dxa"/>
              <w:right w:w="0" w:type="dxa"/>
            </w:tcMar>
          </w:tcPr>
          <w:p w14:paraId="652DC095" w14:textId="746714BB" w:rsidR="00FC6179" w:rsidRPr="00FC6179" w:rsidRDefault="00FC6179" w:rsidP="004F07AE">
            <w:pPr>
              <w:pStyle w:val="TableFiguresBold"/>
              <w:rPr>
                <w:rFonts w:ascii="IBM Plex Sans Light" w:hAnsi="IBM Plex Sans Light"/>
                <w:b w:val="0"/>
                <w:bCs w:val="0"/>
                <w:color w:val="auto"/>
                <w:sz w:val="18"/>
                <w:szCs w:val="18"/>
              </w:rPr>
            </w:pPr>
            <w:r w:rsidRPr="00024B10">
              <w:rPr>
                <w:rFonts w:ascii="IBM Plex Sans Light" w:hAnsi="IBM Plex Sans Light"/>
                <w:b w:val="0"/>
                <w:bCs w:val="0"/>
                <w:color w:val="auto"/>
                <w:spacing w:val="-2"/>
                <w:sz w:val="18"/>
                <w:szCs w:val="18"/>
              </w:rPr>
              <w:t>138.3</w:t>
            </w:r>
          </w:p>
        </w:tc>
      </w:tr>
      <w:tr w:rsidR="00FC6179" w:rsidRPr="00895810" w14:paraId="16FD0D7D" w14:textId="77777777" w:rsidTr="00024B10">
        <w:trPr>
          <w:trHeight w:val="299"/>
        </w:trPr>
        <w:tc>
          <w:tcPr>
            <w:tcW w:w="3912" w:type="dxa"/>
            <w:shd w:val="clear" w:color="auto" w:fill="auto"/>
            <w:tcMar>
              <w:left w:w="0" w:type="dxa"/>
              <w:right w:w="0" w:type="dxa"/>
            </w:tcMar>
            <w:vAlign w:val="bottom"/>
          </w:tcPr>
          <w:p w14:paraId="363A7B2B" w14:textId="1C50B120" w:rsidR="00FC6179" w:rsidRPr="00895810" w:rsidRDefault="00FC6179" w:rsidP="004F07AE">
            <w:pPr>
              <w:pStyle w:val="TabletextBold"/>
              <w:ind w:right="-156"/>
              <w:rPr>
                <w:rFonts w:ascii="IBM Plex Sans Light" w:hAnsi="IBM Plex Sans Light"/>
                <w:b w:val="0"/>
                <w:bCs/>
                <w:sz w:val="18"/>
                <w:szCs w:val="18"/>
              </w:rPr>
            </w:pPr>
            <w:r w:rsidRPr="00895810">
              <w:rPr>
                <w:rFonts w:ascii="IBM Plex Sans Light" w:hAnsi="IBM Plex Sans Light"/>
                <w:b w:val="0"/>
                <w:bCs/>
                <w:sz w:val="18"/>
                <w:szCs w:val="18"/>
              </w:rPr>
              <w:t xml:space="preserve">Less trading </w:t>
            </w:r>
            <w:proofErr w:type="spellStart"/>
            <w:r w:rsidRPr="00895810">
              <w:rPr>
                <w:rFonts w:ascii="IBM Plex Sans Light" w:hAnsi="IBM Plex Sans Light"/>
                <w:b w:val="0"/>
                <w:bCs/>
                <w:sz w:val="18"/>
                <w:szCs w:val="18"/>
              </w:rPr>
              <w:t>properties</w:t>
            </w:r>
            <w:r>
              <w:rPr>
                <w:rFonts w:ascii="IBM Plex Sans Light" w:hAnsi="IBM Plex Sans Light"/>
                <w:b w:val="0"/>
                <w:bCs/>
                <w:sz w:val="18"/>
                <w:szCs w:val="18"/>
                <w:vertAlign w:val="superscript"/>
              </w:rPr>
              <w:t>b</w:t>
            </w:r>
            <w:proofErr w:type="spellEnd"/>
            <w:r w:rsidRPr="00895810">
              <w:rPr>
                <w:rFonts w:ascii="IBM Plex Sans Light" w:hAnsi="IBM Plex Sans Light"/>
                <w:b w:val="0"/>
                <w:bCs/>
                <w:sz w:val="18"/>
                <w:szCs w:val="18"/>
              </w:rPr>
              <w:t xml:space="preserve"> </w:t>
            </w:r>
          </w:p>
        </w:tc>
        <w:tc>
          <w:tcPr>
            <w:tcW w:w="454" w:type="dxa"/>
            <w:shd w:val="clear" w:color="auto" w:fill="auto"/>
            <w:vAlign w:val="bottom"/>
          </w:tcPr>
          <w:p w14:paraId="52895589" w14:textId="3B6A6758" w:rsidR="00FC6179" w:rsidRPr="00895810" w:rsidRDefault="00FC6179" w:rsidP="004F07AE">
            <w:pPr>
              <w:pStyle w:val="TabletextBold"/>
              <w:ind w:left="-112" w:right="-57"/>
              <w:jc w:val="center"/>
              <w:rPr>
                <w:rFonts w:ascii="IBM Plex Sans Light" w:hAnsi="IBM Plex Sans Light"/>
                <w:b w:val="0"/>
                <w:bCs/>
                <w:szCs w:val="16"/>
              </w:rPr>
            </w:pPr>
          </w:p>
        </w:tc>
        <w:tc>
          <w:tcPr>
            <w:tcW w:w="972" w:type="dxa"/>
            <w:tcMar>
              <w:left w:w="0" w:type="dxa"/>
              <w:right w:w="0" w:type="dxa"/>
            </w:tcMar>
          </w:tcPr>
          <w:p w14:paraId="79A35842" w14:textId="701BC604"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w:t>
            </w:r>
          </w:p>
        </w:tc>
        <w:tc>
          <w:tcPr>
            <w:tcW w:w="871" w:type="dxa"/>
            <w:shd w:val="clear" w:color="auto" w:fill="auto"/>
            <w:tcMar>
              <w:left w:w="0" w:type="dxa"/>
              <w:right w:w="0" w:type="dxa"/>
            </w:tcMar>
          </w:tcPr>
          <w:p w14:paraId="0A7DE6F9" w14:textId="328743D9"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w:t>
            </w:r>
          </w:p>
        </w:tc>
        <w:tc>
          <w:tcPr>
            <w:tcW w:w="879" w:type="dxa"/>
            <w:shd w:val="clear" w:color="auto" w:fill="auto"/>
            <w:tcMar>
              <w:left w:w="0" w:type="dxa"/>
              <w:right w:w="0" w:type="dxa"/>
            </w:tcMar>
          </w:tcPr>
          <w:p w14:paraId="1B128FD6" w14:textId="3BEFDCC7"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w:t>
            </w:r>
          </w:p>
        </w:tc>
        <w:tc>
          <w:tcPr>
            <w:tcW w:w="992" w:type="dxa"/>
            <w:shd w:val="clear" w:color="auto" w:fill="auto"/>
            <w:tcMar>
              <w:left w:w="0" w:type="dxa"/>
              <w:right w:w="0" w:type="dxa"/>
            </w:tcMar>
          </w:tcPr>
          <w:p w14:paraId="3224D31E" w14:textId="4C4F5274"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(36.2)</w:t>
            </w:r>
          </w:p>
        </w:tc>
        <w:tc>
          <w:tcPr>
            <w:tcW w:w="851" w:type="dxa"/>
            <w:shd w:val="clear" w:color="auto" w:fill="auto"/>
            <w:tcMar>
              <w:left w:w="0" w:type="dxa"/>
              <w:right w:w="0" w:type="dxa"/>
            </w:tcMar>
            <w:vAlign w:val="bottom"/>
          </w:tcPr>
          <w:p w14:paraId="49C3FF96" w14:textId="6C5C11C3" w:rsidR="00FC6179" w:rsidRPr="00024B10" w:rsidRDefault="00FC6179" w:rsidP="004F07AE">
            <w:pPr>
              <w:pStyle w:val="TableFiguresBold"/>
              <w:rPr>
                <w:rFonts w:ascii="IBM Plex Sans Light" w:hAnsi="IBM Plex Sans Light"/>
                <w:spacing w:val="-4"/>
                <w:sz w:val="18"/>
                <w:szCs w:val="18"/>
              </w:rPr>
            </w:pPr>
            <w:r w:rsidRPr="00024B10" w:rsidDel="006F6E7C">
              <w:rPr>
                <w:rFonts w:ascii="IBM Plex Sans Light" w:hAnsi="IBM Plex Sans Light"/>
                <w:spacing w:val="-4"/>
                <w:sz w:val="18"/>
                <w:szCs w:val="18"/>
              </w:rPr>
              <w:t>–</w:t>
            </w:r>
          </w:p>
        </w:tc>
        <w:tc>
          <w:tcPr>
            <w:tcW w:w="992" w:type="dxa"/>
            <w:shd w:val="clear" w:color="auto" w:fill="auto"/>
            <w:tcMar>
              <w:left w:w="0" w:type="dxa"/>
              <w:right w:w="0" w:type="dxa"/>
            </w:tcMar>
          </w:tcPr>
          <w:p w14:paraId="7F310796" w14:textId="77B01391" w:rsidR="00FC6179" w:rsidRPr="00FC6179" w:rsidRDefault="00FC6179" w:rsidP="004F07AE">
            <w:pPr>
              <w:pStyle w:val="TableFiguresBold"/>
              <w:rPr>
                <w:rFonts w:ascii="IBM Plex Sans Light" w:hAnsi="IBM Plex Sans Light"/>
                <w:b w:val="0"/>
                <w:bCs w:val="0"/>
                <w:color w:val="auto"/>
                <w:sz w:val="18"/>
                <w:szCs w:val="18"/>
              </w:rPr>
            </w:pPr>
            <w:r w:rsidRPr="00024B10">
              <w:rPr>
                <w:rFonts w:ascii="IBM Plex Sans Light" w:hAnsi="IBM Plex Sans Light"/>
                <w:b w:val="0"/>
                <w:bCs w:val="0"/>
                <w:color w:val="auto"/>
                <w:w w:val="117"/>
                <w:sz w:val="18"/>
                <w:szCs w:val="18"/>
              </w:rPr>
              <w:t>–</w:t>
            </w:r>
          </w:p>
        </w:tc>
      </w:tr>
      <w:tr w:rsidR="00FC6179" w:rsidRPr="00895810" w14:paraId="38305BE4" w14:textId="77777777" w:rsidTr="00024B10">
        <w:trPr>
          <w:trHeight w:hRule="exact" w:val="284"/>
        </w:trPr>
        <w:tc>
          <w:tcPr>
            <w:tcW w:w="3912" w:type="dxa"/>
            <w:tcBorders>
              <w:top w:val="single" w:sz="2" w:space="0" w:color="3D7FE0" w:themeColor="accent1"/>
              <w:bottom w:val="single" w:sz="8" w:space="0" w:color="3D7FE0" w:themeColor="accent1"/>
            </w:tcBorders>
            <w:shd w:val="clear" w:color="auto" w:fill="auto"/>
            <w:tcMar>
              <w:left w:w="0" w:type="dxa"/>
              <w:right w:w="0" w:type="dxa"/>
            </w:tcMar>
            <w:vAlign w:val="bottom"/>
          </w:tcPr>
          <w:p w14:paraId="6AE33C94" w14:textId="77777777" w:rsidR="00FC6179" w:rsidRPr="00895810" w:rsidRDefault="00FC6179" w:rsidP="004F07AE">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 xml:space="preserve">Reported Group </w:t>
            </w:r>
          </w:p>
        </w:tc>
        <w:tc>
          <w:tcPr>
            <w:tcW w:w="454" w:type="dxa"/>
            <w:tcBorders>
              <w:top w:val="single" w:sz="2" w:space="0" w:color="3D7FE0" w:themeColor="accent1"/>
              <w:bottom w:val="single" w:sz="8" w:space="0" w:color="3D7FE0" w:themeColor="accent1"/>
            </w:tcBorders>
            <w:shd w:val="clear" w:color="auto" w:fill="auto"/>
            <w:vAlign w:val="bottom"/>
          </w:tcPr>
          <w:p w14:paraId="1959CCD2" w14:textId="205D2039" w:rsidR="00FC6179" w:rsidRPr="00D9524D" w:rsidRDefault="00FC6179" w:rsidP="00D9524D">
            <w:pPr>
              <w:pStyle w:val="TabletextBold"/>
              <w:ind w:left="-112" w:right="-57"/>
              <w:jc w:val="center"/>
              <w:rPr>
                <w:rFonts w:ascii="IBM Plex Sans Light" w:hAnsi="IBM Plex Sans Light"/>
                <w:b w:val="0"/>
                <w:bCs/>
                <w:szCs w:val="16"/>
              </w:rPr>
            </w:pPr>
            <w:r w:rsidRPr="00D9524D">
              <w:rPr>
                <w:rFonts w:ascii="IBM Plex Sans Light" w:hAnsi="IBM Plex Sans Light"/>
                <w:b w:val="0"/>
                <w:bCs/>
                <w:szCs w:val="16"/>
              </w:rPr>
              <w:t>11</w:t>
            </w:r>
          </w:p>
        </w:tc>
        <w:tc>
          <w:tcPr>
            <w:tcW w:w="972" w:type="dxa"/>
            <w:tcBorders>
              <w:top w:val="single" w:sz="2" w:space="0" w:color="3D7FE0" w:themeColor="accent1"/>
              <w:bottom w:val="single" w:sz="8" w:space="0" w:color="3D7FE0" w:themeColor="accent1"/>
            </w:tcBorders>
            <w:tcMar>
              <w:left w:w="0" w:type="dxa"/>
              <w:right w:w="0" w:type="dxa"/>
            </w:tcMar>
          </w:tcPr>
          <w:p w14:paraId="25135062" w14:textId="7BF597FB"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1,396.2</w:t>
            </w:r>
          </w:p>
        </w:tc>
        <w:tc>
          <w:tcPr>
            <w:tcW w:w="871" w:type="dxa"/>
            <w:tcBorders>
              <w:top w:val="single" w:sz="2" w:space="0" w:color="3D7FE0" w:themeColor="accent1"/>
              <w:bottom w:val="single" w:sz="8" w:space="0" w:color="3D7FE0" w:themeColor="accent1"/>
            </w:tcBorders>
            <w:tcMar>
              <w:left w:w="0" w:type="dxa"/>
              <w:right w:w="0" w:type="dxa"/>
            </w:tcMar>
          </w:tcPr>
          <w:p w14:paraId="70FF8D00" w14:textId="17D46249" w:rsidR="00FC6179" w:rsidRPr="004F07AE" w:rsidRDefault="00FC6179"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19.6</w:t>
            </w:r>
          </w:p>
        </w:tc>
        <w:tc>
          <w:tcPr>
            <w:tcW w:w="879" w:type="dxa"/>
            <w:tcBorders>
              <w:top w:val="single" w:sz="2" w:space="0" w:color="3D7FE0" w:themeColor="accent1"/>
              <w:bottom w:val="single" w:sz="8" w:space="0" w:color="3D7FE0" w:themeColor="accent1"/>
            </w:tcBorders>
            <w:tcMar>
              <w:left w:w="0" w:type="dxa"/>
              <w:right w:w="0" w:type="dxa"/>
            </w:tcMar>
          </w:tcPr>
          <w:p w14:paraId="16D12B32" w14:textId="49CB45CA" w:rsidR="00FC6179" w:rsidRPr="004F07AE" w:rsidRDefault="00FC6179" w:rsidP="004F07AE">
            <w:pPr>
              <w:pStyle w:val="TableFiguresBracket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(45.2)</w:t>
            </w:r>
          </w:p>
        </w:tc>
        <w:tc>
          <w:tcPr>
            <w:tcW w:w="992" w:type="dxa"/>
            <w:tcBorders>
              <w:top w:val="single" w:sz="2" w:space="0" w:color="3D7FE0" w:themeColor="accent1"/>
              <w:bottom w:val="single" w:sz="8" w:space="0" w:color="3D7FE0" w:themeColor="accent1"/>
            </w:tcBorders>
            <w:tcMar>
              <w:left w:w="0" w:type="dxa"/>
              <w:right w:w="0" w:type="dxa"/>
            </w:tcMar>
            <w:vAlign w:val="bottom"/>
          </w:tcPr>
          <w:p w14:paraId="7172C9BE" w14:textId="77EBCD8F"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1,461.0</w:t>
            </w:r>
          </w:p>
        </w:tc>
        <w:tc>
          <w:tcPr>
            <w:tcW w:w="851" w:type="dxa"/>
            <w:tcBorders>
              <w:top w:val="single" w:sz="2" w:space="0" w:color="3D7FE0" w:themeColor="accent1"/>
              <w:bottom w:val="single" w:sz="8" w:space="0" w:color="3D7FE0" w:themeColor="accent1"/>
            </w:tcBorders>
            <w:tcMar>
              <w:left w:w="0" w:type="dxa"/>
              <w:right w:w="0" w:type="dxa"/>
            </w:tcMar>
            <w:vAlign w:val="bottom"/>
          </w:tcPr>
          <w:p w14:paraId="5BB28126" w14:textId="0CCE4C86" w:rsidR="00FC6179" w:rsidRPr="00FC6179" w:rsidRDefault="00FC6179" w:rsidP="004F07AE">
            <w:pPr>
              <w:pStyle w:val="TableFiguresBold"/>
              <w:rPr>
                <w:rFonts w:ascii="IBM Plex Sans Light" w:hAnsi="IBM Plex Sans Light"/>
                <w:b w:val="0"/>
                <w:color w:val="auto"/>
                <w:sz w:val="18"/>
                <w:szCs w:val="18"/>
              </w:rPr>
            </w:pPr>
            <w:r w:rsidRPr="00FC6179">
              <w:rPr>
                <w:rFonts w:ascii="IBM Plex Sans Light" w:hAnsi="IBM Plex Sans Light"/>
                <w:b w:val="0"/>
                <w:color w:val="auto"/>
                <w:sz w:val="18"/>
                <w:szCs w:val="18"/>
              </w:rPr>
              <w:t>37.7</w:t>
            </w:r>
          </w:p>
        </w:tc>
        <w:tc>
          <w:tcPr>
            <w:tcW w:w="992" w:type="dxa"/>
            <w:tcBorders>
              <w:top w:val="single" w:sz="2" w:space="0" w:color="3D7FE0" w:themeColor="accent1"/>
              <w:bottom w:val="single" w:sz="8" w:space="0" w:color="3D7FE0" w:themeColor="accent1"/>
            </w:tcBorders>
            <w:tcMar>
              <w:left w:w="0" w:type="dxa"/>
              <w:right w:w="0" w:type="dxa"/>
            </w:tcMar>
          </w:tcPr>
          <w:p w14:paraId="6A1163D9" w14:textId="0AD0B22D" w:rsidR="00FC6179" w:rsidRPr="00FC6179" w:rsidRDefault="00FC6179" w:rsidP="004F07AE">
            <w:pPr>
              <w:pStyle w:val="TableFiguresBracketsBold"/>
              <w:rPr>
                <w:rFonts w:ascii="IBM Plex Sans Light" w:hAnsi="IBM Plex Sans Light"/>
                <w:b w:val="0"/>
                <w:color w:val="auto"/>
                <w:sz w:val="18"/>
                <w:szCs w:val="18"/>
              </w:rPr>
            </w:pPr>
            <w:r w:rsidRPr="00FC6179">
              <w:rPr>
                <w:rFonts w:ascii="IBM Plex Sans Light" w:hAnsi="IBM Plex Sans Light"/>
                <w:b w:val="0"/>
                <w:color w:val="auto"/>
                <w:sz w:val="18"/>
                <w:szCs w:val="18"/>
              </w:rPr>
              <w:t>(82.7)</w:t>
            </w:r>
          </w:p>
        </w:tc>
      </w:tr>
    </w:tbl>
    <w:p w14:paraId="708F48C9" w14:textId="77777777" w:rsidR="00C21D3A" w:rsidRDefault="00C21D3A" w:rsidP="00B50618">
      <w:pPr>
        <w:pStyle w:val="ListParagraph"/>
        <w:ind w:left="142" w:right="-255" w:hanging="142"/>
        <w:rPr>
          <w:rFonts w:ascii="IBM Plex Sans Light" w:hAnsi="IBM Plex Sans Light" w:cs="Arial"/>
          <w:sz w:val="16"/>
          <w:szCs w:val="16"/>
        </w:rPr>
      </w:pPr>
    </w:p>
    <w:p w14:paraId="1094CC87" w14:textId="02DC71A5" w:rsidR="004F07AE" w:rsidRPr="004F07AE" w:rsidRDefault="004F07AE" w:rsidP="004F07AE">
      <w:pPr>
        <w:pStyle w:val="ListParagraph"/>
        <w:ind w:left="284" w:right="-255" w:hanging="284"/>
        <w:rPr>
          <w:rFonts w:ascii="IBM Plex Sans Light" w:hAnsi="IBM Plex Sans Light" w:cs="Arial"/>
          <w:sz w:val="16"/>
          <w:szCs w:val="16"/>
        </w:rPr>
      </w:pPr>
      <w:proofErr w:type="spellStart"/>
      <w:r w:rsidRPr="004F07AE">
        <w:rPr>
          <w:rFonts w:ascii="IBM Plex Sans Light" w:hAnsi="IBM Plex Sans Light" w:cs="Arial"/>
          <w:sz w:val="16"/>
          <w:szCs w:val="16"/>
        </w:rPr>
        <w:t>a</w:t>
      </w:r>
      <w:proofErr w:type="spellEnd"/>
      <w:r w:rsidRPr="004F07AE">
        <w:rPr>
          <w:rFonts w:ascii="IBM Plex Sans Light" w:hAnsi="IBM Plex Sans Light" w:cs="Arial"/>
          <w:sz w:val="16"/>
          <w:szCs w:val="16"/>
        </w:rPr>
        <w:tab/>
        <w:t>The property valuation of Share of Property interests comprises UK Flagship destinations: £741.8m (2022: £738.6m); France flagship destinations: £nil (2022: £166.8m), Ireland flagship destinations: £485.2m (202</w:t>
      </w:r>
      <w:r w:rsidR="00E121A7">
        <w:rPr>
          <w:rFonts w:ascii="IBM Plex Sans Light" w:hAnsi="IBM Plex Sans Light" w:cs="Arial"/>
          <w:sz w:val="16"/>
          <w:szCs w:val="16"/>
        </w:rPr>
        <w:t>2</w:t>
      </w:r>
      <w:r w:rsidRPr="004F07AE">
        <w:rPr>
          <w:rFonts w:ascii="IBM Plex Sans Light" w:hAnsi="IBM Plex Sans Light" w:cs="Arial"/>
          <w:sz w:val="16"/>
          <w:szCs w:val="16"/>
        </w:rPr>
        <w:t>: £525.0m) and Developments and other £152.9m (2022: £292.5m).</w:t>
      </w:r>
    </w:p>
    <w:p w14:paraId="0405CBBB" w14:textId="3777232C" w:rsidR="004F07AE" w:rsidRDefault="004F07AE" w:rsidP="004F07AE">
      <w:pPr>
        <w:pStyle w:val="ListParagraph"/>
        <w:ind w:left="284" w:right="-255" w:hanging="284"/>
        <w:rPr>
          <w:rFonts w:ascii="IBM Plex Sans Light" w:hAnsi="IBM Plex Sans Light" w:cs="Arial"/>
          <w:sz w:val="16"/>
          <w:szCs w:val="16"/>
        </w:rPr>
      </w:pPr>
      <w:r w:rsidRPr="004F07AE">
        <w:rPr>
          <w:rFonts w:ascii="IBM Plex Sans Light" w:hAnsi="IBM Plex Sans Light" w:cs="Arial"/>
          <w:sz w:val="16"/>
          <w:szCs w:val="16"/>
        </w:rPr>
        <w:t>b</w:t>
      </w:r>
      <w:r w:rsidRPr="004F07AE">
        <w:rPr>
          <w:rFonts w:ascii="IBM Plex Sans Light" w:hAnsi="IBM Plex Sans Light" w:cs="Arial"/>
          <w:sz w:val="16"/>
          <w:szCs w:val="16"/>
        </w:rPr>
        <w:tab/>
        <w:t>In December 2019, the Group exchanged contracts for the forward sale of Italik, subject to completion of the development which was opened in 2021, resulting in the sale becoming unconditional although in accordance with a contractually allowed option and subsequent agreement, the purchaser deferred completion to 2023. At 31 December 2022, the 75% of Italik contracted for sale was included within Trading properties at the agreed sale price less forecast costs to complete with final completion occurring on 11 March 2023 as explained in note 8.</w:t>
      </w:r>
    </w:p>
    <w:p w14:paraId="6E430033" w14:textId="77777777" w:rsidR="004F07AE" w:rsidRDefault="004F07AE" w:rsidP="004F07AE">
      <w:pPr>
        <w:pStyle w:val="ListParagraph"/>
        <w:ind w:left="284" w:right="-255" w:hanging="284"/>
        <w:rPr>
          <w:rFonts w:ascii="IBM Plex Sans Light" w:hAnsi="IBM Plex Sans Light" w:cs="Arial"/>
          <w:sz w:val="16"/>
          <w:szCs w:val="16"/>
        </w:rPr>
      </w:pPr>
    </w:p>
    <w:p w14:paraId="7E471DF8" w14:textId="09B2EB0E" w:rsidR="00C21D3A" w:rsidRPr="00AB6B6E" w:rsidRDefault="00C21D3A"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4. REVENUE</w:t>
      </w:r>
    </w:p>
    <w:tbl>
      <w:tblPr>
        <w:tblW w:w="9941" w:type="dxa"/>
        <w:tblLayout w:type="fixed"/>
        <w:tblLook w:val="01E0" w:firstRow="1" w:lastRow="1" w:firstColumn="1" w:lastColumn="1" w:noHBand="0" w:noVBand="0"/>
      </w:tblPr>
      <w:tblGrid>
        <w:gridCol w:w="6663"/>
        <w:gridCol w:w="567"/>
        <w:gridCol w:w="708"/>
        <w:gridCol w:w="705"/>
        <w:gridCol w:w="1298"/>
      </w:tblGrid>
      <w:tr w:rsidR="00C21D3A" w:rsidRPr="00895810" w14:paraId="43781CC1" w14:textId="77777777" w:rsidTr="00024B10">
        <w:trPr>
          <w:trHeight w:val="203"/>
        </w:trPr>
        <w:tc>
          <w:tcPr>
            <w:tcW w:w="6663" w:type="dxa"/>
            <w:tcMar>
              <w:left w:w="0" w:type="dxa"/>
              <w:right w:w="0" w:type="dxa"/>
            </w:tcMar>
            <w:vAlign w:val="bottom"/>
          </w:tcPr>
          <w:p w14:paraId="0955AD61" w14:textId="77777777" w:rsidR="00C21D3A" w:rsidRPr="00895810" w:rsidRDefault="00C21D3A" w:rsidP="003F2C4C">
            <w:pPr>
              <w:pStyle w:val="TableColHeads"/>
              <w:rPr>
                <w:rFonts w:ascii="IBM Plex Sans Light" w:hAnsi="IBM Plex Sans Light"/>
              </w:rPr>
            </w:pPr>
          </w:p>
        </w:tc>
        <w:tc>
          <w:tcPr>
            <w:tcW w:w="567" w:type="dxa"/>
            <w:vAlign w:val="bottom"/>
          </w:tcPr>
          <w:p w14:paraId="36E92680" w14:textId="77777777" w:rsidR="00C21D3A" w:rsidRPr="00895810" w:rsidRDefault="00C21D3A" w:rsidP="003F2C4C">
            <w:pPr>
              <w:pStyle w:val="TableColHeads"/>
              <w:rPr>
                <w:rFonts w:ascii="IBM Plex Sans Light" w:hAnsi="IBM Plex Sans Light"/>
              </w:rPr>
            </w:pPr>
          </w:p>
        </w:tc>
        <w:tc>
          <w:tcPr>
            <w:tcW w:w="708" w:type="dxa"/>
          </w:tcPr>
          <w:p w14:paraId="2976C22F" w14:textId="77777777" w:rsidR="00C21D3A" w:rsidRPr="00895810" w:rsidRDefault="00C21D3A" w:rsidP="003F2C4C">
            <w:pPr>
              <w:pStyle w:val="TableColHeadsBold"/>
              <w:rPr>
                <w:rFonts w:ascii="IBM Plex Sans Light" w:hAnsi="IBM Plex Sans Light"/>
                <w:color w:val="3D7FE0" w:themeColor="accent1"/>
              </w:rPr>
            </w:pPr>
          </w:p>
        </w:tc>
        <w:tc>
          <w:tcPr>
            <w:tcW w:w="705" w:type="dxa"/>
            <w:tcMar>
              <w:left w:w="0" w:type="dxa"/>
              <w:right w:w="0" w:type="dxa"/>
            </w:tcMar>
            <w:vAlign w:val="bottom"/>
          </w:tcPr>
          <w:p w14:paraId="4C045C11" w14:textId="7A765C05" w:rsidR="00C21D3A" w:rsidRPr="00895810" w:rsidRDefault="00785AC2" w:rsidP="00BE0C5F">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C21D3A" w:rsidRPr="00895810">
              <w:rPr>
                <w:rFonts w:ascii="IBM Plex Sans Light" w:hAnsi="IBM Plex Sans Light"/>
                <w:color w:val="3D7FE0" w:themeColor="accent1"/>
              </w:rPr>
              <w:t xml:space="preserve"> </w:t>
            </w:r>
          </w:p>
        </w:tc>
        <w:tc>
          <w:tcPr>
            <w:tcW w:w="1298" w:type="dxa"/>
            <w:tcMar>
              <w:left w:w="0" w:type="dxa"/>
              <w:right w:w="0" w:type="dxa"/>
            </w:tcMar>
            <w:vAlign w:val="bottom"/>
          </w:tcPr>
          <w:p w14:paraId="5E4CCD98" w14:textId="21CF1467" w:rsidR="00934DE9" w:rsidRPr="00895810" w:rsidRDefault="00187A8D" w:rsidP="00BE0C5F">
            <w:pPr>
              <w:pStyle w:val="TableColHeads"/>
              <w:rPr>
                <w:rFonts w:ascii="IBM Plex Sans Light" w:hAnsi="IBM Plex Sans Light"/>
                <w:bCs/>
              </w:rPr>
            </w:pPr>
            <w:r>
              <w:rPr>
                <w:rFonts w:ascii="IBM Plex Sans Light" w:hAnsi="IBM Plex Sans Light"/>
              </w:rPr>
              <w:t>2022</w:t>
            </w:r>
          </w:p>
        </w:tc>
      </w:tr>
      <w:tr w:rsidR="00C21D3A" w:rsidRPr="00895810" w14:paraId="27BC197A" w14:textId="77777777" w:rsidTr="00024B10">
        <w:tc>
          <w:tcPr>
            <w:tcW w:w="6663" w:type="dxa"/>
            <w:tcBorders>
              <w:bottom w:val="single" w:sz="2" w:space="0" w:color="3D7FE0" w:themeColor="accent1"/>
            </w:tcBorders>
            <w:tcMar>
              <w:left w:w="0" w:type="dxa"/>
              <w:bottom w:w="28" w:type="dxa"/>
              <w:right w:w="0" w:type="dxa"/>
            </w:tcMar>
            <w:vAlign w:val="bottom"/>
          </w:tcPr>
          <w:p w14:paraId="71F3FE76" w14:textId="77777777" w:rsidR="00C21D3A" w:rsidRPr="00895810" w:rsidRDefault="00C21D3A" w:rsidP="003F2C4C">
            <w:pPr>
              <w:pStyle w:val="TableColHeads"/>
              <w:rPr>
                <w:rFonts w:ascii="IBM Plex Sans Light" w:hAnsi="IBM Plex Sans Light"/>
              </w:rPr>
            </w:pPr>
          </w:p>
        </w:tc>
        <w:tc>
          <w:tcPr>
            <w:tcW w:w="567" w:type="dxa"/>
            <w:tcBorders>
              <w:bottom w:val="single" w:sz="2" w:space="0" w:color="3D7FE0" w:themeColor="accent1"/>
            </w:tcBorders>
            <w:vAlign w:val="bottom"/>
          </w:tcPr>
          <w:p w14:paraId="3875F9B7" w14:textId="77777777" w:rsidR="00C21D3A" w:rsidRPr="00895810" w:rsidRDefault="00C21D3A" w:rsidP="003F2C4C">
            <w:pPr>
              <w:pStyle w:val="TableColHeads"/>
              <w:rPr>
                <w:rFonts w:ascii="IBM Plex Sans Light" w:hAnsi="IBM Plex Sans Light"/>
              </w:rPr>
            </w:pPr>
          </w:p>
        </w:tc>
        <w:tc>
          <w:tcPr>
            <w:tcW w:w="708" w:type="dxa"/>
            <w:tcBorders>
              <w:bottom w:val="single" w:sz="2" w:space="0" w:color="3D7FE0" w:themeColor="accent1"/>
            </w:tcBorders>
          </w:tcPr>
          <w:p w14:paraId="20F9BD45" w14:textId="77777777" w:rsidR="00C21D3A" w:rsidRPr="00895810" w:rsidRDefault="00C21D3A" w:rsidP="003F2C4C">
            <w:pPr>
              <w:pStyle w:val="TableColHeads"/>
              <w:rPr>
                <w:rFonts w:ascii="IBM Plex Sans Light" w:hAnsi="IBM Plex Sans Light"/>
                <w:b/>
              </w:rPr>
            </w:pPr>
            <w:r w:rsidRPr="00895810">
              <w:rPr>
                <w:rFonts w:ascii="IBM Plex Sans Light" w:hAnsi="IBM Plex Sans Light"/>
                <w:b/>
              </w:rPr>
              <w:t>Note</w:t>
            </w:r>
          </w:p>
        </w:tc>
        <w:tc>
          <w:tcPr>
            <w:tcW w:w="705" w:type="dxa"/>
            <w:tcBorders>
              <w:bottom w:val="single" w:sz="2" w:space="0" w:color="3D7FE0" w:themeColor="accent1"/>
            </w:tcBorders>
            <w:tcMar>
              <w:left w:w="0" w:type="dxa"/>
              <w:bottom w:w="28" w:type="dxa"/>
              <w:right w:w="0" w:type="dxa"/>
            </w:tcMar>
            <w:vAlign w:val="bottom"/>
          </w:tcPr>
          <w:p w14:paraId="27DEC71A" w14:textId="77777777" w:rsidR="00C21D3A" w:rsidRPr="00895810" w:rsidRDefault="00C21D3A"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1298" w:type="dxa"/>
            <w:tcBorders>
              <w:bottom w:val="single" w:sz="2" w:space="0" w:color="3D7FE0" w:themeColor="accent1"/>
            </w:tcBorders>
            <w:tcMar>
              <w:left w:w="0" w:type="dxa"/>
              <w:bottom w:w="28" w:type="dxa"/>
              <w:right w:w="0" w:type="dxa"/>
            </w:tcMar>
            <w:vAlign w:val="bottom"/>
          </w:tcPr>
          <w:p w14:paraId="2888EB6A" w14:textId="77777777" w:rsidR="00C21D3A" w:rsidRPr="00895810" w:rsidRDefault="00C21D3A" w:rsidP="003F2C4C">
            <w:pPr>
              <w:pStyle w:val="TableColHeads"/>
              <w:rPr>
                <w:rFonts w:ascii="IBM Plex Sans Light" w:hAnsi="IBM Plex Sans Light"/>
              </w:rPr>
            </w:pPr>
            <w:r w:rsidRPr="00895810">
              <w:rPr>
                <w:rFonts w:ascii="IBM Plex Sans Light" w:hAnsi="IBM Plex Sans Light"/>
              </w:rPr>
              <w:t xml:space="preserve">£m </w:t>
            </w:r>
          </w:p>
        </w:tc>
      </w:tr>
      <w:tr w:rsidR="004F07AE" w:rsidRPr="00895810" w14:paraId="7FA5FFD0" w14:textId="77777777" w:rsidTr="00024B10">
        <w:tc>
          <w:tcPr>
            <w:tcW w:w="6663" w:type="dxa"/>
            <w:tcBorders>
              <w:top w:val="single" w:sz="2" w:space="0" w:color="3D7FE0" w:themeColor="accent1"/>
            </w:tcBorders>
            <w:tcMar>
              <w:left w:w="0" w:type="dxa"/>
              <w:right w:w="0" w:type="dxa"/>
            </w:tcMar>
            <w:vAlign w:val="bottom"/>
          </w:tcPr>
          <w:p w14:paraId="762A1A3C" w14:textId="77777777" w:rsidR="004F07AE" w:rsidRPr="00895810" w:rsidRDefault="004F07AE" w:rsidP="004F07AE">
            <w:pPr>
              <w:spacing w:after="0" w:line="240" w:lineRule="auto"/>
              <w:rPr>
                <w:rFonts w:ascii="IBM Plex Sans Light" w:hAnsi="IBM Plex Sans Light" w:cs="Arial"/>
                <w:szCs w:val="18"/>
              </w:rPr>
            </w:pPr>
            <w:r w:rsidRPr="00895810">
              <w:rPr>
                <w:rFonts w:ascii="IBM Plex Sans Light" w:hAnsi="IBM Plex Sans Light" w:cs="Arial"/>
                <w:szCs w:val="18"/>
              </w:rPr>
              <w:t>Base rent</w:t>
            </w:r>
          </w:p>
        </w:tc>
        <w:tc>
          <w:tcPr>
            <w:tcW w:w="567" w:type="dxa"/>
            <w:tcBorders>
              <w:top w:val="single" w:sz="2" w:space="0" w:color="3D7FE0" w:themeColor="accent1"/>
            </w:tcBorders>
            <w:vAlign w:val="bottom"/>
          </w:tcPr>
          <w:p w14:paraId="483D637C" w14:textId="7311C20E" w:rsidR="004F07AE" w:rsidRPr="00895810" w:rsidRDefault="004F07AE" w:rsidP="004F07AE">
            <w:pPr>
              <w:spacing w:after="0" w:line="240" w:lineRule="auto"/>
              <w:jc w:val="both"/>
              <w:rPr>
                <w:rFonts w:ascii="IBM Plex Sans Light" w:hAnsi="IBM Plex Sans Light" w:cs="Arial"/>
                <w:sz w:val="16"/>
                <w:szCs w:val="22"/>
              </w:rPr>
            </w:pPr>
          </w:p>
        </w:tc>
        <w:tc>
          <w:tcPr>
            <w:tcW w:w="708" w:type="dxa"/>
            <w:tcBorders>
              <w:top w:val="single" w:sz="2" w:space="0" w:color="3D7FE0" w:themeColor="accent1"/>
            </w:tcBorders>
          </w:tcPr>
          <w:p w14:paraId="761E7744" w14:textId="77777777" w:rsidR="004F07AE" w:rsidRPr="00895810" w:rsidRDefault="004F07AE" w:rsidP="004F07AE">
            <w:pPr>
              <w:pStyle w:val="TableFiguresBold"/>
              <w:rPr>
                <w:rFonts w:ascii="IBM Plex Sans Light" w:hAnsi="IBM Plex Sans Light"/>
                <w:color w:val="3D7FE0" w:themeColor="accent1"/>
                <w:spacing w:val="-4"/>
                <w:sz w:val="18"/>
                <w:szCs w:val="18"/>
              </w:rPr>
            </w:pPr>
          </w:p>
        </w:tc>
        <w:tc>
          <w:tcPr>
            <w:tcW w:w="705" w:type="dxa"/>
            <w:tcBorders>
              <w:top w:val="single" w:sz="2" w:space="0" w:color="3D7FE0" w:themeColor="accent1"/>
            </w:tcBorders>
            <w:tcMar>
              <w:left w:w="0" w:type="dxa"/>
              <w:right w:w="0" w:type="dxa"/>
            </w:tcMar>
          </w:tcPr>
          <w:p w14:paraId="09D26923" w14:textId="1DF3CD6B"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69.6</w:t>
            </w:r>
          </w:p>
        </w:tc>
        <w:tc>
          <w:tcPr>
            <w:tcW w:w="1298" w:type="dxa"/>
            <w:tcBorders>
              <w:top w:val="single" w:sz="2" w:space="0" w:color="3D7FE0" w:themeColor="accent1"/>
            </w:tcBorders>
            <w:tcMar>
              <w:left w:w="0" w:type="dxa"/>
              <w:right w:w="0" w:type="dxa"/>
            </w:tcMar>
          </w:tcPr>
          <w:p w14:paraId="681819E3" w14:textId="2F9563F2" w:rsidR="004F07AE" w:rsidRPr="00895810" w:rsidRDefault="004F07AE" w:rsidP="004F07AE">
            <w:pPr>
              <w:pStyle w:val="TableFiguresBold"/>
              <w:rPr>
                <w:rFonts w:ascii="IBM Plex Sans Light" w:hAnsi="IBM Plex Sans Light"/>
                <w:b w:val="0"/>
                <w:color w:val="auto"/>
                <w:sz w:val="18"/>
                <w:szCs w:val="18"/>
              </w:rPr>
            </w:pPr>
            <w:r w:rsidRPr="00895810">
              <w:rPr>
                <w:rFonts w:ascii="IBM Plex Sans Light" w:hAnsi="IBM Plex Sans Light"/>
                <w:b w:val="0"/>
                <w:color w:val="auto"/>
                <w:sz w:val="18"/>
                <w:szCs w:val="18"/>
              </w:rPr>
              <w:t>6</w:t>
            </w:r>
            <w:r>
              <w:rPr>
                <w:rFonts w:ascii="IBM Plex Sans Light" w:hAnsi="IBM Plex Sans Light"/>
                <w:b w:val="0"/>
                <w:color w:val="auto"/>
                <w:sz w:val="18"/>
                <w:szCs w:val="18"/>
              </w:rPr>
              <w:t>8.2</w:t>
            </w:r>
          </w:p>
        </w:tc>
      </w:tr>
      <w:tr w:rsidR="004F07AE" w:rsidRPr="00895810" w14:paraId="59675C06" w14:textId="77777777" w:rsidTr="00024B10">
        <w:tc>
          <w:tcPr>
            <w:tcW w:w="6663" w:type="dxa"/>
            <w:tcMar>
              <w:left w:w="0" w:type="dxa"/>
              <w:right w:w="0" w:type="dxa"/>
            </w:tcMar>
            <w:vAlign w:val="bottom"/>
          </w:tcPr>
          <w:p w14:paraId="1E53D36A" w14:textId="77777777" w:rsidR="004F07AE" w:rsidRPr="00895810" w:rsidRDefault="004F07AE" w:rsidP="004F07AE">
            <w:pPr>
              <w:spacing w:after="0" w:line="240" w:lineRule="auto"/>
              <w:rPr>
                <w:rFonts w:ascii="IBM Plex Sans Light" w:hAnsi="IBM Plex Sans Light" w:cs="Arial"/>
                <w:szCs w:val="18"/>
              </w:rPr>
            </w:pPr>
            <w:r w:rsidRPr="00895810">
              <w:rPr>
                <w:rFonts w:ascii="IBM Plex Sans Light" w:hAnsi="IBM Plex Sans Light" w:cs="Arial"/>
                <w:szCs w:val="18"/>
              </w:rPr>
              <w:t>Turnover rent</w:t>
            </w:r>
          </w:p>
        </w:tc>
        <w:tc>
          <w:tcPr>
            <w:tcW w:w="567" w:type="dxa"/>
            <w:vAlign w:val="bottom"/>
          </w:tcPr>
          <w:p w14:paraId="10E23EEF" w14:textId="77777777" w:rsidR="004F07AE" w:rsidRPr="00895810" w:rsidRDefault="004F07AE" w:rsidP="004F07AE">
            <w:pPr>
              <w:spacing w:after="0" w:line="240" w:lineRule="auto"/>
              <w:rPr>
                <w:rFonts w:ascii="IBM Plex Sans Light" w:hAnsi="IBM Plex Sans Light" w:cs="Arial"/>
                <w:szCs w:val="18"/>
              </w:rPr>
            </w:pPr>
          </w:p>
        </w:tc>
        <w:tc>
          <w:tcPr>
            <w:tcW w:w="708" w:type="dxa"/>
          </w:tcPr>
          <w:p w14:paraId="52951DDB" w14:textId="77777777" w:rsidR="004F07AE" w:rsidRPr="00895810" w:rsidRDefault="004F07AE" w:rsidP="004F07AE">
            <w:pPr>
              <w:pStyle w:val="TableFiguresBold"/>
              <w:rPr>
                <w:rFonts w:ascii="IBM Plex Sans Light" w:hAnsi="IBM Plex Sans Light"/>
                <w:color w:val="3D7FE0" w:themeColor="accent1"/>
                <w:spacing w:val="-4"/>
                <w:sz w:val="18"/>
                <w:szCs w:val="18"/>
              </w:rPr>
            </w:pPr>
          </w:p>
        </w:tc>
        <w:tc>
          <w:tcPr>
            <w:tcW w:w="705" w:type="dxa"/>
            <w:tcMar>
              <w:left w:w="0" w:type="dxa"/>
              <w:right w:w="0" w:type="dxa"/>
            </w:tcMar>
          </w:tcPr>
          <w:p w14:paraId="3DA73BE4" w14:textId="2D1C4D7A"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4.7</w:t>
            </w:r>
          </w:p>
        </w:tc>
        <w:tc>
          <w:tcPr>
            <w:tcW w:w="1298" w:type="dxa"/>
            <w:tcMar>
              <w:left w:w="0" w:type="dxa"/>
              <w:right w:w="0" w:type="dxa"/>
            </w:tcMar>
          </w:tcPr>
          <w:p w14:paraId="53B171CB" w14:textId="582D7D2B" w:rsidR="004F07AE" w:rsidRPr="00895810" w:rsidRDefault="004F07AE" w:rsidP="004F07AE">
            <w:pPr>
              <w:pStyle w:val="TableFiguresBold"/>
              <w:rPr>
                <w:rFonts w:ascii="IBM Plex Sans Light" w:hAnsi="IBM Plex Sans Light"/>
                <w:b w:val="0"/>
                <w:color w:val="auto"/>
                <w:sz w:val="18"/>
                <w:szCs w:val="18"/>
              </w:rPr>
            </w:pPr>
            <w:r w:rsidRPr="00FD3FDD">
              <w:rPr>
                <w:rFonts w:ascii="IBM Plex Sans Light" w:hAnsi="IBM Plex Sans Light"/>
                <w:b w:val="0"/>
                <w:color w:val="auto"/>
                <w:sz w:val="18"/>
                <w:szCs w:val="18"/>
              </w:rPr>
              <w:t>5.5</w:t>
            </w:r>
          </w:p>
        </w:tc>
      </w:tr>
      <w:tr w:rsidR="004F07AE" w:rsidRPr="00895810" w14:paraId="6174DC8F" w14:textId="77777777" w:rsidTr="00024B10">
        <w:tc>
          <w:tcPr>
            <w:tcW w:w="6663" w:type="dxa"/>
            <w:tcMar>
              <w:left w:w="0" w:type="dxa"/>
              <w:right w:w="0" w:type="dxa"/>
            </w:tcMar>
            <w:vAlign w:val="bottom"/>
          </w:tcPr>
          <w:p w14:paraId="6D4245DE" w14:textId="44B471A9" w:rsidR="004F07AE" w:rsidRPr="00024B10" w:rsidRDefault="004F07AE" w:rsidP="004F07AE">
            <w:pPr>
              <w:spacing w:after="0" w:line="240" w:lineRule="auto"/>
              <w:rPr>
                <w:rFonts w:ascii="IBM Plex Sans Light" w:hAnsi="IBM Plex Sans Light" w:cs="Arial"/>
                <w:szCs w:val="18"/>
                <w:vertAlign w:val="superscript"/>
              </w:rPr>
            </w:pPr>
            <w:r w:rsidRPr="00895810">
              <w:rPr>
                <w:rFonts w:ascii="IBM Plex Sans Light" w:hAnsi="IBM Plex Sans Light" w:cs="Arial"/>
                <w:szCs w:val="18"/>
              </w:rPr>
              <w:t>Car park income</w:t>
            </w:r>
            <w:r w:rsidR="00CE2F7F">
              <w:rPr>
                <w:rFonts w:ascii="IBM Plex Sans Light" w:hAnsi="IBM Plex Sans Light" w:cs="Arial"/>
                <w:szCs w:val="18"/>
                <w:vertAlign w:val="superscript"/>
              </w:rPr>
              <w:t>*</w:t>
            </w:r>
          </w:p>
        </w:tc>
        <w:tc>
          <w:tcPr>
            <w:tcW w:w="567" w:type="dxa"/>
            <w:vAlign w:val="bottom"/>
          </w:tcPr>
          <w:p w14:paraId="227F40DF" w14:textId="48C3ABC2" w:rsidR="004F07AE" w:rsidRPr="00895810" w:rsidRDefault="004F07AE" w:rsidP="004F07AE">
            <w:pPr>
              <w:spacing w:after="0" w:line="240" w:lineRule="auto"/>
              <w:jc w:val="right"/>
              <w:rPr>
                <w:rFonts w:ascii="IBM Plex Sans Light" w:hAnsi="IBM Plex Sans Light" w:cs="Arial"/>
                <w:sz w:val="16"/>
                <w:szCs w:val="16"/>
              </w:rPr>
            </w:pPr>
          </w:p>
        </w:tc>
        <w:tc>
          <w:tcPr>
            <w:tcW w:w="708" w:type="dxa"/>
          </w:tcPr>
          <w:p w14:paraId="06E88228" w14:textId="77777777" w:rsidR="004F07AE" w:rsidRPr="00895810" w:rsidRDefault="004F07AE" w:rsidP="004F07AE">
            <w:pPr>
              <w:pStyle w:val="TableFiguresBold"/>
              <w:rPr>
                <w:rFonts w:ascii="IBM Plex Sans Light" w:hAnsi="IBM Plex Sans Light"/>
                <w:color w:val="3D7FE0" w:themeColor="accent1"/>
                <w:spacing w:val="-4"/>
                <w:sz w:val="18"/>
                <w:szCs w:val="18"/>
              </w:rPr>
            </w:pPr>
          </w:p>
        </w:tc>
        <w:tc>
          <w:tcPr>
            <w:tcW w:w="705" w:type="dxa"/>
            <w:tcMar>
              <w:left w:w="0" w:type="dxa"/>
              <w:right w:w="0" w:type="dxa"/>
            </w:tcMar>
          </w:tcPr>
          <w:p w14:paraId="20D5F586" w14:textId="31D4FF5D"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10.9</w:t>
            </w:r>
          </w:p>
        </w:tc>
        <w:tc>
          <w:tcPr>
            <w:tcW w:w="1298" w:type="dxa"/>
            <w:tcMar>
              <w:left w:w="0" w:type="dxa"/>
              <w:right w:w="0" w:type="dxa"/>
            </w:tcMar>
          </w:tcPr>
          <w:p w14:paraId="4B38E9F9" w14:textId="662E1767" w:rsidR="004F07AE" w:rsidRPr="00895810" w:rsidRDefault="004F07AE" w:rsidP="004F07AE">
            <w:pPr>
              <w:pStyle w:val="TableFiguresBold"/>
              <w:rPr>
                <w:rFonts w:ascii="IBM Plex Sans Light" w:hAnsi="IBM Plex Sans Light"/>
                <w:b w:val="0"/>
                <w:color w:val="auto"/>
                <w:sz w:val="18"/>
                <w:szCs w:val="18"/>
              </w:rPr>
            </w:pPr>
            <w:r w:rsidRPr="00FD3FDD">
              <w:rPr>
                <w:rFonts w:ascii="IBM Plex Sans Light" w:hAnsi="IBM Plex Sans Light"/>
                <w:b w:val="0"/>
                <w:color w:val="auto"/>
                <w:sz w:val="18"/>
                <w:szCs w:val="18"/>
              </w:rPr>
              <w:t>10.8</w:t>
            </w:r>
          </w:p>
        </w:tc>
      </w:tr>
      <w:tr w:rsidR="004F07AE" w:rsidRPr="00895810" w14:paraId="62C44BE5" w14:textId="77777777" w:rsidTr="00024B10">
        <w:tc>
          <w:tcPr>
            <w:tcW w:w="6663" w:type="dxa"/>
            <w:tcMar>
              <w:left w:w="0" w:type="dxa"/>
              <w:right w:w="0" w:type="dxa"/>
            </w:tcMar>
            <w:vAlign w:val="bottom"/>
          </w:tcPr>
          <w:p w14:paraId="5B3E3164" w14:textId="77777777" w:rsidR="004F07AE" w:rsidRPr="00895810" w:rsidRDefault="004F07AE" w:rsidP="004F07AE">
            <w:pPr>
              <w:spacing w:after="0" w:line="240" w:lineRule="auto"/>
              <w:rPr>
                <w:rFonts w:ascii="IBM Plex Sans Light" w:hAnsi="IBM Plex Sans Light" w:cs="Arial"/>
                <w:szCs w:val="18"/>
              </w:rPr>
            </w:pPr>
            <w:r w:rsidRPr="00895810">
              <w:rPr>
                <w:rFonts w:ascii="IBM Plex Sans Light" w:hAnsi="IBM Plex Sans Light" w:cs="Arial"/>
                <w:szCs w:val="18"/>
              </w:rPr>
              <w:t>Lease incentive recognition</w:t>
            </w:r>
          </w:p>
        </w:tc>
        <w:tc>
          <w:tcPr>
            <w:tcW w:w="567" w:type="dxa"/>
            <w:vAlign w:val="bottom"/>
          </w:tcPr>
          <w:p w14:paraId="7BF9A231" w14:textId="23AE3D4D" w:rsidR="004F07AE" w:rsidRPr="00895810" w:rsidRDefault="004F07AE" w:rsidP="004F07AE">
            <w:pPr>
              <w:spacing w:after="0" w:line="240" w:lineRule="auto"/>
              <w:rPr>
                <w:rFonts w:ascii="IBM Plex Sans Light" w:hAnsi="IBM Plex Sans Light" w:cs="Arial"/>
                <w:sz w:val="16"/>
                <w:szCs w:val="16"/>
              </w:rPr>
            </w:pPr>
          </w:p>
        </w:tc>
        <w:tc>
          <w:tcPr>
            <w:tcW w:w="708" w:type="dxa"/>
          </w:tcPr>
          <w:p w14:paraId="32D01BFA" w14:textId="77777777" w:rsidR="004F07AE" w:rsidRPr="00895810" w:rsidRDefault="004F07AE" w:rsidP="004F07AE">
            <w:pPr>
              <w:pStyle w:val="TableFiguresBold"/>
              <w:rPr>
                <w:rFonts w:ascii="IBM Plex Sans Light" w:hAnsi="IBM Plex Sans Light"/>
                <w:color w:val="3D7FE0" w:themeColor="accent1"/>
                <w:spacing w:val="-4"/>
                <w:sz w:val="18"/>
                <w:szCs w:val="18"/>
              </w:rPr>
            </w:pPr>
          </w:p>
        </w:tc>
        <w:tc>
          <w:tcPr>
            <w:tcW w:w="705" w:type="dxa"/>
            <w:tcMar>
              <w:left w:w="0" w:type="dxa"/>
              <w:right w:w="0" w:type="dxa"/>
            </w:tcMar>
          </w:tcPr>
          <w:p w14:paraId="74CE0821" w14:textId="5355558C"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3.2</w:t>
            </w:r>
          </w:p>
        </w:tc>
        <w:tc>
          <w:tcPr>
            <w:tcW w:w="1298" w:type="dxa"/>
            <w:tcMar>
              <w:left w:w="0" w:type="dxa"/>
              <w:right w:w="0" w:type="dxa"/>
            </w:tcMar>
          </w:tcPr>
          <w:p w14:paraId="1F1AD0AD" w14:textId="143B48AC" w:rsidR="004F07AE" w:rsidRPr="00895810" w:rsidRDefault="004F07AE" w:rsidP="004F07AE">
            <w:pPr>
              <w:pStyle w:val="TableFiguresBold"/>
              <w:rPr>
                <w:rFonts w:ascii="IBM Plex Sans Light" w:hAnsi="IBM Plex Sans Light"/>
                <w:b w:val="0"/>
                <w:color w:val="auto"/>
                <w:sz w:val="18"/>
                <w:szCs w:val="18"/>
              </w:rPr>
            </w:pPr>
            <w:r w:rsidRPr="00FD3FDD">
              <w:rPr>
                <w:rFonts w:ascii="IBM Plex Sans Light" w:hAnsi="IBM Plex Sans Light"/>
                <w:b w:val="0"/>
                <w:color w:val="auto"/>
                <w:sz w:val="18"/>
                <w:szCs w:val="18"/>
              </w:rPr>
              <w:t>2.7</w:t>
            </w:r>
          </w:p>
        </w:tc>
      </w:tr>
      <w:tr w:rsidR="004F07AE" w:rsidRPr="00895810" w14:paraId="6535490F" w14:textId="77777777" w:rsidTr="00024B10">
        <w:tc>
          <w:tcPr>
            <w:tcW w:w="6663" w:type="dxa"/>
            <w:tcBorders>
              <w:bottom w:val="single" w:sz="2" w:space="0" w:color="3D7FE0" w:themeColor="accent1"/>
            </w:tcBorders>
            <w:tcMar>
              <w:left w:w="0" w:type="dxa"/>
              <w:right w:w="0" w:type="dxa"/>
            </w:tcMar>
            <w:vAlign w:val="bottom"/>
          </w:tcPr>
          <w:p w14:paraId="1FA0823C" w14:textId="77777777" w:rsidR="004F07AE" w:rsidRPr="00895810" w:rsidRDefault="004F07AE" w:rsidP="004F07AE">
            <w:pPr>
              <w:spacing w:after="0" w:line="240" w:lineRule="auto"/>
              <w:rPr>
                <w:rFonts w:ascii="IBM Plex Sans Light" w:hAnsi="IBM Plex Sans Light" w:cs="Arial"/>
                <w:szCs w:val="18"/>
              </w:rPr>
            </w:pPr>
            <w:r w:rsidRPr="00895810">
              <w:rPr>
                <w:rFonts w:ascii="IBM Plex Sans Light" w:hAnsi="IBM Plex Sans Light" w:cs="Arial"/>
                <w:szCs w:val="18"/>
              </w:rPr>
              <w:t>Other rental income</w:t>
            </w:r>
          </w:p>
        </w:tc>
        <w:tc>
          <w:tcPr>
            <w:tcW w:w="567" w:type="dxa"/>
            <w:tcBorders>
              <w:bottom w:val="single" w:sz="2" w:space="0" w:color="3D7FE0" w:themeColor="accent1"/>
            </w:tcBorders>
            <w:vAlign w:val="bottom"/>
          </w:tcPr>
          <w:p w14:paraId="6BB0FCCE" w14:textId="77777777" w:rsidR="004F07AE" w:rsidRPr="00895810" w:rsidRDefault="004F07AE" w:rsidP="004F07AE">
            <w:pPr>
              <w:spacing w:after="0" w:line="240" w:lineRule="auto"/>
              <w:jc w:val="right"/>
              <w:rPr>
                <w:rFonts w:ascii="IBM Plex Sans Light" w:hAnsi="IBM Plex Sans Light" w:cs="Arial"/>
                <w:sz w:val="16"/>
                <w:szCs w:val="16"/>
              </w:rPr>
            </w:pPr>
          </w:p>
        </w:tc>
        <w:tc>
          <w:tcPr>
            <w:tcW w:w="708" w:type="dxa"/>
            <w:tcBorders>
              <w:bottom w:val="single" w:sz="2" w:space="0" w:color="3D7FE0" w:themeColor="accent1"/>
            </w:tcBorders>
          </w:tcPr>
          <w:p w14:paraId="7FDF4FD6" w14:textId="77777777" w:rsidR="004F07AE" w:rsidRPr="00895810" w:rsidRDefault="004F07AE" w:rsidP="004F07AE">
            <w:pPr>
              <w:pStyle w:val="TableFiguresBold"/>
              <w:rPr>
                <w:rFonts w:ascii="IBM Plex Sans Light" w:hAnsi="IBM Plex Sans Light"/>
                <w:color w:val="3D7FE0" w:themeColor="accent1"/>
                <w:spacing w:val="-4"/>
                <w:sz w:val="18"/>
                <w:szCs w:val="18"/>
              </w:rPr>
            </w:pPr>
          </w:p>
        </w:tc>
        <w:tc>
          <w:tcPr>
            <w:tcW w:w="705" w:type="dxa"/>
            <w:tcBorders>
              <w:bottom w:val="single" w:sz="2" w:space="0" w:color="3D7FE0" w:themeColor="accent1"/>
            </w:tcBorders>
            <w:tcMar>
              <w:left w:w="0" w:type="dxa"/>
              <w:right w:w="0" w:type="dxa"/>
            </w:tcMar>
          </w:tcPr>
          <w:p w14:paraId="3506BF40" w14:textId="0BBFAFA2"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4.4</w:t>
            </w:r>
          </w:p>
        </w:tc>
        <w:tc>
          <w:tcPr>
            <w:tcW w:w="1298" w:type="dxa"/>
            <w:tcBorders>
              <w:bottom w:val="single" w:sz="2" w:space="0" w:color="3D7FE0" w:themeColor="accent1"/>
            </w:tcBorders>
            <w:tcMar>
              <w:left w:w="0" w:type="dxa"/>
              <w:right w:w="0" w:type="dxa"/>
            </w:tcMar>
          </w:tcPr>
          <w:p w14:paraId="5EE3D37D" w14:textId="1041E499" w:rsidR="004F07AE" w:rsidRPr="00895810" w:rsidRDefault="004F07AE" w:rsidP="004F07AE">
            <w:pPr>
              <w:pStyle w:val="TableFiguresBold"/>
              <w:rPr>
                <w:rFonts w:ascii="IBM Plex Sans Light" w:hAnsi="IBM Plex Sans Light"/>
                <w:b w:val="0"/>
                <w:color w:val="auto"/>
                <w:sz w:val="18"/>
                <w:szCs w:val="18"/>
              </w:rPr>
            </w:pPr>
            <w:r w:rsidRPr="00FD3FDD">
              <w:rPr>
                <w:rFonts w:ascii="IBM Plex Sans Light" w:hAnsi="IBM Plex Sans Light"/>
                <w:b w:val="0"/>
                <w:color w:val="auto"/>
                <w:sz w:val="18"/>
                <w:szCs w:val="18"/>
              </w:rPr>
              <w:t>3.0</w:t>
            </w:r>
          </w:p>
        </w:tc>
      </w:tr>
      <w:tr w:rsidR="004F07AE" w:rsidRPr="00895810" w14:paraId="415CAECC" w14:textId="77777777" w:rsidTr="00024B10">
        <w:tc>
          <w:tcPr>
            <w:tcW w:w="6663" w:type="dxa"/>
            <w:tcBorders>
              <w:top w:val="single" w:sz="2" w:space="0" w:color="3D7FE0" w:themeColor="accent1"/>
            </w:tcBorders>
            <w:tcMar>
              <w:left w:w="0" w:type="dxa"/>
              <w:right w:w="0" w:type="dxa"/>
            </w:tcMar>
            <w:vAlign w:val="bottom"/>
          </w:tcPr>
          <w:p w14:paraId="4840BECF" w14:textId="77777777" w:rsidR="004F07AE" w:rsidRPr="00895810" w:rsidRDefault="004F07AE" w:rsidP="004F07AE">
            <w:pPr>
              <w:pStyle w:val="Tabletext"/>
              <w:rPr>
                <w:rFonts w:ascii="IBM Plex Sans Light" w:hAnsi="IBM Plex Sans Light" w:cs="Arial"/>
                <w:b/>
                <w:bCs/>
                <w:szCs w:val="18"/>
              </w:rPr>
            </w:pPr>
            <w:r w:rsidRPr="00895810">
              <w:rPr>
                <w:rFonts w:ascii="IBM Plex Sans Light" w:hAnsi="IBM Plex Sans Light"/>
                <w:b/>
                <w:color w:val="3D7FE0" w:themeColor="accent1"/>
                <w:spacing w:val="-4"/>
                <w:sz w:val="18"/>
                <w:szCs w:val="18"/>
              </w:rPr>
              <w:t>Gross rental income</w:t>
            </w:r>
            <w:r w:rsidRPr="00895810">
              <w:rPr>
                <w:rFonts w:ascii="IBM Plex Sans Light" w:hAnsi="IBM Plex Sans Light" w:cs="Arial"/>
                <w:b/>
                <w:bCs/>
                <w:color w:val="3D7FE0" w:themeColor="accent1"/>
                <w:sz w:val="18"/>
                <w:szCs w:val="18"/>
              </w:rPr>
              <w:t xml:space="preserve"> </w:t>
            </w:r>
          </w:p>
        </w:tc>
        <w:tc>
          <w:tcPr>
            <w:tcW w:w="567" w:type="dxa"/>
            <w:tcBorders>
              <w:top w:val="single" w:sz="2" w:space="0" w:color="3D7FE0" w:themeColor="accent1"/>
            </w:tcBorders>
            <w:vAlign w:val="bottom"/>
          </w:tcPr>
          <w:p w14:paraId="76E4D66D" w14:textId="6E726E17" w:rsidR="004F07AE" w:rsidRPr="00895810" w:rsidRDefault="004F07AE" w:rsidP="004F07AE">
            <w:pPr>
              <w:spacing w:after="0" w:line="240" w:lineRule="auto"/>
              <w:rPr>
                <w:rFonts w:ascii="IBM Plex Sans Light" w:hAnsi="IBM Plex Sans Light" w:cs="Arial"/>
                <w:sz w:val="16"/>
                <w:szCs w:val="22"/>
              </w:rPr>
            </w:pPr>
          </w:p>
        </w:tc>
        <w:tc>
          <w:tcPr>
            <w:tcW w:w="708" w:type="dxa"/>
            <w:tcBorders>
              <w:top w:val="single" w:sz="2" w:space="0" w:color="3D7FE0" w:themeColor="accent1"/>
            </w:tcBorders>
          </w:tcPr>
          <w:p w14:paraId="4402FB86" w14:textId="77777777" w:rsidR="004F07AE" w:rsidRPr="00895810" w:rsidRDefault="004F07AE" w:rsidP="004F07AE">
            <w:pPr>
              <w:pStyle w:val="TableFigures"/>
              <w:rPr>
                <w:rStyle w:val="NotesStyle"/>
                <w:rFonts w:ascii="IBM Plex Sans Light" w:hAnsi="IBM Plex Sans Light"/>
                <w:color w:val="auto"/>
                <w:spacing w:val="-4"/>
                <w:sz w:val="16"/>
                <w:szCs w:val="16"/>
              </w:rPr>
            </w:pPr>
            <w:r w:rsidRPr="00895810">
              <w:rPr>
                <w:rStyle w:val="NotesStyle"/>
                <w:rFonts w:ascii="IBM Plex Sans Light" w:hAnsi="IBM Plex Sans Light"/>
                <w:sz w:val="16"/>
                <w:szCs w:val="16"/>
              </w:rPr>
              <w:t>2</w:t>
            </w:r>
          </w:p>
        </w:tc>
        <w:tc>
          <w:tcPr>
            <w:tcW w:w="705" w:type="dxa"/>
            <w:tcBorders>
              <w:top w:val="single" w:sz="2" w:space="0" w:color="3D7FE0" w:themeColor="accent1"/>
            </w:tcBorders>
            <w:tcMar>
              <w:left w:w="0" w:type="dxa"/>
              <w:right w:w="0" w:type="dxa"/>
            </w:tcMar>
          </w:tcPr>
          <w:p w14:paraId="41781B1F" w14:textId="53C1902C"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92.8</w:t>
            </w:r>
          </w:p>
        </w:tc>
        <w:tc>
          <w:tcPr>
            <w:tcW w:w="1298" w:type="dxa"/>
            <w:tcBorders>
              <w:top w:val="single" w:sz="2" w:space="0" w:color="3D7FE0" w:themeColor="accent1"/>
            </w:tcBorders>
            <w:tcMar>
              <w:left w:w="0" w:type="dxa"/>
              <w:right w:w="0" w:type="dxa"/>
            </w:tcMar>
          </w:tcPr>
          <w:p w14:paraId="37B54D21" w14:textId="47412340" w:rsidR="004F07AE" w:rsidRPr="00895810" w:rsidRDefault="004F07AE" w:rsidP="004F07AE">
            <w:pPr>
              <w:pStyle w:val="TableFiguresBold"/>
              <w:rPr>
                <w:rFonts w:ascii="IBM Plex Sans Light" w:hAnsi="IBM Plex Sans Light"/>
                <w:b w:val="0"/>
                <w:color w:val="auto"/>
                <w:sz w:val="18"/>
                <w:szCs w:val="18"/>
              </w:rPr>
            </w:pPr>
            <w:r w:rsidRPr="00FD3FDD">
              <w:rPr>
                <w:rFonts w:ascii="IBM Plex Sans Light" w:hAnsi="IBM Plex Sans Light"/>
                <w:b w:val="0"/>
                <w:color w:val="auto"/>
                <w:sz w:val="18"/>
                <w:szCs w:val="18"/>
              </w:rPr>
              <w:t>90.2</w:t>
            </w:r>
          </w:p>
        </w:tc>
      </w:tr>
      <w:tr w:rsidR="004F07AE" w:rsidRPr="00895810" w14:paraId="22AD8731" w14:textId="77777777" w:rsidTr="00024B10">
        <w:tc>
          <w:tcPr>
            <w:tcW w:w="6663" w:type="dxa"/>
            <w:tcMar>
              <w:left w:w="0" w:type="dxa"/>
              <w:right w:w="0" w:type="dxa"/>
            </w:tcMar>
            <w:vAlign w:val="bottom"/>
          </w:tcPr>
          <w:p w14:paraId="1BAAB0B6" w14:textId="5F6877C5" w:rsidR="004F07AE" w:rsidRPr="00024B10" w:rsidRDefault="004F07AE" w:rsidP="004F07AE">
            <w:pPr>
              <w:spacing w:after="0" w:line="240" w:lineRule="auto"/>
              <w:rPr>
                <w:rFonts w:ascii="IBM Plex Sans Light" w:hAnsi="IBM Plex Sans Light" w:cs="Arial"/>
                <w:szCs w:val="18"/>
                <w:vertAlign w:val="superscript"/>
              </w:rPr>
            </w:pPr>
            <w:r w:rsidRPr="00895810">
              <w:rPr>
                <w:rFonts w:ascii="IBM Plex Sans Light" w:hAnsi="IBM Plex Sans Light" w:cs="Arial"/>
                <w:szCs w:val="18"/>
              </w:rPr>
              <w:t>Service charge income</w:t>
            </w:r>
            <w:r w:rsidR="00CE2F7F">
              <w:rPr>
                <w:rFonts w:ascii="IBM Plex Sans Light" w:hAnsi="IBM Plex Sans Light" w:cs="Arial"/>
                <w:szCs w:val="18"/>
                <w:vertAlign w:val="superscript"/>
              </w:rPr>
              <w:t>*</w:t>
            </w:r>
          </w:p>
        </w:tc>
        <w:tc>
          <w:tcPr>
            <w:tcW w:w="567" w:type="dxa"/>
            <w:vAlign w:val="bottom"/>
          </w:tcPr>
          <w:p w14:paraId="7E49FF78" w14:textId="15A1089F" w:rsidR="004F07AE" w:rsidRPr="00895810" w:rsidRDefault="004F07AE" w:rsidP="004F07AE">
            <w:pPr>
              <w:spacing w:after="0" w:line="240" w:lineRule="auto"/>
              <w:jc w:val="right"/>
              <w:rPr>
                <w:rFonts w:ascii="IBM Plex Sans Light" w:hAnsi="IBM Plex Sans Light" w:cs="Arial"/>
                <w:sz w:val="16"/>
                <w:szCs w:val="16"/>
              </w:rPr>
            </w:pPr>
          </w:p>
        </w:tc>
        <w:tc>
          <w:tcPr>
            <w:tcW w:w="708" w:type="dxa"/>
          </w:tcPr>
          <w:p w14:paraId="77DA9820" w14:textId="34BF6FD8" w:rsidR="004F07AE" w:rsidRPr="00895810" w:rsidRDefault="00CE2F7F" w:rsidP="004F07AE">
            <w:pPr>
              <w:pStyle w:val="TableFigures"/>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2</w:t>
            </w:r>
          </w:p>
        </w:tc>
        <w:tc>
          <w:tcPr>
            <w:tcW w:w="705" w:type="dxa"/>
            <w:tcMar>
              <w:left w:w="0" w:type="dxa"/>
              <w:right w:w="0" w:type="dxa"/>
            </w:tcMar>
          </w:tcPr>
          <w:p w14:paraId="180AF572" w14:textId="43C4DC46"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26.6</w:t>
            </w:r>
          </w:p>
        </w:tc>
        <w:tc>
          <w:tcPr>
            <w:tcW w:w="1298" w:type="dxa"/>
            <w:tcMar>
              <w:left w:w="0" w:type="dxa"/>
              <w:right w:w="0" w:type="dxa"/>
            </w:tcMar>
          </w:tcPr>
          <w:p w14:paraId="7776C697" w14:textId="7D8A4D15" w:rsidR="004F07AE" w:rsidRPr="00895810" w:rsidRDefault="004F07AE" w:rsidP="004F07AE">
            <w:pPr>
              <w:pStyle w:val="TableFiguresBold"/>
              <w:rPr>
                <w:rFonts w:ascii="IBM Plex Sans Light" w:hAnsi="IBM Plex Sans Light"/>
                <w:b w:val="0"/>
                <w:color w:val="auto"/>
                <w:sz w:val="18"/>
                <w:szCs w:val="18"/>
              </w:rPr>
            </w:pPr>
            <w:r w:rsidRPr="00895810">
              <w:rPr>
                <w:rFonts w:ascii="IBM Plex Sans Light" w:hAnsi="IBM Plex Sans Light"/>
                <w:b w:val="0"/>
                <w:color w:val="auto"/>
                <w:sz w:val="18"/>
                <w:szCs w:val="18"/>
              </w:rPr>
              <w:t>2</w:t>
            </w:r>
            <w:r>
              <w:rPr>
                <w:rFonts w:ascii="IBM Plex Sans Light" w:hAnsi="IBM Plex Sans Light"/>
                <w:b w:val="0"/>
                <w:color w:val="auto"/>
                <w:sz w:val="18"/>
                <w:szCs w:val="18"/>
              </w:rPr>
              <w:t>4.2</w:t>
            </w:r>
          </w:p>
        </w:tc>
      </w:tr>
      <w:tr w:rsidR="004F07AE" w:rsidRPr="00895810" w14:paraId="63047CEE" w14:textId="77777777" w:rsidTr="00024B10">
        <w:tc>
          <w:tcPr>
            <w:tcW w:w="6663" w:type="dxa"/>
            <w:tcMar>
              <w:left w:w="0" w:type="dxa"/>
              <w:right w:w="0" w:type="dxa"/>
            </w:tcMar>
            <w:vAlign w:val="bottom"/>
          </w:tcPr>
          <w:p w14:paraId="4B21F7AF" w14:textId="55B71140" w:rsidR="004F07AE" w:rsidRPr="00895810" w:rsidRDefault="004F07AE" w:rsidP="004F07AE">
            <w:pPr>
              <w:spacing w:after="0" w:line="240" w:lineRule="auto"/>
              <w:rPr>
                <w:rFonts w:ascii="IBM Plex Sans Light" w:hAnsi="IBM Plex Sans Light" w:cs="Arial"/>
                <w:szCs w:val="18"/>
              </w:rPr>
            </w:pPr>
            <w:r w:rsidRPr="00895810">
              <w:rPr>
                <w:rFonts w:ascii="IBM Plex Sans Light" w:hAnsi="IBM Plex Sans Light" w:cs="Arial"/>
                <w:szCs w:val="18"/>
              </w:rPr>
              <w:t>Other income</w:t>
            </w:r>
          </w:p>
        </w:tc>
        <w:tc>
          <w:tcPr>
            <w:tcW w:w="567" w:type="dxa"/>
            <w:vAlign w:val="bottom"/>
          </w:tcPr>
          <w:p w14:paraId="7127C2CC" w14:textId="77777777" w:rsidR="004F07AE" w:rsidRPr="00895810" w:rsidRDefault="004F07AE" w:rsidP="004F07AE">
            <w:pPr>
              <w:spacing w:after="0" w:line="240" w:lineRule="auto"/>
              <w:jc w:val="right"/>
              <w:rPr>
                <w:rFonts w:ascii="IBM Plex Sans Light" w:hAnsi="IBM Plex Sans Light" w:cs="Arial"/>
                <w:sz w:val="16"/>
                <w:szCs w:val="16"/>
              </w:rPr>
            </w:pPr>
          </w:p>
        </w:tc>
        <w:tc>
          <w:tcPr>
            <w:tcW w:w="708" w:type="dxa"/>
          </w:tcPr>
          <w:p w14:paraId="1D68FE3A" w14:textId="77777777" w:rsidR="004F07AE" w:rsidRPr="00895810" w:rsidRDefault="004F07AE" w:rsidP="004F07AE">
            <w:pPr>
              <w:pStyle w:val="TableFigures"/>
              <w:rPr>
                <w:rStyle w:val="NotesStyle"/>
                <w:rFonts w:ascii="IBM Plex Sans Light" w:hAnsi="IBM Plex Sans Light"/>
                <w:color w:val="auto"/>
                <w:spacing w:val="-4"/>
                <w:sz w:val="16"/>
                <w:szCs w:val="16"/>
              </w:rPr>
            </w:pPr>
          </w:p>
        </w:tc>
        <w:tc>
          <w:tcPr>
            <w:tcW w:w="705" w:type="dxa"/>
            <w:tcMar>
              <w:left w:w="0" w:type="dxa"/>
              <w:right w:w="0" w:type="dxa"/>
            </w:tcMar>
          </w:tcPr>
          <w:p w14:paraId="5FEDC31F" w14:textId="77777777" w:rsidR="004F07AE" w:rsidRPr="004F07AE" w:rsidRDefault="004F07AE" w:rsidP="004F07AE">
            <w:pPr>
              <w:pStyle w:val="TableFigures"/>
              <w:rPr>
                <w:rFonts w:ascii="IBM Plex Sans Medium" w:hAnsi="IBM Plex Sans Medium"/>
                <w:b/>
                <w:bCs/>
                <w:color w:val="3D7FE0" w:themeColor="accent1"/>
                <w:spacing w:val="-4"/>
                <w:sz w:val="18"/>
                <w:szCs w:val="18"/>
              </w:rPr>
            </w:pPr>
          </w:p>
        </w:tc>
        <w:tc>
          <w:tcPr>
            <w:tcW w:w="1298" w:type="dxa"/>
            <w:tcMar>
              <w:left w:w="0" w:type="dxa"/>
              <w:right w:w="0" w:type="dxa"/>
            </w:tcMar>
          </w:tcPr>
          <w:p w14:paraId="3F63641D" w14:textId="77777777" w:rsidR="004F07AE" w:rsidRPr="00895810" w:rsidRDefault="004F07AE" w:rsidP="004F07AE">
            <w:pPr>
              <w:pStyle w:val="TableFiguresBold"/>
              <w:rPr>
                <w:rFonts w:ascii="IBM Plex Sans Light" w:hAnsi="IBM Plex Sans Light"/>
                <w:b w:val="0"/>
                <w:color w:val="auto"/>
                <w:sz w:val="18"/>
                <w:szCs w:val="18"/>
              </w:rPr>
            </w:pPr>
          </w:p>
        </w:tc>
      </w:tr>
      <w:tr w:rsidR="004F07AE" w:rsidRPr="00895810" w14:paraId="63F5F09A" w14:textId="77777777" w:rsidTr="00024B10">
        <w:tc>
          <w:tcPr>
            <w:tcW w:w="6663" w:type="dxa"/>
            <w:tcMar>
              <w:left w:w="0" w:type="dxa"/>
              <w:right w:w="0" w:type="dxa"/>
            </w:tcMar>
            <w:vAlign w:val="bottom"/>
          </w:tcPr>
          <w:p w14:paraId="762831D9" w14:textId="497DD15B" w:rsidR="004F07AE" w:rsidRPr="00024B10" w:rsidRDefault="004F07AE" w:rsidP="004F07AE">
            <w:pPr>
              <w:spacing w:after="0" w:line="240" w:lineRule="auto"/>
              <w:rPr>
                <w:rFonts w:ascii="IBM Plex Sans Light" w:hAnsi="IBM Plex Sans Light" w:cs="Arial"/>
                <w:szCs w:val="18"/>
                <w:vertAlign w:val="superscript"/>
              </w:rPr>
            </w:pPr>
            <w:r w:rsidRPr="00895810">
              <w:rPr>
                <w:rFonts w:ascii="IBM Plex Sans Light" w:hAnsi="IBM Plex Sans Light" w:cs="Arial"/>
                <w:szCs w:val="18"/>
              </w:rPr>
              <w:t>– Property fee income</w:t>
            </w:r>
            <w:r w:rsidR="00CE2F7F">
              <w:rPr>
                <w:rFonts w:ascii="IBM Plex Sans Light" w:hAnsi="IBM Plex Sans Light" w:cs="Arial"/>
                <w:szCs w:val="18"/>
                <w:vertAlign w:val="superscript"/>
              </w:rPr>
              <w:t>*</w:t>
            </w:r>
          </w:p>
        </w:tc>
        <w:tc>
          <w:tcPr>
            <w:tcW w:w="567" w:type="dxa"/>
            <w:vAlign w:val="bottom"/>
          </w:tcPr>
          <w:p w14:paraId="7F0D43DF" w14:textId="5DD478C0" w:rsidR="004F07AE" w:rsidRPr="00895810" w:rsidRDefault="004F07AE" w:rsidP="004F07AE">
            <w:pPr>
              <w:spacing w:after="0" w:line="240" w:lineRule="auto"/>
              <w:jc w:val="right"/>
              <w:rPr>
                <w:rFonts w:ascii="IBM Plex Sans Light" w:hAnsi="IBM Plex Sans Light" w:cs="Arial"/>
                <w:sz w:val="16"/>
                <w:szCs w:val="16"/>
              </w:rPr>
            </w:pPr>
          </w:p>
        </w:tc>
        <w:tc>
          <w:tcPr>
            <w:tcW w:w="708" w:type="dxa"/>
          </w:tcPr>
          <w:p w14:paraId="3AF1AD89" w14:textId="7C9D82C6" w:rsidR="004F07AE" w:rsidRPr="00895810" w:rsidRDefault="00CE2F7F" w:rsidP="004F07AE">
            <w:pPr>
              <w:pStyle w:val="TableFigures"/>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2</w:t>
            </w:r>
          </w:p>
        </w:tc>
        <w:tc>
          <w:tcPr>
            <w:tcW w:w="705" w:type="dxa"/>
            <w:tcMar>
              <w:left w:w="0" w:type="dxa"/>
              <w:right w:w="0" w:type="dxa"/>
            </w:tcMar>
          </w:tcPr>
          <w:p w14:paraId="649B2D6B" w14:textId="72433FAB"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8.4</w:t>
            </w:r>
          </w:p>
        </w:tc>
        <w:tc>
          <w:tcPr>
            <w:tcW w:w="1298" w:type="dxa"/>
            <w:tcMar>
              <w:left w:w="0" w:type="dxa"/>
              <w:right w:w="0" w:type="dxa"/>
            </w:tcMar>
          </w:tcPr>
          <w:p w14:paraId="302A5B1B" w14:textId="37DA0877" w:rsidR="004F07AE" w:rsidRPr="00895810" w:rsidRDefault="004F07AE" w:rsidP="004F07AE">
            <w:pPr>
              <w:pStyle w:val="TableFiguresBold"/>
              <w:rPr>
                <w:rFonts w:ascii="IBM Plex Sans Light" w:hAnsi="IBM Plex Sans Light"/>
                <w:b w:val="0"/>
                <w:color w:val="auto"/>
                <w:sz w:val="18"/>
                <w:szCs w:val="18"/>
              </w:rPr>
            </w:pPr>
            <w:r w:rsidRPr="00895810">
              <w:rPr>
                <w:rFonts w:ascii="IBM Plex Sans Light" w:hAnsi="IBM Plex Sans Light"/>
                <w:b w:val="0"/>
                <w:color w:val="auto"/>
                <w:sz w:val="18"/>
                <w:szCs w:val="18"/>
              </w:rPr>
              <w:t>1</w:t>
            </w:r>
            <w:r>
              <w:rPr>
                <w:rFonts w:ascii="IBM Plex Sans Light" w:hAnsi="IBM Plex Sans Light"/>
                <w:b w:val="0"/>
                <w:color w:val="auto"/>
                <w:sz w:val="18"/>
                <w:szCs w:val="18"/>
              </w:rPr>
              <w:t>1.5</w:t>
            </w:r>
          </w:p>
        </w:tc>
      </w:tr>
      <w:tr w:rsidR="004F07AE" w:rsidRPr="00895810" w14:paraId="34C89452" w14:textId="77777777" w:rsidTr="00024B10">
        <w:tc>
          <w:tcPr>
            <w:tcW w:w="6663" w:type="dxa"/>
            <w:tcBorders>
              <w:bottom w:val="single" w:sz="2" w:space="0" w:color="3D7FE0" w:themeColor="accent1"/>
            </w:tcBorders>
            <w:tcMar>
              <w:left w:w="0" w:type="dxa"/>
              <w:right w:w="0" w:type="dxa"/>
            </w:tcMar>
            <w:vAlign w:val="bottom"/>
          </w:tcPr>
          <w:p w14:paraId="6D1C1CF5" w14:textId="0FE1F1CC" w:rsidR="004F07AE" w:rsidRPr="00024B10" w:rsidRDefault="004F07AE" w:rsidP="004F07AE">
            <w:pPr>
              <w:spacing w:after="0" w:line="240" w:lineRule="auto"/>
              <w:rPr>
                <w:rFonts w:ascii="IBM Plex Sans Light" w:hAnsi="IBM Plex Sans Light" w:cs="Arial"/>
                <w:szCs w:val="18"/>
                <w:vertAlign w:val="superscript"/>
              </w:rPr>
            </w:pPr>
            <w:r w:rsidRPr="00895810">
              <w:rPr>
                <w:rFonts w:ascii="IBM Plex Sans Light" w:hAnsi="IBM Plex Sans Light" w:cs="Arial"/>
                <w:szCs w:val="18"/>
              </w:rPr>
              <w:t>– Joint venture and associate management fees</w:t>
            </w:r>
            <w:r w:rsidR="00CE2F7F">
              <w:rPr>
                <w:rFonts w:ascii="IBM Plex Sans Light" w:hAnsi="IBM Plex Sans Light" w:cs="Arial"/>
                <w:szCs w:val="18"/>
                <w:vertAlign w:val="superscript"/>
              </w:rPr>
              <w:t>*</w:t>
            </w:r>
          </w:p>
        </w:tc>
        <w:tc>
          <w:tcPr>
            <w:tcW w:w="567" w:type="dxa"/>
            <w:tcBorders>
              <w:bottom w:val="single" w:sz="2" w:space="0" w:color="3D7FE0" w:themeColor="accent1"/>
            </w:tcBorders>
            <w:vAlign w:val="bottom"/>
          </w:tcPr>
          <w:p w14:paraId="6A8FDB1D" w14:textId="3B295869" w:rsidR="004F07AE" w:rsidRPr="00895810" w:rsidRDefault="004F07AE" w:rsidP="004F07AE">
            <w:pPr>
              <w:spacing w:after="0" w:line="240" w:lineRule="auto"/>
              <w:jc w:val="right"/>
              <w:rPr>
                <w:rFonts w:ascii="IBM Plex Sans Light" w:hAnsi="IBM Plex Sans Light" w:cs="Arial"/>
                <w:sz w:val="16"/>
                <w:szCs w:val="16"/>
              </w:rPr>
            </w:pPr>
          </w:p>
        </w:tc>
        <w:tc>
          <w:tcPr>
            <w:tcW w:w="708" w:type="dxa"/>
            <w:tcBorders>
              <w:bottom w:val="single" w:sz="2" w:space="0" w:color="3D7FE0" w:themeColor="accent1"/>
            </w:tcBorders>
          </w:tcPr>
          <w:p w14:paraId="2BD5C7F8" w14:textId="59FCEF00" w:rsidR="004F07AE" w:rsidRPr="00895810" w:rsidRDefault="00CE2F7F" w:rsidP="004F07AE">
            <w:pPr>
              <w:pStyle w:val="TableFigures"/>
              <w:rPr>
                <w:rStyle w:val="NotesStyle"/>
                <w:rFonts w:ascii="IBM Plex Sans Light" w:hAnsi="IBM Plex Sans Light"/>
                <w:color w:val="auto"/>
                <w:spacing w:val="-4"/>
                <w:sz w:val="16"/>
                <w:szCs w:val="16"/>
              </w:rPr>
            </w:pPr>
            <w:r>
              <w:rPr>
                <w:rStyle w:val="NotesStyle"/>
                <w:rFonts w:ascii="IBM Plex Sans Light" w:hAnsi="IBM Plex Sans Light"/>
                <w:color w:val="auto"/>
                <w:spacing w:val="-4"/>
                <w:sz w:val="16"/>
                <w:szCs w:val="16"/>
              </w:rPr>
              <w:t>2</w:t>
            </w:r>
          </w:p>
        </w:tc>
        <w:tc>
          <w:tcPr>
            <w:tcW w:w="705" w:type="dxa"/>
            <w:tcBorders>
              <w:bottom w:val="single" w:sz="2" w:space="0" w:color="3D7FE0" w:themeColor="accent1"/>
            </w:tcBorders>
            <w:tcMar>
              <w:left w:w="0" w:type="dxa"/>
              <w:right w:w="0" w:type="dxa"/>
            </w:tcMar>
          </w:tcPr>
          <w:p w14:paraId="4365462B" w14:textId="18EE85F3"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6.5</w:t>
            </w:r>
          </w:p>
        </w:tc>
        <w:tc>
          <w:tcPr>
            <w:tcW w:w="1298" w:type="dxa"/>
            <w:tcBorders>
              <w:bottom w:val="single" w:sz="2" w:space="0" w:color="3D7FE0" w:themeColor="accent1"/>
            </w:tcBorders>
            <w:tcMar>
              <w:left w:w="0" w:type="dxa"/>
              <w:right w:w="0" w:type="dxa"/>
            </w:tcMar>
          </w:tcPr>
          <w:p w14:paraId="1F41A7A1" w14:textId="61055813" w:rsidR="004F07AE" w:rsidRPr="00895810" w:rsidRDefault="004F07AE" w:rsidP="004F07AE">
            <w:pPr>
              <w:pStyle w:val="TableFiguresBold"/>
              <w:rPr>
                <w:rFonts w:ascii="IBM Plex Sans Light" w:hAnsi="IBM Plex Sans Light"/>
                <w:b w:val="0"/>
                <w:color w:val="auto"/>
                <w:sz w:val="18"/>
                <w:szCs w:val="18"/>
              </w:rPr>
            </w:pPr>
            <w:r>
              <w:rPr>
                <w:rFonts w:ascii="IBM Plex Sans Light" w:hAnsi="IBM Plex Sans Light"/>
                <w:b w:val="0"/>
                <w:color w:val="auto"/>
                <w:sz w:val="18"/>
                <w:szCs w:val="18"/>
              </w:rPr>
              <w:t>5.5</w:t>
            </w:r>
          </w:p>
        </w:tc>
      </w:tr>
      <w:tr w:rsidR="004F07AE" w:rsidRPr="00895810" w14:paraId="794C1AF6" w14:textId="77777777" w:rsidTr="00024B10">
        <w:tc>
          <w:tcPr>
            <w:tcW w:w="6663" w:type="dxa"/>
            <w:tcBorders>
              <w:top w:val="single" w:sz="2" w:space="0" w:color="3D7FE0" w:themeColor="accent1"/>
              <w:bottom w:val="single" w:sz="2" w:space="0" w:color="3D7FE0" w:themeColor="accent1"/>
            </w:tcBorders>
            <w:tcMar>
              <w:left w:w="0" w:type="dxa"/>
              <w:right w:w="0" w:type="dxa"/>
            </w:tcMar>
            <w:vAlign w:val="bottom"/>
          </w:tcPr>
          <w:p w14:paraId="2BD02D5B" w14:textId="77777777" w:rsidR="004F07AE" w:rsidRPr="00895810" w:rsidRDefault="004F07AE" w:rsidP="004F07AE">
            <w:pPr>
              <w:pStyle w:val="TableFiguresBracketsBold"/>
              <w:jc w:val="left"/>
              <w:rPr>
                <w:rFonts w:ascii="IBM Plex Sans Light" w:hAnsi="IBM Plex Sans Light"/>
                <w:color w:val="3D7FE0" w:themeColor="accent1"/>
                <w:spacing w:val="-4"/>
                <w:sz w:val="18"/>
                <w:szCs w:val="18"/>
              </w:rPr>
            </w:pPr>
          </w:p>
        </w:tc>
        <w:tc>
          <w:tcPr>
            <w:tcW w:w="567" w:type="dxa"/>
            <w:tcBorders>
              <w:top w:val="single" w:sz="2" w:space="0" w:color="3D7FE0" w:themeColor="accent1"/>
              <w:bottom w:val="single" w:sz="2" w:space="0" w:color="3D7FE0" w:themeColor="accent1"/>
            </w:tcBorders>
            <w:vAlign w:val="bottom"/>
          </w:tcPr>
          <w:p w14:paraId="6C68BD3E" w14:textId="77777777" w:rsidR="004F07AE" w:rsidRPr="00895810" w:rsidRDefault="004F07AE" w:rsidP="004F07AE">
            <w:pPr>
              <w:pStyle w:val="TableFiguresBracketsBold"/>
              <w:jc w:val="left"/>
              <w:rPr>
                <w:rFonts w:ascii="IBM Plex Sans Light" w:hAnsi="IBM Plex Sans Light"/>
                <w:color w:val="3D7FE0" w:themeColor="accent1"/>
                <w:spacing w:val="-4"/>
                <w:sz w:val="18"/>
                <w:szCs w:val="18"/>
              </w:rPr>
            </w:pPr>
          </w:p>
        </w:tc>
        <w:tc>
          <w:tcPr>
            <w:tcW w:w="708" w:type="dxa"/>
            <w:tcBorders>
              <w:top w:val="single" w:sz="2" w:space="0" w:color="3D7FE0" w:themeColor="accent1"/>
              <w:bottom w:val="single" w:sz="2" w:space="0" w:color="3D7FE0" w:themeColor="accent1"/>
            </w:tcBorders>
          </w:tcPr>
          <w:p w14:paraId="0930F4C7" w14:textId="77777777" w:rsidR="004F07AE" w:rsidRPr="00895810" w:rsidRDefault="004F07AE" w:rsidP="004F07AE">
            <w:pPr>
              <w:pStyle w:val="TableFiguresBold"/>
              <w:rPr>
                <w:rFonts w:ascii="IBM Plex Sans Light" w:hAnsi="IBM Plex Sans Light"/>
                <w:color w:val="3D7FE0" w:themeColor="accent1"/>
                <w:spacing w:val="-4"/>
                <w:szCs w:val="16"/>
              </w:rPr>
            </w:pPr>
          </w:p>
        </w:tc>
        <w:tc>
          <w:tcPr>
            <w:tcW w:w="705" w:type="dxa"/>
            <w:tcBorders>
              <w:top w:val="single" w:sz="2" w:space="0" w:color="3D7FE0" w:themeColor="accent1"/>
              <w:bottom w:val="single" w:sz="2" w:space="0" w:color="3D7FE0" w:themeColor="accent1"/>
            </w:tcBorders>
            <w:tcMar>
              <w:left w:w="0" w:type="dxa"/>
              <w:right w:w="0" w:type="dxa"/>
            </w:tcMar>
          </w:tcPr>
          <w:p w14:paraId="362B3682" w14:textId="11957473" w:rsidR="004F07AE"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14.9</w:t>
            </w:r>
          </w:p>
        </w:tc>
        <w:tc>
          <w:tcPr>
            <w:tcW w:w="1298" w:type="dxa"/>
            <w:tcBorders>
              <w:top w:val="single" w:sz="2" w:space="0" w:color="3D7FE0" w:themeColor="accent1"/>
              <w:bottom w:val="single" w:sz="2" w:space="0" w:color="3D7FE0" w:themeColor="accent1"/>
            </w:tcBorders>
            <w:tcMar>
              <w:left w:w="0" w:type="dxa"/>
              <w:right w:w="0" w:type="dxa"/>
            </w:tcMar>
          </w:tcPr>
          <w:p w14:paraId="32D6E641" w14:textId="45DA5BA6" w:rsidR="004F07AE" w:rsidRPr="00895810" w:rsidRDefault="004F07AE" w:rsidP="004F07AE">
            <w:pPr>
              <w:pStyle w:val="TableFiguresBold"/>
              <w:rPr>
                <w:rFonts w:ascii="IBM Plex Sans Light" w:hAnsi="IBM Plex Sans Light"/>
                <w:b w:val="0"/>
                <w:color w:val="auto"/>
                <w:sz w:val="18"/>
                <w:szCs w:val="18"/>
              </w:rPr>
            </w:pPr>
            <w:r>
              <w:rPr>
                <w:rFonts w:ascii="IBM Plex Sans Light" w:hAnsi="IBM Plex Sans Light"/>
                <w:b w:val="0"/>
                <w:color w:val="auto"/>
                <w:sz w:val="18"/>
                <w:szCs w:val="18"/>
              </w:rPr>
              <w:t>17.0</w:t>
            </w:r>
          </w:p>
        </w:tc>
      </w:tr>
      <w:tr w:rsidR="00936A8A" w:rsidRPr="00895810" w14:paraId="0AFD0A64" w14:textId="77777777" w:rsidTr="00024B10">
        <w:trPr>
          <w:trHeight w:val="272"/>
        </w:trPr>
        <w:tc>
          <w:tcPr>
            <w:tcW w:w="6663" w:type="dxa"/>
            <w:tcBorders>
              <w:top w:val="single" w:sz="2" w:space="0" w:color="3D7FE0" w:themeColor="accent1"/>
            </w:tcBorders>
            <w:tcMar>
              <w:left w:w="0" w:type="dxa"/>
              <w:right w:w="0" w:type="dxa"/>
            </w:tcMar>
            <w:vAlign w:val="bottom"/>
          </w:tcPr>
          <w:p w14:paraId="0DEED68C" w14:textId="266F5F21" w:rsidR="00936A8A" w:rsidRPr="00895810" w:rsidRDefault="00936A8A" w:rsidP="00936A8A">
            <w:pPr>
              <w:pStyle w:val="TableFiguresBracketsBold"/>
              <w:jc w:val="left"/>
              <w:rPr>
                <w:rFonts w:ascii="IBM Plex Sans Light" w:hAnsi="IBM Plex Sans Light"/>
                <w:color w:val="3D7FE0" w:themeColor="accent1"/>
                <w:spacing w:val="-4"/>
                <w:sz w:val="18"/>
                <w:szCs w:val="18"/>
              </w:rPr>
            </w:pPr>
          </w:p>
        </w:tc>
        <w:tc>
          <w:tcPr>
            <w:tcW w:w="567" w:type="dxa"/>
            <w:tcBorders>
              <w:top w:val="single" w:sz="2" w:space="0" w:color="3D7FE0" w:themeColor="accent1"/>
            </w:tcBorders>
            <w:vAlign w:val="bottom"/>
          </w:tcPr>
          <w:p w14:paraId="1EA97AA6" w14:textId="5570F6BE" w:rsidR="00936A8A" w:rsidRPr="00895810" w:rsidRDefault="00936A8A" w:rsidP="00936A8A">
            <w:pPr>
              <w:pStyle w:val="TableFiguresBracketsBold"/>
              <w:jc w:val="left"/>
              <w:rPr>
                <w:rFonts w:ascii="IBM Plex Sans Light" w:hAnsi="IBM Plex Sans Light"/>
                <w:b w:val="0"/>
                <w:bCs w:val="0"/>
                <w:color w:val="3D7FE0" w:themeColor="accent1"/>
                <w:spacing w:val="-4"/>
                <w:sz w:val="18"/>
                <w:szCs w:val="18"/>
              </w:rPr>
            </w:pPr>
          </w:p>
        </w:tc>
        <w:tc>
          <w:tcPr>
            <w:tcW w:w="708" w:type="dxa"/>
            <w:tcBorders>
              <w:top w:val="single" w:sz="2" w:space="0" w:color="3D7FE0" w:themeColor="accent1"/>
            </w:tcBorders>
          </w:tcPr>
          <w:p w14:paraId="66D2F836" w14:textId="77777777" w:rsidR="00936A8A" w:rsidRPr="00895810" w:rsidRDefault="00936A8A" w:rsidP="00936A8A">
            <w:pPr>
              <w:pStyle w:val="TableFiguresBold"/>
              <w:rPr>
                <w:rFonts w:ascii="IBM Plex Sans Light" w:hAnsi="IBM Plex Sans Light"/>
                <w:color w:val="3D7FE0" w:themeColor="accent1"/>
                <w:spacing w:val="-4"/>
                <w:szCs w:val="16"/>
              </w:rPr>
            </w:pPr>
          </w:p>
        </w:tc>
        <w:tc>
          <w:tcPr>
            <w:tcW w:w="705" w:type="dxa"/>
            <w:tcBorders>
              <w:top w:val="single" w:sz="2" w:space="0" w:color="3D7FE0" w:themeColor="accent1"/>
            </w:tcBorders>
            <w:tcMar>
              <w:left w:w="0" w:type="dxa"/>
              <w:right w:w="0" w:type="dxa"/>
            </w:tcMar>
            <w:vAlign w:val="bottom"/>
          </w:tcPr>
          <w:p w14:paraId="46891B84" w14:textId="77777777" w:rsidR="00936A8A" w:rsidRPr="004F07AE" w:rsidRDefault="00936A8A" w:rsidP="004F07AE">
            <w:pPr>
              <w:pStyle w:val="TableFigures"/>
              <w:rPr>
                <w:rFonts w:ascii="IBM Plex Sans Medium" w:hAnsi="IBM Plex Sans Medium"/>
                <w:b/>
                <w:bCs/>
                <w:color w:val="3D7FE0" w:themeColor="accent1"/>
                <w:spacing w:val="-4"/>
                <w:sz w:val="18"/>
                <w:szCs w:val="18"/>
              </w:rPr>
            </w:pPr>
          </w:p>
        </w:tc>
        <w:tc>
          <w:tcPr>
            <w:tcW w:w="1298" w:type="dxa"/>
            <w:tcBorders>
              <w:top w:val="single" w:sz="2" w:space="0" w:color="3D7FE0" w:themeColor="accent1"/>
            </w:tcBorders>
            <w:tcMar>
              <w:left w:w="0" w:type="dxa"/>
              <w:right w:w="0" w:type="dxa"/>
            </w:tcMar>
            <w:vAlign w:val="bottom"/>
          </w:tcPr>
          <w:p w14:paraId="14F16003" w14:textId="4664DC97" w:rsidR="00936A8A" w:rsidRPr="00895810" w:rsidRDefault="00936A8A" w:rsidP="00936A8A">
            <w:pPr>
              <w:pStyle w:val="TableFiguresBold"/>
              <w:rPr>
                <w:rFonts w:ascii="IBM Plex Sans Light" w:hAnsi="IBM Plex Sans Light"/>
                <w:b w:val="0"/>
                <w:color w:val="auto"/>
                <w:sz w:val="18"/>
                <w:szCs w:val="18"/>
              </w:rPr>
            </w:pPr>
          </w:p>
        </w:tc>
      </w:tr>
      <w:tr w:rsidR="00936A8A" w:rsidRPr="00895810" w14:paraId="59D338A1" w14:textId="77777777" w:rsidTr="00024B10">
        <w:tc>
          <w:tcPr>
            <w:tcW w:w="6663" w:type="dxa"/>
            <w:tcBorders>
              <w:bottom w:val="single" w:sz="8" w:space="0" w:color="3D7FE0" w:themeColor="accent1"/>
            </w:tcBorders>
            <w:tcMar>
              <w:left w:w="0" w:type="dxa"/>
              <w:right w:w="0" w:type="dxa"/>
            </w:tcMar>
            <w:vAlign w:val="bottom"/>
          </w:tcPr>
          <w:p w14:paraId="4EA9F952" w14:textId="308C5A3F" w:rsidR="00936A8A" w:rsidRPr="00895810" w:rsidRDefault="0052784F" w:rsidP="00936A8A">
            <w:pPr>
              <w:pStyle w:val="TableFiguresBracketsBold"/>
              <w:jc w:val="left"/>
              <w:rPr>
                <w:rFonts w:ascii="IBM Plex Sans Light" w:hAnsi="IBM Plex Sans Light"/>
                <w:color w:val="3D7FE0" w:themeColor="accent1"/>
                <w:spacing w:val="-4"/>
                <w:sz w:val="18"/>
                <w:szCs w:val="18"/>
              </w:rPr>
            </w:pPr>
            <w:r>
              <w:rPr>
                <w:rFonts w:ascii="IBM Plex Sans Light" w:hAnsi="IBM Plex Sans Light"/>
                <w:color w:val="3D7FE0" w:themeColor="accent1"/>
                <w:spacing w:val="-4"/>
                <w:sz w:val="18"/>
                <w:szCs w:val="18"/>
              </w:rPr>
              <w:t>Total</w:t>
            </w:r>
          </w:p>
        </w:tc>
        <w:tc>
          <w:tcPr>
            <w:tcW w:w="567" w:type="dxa"/>
            <w:tcBorders>
              <w:bottom w:val="single" w:sz="8" w:space="0" w:color="3D7FE0" w:themeColor="accent1"/>
            </w:tcBorders>
            <w:vAlign w:val="bottom"/>
          </w:tcPr>
          <w:p w14:paraId="69CEB074" w14:textId="69B6C4F1" w:rsidR="00936A8A" w:rsidRPr="00895810" w:rsidRDefault="00936A8A" w:rsidP="00936A8A">
            <w:pPr>
              <w:pStyle w:val="TableFiguresBracketsBold"/>
              <w:jc w:val="left"/>
              <w:rPr>
                <w:rFonts w:ascii="IBM Plex Sans Light" w:hAnsi="IBM Plex Sans Light"/>
                <w:b w:val="0"/>
                <w:bCs w:val="0"/>
                <w:color w:val="3D7FE0" w:themeColor="accent1"/>
                <w:spacing w:val="-4"/>
                <w:sz w:val="18"/>
                <w:szCs w:val="18"/>
              </w:rPr>
            </w:pPr>
          </w:p>
        </w:tc>
        <w:tc>
          <w:tcPr>
            <w:tcW w:w="708" w:type="dxa"/>
            <w:tcBorders>
              <w:bottom w:val="single" w:sz="8" w:space="0" w:color="3D7FE0" w:themeColor="accent1"/>
            </w:tcBorders>
          </w:tcPr>
          <w:p w14:paraId="39544109" w14:textId="77777777" w:rsidR="00936A8A" w:rsidRPr="00895810" w:rsidRDefault="00936A8A" w:rsidP="00936A8A">
            <w:pPr>
              <w:pStyle w:val="TableFiguresBold"/>
              <w:rPr>
                <w:rFonts w:ascii="IBM Plex Sans Light" w:hAnsi="IBM Plex Sans Light"/>
                <w:color w:val="3D7FE0" w:themeColor="accent1"/>
                <w:spacing w:val="-4"/>
                <w:sz w:val="18"/>
                <w:szCs w:val="18"/>
              </w:rPr>
            </w:pPr>
          </w:p>
        </w:tc>
        <w:tc>
          <w:tcPr>
            <w:tcW w:w="705" w:type="dxa"/>
            <w:tcBorders>
              <w:bottom w:val="single" w:sz="8" w:space="0" w:color="3D7FE0" w:themeColor="accent1"/>
            </w:tcBorders>
            <w:tcMar>
              <w:left w:w="0" w:type="dxa"/>
              <w:right w:w="0" w:type="dxa"/>
            </w:tcMar>
            <w:vAlign w:val="bottom"/>
          </w:tcPr>
          <w:p w14:paraId="704FC983" w14:textId="3C5E1697" w:rsidR="00936A8A" w:rsidRPr="004F07AE" w:rsidRDefault="004F07AE" w:rsidP="004F07AE">
            <w:pPr>
              <w:pStyle w:val="TableFigures"/>
              <w:rPr>
                <w:rFonts w:ascii="IBM Plex Sans Medium" w:hAnsi="IBM Plex Sans Medium"/>
                <w:b/>
                <w:bCs/>
                <w:color w:val="3D7FE0" w:themeColor="accent1"/>
                <w:spacing w:val="-4"/>
                <w:sz w:val="18"/>
                <w:szCs w:val="18"/>
              </w:rPr>
            </w:pPr>
            <w:r w:rsidRPr="004F07AE">
              <w:rPr>
                <w:rFonts w:ascii="IBM Plex Sans Medium" w:hAnsi="IBM Plex Sans Medium"/>
                <w:b/>
                <w:bCs/>
                <w:color w:val="3D7FE0" w:themeColor="accent1"/>
                <w:spacing w:val="-4"/>
                <w:sz w:val="18"/>
                <w:szCs w:val="18"/>
              </w:rPr>
              <w:t>134.3</w:t>
            </w:r>
          </w:p>
        </w:tc>
        <w:tc>
          <w:tcPr>
            <w:tcW w:w="1298" w:type="dxa"/>
            <w:tcBorders>
              <w:bottom w:val="single" w:sz="8" w:space="0" w:color="3D7FE0" w:themeColor="accent1"/>
            </w:tcBorders>
            <w:tcMar>
              <w:left w:w="0" w:type="dxa"/>
              <w:right w:w="0" w:type="dxa"/>
            </w:tcMar>
          </w:tcPr>
          <w:p w14:paraId="3FF29F3A" w14:textId="51E42050" w:rsidR="00936A8A" w:rsidRPr="00895810" w:rsidRDefault="00936A8A" w:rsidP="00936A8A">
            <w:pPr>
              <w:pStyle w:val="TableFiguresBold"/>
              <w:rPr>
                <w:rFonts w:ascii="IBM Plex Sans Light" w:hAnsi="IBM Plex Sans Light"/>
                <w:b w:val="0"/>
                <w:color w:val="auto"/>
                <w:sz w:val="18"/>
                <w:szCs w:val="18"/>
              </w:rPr>
            </w:pPr>
            <w:r w:rsidRPr="00895810">
              <w:rPr>
                <w:rFonts w:ascii="IBM Plex Sans Light" w:hAnsi="IBM Plex Sans Light"/>
                <w:b w:val="0"/>
                <w:color w:val="auto"/>
                <w:sz w:val="18"/>
                <w:szCs w:val="18"/>
              </w:rPr>
              <w:t>1</w:t>
            </w:r>
            <w:r w:rsidR="0052784F">
              <w:rPr>
                <w:rFonts w:ascii="IBM Plex Sans Light" w:hAnsi="IBM Plex Sans Light"/>
                <w:b w:val="0"/>
                <w:color w:val="auto"/>
                <w:sz w:val="18"/>
                <w:szCs w:val="18"/>
              </w:rPr>
              <w:t>31.4</w:t>
            </w:r>
          </w:p>
        </w:tc>
      </w:tr>
    </w:tbl>
    <w:p w14:paraId="2FD2D996" w14:textId="77777777" w:rsidR="00934DE9" w:rsidRDefault="00934DE9" w:rsidP="0076072C">
      <w:pPr>
        <w:spacing w:after="0" w:line="240" w:lineRule="auto"/>
        <w:jc w:val="both"/>
        <w:rPr>
          <w:rFonts w:ascii="IBM Plex Sans Light" w:hAnsi="IBM Plex Sans Light" w:cs="Arial"/>
          <w:b/>
          <w:color w:val="3D7FE0" w:themeColor="accent1"/>
          <w:szCs w:val="18"/>
        </w:rPr>
      </w:pPr>
    </w:p>
    <w:p w14:paraId="5E7F9939" w14:textId="77777777" w:rsidR="004F07AE" w:rsidRPr="004F07AE" w:rsidRDefault="004F07AE" w:rsidP="004F07AE">
      <w:pPr>
        <w:tabs>
          <w:tab w:val="left" w:pos="170"/>
          <w:tab w:val="left" w:pos="340"/>
        </w:tabs>
        <w:suppressAutoHyphens/>
        <w:autoSpaceDE w:val="0"/>
        <w:autoSpaceDN w:val="0"/>
        <w:adjustRightInd w:val="0"/>
        <w:spacing w:after="57" w:line="185" w:lineRule="atLeast"/>
        <w:ind w:left="170" w:hanging="170"/>
        <w:textAlignment w:val="center"/>
        <w:rPr>
          <w:rFonts w:ascii="IBM Plex Sans Light" w:hAnsi="IBM Plex Sans Light" w:cs="IBM Plex Sans Light"/>
          <w:color w:val="000000"/>
          <w:spacing w:val="-5"/>
          <w:sz w:val="16"/>
          <w:szCs w:val="16"/>
        </w:rPr>
      </w:pPr>
      <w:r w:rsidRPr="004F07AE">
        <w:rPr>
          <w:rFonts w:ascii="IBM Plex Sans Light" w:hAnsi="IBM Plex Sans Light" w:cs="IBM Plex Sans Light"/>
          <w:color w:val="000000"/>
          <w:spacing w:val="-5"/>
          <w:sz w:val="16"/>
          <w:szCs w:val="16"/>
        </w:rPr>
        <w:lastRenderedPageBreak/>
        <w:t>*</w:t>
      </w:r>
      <w:r w:rsidRPr="004F07AE">
        <w:rPr>
          <w:rFonts w:ascii="IBM Plex Sans Light" w:hAnsi="IBM Plex Sans Light" w:cs="IBM Plex Sans Light"/>
          <w:color w:val="000000"/>
          <w:spacing w:val="-5"/>
          <w:sz w:val="16"/>
          <w:szCs w:val="16"/>
        </w:rPr>
        <w:tab/>
        <w:t>Revenue for those categories marked * amounted to £52.4m (2022: £52.0m) and is recognised under IFRS 15 ‘Revenue from Contracts with Customers’. All other revenue is recognised in accordance with IFRS 16 ‘Leases’.</w:t>
      </w:r>
    </w:p>
    <w:p w14:paraId="6098CEFC" w14:textId="77777777" w:rsidR="004F07AE" w:rsidRPr="00895810" w:rsidRDefault="004F07AE" w:rsidP="0076072C">
      <w:pPr>
        <w:spacing w:after="0" w:line="240" w:lineRule="auto"/>
        <w:jc w:val="both"/>
        <w:rPr>
          <w:rFonts w:ascii="IBM Plex Sans Light" w:hAnsi="IBM Plex Sans Light" w:cs="Arial"/>
          <w:b/>
          <w:color w:val="3D7FE0" w:themeColor="accent1"/>
          <w:szCs w:val="18"/>
        </w:rPr>
      </w:pPr>
    </w:p>
    <w:p w14:paraId="486A7310" w14:textId="6B80C576" w:rsidR="00DB3C6D" w:rsidRPr="00AB6B6E" w:rsidRDefault="00024229"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5</w:t>
      </w:r>
      <w:r w:rsidR="00DB3C6D" w:rsidRPr="00AB6B6E">
        <w:rPr>
          <w:rFonts w:ascii="IBM Plex Sans Medium" w:hAnsi="IBM Plex Sans Medium" w:cs="Arial"/>
          <w:b/>
          <w:color w:val="3D7FE0" w:themeColor="accent1"/>
          <w:szCs w:val="18"/>
        </w:rPr>
        <w:t xml:space="preserve">. </w:t>
      </w:r>
      <w:r w:rsidR="00415C3A" w:rsidRPr="00AB6B6E">
        <w:rPr>
          <w:rFonts w:ascii="IBM Plex Sans Medium" w:hAnsi="IBM Plex Sans Medium" w:cs="Arial"/>
          <w:b/>
          <w:color w:val="3D7FE0" w:themeColor="accent1"/>
          <w:szCs w:val="18"/>
        </w:rPr>
        <w:t>COSTS</w:t>
      </w:r>
      <w:r w:rsidR="00DB3C6D" w:rsidRPr="00AB6B6E">
        <w:rPr>
          <w:rFonts w:ascii="IBM Plex Sans Medium" w:hAnsi="IBM Plex Sans Medium" w:cs="Arial"/>
          <w:b/>
          <w:color w:val="3D7FE0" w:themeColor="accent1"/>
          <w:szCs w:val="18"/>
        </w:rPr>
        <w:t xml:space="preserve"> </w:t>
      </w:r>
    </w:p>
    <w:p w14:paraId="701323DB" w14:textId="3C3174E2" w:rsidR="00E66A41" w:rsidRPr="00895810" w:rsidRDefault="00F40D2C" w:rsidP="0076072C">
      <w:pPr>
        <w:spacing w:after="0" w:line="240" w:lineRule="auto"/>
        <w:jc w:val="both"/>
        <w:rPr>
          <w:rFonts w:ascii="IBM Plex Sans Light" w:hAnsi="IBM Plex Sans Light" w:cs="Arial"/>
          <w:b/>
          <w:color w:val="3D7FE0" w:themeColor="accent1"/>
          <w:szCs w:val="18"/>
        </w:rPr>
      </w:pPr>
      <w:r w:rsidRPr="00895810">
        <w:rPr>
          <w:rFonts w:ascii="IBM Plex Sans Light" w:hAnsi="IBM Plex Sans Light" w:cs="Arial"/>
          <w:b/>
          <w:color w:val="3D7FE0" w:themeColor="accent1"/>
          <w:szCs w:val="18"/>
        </w:rPr>
        <w:t xml:space="preserve">Profit from operating activities </w:t>
      </w:r>
      <w:r w:rsidR="003C7432" w:rsidRPr="00895810">
        <w:rPr>
          <w:rFonts w:ascii="IBM Plex Sans Light" w:hAnsi="IBM Plex Sans Light" w:cs="Arial"/>
          <w:b/>
          <w:color w:val="3D7FE0" w:themeColor="accent1"/>
          <w:szCs w:val="18"/>
        </w:rPr>
        <w:t xml:space="preserve">is stated after charging: </w:t>
      </w:r>
    </w:p>
    <w:tbl>
      <w:tblPr>
        <w:tblW w:w="9941" w:type="dxa"/>
        <w:tblLayout w:type="fixed"/>
        <w:tblLook w:val="01E0" w:firstRow="1" w:lastRow="1" w:firstColumn="1" w:lastColumn="1" w:noHBand="0" w:noVBand="0"/>
      </w:tblPr>
      <w:tblGrid>
        <w:gridCol w:w="6066"/>
        <w:gridCol w:w="425"/>
        <w:gridCol w:w="709"/>
        <w:gridCol w:w="1443"/>
        <w:gridCol w:w="1298"/>
      </w:tblGrid>
      <w:tr w:rsidR="00433098" w:rsidRPr="00895810" w14:paraId="6840F29D" w14:textId="77777777" w:rsidTr="00B877C0">
        <w:trPr>
          <w:trHeight w:val="203"/>
        </w:trPr>
        <w:tc>
          <w:tcPr>
            <w:tcW w:w="6066" w:type="dxa"/>
            <w:tcMar>
              <w:left w:w="0" w:type="dxa"/>
              <w:right w:w="0" w:type="dxa"/>
            </w:tcMar>
            <w:vAlign w:val="bottom"/>
          </w:tcPr>
          <w:p w14:paraId="7688647C" w14:textId="77777777" w:rsidR="00433098" w:rsidRPr="00895810" w:rsidRDefault="00433098" w:rsidP="003F2C4C">
            <w:pPr>
              <w:pStyle w:val="TableColHeads"/>
              <w:rPr>
                <w:rFonts w:ascii="IBM Plex Sans Light" w:hAnsi="IBM Plex Sans Light"/>
              </w:rPr>
            </w:pPr>
          </w:p>
        </w:tc>
        <w:tc>
          <w:tcPr>
            <w:tcW w:w="425" w:type="dxa"/>
            <w:vAlign w:val="bottom"/>
          </w:tcPr>
          <w:p w14:paraId="6983DA1D" w14:textId="77777777" w:rsidR="00433098" w:rsidRPr="00895810" w:rsidRDefault="00433098" w:rsidP="003F2C4C">
            <w:pPr>
              <w:pStyle w:val="TableColHeads"/>
              <w:rPr>
                <w:rFonts w:ascii="IBM Plex Sans Light" w:hAnsi="IBM Plex Sans Light"/>
              </w:rPr>
            </w:pPr>
          </w:p>
        </w:tc>
        <w:tc>
          <w:tcPr>
            <w:tcW w:w="709" w:type="dxa"/>
          </w:tcPr>
          <w:p w14:paraId="02536820" w14:textId="77777777" w:rsidR="00433098" w:rsidRPr="00895810" w:rsidRDefault="00433098" w:rsidP="003F2C4C">
            <w:pPr>
              <w:pStyle w:val="TableColHeadsBold"/>
              <w:rPr>
                <w:rFonts w:ascii="IBM Plex Sans Light" w:hAnsi="IBM Plex Sans Light"/>
                <w:color w:val="3D7FE0" w:themeColor="accent1"/>
              </w:rPr>
            </w:pPr>
          </w:p>
        </w:tc>
        <w:tc>
          <w:tcPr>
            <w:tcW w:w="1443" w:type="dxa"/>
            <w:tcMar>
              <w:left w:w="0" w:type="dxa"/>
              <w:right w:w="0" w:type="dxa"/>
            </w:tcMar>
            <w:vAlign w:val="bottom"/>
          </w:tcPr>
          <w:p w14:paraId="54CE4214" w14:textId="7D9E46F1" w:rsidR="00433098" w:rsidRPr="00895810" w:rsidRDefault="00785AC2" w:rsidP="003F2C4C">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433098" w:rsidRPr="00895810">
              <w:rPr>
                <w:rFonts w:ascii="IBM Plex Sans Light" w:hAnsi="IBM Plex Sans Light"/>
                <w:color w:val="3D7FE0" w:themeColor="accent1"/>
              </w:rPr>
              <w:t xml:space="preserve"> </w:t>
            </w:r>
          </w:p>
        </w:tc>
        <w:tc>
          <w:tcPr>
            <w:tcW w:w="1298" w:type="dxa"/>
            <w:tcMar>
              <w:left w:w="0" w:type="dxa"/>
              <w:right w:w="0" w:type="dxa"/>
            </w:tcMar>
            <w:vAlign w:val="bottom"/>
          </w:tcPr>
          <w:p w14:paraId="07C9EACA" w14:textId="512628EA" w:rsidR="00433098" w:rsidRPr="00895810" w:rsidRDefault="00187A8D" w:rsidP="003F2C4C">
            <w:pPr>
              <w:pStyle w:val="TableColHeads"/>
              <w:rPr>
                <w:rFonts w:ascii="IBM Plex Sans Light" w:hAnsi="IBM Plex Sans Light"/>
              </w:rPr>
            </w:pPr>
            <w:r>
              <w:rPr>
                <w:rFonts w:ascii="IBM Plex Sans Light" w:hAnsi="IBM Plex Sans Light"/>
              </w:rPr>
              <w:t>2022</w:t>
            </w:r>
          </w:p>
        </w:tc>
      </w:tr>
      <w:tr w:rsidR="00433098" w:rsidRPr="00895810" w14:paraId="675FB6BD" w14:textId="77777777" w:rsidTr="00B877C0">
        <w:tc>
          <w:tcPr>
            <w:tcW w:w="6066" w:type="dxa"/>
            <w:tcBorders>
              <w:bottom w:val="single" w:sz="2" w:space="0" w:color="3D7FE0" w:themeColor="accent1"/>
            </w:tcBorders>
            <w:tcMar>
              <w:left w:w="0" w:type="dxa"/>
              <w:bottom w:w="28" w:type="dxa"/>
              <w:right w:w="0" w:type="dxa"/>
            </w:tcMar>
            <w:vAlign w:val="bottom"/>
          </w:tcPr>
          <w:p w14:paraId="1EA869D2" w14:textId="77777777" w:rsidR="00433098" w:rsidRPr="00895810" w:rsidRDefault="00433098" w:rsidP="003F2C4C">
            <w:pPr>
              <w:pStyle w:val="TableColHeads"/>
              <w:jc w:val="left"/>
              <w:rPr>
                <w:rFonts w:ascii="IBM Plex Sans Light" w:hAnsi="IBM Plex Sans Light"/>
                <w:sz w:val="16"/>
                <w:szCs w:val="18"/>
              </w:rPr>
            </w:pPr>
            <w:r w:rsidRPr="00895810">
              <w:rPr>
                <w:rFonts w:ascii="IBM Plex Sans Light" w:hAnsi="IBM Plex Sans Light" w:cs="Arial"/>
                <w:b/>
                <w:bCs/>
                <w:color w:val="3D7FE0" w:themeColor="accent1"/>
                <w:sz w:val="16"/>
                <w:szCs w:val="18"/>
              </w:rPr>
              <w:t>Cost of sales</w:t>
            </w:r>
          </w:p>
        </w:tc>
        <w:tc>
          <w:tcPr>
            <w:tcW w:w="425" w:type="dxa"/>
            <w:tcBorders>
              <w:bottom w:val="single" w:sz="2" w:space="0" w:color="3D7FE0" w:themeColor="accent1"/>
            </w:tcBorders>
            <w:vAlign w:val="bottom"/>
          </w:tcPr>
          <w:p w14:paraId="3DF06FA3" w14:textId="77777777" w:rsidR="00433098" w:rsidRPr="00895810" w:rsidRDefault="00433098" w:rsidP="003F2C4C">
            <w:pPr>
              <w:pStyle w:val="TableColHeads"/>
              <w:rPr>
                <w:rFonts w:ascii="IBM Plex Sans Light" w:hAnsi="IBM Plex Sans Light"/>
              </w:rPr>
            </w:pPr>
          </w:p>
        </w:tc>
        <w:tc>
          <w:tcPr>
            <w:tcW w:w="709" w:type="dxa"/>
            <w:tcBorders>
              <w:bottom w:val="single" w:sz="2" w:space="0" w:color="3D7FE0" w:themeColor="accent1"/>
            </w:tcBorders>
          </w:tcPr>
          <w:p w14:paraId="4BF78B98" w14:textId="505DD98B" w:rsidR="00433098" w:rsidRPr="00895810" w:rsidRDefault="00433098" w:rsidP="003F2C4C">
            <w:pPr>
              <w:pStyle w:val="TableColHeads"/>
              <w:rPr>
                <w:rFonts w:ascii="IBM Plex Sans Light" w:hAnsi="IBM Plex Sans Light"/>
                <w:b/>
              </w:rPr>
            </w:pPr>
          </w:p>
        </w:tc>
        <w:tc>
          <w:tcPr>
            <w:tcW w:w="1443" w:type="dxa"/>
            <w:tcBorders>
              <w:bottom w:val="single" w:sz="2" w:space="0" w:color="3D7FE0" w:themeColor="accent1"/>
            </w:tcBorders>
            <w:tcMar>
              <w:left w:w="0" w:type="dxa"/>
              <w:bottom w:w="28" w:type="dxa"/>
              <w:right w:w="0" w:type="dxa"/>
            </w:tcMar>
            <w:vAlign w:val="bottom"/>
          </w:tcPr>
          <w:p w14:paraId="72B315B7" w14:textId="77777777" w:rsidR="00433098" w:rsidRPr="00895810" w:rsidRDefault="00433098"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1298" w:type="dxa"/>
            <w:tcBorders>
              <w:bottom w:val="single" w:sz="2" w:space="0" w:color="3D7FE0" w:themeColor="accent1"/>
            </w:tcBorders>
            <w:tcMar>
              <w:left w:w="0" w:type="dxa"/>
              <w:bottom w:w="28" w:type="dxa"/>
              <w:right w:w="0" w:type="dxa"/>
            </w:tcMar>
            <w:vAlign w:val="bottom"/>
          </w:tcPr>
          <w:p w14:paraId="5B5502F7" w14:textId="77777777" w:rsidR="00433098" w:rsidRPr="00895810" w:rsidRDefault="00433098" w:rsidP="003F2C4C">
            <w:pPr>
              <w:pStyle w:val="TableColHeads"/>
              <w:rPr>
                <w:rFonts w:ascii="IBM Plex Sans Light" w:hAnsi="IBM Plex Sans Light"/>
              </w:rPr>
            </w:pPr>
            <w:r w:rsidRPr="00895810">
              <w:rPr>
                <w:rFonts w:ascii="IBM Plex Sans Light" w:hAnsi="IBM Plex Sans Light"/>
              </w:rPr>
              <w:t>£m</w:t>
            </w:r>
          </w:p>
        </w:tc>
      </w:tr>
      <w:tr w:rsidR="00D9524D" w:rsidRPr="00895810" w14:paraId="07E1B5C3" w14:textId="77777777" w:rsidTr="00A75C0E">
        <w:tc>
          <w:tcPr>
            <w:tcW w:w="6066" w:type="dxa"/>
            <w:tcBorders>
              <w:top w:val="single" w:sz="2" w:space="0" w:color="3D7FE0" w:themeColor="accent1"/>
            </w:tcBorders>
            <w:tcMar>
              <w:left w:w="0" w:type="dxa"/>
              <w:right w:w="0" w:type="dxa"/>
            </w:tcMar>
            <w:vAlign w:val="bottom"/>
          </w:tcPr>
          <w:p w14:paraId="5DF257E9"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Ground and equity rents payable</w:t>
            </w:r>
          </w:p>
        </w:tc>
        <w:tc>
          <w:tcPr>
            <w:tcW w:w="425" w:type="dxa"/>
            <w:tcBorders>
              <w:top w:val="single" w:sz="2" w:space="0" w:color="3D7FE0" w:themeColor="accent1"/>
            </w:tcBorders>
            <w:vAlign w:val="bottom"/>
          </w:tcPr>
          <w:p w14:paraId="35236B06"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Borders>
              <w:top w:val="single" w:sz="2" w:space="0" w:color="3D7FE0" w:themeColor="accent1"/>
            </w:tcBorders>
          </w:tcPr>
          <w:p w14:paraId="2ACD95CE"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Borders>
              <w:top w:val="single" w:sz="2" w:space="0" w:color="3D7FE0" w:themeColor="accent1"/>
            </w:tcBorders>
            <w:tcMar>
              <w:left w:w="0" w:type="dxa"/>
              <w:right w:w="0" w:type="dxa"/>
            </w:tcMar>
          </w:tcPr>
          <w:p w14:paraId="2BF8C466" w14:textId="2ACF11B7"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1.1</w:t>
            </w:r>
          </w:p>
        </w:tc>
        <w:tc>
          <w:tcPr>
            <w:tcW w:w="1298" w:type="dxa"/>
            <w:tcBorders>
              <w:top w:val="single" w:sz="2" w:space="0" w:color="3D7FE0" w:themeColor="accent1"/>
            </w:tcBorders>
            <w:tcMar>
              <w:left w:w="0" w:type="dxa"/>
              <w:right w:w="0" w:type="dxa"/>
            </w:tcMar>
          </w:tcPr>
          <w:p w14:paraId="01933841" w14:textId="24346EFB" w:rsidR="00D9524D" w:rsidRPr="00895810" w:rsidRDefault="00D9524D" w:rsidP="00D9524D">
            <w:pPr>
              <w:pStyle w:val="TableFiguresBold"/>
              <w:rPr>
                <w:rFonts w:ascii="IBM Plex Sans Light" w:hAnsi="IBM Plex Sans Light"/>
                <w:b w:val="0"/>
                <w:color w:val="auto"/>
                <w:sz w:val="18"/>
                <w:szCs w:val="18"/>
              </w:rPr>
            </w:pPr>
            <w:r w:rsidRPr="00ED2E86">
              <w:rPr>
                <w:rFonts w:ascii="IBM Plex Sans Light" w:hAnsi="IBM Plex Sans Light"/>
                <w:b w:val="0"/>
                <w:color w:val="auto"/>
                <w:sz w:val="18"/>
                <w:szCs w:val="18"/>
              </w:rPr>
              <w:t>0.7</w:t>
            </w:r>
          </w:p>
        </w:tc>
      </w:tr>
      <w:tr w:rsidR="00D9524D" w:rsidRPr="00895810" w14:paraId="2B1E57D6" w14:textId="77777777" w:rsidTr="00A75C0E">
        <w:tc>
          <w:tcPr>
            <w:tcW w:w="6066" w:type="dxa"/>
            <w:tcMar>
              <w:left w:w="0" w:type="dxa"/>
              <w:right w:w="0" w:type="dxa"/>
            </w:tcMar>
            <w:vAlign w:val="bottom"/>
          </w:tcPr>
          <w:p w14:paraId="3479E053"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Inclusive lease costs recovered through rent</w:t>
            </w:r>
          </w:p>
        </w:tc>
        <w:tc>
          <w:tcPr>
            <w:tcW w:w="425" w:type="dxa"/>
            <w:vAlign w:val="bottom"/>
          </w:tcPr>
          <w:p w14:paraId="429FA81E"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Pr>
          <w:p w14:paraId="02016A2F"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Mar>
              <w:left w:w="0" w:type="dxa"/>
              <w:right w:w="0" w:type="dxa"/>
            </w:tcMar>
          </w:tcPr>
          <w:p w14:paraId="0B53340A" w14:textId="1DDB46FD"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2.8</w:t>
            </w:r>
          </w:p>
        </w:tc>
        <w:tc>
          <w:tcPr>
            <w:tcW w:w="1298" w:type="dxa"/>
            <w:tcMar>
              <w:left w:w="0" w:type="dxa"/>
              <w:right w:w="0" w:type="dxa"/>
            </w:tcMar>
          </w:tcPr>
          <w:p w14:paraId="1200287F" w14:textId="289973F9" w:rsidR="00D9524D" w:rsidRPr="00895810" w:rsidRDefault="00D9524D" w:rsidP="00D9524D">
            <w:pPr>
              <w:pStyle w:val="TableFiguresBold"/>
              <w:rPr>
                <w:rFonts w:ascii="IBM Plex Sans Light" w:hAnsi="IBM Plex Sans Light"/>
                <w:b w:val="0"/>
                <w:color w:val="auto"/>
                <w:sz w:val="18"/>
                <w:szCs w:val="18"/>
              </w:rPr>
            </w:pPr>
            <w:r w:rsidRPr="00ED2E86">
              <w:rPr>
                <w:rFonts w:ascii="IBM Plex Sans Light" w:hAnsi="IBM Plex Sans Light"/>
                <w:b w:val="0"/>
                <w:color w:val="auto"/>
                <w:sz w:val="18"/>
                <w:szCs w:val="18"/>
              </w:rPr>
              <w:t>3.1</w:t>
            </w:r>
          </w:p>
        </w:tc>
      </w:tr>
      <w:tr w:rsidR="00D9524D" w:rsidRPr="00895810" w14:paraId="1D2EE487" w14:textId="77777777" w:rsidTr="00A75C0E">
        <w:tc>
          <w:tcPr>
            <w:tcW w:w="6066" w:type="dxa"/>
            <w:tcMar>
              <w:left w:w="0" w:type="dxa"/>
              <w:right w:w="0" w:type="dxa"/>
            </w:tcMar>
            <w:vAlign w:val="bottom"/>
          </w:tcPr>
          <w:p w14:paraId="461C70D1" w14:textId="130DB4DF" w:rsidR="00D9524D" w:rsidRPr="00024B10" w:rsidRDefault="00D9524D" w:rsidP="00D9524D">
            <w:pPr>
              <w:spacing w:after="0" w:line="240" w:lineRule="auto"/>
              <w:rPr>
                <w:rFonts w:ascii="IBM Plex Sans Light" w:hAnsi="IBM Plex Sans Light" w:cs="Arial"/>
                <w:szCs w:val="18"/>
                <w:vertAlign w:val="superscript"/>
              </w:rPr>
            </w:pPr>
            <w:r w:rsidRPr="00895810">
              <w:rPr>
                <w:rFonts w:ascii="IBM Plex Sans Light" w:hAnsi="IBM Plex Sans Light" w:cs="Arial"/>
                <w:szCs w:val="18"/>
              </w:rPr>
              <w:t xml:space="preserve">Other property </w:t>
            </w:r>
            <w:proofErr w:type="spellStart"/>
            <w:r w:rsidRPr="00895810">
              <w:rPr>
                <w:rFonts w:ascii="IBM Plex Sans Light" w:hAnsi="IBM Plex Sans Light" w:cs="Arial"/>
                <w:szCs w:val="18"/>
              </w:rPr>
              <w:t>outgoings</w:t>
            </w:r>
            <w:r w:rsidR="00CE2F7F">
              <w:rPr>
                <w:rFonts w:ascii="IBM Plex Sans Light" w:hAnsi="IBM Plex Sans Light" w:cs="Arial"/>
                <w:szCs w:val="18"/>
                <w:vertAlign w:val="superscript"/>
              </w:rPr>
              <w:t>a</w:t>
            </w:r>
            <w:proofErr w:type="spellEnd"/>
          </w:p>
        </w:tc>
        <w:tc>
          <w:tcPr>
            <w:tcW w:w="425" w:type="dxa"/>
            <w:vAlign w:val="bottom"/>
          </w:tcPr>
          <w:p w14:paraId="4C20C95F" w14:textId="3B6F825D" w:rsidR="00D9524D" w:rsidRPr="00895810" w:rsidRDefault="00D9524D" w:rsidP="00D9524D">
            <w:pPr>
              <w:spacing w:after="0" w:line="240" w:lineRule="auto"/>
              <w:jc w:val="right"/>
              <w:rPr>
                <w:rFonts w:ascii="IBM Plex Sans Light" w:hAnsi="IBM Plex Sans Light" w:cs="Arial"/>
                <w:sz w:val="16"/>
                <w:szCs w:val="16"/>
              </w:rPr>
            </w:pPr>
          </w:p>
        </w:tc>
        <w:tc>
          <w:tcPr>
            <w:tcW w:w="709" w:type="dxa"/>
          </w:tcPr>
          <w:p w14:paraId="20DA0F97" w14:textId="3308AFAF"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Mar>
              <w:left w:w="0" w:type="dxa"/>
              <w:right w:w="0" w:type="dxa"/>
            </w:tcMar>
          </w:tcPr>
          <w:p w14:paraId="6894D1AB" w14:textId="11F1951C"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10.6</w:t>
            </w:r>
          </w:p>
        </w:tc>
        <w:tc>
          <w:tcPr>
            <w:tcW w:w="1298" w:type="dxa"/>
            <w:tcMar>
              <w:left w:w="0" w:type="dxa"/>
              <w:right w:w="0" w:type="dxa"/>
            </w:tcMar>
          </w:tcPr>
          <w:p w14:paraId="303C87B4" w14:textId="6471737B" w:rsidR="00D9524D" w:rsidRPr="00895810" w:rsidRDefault="00D9524D" w:rsidP="00D9524D">
            <w:pPr>
              <w:pStyle w:val="TableFiguresBold"/>
              <w:rPr>
                <w:rFonts w:ascii="IBM Plex Sans Light" w:hAnsi="IBM Plex Sans Light"/>
                <w:b w:val="0"/>
                <w:color w:val="auto"/>
                <w:sz w:val="18"/>
                <w:szCs w:val="18"/>
              </w:rPr>
            </w:pPr>
            <w:r w:rsidRPr="00ED2E86">
              <w:rPr>
                <w:rFonts w:ascii="IBM Plex Sans Light" w:hAnsi="IBM Plex Sans Light"/>
                <w:b w:val="0"/>
                <w:color w:val="auto"/>
                <w:sz w:val="18"/>
                <w:szCs w:val="18"/>
              </w:rPr>
              <w:t>6.4</w:t>
            </w:r>
          </w:p>
        </w:tc>
      </w:tr>
      <w:tr w:rsidR="00D9524D" w:rsidRPr="00895810" w14:paraId="756CB8FB" w14:textId="77777777" w:rsidTr="00A75C0E">
        <w:tc>
          <w:tcPr>
            <w:tcW w:w="6066" w:type="dxa"/>
            <w:tcBorders>
              <w:bottom w:val="single" w:sz="2" w:space="0" w:color="3D7FE0" w:themeColor="accent1"/>
            </w:tcBorders>
            <w:tcMar>
              <w:left w:w="0" w:type="dxa"/>
              <w:right w:w="0" w:type="dxa"/>
            </w:tcMar>
            <w:vAlign w:val="bottom"/>
          </w:tcPr>
          <w:p w14:paraId="2B01C43E"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Change in provision for amounts not yet recognised in the income statement</w:t>
            </w:r>
          </w:p>
        </w:tc>
        <w:tc>
          <w:tcPr>
            <w:tcW w:w="425" w:type="dxa"/>
            <w:tcBorders>
              <w:bottom w:val="single" w:sz="2" w:space="0" w:color="3D7FE0" w:themeColor="accent1"/>
            </w:tcBorders>
            <w:vAlign w:val="bottom"/>
          </w:tcPr>
          <w:p w14:paraId="7DD25703"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Borders>
              <w:bottom w:val="single" w:sz="2" w:space="0" w:color="3D7FE0" w:themeColor="accent1"/>
            </w:tcBorders>
          </w:tcPr>
          <w:p w14:paraId="0960FBCA"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Borders>
              <w:bottom w:val="single" w:sz="2" w:space="0" w:color="3D7FE0" w:themeColor="accent1"/>
            </w:tcBorders>
            <w:tcMar>
              <w:left w:w="0" w:type="dxa"/>
              <w:right w:w="0" w:type="dxa"/>
            </w:tcMar>
          </w:tcPr>
          <w:p w14:paraId="68A824DC" w14:textId="0E12D890"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0.2</w:t>
            </w:r>
          </w:p>
        </w:tc>
        <w:tc>
          <w:tcPr>
            <w:tcW w:w="1298" w:type="dxa"/>
            <w:tcBorders>
              <w:bottom w:val="single" w:sz="2" w:space="0" w:color="3D7FE0" w:themeColor="accent1"/>
            </w:tcBorders>
            <w:tcMar>
              <w:left w:w="0" w:type="dxa"/>
              <w:right w:w="0" w:type="dxa"/>
            </w:tcMar>
            <w:vAlign w:val="bottom"/>
          </w:tcPr>
          <w:p w14:paraId="159AF9C5" w14:textId="251ADB3A" w:rsidR="00D9524D" w:rsidRPr="00895810" w:rsidRDefault="00D9524D" w:rsidP="00D9524D">
            <w:pPr>
              <w:pStyle w:val="TableFiguresBracketsBold"/>
              <w:rPr>
                <w:rFonts w:ascii="IBM Plex Sans Light" w:hAnsi="IBM Plex Sans Light"/>
                <w:b w:val="0"/>
                <w:color w:val="auto"/>
                <w:sz w:val="18"/>
                <w:szCs w:val="18"/>
              </w:rPr>
            </w:pPr>
            <w:r w:rsidRPr="00895810">
              <w:rPr>
                <w:rFonts w:ascii="IBM Plex Sans Light" w:hAnsi="IBM Plex Sans Light"/>
                <w:b w:val="0"/>
                <w:color w:val="auto"/>
                <w:sz w:val="18"/>
                <w:szCs w:val="18"/>
              </w:rPr>
              <w:t>(</w:t>
            </w:r>
            <w:r>
              <w:rPr>
                <w:rFonts w:ascii="IBM Plex Sans Light" w:hAnsi="IBM Plex Sans Light"/>
                <w:b w:val="0"/>
                <w:color w:val="auto"/>
                <w:sz w:val="18"/>
                <w:szCs w:val="18"/>
              </w:rPr>
              <w:t>0.9</w:t>
            </w:r>
            <w:r w:rsidRPr="00895810">
              <w:rPr>
                <w:rFonts w:ascii="IBM Plex Sans Light" w:hAnsi="IBM Plex Sans Light"/>
                <w:b w:val="0"/>
                <w:color w:val="auto"/>
                <w:sz w:val="18"/>
                <w:szCs w:val="18"/>
              </w:rPr>
              <w:t>)</w:t>
            </w:r>
          </w:p>
        </w:tc>
      </w:tr>
      <w:tr w:rsidR="00D9524D" w:rsidRPr="00895810" w14:paraId="52658DDF" w14:textId="77777777" w:rsidTr="00A75C0E">
        <w:tc>
          <w:tcPr>
            <w:tcW w:w="6066" w:type="dxa"/>
            <w:tcBorders>
              <w:top w:val="single" w:sz="2" w:space="0" w:color="3D7FE0" w:themeColor="accent1"/>
              <w:bottom w:val="single" w:sz="8" w:space="0" w:color="3D7FE0" w:themeColor="accent1"/>
            </w:tcBorders>
            <w:tcMar>
              <w:left w:w="0" w:type="dxa"/>
              <w:right w:w="0" w:type="dxa"/>
            </w:tcMar>
            <w:vAlign w:val="center"/>
          </w:tcPr>
          <w:p w14:paraId="67015AC9" w14:textId="77777777" w:rsidR="00D9524D" w:rsidRPr="00895810" w:rsidRDefault="00D9524D" w:rsidP="00D9524D">
            <w:pPr>
              <w:spacing w:after="0" w:line="240" w:lineRule="auto"/>
              <w:rPr>
                <w:rFonts w:ascii="IBM Plex Sans Light" w:hAnsi="IBM Plex Sans Light" w:cs="Arial"/>
                <w:szCs w:val="18"/>
              </w:rPr>
            </w:pPr>
          </w:p>
        </w:tc>
        <w:tc>
          <w:tcPr>
            <w:tcW w:w="425" w:type="dxa"/>
            <w:tcBorders>
              <w:top w:val="single" w:sz="2" w:space="0" w:color="3D7FE0" w:themeColor="accent1"/>
              <w:bottom w:val="single" w:sz="8" w:space="0" w:color="3D7FE0" w:themeColor="accent1"/>
            </w:tcBorders>
            <w:vAlign w:val="bottom"/>
          </w:tcPr>
          <w:p w14:paraId="3A04B68C" w14:textId="22251504" w:rsidR="00D9524D" w:rsidRPr="00895810" w:rsidRDefault="00D9524D" w:rsidP="00D9524D">
            <w:pPr>
              <w:spacing w:after="0" w:line="240" w:lineRule="auto"/>
              <w:jc w:val="right"/>
              <w:rPr>
                <w:rFonts w:ascii="IBM Plex Sans Light" w:hAnsi="IBM Plex Sans Light" w:cs="Arial"/>
                <w:sz w:val="16"/>
                <w:szCs w:val="16"/>
              </w:rPr>
            </w:pPr>
          </w:p>
        </w:tc>
        <w:tc>
          <w:tcPr>
            <w:tcW w:w="709" w:type="dxa"/>
            <w:tcBorders>
              <w:top w:val="single" w:sz="2" w:space="0" w:color="3D7FE0" w:themeColor="accent1"/>
              <w:bottom w:val="single" w:sz="8" w:space="0" w:color="3D7FE0" w:themeColor="accent1"/>
            </w:tcBorders>
          </w:tcPr>
          <w:p w14:paraId="61DBF76B"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Borders>
              <w:top w:val="single" w:sz="2" w:space="0" w:color="3D7FE0" w:themeColor="accent1"/>
              <w:bottom w:val="single" w:sz="8" w:space="0" w:color="3D7FE0" w:themeColor="accent1"/>
            </w:tcBorders>
            <w:tcMar>
              <w:left w:w="0" w:type="dxa"/>
              <w:right w:w="0" w:type="dxa"/>
            </w:tcMar>
          </w:tcPr>
          <w:p w14:paraId="4EAFA68D" w14:textId="2E9CD554"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14.7</w:t>
            </w:r>
          </w:p>
        </w:tc>
        <w:tc>
          <w:tcPr>
            <w:tcW w:w="1298" w:type="dxa"/>
            <w:tcBorders>
              <w:top w:val="single" w:sz="2" w:space="0" w:color="3D7FE0" w:themeColor="accent1"/>
              <w:bottom w:val="single" w:sz="8" w:space="0" w:color="3D7FE0" w:themeColor="accent1"/>
            </w:tcBorders>
            <w:tcMar>
              <w:left w:w="0" w:type="dxa"/>
              <w:right w:w="0" w:type="dxa"/>
            </w:tcMar>
            <w:vAlign w:val="bottom"/>
          </w:tcPr>
          <w:p w14:paraId="43955187" w14:textId="358EAF46" w:rsidR="00D9524D" w:rsidRPr="00895810" w:rsidRDefault="00D9524D" w:rsidP="00D9524D">
            <w:pPr>
              <w:pStyle w:val="TableFiguresBold"/>
              <w:rPr>
                <w:rFonts w:ascii="IBM Plex Sans Light" w:hAnsi="IBM Plex Sans Light"/>
                <w:b w:val="0"/>
                <w:color w:val="auto"/>
                <w:sz w:val="18"/>
                <w:szCs w:val="18"/>
              </w:rPr>
            </w:pPr>
            <w:r>
              <w:rPr>
                <w:rFonts w:ascii="IBM Plex Sans Light" w:hAnsi="IBM Plex Sans Light"/>
                <w:b w:val="0"/>
                <w:color w:val="auto"/>
                <w:sz w:val="18"/>
                <w:szCs w:val="18"/>
              </w:rPr>
              <w:t>9.3</w:t>
            </w:r>
          </w:p>
        </w:tc>
      </w:tr>
    </w:tbl>
    <w:p w14:paraId="1D007815" w14:textId="77777777" w:rsidR="00433098" w:rsidRPr="00895810" w:rsidRDefault="00433098" w:rsidP="0076072C">
      <w:pPr>
        <w:spacing w:after="0" w:line="240" w:lineRule="auto"/>
        <w:ind w:right="-227"/>
        <w:rPr>
          <w:rFonts w:ascii="IBM Plex Sans Light" w:hAnsi="IBM Plex Sans Light" w:cs="Arial"/>
          <w:b/>
          <w:bCs/>
          <w:color w:val="3D7FE0" w:themeColor="accent1"/>
          <w:szCs w:val="16"/>
        </w:rPr>
      </w:pPr>
    </w:p>
    <w:tbl>
      <w:tblPr>
        <w:tblW w:w="9941" w:type="dxa"/>
        <w:tblLayout w:type="fixed"/>
        <w:tblLook w:val="01E0" w:firstRow="1" w:lastRow="1" w:firstColumn="1" w:lastColumn="1" w:noHBand="0" w:noVBand="0"/>
      </w:tblPr>
      <w:tblGrid>
        <w:gridCol w:w="6066"/>
        <w:gridCol w:w="425"/>
        <w:gridCol w:w="709"/>
        <w:gridCol w:w="1443"/>
        <w:gridCol w:w="1298"/>
      </w:tblGrid>
      <w:tr w:rsidR="00433098" w:rsidRPr="00895810" w14:paraId="6A6B1088" w14:textId="77777777" w:rsidTr="00B877C0">
        <w:trPr>
          <w:trHeight w:val="203"/>
        </w:trPr>
        <w:tc>
          <w:tcPr>
            <w:tcW w:w="6066" w:type="dxa"/>
            <w:tcMar>
              <w:left w:w="0" w:type="dxa"/>
              <w:right w:w="0" w:type="dxa"/>
            </w:tcMar>
            <w:vAlign w:val="bottom"/>
          </w:tcPr>
          <w:p w14:paraId="360B8FD4" w14:textId="77777777" w:rsidR="00433098" w:rsidRPr="00895810" w:rsidRDefault="00433098" w:rsidP="003F2C4C">
            <w:pPr>
              <w:pStyle w:val="TableColHeads"/>
              <w:rPr>
                <w:rFonts w:ascii="IBM Plex Sans Light" w:hAnsi="IBM Plex Sans Light"/>
              </w:rPr>
            </w:pPr>
          </w:p>
        </w:tc>
        <w:tc>
          <w:tcPr>
            <w:tcW w:w="425" w:type="dxa"/>
            <w:vAlign w:val="bottom"/>
          </w:tcPr>
          <w:p w14:paraId="74997574" w14:textId="77777777" w:rsidR="00433098" w:rsidRPr="00895810" w:rsidRDefault="00433098" w:rsidP="003F2C4C">
            <w:pPr>
              <w:pStyle w:val="TableColHeads"/>
              <w:rPr>
                <w:rFonts w:ascii="IBM Plex Sans Light" w:hAnsi="IBM Plex Sans Light"/>
              </w:rPr>
            </w:pPr>
          </w:p>
        </w:tc>
        <w:tc>
          <w:tcPr>
            <w:tcW w:w="709" w:type="dxa"/>
          </w:tcPr>
          <w:p w14:paraId="3E3BE13F" w14:textId="77777777" w:rsidR="00433098" w:rsidRPr="00895810" w:rsidRDefault="00433098" w:rsidP="003F2C4C">
            <w:pPr>
              <w:pStyle w:val="TableColHeadsBold"/>
              <w:rPr>
                <w:rFonts w:ascii="IBM Plex Sans Light" w:hAnsi="IBM Plex Sans Light"/>
                <w:color w:val="3D7FE0" w:themeColor="accent1"/>
              </w:rPr>
            </w:pPr>
          </w:p>
        </w:tc>
        <w:tc>
          <w:tcPr>
            <w:tcW w:w="1443" w:type="dxa"/>
            <w:tcMar>
              <w:left w:w="0" w:type="dxa"/>
              <w:right w:w="0" w:type="dxa"/>
            </w:tcMar>
            <w:vAlign w:val="bottom"/>
          </w:tcPr>
          <w:p w14:paraId="1A3CFC57" w14:textId="7AE640FF" w:rsidR="00433098" w:rsidRPr="00895810" w:rsidRDefault="00785AC2" w:rsidP="003F2C4C">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433098" w:rsidRPr="00895810">
              <w:rPr>
                <w:rFonts w:ascii="IBM Plex Sans Light" w:hAnsi="IBM Plex Sans Light"/>
                <w:color w:val="3D7FE0" w:themeColor="accent1"/>
              </w:rPr>
              <w:t xml:space="preserve"> </w:t>
            </w:r>
          </w:p>
        </w:tc>
        <w:tc>
          <w:tcPr>
            <w:tcW w:w="1298" w:type="dxa"/>
            <w:tcMar>
              <w:left w:w="0" w:type="dxa"/>
              <w:right w:w="0" w:type="dxa"/>
            </w:tcMar>
            <w:vAlign w:val="bottom"/>
          </w:tcPr>
          <w:p w14:paraId="30A94FE7" w14:textId="5309ADD0" w:rsidR="00433098" w:rsidRPr="00895810" w:rsidRDefault="00187A8D" w:rsidP="003F2C4C">
            <w:pPr>
              <w:pStyle w:val="TableColHeads"/>
              <w:rPr>
                <w:rFonts w:ascii="IBM Plex Sans Light" w:hAnsi="IBM Plex Sans Light"/>
              </w:rPr>
            </w:pPr>
            <w:r>
              <w:rPr>
                <w:rFonts w:ascii="IBM Plex Sans Light" w:hAnsi="IBM Plex Sans Light"/>
              </w:rPr>
              <w:t>2022</w:t>
            </w:r>
          </w:p>
        </w:tc>
      </w:tr>
      <w:tr w:rsidR="00433098" w:rsidRPr="00895810" w14:paraId="0802D2DD" w14:textId="77777777" w:rsidTr="00B877C0">
        <w:tc>
          <w:tcPr>
            <w:tcW w:w="6066" w:type="dxa"/>
            <w:tcBorders>
              <w:bottom w:val="single" w:sz="2" w:space="0" w:color="3D7FE0" w:themeColor="accent1"/>
            </w:tcBorders>
            <w:tcMar>
              <w:left w:w="0" w:type="dxa"/>
              <w:bottom w:w="28" w:type="dxa"/>
              <w:right w:w="0" w:type="dxa"/>
            </w:tcMar>
            <w:vAlign w:val="bottom"/>
          </w:tcPr>
          <w:p w14:paraId="2866136A" w14:textId="77777777" w:rsidR="00433098" w:rsidRPr="00895810" w:rsidRDefault="00433098" w:rsidP="003F2C4C">
            <w:pPr>
              <w:pStyle w:val="TableColHeads"/>
              <w:jc w:val="left"/>
              <w:rPr>
                <w:rFonts w:ascii="IBM Plex Sans Light" w:hAnsi="IBM Plex Sans Light"/>
                <w:sz w:val="16"/>
                <w:szCs w:val="18"/>
              </w:rPr>
            </w:pPr>
            <w:r w:rsidRPr="00895810">
              <w:rPr>
                <w:rFonts w:ascii="IBM Plex Sans Light" w:hAnsi="IBM Plex Sans Light" w:cs="Arial"/>
                <w:b/>
                <w:bCs/>
                <w:color w:val="3D7FE0" w:themeColor="accent1"/>
                <w:sz w:val="16"/>
                <w:szCs w:val="18"/>
              </w:rPr>
              <w:t>Gross administration costs</w:t>
            </w:r>
          </w:p>
        </w:tc>
        <w:tc>
          <w:tcPr>
            <w:tcW w:w="425" w:type="dxa"/>
            <w:tcBorders>
              <w:bottom w:val="single" w:sz="2" w:space="0" w:color="3D7FE0" w:themeColor="accent1"/>
            </w:tcBorders>
            <w:vAlign w:val="bottom"/>
          </w:tcPr>
          <w:p w14:paraId="6F039376" w14:textId="77777777" w:rsidR="00433098" w:rsidRPr="00895810" w:rsidRDefault="00433098" w:rsidP="003F2C4C">
            <w:pPr>
              <w:pStyle w:val="TableColHeads"/>
              <w:rPr>
                <w:rFonts w:ascii="IBM Plex Sans Light" w:hAnsi="IBM Plex Sans Light"/>
              </w:rPr>
            </w:pPr>
          </w:p>
        </w:tc>
        <w:tc>
          <w:tcPr>
            <w:tcW w:w="709" w:type="dxa"/>
            <w:tcBorders>
              <w:bottom w:val="single" w:sz="2" w:space="0" w:color="3D7FE0" w:themeColor="accent1"/>
            </w:tcBorders>
          </w:tcPr>
          <w:p w14:paraId="773CFA6B" w14:textId="77777777" w:rsidR="00433098" w:rsidRPr="00895810" w:rsidRDefault="00433098" w:rsidP="003F2C4C">
            <w:pPr>
              <w:pStyle w:val="TableColHeads"/>
              <w:rPr>
                <w:rFonts w:ascii="IBM Plex Sans Light" w:hAnsi="IBM Plex Sans Light"/>
                <w:b/>
              </w:rPr>
            </w:pPr>
            <w:r w:rsidRPr="00895810">
              <w:rPr>
                <w:rFonts w:ascii="IBM Plex Sans Light" w:hAnsi="IBM Plex Sans Light"/>
                <w:b/>
              </w:rPr>
              <w:t>Note</w:t>
            </w:r>
          </w:p>
        </w:tc>
        <w:tc>
          <w:tcPr>
            <w:tcW w:w="1443" w:type="dxa"/>
            <w:tcBorders>
              <w:bottom w:val="single" w:sz="2" w:space="0" w:color="3D7FE0" w:themeColor="accent1"/>
            </w:tcBorders>
            <w:tcMar>
              <w:left w:w="0" w:type="dxa"/>
              <w:bottom w:w="28" w:type="dxa"/>
              <w:right w:w="0" w:type="dxa"/>
            </w:tcMar>
            <w:vAlign w:val="bottom"/>
          </w:tcPr>
          <w:p w14:paraId="795FD214" w14:textId="77777777" w:rsidR="00433098" w:rsidRPr="00895810" w:rsidRDefault="00433098"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1298" w:type="dxa"/>
            <w:tcBorders>
              <w:bottom w:val="single" w:sz="2" w:space="0" w:color="3D7FE0" w:themeColor="accent1"/>
            </w:tcBorders>
            <w:tcMar>
              <w:left w:w="0" w:type="dxa"/>
              <w:bottom w:w="28" w:type="dxa"/>
              <w:right w:w="0" w:type="dxa"/>
            </w:tcMar>
            <w:vAlign w:val="bottom"/>
          </w:tcPr>
          <w:p w14:paraId="6C0B492A" w14:textId="77777777" w:rsidR="00433098" w:rsidRPr="00895810" w:rsidRDefault="00433098" w:rsidP="003F2C4C">
            <w:pPr>
              <w:pStyle w:val="TableColHeads"/>
              <w:rPr>
                <w:rFonts w:ascii="IBM Plex Sans Light" w:hAnsi="IBM Plex Sans Light"/>
              </w:rPr>
            </w:pPr>
            <w:r w:rsidRPr="00895810">
              <w:rPr>
                <w:rFonts w:ascii="IBM Plex Sans Light" w:hAnsi="IBM Plex Sans Light"/>
              </w:rPr>
              <w:t>£m</w:t>
            </w:r>
          </w:p>
        </w:tc>
      </w:tr>
      <w:tr w:rsidR="00D9524D" w:rsidRPr="00895810" w14:paraId="445E2C19" w14:textId="77777777" w:rsidTr="00895810">
        <w:tc>
          <w:tcPr>
            <w:tcW w:w="6066" w:type="dxa"/>
            <w:tcBorders>
              <w:top w:val="single" w:sz="2" w:space="0" w:color="3D7FE0" w:themeColor="accent1"/>
            </w:tcBorders>
            <w:tcMar>
              <w:left w:w="0" w:type="dxa"/>
              <w:right w:w="0" w:type="dxa"/>
            </w:tcMar>
            <w:vAlign w:val="center"/>
          </w:tcPr>
          <w:p w14:paraId="6F600C79"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Employee costs</w:t>
            </w:r>
          </w:p>
        </w:tc>
        <w:tc>
          <w:tcPr>
            <w:tcW w:w="425" w:type="dxa"/>
            <w:tcBorders>
              <w:top w:val="single" w:sz="2" w:space="0" w:color="3D7FE0" w:themeColor="accent1"/>
            </w:tcBorders>
            <w:vAlign w:val="bottom"/>
          </w:tcPr>
          <w:p w14:paraId="52CB73E5"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Borders>
              <w:top w:val="single" w:sz="2" w:space="0" w:color="3D7FE0" w:themeColor="accent1"/>
            </w:tcBorders>
          </w:tcPr>
          <w:p w14:paraId="6229EE6F" w14:textId="3FE8ED98"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Borders>
              <w:top w:val="single" w:sz="2" w:space="0" w:color="3D7FE0" w:themeColor="accent1"/>
            </w:tcBorders>
            <w:tcMar>
              <w:left w:w="0" w:type="dxa"/>
              <w:right w:w="0" w:type="dxa"/>
            </w:tcMar>
          </w:tcPr>
          <w:p w14:paraId="7DACF4C8" w14:textId="0C59B725"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35.2</w:t>
            </w:r>
          </w:p>
        </w:tc>
        <w:tc>
          <w:tcPr>
            <w:tcW w:w="1298" w:type="dxa"/>
            <w:tcBorders>
              <w:top w:val="single" w:sz="2" w:space="0" w:color="3D7FE0" w:themeColor="accent1"/>
            </w:tcBorders>
            <w:tcMar>
              <w:left w:w="0" w:type="dxa"/>
              <w:right w:w="0" w:type="dxa"/>
            </w:tcMar>
          </w:tcPr>
          <w:p w14:paraId="6F37A267" w14:textId="03211145" w:rsidR="00D9524D" w:rsidRPr="00895810" w:rsidRDefault="00D9524D" w:rsidP="00D9524D">
            <w:pPr>
              <w:pStyle w:val="TableFiguresBold"/>
              <w:rPr>
                <w:rFonts w:ascii="IBM Plex Sans Light" w:hAnsi="IBM Plex Sans Light"/>
                <w:b w:val="0"/>
                <w:color w:val="auto"/>
                <w:sz w:val="18"/>
                <w:szCs w:val="18"/>
              </w:rPr>
            </w:pPr>
            <w:r w:rsidRPr="004F7F36">
              <w:rPr>
                <w:rFonts w:ascii="IBM Plex Sans Light" w:hAnsi="IBM Plex Sans Light"/>
                <w:b w:val="0"/>
                <w:color w:val="auto"/>
                <w:sz w:val="18"/>
                <w:szCs w:val="18"/>
              </w:rPr>
              <w:t>42.0</w:t>
            </w:r>
          </w:p>
        </w:tc>
      </w:tr>
      <w:tr w:rsidR="00D9524D" w:rsidRPr="00895810" w14:paraId="313158B7" w14:textId="77777777" w:rsidTr="00895810">
        <w:tc>
          <w:tcPr>
            <w:tcW w:w="6066" w:type="dxa"/>
            <w:tcMar>
              <w:left w:w="0" w:type="dxa"/>
              <w:right w:w="0" w:type="dxa"/>
            </w:tcMar>
            <w:vAlign w:val="center"/>
          </w:tcPr>
          <w:p w14:paraId="6BCE9D76"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 xml:space="preserve">Depreciation of plant and equipment </w:t>
            </w:r>
          </w:p>
        </w:tc>
        <w:tc>
          <w:tcPr>
            <w:tcW w:w="425" w:type="dxa"/>
            <w:vAlign w:val="bottom"/>
          </w:tcPr>
          <w:p w14:paraId="707BA4A9"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Pr>
          <w:p w14:paraId="5268DDB5"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Mar>
              <w:left w:w="0" w:type="dxa"/>
              <w:right w:w="0" w:type="dxa"/>
            </w:tcMar>
          </w:tcPr>
          <w:p w14:paraId="1C0E3B67" w14:textId="1BC172DE"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0.6</w:t>
            </w:r>
          </w:p>
        </w:tc>
        <w:tc>
          <w:tcPr>
            <w:tcW w:w="1298" w:type="dxa"/>
            <w:tcMar>
              <w:left w:w="0" w:type="dxa"/>
              <w:right w:w="0" w:type="dxa"/>
            </w:tcMar>
          </w:tcPr>
          <w:p w14:paraId="69099F4E" w14:textId="69B3B5DC" w:rsidR="00D9524D" w:rsidRPr="00895810" w:rsidRDefault="00D9524D" w:rsidP="00D9524D">
            <w:pPr>
              <w:pStyle w:val="TableFiguresBold"/>
              <w:rPr>
                <w:rFonts w:ascii="IBM Plex Sans Light" w:hAnsi="IBM Plex Sans Light"/>
                <w:b w:val="0"/>
                <w:color w:val="auto"/>
                <w:sz w:val="18"/>
                <w:szCs w:val="18"/>
              </w:rPr>
            </w:pPr>
            <w:r w:rsidRPr="004F7F36">
              <w:rPr>
                <w:rFonts w:ascii="IBM Plex Sans Light" w:hAnsi="IBM Plex Sans Light"/>
                <w:b w:val="0"/>
                <w:color w:val="auto"/>
                <w:sz w:val="18"/>
                <w:szCs w:val="18"/>
              </w:rPr>
              <w:t>1.0</w:t>
            </w:r>
          </w:p>
        </w:tc>
      </w:tr>
      <w:tr w:rsidR="00D9524D" w:rsidRPr="00895810" w14:paraId="0734B96E" w14:textId="77777777" w:rsidTr="00895810">
        <w:tc>
          <w:tcPr>
            <w:tcW w:w="6066" w:type="dxa"/>
            <w:tcMar>
              <w:left w:w="0" w:type="dxa"/>
              <w:right w:w="0" w:type="dxa"/>
            </w:tcMar>
            <w:vAlign w:val="center"/>
          </w:tcPr>
          <w:p w14:paraId="4D25351A"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Depreciation of right-of-use assets</w:t>
            </w:r>
          </w:p>
        </w:tc>
        <w:tc>
          <w:tcPr>
            <w:tcW w:w="425" w:type="dxa"/>
            <w:vAlign w:val="bottom"/>
          </w:tcPr>
          <w:p w14:paraId="2773115F"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Pr>
          <w:p w14:paraId="046E24B6"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Mar>
              <w:left w:w="0" w:type="dxa"/>
              <w:right w:w="0" w:type="dxa"/>
            </w:tcMar>
          </w:tcPr>
          <w:p w14:paraId="1082FA44" w14:textId="7942048B"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2.4</w:t>
            </w:r>
          </w:p>
        </w:tc>
        <w:tc>
          <w:tcPr>
            <w:tcW w:w="1298" w:type="dxa"/>
            <w:tcMar>
              <w:left w:w="0" w:type="dxa"/>
              <w:right w:w="0" w:type="dxa"/>
            </w:tcMar>
          </w:tcPr>
          <w:p w14:paraId="0BC7B343" w14:textId="0204412C" w:rsidR="00D9524D" w:rsidRPr="00895810" w:rsidRDefault="00D9524D" w:rsidP="00D9524D">
            <w:pPr>
              <w:pStyle w:val="TableFiguresBold"/>
              <w:rPr>
                <w:rFonts w:ascii="IBM Plex Sans Light" w:hAnsi="IBM Plex Sans Light"/>
                <w:b w:val="0"/>
                <w:color w:val="auto"/>
                <w:sz w:val="18"/>
                <w:szCs w:val="18"/>
              </w:rPr>
            </w:pPr>
            <w:r w:rsidRPr="004F7F36">
              <w:rPr>
                <w:rFonts w:ascii="IBM Plex Sans Light" w:hAnsi="IBM Plex Sans Light"/>
                <w:b w:val="0"/>
                <w:color w:val="auto"/>
                <w:sz w:val="18"/>
                <w:szCs w:val="18"/>
              </w:rPr>
              <w:t>3.1</w:t>
            </w:r>
          </w:p>
        </w:tc>
      </w:tr>
      <w:tr w:rsidR="00D9524D" w:rsidRPr="00895810" w14:paraId="2B5CE6C5" w14:textId="77777777" w:rsidTr="00895810">
        <w:tc>
          <w:tcPr>
            <w:tcW w:w="6066" w:type="dxa"/>
            <w:tcMar>
              <w:left w:w="0" w:type="dxa"/>
              <w:right w:w="0" w:type="dxa"/>
            </w:tcMar>
            <w:vAlign w:val="center"/>
          </w:tcPr>
          <w:p w14:paraId="4DB058E2" w14:textId="65EFC8D1" w:rsidR="00D9524D" w:rsidRPr="00024B10" w:rsidRDefault="00D9524D" w:rsidP="00D9524D">
            <w:pPr>
              <w:spacing w:after="0" w:line="240" w:lineRule="auto"/>
              <w:rPr>
                <w:rFonts w:ascii="IBM Plex Sans Light" w:hAnsi="IBM Plex Sans Light" w:cs="Arial"/>
                <w:szCs w:val="18"/>
                <w:vertAlign w:val="superscript"/>
              </w:rPr>
            </w:pPr>
            <w:r w:rsidRPr="00895810">
              <w:rPr>
                <w:rFonts w:ascii="IBM Plex Sans Light" w:hAnsi="IBM Plex Sans Light" w:cs="Arial"/>
                <w:szCs w:val="18"/>
              </w:rPr>
              <w:t xml:space="preserve">Other </w:t>
            </w:r>
            <w:proofErr w:type="spellStart"/>
            <w:r w:rsidRPr="00895810">
              <w:rPr>
                <w:rFonts w:ascii="IBM Plex Sans Light" w:hAnsi="IBM Plex Sans Light" w:cs="Arial"/>
                <w:szCs w:val="18"/>
              </w:rPr>
              <w:t>costs</w:t>
            </w:r>
            <w:r w:rsidR="00CE2F7F">
              <w:rPr>
                <w:rFonts w:ascii="IBM Plex Sans Light" w:hAnsi="IBM Plex Sans Light" w:cs="Arial"/>
                <w:szCs w:val="18"/>
                <w:vertAlign w:val="superscript"/>
              </w:rPr>
              <w:t>b</w:t>
            </w:r>
            <w:proofErr w:type="spellEnd"/>
          </w:p>
        </w:tc>
        <w:tc>
          <w:tcPr>
            <w:tcW w:w="425" w:type="dxa"/>
            <w:vAlign w:val="bottom"/>
          </w:tcPr>
          <w:p w14:paraId="014EB677" w14:textId="3AF7E9A5" w:rsidR="00D9524D" w:rsidRPr="00895810" w:rsidRDefault="00D9524D" w:rsidP="00D9524D">
            <w:pPr>
              <w:spacing w:after="0" w:line="240" w:lineRule="auto"/>
              <w:jc w:val="right"/>
              <w:rPr>
                <w:rFonts w:ascii="IBM Plex Sans Light" w:hAnsi="IBM Plex Sans Light" w:cs="Arial"/>
                <w:sz w:val="16"/>
                <w:szCs w:val="16"/>
              </w:rPr>
            </w:pPr>
          </w:p>
        </w:tc>
        <w:tc>
          <w:tcPr>
            <w:tcW w:w="709" w:type="dxa"/>
          </w:tcPr>
          <w:p w14:paraId="43BA96F9" w14:textId="77777777" w:rsidR="00D9524D" w:rsidRDefault="00D9524D" w:rsidP="00D9524D">
            <w:pPr>
              <w:pStyle w:val="TableFiguresBold"/>
              <w:rPr>
                <w:rFonts w:ascii="IBM Plex Sans Light" w:hAnsi="IBM Plex Sans Light"/>
                <w:b w:val="0"/>
                <w:bCs w:val="0"/>
                <w:color w:val="auto"/>
                <w:spacing w:val="-4"/>
                <w:szCs w:val="16"/>
              </w:rPr>
            </w:pPr>
          </w:p>
        </w:tc>
        <w:tc>
          <w:tcPr>
            <w:tcW w:w="1443" w:type="dxa"/>
            <w:tcMar>
              <w:left w:w="0" w:type="dxa"/>
              <w:right w:w="0" w:type="dxa"/>
            </w:tcMar>
          </w:tcPr>
          <w:p w14:paraId="683E9A95" w14:textId="53CB321C" w:rsidR="00D9524D" w:rsidRPr="00D9524D"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w:t>
            </w:r>
            <w:r w:rsidR="00573BEB">
              <w:rPr>
                <w:rFonts w:ascii="IBM Plex Sans Medium" w:hAnsi="IBM Plex Sans Medium"/>
                <w:b/>
                <w:bCs/>
                <w:color w:val="3D7FE0" w:themeColor="accent1"/>
                <w:spacing w:val="-4"/>
                <w:sz w:val="18"/>
                <w:szCs w:val="18"/>
              </w:rPr>
              <w:t>2.9</w:t>
            </w:r>
          </w:p>
        </w:tc>
        <w:tc>
          <w:tcPr>
            <w:tcW w:w="1298" w:type="dxa"/>
            <w:tcMar>
              <w:left w:w="0" w:type="dxa"/>
              <w:right w:w="0" w:type="dxa"/>
            </w:tcMar>
          </w:tcPr>
          <w:p w14:paraId="44BD4069" w14:textId="0A93BA9A" w:rsidR="00D9524D" w:rsidRPr="004F7F36" w:rsidRDefault="00D9524D" w:rsidP="00D9524D">
            <w:pPr>
              <w:pStyle w:val="TableFiguresBold"/>
              <w:rPr>
                <w:rFonts w:ascii="IBM Plex Sans Light" w:hAnsi="IBM Plex Sans Light"/>
                <w:b w:val="0"/>
                <w:color w:val="auto"/>
                <w:sz w:val="18"/>
                <w:szCs w:val="18"/>
              </w:rPr>
            </w:pPr>
            <w:r w:rsidRPr="004F7F36">
              <w:rPr>
                <w:rFonts w:ascii="IBM Plex Sans Light" w:hAnsi="IBM Plex Sans Light"/>
                <w:b w:val="0"/>
                <w:color w:val="auto"/>
                <w:sz w:val="18"/>
                <w:szCs w:val="18"/>
              </w:rPr>
              <w:t>13.4</w:t>
            </w:r>
          </w:p>
        </w:tc>
      </w:tr>
      <w:tr w:rsidR="00D9524D" w:rsidRPr="00895810" w14:paraId="7826F92D" w14:textId="77777777" w:rsidTr="00895810">
        <w:tc>
          <w:tcPr>
            <w:tcW w:w="6066" w:type="dxa"/>
            <w:tcMar>
              <w:left w:w="0" w:type="dxa"/>
              <w:right w:w="0" w:type="dxa"/>
            </w:tcMar>
            <w:vAlign w:val="center"/>
          </w:tcPr>
          <w:p w14:paraId="0CBA6B42" w14:textId="77777777" w:rsidR="00D9524D" w:rsidRPr="00895810" w:rsidRDefault="00D9524D" w:rsidP="00D9524D">
            <w:pPr>
              <w:spacing w:after="0" w:line="240" w:lineRule="auto"/>
              <w:rPr>
                <w:rFonts w:ascii="IBM Plex Sans Light" w:hAnsi="IBM Plex Sans Light" w:cs="Arial"/>
                <w:szCs w:val="18"/>
              </w:rPr>
            </w:pPr>
            <w:r w:rsidRPr="00895810">
              <w:rPr>
                <w:rFonts w:ascii="IBM Plex Sans Light" w:hAnsi="IBM Plex Sans Light" w:cs="Arial"/>
                <w:szCs w:val="18"/>
              </w:rPr>
              <w:t>Business transformation costs</w:t>
            </w:r>
          </w:p>
        </w:tc>
        <w:tc>
          <w:tcPr>
            <w:tcW w:w="425" w:type="dxa"/>
            <w:vAlign w:val="bottom"/>
          </w:tcPr>
          <w:p w14:paraId="66B18297"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Pr>
          <w:p w14:paraId="42EBBCDD" w14:textId="1E9ACA19" w:rsidR="00D9524D" w:rsidRPr="00895810" w:rsidRDefault="00D9524D" w:rsidP="00D9524D">
            <w:pPr>
              <w:pStyle w:val="TableFiguresBold"/>
              <w:rPr>
                <w:rFonts w:ascii="IBM Plex Sans Light" w:hAnsi="IBM Plex Sans Light"/>
                <w:b w:val="0"/>
                <w:bCs w:val="0"/>
                <w:color w:val="auto"/>
                <w:spacing w:val="-4"/>
                <w:szCs w:val="16"/>
              </w:rPr>
            </w:pPr>
            <w:r>
              <w:rPr>
                <w:rFonts w:ascii="IBM Plex Sans Light" w:hAnsi="IBM Plex Sans Light"/>
                <w:b w:val="0"/>
                <w:bCs w:val="0"/>
                <w:color w:val="auto"/>
                <w:spacing w:val="-4"/>
                <w:szCs w:val="16"/>
              </w:rPr>
              <w:t>9</w:t>
            </w:r>
            <w:r w:rsidRPr="00895810">
              <w:rPr>
                <w:rFonts w:ascii="IBM Plex Sans Light" w:hAnsi="IBM Plex Sans Light"/>
                <w:b w:val="0"/>
                <w:bCs w:val="0"/>
                <w:color w:val="auto"/>
                <w:spacing w:val="-4"/>
                <w:szCs w:val="16"/>
              </w:rPr>
              <w:t>A</w:t>
            </w:r>
          </w:p>
        </w:tc>
        <w:tc>
          <w:tcPr>
            <w:tcW w:w="1443" w:type="dxa"/>
            <w:tcMar>
              <w:left w:w="0" w:type="dxa"/>
              <w:right w:w="0" w:type="dxa"/>
            </w:tcMar>
          </w:tcPr>
          <w:p w14:paraId="68B9343D" w14:textId="354E4DD7"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1</w:t>
            </w:r>
            <w:r w:rsidR="00573BEB">
              <w:rPr>
                <w:rFonts w:ascii="IBM Plex Sans Medium" w:hAnsi="IBM Plex Sans Medium"/>
                <w:b/>
                <w:bCs/>
                <w:color w:val="3D7FE0" w:themeColor="accent1"/>
                <w:spacing w:val="-4"/>
                <w:sz w:val="18"/>
                <w:szCs w:val="18"/>
              </w:rPr>
              <w:t>3.2</w:t>
            </w:r>
          </w:p>
        </w:tc>
        <w:tc>
          <w:tcPr>
            <w:tcW w:w="1298" w:type="dxa"/>
            <w:tcMar>
              <w:left w:w="0" w:type="dxa"/>
              <w:right w:w="0" w:type="dxa"/>
            </w:tcMar>
          </w:tcPr>
          <w:p w14:paraId="2415ECB7" w14:textId="088DD1EA" w:rsidR="00D9524D" w:rsidRPr="00895810" w:rsidRDefault="00D9524D" w:rsidP="00D9524D">
            <w:pPr>
              <w:pStyle w:val="TableFiguresBold"/>
              <w:rPr>
                <w:rFonts w:ascii="IBM Plex Sans Light" w:hAnsi="IBM Plex Sans Light"/>
                <w:b w:val="0"/>
                <w:color w:val="auto"/>
                <w:sz w:val="18"/>
                <w:szCs w:val="18"/>
              </w:rPr>
            </w:pPr>
            <w:r w:rsidRPr="004F7F36">
              <w:rPr>
                <w:rFonts w:ascii="IBM Plex Sans Light" w:hAnsi="IBM Plex Sans Light"/>
                <w:b w:val="0"/>
                <w:color w:val="auto"/>
                <w:sz w:val="18"/>
                <w:szCs w:val="18"/>
              </w:rPr>
              <w:t>5.1</w:t>
            </w:r>
          </w:p>
        </w:tc>
      </w:tr>
      <w:tr w:rsidR="00D9524D" w:rsidRPr="00895810" w14:paraId="595330DE" w14:textId="77777777" w:rsidTr="00895810">
        <w:tc>
          <w:tcPr>
            <w:tcW w:w="6066" w:type="dxa"/>
            <w:tcBorders>
              <w:top w:val="single" w:sz="2" w:space="0" w:color="3D7FE0" w:themeColor="accent1"/>
              <w:bottom w:val="single" w:sz="8" w:space="0" w:color="3D7FE0" w:themeColor="accent1"/>
            </w:tcBorders>
            <w:tcMar>
              <w:left w:w="0" w:type="dxa"/>
              <w:right w:w="0" w:type="dxa"/>
            </w:tcMar>
            <w:vAlign w:val="center"/>
          </w:tcPr>
          <w:p w14:paraId="44624384" w14:textId="31679CE4" w:rsidR="00D9524D" w:rsidRPr="00895810" w:rsidRDefault="00D9524D" w:rsidP="00D9524D">
            <w:pPr>
              <w:spacing w:after="0" w:line="240" w:lineRule="auto"/>
              <w:rPr>
                <w:rFonts w:ascii="IBM Plex Sans Light" w:hAnsi="IBM Plex Sans Light" w:cs="Arial"/>
                <w:szCs w:val="18"/>
              </w:rPr>
            </w:pPr>
          </w:p>
        </w:tc>
        <w:tc>
          <w:tcPr>
            <w:tcW w:w="425" w:type="dxa"/>
            <w:tcBorders>
              <w:top w:val="single" w:sz="2" w:space="0" w:color="3D7FE0" w:themeColor="accent1"/>
              <w:bottom w:val="single" w:sz="8" w:space="0" w:color="3D7FE0" w:themeColor="accent1"/>
            </w:tcBorders>
            <w:vAlign w:val="bottom"/>
          </w:tcPr>
          <w:p w14:paraId="08C4E6D0" w14:textId="77777777" w:rsidR="00D9524D" w:rsidRPr="00895810" w:rsidRDefault="00D9524D" w:rsidP="00D9524D">
            <w:pPr>
              <w:spacing w:after="0" w:line="240" w:lineRule="auto"/>
              <w:jc w:val="right"/>
              <w:rPr>
                <w:rFonts w:ascii="IBM Plex Sans Light" w:hAnsi="IBM Plex Sans Light" w:cs="Arial"/>
                <w:sz w:val="16"/>
                <w:szCs w:val="16"/>
              </w:rPr>
            </w:pPr>
          </w:p>
        </w:tc>
        <w:tc>
          <w:tcPr>
            <w:tcW w:w="709" w:type="dxa"/>
            <w:tcBorders>
              <w:top w:val="single" w:sz="2" w:space="0" w:color="3D7FE0" w:themeColor="accent1"/>
              <w:bottom w:val="single" w:sz="8" w:space="0" w:color="3D7FE0" w:themeColor="accent1"/>
            </w:tcBorders>
          </w:tcPr>
          <w:p w14:paraId="04D77476" w14:textId="77777777" w:rsidR="00D9524D" w:rsidRPr="00895810" w:rsidRDefault="00D9524D" w:rsidP="00D9524D">
            <w:pPr>
              <w:pStyle w:val="TableFiguresBold"/>
              <w:rPr>
                <w:rFonts w:ascii="IBM Plex Sans Light" w:hAnsi="IBM Plex Sans Light"/>
                <w:b w:val="0"/>
                <w:bCs w:val="0"/>
                <w:color w:val="auto"/>
                <w:spacing w:val="-4"/>
                <w:szCs w:val="16"/>
              </w:rPr>
            </w:pPr>
          </w:p>
        </w:tc>
        <w:tc>
          <w:tcPr>
            <w:tcW w:w="1443" w:type="dxa"/>
            <w:tcBorders>
              <w:top w:val="single" w:sz="2" w:space="0" w:color="3D7FE0" w:themeColor="accent1"/>
              <w:bottom w:val="single" w:sz="8" w:space="0" w:color="3D7FE0" w:themeColor="accent1"/>
            </w:tcBorders>
            <w:tcMar>
              <w:left w:w="0" w:type="dxa"/>
              <w:right w:w="0" w:type="dxa"/>
            </w:tcMar>
          </w:tcPr>
          <w:p w14:paraId="589B7D80" w14:textId="578F0AD2" w:rsidR="00D9524D" w:rsidRPr="004F07AE" w:rsidRDefault="00D9524D" w:rsidP="00D9524D">
            <w:pPr>
              <w:pStyle w:val="TableFigures"/>
              <w:rPr>
                <w:rFonts w:ascii="IBM Plex Sans Medium" w:hAnsi="IBM Plex Sans Medium"/>
                <w:b/>
                <w:bCs/>
                <w:color w:val="3D7FE0" w:themeColor="accent1"/>
                <w:spacing w:val="-4"/>
                <w:sz w:val="18"/>
                <w:szCs w:val="18"/>
              </w:rPr>
            </w:pPr>
            <w:r w:rsidRPr="00D9524D">
              <w:rPr>
                <w:rFonts w:ascii="IBM Plex Sans Medium" w:hAnsi="IBM Plex Sans Medium"/>
                <w:b/>
                <w:bCs/>
                <w:color w:val="3D7FE0" w:themeColor="accent1"/>
                <w:spacing w:val="-4"/>
                <w:sz w:val="18"/>
                <w:szCs w:val="18"/>
              </w:rPr>
              <w:t>64.3</w:t>
            </w:r>
          </w:p>
        </w:tc>
        <w:tc>
          <w:tcPr>
            <w:tcW w:w="1298" w:type="dxa"/>
            <w:tcBorders>
              <w:top w:val="single" w:sz="2" w:space="0" w:color="3D7FE0" w:themeColor="accent1"/>
              <w:bottom w:val="single" w:sz="8" w:space="0" w:color="3D7FE0" w:themeColor="accent1"/>
            </w:tcBorders>
            <w:tcMar>
              <w:left w:w="0" w:type="dxa"/>
              <w:right w:w="0" w:type="dxa"/>
            </w:tcMar>
          </w:tcPr>
          <w:p w14:paraId="602A7EE6" w14:textId="2A50EA2F" w:rsidR="00D9524D" w:rsidRPr="00895810" w:rsidRDefault="00D9524D" w:rsidP="00D9524D">
            <w:pPr>
              <w:pStyle w:val="TableFiguresBold"/>
              <w:rPr>
                <w:rFonts w:ascii="IBM Plex Sans Light" w:hAnsi="IBM Plex Sans Light"/>
                <w:b w:val="0"/>
                <w:color w:val="auto"/>
                <w:sz w:val="18"/>
                <w:szCs w:val="18"/>
              </w:rPr>
            </w:pPr>
            <w:r w:rsidRPr="00F02B2E">
              <w:rPr>
                <w:rFonts w:ascii="IBM Plex Sans Light" w:hAnsi="IBM Plex Sans Light"/>
                <w:b w:val="0"/>
                <w:color w:val="auto"/>
                <w:sz w:val="18"/>
                <w:szCs w:val="18"/>
              </w:rPr>
              <w:t>6</w:t>
            </w:r>
            <w:r>
              <w:rPr>
                <w:rFonts w:ascii="IBM Plex Sans Light" w:hAnsi="IBM Plex Sans Light"/>
                <w:b w:val="0"/>
                <w:color w:val="auto"/>
                <w:sz w:val="18"/>
                <w:szCs w:val="18"/>
              </w:rPr>
              <w:t>4.6</w:t>
            </w:r>
          </w:p>
        </w:tc>
      </w:tr>
    </w:tbl>
    <w:p w14:paraId="10C0E67E" w14:textId="77777777" w:rsidR="00B93337" w:rsidRDefault="00B93337" w:rsidP="00B93337">
      <w:pPr>
        <w:pStyle w:val="ListParagraph"/>
        <w:ind w:left="284" w:right="-255" w:hanging="284"/>
        <w:rPr>
          <w:rFonts w:ascii="IBM Plex Sans Light" w:hAnsi="IBM Plex Sans Light" w:cs="Arial"/>
          <w:sz w:val="16"/>
          <w:szCs w:val="16"/>
        </w:rPr>
      </w:pPr>
    </w:p>
    <w:p w14:paraId="79DCCB99" w14:textId="180CF9A4" w:rsidR="004F07AE" w:rsidRPr="00B93337" w:rsidRDefault="004F07AE"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a</w:t>
      </w:r>
      <w:r w:rsidRPr="00B93337">
        <w:rPr>
          <w:rFonts w:ascii="IBM Plex Sans Light" w:hAnsi="IBM Plex Sans Light" w:cs="Arial"/>
          <w:sz w:val="16"/>
          <w:szCs w:val="16"/>
        </w:rPr>
        <w:tab/>
        <w:t>Includes charges and credits in respect of expected credit losses as set out in note 14</w:t>
      </w:r>
      <w:r w:rsidR="00FC6179">
        <w:rPr>
          <w:rFonts w:ascii="IBM Plex Sans Light" w:hAnsi="IBM Plex Sans Light" w:cs="Arial"/>
          <w:sz w:val="16"/>
          <w:szCs w:val="16"/>
        </w:rPr>
        <w:t>A</w:t>
      </w:r>
      <w:r w:rsidRPr="00B93337">
        <w:rPr>
          <w:rFonts w:ascii="IBM Plex Sans Light" w:hAnsi="IBM Plex Sans Light" w:cs="Arial"/>
          <w:sz w:val="16"/>
          <w:szCs w:val="16"/>
        </w:rPr>
        <w:t>.</w:t>
      </w:r>
    </w:p>
    <w:p w14:paraId="4102F5E2" w14:textId="267B98DB" w:rsidR="00AF60AF" w:rsidRPr="00B93337" w:rsidRDefault="004F07AE"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b</w:t>
      </w:r>
      <w:r w:rsidRPr="00B93337">
        <w:rPr>
          <w:rFonts w:ascii="IBM Plex Sans Light" w:hAnsi="IBM Plex Sans Light" w:cs="Arial"/>
          <w:sz w:val="16"/>
          <w:szCs w:val="16"/>
        </w:rPr>
        <w:tab/>
        <w:t>Comprises predominantly professional fees (mainly audit, valuation and legal), Corporate office costs and insurances and IT related costs.</w:t>
      </w:r>
    </w:p>
    <w:p w14:paraId="54D77107" w14:textId="77777777" w:rsidR="00F061D8" w:rsidRPr="00895810" w:rsidRDefault="00F061D8" w:rsidP="0076072C">
      <w:pPr>
        <w:spacing w:after="0" w:line="240" w:lineRule="auto"/>
        <w:jc w:val="both"/>
        <w:rPr>
          <w:rFonts w:ascii="IBM Plex Sans Light" w:hAnsi="IBM Plex Sans Light" w:cs="Arial"/>
          <w:b/>
          <w:color w:val="3D7FE0" w:themeColor="accent1"/>
          <w:sz w:val="14"/>
          <w:szCs w:val="14"/>
          <w:highlight w:val="yellow"/>
        </w:rPr>
      </w:pPr>
    </w:p>
    <w:p w14:paraId="25712E02" w14:textId="77777777" w:rsidR="004F07AE" w:rsidRPr="00AB6B6E" w:rsidRDefault="004F07AE" w:rsidP="004F07A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 xml:space="preserve">6. NET FINANCE COSTS </w:t>
      </w:r>
    </w:p>
    <w:tbl>
      <w:tblPr>
        <w:tblW w:w="9923" w:type="dxa"/>
        <w:tblLayout w:type="fixed"/>
        <w:tblLook w:val="01E0" w:firstRow="1" w:lastRow="1" w:firstColumn="1" w:lastColumn="1" w:noHBand="0" w:noVBand="0"/>
      </w:tblPr>
      <w:tblGrid>
        <w:gridCol w:w="6100"/>
        <w:gridCol w:w="284"/>
        <w:gridCol w:w="798"/>
        <w:gridCol w:w="1443"/>
        <w:gridCol w:w="1298"/>
      </w:tblGrid>
      <w:tr w:rsidR="004F07AE" w:rsidRPr="00895810" w14:paraId="33EE88A9" w14:textId="77777777" w:rsidTr="00B70539">
        <w:tc>
          <w:tcPr>
            <w:tcW w:w="6100" w:type="dxa"/>
            <w:tcMar>
              <w:left w:w="0" w:type="dxa"/>
              <w:right w:w="0" w:type="dxa"/>
            </w:tcMar>
            <w:vAlign w:val="bottom"/>
          </w:tcPr>
          <w:p w14:paraId="01FED560" w14:textId="77777777" w:rsidR="004F07AE" w:rsidRPr="00895810" w:rsidRDefault="004F07AE" w:rsidP="00E256C1">
            <w:pPr>
              <w:pStyle w:val="TableColHeads"/>
              <w:rPr>
                <w:rFonts w:ascii="IBM Plex Sans Light" w:hAnsi="IBM Plex Sans Light"/>
              </w:rPr>
            </w:pPr>
          </w:p>
        </w:tc>
        <w:tc>
          <w:tcPr>
            <w:tcW w:w="284" w:type="dxa"/>
            <w:vAlign w:val="bottom"/>
          </w:tcPr>
          <w:p w14:paraId="284C84C4" w14:textId="77777777" w:rsidR="004F07AE" w:rsidRPr="00895810" w:rsidRDefault="004F07AE" w:rsidP="00E256C1">
            <w:pPr>
              <w:pStyle w:val="TableColHeads"/>
              <w:rPr>
                <w:rFonts w:ascii="IBM Plex Sans Light" w:hAnsi="IBM Plex Sans Light"/>
              </w:rPr>
            </w:pPr>
          </w:p>
        </w:tc>
        <w:tc>
          <w:tcPr>
            <w:tcW w:w="798" w:type="dxa"/>
          </w:tcPr>
          <w:p w14:paraId="1A8E1239" w14:textId="77777777" w:rsidR="004F07AE" w:rsidRPr="00895810" w:rsidRDefault="004F07AE" w:rsidP="00E256C1">
            <w:pPr>
              <w:pStyle w:val="TableColHeadsBold"/>
              <w:rPr>
                <w:rFonts w:ascii="IBM Plex Sans Light" w:hAnsi="IBM Plex Sans Light"/>
                <w:b w:val="0"/>
                <w:bCs w:val="0"/>
              </w:rPr>
            </w:pPr>
          </w:p>
        </w:tc>
        <w:tc>
          <w:tcPr>
            <w:tcW w:w="1443" w:type="dxa"/>
            <w:tcMar>
              <w:left w:w="0" w:type="dxa"/>
              <w:right w:w="0" w:type="dxa"/>
            </w:tcMar>
            <w:vAlign w:val="bottom"/>
          </w:tcPr>
          <w:p w14:paraId="575DD5F8" w14:textId="77777777" w:rsidR="004F07AE" w:rsidRPr="00895810" w:rsidRDefault="004F07AE" w:rsidP="00E256C1">
            <w:pPr>
              <w:pStyle w:val="TableColHeadsBold"/>
              <w:rPr>
                <w:rFonts w:ascii="IBM Plex Sans Light" w:hAnsi="IBM Plex Sans Light"/>
                <w:color w:val="3D7FE0" w:themeColor="accent1"/>
              </w:rPr>
            </w:pPr>
            <w:r>
              <w:rPr>
                <w:rFonts w:ascii="IBM Plex Sans Light" w:hAnsi="IBM Plex Sans Light"/>
                <w:color w:val="3D7FE0" w:themeColor="accent1"/>
              </w:rPr>
              <w:t>2023</w:t>
            </w:r>
            <w:r w:rsidRPr="00895810">
              <w:rPr>
                <w:rFonts w:ascii="IBM Plex Sans Light" w:hAnsi="IBM Plex Sans Light"/>
                <w:color w:val="3D7FE0" w:themeColor="accent1"/>
              </w:rPr>
              <w:t xml:space="preserve"> </w:t>
            </w:r>
          </w:p>
        </w:tc>
        <w:tc>
          <w:tcPr>
            <w:tcW w:w="1298" w:type="dxa"/>
            <w:tcMar>
              <w:left w:w="0" w:type="dxa"/>
              <w:right w:w="0" w:type="dxa"/>
            </w:tcMar>
            <w:vAlign w:val="bottom"/>
          </w:tcPr>
          <w:p w14:paraId="45E66CF3" w14:textId="77777777" w:rsidR="004F07AE" w:rsidRPr="00895810" w:rsidRDefault="004F07AE" w:rsidP="00E256C1">
            <w:pPr>
              <w:pStyle w:val="TableColHeads"/>
              <w:rPr>
                <w:rFonts w:ascii="IBM Plex Sans Light" w:hAnsi="IBM Plex Sans Light"/>
              </w:rPr>
            </w:pPr>
            <w:r>
              <w:rPr>
                <w:rFonts w:ascii="IBM Plex Sans Light" w:hAnsi="IBM Plex Sans Light"/>
              </w:rPr>
              <w:t>2022</w:t>
            </w:r>
            <w:r w:rsidRPr="00895810">
              <w:rPr>
                <w:rFonts w:ascii="IBM Plex Sans Light" w:hAnsi="IBM Plex Sans Light"/>
              </w:rPr>
              <w:t xml:space="preserve"> </w:t>
            </w:r>
          </w:p>
        </w:tc>
      </w:tr>
      <w:tr w:rsidR="004F07AE" w:rsidRPr="00895810" w14:paraId="29965091" w14:textId="77777777" w:rsidTr="00D9524D">
        <w:tc>
          <w:tcPr>
            <w:tcW w:w="6100" w:type="dxa"/>
            <w:tcBorders>
              <w:bottom w:val="single" w:sz="2" w:space="0" w:color="3D7FE0" w:themeColor="accent1"/>
            </w:tcBorders>
            <w:tcMar>
              <w:left w:w="0" w:type="dxa"/>
              <w:bottom w:w="28" w:type="dxa"/>
              <w:right w:w="0" w:type="dxa"/>
            </w:tcMar>
            <w:vAlign w:val="bottom"/>
          </w:tcPr>
          <w:p w14:paraId="60FD81D3" w14:textId="77777777" w:rsidR="004F07AE" w:rsidRPr="00895810" w:rsidRDefault="004F07AE" w:rsidP="00E256C1">
            <w:pPr>
              <w:pStyle w:val="TableColHeads"/>
              <w:rPr>
                <w:rFonts w:ascii="IBM Plex Sans Light" w:hAnsi="IBM Plex Sans Light"/>
              </w:rPr>
            </w:pPr>
          </w:p>
        </w:tc>
        <w:tc>
          <w:tcPr>
            <w:tcW w:w="284" w:type="dxa"/>
            <w:tcBorders>
              <w:bottom w:val="single" w:sz="2" w:space="0" w:color="3D7FE0" w:themeColor="accent1"/>
            </w:tcBorders>
            <w:vAlign w:val="bottom"/>
          </w:tcPr>
          <w:p w14:paraId="786A71F6" w14:textId="77777777" w:rsidR="004F07AE" w:rsidRPr="00895810" w:rsidRDefault="004F07AE" w:rsidP="00E256C1">
            <w:pPr>
              <w:pStyle w:val="TableColHeads"/>
              <w:rPr>
                <w:rFonts w:ascii="IBM Plex Sans Light" w:hAnsi="IBM Plex Sans Light"/>
              </w:rPr>
            </w:pPr>
          </w:p>
        </w:tc>
        <w:tc>
          <w:tcPr>
            <w:tcW w:w="798" w:type="dxa"/>
            <w:tcBorders>
              <w:bottom w:val="single" w:sz="2" w:space="0" w:color="3D7FE0" w:themeColor="accent1"/>
            </w:tcBorders>
          </w:tcPr>
          <w:p w14:paraId="26A2E34E" w14:textId="77777777" w:rsidR="004F07AE" w:rsidRPr="00895810" w:rsidRDefault="004F07AE" w:rsidP="00E256C1">
            <w:pPr>
              <w:pStyle w:val="TableColHeadsBold"/>
              <w:tabs>
                <w:tab w:val="clear" w:pos="284"/>
              </w:tabs>
              <w:ind w:right="-19"/>
              <w:rPr>
                <w:rFonts w:ascii="IBM Plex Sans Light" w:hAnsi="IBM Plex Sans Light"/>
                <w:bCs w:val="0"/>
              </w:rPr>
            </w:pPr>
            <w:r w:rsidRPr="00895810">
              <w:rPr>
                <w:rFonts w:ascii="IBM Plex Sans Light" w:hAnsi="IBM Plex Sans Light"/>
                <w:bCs w:val="0"/>
              </w:rPr>
              <w:t>Note</w:t>
            </w:r>
          </w:p>
        </w:tc>
        <w:tc>
          <w:tcPr>
            <w:tcW w:w="1443" w:type="dxa"/>
            <w:tcBorders>
              <w:bottom w:val="single" w:sz="2" w:space="0" w:color="3D7FE0" w:themeColor="accent1"/>
            </w:tcBorders>
            <w:tcMar>
              <w:left w:w="0" w:type="dxa"/>
              <w:bottom w:w="28" w:type="dxa"/>
              <w:right w:w="0" w:type="dxa"/>
            </w:tcMar>
            <w:vAlign w:val="bottom"/>
          </w:tcPr>
          <w:p w14:paraId="51F6E168" w14:textId="77777777" w:rsidR="004F07AE" w:rsidRPr="00895810" w:rsidRDefault="004F07AE" w:rsidP="00E256C1">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1298" w:type="dxa"/>
            <w:tcBorders>
              <w:bottom w:val="single" w:sz="2" w:space="0" w:color="3D7FE0" w:themeColor="accent1"/>
            </w:tcBorders>
            <w:tcMar>
              <w:left w:w="0" w:type="dxa"/>
              <w:bottom w:w="28" w:type="dxa"/>
              <w:right w:w="0" w:type="dxa"/>
            </w:tcMar>
            <w:vAlign w:val="bottom"/>
          </w:tcPr>
          <w:p w14:paraId="073223DC" w14:textId="77777777" w:rsidR="004F07AE" w:rsidRPr="00895810" w:rsidRDefault="004F07AE" w:rsidP="00E256C1">
            <w:pPr>
              <w:pStyle w:val="TableColHeads"/>
              <w:rPr>
                <w:rFonts w:ascii="IBM Plex Sans Light" w:hAnsi="IBM Plex Sans Light"/>
              </w:rPr>
            </w:pPr>
            <w:r w:rsidRPr="00895810">
              <w:rPr>
                <w:rFonts w:ascii="IBM Plex Sans Light" w:hAnsi="IBM Plex Sans Light"/>
              </w:rPr>
              <w:t xml:space="preserve">£m </w:t>
            </w:r>
          </w:p>
        </w:tc>
      </w:tr>
      <w:tr w:rsidR="00B70539" w:rsidRPr="00895810" w14:paraId="4DB09197" w14:textId="77777777" w:rsidTr="00D9524D">
        <w:tc>
          <w:tcPr>
            <w:tcW w:w="6100" w:type="dxa"/>
            <w:tcBorders>
              <w:top w:val="single" w:sz="2" w:space="0" w:color="3D7FE0" w:themeColor="accent1"/>
            </w:tcBorders>
            <w:tcMar>
              <w:left w:w="0" w:type="dxa"/>
              <w:right w:w="0" w:type="dxa"/>
            </w:tcMar>
            <w:vAlign w:val="bottom"/>
          </w:tcPr>
          <w:p w14:paraId="0CFBC31E" w14:textId="4198E46F" w:rsidR="00B70539" w:rsidRPr="00895810" w:rsidRDefault="00B70539" w:rsidP="00B70539">
            <w:pPr>
              <w:spacing w:after="0" w:line="240" w:lineRule="auto"/>
              <w:rPr>
                <w:rFonts w:ascii="IBM Plex Sans Light" w:hAnsi="IBM Plex Sans Light" w:cs="Arial"/>
                <w:szCs w:val="18"/>
              </w:rPr>
            </w:pPr>
            <w:r>
              <w:rPr>
                <w:rFonts w:ascii="IBM Plex Sans Light" w:hAnsi="IBM Plex Sans Light" w:cs="Arial"/>
                <w:szCs w:val="18"/>
              </w:rPr>
              <w:t>Discount on redemption of bonds</w:t>
            </w:r>
          </w:p>
        </w:tc>
        <w:tc>
          <w:tcPr>
            <w:tcW w:w="284" w:type="dxa"/>
            <w:tcBorders>
              <w:top w:val="single" w:sz="2" w:space="0" w:color="3D7FE0" w:themeColor="accent1"/>
            </w:tcBorders>
            <w:vAlign w:val="bottom"/>
          </w:tcPr>
          <w:p w14:paraId="3179015C" w14:textId="77777777" w:rsidR="00B70539" w:rsidRPr="00895810" w:rsidRDefault="00B70539" w:rsidP="00B70539">
            <w:pPr>
              <w:spacing w:after="0" w:line="240" w:lineRule="auto"/>
              <w:rPr>
                <w:rFonts w:ascii="IBM Plex Sans Light" w:hAnsi="IBM Plex Sans Light" w:cs="Arial"/>
                <w:szCs w:val="18"/>
              </w:rPr>
            </w:pPr>
          </w:p>
        </w:tc>
        <w:tc>
          <w:tcPr>
            <w:tcW w:w="798" w:type="dxa"/>
            <w:tcBorders>
              <w:top w:val="single" w:sz="2" w:space="0" w:color="3D7FE0" w:themeColor="accent1"/>
            </w:tcBorders>
          </w:tcPr>
          <w:p w14:paraId="0A35E763"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Borders>
              <w:top w:val="single" w:sz="2" w:space="0" w:color="3D7FE0" w:themeColor="accent1"/>
            </w:tcBorders>
            <w:tcMar>
              <w:left w:w="0" w:type="dxa"/>
              <w:right w:w="0" w:type="dxa"/>
            </w:tcMar>
          </w:tcPr>
          <w:p w14:paraId="50FA86F2" w14:textId="48F202FD" w:rsidR="00B70539" w:rsidRPr="00B70539" w:rsidRDefault="00B70539" w:rsidP="00B70539">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4.3</w:t>
            </w:r>
          </w:p>
        </w:tc>
        <w:tc>
          <w:tcPr>
            <w:tcW w:w="1298" w:type="dxa"/>
            <w:tcBorders>
              <w:top w:val="single" w:sz="2" w:space="0" w:color="3D7FE0" w:themeColor="accent1"/>
            </w:tcBorders>
            <w:tcMar>
              <w:left w:w="0" w:type="dxa"/>
              <w:right w:w="0" w:type="dxa"/>
            </w:tcMar>
          </w:tcPr>
          <w:p w14:paraId="3617E4C8" w14:textId="07698266" w:rsidR="00B70539" w:rsidRDefault="00B70539" w:rsidP="00B70539">
            <w:pPr>
              <w:pStyle w:val="TableFiguresBold"/>
              <w:rPr>
                <w:rFonts w:ascii="IBM Plex Sans Light" w:hAnsi="IBM Plex Sans Light"/>
                <w:b w:val="0"/>
                <w:color w:val="auto"/>
                <w:sz w:val="18"/>
                <w:szCs w:val="18"/>
              </w:rPr>
            </w:pPr>
            <w:r w:rsidRPr="00B70539">
              <w:rPr>
                <w:rFonts w:ascii="IBM Plex Sans Light" w:hAnsi="IBM Plex Sans Light"/>
                <w:b w:val="0"/>
                <w:color w:val="auto"/>
                <w:sz w:val="18"/>
                <w:szCs w:val="18"/>
              </w:rPr>
              <w:t>–</w:t>
            </w:r>
          </w:p>
        </w:tc>
      </w:tr>
      <w:tr w:rsidR="00B70539" w:rsidRPr="00895810" w14:paraId="32CC22D1" w14:textId="77777777" w:rsidTr="00D9524D">
        <w:tc>
          <w:tcPr>
            <w:tcW w:w="6100" w:type="dxa"/>
            <w:tcMar>
              <w:left w:w="0" w:type="dxa"/>
              <w:right w:w="0" w:type="dxa"/>
            </w:tcMar>
            <w:vAlign w:val="bottom"/>
          </w:tcPr>
          <w:p w14:paraId="07973475" w14:textId="593A7A62" w:rsidR="00B70539" w:rsidRPr="00895810" w:rsidRDefault="00B70539" w:rsidP="00B70539">
            <w:pPr>
              <w:spacing w:after="0" w:line="240" w:lineRule="auto"/>
              <w:rPr>
                <w:rFonts w:ascii="IBM Plex Sans Light" w:hAnsi="IBM Plex Sans Light" w:cs="Arial"/>
                <w:szCs w:val="18"/>
              </w:rPr>
            </w:pPr>
            <w:r>
              <w:rPr>
                <w:rFonts w:ascii="IBM Plex Sans Light" w:hAnsi="IBM Plex Sans Light" w:cs="Arial"/>
                <w:szCs w:val="18"/>
              </w:rPr>
              <w:t>Interest receivable on derivatives</w:t>
            </w:r>
          </w:p>
        </w:tc>
        <w:tc>
          <w:tcPr>
            <w:tcW w:w="284" w:type="dxa"/>
            <w:vAlign w:val="bottom"/>
          </w:tcPr>
          <w:p w14:paraId="4EC4254D" w14:textId="77777777" w:rsidR="00B70539" w:rsidRPr="00895810" w:rsidRDefault="00B70539" w:rsidP="00B70539">
            <w:pPr>
              <w:spacing w:after="0" w:line="240" w:lineRule="auto"/>
              <w:rPr>
                <w:rFonts w:ascii="IBM Plex Sans Light" w:hAnsi="IBM Plex Sans Light" w:cs="Arial"/>
                <w:szCs w:val="18"/>
              </w:rPr>
            </w:pPr>
          </w:p>
        </w:tc>
        <w:tc>
          <w:tcPr>
            <w:tcW w:w="798" w:type="dxa"/>
          </w:tcPr>
          <w:p w14:paraId="55D7C8AC"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Mar>
              <w:left w:w="0" w:type="dxa"/>
              <w:right w:w="0" w:type="dxa"/>
            </w:tcMar>
          </w:tcPr>
          <w:p w14:paraId="523A562F" w14:textId="75BC3867" w:rsidR="00B70539" w:rsidRPr="00B70539" w:rsidRDefault="00B70539" w:rsidP="00B70539">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12.8</w:t>
            </w:r>
          </w:p>
        </w:tc>
        <w:tc>
          <w:tcPr>
            <w:tcW w:w="1298" w:type="dxa"/>
            <w:tcMar>
              <w:left w:w="0" w:type="dxa"/>
              <w:right w:w="0" w:type="dxa"/>
            </w:tcMar>
          </w:tcPr>
          <w:p w14:paraId="230931E7" w14:textId="50CCADD8" w:rsidR="00B70539" w:rsidRDefault="00B70539" w:rsidP="00B70539">
            <w:pPr>
              <w:pStyle w:val="TableFiguresBold"/>
              <w:rPr>
                <w:rFonts w:ascii="IBM Plex Sans Light" w:hAnsi="IBM Plex Sans Light"/>
                <w:b w:val="0"/>
                <w:color w:val="auto"/>
                <w:sz w:val="18"/>
                <w:szCs w:val="18"/>
              </w:rPr>
            </w:pPr>
            <w:r w:rsidRPr="00B70539">
              <w:rPr>
                <w:rFonts w:ascii="IBM Plex Sans Light" w:hAnsi="IBM Plex Sans Light"/>
                <w:b w:val="0"/>
                <w:color w:val="auto"/>
                <w:sz w:val="18"/>
                <w:szCs w:val="18"/>
              </w:rPr>
              <w:t>21.4</w:t>
            </w:r>
          </w:p>
        </w:tc>
      </w:tr>
      <w:tr w:rsidR="00B70539" w:rsidRPr="00895810" w14:paraId="36A5B87D" w14:textId="77777777" w:rsidTr="00024B10">
        <w:tc>
          <w:tcPr>
            <w:tcW w:w="6100" w:type="dxa"/>
            <w:tcBorders>
              <w:bottom w:val="single" w:sz="2" w:space="0" w:color="3D7FE0" w:themeColor="accent1"/>
            </w:tcBorders>
            <w:tcMar>
              <w:left w:w="0" w:type="dxa"/>
              <w:right w:w="0" w:type="dxa"/>
            </w:tcMar>
            <w:vAlign w:val="bottom"/>
          </w:tcPr>
          <w:p w14:paraId="5A5A3FD6"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Bank and other interest receivable</w:t>
            </w:r>
          </w:p>
        </w:tc>
        <w:tc>
          <w:tcPr>
            <w:tcW w:w="284" w:type="dxa"/>
            <w:tcBorders>
              <w:bottom w:val="single" w:sz="2" w:space="0" w:color="3D7FE0" w:themeColor="accent1"/>
            </w:tcBorders>
            <w:vAlign w:val="bottom"/>
          </w:tcPr>
          <w:p w14:paraId="534FCCC8" w14:textId="77777777" w:rsidR="00B70539" w:rsidRPr="00895810" w:rsidRDefault="00B70539" w:rsidP="00B70539">
            <w:pPr>
              <w:spacing w:after="0" w:line="240" w:lineRule="auto"/>
              <w:rPr>
                <w:rFonts w:ascii="IBM Plex Sans Light" w:hAnsi="IBM Plex Sans Light" w:cs="Arial"/>
                <w:szCs w:val="18"/>
              </w:rPr>
            </w:pPr>
          </w:p>
        </w:tc>
        <w:tc>
          <w:tcPr>
            <w:tcW w:w="798" w:type="dxa"/>
            <w:tcBorders>
              <w:bottom w:val="single" w:sz="2" w:space="0" w:color="3D7FE0" w:themeColor="accent1"/>
            </w:tcBorders>
          </w:tcPr>
          <w:p w14:paraId="376FFEE8"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Borders>
              <w:bottom w:val="single" w:sz="2" w:space="0" w:color="3D7FE0" w:themeColor="accent1"/>
            </w:tcBorders>
            <w:tcMar>
              <w:left w:w="0" w:type="dxa"/>
              <w:right w:w="0" w:type="dxa"/>
            </w:tcMar>
          </w:tcPr>
          <w:p w14:paraId="5E92D37C" w14:textId="57361CFF" w:rsidR="00B70539" w:rsidRPr="00B70539" w:rsidRDefault="00B70539" w:rsidP="00B70539">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18.1</w:t>
            </w:r>
          </w:p>
        </w:tc>
        <w:tc>
          <w:tcPr>
            <w:tcW w:w="1298" w:type="dxa"/>
            <w:tcBorders>
              <w:bottom w:val="single" w:sz="2" w:space="0" w:color="3D7FE0" w:themeColor="accent1"/>
            </w:tcBorders>
            <w:tcMar>
              <w:left w:w="0" w:type="dxa"/>
              <w:right w:w="0" w:type="dxa"/>
            </w:tcMar>
          </w:tcPr>
          <w:p w14:paraId="41C827A5" w14:textId="61E8FDD8" w:rsidR="00B70539" w:rsidRPr="00895810" w:rsidRDefault="00B70539" w:rsidP="00B70539">
            <w:pPr>
              <w:pStyle w:val="TableFiguresBold"/>
              <w:rPr>
                <w:rFonts w:ascii="IBM Plex Sans Light" w:hAnsi="IBM Plex Sans Light"/>
                <w:b w:val="0"/>
                <w:color w:val="auto"/>
                <w:sz w:val="18"/>
                <w:szCs w:val="18"/>
              </w:rPr>
            </w:pPr>
            <w:r w:rsidRPr="00B70539">
              <w:rPr>
                <w:rFonts w:ascii="IBM Plex Sans Light" w:hAnsi="IBM Plex Sans Light"/>
                <w:b w:val="0"/>
                <w:color w:val="auto"/>
                <w:sz w:val="18"/>
                <w:szCs w:val="18"/>
              </w:rPr>
              <w:t>4.7</w:t>
            </w:r>
          </w:p>
        </w:tc>
      </w:tr>
      <w:tr w:rsidR="00B70539" w:rsidRPr="00895810" w14:paraId="4820FCAC" w14:textId="77777777" w:rsidTr="00024B10">
        <w:tc>
          <w:tcPr>
            <w:tcW w:w="6100" w:type="dxa"/>
            <w:tcBorders>
              <w:top w:val="single" w:sz="2" w:space="0" w:color="3D7FE0" w:themeColor="accent1"/>
              <w:bottom w:val="single" w:sz="2" w:space="0" w:color="3D7FE0" w:themeColor="accent1"/>
            </w:tcBorders>
            <w:tcMar>
              <w:left w:w="0" w:type="dxa"/>
              <w:right w:w="0" w:type="dxa"/>
            </w:tcMar>
            <w:vAlign w:val="bottom"/>
          </w:tcPr>
          <w:p w14:paraId="0EA35B32" w14:textId="4DCBF490"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b/>
                <w:bCs/>
                <w:color w:val="3D7FE0" w:themeColor="accent1"/>
                <w:szCs w:val="20"/>
              </w:rPr>
              <w:t>Finance income</w:t>
            </w:r>
          </w:p>
        </w:tc>
        <w:tc>
          <w:tcPr>
            <w:tcW w:w="284" w:type="dxa"/>
            <w:tcBorders>
              <w:top w:val="single" w:sz="2" w:space="0" w:color="3D7FE0" w:themeColor="accent1"/>
              <w:bottom w:val="single" w:sz="2" w:space="0" w:color="3D7FE0" w:themeColor="accent1"/>
            </w:tcBorders>
            <w:vAlign w:val="bottom"/>
          </w:tcPr>
          <w:p w14:paraId="2BEE4117" w14:textId="77777777" w:rsidR="00B70539" w:rsidRPr="00895810" w:rsidRDefault="00B70539" w:rsidP="00B70539">
            <w:pPr>
              <w:spacing w:after="0" w:line="240" w:lineRule="auto"/>
              <w:rPr>
                <w:rFonts w:ascii="IBM Plex Sans Light" w:hAnsi="IBM Plex Sans Light" w:cs="Arial"/>
                <w:szCs w:val="18"/>
              </w:rPr>
            </w:pPr>
          </w:p>
        </w:tc>
        <w:tc>
          <w:tcPr>
            <w:tcW w:w="798" w:type="dxa"/>
            <w:tcBorders>
              <w:top w:val="single" w:sz="2" w:space="0" w:color="3D7FE0" w:themeColor="accent1"/>
              <w:bottom w:val="single" w:sz="2" w:space="0" w:color="3D7FE0" w:themeColor="accent1"/>
            </w:tcBorders>
          </w:tcPr>
          <w:p w14:paraId="6E43E479"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Borders>
              <w:top w:val="single" w:sz="2" w:space="0" w:color="3D7FE0" w:themeColor="accent1"/>
              <w:bottom w:val="single" w:sz="2" w:space="0" w:color="3D7FE0" w:themeColor="accent1"/>
            </w:tcBorders>
            <w:tcMar>
              <w:left w:w="0" w:type="dxa"/>
              <w:right w:w="0" w:type="dxa"/>
            </w:tcMar>
          </w:tcPr>
          <w:p w14:paraId="3DA0DCFC" w14:textId="425F29C6" w:rsidR="00B70539" w:rsidRPr="00B70539" w:rsidRDefault="00B70539" w:rsidP="00B70539">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35.2</w:t>
            </w:r>
          </w:p>
        </w:tc>
        <w:tc>
          <w:tcPr>
            <w:tcW w:w="1298" w:type="dxa"/>
            <w:tcBorders>
              <w:top w:val="single" w:sz="2" w:space="0" w:color="3D7FE0" w:themeColor="accent1"/>
              <w:bottom w:val="single" w:sz="2" w:space="0" w:color="3D7FE0" w:themeColor="accent1"/>
            </w:tcBorders>
            <w:tcMar>
              <w:left w:w="0" w:type="dxa"/>
              <w:right w:w="0" w:type="dxa"/>
            </w:tcMar>
          </w:tcPr>
          <w:p w14:paraId="5F4A8018" w14:textId="57D276C2" w:rsidR="00B70539" w:rsidRPr="00B70539" w:rsidRDefault="00B70539" w:rsidP="00B70539">
            <w:pPr>
              <w:pStyle w:val="TableFiguresBold"/>
              <w:rPr>
                <w:rFonts w:ascii="IBM Plex Sans Light" w:hAnsi="IBM Plex Sans Light"/>
                <w:b w:val="0"/>
                <w:color w:val="auto"/>
                <w:sz w:val="18"/>
                <w:szCs w:val="18"/>
              </w:rPr>
            </w:pPr>
            <w:r w:rsidRPr="00B70539">
              <w:rPr>
                <w:rFonts w:ascii="IBM Plex Sans Light" w:hAnsi="IBM Plex Sans Light"/>
                <w:b w:val="0"/>
                <w:color w:val="auto"/>
                <w:sz w:val="18"/>
                <w:szCs w:val="18"/>
              </w:rPr>
              <w:t>26.1</w:t>
            </w:r>
          </w:p>
        </w:tc>
      </w:tr>
      <w:tr w:rsidR="00B70539" w:rsidRPr="00895810" w14:paraId="7C31EDEB" w14:textId="77777777" w:rsidTr="00024B10">
        <w:tc>
          <w:tcPr>
            <w:tcW w:w="6100" w:type="dxa"/>
            <w:tcBorders>
              <w:top w:val="single" w:sz="2" w:space="0" w:color="3D7FE0" w:themeColor="accent1"/>
            </w:tcBorders>
            <w:tcMar>
              <w:left w:w="0" w:type="dxa"/>
              <w:right w:w="0" w:type="dxa"/>
            </w:tcMar>
            <w:vAlign w:val="bottom"/>
          </w:tcPr>
          <w:p w14:paraId="55AEE687" w14:textId="77777777" w:rsidR="00B70539" w:rsidRPr="00895810" w:rsidRDefault="00B70539" w:rsidP="00E256C1">
            <w:pPr>
              <w:spacing w:after="0" w:line="240" w:lineRule="auto"/>
              <w:rPr>
                <w:rFonts w:ascii="IBM Plex Sans Light" w:hAnsi="IBM Plex Sans Light"/>
                <w:b/>
                <w:bCs/>
                <w:color w:val="3D7FE0" w:themeColor="accent1"/>
                <w:szCs w:val="20"/>
              </w:rPr>
            </w:pPr>
          </w:p>
        </w:tc>
        <w:tc>
          <w:tcPr>
            <w:tcW w:w="284" w:type="dxa"/>
            <w:tcBorders>
              <w:top w:val="single" w:sz="2" w:space="0" w:color="3D7FE0" w:themeColor="accent1"/>
            </w:tcBorders>
            <w:vAlign w:val="bottom"/>
          </w:tcPr>
          <w:p w14:paraId="31CEA030" w14:textId="77777777" w:rsidR="00B70539" w:rsidRPr="00895810" w:rsidRDefault="00B70539" w:rsidP="00E256C1">
            <w:pPr>
              <w:spacing w:after="0" w:line="240" w:lineRule="auto"/>
              <w:rPr>
                <w:rFonts w:ascii="IBM Plex Sans Light" w:hAnsi="IBM Plex Sans Light" w:cs="Arial"/>
                <w:szCs w:val="18"/>
              </w:rPr>
            </w:pPr>
          </w:p>
        </w:tc>
        <w:tc>
          <w:tcPr>
            <w:tcW w:w="798" w:type="dxa"/>
            <w:tcBorders>
              <w:top w:val="single" w:sz="2" w:space="0" w:color="3D7FE0" w:themeColor="accent1"/>
            </w:tcBorders>
          </w:tcPr>
          <w:p w14:paraId="5EE40E6D" w14:textId="77777777" w:rsidR="00B70539" w:rsidRPr="00895810" w:rsidRDefault="00B70539" w:rsidP="00E256C1">
            <w:pPr>
              <w:pStyle w:val="TableFigures"/>
              <w:rPr>
                <w:rFonts w:ascii="IBM Plex Sans Light" w:hAnsi="IBM Plex Sans Light" w:cs="MyriadPro-Light"/>
                <w:color w:val="auto"/>
                <w:spacing w:val="-4"/>
                <w:sz w:val="18"/>
                <w:szCs w:val="18"/>
              </w:rPr>
            </w:pPr>
          </w:p>
        </w:tc>
        <w:tc>
          <w:tcPr>
            <w:tcW w:w="1443" w:type="dxa"/>
            <w:tcBorders>
              <w:top w:val="single" w:sz="2" w:space="0" w:color="3D7FE0" w:themeColor="accent1"/>
            </w:tcBorders>
            <w:tcMar>
              <w:left w:w="0" w:type="dxa"/>
              <w:right w:w="0" w:type="dxa"/>
            </w:tcMar>
            <w:vAlign w:val="bottom"/>
          </w:tcPr>
          <w:p w14:paraId="6E0A6641" w14:textId="77777777" w:rsidR="00B70539" w:rsidRPr="00895810" w:rsidRDefault="00B70539" w:rsidP="00E256C1">
            <w:pPr>
              <w:pStyle w:val="TableFigures"/>
              <w:rPr>
                <w:rFonts w:ascii="IBM Plex Sans Light" w:hAnsi="IBM Plex Sans Light" w:cs="MyriadPro-Light"/>
                <w:b/>
                <w:color w:val="3D7FE0" w:themeColor="accent1"/>
                <w:spacing w:val="-4"/>
                <w:sz w:val="18"/>
                <w:szCs w:val="18"/>
              </w:rPr>
            </w:pPr>
          </w:p>
        </w:tc>
        <w:tc>
          <w:tcPr>
            <w:tcW w:w="1298" w:type="dxa"/>
            <w:tcBorders>
              <w:top w:val="single" w:sz="2" w:space="0" w:color="3D7FE0" w:themeColor="accent1"/>
            </w:tcBorders>
            <w:tcMar>
              <w:left w:w="0" w:type="dxa"/>
              <w:right w:w="0" w:type="dxa"/>
            </w:tcMar>
            <w:vAlign w:val="bottom"/>
          </w:tcPr>
          <w:p w14:paraId="2001B2B8" w14:textId="77777777" w:rsidR="00B70539" w:rsidRPr="00895810" w:rsidRDefault="00B70539" w:rsidP="00E256C1">
            <w:pPr>
              <w:pStyle w:val="TableFigures"/>
              <w:rPr>
                <w:rFonts w:ascii="IBM Plex Sans Light" w:hAnsi="IBM Plex Sans Light"/>
                <w:bCs/>
                <w:color w:val="auto"/>
                <w:spacing w:val="-4"/>
                <w:sz w:val="18"/>
                <w:szCs w:val="18"/>
              </w:rPr>
            </w:pPr>
          </w:p>
        </w:tc>
      </w:tr>
      <w:tr w:rsidR="00B70539" w:rsidRPr="00895810" w14:paraId="6A6DE479" w14:textId="77777777" w:rsidTr="00692C90">
        <w:tc>
          <w:tcPr>
            <w:tcW w:w="6100" w:type="dxa"/>
            <w:tcMar>
              <w:left w:w="0" w:type="dxa"/>
              <w:right w:w="0" w:type="dxa"/>
            </w:tcMar>
            <w:vAlign w:val="bottom"/>
          </w:tcPr>
          <w:p w14:paraId="334264C2"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Interest on bank loans and overdrafts</w:t>
            </w:r>
          </w:p>
        </w:tc>
        <w:tc>
          <w:tcPr>
            <w:tcW w:w="284" w:type="dxa"/>
            <w:vAlign w:val="bottom"/>
          </w:tcPr>
          <w:p w14:paraId="15202711" w14:textId="77777777" w:rsidR="00B70539" w:rsidRPr="00895810" w:rsidRDefault="00B70539" w:rsidP="00B70539">
            <w:pPr>
              <w:spacing w:after="0" w:line="240" w:lineRule="auto"/>
              <w:rPr>
                <w:rFonts w:ascii="IBM Plex Sans Light" w:hAnsi="IBM Plex Sans Light" w:cs="Arial"/>
                <w:szCs w:val="18"/>
              </w:rPr>
            </w:pPr>
          </w:p>
        </w:tc>
        <w:tc>
          <w:tcPr>
            <w:tcW w:w="798" w:type="dxa"/>
          </w:tcPr>
          <w:p w14:paraId="0D8780AF"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Mar>
              <w:left w:w="0" w:type="dxa"/>
              <w:right w:w="0" w:type="dxa"/>
            </w:tcMar>
          </w:tcPr>
          <w:p w14:paraId="22607452" w14:textId="57739772"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(4.5)</w:t>
            </w:r>
          </w:p>
        </w:tc>
        <w:tc>
          <w:tcPr>
            <w:tcW w:w="1298" w:type="dxa"/>
            <w:shd w:val="clear" w:color="auto" w:fill="auto"/>
            <w:tcMar>
              <w:left w:w="0" w:type="dxa"/>
              <w:right w:w="0" w:type="dxa"/>
            </w:tcMar>
            <w:vAlign w:val="bottom"/>
          </w:tcPr>
          <w:p w14:paraId="695B30D9" w14:textId="77777777" w:rsidR="00B70539" w:rsidRPr="00895810" w:rsidRDefault="00B70539" w:rsidP="00B70539">
            <w:pPr>
              <w:pStyle w:val="TableFiguresBrackets"/>
              <w:rPr>
                <w:rFonts w:ascii="IBM Plex Sans Light" w:hAnsi="IBM Plex Sans Light"/>
                <w:bCs/>
                <w:color w:val="auto"/>
                <w:spacing w:val="-4"/>
                <w:sz w:val="18"/>
                <w:szCs w:val="18"/>
              </w:rPr>
            </w:pPr>
            <w:r w:rsidRPr="00895810">
              <w:rPr>
                <w:rFonts w:ascii="IBM Plex Sans Light" w:hAnsi="IBM Plex Sans Light"/>
                <w:bCs/>
                <w:color w:val="auto"/>
                <w:spacing w:val="-4"/>
                <w:sz w:val="18"/>
                <w:szCs w:val="18"/>
              </w:rPr>
              <w:t>(</w:t>
            </w:r>
            <w:r>
              <w:rPr>
                <w:rFonts w:ascii="IBM Plex Sans Light" w:hAnsi="IBM Plex Sans Light"/>
                <w:bCs/>
                <w:color w:val="auto"/>
                <w:spacing w:val="-4"/>
                <w:sz w:val="18"/>
                <w:szCs w:val="18"/>
              </w:rPr>
              <w:t>4.6</w:t>
            </w:r>
            <w:r w:rsidRPr="00895810">
              <w:rPr>
                <w:rFonts w:ascii="IBM Plex Sans Light" w:hAnsi="IBM Plex Sans Light"/>
                <w:bCs/>
                <w:color w:val="auto"/>
                <w:spacing w:val="-4"/>
                <w:sz w:val="18"/>
                <w:szCs w:val="18"/>
              </w:rPr>
              <w:t>)</w:t>
            </w:r>
          </w:p>
        </w:tc>
      </w:tr>
      <w:tr w:rsidR="00B70539" w:rsidRPr="00895810" w14:paraId="206A63FE" w14:textId="77777777" w:rsidTr="00692C90">
        <w:tc>
          <w:tcPr>
            <w:tcW w:w="6100" w:type="dxa"/>
            <w:tcMar>
              <w:left w:w="0" w:type="dxa"/>
              <w:right w:w="0" w:type="dxa"/>
            </w:tcMar>
            <w:vAlign w:val="bottom"/>
          </w:tcPr>
          <w:p w14:paraId="14E2E886"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 xml:space="preserve">Interest on </w:t>
            </w:r>
            <w:r>
              <w:rPr>
                <w:rFonts w:ascii="IBM Plex Sans Light" w:hAnsi="IBM Plex Sans Light" w:cs="Arial"/>
                <w:szCs w:val="18"/>
              </w:rPr>
              <w:t>b</w:t>
            </w:r>
            <w:r w:rsidRPr="00895810">
              <w:rPr>
                <w:rFonts w:ascii="IBM Plex Sans Light" w:hAnsi="IBM Plex Sans Light" w:cs="Arial"/>
                <w:szCs w:val="18"/>
              </w:rPr>
              <w:t>onds and related charges</w:t>
            </w:r>
          </w:p>
        </w:tc>
        <w:tc>
          <w:tcPr>
            <w:tcW w:w="284" w:type="dxa"/>
            <w:vAlign w:val="bottom"/>
          </w:tcPr>
          <w:p w14:paraId="5FFF2C1A" w14:textId="77777777" w:rsidR="00B70539" w:rsidRPr="00895810" w:rsidRDefault="00B70539" w:rsidP="00B70539">
            <w:pPr>
              <w:spacing w:after="0" w:line="240" w:lineRule="auto"/>
              <w:rPr>
                <w:rFonts w:ascii="IBM Plex Sans Light" w:hAnsi="IBM Plex Sans Light" w:cs="Arial"/>
                <w:szCs w:val="18"/>
              </w:rPr>
            </w:pPr>
          </w:p>
        </w:tc>
        <w:tc>
          <w:tcPr>
            <w:tcW w:w="798" w:type="dxa"/>
          </w:tcPr>
          <w:p w14:paraId="5B4BCFF7"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Mar>
              <w:left w:w="0" w:type="dxa"/>
              <w:right w:w="0" w:type="dxa"/>
            </w:tcMar>
          </w:tcPr>
          <w:p w14:paraId="06760D80" w14:textId="0885C23D"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(59.2)</w:t>
            </w:r>
          </w:p>
        </w:tc>
        <w:tc>
          <w:tcPr>
            <w:tcW w:w="1298" w:type="dxa"/>
            <w:shd w:val="clear" w:color="auto" w:fill="auto"/>
            <w:tcMar>
              <w:left w:w="0" w:type="dxa"/>
              <w:right w:w="0" w:type="dxa"/>
            </w:tcMar>
          </w:tcPr>
          <w:p w14:paraId="79F0A803"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(61.4)</w:t>
            </w:r>
          </w:p>
        </w:tc>
      </w:tr>
      <w:tr w:rsidR="00B70539" w:rsidRPr="00895810" w14:paraId="2627929C" w14:textId="77777777" w:rsidTr="00692C90">
        <w:tc>
          <w:tcPr>
            <w:tcW w:w="6100" w:type="dxa"/>
            <w:tcMar>
              <w:left w:w="0" w:type="dxa"/>
              <w:right w:w="0" w:type="dxa"/>
            </w:tcMar>
            <w:vAlign w:val="bottom"/>
          </w:tcPr>
          <w:p w14:paraId="2C8AC624"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 xml:space="preserve">Interest on </w:t>
            </w:r>
            <w:r>
              <w:rPr>
                <w:rFonts w:ascii="IBM Plex Sans Light" w:hAnsi="IBM Plex Sans Light" w:cs="Arial"/>
                <w:szCs w:val="18"/>
              </w:rPr>
              <w:t>s</w:t>
            </w:r>
            <w:r w:rsidRPr="00895810">
              <w:rPr>
                <w:rFonts w:ascii="IBM Plex Sans Light" w:hAnsi="IBM Plex Sans Light" w:cs="Arial"/>
                <w:szCs w:val="18"/>
              </w:rPr>
              <w:t>enior notes and related charges</w:t>
            </w:r>
          </w:p>
        </w:tc>
        <w:tc>
          <w:tcPr>
            <w:tcW w:w="284" w:type="dxa"/>
            <w:vAlign w:val="bottom"/>
          </w:tcPr>
          <w:p w14:paraId="62E015C3" w14:textId="77777777" w:rsidR="00B70539" w:rsidRPr="00895810" w:rsidRDefault="00B70539" w:rsidP="00B70539">
            <w:pPr>
              <w:spacing w:after="0" w:line="240" w:lineRule="auto"/>
              <w:rPr>
                <w:rFonts w:ascii="IBM Plex Sans Light" w:hAnsi="IBM Plex Sans Light" w:cs="Arial"/>
                <w:szCs w:val="18"/>
              </w:rPr>
            </w:pPr>
          </w:p>
        </w:tc>
        <w:tc>
          <w:tcPr>
            <w:tcW w:w="798" w:type="dxa"/>
          </w:tcPr>
          <w:p w14:paraId="49AFCD01"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Mar>
              <w:left w:w="0" w:type="dxa"/>
              <w:right w:w="0" w:type="dxa"/>
            </w:tcMar>
          </w:tcPr>
          <w:p w14:paraId="7858802B" w14:textId="0E795F20"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(5.4)</w:t>
            </w:r>
          </w:p>
        </w:tc>
        <w:tc>
          <w:tcPr>
            <w:tcW w:w="1298" w:type="dxa"/>
            <w:shd w:val="clear" w:color="auto" w:fill="auto"/>
            <w:tcMar>
              <w:left w:w="0" w:type="dxa"/>
              <w:right w:w="0" w:type="dxa"/>
            </w:tcMar>
          </w:tcPr>
          <w:p w14:paraId="7639E588"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(6.0)</w:t>
            </w:r>
          </w:p>
        </w:tc>
      </w:tr>
      <w:tr w:rsidR="00B70539" w:rsidRPr="00895810" w14:paraId="3E87C647" w14:textId="77777777" w:rsidTr="00692C90">
        <w:tc>
          <w:tcPr>
            <w:tcW w:w="6100" w:type="dxa"/>
            <w:tcMar>
              <w:left w:w="0" w:type="dxa"/>
              <w:right w:w="0" w:type="dxa"/>
            </w:tcMar>
            <w:vAlign w:val="bottom"/>
          </w:tcPr>
          <w:p w14:paraId="57303C6B"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Interest on obligations under head leases</w:t>
            </w:r>
          </w:p>
        </w:tc>
        <w:tc>
          <w:tcPr>
            <w:tcW w:w="284" w:type="dxa"/>
            <w:vAlign w:val="bottom"/>
          </w:tcPr>
          <w:p w14:paraId="708AB53A" w14:textId="77777777" w:rsidR="00B70539" w:rsidRPr="00895810" w:rsidRDefault="00B70539" w:rsidP="00B70539">
            <w:pPr>
              <w:spacing w:after="0" w:line="240" w:lineRule="auto"/>
              <w:rPr>
                <w:rFonts w:ascii="IBM Plex Sans Light" w:hAnsi="IBM Plex Sans Light" w:cs="Arial"/>
                <w:szCs w:val="18"/>
              </w:rPr>
            </w:pPr>
          </w:p>
        </w:tc>
        <w:tc>
          <w:tcPr>
            <w:tcW w:w="798" w:type="dxa"/>
          </w:tcPr>
          <w:p w14:paraId="1457628A"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Mar>
              <w:left w:w="0" w:type="dxa"/>
              <w:right w:w="0" w:type="dxa"/>
            </w:tcMar>
          </w:tcPr>
          <w:p w14:paraId="776C1455" w14:textId="6143149B"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(2.1)</w:t>
            </w:r>
          </w:p>
        </w:tc>
        <w:tc>
          <w:tcPr>
            <w:tcW w:w="1298" w:type="dxa"/>
            <w:tcMar>
              <w:left w:w="0" w:type="dxa"/>
              <w:right w:w="0" w:type="dxa"/>
            </w:tcMar>
          </w:tcPr>
          <w:p w14:paraId="0854F6AB"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(2.1)</w:t>
            </w:r>
          </w:p>
        </w:tc>
      </w:tr>
      <w:tr w:rsidR="00B70539" w:rsidRPr="00895810" w14:paraId="5BCE94E9" w14:textId="77777777" w:rsidTr="00692C90">
        <w:tc>
          <w:tcPr>
            <w:tcW w:w="6100" w:type="dxa"/>
            <w:tcMar>
              <w:left w:w="0" w:type="dxa"/>
              <w:right w:w="0" w:type="dxa"/>
            </w:tcMar>
            <w:vAlign w:val="bottom"/>
          </w:tcPr>
          <w:p w14:paraId="79CE688F"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 xml:space="preserve">Interest on other lease obligations </w:t>
            </w:r>
          </w:p>
        </w:tc>
        <w:tc>
          <w:tcPr>
            <w:tcW w:w="284" w:type="dxa"/>
            <w:vAlign w:val="bottom"/>
          </w:tcPr>
          <w:p w14:paraId="7E8E1CD3" w14:textId="77777777" w:rsidR="00B70539" w:rsidRPr="00895810" w:rsidRDefault="00B70539" w:rsidP="00B70539">
            <w:pPr>
              <w:spacing w:after="0" w:line="240" w:lineRule="auto"/>
              <w:rPr>
                <w:rFonts w:ascii="IBM Plex Sans Light" w:hAnsi="IBM Plex Sans Light" w:cs="Arial"/>
                <w:szCs w:val="18"/>
              </w:rPr>
            </w:pPr>
          </w:p>
        </w:tc>
        <w:tc>
          <w:tcPr>
            <w:tcW w:w="798" w:type="dxa"/>
          </w:tcPr>
          <w:p w14:paraId="2CF4B3A1"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Mar>
              <w:left w:w="0" w:type="dxa"/>
              <w:right w:w="0" w:type="dxa"/>
            </w:tcMar>
          </w:tcPr>
          <w:p w14:paraId="429BED66" w14:textId="657A712C"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(0.1)</w:t>
            </w:r>
          </w:p>
        </w:tc>
        <w:tc>
          <w:tcPr>
            <w:tcW w:w="1298" w:type="dxa"/>
            <w:tcMar>
              <w:left w:w="0" w:type="dxa"/>
              <w:right w:w="0" w:type="dxa"/>
            </w:tcMar>
          </w:tcPr>
          <w:p w14:paraId="72EF2796"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(0.1)</w:t>
            </w:r>
          </w:p>
        </w:tc>
      </w:tr>
      <w:tr w:rsidR="00B70539" w:rsidRPr="00895810" w14:paraId="0D59F6F1" w14:textId="77777777" w:rsidTr="00692C90">
        <w:tc>
          <w:tcPr>
            <w:tcW w:w="6100" w:type="dxa"/>
            <w:tcBorders>
              <w:bottom w:val="single" w:sz="2" w:space="0" w:color="3D7FE0" w:themeColor="accent1"/>
            </w:tcBorders>
            <w:tcMar>
              <w:left w:w="0" w:type="dxa"/>
              <w:right w:w="0" w:type="dxa"/>
            </w:tcMar>
            <w:vAlign w:val="bottom"/>
          </w:tcPr>
          <w:p w14:paraId="1F338C62"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Other interest payable</w:t>
            </w:r>
          </w:p>
        </w:tc>
        <w:tc>
          <w:tcPr>
            <w:tcW w:w="284" w:type="dxa"/>
            <w:tcBorders>
              <w:bottom w:val="single" w:sz="2" w:space="0" w:color="3D7FE0" w:themeColor="accent1"/>
            </w:tcBorders>
            <w:vAlign w:val="bottom"/>
          </w:tcPr>
          <w:p w14:paraId="179D47FF" w14:textId="77777777" w:rsidR="00B70539" w:rsidRPr="00895810" w:rsidRDefault="00B70539" w:rsidP="00B70539">
            <w:pPr>
              <w:spacing w:after="0" w:line="240" w:lineRule="auto"/>
              <w:rPr>
                <w:rFonts w:ascii="IBM Plex Sans Light" w:hAnsi="IBM Plex Sans Light" w:cs="Arial"/>
                <w:szCs w:val="18"/>
              </w:rPr>
            </w:pPr>
          </w:p>
        </w:tc>
        <w:tc>
          <w:tcPr>
            <w:tcW w:w="798" w:type="dxa"/>
            <w:tcBorders>
              <w:bottom w:val="single" w:sz="2" w:space="0" w:color="3D7FE0" w:themeColor="accent1"/>
            </w:tcBorders>
          </w:tcPr>
          <w:p w14:paraId="07DFC48D"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Borders>
              <w:bottom w:val="single" w:sz="2" w:space="0" w:color="3D7FE0" w:themeColor="accent1"/>
            </w:tcBorders>
            <w:tcMar>
              <w:left w:w="0" w:type="dxa"/>
              <w:right w:w="0" w:type="dxa"/>
            </w:tcMar>
          </w:tcPr>
          <w:p w14:paraId="2E841091" w14:textId="25549049"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(0.7)</w:t>
            </w:r>
          </w:p>
        </w:tc>
        <w:tc>
          <w:tcPr>
            <w:tcW w:w="1298" w:type="dxa"/>
            <w:tcBorders>
              <w:bottom w:val="single" w:sz="2" w:space="0" w:color="3D7FE0" w:themeColor="accent1"/>
            </w:tcBorders>
            <w:tcMar>
              <w:left w:w="0" w:type="dxa"/>
              <w:right w:w="0" w:type="dxa"/>
            </w:tcMar>
          </w:tcPr>
          <w:p w14:paraId="1B7C5F1F"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(0.4)</w:t>
            </w:r>
          </w:p>
        </w:tc>
      </w:tr>
      <w:tr w:rsidR="00B70539" w:rsidRPr="00895810" w14:paraId="47C64583" w14:textId="77777777" w:rsidTr="00692C90">
        <w:tc>
          <w:tcPr>
            <w:tcW w:w="6100" w:type="dxa"/>
            <w:tcBorders>
              <w:top w:val="single" w:sz="2" w:space="0" w:color="3D7FE0" w:themeColor="accent1"/>
            </w:tcBorders>
            <w:tcMar>
              <w:left w:w="0" w:type="dxa"/>
              <w:right w:w="0" w:type="dxa"/>
            </w:tcMar>
            <w:vAlign w:val="bottom"/>
          </w:tcPr>
          <w:p w14:paraId="4F632463" w14:textId="77777777" w:rsidR="00B70539" w:rsidRPr="00895810" w:rsidRDefault="00B70539" w:rsidP="00B70539">
            <w:pPr>
              <w:spacing w:after="0" w:line="240" w:lineRule="auto"/>
              <w:rPr>
                <w:rFonts w:ascii="IBM Plex Sans Light" w:hAnsi="IBM Plex Sans Light" w:cs="Arial"/>
                <w:color w:val="3D7FE0" w:themeColor="accent1"/>
                <w:szCs w:val="18"/>
              </w:rPr>
            </w:pPr>
            <w:r w:rsidRPr="00895810">
              <w:rPr>
                <w:rFonts w:ascii="IBM Plex Sans Light" w:hAnsi="IBM Plex Sans Light"/>
                <w:b/>
                <w:bCs/>
                <w:color w:val="3D7FE0" w:themeColor="accent1"/>
                <w:szCs w:val="20"/>
              </w:rPr>
              <w:t>Gross interest costs</w:t>
            </w:r>
          </w:p>
        </w:tc>
        <w:tc>
          <w:tcPr>
            <w:tcW w:w="284" w:type="dxa"/>
            <w:tcBorders>
              <w:top w:val="single" w:sz="2" w:space="0" w:color="3D7FE0" w:themeColor="accent1"/>
            </w:tcBorders>
            <w:vAlign w:val="bottom"/>
          </w:tcPr>
          <w:p w14:paraId="2977C395" w14:textId="77777777" w:rsidR="00B70539" w:rsidRPr="00895810" w:rsidRDefault="00B70539" w:rsidP="00B70539">
            <w:pPr>
              <w:spacing w:after="0" w:line="240" w:lineRule="auto"/>
              <w:rPr>
                <w:rFonts w:ascii="IBM Plex Sans Light" w:hAnsi="IBM Plex Sans Light" w:cs="Arial"/>
                <w:szCs w:val="18"/>
              </w:rPr>
            </w:pPr>
          </w:p>
        </w:tc>
        <w:tc>
          <w:tcPr>
            <w:tcW w:w="798" w:type="dxa"/>
            <w:tcBorders>
              <w:top w:val="single" w:sz="2" w:space="0" w:color="3D7FE0" w:themeColor="accent1"/>
            </w:tcBorders>
          </w:tcPr>
          <w:p w14:paraId="7296E7E5" w14:textId="77777777" w:rsidR="00B70539" w:rsidRPr="00895810" w:rsidRDefault="00B70539" w:rsidP="00B70539">
            <w:pPr>
              <w:pStyle w:val="TableFigures"/>
              <w:rPr>
                <w:rFonts w:ascii="IBM Plex Sans Light" w:hAnsi="IBM Plex Sans Light" w:cs="MyriadPro-Light"/>
                <w:color w:val="auto"/>
                <w:spacing w:val="-4"/>
                <w:sz w:val="18"/>
                <w:szCs w:val="18"/>
              </w:rPr>
            </w:pPr>
          </w:p>
        </w:tc>
        <w:tc>
          <w:tcPr>
            <w:tcW w:w="1443" w:type="dxa"/>
            <w:tcBorders>
              <w:top w:val="single" w:sz="2" w:space="0" w:color="3D7FE0" w:themeColor="accent1"/>
            </w:tcBorders>
            <w:tcMar>
              <w:left w:w="0" w:type="dxa"/>
              <w:right w:w="0" w:type="dxa"/>
            </w:tcMar>
          </w:tcPr>
          <w:p w14:paraId="224B21F2" w14:textId="382FF831"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(72.0)</w:t>
            </w:r>
          </w:p>
        </w:tc>
        <w:tc>
          <w:tcPr>
            <w:tcW w:w="1298" w:type="dxa"/>
            <w:tcBorders>
              <w:top w:val="single" w:sz="2" w:space="0" w:color="3D7FE0" w:themeColor="accent1"/>
            </w:tcBorders>
            <w:tcMar>
              <w:left w:w="0" w:type="dxa"/>
              <w:right w:w="0" w:type="dxa"/>
            </w:tcMar>
          </w:tcPr>
          <w:p w14:paraId="37620E2A"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(74.6)</w:t>
            </w:r>
          </w:p>
        </w:tc>
      </w:tr>
      <w:tr w:rsidR="00B70539" w:rsidRPr="00895810" w14:paraId="20BADD0D" w14:textId="77777777" w:rsidTr="00692C90">
        <w:tc>
          <w:tcPr>
            <w:tcW w:w="6100" w:type="dxa"/>
            <w:tcBorders>
              <w:bottom w:val="single" w:sz="2" w:space="0" w:color="3D7FE0" w:themeColor="accent1"/>
            </w:tcBorders>
            <w:tcMar>
              <w:left w:w="0" w:type="dxa"/>
              <w:right w:w="0" w:type="dxa"/>
            </w:tcMar>
            <w:vAlign w:val="bottom"/>
          </w:tcPr>
          <w:p w14:paraId="1C658DC8" w14:textId="77777777" w:rsidR="00B70539" w:rsidRPr="00895810" w:rsidRDefault="00B70539" w:rsidP="00B70539">
            <w:pPr>
              <w:spacing w:after="0" w:line="240" w:lineRule="auto"/>
              <w:rPr>
                <w:rFonts w:ascii="IBM Plex Sans Light" w:hAnsi="IBM Plex Sans Light" w:cs="Arial"/>
                <w:szCs w:val="18"/>
              </w:rPr>
            </w:pPr>
            <w:r w:rsidRPr="00895810">
              <w:rPr>
                <w:rFonts w:ascii="IBM Plex Sans Light" w:hAnsi="IBM Plex Sans Light" w:cs="Arial"/>
                <w:szCs w:val="18"/>
              </w:rPr>
              <w:t>Interest capitalised in respect of properties under development</w:t>
            </w:r>
          </w:p>
        </w:tc>
        <w:tc>
          <w:tcPr>
            <w:tcW w:w="284" w:type="dxa"/>
            <w:tcBorders>
              <w:bottom w:val="single" w:sz="2" w:space="0" w:color="3D7FE0" w:themeColor="accent1"/>
            </w:tcBorders>
            <w:vAlign w:val="bottom"/>
          </w:tcPr>
          <w:p w14:paraId="7EFCE74D" w14:textId="77777777" w:rsidR="00B70539" w:rsidRPr="00895810" w:rsidRDefault="00B70539" w:rsidP="00B70539">
            <w:pPr>
              <w:spacing w:after="0" w:line="240" w:lineRule="auto"/>
              <w:rPr>
                <w:rFonts w:ascii="IBM Plex Sans Light" w:hAnsi="IBM Plex Sans Light" w:cs="Arial"/>
                <w:sz w:val="16"/>
                <w:szCs w:val="16"/>
              </w:rPr>
            </w:pPr>
          </w:p>
        </w:tc>
        <w:tc>
          <w:tcPr>
            <w:tcW w:w="798" w:type="dxa"/>
            <w:tcBorders>
              <w:bottom w:val="single" w:sz="2" w:space="0" w:color="3D7FE0" w:themeColor="accent1"/>
            </w:tcBorders>
          </w:tcPr>
          <w:p w14:paraId="47427746" w14:textId="77777777" w:rsidR="00B70539" w:rsidRPr="00895810" w:rsidRDefault="00B70539" w:rsidP="00C323D2">
            <w:pPr>
              <w:pStyle w:val="TableFiguresBrackets"/>
              <w:rPr>
                <w:rFonts w:ascii="IBM Plex Sans Light" w:hAnsi="IBM Plex Sans Light" w:cs="MyriadPro-Light"/>
                <w:color w:val="auto"/>
                <w:spacing w:val="-4"/>
                <w:szCs w:val="16"/>
              </w:rPr>
            </w:pPr>
          </w:p>
        </w:tc>
        <w:tc>
          <w:tcPr>
            <w:tcW w:w="1443" w:type="dxa"/>
            <w:tcBorders>
              <w:bottom w:val="single" w:sz="2" w:space="0" w:color="3D7FE0" w:themeColor="accent1"/>
            </w:tcBorders>
            <w:tcMar>
              <w:left w:w="0" w:type="dxa"/>
              <w:right w:w="0" w:type="dxa"/>
            </w:tcMar>
          </w:tcPr>
          <w:p w14:paraId="5BE68D79" w14:textId="23514812" w:rsidR="00B70539" w:rsidRPr="00B70539" w:rsidRDefault="00B70539" w:rsidP="00D9524D">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w:t>
            </w:r>
          </w:p>
        </w:tc>
        <w:tc>
          <w:tcPr>
            <w:tcW w:w="1298" w:type="dxa"/>
            <w:tcBorders>
              <w:bottom w:val="single" w:sz="2" w:space="0" w:color="3D7FE0" w:themeColor="accent1"/>
            </w:tcBorders>
            <w:tcMar>
              <w:left w:w="0" w:type="dxa"/>
              <w:right w:w="0" w:type="dxa"/>
            </w:tcMar>
          </w:tcPr>
          <w:p w14:paraId="36CE3B04" w14:textId="77777777" w:rsidR="00B70539" w:rsidRPr="00B72C55" w:rsidRDefault="00B70539" w:rsidP="00B70539">
            <w:pPr>
              <w:pStyle w:val="TableFiguresBold"/>
              <w:rPr>
                <w:rFonts w:ascii="IBM Plex Sans Light" w:hAnsi="IBM Plex Sans Light"/>
                <w:b w:val="0"/>
                <w:color w:val="auto"/>
                <w:sz w:val="18"/>
                <w:szCs w:val="18"/>
              </w:rPr>
            </w:pPr>
            <w:r w:rsidRPr="00B72C55">
              <w:rPr>
                <w:rFonts w:ascii="IBM Plex Sans Light" w:hAnsi="IBM Plex Sans Light"/>
                <w:b w:val="0"/>
                <w:color w:val="auto"/>
                <w:sz w:val="18"/>
                <w:szCs w:val="18"/>
              </w:rPr>
              <w:t>1.2</w:t>
            </w:r>
          </w:p>
        </w:tc>
      </w:tr>
      <w:tr w:rsidR="00B70539" w:rsidRPr="00895810" w14:paraId="633A86C2" w14:textId="77777777" w:rsidTr="00692C90">
        <w:tc>
          <w:tcPr>
            <w:tcW w:w="6100" w:type="dxa"/>
            <w:tcBorders>
              <w:top w:val="single" w:sz="2" w:space="0" w:color="3D7FE0" w:themeColor="accent1"/>
            </w:tcBorders>
            <w:tcMar>
              <w:left w:w="0" w:type="dxa"/>
              <w:right w:w="0" w:type="dxa"/>
            </w:tcMar>
            <w:vAlign w:val="bottom"/>
          </w:tcPr>
          <w:p w14:paraId="3BBEF1F9" w14:textId="77777777" w:rsidR="00B70539" w:rsidRPr="00895810" w:rsidRDefault="00B70539" w:rsidP="00B70539">
            <w:pPr>
              <w:spacing w:after="0" w:line="240" w:lineRule="auto"/>
              <w:rPr>
                <w:rFonts w:ascii="IBM Plex Sans Light" w:hAnsi="IBM Plex Sans Light" w:cs="Arial"/>
                <w:szCs w:val="18"/>
              </w:rPr>
            </w:pPr>
          </w:p>
        </w:tc>
        <w:tc>
          <w:tcPr>
            <w:tcW w:w="284" w:type="dxa"/>
            <w:tcBorders>
              <w:top w:val="single" w:sz="2" w:space="0" w:color="3D7FE0" w:themeColor="accent1"/>
            </w:tcBorders>
            <w:vAlign w:val="bottom"/>
          </w:tcPr>
          <w:p w14:paraId="2755A46A" w14:textId="77777777" w:rsidR="00B70539" w:rsidRPr="00895810" w:rsidRDefault="00B70539" w:rsidP="00B70539">
            <w:pPr>
              <w:spacing w:after="0" w:line="240" w:lineRule="auto"/>
              <w:rPr>
                <w:rFonts w:ascii="IBM Plex Sans Light" w:hAnsi="IBM Plex Sans Light" w:cs="Arial"/>
                <w:sz w:val="16"/>
                <w:szCs w:val="16"/>
              </w:rPr>
            </w:pPr>
          </w:p>
        </w:tc>
        <w:tc>
          <w:tcPr>
            <w:tcW w:w="798" w:type="dxa"/>
            <w:tcBorders>
              <w:top w:val="single" w:sz="2" w:space="0" w:color="3D7FE0" w:themeColor="accent1"/>
            </w:tcBorders>
          </w:tcPr>
          <w:p w14:paraId="1B9150E0" w14:textId="77777777" w:rsidR="00B70539" w:rsidRPr="00895810" w:rsidRDefault="00B70539" w:rsidP="00C323D2">
            <w:pPr>
              <w:pStyle w:val="TableFiguresBrackets"/>
              <w:rPr>
                <w:rFonts w:ascii="IBM Plex Sans Light" w:hAnsi="IBM Plex Sans Light" w:cs="MyriadPro-Light"/>
                <w:color w:val="auto"/>
                <w:spacing w:val="-4"/>
                <w:szCs w:val="16"/>
              </w:rPr>
            </w:pPr>
          </w:p>
        </w:tc>
        <w:tc>
          <w:tcPr>
            <w:tcW w:w="1443" w:type="dxa"/>
            <w:tcBorders>
              <w:top w:val="single" w:sz="2" w:space="0" w:color="3D7FE0" w:themeColor="accent1"/>
            </w:tcBorders>
            <w:tcMar>
              <w:left w:w="0" w:type="dxa"/>
              <w:right w:w="0" w:type="dxa"/>
            </w:tcMar>
          </w:tcPr>
          <w:p w14:paraId="30D8571A" w14:textId="00468CF8" w:rsidR="00B70539" w:rsidRPr="00B70539" w:rsidRDefault="00B70539" w:rsidP="00B70539">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(72.0)</w:t>
            </w:r>
          </w:p>
        </w:tc>
        <w:tc>
          <w:tcPr>
            <w:tcW w:w="1298" w:type="dxa"/>
            <w:tcBorders>
              <w:top w:val="single" w:sz="2" w:space="0" w:color="3D7FE0" w:themeColor="accent1"/>
            </w:tcBorders>
            <w:tcMar>
              <w:left w:w="0" w:type="dxa"/>
              <w:right w:w="0" w:type="dxa"/>
            </w:tcMar>
          </w:tcPr>
          <w:p w14:paraId="76923CFC" w14:textId="77777777" w:rsidR="00B70539" w:rsidRPr="00895810" w:rsidRDefault="00B70539" w:rsidP="00B70539">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(73.4)</w:t>
            </w:r>
          </w:p>
        </w:tc>
      </w:tr>
      <w:tr w:rsidR="00C323D2" w:rsidRPr="00895810" w14:paraId="36C34271" w14:textId="77777777" w:rsidTr="00692C90">
        <w:tc>
          <w:tcPr>
            <w:tcW w:w="6100" w:type="dxa"/>
            <w:tcMar>
              <w:left w:w="0" w:type="dxa"/>
              <w:right w:w="0" w:type="dxa"/>
            </w:tcMar>
            <w:vAlign w:val="bottom"/>
          </w:tcPr>
          <w:p w14:paraId="57509A04" w14:textId="77777777" w:rsidR="00C323D2" w:rsidRPr="00895810" w:rsidRDefault="00C323D2" w:rsidP="00C323D2">
            <w:pPr>
              <w:spacing w:after="0" w:line="240" w:lineRule="auto"/>
              <w:rPr>
                <w:rFonts w:ascii="IBM Plex Sans Light" w:hAnsi="IBM Plex Sans Light" w:cs="Arial"/>
                <w:szCs w:val="18"/>
              </w:rPr>
            </w:pPr>
            <w:r w:rsidRPr="00895810">
              <w:rPr>
                <w:rFonts w:ascii="IBM Plex Sans Light" w:hAnsi="IBM Plex Sans Light" w:cs="Arial"/>
                <w:szCs w:val="18"/>
              </w:rPr>
              <w:t>Debt and loan facility cancellation costs</w:t>
            </w:r>
          </w:p>
        </w:tc>
        <w:tc>
          <w:tcPr>
            <w:tcW w:w="284" w:type="dxa"/>
            <w:vAlign w:val="bottom"/>
          </w:tcPr>
          <w:p w14:paraId="4A31679D" w14:textId="2582A093" w:rsidR="00C323D2" w:rsidRPr="00C323D2" w:rsidRDefault="00C323D2" w:rsidP="00024B10">
            <w:pPr>
              <w:spacing w:after="0" w:line="240" w:lineRule="auto"/>
              <w:rPr>
                <w:rFonts w:ascii="IBM Plex Sans Light" w:hAnsi="IBM Plex Sans Light" w:cs="Arial"/>
                <w:sz w:val="16"/>
                <w:szCs w:val="16"/>
              </w:rPr>
            </w:pPr>
          </w:p>
        </w:tc>
        <w:tc>
          <w:tcPr>
            <w:tcW w:w="798" w:type="dxa"/>
          </w:tcPr>
          <w:p w14:paraId="6460DBE8" w14:textId="43AE6FA8" w:rsidR="00C323D2" w:rsidRPr="00C323D2" w:rsidRDefault="00C323D2" w:rsidP="00024B10">
            <w:pPr>
              <w:pStyle w:val="TableFiguresBrackets"/>
              <w:rPr>
                <w:rFonts w:ascii="IBM Plex Sans Light" w:hAnsi="IBM Plex Sans Light" w:cs="Arial"/>
                <w:color w:val="auto"/>
                <w:spacing w:val="-4"/>
                <w:szCs w:val="16"/>
              </w:rPr>
            </w:pPr>
            <w:r w:rsidRPr="00C323D2">
              <w:rPr>
                <w:rFonts w:ascii="IBM Plex Sans Light" w:hAnsi="IBM Plex Sans Light" w:cs="Arial"/>
                <w:color w:val="auto"/>
                <w:spacing w:val="-4"/>
                <w:szCs w:val="16"/>
              </w:rPr>
              <w:t>9A</w:t>
            </w:r>
          </w:p>
        </w:tc>
        <w:tc>
          <w:tcPr>
            <w:tcW w:w="1443" w:type="dxa"/>
            <w:tcMar>
              <w:left w:w="0" w:type="dxa"/>
              <w:right w:w="0" w:type="dxa"/>
            </w:tcMar>
          </w:tcPr>
          <w:p w14:paraId="72E1465E" w14:textId="2D9AC2F0" w:rsidR="00C323D2" w:rsidRPr="00B70539" w:rsidRDefault="00C323D2" w:rsidP="00C323D2">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w:t>
            </w:r>
          </w:p>
        </w:tc>
        <w:tc>
          <w:tcPr>
            <w:tcW w:w="1298" w:type="dxa"/>
            <w:tcMar>
              <w:left w:w="0" w:type="dxa"/>
              <w:right w:w="0" w:type="dxa"/>
            </w:tcMar>
          </w:tcPr>
          <w:p w14:paraId="4755845A" w14:textId="77777777" w:rsidR="00C323D2" w:rsidRPr="00895810" w:rsidRDefault="00C323D2" w:rsidP="00C323D2">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(1.3)</w:t>
            </w:r>
          </w:p>
        </w:tc>
      </w:tr>
      <w:tr w:rsidR="00C323D2" w:rsidRPr="00895810" w14:paraId="2C890DA5" w14:textId="77777777" w:rsidTr="00692C90">
        <w:tc>
          <w:tcPr>
            <w:tcW w:w="6100" w:type="dxa"/>
            <w:tcMar>
              <w:left w:w="0" w:type="dxa"/>
              <w:right w:w="0" w:type="dxa"/>
            </w:tcMar>
            <w:vAlign w:val="bottom"/>
          </w:tcPr>
          <w:p w14:paraId="34638B3F" w14:textId="74D9115F" w:rsidR="00C323D2" w:rsidRPr="00895810" w:rsidRDefault="00C323D2" w:rsidP="00C323D2">
            <w:pPr>
              <w:spacing w:after="0" w:line="240" w:lineRule="auto"/>
              <w:rPr>
                <w:rFonts w:ascii="IBM Plex Sans Light" w:hAnsi="IBM Plex Sans Light" w:cs="Arial"/>
                <w:szCs w:val="18"/>
              </w:rPr>
            </w:pPr>
            <w:r w:rsidRPr="00895810">
              <w:rPr>
                <w:rFonts w:ascii="IBM Plex Sans Light" w:hAnsi="IBM Plex Sans Light" w:cs="Arial"/>
                <w:szCs w:val="18"/>
              </w:rPr>
              <w:t>Fair value</w:t>
            </w:r>
            <w:r>
              <w:rPr>
                <w:rFonts w:ascii="IBM Plex Sans Light" w:hAnsi="IBM Plex Sans Light" w:cs="Arial"/>
                <w:szCs w:val="18"/>
              </w:rPr>
              <w:t xml:space="preserve"> gains/(</w:t>
            </w:r>
            <w:r w:rsidRPr="00895810">
              <w:rPr>
                <w:rFonts w:ascii="IBM Plex Sans Light" w:hAnsi="IBM Plex Sans Light" w:cs="Arial"/>
                <w:szCs w:val="18"/>
              </w:rPr>
              <w:t>losses</w:t>
            </w:r>
            <w:r>
              <w:rPr>
                <w:rFonts w:ascii="IBM Plex Sans Light" w:hAnsi="IBM Plex Sans Light" w:cs="Arial"/>
                <w:szCs w:val="18"/>
              </w:rPr>
              <w:t>)</w:t>
            </w:r>
            <w:r w:rsidRPr="00895810">
              <w:rPr>
                <w:rFonts w:ascii="IBM Plex Sans Light" w:hAnsi="IBM Plex Sans Light" w:cs="Arial"/>
                <w:szCs w:val="18"/>
              </w:rPr>
              <w:t xml:space="preserve"> on derivatives</w:t>
            </w:r>
          </w:p>
        </w:tc>
        <w:tc>
          <w:tcPr>
            <w:tcW w:w="284" w:type="dxa"/>
            <w:vAlign w:val="bottom"/>
          </w:tcPr>
          <w:p w14:paraId="69E1BA83" w14:textId="77777777" w:rsidR="00C323D2" w:rsidRPr="00C323D2" w:rsidRDefault="00C323D2" w:rsidP="00C323D2">
            <w:pPr>
              <w:spacing w:after="0" w:line="240" w:lineRule="auto"/>
              <w:rPr>
                <w:rFonts w:ascii="IBM Plex Sans Light" w:hAnsi="IBM Plex Sans Light" w:cs="Arial"/>
                <w:sz w:val="16"/>
                <w:szCs w:val="16"/>
              </w:rPr>
            </w:pPr>
          </w:p>
        </w:tc>
        <w:tc>
          <w:tcPr>
            <w:tcW w:w="798" w:type="dxa"/>
          </w:tcPr>
          <w:p w14:paraId="13BD3080" w14:textId="0EF11BB0" w:rsidR="00C323D2" w:rsidRPr="00C323D2" w:rsidRDefault="00C323D2" w:rsidP="00C323D2">
            <w:pPr>
              <w:pStyle w:val="TableFiguresBrackets"/>
              <w:rPr>
                <w:rFonts w:ascii="IBM Plex Sans Light" w:hAnsi="IBM Plex Sans Light" w:cs="Arial"/>
                <w:color w:val="auto"/>
                <w:spacing w:val="-4"/>
                <w:szCs w:val="16"/>
              </w:rPr>
            </w:pPr>
            <w:r>
              <w:rPr>
                <w:rFonts w:ascii="IBM Plex Sans Light" w:hAnsi="IBM Plex Sans Light" w:cs="Arial"/>
                <w:color w:val="auto"/>
                <w:spacing w:val="-4"/>
                <w:szCs w:val="16"/>
              </w:rPr>
              <w:t>9A</w:t>
            </w:r>
          </w:p>
        </w:tc>
        <w:tc>
          <w:tcPr>
            <w:tcW w:w="1443" w:type="dxa"/>
            <w:tcMar>
              <w:left w:w="0" w:type="dxa"/>
              <w:right w:w="0" w:type="dxa"/>
            </w:tcMar>
          </w:tcPr>
          <w:p w14:paraId="5BFA4A1B" w14:textId="47C679BD" w:rsidR="00C323D2" w:rsidRPr="00B70539" w:rsidRDefault="00C323D2" w:rsidP="00C323D2">
            <w:pPr>
              <w:pStyle w:val="TableFigure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0.7</w:t>
            </w:r>
          </w:p>
        </w:tc>
        <w:tc>
          <w:tcPr>
            <w:tcW w:w="1298" w:type="dxa"/>
            <w:tcMar>
              <w:left w:w="0" w:type="dxa"/>
              <w:right w:w="0" w:type="dxa"/>
            </w:tcMar>
          </w:tcPr>
          <w:p w14:paraId="2BF9E313" w14:textId="24392386" w:rsidR="00C323D2" w:rsidRPr="00B72C55" w:rsidRDefault="00C323D2" w:rsidP="00C323D2">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(14.4)</w:t>
            </w:r>
          </w:p>
        </w:tc>
      </w:tr>
      <w:tr w:rsidR="00C323D2" w:rsidRPr="00895810" w14:paraId="7DC7D961" w14:textId="77777777" w:rsidTr="00692C90">
        <w:tc>
          <w:tcPr>
            <w:tcW w:w="6100" w:type="dxa"/>
            <w:tcBorders>
              <w:top w:val="single" w:sz="2" w:space="0" w:color="3D7FE0" w:themeColor="accent1"/>
              <w:bottom w:val="single" w:sz="2" w:space="0" w:color="3D7FE0" w:themeColor="accent1"/>
            </w:tcBorders>
            <w:tcMar>
              <w:left w:w="0" w:type="dxa"/>
              <w:right w:w="0" w:type="dxa"/>
            </w:tcMar>
            <w:vAlign w:val="bottom"/>
          </w:tcPr>
          <w:p w14:paraId="2D797552" w14:textId="5105C017" w:rsidR="00C323D2" w:rsidRPr="00895810" w:rsidRDefault="00C323D2" w:rsidP="00024B10">
            <w:pPr>
              <w:pStyle w:val="TableFiguresBracketsBold"/>
              <w:jc w:val="left"/>
              <w:rPr>
                <w:rFonts w:ascii="IBM Plex Sans Light" w:hAnsi="IBM Plex Sans Light" w:cs="Arial"/>
                <w:szCs w:val="18"/>
              </w:rPr>
            </w:pPr>
            <w:r w:rsidRPr="00024B10">
              <w:rPr>
                <w:rFonts w:ascii="IBM Plex Sans Light" w:hAnsi="IBM Plex Sans Light"/>
                <w:color w:val="3D7FE0" w:themeColor="accent1"/>
                <w:spacing w:val="-4"/>
                <w:sz w:val="18"/>
              </w:rPr>
              <w:t>Finance costs</w:t>
            </w:r>
          </w:p>
        </w:tc>
        <w:tc>
          <w:tcPr>
            <w:tcW w:w="284" w:type="dxa"/>
            <w:tcBorders>
              <w:top w:val="single" w:sz="2" w:space="0" w:color="3D7FE0" w:themeColor="accent1"/>
              <w:bottom w:val="single" w:sz="2" w:space="0" w:color="3D7FE0" w:themeColor="accent1"/>
            </w:tcBorders>
            <w:vAlign w:val="bottom"/>
          </w:tcPr>
          <w:p w14:paraId="27968D54" w14:textId="77777777" w:rsidR="00C323D2" w:rsidRPr="00895810" w:rsidRDefault="00C323D2" w:rsidP="00C323D2">
            <w:pPr>
              <w:spacing w:after="0" w:line="240" w:lineRule="auto"/>
              <w:rPr>
                <w:rFonts w:ascii="IBM Plex Sans Light" w:hAnsi="IBM Plex Sans Light" w:cs="Arial"/>
                <w:sz w:val="16"/>
                <w:szCs w:val="16"/>
              </w:rPr>
            </w:pPr>
          </w:p>
        </w:tc>
        <w:tc>
          <w:tcPr>
            <w:tcW w:w="798" w:type="dxa"/>
            <w:tcBorders>
              <w:top w:val="single" w:sz="2" w:space="0" w:color="3D7FE0" w:themeColor="accent1"/>
              <w:bottom w:val="single" w:sz="2" w:space="0" w:color="3D7FE0" w:themeColor="accent1"/>
            </w:tcBorders>
          </w:tcPr>
          <w:p w14:paraId="55B88E61" w14:textId="77777777" w:rsidR="00C323D2" w:rsidRPr="00895810" w:rsidRDefault="00C323D2" w:rsidP="00C323D2">
            <w:pPr>
              <w:pStyle w:val="TableFigures"/>
              <w:rPr>
                <w:rFonts w:ascii="IBM Plex Sans Light" w:hAnsi="IBM Plex Sans Light" w:cs="MyriadPro-Light"/>
                <w:color w:val="auto"/>
                <w:spacing w:val="-4"/>
                <w:szCs w:val="16"/>
              </w:rPr>
            </w:pPr>
          </w:p>
        </w:tc>
        <w:tc>
          <w:tcPr>
            <w:tcW w:w="1443" w:type="dxa"/>
            <w:tcBorders>
              <w:top w:val="single" w:sz="2" w:space="0" w:color="3D7FE0" w:themeColor="accent1"/>
              <w:bottom w:val="single" w:sz="2" w:space="0" w:color="3D7FE0" w:themeColor="accent1"/>
            </w:tcBorders>
            <w:tcMar>
              <w:left w:w="0" w:type="dxa"/>
              <w:right w:w="0" w:type="dxa"/>
            </w:tcMar>
          </w:tcPr>
          <w:p w14:paraId="243B084A" w14:textId="05A0CD3B" w:rsidR="00C323D2" w:rsidRPr="00B70539" w:rsidRDefault="00C323D2" w:rsidP="00C323D2">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(71.3)</w:t>
            </w:r>
          </w:p>
        </w:tc>
        <w:tc>
          <w:tcPr>
            <w:tcW w:w="1298" w:type="dxa"/>
            <w:tcBorders>
              <w:top w:val="single" w:sz="2" w:space="0" w:color="3D7FE0" w:themeColor="accent1"/>
              <w:bottom w:val="single" w:sz="2" w:space="0" w:color="3D7FE0" w:themeColor="accent1"/>
            </w:tcBorders>
            <w:tcMar>
              <w:left w:w="0" w:type="dxa"/>
              <w:right w:w="0" w:type="dxa"/>
            </w:tcMar>
          </w:tcPr>
          <w:p w14:paraId="07B9CBB0" w14:textId="77777777" w:rsidR="00C323D2" w:rsidRPr="00895810" w:rsidRDefault="00C323D2" w:rsidP="00C323D2">
            <w:pPr>
              <w:pStyle w:val="TableFiguresBrackets"/>
              <w:rPr>
                <w:rFonts w:ascii="IBM Plex Sans Light" w:hAnsi="IBM Plex Sans Light"/>
                <w:bCs/>
                <w:color w:val="auto"/>
                <w:spacing w:val="-4"/>
                <w:sz w:val="18"/>
                <w:szCs w:val="18"/>
              </w:rPr>
            </w:pPr>
            <w:r w:rsidRPr="00B72C55">
              <w:rPr>
                <w:rFonts w:ascii="IBM Plex Sans Light" w:hAnsi="IBM Plex Sans Light"/>
                <w:bCs/>
                <w:color w:val="auto"/>
                <w:spacing w:val="-4"/>
                <w:sz w:val="18"/>
                <w:szCs w:val="18"/>
              </w:rPr>
              <w:t>(89.1)</w:t>
            </w:r>
          </w:p>
        </w:tc>
      </w:tr>
      <w:tr w:rsidR="00C323D2" w:rsidRPr="00895810" w14:paraId="58DB6A59" w14:textId="77777777" w:rsidTr="00692C90">
        <w:trPr>
          <w:trHeight w:val="52"/>
        </w:trPr>
        <w:tc>
          <w:tcPr>
            <w:tcW w:w="6100" w:type="dxa"/>
            <w:tcBorders>
              <w:top w:val="single" w:sz="2" w:space="0" w:color="3D7FE0" w:themeColor="accent1"/>
            </w:tcBorders>
            <w:tcMar>
              <w:left w:w="0" w:type="dxa"/>
              <w:right w:w="0" w:type="dxa"/>
            </w:tcMar>
            <w:vAlign w:val="bottom"/>
          </w:tcPr>
          <w:p w14:paraId="76EB5226" w14:textId="77777777" w:rsidR="00C323D2" w:rsidRPr="00895810" w:rsidRDefault="00C323D2" w:rsidP="00C323D2">
            <w:pPr>
              <w:pStyle w:val="TableFiguresBracketsBold"/>
              <w:jc w:val="left"/>
              <w:rPr>
                <w:rFonts w:ascii="IBM Plex Sans Light" w:hAnsi="IBM Plex Sans Light"/>
                <w:color w:val="3D7FE0" w:themeColor="accent1"/>
                <w:spacing w:val="-4"/>
                <w:sz w:val="18"/>
              </w:rPr>
            </w:pPr>
          </w:p>
        </w:tc>
        <w:tc>
          <w:tcPr>
            <w:tcW w:w="284" w:type="dxa"/>
            <w:tcBorders>
              <w:top w:val="single" w:sz="2" w:space="0" w:color="3D7FE0" w:themeColor="accent1"/>
            </w:tcBorders>
            <w:vAlign w:val="bottom"/>
          </w:tcPr>
          <w:p w14:paraId="3CBB7C02" w14:textId="77777777" w:rsidR="00C323D2" w:rsidRPr="00895810" w:rsidRDefault="00C323D2" w:rsidP="00C323D2">
            <w:pPr>
              <w:pStyle w:val="TableFiguresBracketsBold"/>
              <w:jc w:val="left"/>
              <w:rPr>
                <w:rFonts w:ascii="IBM Plex Sans Light" w:hAnsi="IBM Plex Sans Light"/>
                <w:color w:val="3D7FE0" w:themeColor="accent1"/>
                <w:spacing w:val="-4"/>
                <w:sz w:val="18"/>
              </w:rPr>
            </w:pPr>
          </w:p>
        </w:tc>
        <w:tc>
          <w:tcPr>
            <w:tcW w:w="798" w:type="dxa"/>
            <w:tcBorders>
              <w:top w:val="single" w:sz="2" w:space="0" w:color="3D7FE0" w:themeColor="accent1"/>
            </w:tcBorders>
          </w:tcPr>
          <w:p w14:paraId="7F912A78" w14:textId="77777777" w:rsidR="00C323D2" w:rsidRPr="00895810" w:rsidRDefault="00C323D2" w:rsidP="00C323D2">
            <w:pPr>
              <w:pStyle w:val="TableFiguresBold"/>
              <w:rPr>
                <w:rFonts w:ascii="IBM Plex Sans Light" w:hAnsi="IBM Plex Sans Light"/>
                <w:b w:val="0"/>
                <w:bCs w:val="0"/>
                <w:color w:val="auto"/>
                <w:spacing w:val="-4"/>
                <w:sz w:val="18"/>
                <w:szCs w:val="18"/>
              </w:rPr>
            </w:pPr>
          </w:p>
        </w:tc>
        <w:tc>
          <w:tcPr>
            <w:tcW w:w="1443" w:type="dxa"/>
            <w:tcBorders>
              <w:top w:val="single" w:sz="2" w:space="0" w:color="3D7FE0" w:themeColor="accent1"/>
            </w:tcBorders>
            <w:tcMar>
              <w:left w:w="0" w:type="dxa"/>
              <w:right w:w="0" w:type="dxa"/>
            </w:tcMar>
          </w:tcPr>
          <w:p w14:paraId="7F174450" w14:textId="77777777" w:rsidR="00C323D2" w:rsidRPr="00B70539" w:rsidRDefault="00C323D2" w:rsidP="00C323D2">
            <w:pPr>
              <w:pStyle w:val="TableFiguresBrackets"/>
              <w:rPr>
                <w:rFonts w:ascii="IBM Plex Sans Medium" w:hAnsi="IBM Plex Sans Medium"/>
                <w:b/>
                <w:bCs/>
                <w:color w:val="3D7FE0" w:themeColor="accent1"/>
                <w:spacing w:val="-4"/>
                <w:sz w:val="18"/>
                <w:szCs w:val="18"/>
              </w:rPr>
            </w:pPr>
          </w:p>
        </w:tc>
        <w:tc>
          <w:tcPr>
            <w:tcW w:w="1298" w:type="dxa"/>
            <w:tcBorders>
              <w:top w:val="single" w:sz="2" w:space="0" w:color="3D7FE0" w:themeColor="accent1"/>
            </w:tcBorders>
            <w:tcMar>
              <w:left w:w="0" w:type="dxa"/>
              <w:right w:w="0" w:type="dxa"/>
            </w:tcMar>
            <w:vAlign w:val="bottom"/>
          </w:tcPr>
          <w:p w14:paraId="3AA4A1AE" w14:textId="77777777" w:rsidR="00C323D2" w:rsidRPr="00895810" w:rsidRDefault="00C323D2" w:rsidP="00C323D2">
            <w:pPr>
              <w:pStyle w:val="TableFiguresBrackets"/>
              <w:rPr>
                <w:rFonts w:ascii="IBM Plex Sans Light" w:hAnsi="IBM Plex Sans Light"/>
                <w:bCs/>
                <w:color w:val="auto"/>
                <w:spacing w:val="-4"/>
                <w:sz w:val="18"/>
                <w:szCs w:val="18"/>
              </w:rPr>
            </w:pPr>
          </w:p>
        </w:tc>
      </w:tr>
      <w:tr w:rsidR="00C323D2" w:rsidRPr="00895810" w14:paraId="03CB4457" w14:textId="77777777" w:rsidTr="00692C90">
        <w:trPr>
          <w:trHeight w:val="52"/>
        </w:trPr>
        <w:tc>
          <w:tcPr>
            <w:tcW w:w="6100" w:type="dxa"/>
            <w:tcBorders>
              <w:bottom w:val="single" w:sz="8" w:space="0" w:color="3D7FE0" w:themeColor="accent1"/>
            </w:tcBorders>
            <w:tcMar>
              <w:left w:w="0" w:type="dxa"/>
              <w:right w:w="0" w:type="dxa"/>
            </w:tcMar>
            <w:vAlign w:val="bottom"/>
          </w:tcPr>
          <w:p w14:paraId="748BC5E0" w14:textId="77777777" w:rsidR="00C323D2" w:rsidRPr="00895810" w:rsidRDefault="00C323D2" w:rsidP="00C323D2">
            <w:pPr>
              <w:pStyle w:val="TableFiguresBracketsBold"/>
              <w:jc w:val="left"/>
              <w:rPr>
                <w:rFonts w:ascii="IBM Plex Sans Light" w:hAnsi="IBM Plex Sans Light"/>
                <w:color w:val="3D7FE0" w:themeColor="accent1"/>
                <w:spacing w:val="-4"/>
                <w:sz w:val="18"/>
              </w:rPr>
            </w:pPr>
            <w:r w:rsidRPr="00895810">
              <w:rPr>
                <w:rFonts w:ascii="IBM Plex Sans Light" w:hAnsi="IBM Plex Sans Light"/>
                <w:color w:val="3D7FE0" w:themeColor="accent1"/>
                <w:spacing w:val="-4"/>
                <w:sz w:val="18"/>
              </w:rPr>
              <w:t>Net finance costs</w:t>
            </w:r>
          </w:p>
        </w:tc>
        <w:tc>
          <w:tcPr>
            <w:tcW w:w="284" w:type="dxa"/>
            <w:tcBorders>
              <w:bottom w:val="single" w:sz="8" w:space="0" w:color="3D7FE0" w:themeColor="accent1"/>
            </w:tcBorders>
            <w:vAlign w:val="bottom"/>
          </w:tcPr>
          <w:p w14:paraId="313311A5" w14:textId="77777777" w:rsidR="00C323D2" w:rsidRPr="00895810" w:rsidRDefault="00C323D2" w:rsidP="00C323D2">
            <w:pPr>
              <w:pStyle w:val="TableFiguresBracketsBold"/>
              <w:jc w:val="left"/>
              <w:rPr>
                <w:rFonts w:ascii="IBM Plex Sans Light" w:hAnsi="IBM Plex Sans Light"/>
                <w:color w:val="3D7FE0" w:themeColor="accent1"/>
                <w:spacing w:val="-4"/>
                <w:sz w:val="18"/>
              </w:rPr>
            </w:pPr>
          </w:p>
        </w:tc>
        <w:tc>
          <w:tcPr>
            <w:tcW w:w="798" w:type="dxa"/>
            <w:tcBorders>
              <w:bottom w:val="single" w:sz="8" w:space="0" w:color="3D7FE0" w:themeColor="accent1"/>
            </w:tcBorders>
          </w:tcPr>
          <w:p w14:paraId="0F38B6BE" w14:textId="77777777" w:rsidR="00C323D2" w:rsidRPr="00895810" w:rsidRDefault="00C323D2" w:rsidP="00C323D2">
            <w:pPr>
              <w:pStyle w:val="TableFiguresBold"/>
              <w:rPr>
                <w:rFonts w:ascii="IBM Plex Sans Light" w:hAnsi="IBM Plex Sans Light"/>
                <w:b w:val="0"/>
                <w:bCs w:val="0"/>
                <w:color w:val="auto"/>
                <w:spacing w:val="-4"/>
                <w:sz w:val="18"/>
                <w:szCs w:val="18"/>
              </w:rPr>
            </w:pPr>
          </w:p>
        </w:tc>
        <w:tc>
          <w:tcPr>
            <w:tcW w:w="1443" w:type="dxa"/>
            <w:tcBorders>
              <w:bottom w:val="single" w:sz="8" w:space="0" w:color="3D7FE0" w:themeColor="accent1"/>
            </w:tcBorders>
            <w:tcMar>
              <w:left w:w="0" w:type="dxa"/>
              <w:right w:w="0" w:type="dxa"/>
            </w:tcMar>
          </w:tcPr>
          <w:p w14:paraId="0DC75BA9" w14:textId="04EDFBF9" w:rsidR="00C323D2" w:rsidRPr="00B70539" w:rsidRDefault="00C323D2" w:rsidP="00C323D2">
            <w:pPr>
              <w:pStyle w:val="TableFiguresBrackets"/>
              <w:rPr>
                <w:rFonts w:ascii="IBM Plex Sans Medium" w:hAnsi="IBM Plex Sans Medium"/>
                <w:b/>
                <w:bCs/>
                <w:color w:val="3D7FE0" w:themeColor="accent1"/>
                <w:spacing w:val="-4"/>
                <w:sz w:val="18"/>
                <w:szCs w:val="18"/>
              </w:rPr>
            </w:pPr>
            <w:r w:rsidRPr="00B70539">
              <w:rPr>
                <w:rFonts w:ascii="IBM Plex Sans Medium" w:hAnsi="IBM Plex Sans Medium"/>
                <w:b/>
                <w:bCs/>
                <w:color w:val="3D7FE0" w:themeColor="accent1"/>
                <w:spacing w:val="-4"/>
                <w:sz w:val="18"/>
                <w:szCs w:val="18"/>
              </w:rPr>
              <w:t>(36.1)</w:t>
            </w:r>
          </w:p>
        </w:tc>
        <w:tc>
          <w:tcPr>
            <w:tcW w:w="1298" w:type="dxa"/>
            <w:tcBorders>
              <w:bottom w:val="single" w:sz="8" w:space="0" w:color="3D7FE0" w:themeColor="accent1"/>
            </w:tcBorders>
            <w:tcMar>
              <w:left w:w="0" w:type="dxa"/>
              <w:right w:w="0" w:type="dxa"/>
            </w:tcMar>
            <w:vAlign w:val="bottom"/>
          </w:tcPr>
          <w:p w14:paraId="3414248F" w14:textId="77777777" w:rsidR="00C323D2" w:rsidRPr="00895810" w:rsidRDefault="00C323D2" w:rsidP="00C323D2">
            <w:pPr>
              <w:pStyle w:val="TableFiguresBrackets"/>
              <w:rPr>
                <w:rFonts w:ascii="IBM Plex Sans Light" w:hAnsi="IBM Plex Sans Light"/>
                <w:bCs/>
                <w:color w:val="auto"/>
                <w:spacing w:val="-4"/>
                <w:sz w:val="18"/>
                <w:szCs w:val="18"/>
              </w:rPr>
            </w:pPr>
            <w:r w:rsidRPr="00895810">
              <w:rPr>
                <w:rFonts w:ascii="IBM Plex Sans Light" w:hAnsi="IBM Plex Sans Light"/>
                <w:bCs/>
                <w:color w:val="auto"/>
                <w:spacing w:val="-4"/>
                <w:sz w:val="18"/>
                <w:szCs w:val="18"/>
              </w:rPr>
              <w:t>(</w:t>
            </w:r>
            <w:r>
              <w:rPr>
                <w:rFonts w:ascii="IBM Plex Sans Light" w:hAnsi="IBM Plex Sans Light"/>
                <w:bCs/>
                <w:color w:val="auto"/>
                <w:spacing w:val="-4"/>
                <w:sz w:val="18"/>
                <w:szCs w:val="18"/>
              </w:rPr>
              <w:t>63.0</w:t>
            </w:r>
            <w:r w:rsidRPr="00895810">
              <w:rPr>
                <w:rFonts w:ascii="IBM Plex Sans Light" w:hAnsi="IBM Plex Sans Light"/>
                <w:bCs/>
                <w:color w:val="auto"/>
                <w:spacing w:val="-4"/>
                <w:sz w:val="18"/>
                <w:szCs w:val="18"/>
              </w:rPr>
              <w:t>)</w:t>
            </w:r>
          </w:p>
        </w:tc>
      </w:tr>
    </w:tbl>
    <w:p w14:paraId="4F671383" w14:textId="3ABEA213" w:rsidR="00325E12" w:rsidRPr="00895810" w:rsidRDefault="00325E12" w:rsidP="00B70539">
      <w:pPr>
        <w:spacing w:after="0" w:line="240" w:lineRule="auto"/>
        <w:rPr>
          <w:rFonts w:ascii="IBM Plex Sans Light" w:hAnsi="IBM Plex Sans Light" w:cs="Arial"/>
          <w:b/>
          <w:color w:val="3D7FE0" w:themeColor="accent1"/>
          <w:szCs w:val="18"/>
        </w:rPr>
      </w:pPr>
    </w:p>
    <w:p w14:paraId="2DAAA669" w14:textId="0553E98F" w:rsidR="00CD4ABD" w:rsidRPr="00AB6B6E" w:rsidRDefault="00F03778"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7</w:t>
      </w:r>
      <w:r w:rsidR="00CD4ABD" w:rsidRPr="00AB6B6E">
        <w:rPr>
          <w:rFonts w:ascii="IBM Plex Sans Medium" w:hAnsi="IBM Plex Sans Medium" w:cs="Arial"/>
          <w:b/>
          <w:color w:val="3D7FE0" w:themeColor="accent1"/>
          <w:szCs w:val="18"/>
        </w:rPr>
        <w:t>. TAX</w:t>
      </w:r>
      <w:r w:rsidR="00FE6B0B" w:rsidRPr="00AB6B6E">
        <w:rPr>
          <w:rFonts w:ascii="IBM Plex Sans Medium" w:hAnsi="IBM Plex Sans Medium" w:cs="Arial"/>
          <w:b/>
          <w:color w:val="3D7FE0" w:themeColor="accent1"/>
          <w:szCs w:val="18"/>
        </w:rPr>
        <w:t xml:space="preserve"> CHARGE</w:t>
      </w:r>
    </w:p>
    <w:p w14:paraId="5FF24DFE" w14:textId="15FE5634" w:rsidR="004E62CC" w:rsidRPr="00895810" w:rsidRDefault="004E62CC" w:rsidP="004E62CC">
      <w:pPr>
        <w:spacing w:after="60" w:line="240" w:lineRule="auto"/>
        <w:jc w:val="both"/>
        <w:rPr>
          <w:rFonts w:ascii="IBM Plex Sans Light" w:hAnsi="IBM Plex Sans Light" w:cs="Arial"/>
          <w:b/>
          <w:color w:val="3D7FE0" w:themeColor="accent1"/>
          <w:szCs w:val="18"/>
        </w:rPr>
      </w:pPr>
    </w:p>
    <w:tbl>
      <w:tblPr>
        <w:tblW w:w="9922" w:type="dxa"/>
        <w:tblLayout w:type="fixed"/>
        <w:tblLook w:val="01E0" w:firstRow="1" w:lastRow="1" w:firstColumn="1" w:lastColumn="1" w:noHBand="0" w:noVBand="0"/>
      </w:tblPr>
      <w:tblGrid>
        <w:gridCol w:w="5811"/>
        <w:gridCol w:w="567"/>
        <w:gridCol w:w="514"/>
        <w:gridCol w:w="1443"/>
        <w:gridCol w:w="289"/>
        <w:gridCol w:w="1298"/>
      </w:tblGrid>
      <w:tr w:rsidR="00F41FDF" w:rsidRPr="00895810" w14:paraId="46ABA5F8" w14:textId="77777777" w:rsidTr="001E47FE">
        <w:tc>
          <w:tcPr>
            <w:tcW w:w="5811" w:type="dxa"/>
            <w:tcMar>
              <w:left w:w="0" w:type="dxa"/>
              <w:right w:w="0" w:type="dxa"/>
            </w:tcMar>
            <w:vAlign w:val="bottom"/>
          </w:tcPr>
          <w:p w14:paraId="1F67562C" w14:textId="0228EF72" w:rsidR="00F41FDF" w:rsidRPr="00895810" w:rsidRDefault="00F41FDF" w:rsidP="00F41FDF">
            <w:pPr>
              <w:pStyle w:val="TableColHeads"/>
              <w:jc w:val="left"/>
              <w:rPr>
                <w:rFonts w:ascii="IBM Plex Sans Light" w:hAnsi="IBM Plex Sans Light"/>
              </w:rPr>
            </w:pPr>
          </w:p>
        </w:tc>
        <w:tc>
          <w:tcPr>
            <w:tcW w:w="567" w:type="dxa"/>
          </w:tcPr>
          <w:p w14:paraId="0E395A87" w14:textId="77777777" w:rsidR="00F41FDF" w:rsidRPr="00895810" w:rsidRDefault="00F41FDF" w:rsidP="00F41FDF">
            <w:pPr>
              <w:pStyle w:val="TableColHeads"/>
              <w:rPr>
                <w:rFonts w:ascii="IBM Plex Sans Light" w:hAnsi="IBM Plex Sans Light"/>
              </w:rPr>
            </w:pPr>
          </w:p>
        </w:tc>
        <w:tc>
          <w:tcPr>
            <w:tcW w:w="514" w:type="dxa"/>
            <w:tcMar>
              <w:left w:w="0" w:type="dxa"/>
              <w:right w:w="0" w:type="dxa"/>
            </w:tcMar>
            <w:vAlign w:val="bottom"/>
          </w:tcPr>
          <w:p w14:paraId="6B28426F" w14:textId="56F849F0" w:rsidR="00F41FDF" w:rsidRPr="00895810" w:rsidRDefault="00F41FDF" w:rsidP="00F41FDF">
            <w:pPr>
              <w:pStyle w:val="TableColHeads"/>
              <w:rPr>
                <w:rFonts w:ascii="IBM Plex Sans Light" w:hAnsi="IBM Plex Sans Light"/>
              </w:rPr>
            </w:pPr>
          </w:p>
        </w:tc>
        <w:tc>
          <w:tcPr>
            <w:tcW w:w="1443" w:type="dxa"/>
            <w:tcMar>
              <w:left w:w="0" w:type="dxa"/>
              <w:right w:w="0" w:type="dxa"/>
            </w:tcMar>
            <w:vAlign w:val="bottom"/>
          </w:tcPr>
          <w:p w14:paraId="028985E7" w14:textId="66DA0453" w:rsidR="00F41FDF" w:rsidRPr="00895810" w:rsidRDefault="00785AC2" w:rsidP="00F41FDF">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F41FDF" w:rsidRPr="00895810">
              <w:rPr>
                <w:rFonts w:ascii="IBM Plex Sans Light" w:hAnsi="IBM Plex Sans Light"/>
                <w:color w:val="3D7FE0" w:themeColor="accent1"/>
              </w:rPr>
              <w:t xml:space="preserve"> </w:t>
            </w:r>
          </w:p>
        </w:tc>
        <w:tc>
          <w:tcPr>
            <w:tcW w:w="289" w:type="dxa"/>
            <w:tcMar>
              <w:left w:w="0" w:type="dxa"/>
              <w:right w:w="0" w:type="dxa"/>
            </w:tcMar>
            <w:vAlign w:val="bottom"/>
          </w:tcPr>
          <w:p w14:paraId="70E29FD8" w14:textId="77777777" w:rsidR="00F41FDF" w:rsidRPr="00895810" w:rsidRDefault="00F41FDF" w:rsidP="00F41FDF">
            <w:pPr>
              <w:pStyle w:val="TableColHeads"/>
              <w:rPr>
                <w:rFonts w:ascii="IBM Plex Sans Light" w:hAnsi="IBM Plex Sans Light"/>
              </w:rPr>
            </w:pPr>
          </w:p>
        </w:tc>
        <w:tc>
          <w:tcPr>
            <w:tcW w:w="1298" w:type="dxa"/>
            <w:tcMar>
              <w:left w:w="0" w:type="dxa"/>
              <w:right w:w="0" w:type="dxa"/>
            </w:tcMar>
            <w:vAlign w:val="bottom"/>
          </w:tcPr>
          <w:p w14:paraId="411B12C3" w14:textId="0BF6273D" w:rsidR="00F41FDF" w:rsidRPr="00895810" w:rsidRDefault="006E7EB0" w:rsidP="00F41FDF">
            <w:pPr>
              <w:pStyle w:val="TableColHeads"/>
              <w:rPr>
                <w:rFonts w:ascii="IBM Plex Sans Light" w:hAnsi="IBM Plex Sans Light"/>
              </w:rPr>
            </w:pPr>
            <w:r>
              <w:rPr>
                <w:rFonts w:ascii="IBM Plex Sans Light" w:hAnsi="IBM Plex Sans Light"/>
              </w:rPr>
              <w:t>2022</w:t>
            </w:r>
            <w:r w:rsidR="00F41FDF" w:rsidRPr="00895810">
              <w:rPr>
                <w:rFonts w:ascii="IBM Plex Sans Light" w:hAnsi="IBM Plex Sans Light"/>
              </w:rPr>
              <w:t xml:space="preserve"> </w:t>
            </w:r>
          </w:p>
        </w:tc>
      </w:tr>
      <w:tr w:rsidR="00B25EA9" w:rsidRPr="00895810" w14:paraId="2BF57C25" w14:textId="77777777" w:rsidTr="001E47FE">
        <w:tc>
          <w:tcPr>
            <w:tcW w:w="5811" w:type="dxa"/>
            <w:tcBorders>
              <w:bottom w:val="single" w:sz="2" w:space="0" w:color="3D7FE0" w:themeColor="accent1"/>
            </w:tcBorders>
            <w:tcMar>
              <w:left w:w="0" w:type="dxa"/>
              <w:right w:w="0" w:type="dxa"/>
            </w:tcMar>
            <w:vAlign w:val="bottom"/>
          </w:tcPr>
          <w:p w14:paraId="420B00D9" w14:textId="77769345" w:rsidR="00B25EA9" w:rsidRPr="00895810" w:rsidRDefault="00B25EA9" w:rsidP="00FD30D3">
            <w:pPr>
              <w:pStyle w:val="TableColHeads"/>
              <w:jc w:val="left"/>
              <w:rPr>
                <w:rFonts w:ascii="IBM Plex Sans Light" w:hAnsi="IBM Plex Sans Light"/>
              </w:rPr>
            </w:pPr>
          </w:p>
        </w:tc>
        <w:tc>
          <w:tcPr>
            <w:tcW w:w="567" w:type="dxa"/>
            <w:tcBorders>
              <w:bottom w:val="single" w:sz="2" w:space="0" w:color="3D7FE0" w:themeColor="accent1"/>
            </w:tcBorders>
          </w:tcPr>
          <w:p w14:paraId="001614D0" w14:textId="77777777" w:rsidR="00B25EA9" w:rsidRPr="00895810" w:rsidRDefault="00B25EA9" w:rsidP="008872B9">
            <w:pPr>
              <w:pStyle w:val="TableColHeads"/>
              <w:rPr>
                <w:rFonts w:ascii="IBM Plex Sans Light" w:hAnsi="IBM Plex Sans Light"/>
              </w:rPr>
            </w:pPr>
          </w:p>
        </w:tc>
        <w:tc>
          <w:tcPr>
            <w:tcW w:w="514" w:type="dxa"/>
            <w:tcBorders>
              <w:bottom w:val="single" w:sz="2" w:space="0" w:color="3D7FE0" w:themeColor="accent1"/>
            </w:tcBorders>
            <w:tcMar>
              <w:left w:w="0" w:type="dxa"/>
              <w:right w:w="0" w:type="dxa"/>
            </w:tcMar>
            <w:vAlign w:val="bottom"/>
          </w:tcPr>
          <w:p w14:paraId="2E501425" w14:textId="0081482E" w:rsidR="00B25EA9" w:rsidRPr="00895810" w:rsidRDefault="00B25EA9" w:rsidP="008872B9">
            <w:pPr>
              <w:pStyle w:val="TableColHeads"/>
              <w:rPr>
                <w:rFonts w:ascii="IBM Plex Sans Light" w:hAnsi="IBM Plex Sans Light"/>
                <w:b/>
              </w:rPr>
            </w:pPr>
          </w:p>
        </w:tc>
        <w:tc>
          <w:tcPr>
            <w:tcW w:w="1443" w:type="dxa"/>
            <w:tcBorders>
              <w:bottom w:val="single" w:sz="2" w:space="0" w:color="3D7FE0" w:themeColor="accent1"/>
            </w:tcBorders>
            <w:tcMar>
              <w:left w:w="0" w:type="dxa"/>
              <w:right w:w="0" w:type="dxa"/>
            </w:tcMar>
            <w:vAlign w:val="bottom"/>
          </w:tcPr>
          <w:p w14:paraId="51218C82" w14:textId="77777777" w:rsidR="00B25EA9" w:rsidRPr="00895810" w:rsidRDefault="00B25EA9" w:rsidP="008872B9">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289" w:type="dxa"/>
            <w:tcBorders>
              <w:bottom w:val="single" w:sz="2" w:space="0" w:color="3D7FE0" w:themeColor="accent1"/>
            </w:tcBorders>
            <w:tcMar>
              <w:left w:w="0" w:type="dxa"/>
              <w:right w:w="0" w:type="dxa"/>
            </w:tcMar>
            <w:vAlign w:val="bottom"/>
          </w:tcPr>
          <w:p w14:paraId="0F18327E" w14:textId="77777777" w:rsidR="00B25EA9" w:rsidRPr="00895810" w:rsidRDefault="00B25EA9" w:rsidP="008872B9">
            <w:pPr>
              <w:pStyle w:val="TableColHeads"/>
              <w:rPr>
                <w:rFonts w:ascii="IBM Plex Sans Light" w:hAnsi="IBM Plex Sans Light"/>
              </w:rPr>
            </w:pPr>
          </w:p>
        </w:tc>
        <w:tc>
          <w:tcPr>
            <w:tcW w:w="1298" w:type="dxa"/>
            <w:tcBorders>
              <w:bottom w:val="single" w:sz="2" w:space="0" w:color="3D7FE0" w:themeColor="accent1"/>
            </w:tcBorders>
            <w:tcMar>
              <w:left w:w="0" w:type="dxa"/>
              <w:right w:w="0" w:type="dxa"/>
            </w:tcMar>
            <w:vAlign w:val="bottom"/>
          </w:tcPr>
          <w:p w14:paraId="2E55C864" w14:textId="77777777" w:rsidR="00B25EA9" w:rsidRPr="00895810" w:rsidRDefault="00B25EA9" w:rsidP="008872B9">
            <w:pPr>
              <w:pStyle w:val="TableColHeads"/>
              <w:rPr>
                <w:rFonts w:ascii="IBM Plex Sans Light" w:hAnsi="IBM Plex Sans Light"/>
              </w:rPr>
            </w:pPr>
            <w:r w:rsidRPr="00895810">
              <w:rPr>
                <w:rFonts w:ascii="IBM Plex Sans Light" w:hAnsi="IBM Plex Sans Light"/>
              </w:rPr>
              <w:t xml:space="preserve">£m </w:t>
            </w:r>
          </w:p>
        </w:tc>
      </w:tr>
      <w:tr w:rsidR="000278A3" w:rsidRPr="00895810" w14:paraId="32BB9014" w14:textId="77777777" w:rsidTr="00EA4503">
        <w:tc>
          <w:tcPr>
            <w:tcW w:w="5811" w:type="dxa"/>
            <w:tcBorders>
              <w:bottom w:val="single" w:sz="2" w:space="0" w:color="3D7FE0" w:themeColor="accent1"/>
            </w:tcBorders>
            <w:tcMar>
              <w:left w:w="0" w:type="dxa"/>
              <w:right w:w="0" w:type="dxa"/>
            </w:tcMar>
            <w:vAlign w:val="bottom"/>
          </w:tcPr>
          <w:p w14:paraId="3CAB004C" w14:textId="5DFEE63D" w:rsidR="000278A3" w:rsidRPr="00895810" w:rsidRDefault="000278A3" w:rsidP="000278A3">
            <w:pPr>
              <w:pStyle w:val="TableFigures"/>
              <w:jc w:val="left"/>
              <w:rPr>
                <w:rFonts w:ascii="IBM Plex Sans Light" w:hAnsi="IBM Plex Sans Light"/>
                <w:spacing w:val="-4"/>
                <w:sz w:val="18"/>
                <w:szCs w:val="18"/>
              </w:rPr>
            </w:pPr>
            <w:r w:rsidRPr="00895810">
              <w:rPr>
                <w:rFonts w:ascii="IBM Plex Sans Light" w:hAnsi="IBM Plex Sans Light"/>
                <w:sz w:val="18"/>
                <w:szCs w:val="18"/>
              </w:rPr>
              <w:t>Foreign current tax</w:t>
            </w:r>
          </w:p>
        </w:tc>
        <w:tc>
          <w:tcPr>
            <w:tcW w:w="567" w:type="dxa"/>
            <w:tcBorders>
              <w:bottom w:val="single" w:sz="2" w:space="0" w:color="3D7FE0" w:themeColor="accent1"/>
            </w:tcBorders>
          </w:tcPr>
          <w:p w14:paraId="45DD50A9" w14:textId="77777777" w:rsidR="000278A3" w:rsidRPr="00895810" w:rsidRDefault="000278A3" w:rsidP="000278A3">
            <w:pPr>
              <w:spacing w:after="0" w:line="240" w:lineRule="auto"/>
              <w:rPr>
                <w:rFonts w:ascii="IBM Plex Sans Light" w:hAnsi="IBM Plex Sans Light"/>
                <w:sz w:val="16"/>
                <w:szCs w:val="16"/>
              </w:rPr>
            </w:pPr>
          </w:p>
        </w:tc>
        <w:tc>
          <w:tcPr>
            <w:tcW w:w="514" w:type="dxa"/>
            <w:tcBorders>
              <w:bottom w:val="single" w:sz="2" w:space="0" w:color="3D7FE0" w:themeColor="accent1"/>
            </w:tcBorders>
            <w:tcMar>
              <w:left w:w="0" w:type="dxa"/>
              <w:right w:w="0" w:type="dxa"/>
            </w:tcMar>
            <w:vAlign w:val="bottom"/>
          </w:tcPr>
          <w:p w14:paraId="6A493876" w14:textId="5B577982" w:rsidR="000278A3" w:rsidRPr="00895810" w:rsidRDefault="000278A3" w:rsidP="000278A3">
            <w:pPr>
              <w:spacing w:after="0" w:line="240" w:lineRule="auto"/>
              <w:rPr>
                <w:rFonts w:ascii="IBM Plex Sans Light" w:hAnsi="IBM Plex Sans Light"/>
                <w:sz w:val="16"/>
                <w:szCs w:val="16"/>
              </w:rPr>
            </w:pPr>
          </w:p>
        </w:tc>
        <w:tc>
          <w:tcPr>
            <w:tcW w:w="1443" w:type="dxa"/>
            <w:tcBorders>
              <w:bottom w:val="single" w:sz="2" w:space="0" w:color="3D7FE0" w:themeColor="accent1"/>
            </w:tcBorders>
            <w:tcMar>
              <w:left w:w="0" w:type="dxa"/>
              <w:right w:w="0" w:type="dxa"/>
            </w:tcMar>
          </w:tcPr>
          <w:p w14:paraId="1607E9ED" w14:textId="3E15C4B7" w:rsidR="000278A3" w:rsidRPr="000278A3" w:rsidRDefault="000278A3" w:rsidP="000278A3">
            <w:pPr>
              <w:pStyle w:val="TableFigures"/>
              <w:rPr>
                <w:rFonts w:ascii="IBM Plex Sans Medium" w:hAnsi="IBM Plex Sans Medium"/>
                <w:b/>
                <w:bCs/>
                <w:color w:val="3D7FE0" w:themeColor="accent1"/>
                <w:spacing w:val="-4"/>
                <w:sz w:val="18"/>
                <w:szCs w:val="18"/>
              </w:rPr>
            </w:pPr>
            <w:r w:rsidRPr="000278A3">
              <w:rPr>
                <w:rFonts w:ascii="IBM Plex Sans Medium" w:hAnsi="IBM Plex Sans Medium"/>
                <w:b/>
                <w:bCs/>
                <w:color w:val="3D7FE0" w:themeColor="accent1"/>
                <w:spacing w:val="-4"/>
                <w:sz w:val="18"/>
                <w:szCs w:val="18"/>
              </w:rPr>
              <w:t>0.7</w:t>
            </w:r>
          </w:p>
        </w:tc>
        <w:tc>
          <w:tcPr>
            <w:tcW w:w="289" w:type="dxa"/>
            <w:tcBorders>
              <w:bottom w:val="single" w:sz="2" w:space="0" w:color="3D7FE0" w:themeColor="accent1"/>
            </w:tcBorders>
            <w:tcMar>
              <w:left w:w="0" w:type="dxa"/>
              <w:right w:w="0" w:type="dxa"/>
            </w:tcMar>
            <w:vAlign w:val="bottom"/>
          </w:tcPr>
          <w:p w14:paraId="48A5E185" w14:textId="77777777" w:rsidR="000278A3" w:rsidRPr="00895810" w:rsidRDefault="000278A3" w:rsidP="000278A3">
            <w:pPr>
              <w:spacing w:after="0" w:line="240" w:lineRule="auto"/>
              <w:jc w:val="right"/>
              <w:rPr>
                <w:rFonts w:ascii="IBM Plex Sans Light" w:hAnsi="IBM Plex Sans Light" w:cs="Arial"/>
                <w:szCs w:val="18"/>
              </w:rPr>
            </w:pPr>
          </w:p>
        </w:tc>
        <w:tc>
          <w:tcPr>
            <w:tcW w:w="1298" w:type="dxa"/>
            <w:tcBorders>
              <w:bottom w:val="single" w:sz="2" w:space="0" w:color="3D7FE0" w:themeColor="accent1"/>
            </w:tcBorders>
            <w:tcMar>
              <w:left w:w="0" w:type="dxa"/>
              <w:right w:w="0" w:type="dxa"/>
            </w:tcMar>
            <w:vAlign w:val="bottom"/>
          </w:tcPr>
          <w:p w14:paraId="1EC97C8B" w14:textId="0A2F9059" w:rsidR="000278A3" w:rsidRPr="00895810" w:rsidRDefault="000278A3" w:rsidP="000278A3">
            <w:pPr>
              <w:pStyle w:val="TableFiguresBold"/>
              <w:rPr>
                <w:rFonts w:ascii="IBM Plex Sans Light" w:hAnsi="IBM Plex Sans Light" w:cs="MyriadPro-Light"/>
                <w:b w:val="0"/>
                <w:color w:val="auto"/>
                <w:spacing w:val="-4"/>
                <w:sz w:val="18"/>
                <w:szCs w:val="18"/>
              </w:rPr>
            </w:pPr>
            <w:r>
              <w:rPr>
                <w:rFonts w:ascii="IBM Plex Sans Light" w:hAnsi="IBM Plex Sans Light"/>
                <w:b w:val="0"/>
                <w:color w:val="auto"/>
                <w:spacing w:val="-4"/>
                <w:sz w:val="18"/>
                <w:szCs w:val="18"/>
              </w:rPr>
              <w:t>0.2</w:t>
            </w:r>
          </w:p>
        </w:tc>
      </w:tr>
      <w:tr w:rsidR="000278A3" w:rsidRPr="00895810" w14:paraId="4E9C7CEA" w14:textId="77777777" w:rsidTr="00EA4503">
        <w:tc>
          <w:tcPr>
            <w:tcW w:w="5811" w:type="dxa"/>
            <w:tcBorders>
              <w:top w:val="single" w:sz="2" w:space="0" w:color="3D7FE0" w:themeColor="accent1"/>
              <w:bottom w:val="single" w:sz="8" w:space="0" w:color="3D7FE0" w:themeColor="accent1"/>
            </w:tcBorders>
            <w:tcMar>
              <w:left w:w="0" w:type="dxa"/>
              <w:right w:w="0" w:type="dxa"/>
            </w:tcMar>
            <w:vAlign w:val="bottom"/>
          </w:tcPr>
          <w:p w14:paraId="436BBD43" w14:textId="1A606ED1" w:rsidR="000278A3" w:rsidRPr="00895810" w:rsidRDefault="00C55BF9" w:rsidP="00C55BF9">
            <w:pPr>
              <w:pStyle w:val="TableFiguresBracketsBold"/>
              <w:jc w:val="left"/>
              <w:rPr>
                <w:rFonts w:ascii="IBM Plex Sans Light" w:hAnsi="IBM Plex Sans Light"/>
                <w:color w:val="auto"/>
                <w:spacing w:val="-4"/>
                <w:sz w:val="18"/>
                <w:szCs w:val="18"/>
              </w:rPr>
            </w:pPr>
            <w:r w:rsidRPr="00C55BF9">
              <w:rPr>
                <w:rFonts w:ascii="IBM Plex Sans Light" w:hAnsi="IBM Plex Sans Light"/>
                <w:color w:val="3D7FE0" w:themeColor="accent1"/>
                <w:spacing w:val="-4"/>
                <w:sz w:val="18"/>
              </w:rPr>
              <w:t>Tax charge</w:t>
            </w:r>
          </w:p>
        </w:tc>
        <w:tc>
          <w:tcPr>
            <w:tcW w:w="567" w:type="dxa"/>
            <w:tcBorders>
              <w:top w:val="single" w:sz="2" w:space="0" w:color="3D7FE0" w:themeColor="accent1"/>
              <w:bottom w:val="single" w:sz="8" w:space="0" w:color="3D7FE0" w:themeColor="accent1"/>
            </w:tcBorders>
          </w:tcPr>
          <w:p w14:paraId="20942180" w14:textId="77777777" w:rsidR="000278A3" w:rsidRPr="00895810" w:rsidRDefault="000278A3" w:rsidP="000278A3">
            <w:pPr>
              <w:pStyle w:val="TableFiguresBold"/>
              <w:jc w:val="left"/>
              <w:rPr>
                <w:rFonts w:ascii="IBM Plex Sans Light" w:hAnsi="IBM Plex Sans Light"/>
                <w:color w:val="3D7FE0" w:themeColor="accent1"/>
                <w:spacing w:val="-4"/>
                <w:sz w:val="18"/>
                <w:szCs w:val="18"/>
              </w:rPr>
            </w:pPr>
          </w:p>
        </w:tc>
        <w:tc>
          <w:tcPr>
            <w:tcW w:w="514" w:type="dxa"/>
            <w:tcBorders>
              <w:top w:val="single" w:sz="2" w:space="0" w:color="3D7FE0" w:themeColor="accent1"/>
              <w:bottom w:val="single" w:sz="8" w:space="0" w:color="3D7FE0" w:themeColor="accent1"/>
            </w:tcBorders>
            <w:tcMar>
              <w:left w:w="0" w:type="dxa"/>
              <w:right w:w="0" w:type="dxa"/>
            </w:tcMar>
            <w:vAlign w:val="bottom"/>
          </w:tcPr>
          <w:p w14:paraId="52719102" w14:textId="19530283" w:rsidR="000278A3" w:rsidRPr="00895810" w:rsidRDefault="000278A3" w:rsidP="000278A3">
            <w:pPr>
              <w:pStyle w:val="TableFiguresBold"/>
              <w:jc w:val="left"/>
              <w:rPr>
                <w:rFonts w:ascii="IBM Plex Sans Light" w:hAnsi="IBM Plex Sans Light"/>
                <w:color w:val="3D7FE0" w:themeColor="accent1"/>
                <w:spacing w:val="-4"/>
                <w:sz w:val="18"/>
                <w:szCs w:val="18"/>
              </w:rPr>
            </w:pPr>
          </w:p>
        </w:tc>
        <w:tc>
          <w:tcPr>
            <w:tcW w:w="1443" w:type="dxa"/>
            <w:tcBorders>
              <w:top w:val="single" w:sz="2" w:space="0" w:color="3D7FE0" w:themeColor="accent1"/>
              <w:bottom w:val="single" w:sz="8" w:space="0" w:color="3D7FE0" w:themeColor="accent1"/>
            </w:tcBorders>
            <w:tcMar>
              <w:left w:w="0" w:type="dxa"/>
              <w:right w:w="0" w:type="dxa"/>
            </w:tcMar>
          </w:tcPr>
          <w:p w14:paraId="69D4D06B" w14:textId="64286D81" w:rsidR="000278A3" w:rsidRPr="000278A3" w:rsidRDefault="000278A3" w:rsidP="000278A3">
            <w:pPr>
              <w:pStyle w:val="TableFigures"/>
              <w:rPr>
                <w:rFonts w:ascii="IBM Plex Sans Medium" w:hAnsi="IBM Plex Sans Medium"/>
                <w:b/>
                <w:bCs/>
                <w:color w:val="3D7FE0" w:themeColor="accent1"/>
                <w:spacing w:val="-4"/>
                <w:sz w:val="18"/>
                <w:szCs w:val="18"/>
              </w:rPr>
            </w:pPr>
            <w:r w:rsidRPr="000278A3">
              <w:rPr>
                <w:rFonts w:ascii="IBM Plex Sans Medium" w:hAnsi="IBM Plex Sans Medium"/>
                <w:b/>
                <w:bCs/>
                <w:color w:val="3D7FE0" w:themeColor="accent1"/>
                <w:spacing w:val="-4"/>
                <w:sz w:val="18"/>
                <w:szCs w:val="18"/>
              </w:rPr>
              <w:t>0.7</w:t>
            </w:r>
          </w:p>
        </w:tc>
        <w:tc>
          <w:tcPr>
            <w:tcW w:w="289" w:type="dxa"/>
            <w:tcBorders>
              <w:top w:val="single" w:sz="2" w:space="0" w:color="3D7FE0" w:themeColor="accent1"/>
              <w:bottom w:val="single" w:sz="8" w:space="0" w:color="3D7FE0" w:themeColor="accent1"/>
            </w:tcBorders>
            <w:tcMar>
              <w:left w:w="0" w:type="dxa"/>
              <w:right w:w="0" w:type="dxa"/>
            </w:tcMar>
            <w:vAlign w:val="bottom"/>
          </w:tcPr>
          <w:p w14:paraId="244C78C8" w14:textId="77777777" w:rsidR="000278A3" w:rsidRPr="00895810" w:rsidRDefault="000278A3" w:rsidP="000278A3">
            <w:pPr>
              <w:spacing w:after="0" w:line="240" w:lineRule="auto"/>
              <w:jc w:val="right"/>
              <w:rPr>
                <w:rFonts w:ascii="IBM Plex Sans Light" w:hAnsi="IBM Plex Sans Light" w:cs="Arial"/>
                <w:szCs w:val="18"/>
              </w:rPr>
            </w:pPr>
          </w:p>
        </w:tc>
        <w:tc>
          <w:tcPr>
            <w:tcW w:w="1298" w:type="dxa"/>
            <w:tcBorders>
              <w:top w:val="single" w:sz="2" w:space="0" w:color="3D7FE0" w:themeColor="accent1"/>
              <w:bottom w:val="single" w:sz="8" w:space="0" w:color="3D7FE0" w:themeColor="accent1"/>
            </w:tcBorders>
            <w:tcMar>
              <w:left w:w="0" w:type="dxa"/>
              <w:right w:w="0" w:type="dxa"/>
            </w:tcMar>
            <w:vAlign w:val="bottom"/>
          </w:tcPr>
          <w:p w14:paraId="24C25751" w14:textId="40E7C84A" w:rsidR="000278A3" w:rsidRPr="00895810" w:rsidRDefault="000278A3" w:rsidP="000278A3">
            <w:pPr>
              <w:pStyle w:val="TableFiguresBold"/>
              <w:rPr>
                <w:rFonts w:ascii="IBM Plex Sans Light" w:hAnsi="IBM Plex Sans Light"/>
                <w:b w:val="0"/>
                <w:color w:val="auto"/>
                <w:spacing w:val="-4"/>
                <w:sz w:val="18"/>
                <w:szCs w:val="18"/>
              </w:rPr>
            </w:pPr>
            <w:r>
              <w:rPr>
                <w:rFonts w:ascii="IBM Plex Sans Light" w:hAnsi="IBM Plex Sans Light"/>
                <w:b w:val="0"/>
                <w:color w:val="auto"/>
                <w:spacing w:val="-4"/>
                <w:sz w:val="18"/>
                <w:szCs w:val="18"/>
              </w:rPr>
              <w:t>0.2</w:t>
            </w:r>
          </w:p>
        </w:tc>
      </w:tr>
    </w:tbl>
    <w:p w14:paraId="4678F52D" w14:textId="6A0C5F4A" w:rsidR="00F74598" w:rsidRDefault="00F74598" w:rsidP="000278A3">
      <w:pPr>
        <w:spacing w:after="0" w:line="240" w:lineRule="auto"/>
        <w:ind w:right="-255"/>
        <w:rPr>
          <w:rFonts w:ascii="IBM Plex Sans Light" w:hAnsi="IBM Plex Sans Light" w:cs="Arial"/>
          <w:szCs w:val="18"/>
        </w:rPr>
      </w:pPr>
    </w:p>
    <w:p w14:paraId="415E49D6" w14:textId="77777777"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 xml:space="preserve">The Group’s tax charge remains low because it has tax exempt status in its principal operating countries. The Group has been a REIT in the UK since 2007 and a SIIC in France since 2004. These tax regimes exempt the Group’s property income and gains </w:t>
      </w:r>
      <w:r w:rsidRPr="000278A3">
        <w:rPr>
          <w:rFonts w:ascii="IBM Plex Sans Light" w:hAnsi="IBM Plex Sans Light" w:cs="Arial"/>
          <w:szCs w:val="18"/>
        </w:rPr>
        <w:lastRenderedPageBreak/>
        <w:t>from corporate taxes, provided a number of conditions in relation to the Group’s activities are met. These conditions include, but are not limited to, distributing at least 90% of the Group’s UK tax exempt profits as property income distributions (PID) with equivalent tests of 95% on French tax exempt property profits and 70% of tax exempt property gains. Based on preliminary calculations, the Group has met the REIT and SIIC conditions for 2023. The residual businesses in both the UK and France are subject to corporation tax as normal. The Irish assets are held in a QIAIF which provides similar tax benefits to those of a UK REIT but which subjects dividends and certain excessive interest payments to a 20% withholding tax. The Group is committed to remaining in these tax exempt regimes.</w:t>
      </w:r>
    </w:p>
    <w:p w14:paraId="5943657E" w14:textId="77777777" w:rsidR="000278A3" w:rsidRPr="000278A3" w:rsidRDefault="000278A3" w:rsidP="000278A3">
      <w:pPr>
        <w:spacing w:after="0" w:line="240" w:lineRule="auto"/>
        <w:rPr>
          <w:rFonts w:ascii="IBM Plex Sans Light" w:hAnsi="IBM Plex Sans Light" w:cs="Arial"/>
          <w:szCs w:val="18"/>
        </w:rPr>
      </w:pPr>
    </w:p>
    <w:p w14:paraId="493CFBE5" w14:textId="099968F2" w:rsid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The Group operates in a number of jurisdictions and is subject to periodic reviews and challenges by local tax authorities on a range of tax matters during its normal course of business. Tax impacts can be uncertain until a conclusion is reached with the relevant tax authority or through a legal process. The Group uses in-house expertise when assessing uncertain tax positions and seeks the advice of external professional advisors where appropriate. The Group believes that its tax liability accruals are adequate for all open tax years based on its assessment of many factors, including tax laws and prior experience.</w:t>
      </w:r>
    </w:p>
    <w:p w14:paraId="6559E12F" w14:textId="5A6790E3" w:rsidR="008B7D2A" w:rsidRDefault="008B7D2A">
      <w:pPr>
        <w:spacing w:after="0" w:line="240" w:lineRule="auto"/>
        <w:rPr>
          <w:rFonts w:ascii="IBM Plex Sans Light" w:hAnsi="IBM Plex Sans Light" w:cs="Arial"/>
          <w:b/>
          <w:color w:val="3D7FE0" w:themeColor="accent1"/>
          <w:szCs w:val="18"/>
        </w:rPr>
      </w:pPr>
    </w:p>
    <w:p w14:paraId="5C4F83AD" w14:textId="2EC8F059" w:rsidR="003013B9" w:rsidRDefault="00F03778"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8</w:t>
      </w:r>
      <w:r w:rsidR="003013B9" w:rsidRPr="00AB6B6E">
        <w:rPr>
          <w:rFonts w:ascii="IBM Plex Sans Medium" w:hAnsi="IBM Plex Sans Medium" w:cs="Arial"/>
          <w:b/>
          <w:color w:val="3D7FE0" w:themeColor="accent1"/>
          <w:szCs w:val="18"/>
        </w:rPr>
        <w:t>. DISPOSALS</w:t>
      </w:r>
      <w:r w:rsidR="008B7D2A" w:rsidRPr="00AB6B6E">
        <w:rPr>
          <w:rFonts w:ascii="IBM Plex Sans Medium" w:hAnsi="IBM Plex Sans Medium" w:cs="Arial"/>
          <w:b/>
          <w:color w:val="3D7FE0" w:themeColor="accent1"/>
          <w:szCs w:val="18"/>
        </w:rPr>
        <w:t xml:space="preserve"> </w:t>
      </w:r>
      <w:r w:rsidR="000278A3">
        <w:rPr>
          <w:rFonts w:ascii="IBM Plex Sans Medium" w:hAnsi="IBM Plex Sans Medium" w:cs="Arial"/>
          <w:b/>
          <w:color w:val="3D7FE0" w:themeColor="accent1"/>
          <w:szCs w:val="18"/>
        </w:rPr>
        <w:t>AND IMPAIRMENT</w:t>
      </w:r>
    </w:p>
    <w:p w14:paraId="53FFE27D" w14:textId="593DB805" w:rsidR="000278A3" w:rsidRPr="000278A3" w:rsidRDefault="000278A3" w:rsidP="000278A3">
      <w:pPr>
        <w:spacing w:after="80" w:line="240" w:lineRule="auto"/>
        <w:jc w:val="both"/>
        <w:rPr>
          <w:rFonts w:ascii="IBM Plex Sans Medium" w:hAnsi="IBM Plex Sans Medium" w:cs="Arial"/>
          <w:b/>
          <w:color w:val="3D7FE0" w:themeColor="accent1"/>
          <w:szCs w:val="18"/>
        </w:rPr>
      </w:pPr>
      <w:r w:rsidRPr="000278A3">
        <w:rPr>
          <w:rFonts w:ascii="IBM Plex Sans Medium" w:hAnsi="IBM Plex Sans Medium" w:cs="Arial"/>
          <w:b/>
          <w:color w:val="3D7FE0" w:themeColor="accent1"/>
          <w:szCs w:val="18"/>
        </w:rPr>
        <w:t>A. D</w:t>
      </w:r>
      <w:r w:rsidR="00C323D2">
        <w:rPr>
          <w:rFonts w:ascii="IBM Plex Sans Medium" w:hAnsi="IBM Plex Sans Medium" w:cs="Arial"/>
          <w:b/>
          <w:color w:val="3D7FE0" w:themeColor="accent1"/>
          <w:szCs w:val="18"/>
        </w:rPr>
        <w:t>ISPOSALS</w:t>
      </w:r>
    </w:p>
    <w:p w14:paraId="1AA0A7C2" w14:textId="77777777" w:rsidR="000278A3" w:rsidRPr="000278A3" w:rsidRDefault="000278A3" w:rsidP="000278A3">
      <w:pPr>
        <w:spacing w:after="0" w:line="240" w:lineRule="auto"/>
        <w:jc w:val="both"/>
        <w:rPr>
          <w:rFonts w:ascii="IBM Plex Sans Light" w:hAnsi="IBM Plex Sans Light" w:cs="Arial"/>
          <w:b/>
          <w:bCs/>
          <w:szCs w:val="18"/>
        </w:rPr>
      </w:pPr>
      <w:r w:rsidRPr="000278A3">
        <w:rPr>
          <w:rFonts w:ascii="IBM Plex Sans Light" w:hAnsi="IBM Plex Sans Light" w:cs="Arial"/>
          <w:b/>
          <w:bCs/>
          <w:szCs w:val="18"/>
        </w:rPr>
        <w:t>Year ended 31 December 2023</w:t>
      </w:r>
    </w:p>
    <w:p w14:paraId="205088DB" w14:textId="77777777"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 xml:space="preserve">On 31 March 2023, the Group raised gross proceeds of €164m (£144m) from the disposal of its 25% associate stake in Italie Deux in Paris and the wholly owned Italik extension. 75% of the Italik extension had been classified as a trading property up to the point of disposal. </w:t>
      </w:r>
    </w:p>
    <w:p w14:paraId="4C9F090F" w14:textId="77777777" w:rsidR="000278A3" w:rsidRPr="000278A3" w:rsidRDefault="000278A3" w:rsidP="000278A3">
      <w:pPr>
        <w:spacing w:after="0" w:line="240" w:lineRule="auto"/>
        <w:rPr>
          <w:rFonts w:ascii="IBM Plex Sans Light" w:hAnsi="IBM Plex Sans Light" w:cs="Arial"/>
          <w:szCs w:val="18"/>
        </w:rPr>
      </w:pPr>
    </w:p>
    <w:p w14:paraId="0C2B5394" w14:textId="77777777"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 xml:space="preserve">On 21 April 2023, the Group completed the sale of its 50% joint venture investment in Centrale and Whitgift in Croydon for gross proceeds of £70m. Also during the year the Group raised further gross proceeds of £2m from the sale of ancillary non-core land. </w:t>
      </w:r>
    </w:p>
    <w:p w14:paraId="7532010C" w14:textId="77777777" w:rsidR="000278A3" w:rsidRPr="000278A3" w:rsidRDefault="000278A3" w:rsidP="000278A3">
      <w:pPr>
        <w:spacing w:after="0" w:line="240" w:lineRule="auto"/>
        <w:rPr>
          <w:rFonts w:ascii="IBM Plex Sans Light" w:hAnsi="IBM Plex Sans Light" w:cs="Arial"/>
          <w:szCs w:val="18"/>
        </w:rPr>
      </w:pPr>
    </w:p>
    <w:p w14:paraId="506CDF7F" w14:textId="6329F23A" w:rsidR="00580D16" w:rsidRPr="00580D16" w:rsidRDefault="00580D16" w:rsidP="00580D16">
      <w:pPr>
        <w:spacing w:after="0" w:line="240" w:lineRule="auto"/>
        <w:rPr>
          <w:rFonts w:ascii="IBM Plex Sans Light" w:hAnsi="IBM Plex Sans Light" w:cs="Arial"/>
          <w:szCs w:val="18"/>
        </w:rPr>
      </w:pPr>
      <w:r w:rsidRPr="00580D16">
        <w:rPr>
          <w:rFonts w:ascii="IBM Plex Sans Light" w:hAnsi="IBM Plex Sans Light" w:cs="Arial"/>
          <w:szCs w:val="18"/>
        </w:rPr>
        <w:t xml:space="preserve">In total these disposals resulted in a </w:t>
      </w:r>
      <w:r w:rsidR="00CA1082">
        <w:rPr>
          <w:rFonts w:ascii="IBM Plex Sans Light" w:hAnsi="IBM Plex Sans Light" w:cs="Arial"/>
          <w:szCs w:val="18"/>
        </w:rPr>
        <w:t xml:space="preserve">net </w:t>
      </w:r>
      <w:r w:rsidRPr="00580D16">
        <w:rPr>
          <w:rFonts w:ascii="IBM Plex Sans Light" w:hAnsi="IBM Plex Sans Light" w:cs="Arial"/>
          <w:szCs w:val="18"/>
        </w:rPr>
        <w:t xml:space="preserve">loss on </w:t>
      </w:r>
      <w:r w:rsidR="00FC29DB">
        <w:rPr>
          <w:rFonts w:ascii="IBM Plex Sans Light" w:hAnsi="IBM Plex Sans Light" w:cs="Arial"/>
          <w:szCs w:val="18"/>
        </w:rPr>
        <w:t xml:space="preserve">disposal of </w:t>
      </w:r>
      <w:r w:rsidRPr="00580D16">
        <w:rPr>
          <w:rFonts w:ascii="IBM Plex Sans Light" w:hAnsi="IBM Plex Sans Light" w:cs="Arial"/>
          <w:szCs w:val="18"/>
        </w:rPr>
        <w:t>£</w:t>
      </w:r>
      <w:r w:rsidR="00CA1082">
        <w:rPr>
          <w:rFonts w:ascii="IBM Plex Sans Light" w:hAnsi="IBM Plex Sans Light" w:cs="Arial"/>
          <w:szCs w:val="18"/>
        </w:rPr>
        <w:t>17.8</w:t>
      </w:r>
      <w:r w:rsidRPr="00580D16">
        <w:rPr>
          <w:rFonts w:ascii="IBM Plex Sans Light" w:hAnsi="IBM Plex Sans Light" w:cs="Arial"/>
          <w:szCs w:val="18"/>
        </w:rPr>
        <w:t>m</w:t>
      </w:r>
      <w:r w:rsidR="00FC29DB">
        <w:rPr>
          <w:rFonts w:ascii="IBM Plex Sans Light" w:hAnsi="IBM Plex Sans Light" w:cs="Arial"/>
          <w:szCs w:val="18"/>
        </w:rPr>
        <w:t>, of which a profit of £1.3m related to the Reported Group.</w:t>
      </w:r>
    </w:p>
    <w:p w14:paraId="4C0D1633" w14:textId="77777777" w:rsidR="000278A3" w:rsidRPr="000278A3" w:rsidRDefault="000278A3" w:rsidP="000278A3">
      <w:pPr>
        <w:spacing w:after="80" w:line="240" w:lineRule="auto"/>
        <w:jc w:val="both"/>
        <w:rPr>
          <w:rFonts w:ascii="IBM Plex Sans Medium" w:hAnsi="IBM Plex Sans Medium" w:cs="Arial"/>
          <w:b/>
          <w:color w:val="3D7FE0" w:themeColor="accent1"/>
          <w:szCs w:val="18"/>
        </w:rPr>
      </w:pPr>
    </w:p>
    <w:p w14:paraId="2D198117" w14:textId="77777777" w:rsidR="000278A3" w:rsidRPr="000278A3" w:rsidRDefault="000278A3" w:rsidP="000278A3">
      <w:pPr>
        <w:spacing w:after="0" w:line="240" w:lineRule="auto"/>
        <w:jc w:val="both"/>
        <w:rPr>
          <w:rFonts w:ascii="IBM Plex Sans Light" w:hAnsi="IBM Plex Sans Light" w:cs="Arial"/>
          <w:b/>
          <w:bCs/>
          <w:szCs w:val="18"/>
        </w:rPr>
      </w:pPr>
      <w:r w:rsidRPr="000278A3">
        <w:rPr>
          <w:rFonts w:ascii="IBM Plex Sans Light" w:hAnsi="IBM Plex Sans Light" w:cs="Arial"/>
          <w:b/>
          <w:bCs/>
          <w:szCs w:val="18"/>
        </w:rPr>
        <w:t>Year ended 31 December 2022</w:t>
      </w:r>
    </w:p>
    <w:p w14:paraId="467A0BAC" w14:textId="77777777"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 xml:space="preserve">The profit on the sale of properties of £0.7m includes the disposal of Victoria, Leeds which was sold on 25 February 2022 for gross proceeds of £120m and several post completion adjustments arising mainly from historical disposals in prior periods. </w:t>
      </w:r>
    </w:p>
    <w:p w14:paraId="531EA7CA" w14:textId="77777777" w:rsidR="000278A3" w:rsidRPr="000278A3" w:rsidRDefault="000278A3" w:rsidP="000278A3">
      <w:pPr>
        <w:spacing w:after="0" w:line="240" w:lineRule="auto"/>
        <w:rPr>
          <w:rFonts w:ascii="IBM Plex Sans Light" w:hAnsi="IBM Plex Sans Light" w:cs="Arial"/>
          <w:szCs w:val="18"/>
        </w:rPr>
      </w:pPr>
    </w:p>
    <w:p w14:paraId="5A17D636" w14:textId="41AF9661"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Also, on 15 March 2022, the Group completed the sale of its joint venture investment in Silverburn for gross proceeds of £70m. The Group had exchanged contracts for this sale on 14 December 2021 such that this investment was classified as assets held for sale at 31 December 2021 at £71.4m. In 2022, £nil gain/loss on disposal was recognised</w:t>
      </w:r>
      <w:r w:rsidR="006B0B5A">
        <w:rPr>
          <w:rFonts w:ascii="IBM Plex Sans Light" w:hAnsi="IBM Plex Sans Light" w:cs="Arial"/>
          <w:szCs w:val="18"/>
        </w:rPr>
        <w:t>. H</w:t>
      </w:r>
      <w:r w:rsidRPr="000278A3">
        <w:rPr>
          <w:rFonts w:ascii="IBM Plex Sans Light" w:hAnsi="IBM Plex Sans Light" w:cs="Arial"/>
          <w:szCs w:val="18"/>
        </w:rPr>
        <w:t xml:space="preserve">owever, income generated during the period of £1.6m was included in </w:t>
      </w:r>
      <w:r w:rsidR="006B0B5A">
        <w:rPr>
          <w:rFonts w:ascii="IBM Plex Sans Light" w:hAnsi="IBM Plex Sans Light" w:cs="Arial"/>
          <w:szCs w:val="18"/>
        </w:rPr>
        <w:t>A</w:t>
      </w:r>
      <w:r w:rsidRPr="000278A3">
        <w:rPr>
          <w:rFonts w:ascii="IBM Plex Sans Light" w:hAnsi="IBM Plex Sans Light" w:cs="Arial"/>
          <w:szCs w:val="18"/>
        </w:rPr>
        <w:t>djusted earnings as shown in note 9A.</w:t>
      </w:r>
    </w:p>
    <w:p w14:paraId="5F81A9AF" w14:textId="77777777" w:rsidR="000278A3" w:rsidRPr="000278A3" w:rsidRDefault="000278A3" w:rsidP="000278A3">
      <w:pPr>
        <w:spacing w:after="80" w:line="240" w:lineRule="auto"/>
        <w:jc w:val="both"/>
        <w:rPr>
          <w:rFonts w:ascii="IBM Plex Sans Medium" w:hAnsi="IBM Plex Sans Medium" w:cs="Arial"/>
          <w:b/>
          <w:color w:val="3D7FE0" w:themeColor="accent1"/>
          <w:szCs w:val="18"/>
        </w:rPr>
      </w:pPr>
    </w:p>
    <w:p w14:paraId="0C579723" w14:textId="39BB2DAD" w:rsidR="000278A3" w:rsidRPr="000278A3" w:rsidRDefault="000278A3" w:rsidP="000278A3">
      <w:pPr>
        <w:spacing w:after="80" w:line="240" w:lineRule="auto"/>
        <w:jc w:val="both"/>
        <w:rPr>
          <w:rFonts w:ascii="IBM Plex Sans Medium" w:hAnsi="IBM Plex Sans Medium" w:cs="Arial"/>
          <w:b/>
          <w:color w:val="3D7FE0" w:themeColor="accent1"/>
          <w:szCs w:val="18"/>
        </w:rPr>
      </w:pPr>
      <w:r w:rsidRPr="000278A3">
        <w:rPr>
          <w:rFonts w:ascii="IBM Plex Sans Medium" w:hAnsi="IBM Plex Sans Medium" w:cs="Arial"/>
          <w:b/>
          <w:color w:val="3D7FE0" w:themeColor="accent1"/>
          <w:szCs w:val="18"/>
        </w:rPr>
        <w:t>B. I</w:t>
      </w:r>
      <w:r w:rsidR="00C323D2">
        <w:rPr>
          <w:rFonts w:ascii="IBM Plex Sans Medium" w:hAnsi="IBM Plex Sans Medium" w:cs="Arial"/>
          <w:b/>
          <w:color w:val="3D7FE0" w:themeColor="accent1"/>
          <w:szCs w:val="18"/>
        </w:rPr>
        <w:t>MPAIRMENT ON DERECOGNITION OF JOINT VENTURES</w:t>
      </w:r>
    </w:p>
    <w:p w14:paraId="174DD729" w14:textId="77777777" w:rsidR="000278A3" w:rsidRPr="000278A3" w:rsidRDefault="000278A3" w:rsidP="000278A3">
      <w:pPr>
        <w:spacing w:after="0" w:line="240" w:lineRule="auto"/>
        <w:jc w:val="both"/>
        <w:rPr>
          <w:rFonts w:ascii="IBM Plex Sans Light" w:hAnsi="IBM Plex Sans Light" w:cs="Arial"/>
          <w:b/>
          <w:bCs/>
          <w:szCs w:val="18"/>
        </w:rPr>
      </w:pPr>
      <w:r w:rsidRPr="000278A3">
        <w:rPr>
          <w:rFonts w:ascii="IBM Plex Sans Light" w:hAnsi="IBM Plex Sans Light" w:cs="Arial"/>
          <w:b/>
          <w:bCs/>
          <w:szCs w:val="18"/>
        </w:rPr>
        <w:t>Year ended 31 December 2023</w:t>
      </w:r>
    </w:p>
    <w:p w14:paraId="2043F146" w14:textId="01F9272C"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At 31 December 2022, the Group’s Highcross and O’Parinor joint ventures, in which the Group had 50% and 25% interests respectively had £125m of debt secured against the property interests which was non-recourse to the Group. In both cases the loans were in breach of certain conditions and the Group had been working constructively with the respective lenders on options to realise “best value” for all stakeholders.</w:t>
      </w:r>
    </w:p>
    <w:p w14:paraId="698BD8CD" w14:textId="77777777" w:rsidR="000278A3" w:rsidRPr="000278A3" w:rsidRDefault="000278A3" w:rsidP="000278A3">
      <w:pPr>
        <w:spacing w:after="0" w:line="240" w:lineRule="auto"/>
        <w:rPr>
          <w:rFonts w:ascii="IBM Plex Sans Light" w:hAnsi="IBM Plex Sans Light" w:cs="Arial"/>
          <w:szCs w:val="18"/>
        </w:rPr>
      </w:pPr>
    </w:p>
    <w:p w14:paraId="35093087" w14:textId="77777777" w:rsidR="000278A3" w:rsidRPr="000278A3"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On 9 February 2023, a receiver was appointed to administer Highcross for the benefit of the creditors and, as a result of no longer having joint control the Group derecognised its share of assets and liabilities, including the property value and £80m of debt. There was no loss on derecognition as the Group’s joint venture investment in Highcross had been fully impaired at 31 December 2021, from which date the Group had ceased recognising the results of this joint venture in the consolidated income statement.</w:t>
      </w:r>
    </w:p>
    <w:p w14:paraId="3C976EC7" w14:textId="77777777" w:rsidR="000278A3" w:rsidRPr="000278A3" w:rsidRDefault="000278A3" w:rsidP="000278A3">
      <w:pPr>
        <w:spacing w:after="0" w:line="240" w:lineRule="auto"/>
        <w:rPr>
          <w:rFonts w:ascii="IBM Plex Sans Light" w:hAnsi="IBM Plex Sans Light" w:cs="Arial"/>
          <w:szCs w:val="18"/>
        </w:rPr>
      </w:pPr>
    </w:p>
    <w:p w14:paraId="5E46E027" w14:textId="5CD41E09" w:rsidR="00D3079D" w:rsidRPr="00895810" w:rsidRDefault="000278A3" w:rsidP="000278A3">
      <w:pPr>
        <w:spacing w:after="0" w:line="240" w:lineRule="auto"/>
        <w:rPr>
          <w:rFonts w:ascii="IBM Plex Sans Light" w:hAnsi="IBM Plex Sans Light" w:cs="Arial"/>
          <w:szCs w:val="18"/>
        </w:rPr>
      </w:pPr>
      <w:r w:rsidRPr="000278A3">
        <w:rPr>
          <w:rFonts w:ascii="IBM Plex Sans Light" w:hAnsi="IBM Plex Sans Light" w:cs="Arial"/>
          <w:szCs w:val="18"/>
        </w:rPr>
        <w:t xml:space="preserve">On 30 June 2023, the lenders on O’Parinor took control of the joint venture. The Group therefore fully impaired its joint venture investment by £22.2m and derecognised its share of assets and liabilities, including the property value </w:t>
      </w:r>
      <w:r w:rsidR="00580D16">
        <w:rPr>
          <w:rFonts w:ascii="IBM Plex Sans Light" w:hAnsi="IBM Plex Sans Light" w:cs="Arial"/>
          <w:szCs w:val="18"/>
        </w:rPr>
        <w:t xml:space="preserve">of </w:t>
      </w:r>
      <w:r w:rsidR="006B7177">
        <w:rPr>
          <w:rFonts w:ascii="IBM Plex Sans Light" w:hAnsi="IBM Plex Sans Light" w:cs="Arial"/>
          <w:szCs w:val="18"/>
        </w:rPr>
        <w:t>£61m</w:t>
      </w:r>
      <w:r w:rsidR="00580D16">
        <w:rPr>
          <w:rFonts w:ascii="IBM Plex Sans Light" w:hAnsi="IBM Plex Sans Light" w:cs="Arial"/>
          <w:szCs w:val="18"/>
        </w:rPr>
        <w:t xml:space="preserve"> </w:t>
      </w:r>
      <w:r w:rsidRPr="000278A3">
        <w:rPr>
          <w:rFonts w:ascii="IBM Plex Sans Light" w:hAnsi="IBM Plex Sans Light" w:cs="Arial"/>
          <w:szCs w:val="18"/>
        </w:rPr>
        <w:t>and £45m of secured debt. The impairment has increased by £0.1m from 30 June 2023 due to additional costs of disposal.</w:t>
      </w:r>
    </w:p>
    <w:p w14:paraId="7DDA4B50" w14:textId="3E5C9283" w:rsidR="00920814" w:rsidRPr="00895810" w:rsidRDefault="00920814">
      <w:pPr>
        <w:spacing w:after="0" w:line="240" w:lineRule="auto"/>
        <w:rPr>
          <w:rFonts w:ascii="IBM Plex Sans Light" w:hAnsi="IBM Plex Sans Light" w:cs="Arial"/>
          <w:b/>
          <w:color w:val="3D7FE0" w:themeColor="accent1"/>
          <w:szCs w:val="18"/>
        </w:rPr>
      </w:pPr>
    </w:p>
    <w:p w14:paraId="57494A7F" w14:textId="32F4CFA4" w:rsidR="00670108" w:rsidRPr="00AB6B6E" w:rsidRDefault="00F03778"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9</w:t>
      </w:r>
      <w:r w:rsidR="00670108" w:rsidRPr="00AB6B6E">
        <w:rPr>
          <w:rFonts w:ascii="IBM Plex Sans Medium" w:hAnsi="IBM Plex Sans Medium" w:cs="Arial"/>
          <w:b/>
          <w:color w:val="3D7FE0" w:themeColor="accent1"/>
          <w:szCs w:val="18"/>
        </w:rPr>
        <w:t>. KEY ALTERNATIVE PERFORMANCE MEASURES</w:t>
      </w:r>
    </w:p>
    <w:p w14:paraId="31BBBFDB" w14:textId="0B47B5E9" w:rsidR="00670108" w:rsidRPr="00895810" w:rsidRDefault="0019312A" w:rsidP="00670108">
      <w:pPr>
        <w:spacing w:after="0" w:line="240" w:lineRule="auto"/>
        <w:rPr>
          <w:rFonts w:ascii="IBM Plex Sans Light" w:hAnsi="IBM Plex Sans Light" w:cs="Arial"/>
          <w:szCs w:val="18"/>
        </w:rPr>
      </w:pPr>
      <w:r w:rsidRPr="0019312A">
        <w:rPr>
          <w:rFonts w:ascii="IBM Plex Sans Light" w:hAnsi="IBM Plex Sans Light" w:cs="Arial"/>
          <w:szCs w:val="18"/>
        </w:rPr>
        <w:t>Headline earnings has been calculated in accordance with the requirements of the Johannesburg Stock Exchange listing requirements. EPRA earnings and EPRA net assets are calculated in accordance with guidance issued by the European Public Real Estate recommended bases. Reconciliations from Reported Group (IFRS) earnings after tax and Net assets attributable to equity shareholders to these measures are set out below</w:t>
      </w:r>
      <w:r w:rsidR="00670108" w:rsidRPr="00895810">
        <w:rPr>
          <w:rFonts w:ascii="IBM Plex Sans Light" w:hAnsi="IBM Plex Sans Light" w:cs="Arial"/>
          <w:szCs w:val="18"/>
        </w:rPr>
        <w:t>.</w:t>
      </w:r>
    </w:p>
    <w:p w14:paraId="0ABC069C" w14:textId="6E094477" w:rsidR="00670108" w:rsidRPr="00895810" w:rsidRDefault="00670108" w:rsidP="00670108">
      <w:pPr>
        <w:pStyle w:val="Heading2SpaceBefore"/>
        <w:spacing w:before="60"/>
        <w:rPr>
          <w:rFonts w:ascii="IBM Plex Sans Light" w:hAnsi="IBM Plex Sans Light"/>
          <w:color w:val="3D7FE0" w:themeColor="accent1"/>
          <w:szCs w:val="18"/>
        </w:rPr>
      </w:pPr>
      <w:r w:rsidRPr="00895810">
        <w:rPr>
          <w:rFonts w:ascii="IBM Plex Sans Light" w:hAnsi="IBM Plex Sans Light"/>
          <w:color w:val="3D7FE0" w:themeColor="accent1"/>
          <w:szCs w:val="18"/>
        </w:rPr>
        <w:t>A. A</w:t>
      </w:r>
      <w:r w:rsidR="005F6D26">
        <w:rPr>
          <w:rFonts w:ascii="IBM Plex Sans Light" w:hAnsi="IBM Plex Sans Light"/>
          <w:color w:val="3D7FE0" w:themeColor="accent1"/>
          <w:szCs w:val="18"/>
        </w:rPr>
        <w:t>LTERNATIVE EARNINGS MEASURES</w:t>
      </w:r>
      <w:r w:rsidRPr="00895810">
        <w:rPr>
          <w:rFonts w:ascii="IBM Plex Sans Light" w:hAnsi="IBM Plex Sans Light"/>
          <w:color w:val="3D7FE0" w:themeColor="accent1"/>
          <w:szCs w:val="18"/>
        </w:rPr>
        <w:t xml:space="preserve"> </w:t>
      </w:r>
    </w:p>
    <w:tbl>
      <w:tblPr>
        <w:tblStyle w:val="TableGrid"/>
        <w:tblW w:w="9922" w:type="dxa"/>
        <w:tblLayout w:type="fixed"/>
        <w:tblLook w:val="04A0" w:firstRow="1" w:lastRow="0" w:firstColumn="1" w:lastColumn="0" w:noHBand="0" w:noVBand="1"/>
      </w:tblPr>
      <w:tblGrid>
        <w:gridCol w:w="7087"/>
        <w:gridCol w:w="143"/>
        <w:gridCol w:w="708"/>
        <w:gridCol w:w="992"/>
        <w:gridCol w:w="992"/>
      </w:tblGrid>
      <w:tr w:rsidR="005E0797" w:rsidRPr="00895810" w14:paraId="1E44F626" w14:textId="77777777" w:rsidTr="00024B10">
        <w:trPr>
          <w:trHeight w:val="20"/>
        </w:trPr>
        <w:tc>
          <w:tcPr>
            <w:tcW w:w="7087" w:type="dxa"/>
            <w:tcBorders>
              <w:bottom w:val="single" w:sz="2" w:space="0" w:color="3D7FE0" w:themeColor="accent1"/>
            </w:tcBorders>
          </w:tcPr>
          <w:p w14:paraId="099C2456" w14:textId="77777777" w:rsidR="00670108" w:rsidRPr="00895810" w:rsidRDefault="00670108" w:rsidP="0063218B">
            <w:pPr>
              <w:pStyle w:val="TableColHeads"/>
              <w:rPr>
                <w:rFonts w:ascii="IBM Plex Sans Light" w:hAnsi="IBM Plex Sans Light"/>
              </w:rPr>
            </w:pPr>
          </w:p>
        </w:tc>
        <w:tc>
          <w:tcPr>
            <w:tcW w:w="143" w:type="dxa"/>
            <w:tcBorders>
              <w:bottom w:val="single" w:sz="2" w:space="0" w:color="3D7FE0" w:themeColor="accent1"/>
            </w:tcBorders>
          </w:tcPr>
          <w:p w14:paraId="462A9E81" w14:textId="77777777" w:rsidR="00670108" w:rsidRPr="00895810" w:rsidRDefault="00670108" w:rsidP="0063218B">
            <w:pPr>
              <w:pStyle w:val="TableColHeadsBold"/>
              <w:rPr>
                <w:rFonts w:ascii="IBM Plex Sans Light" w:hAnsi="IBM Plex Sans Light"/>
                <w:color w:val="3D7FE0" w:themeColor="accent1"/>
              </w:rPr>
            </w:pPr>
          </w:p>
        </w:tc>
        <w:tc>
          <w:tcPr>
            <w:tcW w:w="708" w:type="dxa"/>
            <w:tcBorders>
              <w:bottom w:val="single" w:sz="2" w:space="0" w:color="3D7FE0" w:themeColor="accent1"/>
            </w:tcBorders>
            <w:vAlign w:val="bottom"/>
          </w:tcPr>
          <w:p w14:paraId="4E765583" w14:textId="74947593" w:rsidR="00670108" w:rsidRPr="00895810" w:rsidRDefault="00CE2F7F" w:rsidP="00F6313F">
            <w:pPr>
              <w:pStyle w:val="TableColHeadsBold"/>
              <w:tabs>
                <w:tab w:val="clear" w:pos="284"/>
              </w:tabs>
              <w:ind w:right="57"/>
              <w:rPr>
                <w:rFonts w:ascii="IBM Plex Sans Light" w:hAnsi="IBM Plex Sans Light"/>
              </w:rPr>
            </w:pPr>
            <w:r>
              <w:rPr>
                <w:rFonts w:ascii="IBM Plex Sans Light" w:hAnsi="IBM Plex Sans Light"/>
                <w:bCs w:val="0"/>
              </w:rPr>
              <w:t>Footn</w:t>
            </w:r>
            <w:r w:rsidR="00814E29" w:rsidRPr="00895810">
              <w:rPr>
                <w:rFonts w:ascii="IBM Plex Sans Light" w:hAnsi="IBM Plex Sans Light"/>
                <w:bCs w:val="0"/>
              </w:rPr>
              <w:t>ote</w:t>
            </w:r>
          </w:p>
        </w:tc>
        <w:tc>
          <w:tcPr>
            <w:tcW w:w="992" w:type="dxa"/>
            <w:tcBorders>
              <w:bottom w:val="single" w:sz="2" w:space="0" w:color="3D7FE0" w:themeColor="accent1"/>
            </w:tcBorders>
          </w:tcPr>
          <w:p w14:paraId="2CBB5B62" w14:textId="171797BF" w:rsidR="00670108" w:rsidRPr="00895810" w:rsidRDefault="00785AC2" w:rsidP="0063218B">
            <w:pPr>
              <w:pStyle w:val="TableColHeadsBold"/>
              <w:rPr>
                <w:rFonts w:ascii="IBM Plex Sans Light" w:hAnsi="IBM Plex Sans Light"/>
                <w:color w:val="3D7FE0" w:themeColor="accent1"/>
              </w:rPr>
            </w:pPr>
            <w:r>
              <w:rPr>
                <w:rFonts w:ascii="IBM Plex Sans Light" w:hAnsi="IBM Plex Sans Light"/>
                <w:color w:val="3D7FE0" w:themeColor="accent1"/>
              </w:rPr>
              <w:t>2023</w:t>
            </w:r>
          </w:p>
          <w:p w14:paraId="2AAD7B72" w14:textId="77777777" w:rsidR="00670108" w:rsidRPr="00895810" w:rsidRDefault="00670108"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992" w:type="dxa"/>
            <w:tcBorders>
              <w:bottom w:val="single" w:sz="2" w:space="0" w:color="3D7FE0" w:themeColor="accent1"/>
            </w:tcBorders>
            <w:vAlign w:val="bottom"/>
          </w:tcPr>
          <w:p w14:paraId="5C658AC5" w14:textId="49BAA063" w:rsidR="00670108" w:rsidRPr="00895810" w:rsidRDefault="006E7EB0" w:rsidP="0063218B">
            <w:pPr>
              <w:pStyle w:val="TableColHeadsBold"/>
              <w:rPr>
                <w:rFonts w:ascii="IBM Plex Sans Light" w:hAnsi="IBM Plex Sans Light"/>
                <w:b w:val="0"/>
                <w:bCs w:val="0"/>
              </w:rPr>
            </w:pPr>
            <w:r>
              <w:rPr>
                <w:rFonts w:ascii="IBM Plex Sans Light" w:hAnsi="IBM Plex Sans Light"/>
                <w:b w:val="0"/>
                <w:bCs w:val="0"/>
              </w:rPr>
              <w:t>2022</w:t>
            </w:r>
          </w:p>
          <w:p w14:paraId="3E8996E9" w14:textId="77777777" w:rsidR="00670108" w:rsidRPr="00895810" w:rsidRDefault="00670108" w:rsidP="0063218B">
            <w:pPr>
              <w:pStyle w:val="TableColHeadsBold"/>
              <w:rPr>
                <w:rFonts w:ascii="IBM Plex Sans Light" w:hAnsi="IBM Plex Sans Light"/>
                <w:b w:val="0"/>
                <w:bCs w:val="0"/>
              </w:rPr>
            </w:pPr>
            <w:r w:rsidRPr="00895810">
              <w:rPr>
                <w:rFonts w:ascii="IBM Plex Sans Light" w:hAnsi="IBM Plex Sans Light"/>
                <w:b w:val="0"/>
                <w:bCs w:val="0"/>
              </w:rPr>
              <w:t xml:space="preserve">£m </w:t>
            </w:r>
          </w:p>
        </w:tc>
      </w:tr>
      <w:tr w:rsidR="005E0797" w:rsidRPr="00895810" w14:paraId="6CB9BFDE" w14:textId="77777777" w:rsidTr="00024B10">
        <w:trPr>
          <w:trHeight w:val="20"/>
        </w:trPr>
        <w:tc>
          <w:tcPr>
            <w:tcW w:w="7087" w:type="dxa"/>
            <w:tcBorders>
              <w:top w:val="single" w:sz="2" w:space="0" w:color="3D7FE0" w:themeColor="accent1"/>
            </w:tcBorders>
            <w:vAlign w:val="bottom"/>
          </w:tcPr>
          <w:p w14:paraId="29DDA627" w14:textId="77777777" w:rsidR="00670108" w:rsidRPr="00895810" w:rsidRDefault="00670108">
            <w:pPr>
              <w:pStyle w:val="Tabletext"/>
              <w:rPr>
                <w:rFonts w:ascii="IBM Plex Sans Light" w:hAnsi="IBM Plex Sans Light"/>
              </w:rPr>
            </w:pPr>
            <w:r w:rsidRPr="00895810">
              <w:rPr>
                <w:rFonts w:ascii="IBM Plex Sans Light" w:hAnsi="IBM Plex Sans Light"/>
                <w:b/>
                <w:bCs/>
                <w:color w:val="3D7FE0" w:themeColor="accent1"/>
                <w:spacing w:val="-4"/>
                <w:sz w:val="18"/>
                <w:szCs w:val="24"/>
              </w:rPr>
              <w:t>Reported Group</w:t>
            </w:r>
          </w:p>
        </w:tc>
        <w:tc>
          <w:tcPr>
            <w:tcW w:w="143" w:type="dxa"/>
            <w:tcBorders>
              <w:top w:val="single" w:sz="2" w:space="0" w:color="3D7FE0" w:themeColor="accent1"/>
            </w:tcBorders>
            <w:shd w:val="clear" w:color="auto" w:fill="FFFFFF" w:themeFill="background1"/>
            <w:vAlign w:val="bottom"/>
          </w:tcPr>
          <w:p w14:paraId="373BECD4" w14:textId="77777777" w:rsidR="00670108" w:rsidRPr="00895810" w:rsidRDefault="00670108" w:rsidP="00F657BA">
            <w:pPr>
              <w:pStyle w:val="Tabletext"/>
              <w:jc w:val="right"/>
              <w:rPr>
                <w:rFonts w:ascii="IBM Plex Sans Light" w:hAnsi="IBM Plex Sans Light"/>
                <w:spacing w:val="-4"/>
                <w:sz w:val="18"/>
              </w:rPr>
            </w:pPr>
          </w:p>
        </w:tc>
        <w:tc>
          <w:tcPr>
            <w:tcW w:w="708" w:type="dxa"/>
            <w:tcBorders>
              <w:top w:val="single" w:sz="2" w:space="0" w:color="3D7FE0" w:themeColor="accent1"/>
            </w:tcBorders>
            <w:shd w:val="clear" w:color="auto" w:fill="FFFFFF" w:themeFill="background1"/>
            <w:vAlign w:val="bottom"/>
          </w:tcPr>
          <w:p w14:paraId="10F93F82" w14:textId="77777777" w:rsidR="00670108" w:rsidRPr="00895810" w:rsidRDefault="00670108">
            <w:pPr>
              <w:pStyle w:val="Tabletext"/>
              <w:jc w:val="right"/>
              <w:rPr>
                <w:rFonts w:ascii="IBM Plex Sans Light" w:hAnsi="IBM Plex Sans Light"/>
                <w:spacing w:val="-4"/>
                <w:sz w:val="18"/>
              </w:rPr>
            </w:pPr>
          </w:p>
        </w:tc>
        <w:tc>
          <w:tcPr>
            <w:tcW w:w="992" w:type="dxa"/>
            <w:tcBorders>
              <w:top w:val="single" w:sz="2" w:space="0" w:color="3D7FE0" w:themeColor="accent1"/>
            </w:tcBorders>
            <w:shd w:val="clear" w:color="auto" w:fill="FFFFFF" w:themeFill="background1"/>
          </w:tcPr>
          <w:p w14:paraId="4506246F" w14:textId="77777777" w:rsidR="00670108" w:rsidRPr="00895810" w:rsidRDefault="00670108" w:rsidP="0063218B">
            <w:pPr>
              <w:pStyle w:val="TableFigures"/>
              <w:rPr>
                <w:rFonts w:ascii="IBM Plex Sans Light" w:hAnsi="IBM Plex Sans Light"/>
                <w:spacing w:val="-4"/>
                <w:sz w:val="18"/>
              </w:rPr>
            </w:pPr>
          </w:p>
        </w:tc>
        <w:tc>
          <w:tcPr>
            <w:tcW w:w="992" w:type="dxa"/>
            <w:tcBorders>
              <w:top w:val="single" w:sz="2" w:space="0" w:color="3D7FE0" w:themeColor="accent1"/>
            </w:tcBorders>
            <w:shd w:val="clear" w:color="auto" w:fill="auto"/>
          </w:tcPr>
          <w:p w14:paraId="17B097BC" w14:textId="77777777" w:rsidR="00670108" w:rsidRPr="00895810" w:rsidRDefault="00670108" w:rsidP="0063218B">
            <w:pPr>
              <w:pStyle w:val="TableFigures"/>
              <w:rPr>
                <w:rFonts w:ascii="IBM Plex Sans Light" w:hAnsi="IBM Plex Sans Light"/>
                <w:color w:val="auto"/>
                <w:spacing w:val="-4"/>
                <w:sz w:val="18"/>
              </w:rPr>
            </w:pPr>
          </w:p>
        </w:tc>
      </w:tr>
      <w:tr w:rsidR="00177580" w:rsidRPr="00895810" w14:paraId="694487B6" w14:textId="77777777" w:rsidTr="00024B10">
        <w:trPr>
          <w:trHeight w:val="20"/>
        </w:trPr>
        <w:tc>
          <w:tcPr>
            <w:tcW w:w="7087" w:type="dxa"/>
            <w:vAlign w:val="bottom"/>
          </w:tcPr>
          <w:p w14:paraId="39D18109" w14:textId="41F9B63D" w:rsidR="00177580" w:rsidRPr="00895810" w:rsidRDefault="00177580" w:rsidP="00177580">
            <w:pPr>
              <w:pStyle w:val="Tabletext"/>
              <w:rPr>
                <w:rFonts w:ascii="IBM Plex Sans Light" w:hAnsi="IBM Plex Sans Light"/>
              </w:rPr>
            </w:pPr>
            <w:r>
              <w:rPr>
                <w:rFonts w:ascii="IBM Plex Sans Light" w:hAnsi="IBM Plex Sans Light"/>
                <w:spacing w:val="-4"/>
                <w:sz w:val="18"/>
              </w:rPr>
              <w:t>Loss after tax</w:t>
            </w:r>
          </w:p>
        </w:tc>
        <w:tc>
          <w:tcPr>
            <w:tcW w:w="143" w:type="dxa"/>
            <w:shd w:val="clear" w:color="auto" w:fill="FFFFFF" w:themeFill="background1"/>
            <w:vAlign w:val="bottom"/>
          </w:tcPr>
          <w:p w14:paraId="354FFB6E" w14:textId="77777777" w:rsidR="00177580" w:rsidRPr="00895810" w:rsidRDefault="00177580" w:rsidP="00177580">
            <w:pPr>
              <w:pStyle w:val="Tabletext"/>
              <w:jc w:val="right"/>
              <w:rPr>
                <w:rFonts w:ascii="IBM Plex Sans Light" w:hAnsi="IBM Plex Sans Light"/>
                <w:spacing w:val="-4"/>
                <w:sz w:val="18"/>
              </w:rPr>
            </w:pPr>
          </w:p>
        </w:tc>
        <w:tc>
          <w:tcPr>
            <w:tcW w:w="708" w:type="dxa"/>
            <w:shd w:val="clear" w:color="auto" w:fill="FFFFFF" w:themeFill="background1"/>
            <w:vAlign w:val="bottom"/>
          </w:tcPr>
          <w:p w14:paraId="586D7789" w14:textId="77777777" w:rsidR="00177580" w:rsidRPr="00895810" w:rsidRDefault="00177580" w:rsidP="00177580">
            <w:pPr>
              <w:pStyle w:val="Tabletext"/>
              <w:jc w:val="right"/>
              <w:rPr>
                <w:rFonts w:ascii="IBM Plex Sans Light" w:hAnsi="IBM Plex Sans Light"/>
                <w:spacing w:val="-4"/>
                <w:sz w:val="18"/>
              </w:rPr>
            </w:pPr>
          </w:p>
        </w:tc>
        <w:tc>
          <w:tcPr>
            <w:tcW w:w="992" w:type="dxa"/>
            <w:shd w:val="clear" w:color="auto" w:fill="FFFFFF" w:themeFill="background1"/>
          </w:tcPr>
          <w:p w14:paraId="7A8FB508" w14:textId="63C4F7DB" w:rsidR="00177580" w:rsidRPr="00177580" w:rsidRDefault="00177580" w:rsidP="00C55BF9">
            <w:pPr>
              <w:pStyle w:val="TableFiguresBracket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(51.4)</w:t>
            </w:r>
          </w:p>
        </w:tc>
        <w:tc>
          <w:tcPr>
            <w:tcW w:w="992" w:type="dxa"/>
            <w:shd w:val="clear" w:color="auto" w:fill="auto"/>
            <w:vAlign w:val="bottom"/>
          </w:tcPr>
          <w:p w14:paraId="7620F42E" w14:textId="4E6761CD" w:rsidR="00177580" w:rsidRPr="00895810" w:rsidRDefault="00177580" w:rsidP="00177580">
            <w:pPr>
              <w:pStyle w:val="TableFiguresBracket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164.2</w:t>
            </w:r>
            <w:r w:rsidRPr="00895810">
              <w:rPr>
                <w:rFonts w:ascii="IBM Plex Sans Light" w:hAnsi="IBM Plex Sans Light"/>
                <w:color w:val="auto"/>
                <w:spacing w:val="-4"/>
                <w:sz w:val="18"/>
                <w:szCs w:val="18"/>
              </w:rPr>
              <w:t>)</w:t>
            </w:r>
          </w:p>
        </w:tc>
      </w:tr>
      <w:tr w:rsidR="00177580" w:rsidRPr="00895810" w14:paraId="536EC788" w14:textId="77777777" w:rsidTr="00024B10">
        <w:trPr>
          <w:trHeight w:val="20"/>
        </w:trPr>
        <w:tc>
          <w:tcPr>
            <w:tcW w:w="7087" w:type="dxa"/>
            <w:vAlign w:val="bottom"/>
          </w:tcPr>
          <w:p w14:paraId="05174CD4" w14:textId="77777777" w:rsidR="00177580" w:rsidRPr="00895810" w:rsidRDefault="00177580" w:rsidP="00177580">
            <w:pPr>
              <w:pStyle w:val="Tabletext"/>
              <w:rPr>
                <w:rFonts w:ascii="IBM Plex Sans Light" w:hAnsi="IBM Plex Sans Light"/>
                <w:b/>
                <w:bCs/>
                <w:color w:val="3D7FE0" w:themeColor="accent1"/>
                <w:spacing w:val="-4"/>
                <w:sz w:val="18"/>
                <w:szCs w:val="24"/>
              </w:rPr>
            </w:pPr>
          </w:p>
        </w:tc>
        <w:tc>
          <w:tcPr>
            <w:tcW w:w="143" w:type="dxa"/>
            <w:shd w:val="clear" w:color="auto" w:fill="FFFFFF" w:themeFill="background1"/>
            <w:vAlign w:val="bottom"/>
          </w:tcPr>
          <w:p w14:paraId="69EB1038" w14:textId="77777777" w:rsidR="00177580" w:rsidRPr="00895810" w:rsidRDefault="00177580" w:rsidP="00177580">
            <w:pPr>
              <w:pStyle w:val="Tabletext"/>
              <w:jc w:val="right"/>
              <w:rPr>
                <w:rFonts w:ascii="IBM Plex Sans Light" w:hAnsi="IBM Plex Sans Light"/>
                <w:spacing w:val="-4"/>
                <w:sz w:val="18"/>
              </w:rPr>
            </w:pPr>
          </w:p>
        </w:tc>
        <w:tc>
          <w:tcPr>
            <w:tcW w:w="708" w:type="dxa"/>
            <w:shd w:val="clear" w:color="auto" w:fill="FFFFFF" w:themeFill="background1"/>
            <w:vAlign w:val="bottom"/>
          </w:tcPr>
          <w:p w14:paraId="79DA1ED0" w14:textId="77777777" w:rsidR="00177580" w:rsidRPr="00895810" w:rsidRDefault="00177580" w:rsidP="00177580">
            <w:pPr>
              <w:pStyle w:val="Tabletext"/>
              <w:jc w:val="right"/>
              <w:rPr>
                <w:rFonts w:ascii="IBM Plex Sans Light" w:hAnsi="IBM Plex Sans Light"/>
                <w:spacing w:val="-4"/>
                <w:sz w:val="18"/>
              </w:rPr>
            </w:pPr>
          </w:p>
        </w:tc>
        <w:tc>
          <w:tcPr>
            <w:tcW w:w="992" w:type="dxa"/>
            <w:shd w:val="clear" w:color="auto" w:fill="FFFFFF" w:themeFill="background1"/>
          </w:tcPr>
          <w:p w14:paraId="3FDD1609" w14:textId="77777777"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shd w:val="clear" w:color="auto" w:fill="auto"/>
            <w:vAlign w:val="bottom"/>
          </w:tcPr>
          <w:p w14:paraId="1FA33681" w14:textId="77777777" w:rsidR="00177580" w:rsidRPr="00895810" w:rsidRDefault="00177580" w:rsidP="00177580">
            <w:pPr>
              <w:pStyle w:val="TableFigures"/>
              <w:rPr>
                <w:rFonts w:ascii="IBM Plex Sans Light" w:hAnsi="IBM Plex Sans Light"/>
                <w:color w:val="auto"/>
                <w:spacing w:val="-4"/>
                <w:sz w:val="18"/>
              </w:rPr>
            </w:pPr>
          </w:p>
        </w:tc>
      </w:tr>
      <w:tr w:rsidR="00177580" w:rsidRPr="00895810" w14:paraId="74E37B2A" w14:textId="77777777" w:rsidTr="00024B10">
        <w:trPr>
          <w:trHeight w:val="20"/>
        </w:trPr>
        <w:tc>
          <w:tcPr>
            <w:tcW w:w="7087" w:type="dxa"/>
            <w:vAlign w:val="bottom"/>
          </w:tcPr>
          <w:p w14:paraId="5BE98FFC" w14:textId="77777777" w:rsidR="00177580" w:rsidRPr="00895810" w:rsidRDefault="00177580" w:rsidP="00177580">
            <w:pPr>
              <w:pStyle w:val="Tabletext"/>
              <w:rPr>
                <w:rFonts w:ascii="IBM Plex Sans Light" w:hAnsi="IBM Plex Sans Light"/>
              </w:rPr>
            </w:pPr>
            <w:r w:rsidRPr="00895810">
              <w:rPr>
                <w:rFonts w:ascii="IBM Plex Sans Light" w:hAnsi="IBM Plex Sans Light"/>
                <w:b/>
                <w:bCs/>
                <w:color w:val="3D7FE0" w:themeColor="accent1"/>
                <w:spacing w:val="-4"/>
                <w:sz w:val="18"/>
                <w:szCs w:val="24"/>
              </w:rPr>
              <w:t>Adjustments:</w:t>
            </w:r>
          </w:p>
        </w:tc>
        <w:tc>
          <w:tcPr>
            <w:tcW w:w="143" w:type="dxa"/>
            <w:shd w:val="clear" w:color="auto" w:fill="FFFFFF" w:themeFill="background1"/>
            <w:vAlign w:val="bottom"/>
          </w:tcPr>
          <w:p w14:paraId="2A459FBF" w14:textId="77777777" w:rsidR="00177580" w:rsidRPr="00895810" w:rsidRDefault="00177580" w:rsidP="00177580">
            <w:pPr>
              <w:pStyle w:val="Tabletext"/>
              <w:jc w:val="right"/>
              <w:rPr>
                <w:rFonts w:ascii="IBM Plex Sans Light" w:hAnsi="IBM Plex Sans Light"/>
                <w:spacing w:val="-4"/>
                <w:sz w:val="18"/>
              </w:rPr>
            </w:pPr>
          </w:p>
        </w:tc>
        <w:tc>
          <w:tcPr>
            <w:tcW w:w="708" w:type="dxa"/>
            <w:shd w:val="clear" w:color="auto" w:fill="FFFFFF" w:themeFill="background1"/>
            <w:vAlign w:val="bottom"/>
          </w:tcPr>
          <w:p w14:paraId="4C0E3D20" w14:textId="77777777" w:rsidR="00177580" w:rsidRPr="00895810" w:rsidRDefault="00177580" w:rsidP="00177580">
            <w:pPr>
              <w:pStyle w:val="Tabletext"/>
              <w:jc w:val="right"/>
              <w:rPr>
                <w:rFonts w:ascii="IBM Plex Sans Light" w:hAnsi="IBM Plex Sans Light"/>
                <w:spacing w:val="-4"/>
                <w:sz w:val="18"/>
              </w:rPr>
            </w:pPr>
          </w:p>
        </w:tc>
        <w:tc>
          <w:tcPr>
            <w:tcW w:w="992" w:type="dxa"/>
            <w:shd w:val="clear" w:color="auto" w:fill="FFFFFF" w:themeFill="background1"/>
          </w:tcPr>
          <w:p w14:paraId="594BCD30" w14:textId="77777777"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shd w:val="clear" w:color="auto" w:fill="auto"/>
            <w:vAlign w:val="bottom"/>
          </w:tcPr>
          <w:p w14:paraId="4C0B9F1A" w14:textId="77777777" w:rsidR="00177580" w:rsidRPr="00895810" w:rsidRDefault="00177580" w:rsidP="00177580">
            <w:pPr>
              <w:pStyle w:val="TableFigures"/>
              <w:rPr>
                <w:rFonts w:ascii="IBM Plex Sans Light" w:hAnsi="IBM Plex Sans Light"/>
                <w:color w:val="auto"/>
                <w:spacing w:val="-4"/>
                <w:sz w:val="18"/>
              </w:rPr>
            </w:pPr>
          </w:p>
        </w:tc>
      </w:tr>
      <w:tr w:rsidR="00177580" w:rsidRPr="00895810" w14:paraId="25C379F1" w14:textId="77777777" w:rsidTr="00024B10">
        <w:trPr>
          <w:trHeight w:val="20"/>
        </w:trPr>
        <w:tc>
          <w:tcPr>
            <w:tcW w:w="7087" w:type="dxa"/>
            <w:vAlign w:val="bottom"/>
          </w:tcPr>
          <w:p w14:paraId="55F8E87A" w14:textId="77777777" w:rsidR="00177580" w:rsidRPr="00895810" w:rsidRDefault="00177580" w:rsidP="00177580">
            <w:pPr>
              <w:pStyle w:val="Tabletext"/>
              <w:rPr>
                <w:rFonts w:ascii="IBM Plex Sans Light" w:hAnsi="IBM Plex Sans Light"/>
              </w:rPr>
            </w:pPr>
            <w:r w:rsidRPr="00895810">
              <w:rPr>
                <w:rFonts w:ascii="IBM Plex Sans Light" w:hAnsi="IBM Plex Sans Light"/>
                <w:spacing w:val="-4"/>
                <w:sz w:val="18"/>
              </w:rPr>
              <w:t>Revaluation losses on managed portfolio</w:t>
            </w:r>
          </w:p>
        </w:tc>
        <w:tc>
          <w:tcPr>
            <w:tcW w:w="143" w:type="dxa"/>
            <w:shd w:val="clear" w:color="auto" w:fill="FFFFFF" w:themeFill="background1"/>
            <w:vAlign w:val="bottom"/>
          </w:tcPr>
          <w:p w14:paraId="48FB71A7" w14:textId="7C5D7E6D" w:rsidR="00177580" w:rsidRPr="00895810" w:rsidRDefault="00177580" w:rsidP="00177580">
            <w:pPr>
              <w:pStyle w:val="Tabletext"/>
              <w:jc w:val="right"/>
              <w:rPr>
                <w:rFonts w:ascii="IBM Plex Sans Light" w:hAnsi="IBM Plex Sans Light"/>
                <w:spacing w:val="-4"/>
                <w:sz w:val="18"/>
              </w:rPr>
            </w:pPr>
          </w:p>
        </w:tc>
        <w:tc>
          <w:tcPr>
            <w:tcW w:w="708" w:type="dxa"/>
            <w:shd w:val="clear" w:color="auto" w:fill="FFFFFF" w:themeFill="background1"/>
            <w:vAlign w:val="bottom"/>
          </w:tcPr>
          <w:p w14:paraId="7143EBA2" w14:textId="6D74C1C7" w:rsidR="00177580" w:rsidRPr="00895810" w:rsidRDefault="00177580" w:rsidP="00177580">
            <w:pPr>
              <w:pStyle w:val="Tabletext"/>
              <w:jc w:val="right"/>
              <w:rPr>
                <w:rFonts w:ascii="IBM Plex Sans Light" w:hAnsi="IBM Plex Sans Light"/>
                <w:spacing w:val="-4"/>
                <w:sz w:val="18"/>
              </w:rPr>
            </w:pPr>
          </w:p>
        </w:tc>
        <w:tc>
          <w:tcPr>
            <w:tcW w:w="992" w:type="dxa"/>
            <w:shd w:val="clear" w:color="auto" w:fill="FFFFFF" w:themeFill="background1"/>
          </w:tcPr>
          <w:p w14:paraId="55B38921" w14:textId="16657EE7"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119.1</w:t>
            </w:r>
          </w:p>
        </w:tc>
        <w:tc>
          <w:tcPr>
            <w:tcW w:w="992" w:type="dxa"/>
            <w:shd w:val="clear" w:color="auto" w:fill="auto"/>
          </w:tcPr>
          <w:p w14:paraId="63A0AAC0" w14:textId="2CCB6985"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221.0</w:t>
            </w:r>
          </w:p>
        </w:tc>
      </w:tr>
      <w:tr w:rsidR="00177580" w:rsidRPr="00895810" w14:paraId="52439C15" w14:textId="77777777" w:rsidTr="00024B10">
        <w:trPr>
          <w:trHeight w:val="20"/>
        </w:trPr>
        <w:tc>
          <w:tcPr>
            <w:tcW w:w="7087" w:type="dxa"/>
            <w:vAlign w:val="bottom"/>
          </w:tcPr>
          <w:p w14:paraId="5729E57F" w14:textId="1FF5DA12" w:rsidR="00177580" w:rsidRPr="00895810" w:rsidRDefault="00177580" w:rsidP="00177580">
            <w:pPr>
              <w:pStyle w:val="Tabletext"/>
              <w:rPr>
                <w:rFonts w:ascii="IBM Plex Sans Light" w:hAnsi="IBM Plex Sans Light"/>
              </w:rPr>
            </w:pPr>
            <w:r w:rsidRPr="00895810">
              <w:rPr>
                <w:rFonts w:ascii="IBM Plex Sans Light" w:hAnsi="IBM Plex Sans Light"/>
                <w:spacing w:val="-4"/>
                <w:sz w:val="18"/>
              </w:rPr>
              <w:t xml:space="preserve">Disposals </w:t>
            </w:r>
          </w:p>
        </w:tc>
        <w:tc>
          <w:tcPr>
            <w:tcW w:w="143" w:type="dxa"/>
            <w:shd w:val="clear" w:color="auto" w:fill="FFFFFF" w:themeFill="background1"/>
            <w:vAlign w:val="bottom"/>
          </w:tcPr>
          <w:p w14:paraId="7D5615E5" w14:textId="77777777" w:rsidR="00177580" w:rsidRPr="00895810" w:rsidRDefault="00177580" w:rsidP="00177580">
            <w:pPr>
              <w:pStyle w:val="Tabletext"/>
              <w:jc w:val="right"/>
              <w:rPr>
                <w:rFonts w:ascii="IBM Plex Sans Light" w:hAnsi="IBM Plex Sans Light"/>
                <w:spacing w:val="-4"/>
                <w:sz w:val="18"/>
              </w:rPr>
            </w:pPr>
          </w:p>
        </w:tc>
        <w:tc>
          <w:tcPr>
            <w:tcW w:w="708" w:type="dxa"/>
            <w:shd w:val="clear" w:color="auto" w:fill="FFFFFF" w:themeFill="background1"/>
            <w:vAlign w:val="bottom"/>
          </w:tcPr>
          <w:p w14:paraId="6A92ED72" w14:textId="77777777" w:rsidR="00177580" w:rsidRPr="00895810" w:rsidRDefault="00177580" w:rsidP="00177580">
            <w:pPr>
              <w:pStyle w:val="Tabletext"/>
              <w:jc w:val="right"/>
              <w:rPr>
                <w:rFonts w:ascii="IBM Plex Sans Light" w:hAnsi="IBM Plex Sans Light"/>
                <w:spacing w:val="-4"/>
                <w:sz w:val="18"/>
              </w:rPr>
            </w:pPr>
          </w:p>
        </w:tc>
        <w:tc>
          <w:tcPr>
            <w:tcW w:w="992" w:type="dxa"/>
            <w:shd w:val="clear" w:color="auto" w:fill="FFFFFF" w:themeFill="background1"/>
          </w:tcPr>
          <w:p w14:paraId="21AC26FA" w14:textId="77777777"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shd w:val="clear" w:color="auto" w:fill="auto"/>
          </w:tcPr>
          <w:p w14:paraId="64600242" w14:textId="77777777" w:rsidR="00177580" w:rsidRPr="00895810" w:rsidRDefault="00177580" w:rsidP="00177580">
            <w:pPr>
              <w:pStyle w:val="TableFigures"/>
              <w:rPr>
                <w:rFonts w:ascii="IBM Plex Sans Light" w:hAnsi="IBM Plex Sans Light"/>
                <w:color w:val="auto"/>
                <w:spacing w:val="-4"/>
                <w:sz w:val="18"/>
              </w:rPr>
            </w:pPr>
          </w:p>
        </w:tc>
      </w:tr>
      <w:tr w:rsidR="00177580" w:rsidRPr="00895810" w14:paraId="0496B65D" w14:textId="77777777" w:rsidTr="00024B10">
        <w:trPr>
          <w:trHeight w:val="227"/>
        </w:trPr>
        <w:tc>
          <w:tcPr>
            <w:tcW w:w="7087" w:type="dxa"/>
            <w:vAlign w:val="bottom"/>
          </w:tcPr>
          <w:p w14:paraId="06C7A002" w14:textId="1B6EAFD4" w:rsidR="00177580" w:rsidRPr="00895810" w:rsidRDefault="00177580" w:rsidP="00177580">
            <w:pPr>
              <w:pStyle w:val="Tabletext"/>
              <w:rPr>
                <w:rFonts w:ascii="IBM Plex Sans Light" w:hAnsi="IBM Plex Sans Light"/>
              </w:rPr>
            </w:pPr>
            <w:r w:rsidRPr="007D0648">
              <w:rPr>
                <w:rFonts w:ascii="IBM Plex Sans Light" w:hAnsi="IBM Plex Sans Light" w:cs="Arial"/>
                <w:sz w:val="18"/>
              </w:rPr>
              <w:t xml:space="preserve">– </w:t>
            </w:r>
            <w:r>
              <w:rPr>
                <w:rFonts w:ascii="IBM Plex Sans Light" w:hAnsi="IBM Plex Sans Light" w:cs="Arial"/>
                <w:sz w:val="18"/>
              </w:rPr>
              <w:t>Loss/(profit)</w:t>
            </w:r>
            <w:r w:rsidRPr="007D0648">
              <w:rPr>
                <w:rFonts w:ascii="IBM Plex Sans Light" w:hAnsi="IBM Plex Sans Light" w:cs="Arial"/>
                <w:sz w:val="18"/>
              </w:rPr>
              <w:t xml:space="preserve"> on sale of properties </w:t>
            </w:r>
          </w:p>
        </w:tc>
        <w:tc>
          <w:tcPr>
            <w:tcW w:w="143" w:type="dxa"/>
            <w:shd w:val="clear" w:color="auto" w:fill="FFFFFF" w:themeFill="background1"/>
            <w:vAlign w:val="bottom"/>
          </w:tcPr>
          <w:p w14:paraId="3352200E"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70A47CD2" w14:textId="52585136"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a</w:t>
            </w:r>
          </w:p>
        </w:tc>
        <w:tc>
          <w:tcPr>
            <w:tcW w:w="992" w:type="dxa"/>
            <w:shd w:val="clear" w:color="auto" w:fill="FFFFFF" w:themeFill="background1"/>
          </w:tcPr>
          <w:p w14:paraId="715565EB" w14:textId="4EC21E70"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17.8</w:t>
            </w:r>
          </w:p>
        </w:tc>
        <w:tc>
          <w:tcPr>
            <w:tcW w:w="992" w:type="dxa"/>
            <w:shd w:val="clear" w:color="auto" w:fill="auto"/>
          </w:tcPr>
          <w:p w14:paraId="7433DC48" w14:textId="016A7A47" w:rsidR="00177580" w:rsidRPr="009D0AD5" w:rsidRDefault="00177580" w:rsidP="00177580">
            <w:pPr>
              <w:pStyle w:val="TableFiguresBrackets"/>
              <w:rPr>
                <w:rFonts w:ascii="IBM Plex Sans Light" w:hAnsi="IBM Plex Sans Light"/>
                <w:color w:val="auto"/>
                <w:spacing w:val="-4"/>
                <w:sz w:val="18"/>
                <w:szCs w:val="18"/>
              </w:rPr>
            </w:pPr>
            <w:r w:rsidRPr="009D0AD5">
              <w:rPr>
                <w:rFonts w:ascii="IBM Plex Sans Light" w:hAnsi="IBM Plex Sans Light"/>
                <w:color w:val="auto"/>
                <w:spacing w:val="-4"/>
                <w:sz w:val="18"/>
                <w:szCs w:val="18"/>
              </w:rPr>
              <w:t>(0.6)</w:t>
            </w:r>
          </w:p>
        </w:tc>
      </w:tr>
      <w:tr w:rsidR="00177580" w:rsidRPr="00895810" w14:paraId="68E7DA22" w14:textId="77777777" w:rsidTr="00024B10">
        <w:trPr>
          <w:trHeight w:val="227"/>
        </w:trPr>
        <w:tc>
          <w:tcPr>
            <w:tcW w:w="7087" w:type="dxa"/>
            <w:vAlign w:val="bottom"/>
          </w:tcPr>
          <w:p w14:paraId="24DEB92C" w14:textId="60E7ABA1" w:rsidR="00177580" w:rsidRPr="00895810" w:rsidRDefault="00177580" w:rsidP="00177580">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Recycled exchange gains on disposal of overseas property interests</w:t>
            </w:r>
          </w:p>
        </w:tc>
        <w:tc>
          <w:tcPr>
            <w:tcW w:w="143" w:type="dxa"/>
            <w:shd w:val="clear" w:color="auto" w:fill="FFFFFF" w:themeFill="background1"/>
            <w:vAlign w:val="bottom"/>
          </w:tcPr>
          <w:p w14:paraId="0F7286FB"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37B1154A" w14:textId="59BB281F"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b</w:t>
            </w:r>
          </w:p>
        </w:tc>
        <w:tc>
          <w:tcPr>
            <w:tcW w:w="992" w:type="dxa"/>
            <w:shd w:val="clear" w:color="auto" w:fill="FFFFFF" w:themeFill="background1"/>
          </w:tcPr>
          <w:p w14:paraId="1F8A8403" w14:textId="08168336" w:rsidR="00177580" w:rsidRPr="00177580" w:rsidRDefault="00177580" w:rsidP="00C55BF9">
            <w:pPr>
              <w:pStyle w:val="TableFiguresBracket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(20.1)</w:t>
            </w:r>
          </w:p>
        </w:tc>
        <w:tc>
          <w:tcPr>
            <w:tcW w:w="992" w:type="dxa"/>
            <w:shd w:val="clear" w:color="auto" w:fill="auto"/>
          </w:tcPr>
          <w:p w14:paraId="1FF72F8C" w14:textId="291EC29E" w:rsidR="00177580" w:rsidRPr="009D0AD5"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w:t>
            </w:r>
          </w:p>
        </w:tc>
      </w:tr>
      <w:tr w:rsidR="00177580" w:rsidRPr="00895810" w14:paraId="6CF4A647" w14:textId="77777777" w:rsidTr="00024B10">
        <w:trPr>
          <w:trHeight w:val="227"/>
        </w:trPr>
        <w:tc>
          <w:tcPr>
            <w:tcW w:w="7087" w:type="dxa"/>
            <w:vAlign w:val="bottom"/>
          </w:tcPr>
          <w:p w14:paraId="6AF3A5A6" w14:textId="4546E246" w:rsidR="00177580" w:rsidRPr="00895810" w:rsidRDefault="00177580" w:rsidP="00177580">
            <w:pPr>
              <w:pStyle w:val="Tabletext"/>
              <w:rPr>
                <w:rFonts w:ascii="IBM Plex Sans Light" w:hAnsi="IBM Plex Sans Light"/>
                <w:spacing w:val="-4"/>
                <w:sz w:val="18"/>
              </w:rPr>
            </w:pPr>
            <w:r w:rsidRPr="00895810">
              <w:rPr>
                <w:rFonts w:ascii="IBM Plex Sans Light" w:hAnsi="IBM Plex Sans Light"/>
                <w:spacing w:val="-4"/>
                <w:sz w:val="18"/>
              </w:rPr>
              <w:t>Joint venture related</w:t>
            </w:r>
          </w:p>
        </w:tc>
        <w:tc>
          <w:tcPr>
            <w:tcW w:w="143" w:type="dxa"/>
            <w:shd w:val="clear" w:color="auto" w:fill="FFFFFF" w:themeFill="background1"/>
            <w:vAlign w:val="bottom"/>
          </w:tcPr>
          <w:p w14:paraId="2026C838"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0ADBCA03" w14:textId="77777777" w:rsidR="00177580" w:rsidRPr="00C55BF9" w:rsidRDefault="00177580" w:rsidP="00177580">
            <w:pPr>
              <w:pStyle w:val="Tabletext"/>
              <w:jc w:val="right"/>
              <w:rPr>
                <w:rFonts w:ascii="IBM Plex Sans Light" w:hAnsi="IBM Plex Sans Light"/>
                <w:spacing w:val="-4"/>
                <w:szCs w:val="16"/>
              </w:rPr>
            </w:pPr>
          </w:p>
        </w:tc>
        <w:tc>
          <w:tcPr>
            <w:tcW w:w="992" w:type="dxa"/>
            <w:shd w:val="clear" w:color="auto" w:fill="FFFFFF" w:themeFill="background1"/>
          </w:tcPr>
          <w:p w14:paraId="2CE19B60" w14:textId="77777777"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shd w:val="clear" w:color="auto" w:fill="auto"/>
          </w:tcPr>
          <w:p w14:paraId="661273E3" w14:textId="77777777" w:rsidR="00177580" w:rsidRPr="00895810" w:rsidRDefault="00177580" w:rsidP="00177580">
            <w:pPr>
              <w:pStyle w:val="TableFigures"/>
              <w:rPr>
                <w:rFonts w:ascii="IBM Plex Sans Light" w:hAnsi="IBM Plex Sans Light"/>
                <w:color w:val="auto"/>
                <w:spacing w:val="-4"/>
                <w:sz w:val="18"/>
              </w:rPr>
            </w:pPr>
          </w:p>
        </w:tc>
      </w:tr>
      <w:tr w:rsidR="00177580" w:rsidRPr="00895810" w14:paraId="6720C92D" w14:textId="77777777" w:rsidTr="00024B10">
        <w:trPr>
          <w:trHeight w:val="227"/>
        </w:trPr>
        <w:tc>
          <w:tcPr>
            <w:tcW w:w="7087" w:type="dxa"/>
            <w:vAlign w:val="bottom"/>
          </w:tcPr>
          <w:p w14:paraId="01BC3419" w14:textId="3176A458" w:rsidR="00177580" w:rsidRPr="00895810" w:rsidRDefault="00177580" w:rsidP="00177580">
            <w:pPr>
              <w:pStyle w:val="Tabletext"/>
              <w:rPr>
                <w:rFonts w:ascii="IBM Plex Sans Light" w:hAnsi="IBM Plex Sans Light"/>
                <w:spacing w:val="-4"/>
                <w:sz w:val="18"/>
              </w:rPr>
            </w:pPr>
            <w:r w:rsidRPr="00895810">
              <w:rPr>
                <w:rFonts w:ascii="IBM Plex Sans Light" w:hAnsi="IBM Plex Sans Light" w:cs="Arial"/>
                <w:szCs w:val="18"/>
              </w:rPr>
              <w:t xml:space="preserve">– </w:t>
            </w:r>
            <w:r w:rsidRPr="00895810">
              <w:rPr>
                <w:rFonts w:ascii="IBM Plex Sans Light" w:hAnsi="IBM Plex Sans Light"/>
                <w:spacing w:val="-4"/>
                <w:sz w:val="18"/>
              </w:rPr>
              <w:t>Impairment of investment</w:t>
            </w:r>
          </w:p>
        </w:tc>
        <w:tc>
          <w:tcPr>
            <w:tcW w:w="143" w:type="dxa"/>
            <w:shd w:val="clear" w:color="auto" w:fill="FFFFFF" w:themeFill="background1"/>
            <w:vAlign w:val="bottom"/>
          </w:tcPr>
          <w:p w14:paraId="2C276578"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7E6C83E2" w14:textId="01CBC19B"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c</w:t>
            </w:r>
          </w:p>
        </w:tc>
        <w:tc>
          <w:tcPr>
            <w:tcW w:w="992" w:type="dxa"/>
            <w:shd w:val="clear" w:color="auto" w:fill="FFFFFF" w:themeFill="background1"/>
          </w:tcPr>
          <w:p w14:paraId="240C7D66" w14:textId="62B45DE5"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22.2</w:t>
            </w:r>
          </w:p>
        </w:tc>
        <w:tc>
          <w:tcPr>
            <w:tcW w:w="992" w:type="dxa"/>
            <w:shd w:val="clear" w:color="auto" w:fill="auto"/>
          </w:tcPr>
          <w:p w14:paraId="0E33751E" w14:textId="42BD0F10"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w:t>
            </w:r>
          </w:p>
        </w:tc>
      </w:tr>
      <w:tr w:rsidR="00177580" w:rsidRPr="00895810" w14:paraId="4C2A7A6B" w14:textId="77777777" w:rsidTr="00024B10">
        <w:trPr>
          <w:trHeight w:val="227"/>
        </w:trPr>
        <w:tc>
          <w:tcPr>
            <w:tcW w:w="7087" w:type="dxa"/>
            <w:vAlign w:val="bottom"/>
          </w:tcPr>
          <w:p w14:paraId="38127879" w14:textId="02F2C2C5" w:rsidR="00177580" w:rsidRPr="00895810" w:rsidRDefault="00177580" w:rsidP="00177580">
            <w:pPr>
              <w:pStyle w:val="Tabletext"/>
              <w:rPr>
                <w:rFonts w:ascii="IBM Plex Sans Light" w:hAnsi="IBM Plex Sans Light"/>
              </w:rPr>
            </w:pPr>
            <w:r w:rsidRPr="00895810">
              <w:rPr>
                <w:rFonts w:ascii="IBM Plex Sans Light" w:hAnsi="IBM Plex Sans Light"/>
                <w:spacing w:val="-4"/>
                <w:sz w:val="18"/>
              </w:rPr>
              <w:t>Associates (Value Retail):</w:t>
            </w:r>
          </w:p>
        </w:tc>
        <w:tc>
          <w:tcPr>
            <w:tcW w:w="143" w:type="dxa"/>
            <w:shd w:val="clear" w:color="auto" w:fill="FFFFFF" w:themeFill="background1"/>
            <w:vAlign w:val="bottom"/>
          </w:tcPr>
          <w:p w14:paraId="37A49C90"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41171BA6" w14:textId="77777777" w:rsidR="00177580" w:rsidRPr="00C55BF9" w:rsidRDefault="00177580" w:rsidP="00177580">
            <w:pPr>
              <w:pStyle w:val="Tabletext"/>
              <w:jc w:val="right"/>
              <w:rPr>
                <w:rFonts w:ascii="IBM Plex Sans Light" w:hAnsi="IBM Plex Sans Light"/>
                <w:spacing w:val="-4"/>
                <w:szCs w:val="16"/>
              </w:rPr>
            </w:pPr>
          </w:p>
        </w:tc>
        <w:tc>
          <w:tcPr>
            <w:tcW w:w="992" w:type="dxa"/>
            <w:shd w:val="clear" w:color="auto" w:fill="FFFFFF" w:themeFill="background1"/>
          </w:tcPr>
          <w:p w14:paraId="2E8C9941" w14:textId="77777777"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shd w:val="clear" w:color="auto" w:fill="auto"/>
          </w:tcPr>
          <w:p w14:paraId="62E0264E" w14:textId="77777777" w:rsidR="00177580" w:rsidRPr="00895810" w:rsidRDefault="00177580" w:rsidP="00177580">
            <w:pPr>
              <w:pStyle w:val="TableFigures"/>
              <w:rPr>
                <w:rFonts w:ascii="IBM Plex Sans Light" w:hAnsi="IBM Plex Sans Light"/>
                <w:color w:val="auto"/>
                <w:spacing w:val="-4"/>
                <w:sz w:val="18"/>
              </w:rPr>
            </w:pPr>
          </w:p>
        </w:tc>
      </w:tr>
      <w:tr w:rsidR="00177580" w:rsidRPr="00895810" w14:paraId="554CA51E" w14:textId="77777777" w:rsidTr="00024B10">
        <w:trPr>
          <w:trHeight w:val="227"/>
        </w:trPr>
        <w:tc>
          <w:tcPr>
            <w:tcW w:w="7087" w:type="dxa"/>
            <w:vAlign w:val="bottom"/>
          </w:tcPr>
          <w:p w14:paraId="14A72CEC" w14:textId="3EC863F5" w:rsidR="00177580" w:rsidRPr="00895810" w:rsidRDefault="00177580" w:rsidP="00177580">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 xml:space="preserve">Revaluation losses  </w:t>
            </w:r>
          </w:p>
        </w:tc>
        <w:tc>
          <w:tcPr>
            <w:tcW w:w="143" w:type="dxa"/>
            <w:shd w:val="clear" w:color="auto" w:fill="FFFFFF" w:themeFill="background1"/>
            <w:vAlign w:val="bottom"/>
          </w:tcPr>
          <w:p w14:paraId="6C73093D" w14:textId="5EC14ECA"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14364925" w14:textId="1F59AFAA"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d</w:t>
            </w:r>
          </w:p>
        </w:tc>
        <w:tc>
          <w:tcPr>
            <w:tcW w:w="992" w:type="dxa"/>
            <w:shd w:val="clear" w:color="auto" w:fill="FFFFFF" w:themeFill="background1"/>
          </w:tcPr>
          <w:p w14:paraId="01A0DE25" w14:textId="3C830BA2"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7.7</w:t>
            </w:r>
          </w:p>
        </w:tc>
        <w:tc>
          <w:tcPr>
            <w:tcW w:w="992" w:type="dxa"/>
            <w:shd w:val="clear" w:color="auto" w:fill="auto"/>
          </w:tcPr>
          <w:p w14:paraId="1376F2C8" w14:textId="1ECAAA6A"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60.7</w:t>
            </w:r>
          </w:p>
        </w:tc>
      </w:tr>
      <w:tr w:rsidR="00177580" w:rsidRPr="00895810" w14:paraId="4F4FFD03" w14:textId="77777777" w:rsidTr="00024B10">
        <w:trPr>
          <w:trHeight w:val="20"/>
        </w:trPr>
        <w:tc>
          <w:tcPr>
            <w:tcW w:w="7087" w:type="dxa"/>
            <w:vAlign w:val="bottom"/>
          </w:tcPr>
          <w:p w14:paraId="627FC9E6" w14:textId="2C89BC85" w:rsidR="00177580" w:rsidRPr="00895810" w:rsidRDefault="00177580" w:rsidP="00177580">
            <w:pPr>
              <w:pStyle w:val="Tabletext"/>
              <w:rPr>
                <w:rFonts w:ascii="IBM Plex Sans Light" w:hAnsi="IBM Plex Sans Light"/>
                <w:spacing w:val="-4"/>
                <w:sz w:val="18"/>
              </w:rPr>
            </w:pPr>
            <w:r w:rsidRPr="00895810">
              <w:rPr>
                <w:rFonts w:ascii="IBM Plex Sans Light" w:hAnsi="IBM Plex Sans Light" w:cs="Arial"/>
                <w:szCs w:val="18"/>
              </w:rPr>
              <w:t xml:space="preserve">– </w:t>
            </w:r>
            <w:r w:rsidRPr="00895810">
              <w:rPr>
                <w:rFonts w:ascii="IBM Plex Sans Light" w:hAnsi="IBM Plex Sans Light"/>
                <w:spacing w:val="-4"/>
                <w:sz w:val="18"/>
              </w:rPr>
              <w:t>Deferred tax</w:t>
            </w:r>
          </w:p>
        </w:tc>
        <w:tc>
          <w:tcPr>
            <w:tcW w:w="143" w:type="dxa"/>
            <w:shd w:val="clear" w:color="auto" w:fill="FFFFFF" w:themeFill="background1"/>
            <w:vAlign w:val="bottom"/>
          </w:tcPr>
          <w:p w14:paraId="5B716634" w14:textId="38F887BB"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286AB714" w14:textId="0AFC8AE6"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d, e</w:t>
            </w:r>
          </w:p>
        </w:tc>
        <w:tc>
          <w:tcPr>
            <w:tcW w:w="992" w:type="dxa"/>
            <w:shd w:val="clear" w:color="auto" w:fill="FFFFFF" w:themeFill="background1"/>
          </w:tcPr>
          <w:p w14:paraId="20FE3A1B" w14:textId="0A621FD8"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7.4</w:t>
            </w:r>
          </w:p>
        </w:tc>
        <w:tc>
          <w:tcPr>
            <w:tcW w:w="992" w:type="dxa"/>
            <w:shd w:val="clear" w:color="auto" w:fill="auto"/>
          </w:tcPr>
          <w:p w14:paraId="5407EE5B" w14:textId="55B5EBD2"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0.1</w:t>
            </w:r>
          </w:p>
        </w:tc>
      </w:tr>
      <w:tr w:rsidR="00177580" w:rsidRPr="00895810" w14:paraId="602A22E9" w14:textId="77777777" w:rsidTr="00024B10">
        <w:trPr>
          <w:trHeight w:val="20"/>
        </w:trPr>
        <w:tc>
          <w:tcPr>
            <w:tcW w:w="7087" w:type="dxa"/>
            <w:vAlign w:val="bottom"/>
          </w:tcPr>
          <w:p w14:paraId="786759A8" w14:textId="7E6F7B6A" w:rsidR="00177580" w:rsidRPr="00024B10" w:rsidRDefault="00177580" w:rsidP="00177580">
            <w:pPr>
              <w:pStyle w:val="Tabletext"/>
              <w:rPr>
                <w:rFonts w:ascii="IBM Plex Sans Light" w:hAnsi="IBM Plex Sans Light"/>
                <w:sz w:val="18"/>
                <w:szCs w:val="18"/>
              </w:rPr>
            </w:pPr>
            <w:r w:rsidRPr="00024B10">
              <w:rPr>
                <w:rFonts w:ascii="IBM Plex Sans Light" w:hAnsi="IBM Plex Sans Light" w:cs="Arial"/>
                <w:sz w:val="18"/>
                <w:szCs w:val="18"/>
              </w:rPr>
              <w:t xml:space="preserve">– </w:t>
            </w:r>
            <w:r w:rsidR="00FC6179" w:rsidRPr="00024B10">
              <w:rPr>
                <w:rFonts w:ascii="IBM Plex Sans Light" w:hAnsi="IBM Plex Sans Light" w:cs="Arial"/>
                <w:sz w:val="18"/>
                <w:szCs w:val="18"/>
              </w:rPr>
              <w:t>Change in fair value of financial assets</w:t>
            </w:r>
            <w:r w:rsidRPr="00FC6179">
              <w:rPr>
                <w:rFonts w:ascii="IBM Plex Sans Light" w:hAnsi="IBM Plex Sans Light"/>
                <w:spacing w:val="-4"/>
                <w:sz w:val="18"/>
                <w:szCs w:val="18"/>
              </w:rPr>
              <w:t xml:space="preserve"> </w:t>
            </w:r>
          </w:p>
        </w:tc>
        <w:tc>
          <w:tcPr>
            <w:tcW w:w="143" w:type="dxa"/>
            <w:shd w:val="clear" w:color="auto" w:fill="FFFFFF" w:themeFill="background1"/>
            <w:vAlign w:val="bottom"/>
          </w:tcPr>
          <w:p w14:paraId="2FE77DD0" w14:textId="317BDD70"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5ED27119" w14:textId="05804947"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d</w:t>
            </w:r>
          </w:p>
        </w:tc>
        <w:tc>
          <w:tcPr>
            <w:tcW w:w="992" w:type="dxa"/>
            <w:shd w:val="clear" w:color="auto" w:fill="FFFFFF" w:themeFill="background1"/>
          </w:tcPr>
          <w:p w14:paraId="4A49B26F" w14:textId="716C5AB6"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0.2</w:t>
            </w:r>
          </w:p>
        </w:tc>
        <w:tc>
          <w:tcPr>
            <w:tcW w:w="992" w:type="dxa"/>
            <w:shd w:val="clear" w:color="auto" w:fill="auto"/>
          </w:tcPr>
          <w:p w14:paraId="084F2AD0" w14:textId="7F9A7A6A" w:rsidR="00177580" w:rsidRPr="009D0AD5" w:rsidRDefault="00177580" w:rsidP="00177580">
            <w:pPr>
              <w:pStyle w:val="TableFiguresBrackets"/>
              <w:rPr>
                <w:rFonts w:ascii="IBM Plex Sans Light" w:hAnsi="IBM Plex Sans Light"/>
                <w:color w:val="auto"/>
                <w:spacing w:val="-4"/>
                <w:sz w:val="18"/>
                <w:szCs w:val="18"/>
              </w:rPr>
            </w:pPr>
            <w:r w:rsidRPr="009D0AD5">
              <w:rPr>
                <w:rFonts w:ascii="IBM Plex Sans Light" w:hAnsi="IBM Plex Sans Light"/>
                <w:color w:val="auto"/>
                <w:spacing w:val="-4"/>
                <w:sz w:val="18"/>
                <w:szCs w:val="18"/>
              </w:rPr>
              <w:t>(0.2)</w:t>
            </w:r>
          </w:p>
        </w:tc>
      </w:tr>
      <w:tr w:rsidR="00177580" w:rsidRPr="00895810" w14:paraId="1B0CE3F2" w14:textId="77777777" w:rsidTr="00024B10">
        <w:trPr>
          <w:trHeight w:val="318"/>
        </w:trPr>
        <w:tc>
          <w:tcPr>
            <w:tcW w:w="7087" w:type="dxa"/>
            <w:tcBorders>
              <w:top w:val="single" w:sz="2" w:space="0" w:color="3D7FE0" w:themeColor="accent1"/>
            </w:tcBorders>
            <w:vAlign w:val="bottom"/>
          </w:tcPr>
          <w:p w14:paraId="311EDC4E" w14:textId="4DEE0B9E" w:rsidR="00177580" w:rsidRPr="00895810" w:rsidRDefault="00177580" w:rsidP="00177580">
            <w:pPr>
              <w:pStyle w:val="Tabletext"/>
              <w:rPr>
                <w:rFonts w:ascii="IBM Plex Sans Light" w:hAnsi="IBM Plex Sans Light"/>
              </w:rPr>
            </w:pPr>
            <w:r w:rsidRPr="00895810">
              <w:rPr>
                <w:rFonts w:ascii="IBM Plex Sans Light" w:hAnsi="IBM Plex Sans Light"/>
                <w:b/>
                <w:bCs/>
                <w:color w:val="3D7FE0" w:themeColor="accent1"/>
                <w:spacing w:val="-4"/>
                <w:sz w:val="18"/>
                <w:szCs w:val="24"/>
              </w:rPr>
              <w:t>Sub-total: Adjustments for Headline earnings</w:t>
            </w:r>
          </w:p>
        </w:tc>
        <w:tc>
          <w:tcPr>
            <w:tcW w:w="143" w:type="dxa"/>
            <w:tcBorders>
              <w:top w:val="single" w:sz="2" w:space="0" w:color="3D7FE0" w:themeColor="accent1"/>
            </w:tcBorders>
            <w:shd w:val="clear" w:color="auto" w:fill="FFFFFF" w:themeFill="background1"/>
            <w:vAlign w:val="bottom"/>
          </w:tcPr>
          <w:p w14:paraId="07F66CBD" w14:textId="29C81F8C" w:rsidR="00177580" w:rsidRPr="00895810" w:rsidRDefault="00177580" w:rsidP="00177580">
            <w:pPr>
              <w:pStyle w:val="Tabletext"/>
              <w:jc w:val="right"/>
              <w:rPr>
                <w:rFonts w:ascii="IBM Plex Sans Light" w:hAnsi="IBM Plex Sans Light"/>
                <w:spacing w:val="-4"/>
                <w:szCs w:val="18"/>
              </w:rPr>
            </w:pPr>
          </w:p>
        </w:tc>
        <w:tc>
          <w:tcPr>
            <w:tcW w:w="708" w:type="dxa"/>
            <w:tcBorders>
              <w:top w:val="single" w:sz="2" w:space="0" w:color="3D7FE0" w:themeColor="accent1"/>
            </w:tcBorders>
            <w:shd w:val="clear" w:color="auto" w:fill="FFFFFF" w:themeFill="background1"/>
          </w:tcPr>
          <w:p w14:paraId="13B63E51" w14:textId="77777777" w:rsidR="00177580" w:rsidRPr="00C55BF9" w:rsidRDefault="00177580" w:rsidP="00177580">
            <w:pPr>
              <w:pStyle w:val="Tabletext"/>
              <w:jc w:val="right"/>
              <w:rPr>
                <w:rFonts w:ascii="IBM Plex Sans Light" w:hAnsi="IBM Plex Sans Light"/>
                <w:spacing w:val="-4"/>
                <w:szCs w:val="16"/>
              </w:rPr>
            </w:pPr>
          </w:p>
        </w:tc>
        <w:tc>
          <w:tcPr>
            <w:tcW w:w="992" w:type="dxa"/>
            <w:tcBorders>
              <w:top w:val="single" w:sz="2" w:space="0" w:color="3D7FE0" w:themeColor="accent1"/>
            </w:tcBorders>
            <w:shd w:val="clear" w:color="auto" w:fill="FFFFFF" w:themeFill="background1"/>
          </w:tcPr>
          <w:p w14:paraId="518170FB" w14:textId="64E0EFA0"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154.3</w:t>
            </w:r>
          </w:p>
        </w:tc>
        <w:tc>
          <w:tcPr>
            <w:tcW w:w="992" w:type="dxa"/>
            <w:tcBorders>
              <w:top w:val="single" w:sz="2" w:space="0" w:color="3D7FE0" w:themeColor="accent1"/>
              <w:left w:val="nil"/>
            </w:tcBorders>
            <w:shd w:val="clear" w:color="auto" w:fill="auto"/>
          </w:tcPr>
          <w:p w14:paraId="6DD838EE" w14:textId="7DBF5C31"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281.0</w:t>
            </w:r>
          </w:p>
        </w:tc>
      </w:tr>
      <w:tr w:rsidR="00177580" w:rsidRPr="00895810" w14:paraId="65BEEE80" w14:textId="77777777" w:rsidTr="00024B10">
        <w:trPr>
          <w:trHeight w:val="20"/>
        </w:trPr>
        <w:tc>
          <w:tcPr>
            <w:tcW w:w="7087" w:type="dxa"/>
            <w:vAlign w:val="bottom"/>
          </w:tcPr>
          <w:p w14:paraId="58917A87" w14:textId="10EDBE89" w:rsidR="00177580" w:rsidRPr="00895810" w:rsidRDefault="00177580" w:rsidP="00177580">
            <w:pPr>
              <w:pStyle w:val="Tabletext"/>
              <w:rPr>
                <w:rFonts w:ascii="IBM Plex Sans Light" w:hAnsi="IBM Plex Sans Light"/>
              </w:rPr>
            </w:pPr>
            <w:r w:rsidRPr="00895810">
              <w:rPr>
                <w:rFonts w:ascii="IBM Plex Sans Light" w:hAnsi="IBM Plex Sans Light"/>
                <w:spacing w:val="-4"/>
                <w:sz w:val="18"/>
              </w:rPr>
              <w:t>Associates (Value Retail):</w:t>
            </w:r>
          </w:p>
        </w:tc>
        <w:tc>
          <w:tcPr>
            <w:tcW w:w="143" w:type="dxa"/>
            <w:shd w:val="clear" w:color="auto" w:fill="FFFFFF" w:themeFill="background1"/>
            <w:vAlign w:val="bottom"/>
          </w:tcPr>
          <w:p w14:paraId="60166F0C"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57AF0FAD" w14:textId="77777777" w:rsidR="00177580" w:rsidRPr="00C55BF9" w:rsidRDefault="00177580" w:rsidP="00177580">
            <w:pPr>
              <w:pStyle w:val="Tabletext"/>
              <w:jc w:val="right"/>
              <w:rPr>
                <w:rFonts w:ascii="IBM Plex Sans Light" w:hAnsi="IBM Plex Sans Light"/>
                <w:spacing w:val="-4"/>
                <w:szCs w:val="16"/>
              </w:rPr>
            </w:pPr>
          </w:p>
        </w:tc>
        <w:tc>
          <w:tcPr>
            <w:tcW w:w="992" w:type="dxa"/>
            <w:shd w:val="clear" w:color="auto" w:fill="FFFFFF" w:themeFill="background1"/>
          </w:tcPr>
          <w:p w14:paraId="71F94466" w14:textId="77777777"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tcBorders>
              <w:left w:val="nil"/>
            </w:tcBorders>
            <w:shd w:val="clear" w:color="auto" w:fill="auto"/>
          </w:tcPr>
          <w:p w14:paraId="02C1F41F" w14:textId="77777777" w:rsidR="00177580" w:rsidRPr="00895810" w:rsidRDefault="00177580" w:rsidP="00177580">
            <w:pPr>
              <w:pStyle w:val="TableFiguresBrackets"/>
              <w:rPr>
                <w:rFonts w:ascii="IBM Plex Sans Light" w:hAnsi="IBM Plex Sans Light"/>
                <w:color w:val="auto"/>
                <w:spacing w:val="-4"/>
                <w:sz w:val="18"/>
              </w:rPr>
            </w:pPr>
          </w:p>
        </w:tc>
      </w:tr>
      <w:tr w:rsidR="00177580" w:rsidRPr="00895810" w14:paraId="4C7FEFA3" w14:textId="77777777" w:rsidTr="00024B10">
        <w:trPr>
          <w:trHeight w:val="20"/>
        </w:trPr>
        <w:tc>
          <w:tcPr>
            <w:tcW w:w="7087" w:type="dxa"/>
            <w:vAlign w:val="bottom"/>
          </w:tcPr>
          <w:p w14:paraId="68D088E7" w14:textId="1BAA88DD" w:rsidR="00177580" w:rsidRPr="00895810" w:rsidRDefault="00177580" w:rsidP="00177580">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Change in fair value of derivatives</w:t>
            </w:r>
          </w:p>
        </w:tc>
        <w:tc>
          <w:tcPr>
            <w:tcW w:w="143" w:type="dxa"/>
            <w:shd w:val="clear" w:color="auto" w:fill="FFFFFF" w:themeFill="background1"/>
            <w:vAlign w:val="bottom"/>
          </w:tcPr>
          <w:p w14:paraId="2321060C" w14:textId="77EAD69E"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44F1C510" w14:textId="68CF2C97"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d, f</w:t>
            </w:r>
          </w:p>
        </w:tc>
        <w:tc>
          <w:tcPr>
            <w:tcW w:w="992" w:type="dxa"/>
            <w:shd w:val="clear" w:color="auto" w:fill="FFFFFF" w:themeFill="background1"/>
          </w:tcPr>
          <w:p w14:paraId="0A21D454" w14:textId="4E821441"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11.1</w:t>
            </w:r>
          </w:p>
        </w:tc>
        <w:tc>
          <w:tcPr>
            <w:tcW w:w="992" w:type="dxa"/>
            <w:shd w:val="clear" w:color="auto" w:fill="auto"/>
          </w:tcPr>
          <w:p w14:paraId="4EDB4201" w14:textId="1CD18A5B" w:rsidR="00177580" w:rsidRPr="009D0AD5" w:rsidRDefault="00177580" w:rsidP="00177580">
            <w:pPr>
              <w:pStyle w:val="TableFiguresBrackets"/>
              <w:rPr>
                <w:rFonts w:ascii="IBM Plex Sans Light" w:hAnsi="IBM Plex Sans Light"/>
                <w:color w:val="auto"/>
                <w:spacing w:val="-4"/>
                <w:sz w:val="18"/>
                <w:szCs w:val="18"/>
              </w:rPr>
            </w:pPr>
            <w:r w:rsidRPr="009D0AD5">
              <w:rPr>
                <w:rFonts w:ascii="IBM Plex Sans Light" w:hAnsi="IBM Plex Sans Light"/>
                <w:color w:val="auto"/>
                <w:spacing w:val="-4"/>
                <w:sz w:val="18"/>
                <w:szCs w:val="18"/>
              </w:rPr>
              <w:t>(18.1)</w:t>
            </w:r>
          </w:p>
        </w:tc>
      </w:tr>
      <w:tr w:rsidR="00177580" w:rsidRPr="00895810" w14:paraId="4232E18C" w14:textId="77777777" w:rsidTr="00024B10">
        <w:trPr>
          <w:trHeight w:val="20"/>
        </w:trPr>
        <w:tc>
          <w:tcPr>
            <w:tcW w:w="7087" w:type="dxa"/>
            <w:vAlign w:val="bottom"/>
          </w:tcPr>
          <w:p w14:paraId="631920CC" w14:textId="60BFACE3" w:rsidR="00177580" w:rsidRPr="00895810" w:rsidRDefault="00177580" w:rsidP="00177580">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Change in fair value of participative loans</w:t>
            </w:r>
          </w:p>
        </w:tc>
        <w:tc>
          <w:tcPr>
            <w:tcW w:w="143" w:type="dxa"/>
            <w:shd w:val="clear" w:color="auto" w:fill="FFFFFF" w:themeFill="background1"/>
            <w:vAlign w:val="bottom"/>
          </w:tcPr>
          <w:p w14:paraId="560C111E" w14:textId="07386FCD"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27F99207" w14:textId="4E912DB9"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d, f</w:t>
            </w:r>
          </w:p>
        </w:tc>
        <w:tc>
          <w:tcPr>
            <w:tcW w:w="992" w:type="dxa"/>
            <w:shd w:val="clear" w:color="auto" w:fill="FFFFFF" w:themeFill="background1"/>
          </w:tcPr>
          <w:p w14:paraId="2C63E020" w14:textId="6F4FCEC9" w:rsidR="00177580" w:rsidRPr="00177580" w:rsidRDefault="00177580" w:rsidP="00C55BF9">
            <w:pPr>
              <w:pStyle w:val="TableFiguresBracket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(9.1)</w:t>
            </w:r>
          </w:p>
        </w:tc>
        <w:tc>
          <w:tcPr>
            <w:tcW w:w="992" w:type="dxa"/>
            <w:shd w:val="clear" w:color="auto" w:fill="auto"/>
          </w:tcPr>
          <w:p w14:paraId="0E99ED57" w14:textId="2944EA42" w:rsidR="00177580" w:rsidRPr="009D0AD5" w:rsidRDefault="00177580" w:rsidP="00177580">
            <w:pPr>
              <w:pStyle w:val="TableFiguresBrackets"/>
              <w:rPr>
                <w:rFonts w:ascii="IBM Plex Sans Light" w:hAnsi="IBM Plex Sans Light"/>
                <w:color w:val="auto"/>
                <w:spacing w:val="-4"/>
                <w:sz w:val="18"/>
                <w:szCs w:val="18"/>
              </w:rPr>
            </w:pPr>
            <w:r w:rsidRPr="009D0AD5">
              <w:rPr>
                <w:rFonts w:ascii="IBM Plex Sans Light" w:hAnsi="IBM Plex Sans Light"/>
                <w:color w:val="auto"/>
                <w:spacing w:val="-4"/>
                <w:sz w:val="18"/>
                <w:szCs w:val="18"/>
              </w:rPr>
              <w:t>(9.8)</w:t>
            </w:r>
          </w:p>
        </w:tc>
      </w:tr>
      <w:tr w:rsidR="00177580" w:rsidRPr="00895810" w14:paraId="750AD7ED" w14:textId="77777777" w:rsidTr="00024B10">
        <w:trPr>
          <w:trHeight w:val="20"/>
        </w:trPr>
        <w:tc>
          <w:tcPr>
            <w:tcW w:w="7087" w:type="dxa"/>
            <w:vAlign w:val="bottom"/>
          </w:tcPr>
          <w:p w14:paraId="35038184" w14:textId="77777777" w:rsidR="00177580" w:rsidRPr="00895810" w:rsidRDefault="00177580" w:rsidP="00177580">
            <w:pPr>
              <w:pStyle w:val="Tabletext"/>
              <w:rPr>
                <w:rFonts w:ascii="IBM Plex Sans Light" w:hAnsi="IBM Plex Sans Light"/>
              </w:rPr>
            </w:pPr>
            <w:r w:rsidRPr="00895810">
              <w:rPr>
                <w:rFonts w:ascii="IBM Plex Sans Light" w:hAnsi="IBM Plex Sans Light"/>
                <w:spacing w:val="-4"/>
                <w:sz w:val="18"/>
              </w:rPr>
              <w:t>Included in Financing:</w:t>
            </w:r>
          </w:p>
        </w:tc>
        <w:tc>
          <w:tcPr>
            <w:tcW w:w="143" w:type="dxa"/>
            <w:shd w:val="clear" w:color="auto" w:fill="FFFFFF" w:themeFill="background1"/>
            <w:vAlign w:val="bottom"/>
          </w:tcPr>
          <w:p w14:paraId="628C6DA2"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4056C109" w14:textId="77777777" w:rsidR="00177580" w:rsidRPr="00C55BF9" w:rsidRDefault="00177580" w:rsidP="00177580">
            <w:pPr>
              <w:pStyle w:val="Tabletext"/>
              <w:jc w:val="right"/>
              <w:rPr>
                <w:rFonts w:ascii="IBM Plex Sans Light" w:hAnsi="IBM Plex Sans Light"/>
                <w:spacing w:val="-4"/>
                <w:szCs w:val="16"/>
              </w:rPr>
            </w:pPr>
          </w:p>
        </w:tc>
        <w:tc>
          <w:tcPr>
            <w:tcW w:w="992" w:type="dxa"/>
            <w:shd w:val="clear" w:color="auto" w:fill="FFFFFF" w:themeFill="background1"/>
          </w:tcPr>
          <w:p w14:paraId="5B38404C" w14:textId="77777777" w:rsidR="00177580" w:rsidRPr="00177580" w:rsidRDefault="00177580" w:rsidP="00C55BF9">
            <w:pPr>
              <w:pStyle w:val="TableFiguresBrackets"/>
              <w:rPr>
                <w:rFonts w:ascii="IBM Plex Sans Medium" w:hAnsi="IBM Plex Sans Medium"/>
                <w:b/>
                <w:bCs/>
                <w:color w:val="3D7FE0" w:themeColor="accent1"/>
                <w:spacing w:val="-4"/>
                <w:sz w:val="18"/>
                <w:szCs w:val="18"/>
              </w:rPr>
            </w:pPr>
          </w:p>
        </w:tc>
        <w:tc>
          <w:tcPr>
            <w:tcW w:w="992" w:type="dxa"/>
            <w:shd w:val="clear" w:color="auto" w:fill="auto"/>
          </w:tcPr>
          <w:p w14:paraId="18078F22" w14:textId="77777777" w:rsidR="00177580" w:rsidRPr="00895810" w:rsidRDefault="00177580" w:rsidP="00177580">
            <w:pPr>
              <w:pStyle w:val="TableFiguresBrackets"/>
              <w:rPr>
                <w:rFonts w:ascii="IBM Plex Sans Light" w:hAnsi="IBM Plex Sans Light"/>
                <w:color w:val="auto"/>
                <w:spacing w:val="-4"/>
                <w:sz w:val="18"/>
              </w:rPr>
            </w:pPr>
          </w:p>
        </w:tc>
      </w:tr>
      <w:tr w:rsidR="00177580" w:rsidRPr="00895810" w14:paraId="6766D97A" w14:textId="77777777" w:rsidTr="00024B10">
        <w:trPr>
          <w:trHeight w:val="20"/>
        </w:trPr>
        <w:tc>
          <w:tcPr>
            <w:tcW w:w="7087" w:type="dxa"/>
            <w:vAlign w:val="bottom"/>
          </w:tcPr>
          <w:p w14:paraId="399C5846" w14:textId="0C69E8F9" w:rsidR="00177580" w:rsidRPr="00895810" w:rsidRDefault="00177580" w:rsidP="00177580">
            <w:pPr>
              <w:pStyle w:val="Tabletext"/>
              <w:rPr>
                <w:rFonts w:ascii="IBM Plex Sans Light" w:hAnsi="IBM Plex Sans Light" w:cs="Arial"/>
                <w:szCs w:val="18"/>
              </w:rPr>
            </w:pPr>
            <w:r w:rsidRPr="00177580">
              <w:rPr>
                <w:rFonts w:ascii="IBM Plex Sans Light" w:hAnsi="IBM Plex Sans Light"/>
                <w:spacing w:val="-4"/>
                <w:sz w:val="18"/>
              </w:rPr>
              <w:t>– Discount on redemption of bonds</w:t>
            </w:r>
          </w:p>
        </w:tc>
        <w:tc>
          <w:tcPr>
            <w:tcW w:w="143" w:type="dxa"/>
            <w:shd w:val="clear" w:color="auto" w:fill="FFFFFF" w:themeFill="background1"/>
            <w:vAlign w:val="bottom"/>
          </w:tcPr>
          <w:p w14:paraId="3DF35304"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3AC49546" w14:textId="3293E65A"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g</w:t>
            </w:r>
          </w:p>
        </w:tc>
        <w:tc>
          <w:tcPr>
            <w:tcW w:w="992" w:type="dxa"/>
            <w:shd w:val="clear" w:color="auto" w:fill="FFFFFF" w:themeFill="background1"/>
          </w:tcPr>
          <w:p w14:paraId="229F6996" w14:textId="63BCF8AB" w:rsidR="00177580" w:rsidRPr="00177580" w:rsidRDefault="00177580" w:rsidP="00C55BF9">
            <w:pPr>
              <w:pStyle w:val="TableFiguresBracket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(4.3)</w:t>
            </w:r>
          </w:p>
        </w:tc>
        <w:tc>
          <w:tcPr>
            <w:tcW w:w="992" w:type="dxa"/>
            <w:shd w:val="clear" w:color="auto" w:fill="auto"/>
          </w:tcPr>
          <w:p w14:paraId="58A25A16" w14:textId="54EDD346" w:rsidR="00177580" w:rsidRPr="009D0AD5"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w:t>
            </w:r>
          </w:p>
        </w:tc>
      </w:tr>
      <w:tr w:rsidR="00177580" w:rsidRPr="00895810" w14:paraId="39DB5DA0" w14:textId="77777777" w:rsidTr="00024B10">
        <w:trPr>
          <w:trHeight w:val="20"/>
        </w:trPr>
        <w:tc>
          <w:tcPr>
            <w:tcW w:w="7087" w:type="dxa"/>
            <w:vAlign w:val="bottom"/>
          </w:tcPr>
          <w:p w14:paraId="734ABD44" w14:textId="3F8F9159" w:rsidR="00177580" w:rsidRPr="00895810" w:rsidRDefault="00177580" w:rsidP="00177580">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Debt and loan facility cancellation costs</w:t>
            </w:r>
          </w:p>
        </w:tc>
        <w:tc>
          <w:tcPr>
            <w:tcW w:w="143" w:type="dxa"/>
            <w:shd w:val="clear" w:color="auto" w:fill="FFFFFF" w:themeFill="background1"/>
            <w:vAlign w:val="bottom"/>
          </w:tcPr>
          <w:p w14:paraId="154BCD8C"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18192072" w14:textId="5D4A4E9B"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g</w:t>
            </w:r>
          </w:p>
        </w:tc>
        <w:tc>
          <w:tcPr>
            <w:tcW w:w="992" w:type="dxa"/>
            <w:shd w:val="clear" w:color="auto" w:fill="FFFFFF" w:themeFill="background1"/>
          </w:tcPr>
          <w:p w14:paraId="16FE6BD1" w14:textId="639C9781"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w:t>
            </w:r>
          </w:p>
        </w:tc>
        <w:tc>
          <w:tcPr>
            <w:tcW w:w="992" w:type="dxa"/>
            <w:shd w:val="clear" w:color="auto" w:fill="auto"/>
          </w:tcPr>
          <w:p w14:paraId="397ADF75" w14:textId="2D218BB7"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1.3</w:t>
            </w:r>
          </w:p>
        </w:tc>
      </w:tr>
      <w:tr w:rsidR="00177580" w:rsidRPr="00895810" w14:paraId="7FD8360F" w14:textId="77777777" w:rsidTr="00024B10">
        <w:trPr>
          <w:trHeight w:val="20"/>
        </w:trPr>
        <w:tc>
          <w:tcPr>
            <w:tcW w:w="7087" w:type="dxa"/>
            <w:vAlign w:val="bottom"/>
          </w:tcPr>
          <w:p w14:paraId="3C0A915D" w14:textId="6CA1E576" w:rsidR="00177580" w:rsidRPr="00895810" w:rsidRDefault="00177580" w:rsidP="00177580">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Change in fair value of derivatives</w:t>
            </w:r>
          </w:p>
        </w:tc>
        <w:tc>
          <w:tcPr>
            <w:tcW w:w="143" w:type="dxa"/>
            <w:shd w:val="clear" w:color="auto" w:fill="FFFFFF" w:themeFill="background1"/>
            <w:vAlign w:val="bottom"/>
          </w:tcPr>
          <w:p w14:paraId="7C7776C5"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0E14698B" w14:textId="1ED3C853"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g</w:t>
            </w:r>
          </w:p>
        </w:tc>
        <w:tc>
          <w:tcPr>
            <w:tcW w:w="992" w:type="dxa"/>
            <w:shd w:val="clear" w:color="auto" w:fill="FFFFFF" w:themeFill="background1"/>
          </w:tcPr>
          <w:p w14:paraId="4021A448" w14:textId="096D1279"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1.1</w:t>
            </w:r>
          </w:p>
        </w:tc>
        <w:tc>
          <w:tcPr>
            <w:tcW w:w="992" w:type="dxa"/>
            <w:shd w:val="clear" w:color="auto" w:fill="auto"/>
          </w:tcPr>
          <w:p w14:paraId="65A82D21" w14:textId="5A08587D"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10.3</w:t>
            </w:r>
          </w:p>
        </w:tc>
      </w:tr>
      <w:tr w:rsidR="00177580" w:rsidRPr="00895810" w14:paraId="65EFB441" w14:textId="77777777" w:rsidTr="00024B10">
        <w:trPr>
          <w:trHeight w:val="20"/>
        </w:trPr>
        <w:tc>
          <w:tcPr>
            <w:tcW w:w="7087" w:type="dxa"/>
            <w:vAlign w:val="bottom"/>
          </w:tcPr>
          <w:p w14:paraId="4CFD0568" w14:textId="77777777" w:rsidR="00177580" w:rsidRPr="00895810" w:rsidRDefault="00177580" w:rsidP="00177580">
            <w:pPr>
              <w:pStyle w:val="Tabletext"/>
              <w:rPr>
                <w:rFonts w:ascii="IBM Plex Sans Light" w:hAnsi="IBM Plex Sans Light"/>
              </w:rPr>
            </w:pPr>
            <w:r w:rsidRPr="00895810">
              <w:rPr>
                <w:rFonts w:ascii="IBM Plex Sans Light" w:hAnsi="IBM Plex Sans Light"/>
                <w:spacing w:val="-4"/>
                <w:sz w:val="18"/>
              </w:rPr>
              <w:t>Change in fair value of other investments</w:t>
            </w:r>
          </w:p>
        </w:tc>
        <w:tc>
          <w:tcPr>
            <w:tcW w:w="143" w:type="dxa"/>
            <w:shd w:val="clear" w:color="auto" w:fill="FFFFFF" w:themeFill="background1"/>
            <w:vAlign w:val="bottom"/>
          </w:tcPr>
          <w:p w14:paraId="21C54232"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278942B8" w14:textId="776E19E1" w:rsidR="00177580" w:rsidRPr="00C55BF9" w:rsidRDefault="00177580" w:rsidP="00177580">
            <w:pPr>
              <w:pStyle w:val="Tabletext"/>
              <w:jc w:val="right"/>
              <w:rPr>
                <w:rFonts w:ascii="IBM Plex Sans Light" w:hAnsi="IBM Plex Sans Light"/>
                <w:spacing w:val="-4"/>
                <w:szCs w:val="16"/>
              </w:rPr>
            </w:pPr>
            <w:r w:rsidRPr="00C55BF9">
              <w:rPr>
                <w:rFonts w:ascii="IBM Plex Sans Light" w:hAnsi="IBM Plex Sans Light"/>
                <w:szCs w:val="16"/>
              </w:rPr>
              <w:t>h</w:t>
            </w:r>
          </w:p>
        </w:tc>
        <w:tc>
          <w:tcPr>
            <w:tcW w:w="992" w:type="dxa"/>
            <w:shd w:val="clear" w:color="auto" w:fill="FFFFFF" w:themeFill="background1"/>
          </w:tcPr>
          <w:p w14:paraId="57D15C6B" w14:textId="386A60EF"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1.1</w:t>
            </w:r>
          </w:p>
        </w:tc>
        <w:tc>
          <w:tcPr>
            <w:tcW w:w="992" w:type="dxa"/>
            <w:shd w:val="clear" w:color="auto" w:fill="auto"/>
          </w:tcPr>
          <w:p w14:paraId="15D34AF7" w14:textId="2715E338"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0.1</w:t>
            </w:r>
          </w:p>
        </w:tc>
      </w:tr>
      <w:tr w:rsidR="00177580" w:rsidRPr="00895810" w14:paraId="0A23F97F" w14:textId="77777777" w:rsidTr="00024B10">
        <w:trPr>
          <w:trHeight w:val="20"/>
        </w:trPr>
        <w:tc>
          <w:tcPr>
            <w:tcW w:w="7087" w:type="dxa"/>
            <w:tcBorders>
              <w:top w:val="single" w:sz="2" w:space="0" w:color="3D7FE0" w:themeColor="accent1"/>
            </w:tcBorders>
            <w:vAlign w:val="bottom"/>
          </w:tcPr>
          <w:p w14:paraId="1779F2FF" w14:textId="77777777" w:rsidR="00177580" w:rsidRPr="00895810" w:rsidRDefault="00177580" w:rsidP="00177580">
            <w:pPr>
              <w:pStyle w:val="Tabletext"/>
              <w:rPr>
                <w:rFonts w:ascii="IBM Plex Sans Light" w:hAnsi="IBM Plex Sans Light"/>
              </w:rPr>
            </w:pPr>
            <w:r w:rsidRPr="00895810">
              <w:rPr>
                <w:rFonts w:ascii="IBM Plex Sans Light" w:hAnsi="IBM Plex Sans Light"/>
                <w:b/>
                <w:bCs/>
                <w:color w:val="3D7FE0" w:themeColor="accent1"/>
                <w:spacing w:val="-4"/>
                <w:sz w:val="18"/>
                <w:szCs w:val="24"/>
              </w:rPr>
              <w:t>Sub-total: Adjustments for EPRA earnings</w:t>
            </w:r>
          </w:p>
        </w:tc>
        <w:tc>
          <w:tcPr>
            <w:tcW w:w="143" w:type="dxa"/>
            <w:tcBorders>
              <w:top w:val="single" w:sz="2" w:space="0" w:color="3D7FE0" w:themeColor="accent1"/>
            </w:tcBorders>
            <w:shd w:val="clear" w:color="auto" w:fill="FFFFFF" w:themeFill="background1"/>
            <w:vAlign w:val="bottom"/>
          </w:tcPr>
          <w:p w14:paraId="3C6BE3C6" w14:textId="7D6F12C0" w:rsidR="00177580" w:rsidRPr="00895810" w:rsidRDefault="00177580" w:rsidP="00177580">
            <w:pPr>
              <w:pStyle w:val="Tabletext"/>
              <w:jc w:val="right"/>
              <w:rPr>
                <w:rFonts w:ascii="IBM Plex Sans Light" w:hAnsi="IBM Plex Sans Light"/>
                <w:spacing w:val="-4"/>
                <w:szCs w:val="18"/>
              </w:rPr>
            </w:pPr>
          </w:p>
        </w:tc>
        <w:tc>
          <w:tcPr>
            <w:tcW w:w="708" w:type="dxa"/>
            <w:tcBorders>
              <w:top w:val="single" w:sz="2" w:space="0" w:color="3D7FE0" w:themeColor="accent1"/>
            </w:tcBorders>
            <w:shd w:val="clear" w:color="auto" w:fill="FFFFFF" w:themeFill="background1"/>
          </w:tcPr>
          <w:p w14:paraId="120DF32E" w14:textId="77777777" w:rsidR="00177580" w:rsidRPr="00C55BF9" w:rsidRDefault="00177580" w:rsidP="00177580">
            <w:pPr>
              <w:pStyle w:val="Tabletext"/>
              <w:jc w:val="right"/>
              <w:rPr>
                <w:rFonts w:ascii="IBM Plex Sans Light" w:hAnsi="IBM Plex Sans Light"/>
                <w:spacing w:val="-4"/>
                <w:szCs w:val="16"/>
              </w:rPr>
            </w:pPr>
          </w:p>
        </w:tc>
        <w:tc>
          <w:tcPr>
            <w:tcW w:w="992" w:type="dxa"/>
            <w:tcBorders>
              <w:top w:val="single" w:sz="2" w:space="0" w:color="3D7FE0" w:themeColor="accent1"/>
            </w:tcBorders>
            <w:shd w:val="clear" w:color="auto" w:fill="FFFFFF" w:themeFill="background1"/>
          </w:tcPr>
          <w:p w14:paraId="3C36F3CB" w14:textId="77FCAE94" w:rsidR="00177580" w:rsidRPr="00177580" w:rsidRDefault="00C55BF9" w:rsidP="00177580">
            <w:pPr>
              <w:pStyle w:val="TableFigure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154.2</w:t>
            </w:r>
          </w:p>
        </w:tc>
        <w:tc>
          <w:tcPr>
            <w:tcW w:w="992" w:type="dxa"/>
            <w:tcBorders>
              <w:top w:val="single" w:sz="2" w:space="0" w:color="3D7FE0" w:themeColor="accent1"/>
            </w:tcBorders>
            <w:shd w:val="clear" w:color="auto" w:fill="auto"/>
          </w:tcPr>
          <w:p w14:paraId="2333828C" w14:textId="53061C30" w:rsidR="00177580" w:rsidRPr="00895810" w:rsidRDefault="00177580" w:rsidP="00177580">
            <w:pPr>
              <w:pStyle w:val="TableFigures"/>
              <w:rPr>
                <w:rFonts w:ascii="IBM Plex Sans Light" w:hAnsi="IBM Plex Sans Light"/>
                <w:color w:val="auto"/>
                <w:spacing w:val="-4"/>
                <w:sz w:val="18"/>
              </w:rPr>
            </w:pPr>
            <w:r w:rsidRPr="009D0AD5">
              <w:rPr>
                <w:rFonts w:ascii="IBM Plex Sans Light" w:hAnsi="IBM Plex Sans Light"/>
                <w:color w:val="auto"/>
                <w:spacing w:val="-4"/>
                <w:sz w:val="18"/>
              </w:rPr>
              <w:t>264.8</w:t>
            </w:r>
          </w:p>
        </w:tc>
      </w:tr>
      <w:tr w:rsidR="00177580" w:rsidRPr="00895810" w14:paraId="1A9EE5E8" w14:textId="77777777" w:rsidTr="00024B10">
        <w:trPr>
          <w:trHeight w:val="97"/>
        </w:trPr>
        <w:tc>
          <w:tcPr>
            <w:tcW w:w="7087" w:type="dxa"/>
            <w:vAlign w:val="bottom"/>
          </w:tcPr>
          <w:p w14:paraId="21273F4D" w14:textId="4C053F2D" w:rsidR="00177580" w:rsidRPr="00895810" w:rsidRDefault="00177580" w:rsidP="00177580">
            <w:pPr>
              <w:pStyle w:val="Tabletext"/>
              <w:ind w:left="142" w:hanging="142"/>
              <w:rPr>
                <w:rFonts w:ascii="IBM Plex Sans Light" w:hAnsi="IBM Plex Sans Light"/>
              </w:rPr>
            </w:pPr>
            <w:r w:rsidRPr="00895810">
              <w:rPr>
                <w:rFonts w:ascii="IBM Plex Sans Light" w:hAnsi="IBM Plex Sans Light"/>
                <w:spacing w:val="-4"/>
                <w:sz w:val="18"/>
              </w:rPr>
              <w:t>Included in profit from operating activities:</w:t>
            </w:r>
          </w:p>
        </w:tc>
        <w:tc>
          <w:tcPr>
            <w:tcW w:w="143" w:type="dxa"/>
            <w:shd w:val="clear" w:color="auto" w:fill="FFFFFF" w:themeFill="background1"/>
            <w:vAlign w:val="bottom"/>
          </w:tcPr>
          <w:p w14:paraId="79B42F5B" w14:textId="77777777" w:rsidR="00177580" w:rsidRPr="00895810" w:rsidRDefault="00177580" w:rsidP="00177580">
            <w:pPr>
              <w:pStyle w:val="Tabletext"/>
              <w:jc w:val="right"/>
              <w:rPr>
                <w:rFonts w:ascii="IBM Plex Sans Light" w:hAnsi="IBM Plex Sans Light"/>
                <w:spacing w:val="-4"/>
                <w:szCs w:val="18"/>
              </w:rPr>
            </w:pPr>
          </w:p>
        </w:tc>
        <w:tc>
          <w:tcPr>
            <w:tcW w:w="708" w:type="dxa"/>
            <w:shd w:val="clear" w:color="auto" w:fill="FFFFFF" w:themeFill="background1"/>
          </w:tcPr>
          <w:p w14:paraId="1089B3B7" w14:textId="58401FDD" w:rsidR="00177580" w:rsidRPr="00C55BF9" w:rsidRDefault="00177580" w:rsidP="00177580">
            <w:pPr>
              <w:pStyle w:val="Tabletext"/>
              <w:jc w:val="right"/>
              <w:rPr>
                <w:rFonts w:ascii="IBM Plex Sans Light" w:hAnsi="IBM Plex Sans Light"/>
                <w:spacing w:val="-4"/>
                <w:szCs w:val="16"/>
              </w:rPr>
            </w:pPr>
          </w:p>
        </w:tc>
        <w:tc>
          <w:tcPr>
            <w:tcW w:w="992" w:type="dxa"/>
            <w:shd w:val="clear" w:color="auto" w:fill="FFFFFF" w:themeFill="background1"/>
          </w:tcPr>
          <w:p w14:paraId="0DC03E7D" w14:textId="6838D325" w:rsidR="00177580" w:rsidRPr="00177580" w:rsidRDefault="00177580" w:rsidP="00177580">
            <w:pPr>
              <w:pStyle w:val="TableFigures"/>
              <w:rPr>
                <w:rFonts w:ascii="IBM Plex Sans Medium" w:hAnsi="IBM Plex Sans Medium"/>
                <w:b/>
                <w:bCs/>
                <w:color w:val="3D7FE0" w:themeColor="accent1"/>
                <w:spacing w:val="-4"/>
                <w:sz w:val="18"/>
                <w:szCs w:val="18"/>
              </w:rPr>
            </w:pPr>
          </w:p>
        </w:tc>
        <w:tc>
          <w:tcPr>
            <w:tcW w:w="992" w:type="dxa"/>
            <w:shd w:val="clear" w:color="auto" w:fill="auto"/>
            <w:vAlign w:val="bottom"/>
          </w:tcPr>
          <w:p w14:paraId="2329EE12" w14:textId="77777777" w:rsidR="00177580" w:rsidRPr="00895810" w:rsidRDefault="00177580" w:rsidP="00177580">
            <w:pPr>
              <w:pStyle w:val="TableFiguresBrackets"/>
              <w:rPr>
                <w:rFonts w:ascii="IBM Plex Sans Light" w:hAnsi="IBM Plex Sans Light"/>
                <w:color w:val="auto"/>
                <w:spacing w:val="-4"/>
                <w:sz w:val="18"/>
              </w:rPr>
            </w:pPr>
          </w:p>
        </w:tc>
      </w:tr>
      <w:tr w:rsidR="00C55BF9" w:rsidRPr="00895810" w14:paraId="4CE0D906" w14:textId="77777777" w:rsidTr="00024B10">
        <w:trPr>
          <w:trHeight w:val="97"/>
        </w:trPr>
        <w:tc>
          <w:tcPr>
            <w:tcW w:w="7087" w:type="dxa"/>
            <w:vAlign w:val="bottom"/>
          </w:tcPr>
          <w:p w14:paraId="5CE6C60D" w14:textId="20DA6CB6" w:rsidR="00C55BF9" w:rsidRPr="00895810" w:rsidRDefault="00C55BF9" w:rsidP="00C55BF9">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Business transformation costs</w:t>
            </w:r>
          </w:p>
        </w:tc>
        <w:tc>
          <w:tcPr>
            <w:tcW w:w="143" w:type="dxa"/>
            <w:shd w:val="clear" w:color="auto" w:fill="FFFFFF" w:themeFill="background1"/>
            <w:vAlign w:val="bottom"/>
          </w:tcPr>
          <w:p w14:paraId="1C48D996" w14:textId="77777777" w:rsidR="00C55BF9" w:rsidRPr="00895810" w:rsidRDefault="00C55BF9" w:rsidP="00C55BF9">
            <w:pPr>
              <w:pStyle w:val="Tabletext"/>
              <w:jc w:val="right"/>
              <w:rPr>
                <w:rFonts w:ascii="IBM Plex Sans Light" w:hAnsi="IBM Plex Sans Light"/>
                <w:spacing w:val="-4"/>
                <w:szCs w:val="18"/>
              </w:rPr>
            </w:pPr>
          </w:p>
        </w:tc>
        <w:tc>
          <w:tcPr>
            <w:tcW w:w="708" w:type="dxa"/>
            <w:shd w:val="clear" w:color="auto" w:fill="FFFFFF" w:themeFill="background1"/>
          </w:tcPr>
          <w:p w14:paraId="31D00272" w14:textId="651E7B5C" w:rsidR="00C55BF9" w:rsidRPr="00C55BF9" w:rsidRDefault="00C55BF9" w:rsidP="00C55BF9">
            <w:pPr>
              <w:pStyle w:val="Tabletext"/>
              <w:jc w:val="right"/>
              <w:rPr>
                <w:rFonts w:ascii="IBM Plex Sans Light" w:hAnsi="IBM Plex Sans Light"/>
                <w:spacing w:val="-4"/>
                <w:szCs w:val="16"/>
              </w:rPr>
            </w:pPr>
            <w:r w:rsidRPr="00C55BF9">
              <w:rPr>
                <w:rFonts w:ascii="IBM Plex Sans Light" w:hAnsi="IBM Plex Sans Light"/>
                <w:szCs w:val="16"/>
              </w:rPr>
              <w:t>i</w:t>
            </w:r>
          </w:p>
        </w:tc>
        <w:tc>
          <w:tcPr>
            <w:tcW w:w="992" w:type="dxa"/>
            <w:shd w:val="clear" w:color="auto" w:fill="FFFFFF" w:themeFill="background1"/>
          </w:tcPr>
          <w:p w14:paraId="13FA96AD" w14:textId="45384593" w:rsidR="00C55BF9" w:rsidRPr="00177580" w:rsidRDefault="00C55BF9" w:rsidP="00C55BF9">
            <w:pPr>
              <w:pStyle w:val="TableFigure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13.2</w:t>
            </w:r>
          </w:p>
        </w:tc>
        <w:tc>
          <w:tcPr>
            <w:tcW w:w="992" w:type="dxa"/>
            <w:shd w:val="clear" w:color="auto" w:fill="auto"/>
          </w:tcPr>
          <w:p w14:paraId="0F73145C" w14:textId="119573E0" w:rsidR="00C55BF9" w:rsidRPr="00895810" w:rsidRDefault="00C55BF9" w:rsidP="00C55BF9">
            <w:pPr>
              <w:pStyle w:val="TableFigures"/>
              <w:rPr>
                <w:rFonts w:ascii="IBM Plex Sans Light" w:hAnsi="IBM Plex Sans Light"/>
                <w:color w:val="auto"/>
                <w:spacing w:val="-4"/>
                <w:sz w:val="18"/>
              </w:rPr>
            </w:pPr>
            <w:r w:rsidRPr="00B970B0">
              <w:rPr>
                <w:rFonts w:ascii="IBM Plex Sans Light" w:hAnsi="IBM Plex Sans Light"/>
                <w:color w:val="auto"/>
                <w:spacing w:val="-4"/>
                <w:sz w:val="18"/>
              </w:rPr>
              <w:t>5.1</w:t>
            </w:r>
          </w:p>
        </w:tc>
      </w:tr>
      <w:tr w:rsidR="00C55BF9" w:rsidRPr="00895810" w14:paraId="1A187072" w14:textId="77777777" w:rsidTr="00024B10">
        <w:trPr>
          <w:trHeight w:val="97"/>
        </w:trPr>
        <w:tc>
          <w:tcPr>
            <w:tcW w:w="7087" w:type="dxa"/>
            <w:vAlign w:val="bottom"/>
          </w:tcPr>
          <w:p w14:paraId="68F29F95" w14:textId="08CB7A8A" w:rsidR="00C55BF9" w:rsidRPr="00895810" w:rsidRDefault="00C55BF9" w:rsidP="00C55BF9">
            <w:pPr>
              <w:pStyle w:val="Tabletext"/>
              <w:rPr>
                <w:rFonts w:ascii="IBM Plex Sans Light" w:hAnsi="IBM Plex Sans Light"/>
              </w:rPr>
            </w:pPr>
            <w:r w:rsidRPr="00895810">
              <w:rPr>
                <w:rFonts w:ascii="IBM Plex Sans Light" w:hAnsi="IBM Plex Sans Light" w:cs="Arial"/>
                <w:szCs w:val="18"/>
              </w:rPr>
              <w:t xml:space="preserve">– </w:t>
            </w:r>
            <w:r w:rsidRPr="00895810">
              <w:rPr>
                <w:rFonts w:ascii="IBM Plex Sans Light" w:hAnsi="IBM Plex Sans Light"/>
                <w:spacing w:val="-4"/>
                <w:sz w:val="18"/>
              </w:rPr>
              <w:t>Change in provision for amounts not yet recognised in the income statement</w:t>
            </w:r>
          </w:p>
        </w:tc>
        <w:tc>
          <w:tcPr>
            <w:tcW w:w="143" w:type="dxa"/>
            <w:shd w:val="clear" w:color="auto" w:fill="FFFFFF" w:themeFill="background1"/>
            <w:vAlign w:val="bottom"/>
          </w:tcPr>
          <w:p w14:paraId="3EE10041" w14:textId="77777777" w:rsidR="00C55BF9" w:rsidRPr="00895810" w:rsidRDefault="00C55BF9" w:rsidP="00C55BF9">
            <w:pPr>
              <w:pStyle w:val="Tabletext"/>
              <w:jc w:val="right"/>
              <w:rPr>
                <w:rFonts w:ascii="IBM Plex Sans Light" w:hAnsi="IBM Plex Sans Light"/>
                <w:spacing w:val="-4"/>
                <w:szCs w:val="18"/>
              </w:rPr>
            </w:pPr>
          </w:p>
        </w:tc>
        <w:tc>
          <w:tcPr>
            <w:tcW w:w="708" w:type="dxa"/>
            <w:shd w:val="clear" w:color="auto" w:fill="FFFFFF" w:themeFill="background1"/>
          </w:tcPr>
          <w:p w14:paraId="58D39162" w14:textId="14A20FC5" w:rsidR="00C55BF9" w:rsidRPr="00C55BF9" w:rsidRDefault="00C55BF9" w:rsidP="00C55BF9">
            <w:pPr>
              <w:pStyle w:val="Tabletext"/>
              <w:jc w:val="right"/>
              <w:rPr>
                <w:rFonts w:ascii="IBM Plex Sans Light" w:hAnsi="IBM Plex Sans Light"/>
                <w:spacing w:val="-4"/>
                <w:szCs w:val="16"/>
              </w:rPr>
            </w:pPr>
            <w:r w:rsidRPr="00C55BF9">
              <w:rPr>
                <w:rFonts w:ascii="IBM Plex Sans Light" w:hAnsi="IBM Plex Sans Light"/>
                <w:szCs w:val="16"/>
              </w:rPr>
              <w:t>j</w:t>
            </w:r>
          </w:p>
        </w:tc>
        <w:tc>
          <w:tcPr>
            <w:tcW w:w="992" w:type="dxa"/>
            <w:shd w:val="clear" w:color="auto" w:fill="FFFFFF" w:themeFill="background1"/>
          </w:tcPr>
          <w:p w14:paraId="477D394A" w14:textId="024731B6" w:rsidR="00C55BF9" w:rsidRPr="00177580" w:rsidRDefault="00C55BF9" w:rsidP="00C55BF9">
            <w:pPr>
              <w:pStyle w:val="TableFigure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0.3</w:t>
            </w:r>
          </w:p>
        </w:tc>
        <w:tc>
          <w:tcPr>
            <w:tcW w:w="992" w:type="dxa"/>
            <w:shd w:val="clear" w:color="auto" w:fill="auto"/>
          </w:tcPr>
          <w:p w14:paraId="2A0B99CF" w14:textId="49D4018F" w:rsidR="00C55BF9" w:rsidRPr="00B970B0" w:rsidRDefault="00C55BF9" w:rsidP="00C55BF9">
            <w:pPr>
              <w:pStyle w:val="TableFiguresBrackets"/>
              <w:rPr>
                <w:rFonts w:ascii="IBM Plex Sans Light" w:hAnsi="IBM Plex Sans Light"/>
                <w:color w:val="auto"/>
                <w:spacing w:val="-4"/>
                <w:sz w:val="18"/>
                <w:szCs w:val="18"/>
              </w:rPr>
            </w:pPr>
            <w:r w:rsidRPr="00B970B0">
              <w:rPr>
                <w:rFonts w:ascii="IBM Plex Sans Light" w:hAnsi="IBM Plex Sans Light"/>
                <w:color w:val="auto"/>
                <w:spacing w:val="-4"/>
                <w:sz w:val="18"/>
                <w:szCs w:val="18"/>
              </w:rPr>
              <w:t>(2.4)</w:t>
            </w:r>
          </w:p>
        </w:tc>
      </w:tr>
      <w:tr w:rsidR="00C55BF9" w:rsidRPr="00895810" w14:paraId="58851294" w14:textId="77777777" w:rsidTr="00024B10">
        <w:trPr>
          <w:trHeight w:val="97"/>
        </w:trPr>
        <w:tc>
          <w:tcPr>
            <w:tcW w:w="7087" w:type="dxa"/>
            <w:tcBorders>
              <w:bottom w:val="single" w:sz="2" w:space="0" w:color="3D7FE0" w:themeColor="accent1"/>
            </w:tcBorders>
            <w:vAlign w:val="bottom"/>
          </w:tcPr>
          <w:p w14:paraId="7443D98D" w14:textId="1487566E" w:rsidR="00C55BF9" w:rsidRPr="00895810" w:rsidRDefault="00C55BF9" w:rsidP="00C55BF9">
            <w:pPr>
              <w:pStyle w:val="Tabletext"/>
              <w:rPr>
                <w:rFonts w:ascii="IBM Plex Sans Light" w:hAnsi="IBM Plex Sans Light"/>
                <w:spacing w:val="-4"/>
                <w:sz w:val="18"/>
              </w:rPr>
            </w:pPr>
            <w:r w:rsidRPr="00895810">
              <w:rPr>
                <w:rFonts w:ascii="IBM Plex Sans Light" w:hAnsi="IBM Plex Sans Light" w:cs="Arial"/>
                <w:szCs w:val="18"/>
              </w:rPr>
              <w:t xml:space="preserve">– </w:t>
            </w:r>
            <w:r w:rsidRPr="00895810">
              <w:rPr>
                <w:rFonts w:ascii="IBM Plex Sans Light" w:hAnsi="IBM Plex Sans Light"/>
                <w:spacing w:val="-4"/>
                <w:sz w:val="18"/>
              </w:rPr>
              <w:t>Income from assets held for sale</w:t>
            </w:r>
          </w:p>
        </w:tc>
        <w:tc>
          <w:tcPr>
            <w:tcW w:w="143" w:type="dxa"/>
            <w:tcBorders>
              <w:bottom w:val="single" w:sz="2" w:space="0" w:color="3D7FE0" w:themeColor="accent1"/>
            </w:tcBorders>
            <w:shd w:val="clear" w:color="auto" w:fill="FFFFFF" w:themeFill="background1"/>
            <w:vAlign w:val="bottom"/>
          </w:tcPr>
          <w:p w14:paraId="69FDF72C" w14:textId="77777777" w:rsidR="00C55BF9" w:rsidRPr="00895810" w:rsidRDefault="00C55BF9" w:rsidP="00C55BF9">
            <w:pPr>
              <w:pStyle w:val="Tabletext"/>
              <w:jc w:val="right"/>
              <w:rPr>
                <w:rFonts w:ascii="IBM Plex Sans Light" w:hAnsi="IBM Plex Sans Light"/>
                <w:spacing w:val="-4"/>
                <w:szCs w:val="18"/>
              </w:rPr>
            </w:pPr>
          </w:p>
        </w:tc>
        <w:tc>
          <w:tcPr>
            <w:tcW w:w="708" w:type="dxa"/>
            <w:tcBorders>
              <w:bottom w:val="single" w:sz="2" w:space="0" w:color="3D7FE0" w:themeColor="accent1"/>
            </w:tcBorders>
            <w:shd w:val="clear" w:color="auto" w:fill="FFFFFF" w:themeFill="background1"/>
          </w:tcPr>
          <w:p w14:paraId="4F00440D" w14:textId="4A1D11C9" w:rsidR="00C55BF9" w:rsidRPr="00C55BF9" w:rsidRDefault="00C55BF9" w:rsidP="00C55BF9">
            <w:pPr>
              <w:pStyle w:val="Tabletext"/>
              <w:jc w:val="right"/>
              <w:rPr>
                <w:rFonts w:ascii="IBM Plex Sans Light" w:hAnsi="IBM Plex Sans Light"/>
                <w:spacing w:val="-4"/>
                <w:szCs w:val="16"/>
              </w:rPr>
            </w:pPr>
            <w:r w:rsidRPr="00C55BF9">
              <w:rPr>
                <w:rFonts w:ascii="IBM Plex Sans Light" w:hAnsi="IBM Plex Sans Light"/>
                <w:szCs w:val="16"/>
              </w:rPr>
              <w:t>k</w:t>
            </w:r>
          </w:p>
        </w:tc>
        <w:tc>
          <w:tcPr>
            <w:tcW w:w="992" w:type="dxa"/>
            <w:tcBorders>
              <w:bottom w:val="single" w:sz="2" w:space="0" w:color="3D7FE0" w:themeColor="accent1"/>
            </w:tcBorders>
            <w:shd w:val="clear" w:color="auto" w:fill="FFFFFF" w:themeFill="background1"/>
          </w:tcPr>
          <w:p w14:paraId="583F843B" w14:textId="4D1984C4" w:rsidR="00C55BF9" w:rsidRPr="00177580" w:rsidRDefault="00C55BF9" w:rsidP="00C55BF9">
            <w:pPr>
              <w:pStyle w:val="TableFigure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w:t>
            </w:r>
          </w:p>
        </w:tc>
        <w:tc>
          <w:tcPr>
            <w:tcW w:w="992" w:type="dxa"/>
            <w:tcBorders>
              <w:bottom w:val="single" w:sz="2" w:space="0" w:color="3D7FE0" w:themeColor="accent1"/>
            </w:tcBorders>
            <w:shd w:val="clear" w:color="auto" w:fill="auto"/>
          </w:tcPr>
          <w:p w14:paraId="17C0BFA6" w14:textId="46B6FDF0" w:rsidR="00C55BF9" w:rsidRPr="00895810" w:rsidRDefault="00C55BF9" w:rsidP="00C55BF9">
            <w:pPr>
              <w:pStyle w:val="TableFigures"/>
              <w:rPr>
                <w:rFonts w:ascii="IBM Plex Sans Light" w:hAnsi="IBM Plex Sans Light"/>
                <w:color w:val="auto"/>
                <w:spacing w:val="-4"/>
                <w:sz w:val="18"/>
              </w:rPr>
            </w:pPr>
            <w:r w:rsidRPr="00B970B0">
              <w:rPr>
                <w:rFonts w:ascii="IBM Plex Sans Light" w:hAnsi="IBM Plex Sans Light"/>
                <w:color w:val="auto"/>
                <w:spacing w:val="-4"/>
                <w:sz w:val="18"/>
              </w:rPr>
              <w:t>1.6</w:t>
            </w:r>
          </w:p>
        </w:tc>
      </w:tr>
      <w:tr w:rsidR="00C55BF9" w:rsidRPr="00895810" w14:paraId="43CF55C1" w14:textId="77777777" w:rsidTr="00024B10">
        <w:trPr>
          <w:trHeight w:val="97"/>
        </w:trPr>
        <w:tc>
          <w:tcPr>
            <w:tcW w:w="7087" w:type="dxa"/>
            <w:tcBorders>
              <w:top w:val="single" w:sz="2" w:space="0" w:color="3D7FE0" w:themeColor="accent1"/>
              <w:bottom w:val="single" w:sz="8" w:space="0" w:color="3D7FE0" w:themeColor="accent1"/>
            </w:tcBorders>
            <w:vAlign w:val="bottom"/>
          </w:tcPr>
          <w:p w14:paraId="369E7B83" w14:textId="77777777" w:rsidR="00C55BF9" w:rsidRPr="00895810" w:rsidRDefault="00C55BF9" w:rsidP="00C55BF9">
            <w:pPr>
              <w:pStyle w:val="Tabletext"/>
              <w:rPr>
                <w:rFonts w:ascii="IBM Plex Sans Light" w:hAnsi="IBM Plex Sans Light"/>
              </w:rPr>
            </w:pPr>
            <w:r w:rsidRPr="00895810">
              <w:rPr>
                <w:rFonts w:ascii="IBM Plex Sans Light" w:hAnsi="IBM Plex Sans Light"/>
                <w:b/>
                <w:bCs/>
                <w:color w:val="3D7FE0" w:themeColor="accent1"/>
                <w:spacing w:val="-4"/>
                <w:sz w:val="18"/>
                <w:szCs w:val="24"/>
              </w:rPr>
              <w:t>Total: Adjustments for Adjusted earnings</w:t>
            </w:r>
          </w:p>
        </w:tc>
        <w:tc>
          <w:tcPr>
            <w:tcW w:w="143" w:type="dxa"/>
            <w:tcBorders>
              <w:top w:val="single" w:sz="2" w:space="0" w:color="3D7FE0" w:themeColor="accent1"/>
              <w:bottom w:val="single" w:sz="8" w:space="0" w:color="3D7FE0" w:themeColor="accent1"/>
            </w:tcBorders>
            <w:shd w:val="clear" w:color="auto" w:fill="FFFFFF" w:themeFill="background1"/>
            <w:vAlign w:val="bottom"/>
          </w:tcPr>
          <w:p w14:paraId="78F52FF8" w14:textId="292F483D" w:rsidR="00C55BF9" w:rsidRPr="00895810" w:rsidRDefault="00C55BF9" w:rsidP="00C55BF9">
            <w:pPr>
              <w:pStyle w:val="Tabletext"/>
              <w:jc w:val="right"/>
              <w:rPr>
                <w:rFonts w:ascii="IBM Plex Sans Light" w:hAnsi="IBM Plex Sans Light"/>
                <w:spacing w:val="-4"/>
                <w:szCs w:val="18"/>
              </w:rPr>
            </w:pPr>
          </w:p>
        </w:tc>
        <w:tc>
          <w:tcPr>
            <w:tcW w:w="708" w:type="dxa"/>
            <w:tcBorders>
              <w:top w:val="single" w:sz="2" w:space="0" w:color="3D7FE0" w:themeColor="accent1"/>
              <w:bottom w:val="single" w:sz="8" w:space="0" w:color="3D7FE0" w:themeColor="accent1"/>
            </w:tcBorders>
            <w:shd w:val="clear" w:color="auto" w:fill="FFFFFF" w:themeFill="background1"/>
            <w:vAlign w:val="bottom"/>
          </w:tcPr>
          <w:p w14:paraId="713E460F" w14:textId="77777777" w:rsidR="00C55BF9" w:rsidRPr="00895810" w:rsidRDefault="00C55BF9" w:rsidP="00C55BF9">
            <w:pPr>
              <w:pStyle w:val="Tabletext"/>
              <w:jc w:val="right"/>
              <w:rPr>
                <w:rFonts w:ascii="IBM Plex Sans Light" w:hAnsi="IBM Plex Sans Light"/>
                <w:spacing w:val="-4"/>
                <w:szCs w:val="18"/>
              </w:rPr>
            </w:pPr>
          </w:p>
        </w:tc>
        <w:tc>
          <w:tcPr>
            <w:tcW w:w="992" w:type="dxa"/>
            <w:tcBorders>
              <w:top w:val="single" w:sz="2" w:space="0" w:color="3D7FE0" w:themeColor="accent1"/>
              <w:bottom w:val="single" w:sz="8" w:space="0" w:color="3D7FE0" w:themeColor="accent1"/>
            </w:tcBorders>
            <w:shd w:val="clear" w:color="auto" w:fill="FFFFFF" w:themeFill="background1"/>
          </w:tcPr>
          <w:p w14:paraId="7D12AF26" w14:textId="1BA7BF68" w:rsidR="00C55BF9" w:rsidRPr="00177580" w:rsidRDefault="00C55BF9" w:rsidP="00C55BF9">
            <w:pPr>
              <w:pStyle w:val="TableFigure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167.7</w:t>
            </w:r>
          </w:p>
        </w:tc>
        <w:tc>
          <w:tcPr>
            <w:tcW w:w="992" w:type="dxa"/>
            <w:tcBorders>
              <w:top w:val="single" w:sz="2" w:space="0" w:color="3D7FE0" w:themeColor="accent1"/>
              <w:bottom w:val="single" w:sz="8" w:space="0" w:color="3D7FE0" w:themeColor="accent1"/>
            </w:tcBorders>
            <w:shd w:val="clear" w:color="auto" w:fill="auto"/>
          </w:tcPr>
          <w:p w14:paraId="50D62ED4" w14:textId="1A6285F2" w:rsidR="00C55BF9" w:rsidRPr="00895810" w:rsidRDefault="00C55BF9" w:rsidP="00C55BF9">
            <w:pPr>
              <w:pStyle w:val="TableFigures"/>
              <w:rPr>
                <w:rFonts w:ascii="IBM Plex Sans Light" w:hAnsi="IBM Plex Sans Light"/>
                <w:color w:val="auto"/>
                <w:spacing w:val="-4"/>
                <w:sz w:val="18"/>
              </w:rPr>
            </w:pPr>
            <w:r w:rsidRPr="00B970B0">
              <w:rPr>
                <w:rFonts w:ascii="IBM Plex Sans Light" w:hAnsi="IBM Plex Sans Light"/>
                <w:color w:val="auto"/>
                <w:spacing w:val="-4"/>
                <w:sz w:val="18"/>
              </w:rPr>
              <w:t>269.1</w:t>
            </w:r>
          </w:p>
        </w:tc>
      </w:tr>
      <w:tr w:rsidR="0019312A" w:rsidRPr="00895810" w14:paraId="1EC7235C" w14:textId="77777777" w:rsidTr="00024B10">
        <w:trPr>
          <w:trHeight w:val="97"/>
        </w:trPr>
        <w:tc>
          <w:tcPr>
            <w:tcW w:w="7087" w:type="dxa"/>
            <w:tcBorders>
              <w:top w:val="single" w:sz="8" w:space="0" w:color="3D7FE0" w:themeColor="accent1"/>
            </w:tcBorders>
            <w:vAlign w:val="bottom"/>
          </w:tcPr>
          <w:p w14:paraId="0419A5AF" w14:textId="77777777" w:rsidR="0019312A" w:rsidRPr="00895810" w:rsidRDefault="0019312A" w:rsidP="0019312A">
            <w:pPr>
              <w:pStyle w:val="Tabletext"/>
              <w:rPr>
                <w:rFonts w:ascii="IBM Plex Sans Light" w:hAnsi="IBM Plex Sans Light"/>
              </w:rPr>
            </w:pPr>
          </w:p>
        </w:tc>
        <w:tc>
          <w:tcPr>
            <w:tcW w:w="143" w:type="dxa"/>
            <w:tcBorders>
              <w:top w:val="single" w:sz="8" w:space="0" w:color="3D7FE0" w:themeColor="accent1"/>
            </w:tcBorders>
            <w:shd w:val="clear" w:color="auto" w:fill="FFFFFF" w:themeFill="background1"/>
            <w:vAlign w:val="bottom"/>
          </w:tcPr>
          <w:p w14:paraId="66F5D282" w14:textId="77777777" w:rsidR="0019312A" w:rsidRPr="00895810" w:rsidRDefault="0019312A" w:rsidP="0019312A">
            <w:pPr>
              <w:pStyle w:val="Tabletext"/>
              <w:jc w:val="right"/>
              <w:rPr>
                <w:rFonts w:ascii="IBM Plex Sans Light" w:hAnsi="IBM Plex Sans Light"/>
                <w:spacing w:val="-4"/>
                <w:szCs w:val="18"/>
              </w:rPr>
            </w:pPr>
          </w:p>
        </w:tc>
        <w:tc>
          <w:tcPr>
            <w:tcW w:w="708" w:type="dxa"/>
            <w:tcBorders>
              <w:top w:val="single" w:sz="8" w:space="0" w:color="3D7FE0" w:themeColor="accent1"/>
            </w:tcBorders>
            <w:shd w:val="clear" w:color="auto" w:fill="FFFFFF" w:themeFill="background1"/>
            <w:vAlign w:val="bottom"/>
          </w:tcPr>
          <w:p w14:paraId="7F99BE4F" w14:textId="77777777" w:rsidR="0019312A" w:rsidRPr="00895810" w:rsidRDefault="0019312A" w:rsidP="0019312A">
            <w:pPr>
              <w:pStyle w:val="Tabletext"/>
              <w:jc w:val="right"/>
              <w:rPr>
                <w:rFonts w:ascii="IBM Plex Sans Light" w:hAnsi="IBM Plex Sans Light"/>
                <w:spacing w:val="-4"/>
                <w:szCs w:val="18"/>
              </w:rPr>
            </w:pPr>
          </w:p>
        </w:tc>
        <w:tc>
          <w:tcPr>
            <w:tcW w:w="992" w:type="dxa"/>
            <w:tcBorders>
              <w:top w:val="single" w:sz="8" w:space="0" w:color="3D7FE0" w:themeColor="accent1"/>
            </w:tcBorders>
            <w:shd w:val="clear" w:color="auto" w:fill="FFFFFF" w:themeFill="background1"/>
          </w:tcPr>
          <w:p w14:paraId="4826CAEB" w14:textId="77777777" w:rsidR="0019312A" w:rsidRPr="00177580" w:rsidRDefault="0019312A" w:rsidP="00177580">
            <w:pPr>
              <w:pStyle w:val="TableFigures"/>
              <w:rPr>
                <w:rFonts w:ascii="IBM Plex Sans Medium" w:hAnsi="IBM Plex Sans Medium"/>
                <w:b/>
                <w:bCs/>
                <w:color w:val="3D7FE0" w:themeColor="accent1"/>
                <w:spacing w:val="-4"/>
                <w:sz w:val="18"/>
                <w:szCs w:val="18"/>
              </w:rPr>
            </w:pPr>
          </w:p>
        </w:tc>
        <w:tc>
          <w:tcPr>
            <w:tcW w:w="992" w:type="dxa"/>
            <w:tcBorders>
              <w:top w:val="single" w:sz="8" w:space="0" w:color="3D7FE0" w:themeColor="accent1"/>
            </w:tcBorders>
            <w:shd w:val="clear" w:color="auto" w:fill="auto"/>
            <w:vAlign w:val="bottom"/>
          </w:tcPr>
          <w:p w14:paraId="13437AB5" w14:textId="77777777" w:rsidR="0019312A" w:rsidRPr="00895810" w:rsidRDefault="0019312A" w:rsidP="0019312A">
            <w:pPr>
              <w:pStyle w:val="TableFigures"/>
              <w:rPr>
                <w:rFonts w:ascii="IBM Plex Sans Light" w:hAnsi="IBM Plex Sans Light"/>
                <w:color w:val="auto"/>
                <w:spacing w:val="-4"/>
                <w:sz w:val="18"/>
              </w:rPr>
            </w:pPr>
          </w:p>
        </w:tc>
      </w:tr>
      <w:tr w:rsidR="00177580" w:rsidRPr="00895810" w14:paraId="5225D725" w14:textId="77777777" w:rsidTr="00024B10">
        <w:trPr>
          <w:trHeight w:val="97"/>
        </w:trPr>
        <w:tc>
          <w:tcPr>
            <w:tcW w:w="7087" w:type="dxa"/>
            <w:tcBorders>
              <w:bottom w:val="single" w:sz="8" w:space="0" w:color="3D7FE0" w:themeColor="accent1"/>
            </w:tcBorders>
            <w:vAlign w:val="bottom"/>
          </w:tcPr>
          <w:p w14:paraId="58A43D56" w14:textId="77777777" w:rsidR="00177580" w:rsidRPr="00895810" w:rsidRDefault="00177580" w:rsidP="00177580">
            <w:pPr>
              <w:pStyle w:val="Tabletext"/>
              <w:rPr>
                <w:rFonts w:ascii="IBM Plex Sans Light" w:hAnsi="IBM Plex Sans Light"/>
                <w:b/>
                <w:bCs/>
                <w:color w:val="3D7FE0" w:themeColor="accent1"/>
              </w:rPr>
            </w:pPr>
            <w:r w:rsidRPr="00895810">
              <w:rPr>
                <w:rFonts w:ascii="IBM Plex Sans Light" w:hAnsi="IBM Plex Sans Light"/>
                <w:b/>
                <w:bCs/>
                <w:color w:val="3D7FE0" w:themeColor="accent1"/>
                <w:spacing w:val="-4"/>
                <w:sz w:val="18"/>
                <w:szCs w:val="24"/>
              </w:rPr>
              <w:t>Headline earnings</w:t>
            </w:r>
          </w:p>
        </w:tc>
        <w:tc>
          <w:tcPr>
            <w:tcW w:w="143" w:type="dxa"/>
            <w:tcBorders>
              <w:bottom w:val="single" w:sz="8" w:space="0" w:color="3D7FE0" w:themeColor="accent1"/>
            </w:tcBorders>
            <w:shd w:val="clear" w:color="auto" w:fill="FFFFFF" w:themeFill="background1"/>
            <w:vAlign w:val="bottom"/>
          </w:tcPr>
          <w:p w14:paraId="2FD1FFEF" w14:textId="15F302A3" w:rsidR="00177580" w:rsidRPr="00895810" w:rsidRDefault="00177580" w:rsidP="00177580">
            <w:pPr>
              <w:pStyle w:val="Tabletext"/>
              <w:jc w:val="right"/>
              <w:rPr>
                <w:rFonts w:ascii="IBM Plex Sans Light" w:hAnsi="IBM Plex Sans Light"/>
              </w:rPr>
            </w:pPr>
          </w:p>
        </w:tc>
        <w:tc>
          <w:tcPr>
            <w:tcW w:w="708" w:type="dxa"/>
            <w:tcBorders>
              <w:bottom w:val="single" w:sz="8" w:space="0" w:color="3D7FE0" w:themeColor="accent1"/>
            </w:tcBorders>
            <w:shd w:val="clear" w:color="auto" w:fill="FFFFFF" w:themeFill="background1"/>
            <w:vAlign w:val="bottom"/>
          </w:tcPr>
          <w:p w14:paraId="265438AF" w14:textId="77777777" w:rsidR="00177580" w:rsidRPr="00895810" w:rsidRDefault="00177580" w:rsidP="00177580">
            <w:pPr>
              <w:pStyle w:val="TableFigures"/>
              <w:ind w:right="57"/>
              <w:rPr>
                <w:rFonts w:ascii="IBM Plex Sans Light" w:hAnsi="IBM Plex Sans Light"/>
                <w:spacing w:val="-4"/>
                <w:sz w:val="18"/>
              </w:rPr>
            </w:pPr>
          </w:p>
        </w:tc>
        <w:tc>
          <w:tcPr>
            <w:tcW w:w="992" w:type="dxa"/>
            <w:tcBorders>
              <w:bottom w:val="single" w:sz="8" w:space="0" w:color="3D7FE0" w:themeColor="accent1"/>
            </w:tcBorders>
            <w:shd w:val="clear" w:color="auto" w:fill="FFFFFF" w:themeFill="background1"/>
          </w:tcPr>
          <w:p w14:paraId="080F68A5" w14:textId="0F3C904A"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102.9</w:t>
            </w:r>
          </w:p>
        </w:tc>
        <w:tc>
          <w:tcPr>
            <w:tcW w:w="992" w:type="dxa"/>
            <w:tcBorders>
              <w:bottom w:val="single" w:sz="8" w:space="0" w:color="3D7FE0" w:themeColor="accent1"/>
            </w:tcBorders>
            <w:shd w:val="clear" w:color="auto" w:fill="auto"/>
            <w:vAlign w:val="bottom"/>
          </w:tcPr>
          <w:p w14:paraId="522E37F7" w14:textId="1B374299" w:rsidR="00177580" w:rsidRPr="00895810" w:rsidRDefault="00177580" w:rsidP="00177580">
            <w:pPr>
              <w:pStyle w:val="TableFigures"/>
              <w:rPr>
                <w:rFonts w:ascii="IBM Plex Sans Light" w:hAnsi="IBM Plex Sans Light"/>
                <w:color w:val="auto"/>
                <w:spacing w:val="-4"/>
                <w:sz w:val="18"/>
              </w:rPr>
            </w:pPr>
            <w:r>
              <w:rPr>
                <w:rFonts w:ascii="IBM Plex Sans Light" w:hAnsi="IBM Plex Sans Light"/>
                <w:color w:val="auto"/>
                <w:spacing w:val="-4"/>
                <w:sz w:val="18"/>
              </w:rPr>
              <w:t>116.8</w:t>
            </w:r>
          </w:p>
        </w:tc>
      </w:tr>
      <w:tr w:rsidR="00177580" w:rsidRPr="00895810" w14:paraId="2ACB8BA5" w14:textId="77777777" w:rsidTr="00024B10">
        <w:trPr>
          <w:trHeight w:val="97"/>
        </w:trPr>
        <w:tc>
          <w:tcPr>
            <w:tcW w:w="7087" w:type="dxa"/>
            <w:tcBorders>
              <w:top w:val="single" w:sz="8" w:space="0" w:color="3D7FE0" w:themeColor="accent1"/>
              <w:bottom w:val="single" w:sz="8" w:space="0" w:color="3D7FE0" w:themeColor="accent1"/>
            </w:tcBorders>
            <w:vAlign w:val="bottom"/>
          </w:tcPr>
          <w:p w14:paraId="10BB8D2C" w14:textId="77777777" w:rsidR="00177580" w:rsidRPr="00895810" w:rsidRDefault="00177580" w:rsidP="00177580">
            <w:pPr>
              <w:pStyle w:val="Tabletext"/>
              <w:rPr>
                <w:rFonts w:ascii="IBM Plex Sans Light" w:hAnsi="IBM Plex Sans Light"/>
                <w:b/>
                <w:bCs/>
                <w:color w:val="3D7FE0" w:themeColor="accent1"/>
              </w:rPr>
            </w:pPr>
            <w:r w:rsidRPr="00895810">
              <w:rPr>
                <w:rFonts w:ascii="IBM Plex Sans Light" w:hAnsi="IBM Plex Sans Light"/>
                <w:b/>
                <w:bCs/>
                <w:color w:val="3D7FE0" w:themeColor="accent1"/>
                <w:spacing w:val="-4"/>
                <w:sz w:val="18"/>
                <w:szCs w:val="24"/>
              </w:rPr>
              <w:t>EPRA earnings</w:t>
            </w:r>
          </w:p>
        </w:tc>
        <w:tc>
          <w:tcPr>
            <w:tcW w:w="143" w:type="dxa"/>
            <w:tcBorders>
              <w:top w:val="single" w:sz="8" w:space="0" w:color="3D7FE0" w:themeColor="accent1"/>
              <w:bottom w:val="single" w:sz="8" w:space="0" w:color="3D7FE0" w:themeColor="accent1"/>
            </w:tcBorders>
            <w:shd w:val="clear" w:color="auto" w:fill="FFFFFF" w:themeFill="background1"/>
            <w:vAlign w:val="bottom"/>
          </w:tcPr>
          <w:p w14:paraId="06238597" w14:textId="26B8DCB7" w:rsidR="00177580" w:rsidRPr="00895810" w:rsidRDefault="00177580" w:rsidP="00177580">
            <w:pPr>
              <w:pStyle w:val="Tabletext"/>
              <w:jc w:val="right"/>
              <w:rPr>
                <w:rFonts w:ascii="IBM Plex Sans Light" w:hAnsi="IBM Plex Sans Light"/>
              </w:rPr>
            </w:pPr>
          </w:p>
        </w:tc>
        <w:tc>
          <w:tcPr>
            <w:tcW w:w="708" w:type="dxa"/>
            <w:tcBorders>
              <w:top w:val="single" w:sz="8" w:space="0" w:color="3D7FE0" w:themeColor="accent1"/>
              <w:bottom w:val="single" w:sz="8" w:space="0" w:color="3D7FE0" w:themeColor="accent1"/>
            </w:tcBorders>
            <w:shd w:val="clear" w:color="auto" w:fill="FFFFFF" w:themeFill="background1"/>
            <w:vAlign w:val="bottom"/>
          </w:tcPr>
          <w:p w14:paraId="1BC8929A" w14:textId="77777777" w:rsidR="00177580" w:rsidRPr="00895810" w:rsidRDefault="00177580" w:rsidP="00177580">
            <w:pPr>
              <w:pStyle w:val="TableFigures"/>
              <w:ind w:right="57"/>
              <w:rPr>
                <w:rFonts w:ascii="IBM Plex Sans Light" w:hAnsi="IBM Plex Sans Light"/>
                <w:spacing w:val="-4"/>
                <w:sz w:val="18"/>
              </w:rPr>
            </w:pPr>
          </w:p>
        </w:tc>
        <w:tc>
          <w:tcPr>
            <w:tcW w:w="992" w:type="dxa"/>
            <w:tcBorders>
              <w:top w:val="single" w:sz="8" w:space="0" w:color="3D7FE0" w:themeColor="accent1"/>
              <w:bottom w:val="single" w:sz="8" w:space="0" w:color="3D7FE0" w:themeColor="accent1"/>
            </w:tcBorders>
            <w:shd w:val="clear" w:color="auto" w:fill="FFFFFF" w:themeFill="background1"/>
          </w:tcPr>
          <w:p w14:paraId="78ACDFE1" w14:textId="21782C91"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102.8</w:t>
            </w:r>
          </w:p>
        </w:tc>
        <w:tc>
          <w:tcPr>
            <w:tcW w:w="992" w:type="dxa"/>
            <w:tcBorders>
              <w:top w:val="single" w:sz="8" w:space="0" w:color="3D7FE0" w:themeColor="accent1"/>
              <w:bottom w:val="single" w:sz="8" w:space="0" w:color="3D7FE0" w:themeColor="accent1"/>
            </w:tcBorders>
            <w:shd w:val="clear" w:color="auto" w:fill="auto"/>
          </w:tcPr>
          <w:p w14:paraId="1B15B4F3" w14:textId="4B98760B" w:rsidR="00177580" w:rsidRPr="00895810" w:rsidRDefault="00177580" w:rsidP="00177580">
            <w:pPr>
              <w:pStyle w:val="TableFigures"/>
              <w:rPr>
                <w:rFonts w:ascii="IBM Plex Sans Light" w:hAnsi="IBM Plex Sans Light"/>
                <w:color w:val="auto"/>
                <w:spacing w:val="-4"/>
                <w:sz w:val="18"/>
              </w:rPr>
            </w:pPr>
            <w:r w:rsidRPr="00B81B47">
              <w:rPr>
                <w:rFonts w:ascii="IBM Plex Sans Light" w:hAnsi="IBM Plex Sans Light"/>
                <w:color w:val="auto"/>
                <w:spacing w:val="-4"/>
                <w:sz w:val="18"/>
              </w:rPr>
              <w:t>100.6</w:t>
            </w:r>
          </w:p>
        </w:tc>
      </w:tr>
      <w:tr w:rsidR="00177580" w:rsidRPr="00895810" w14:paraId="5F17987B" w14:textId="77777777" w:rsidTr="00024B10">
        <w:trPr>
          <w:trHeight w:val="97"/>
        </w:trPr>
        <w:tc>
          <w:tcPr>
            <w:tcW w:w="7087" w:type="dxa"/>
            <w:tcBorders>
              <w:top w:val="single" w:sz="8" w:space="0" w:color="3D7FE0" w:themeColor="accent1"/>
              <w:bottom w:val="single" w:sz="8" w:space="0" w:color="3D7FE0" w:themeColor="accent1"/>
            </w:tcBorders>
            <w:vAlign w:val="bottom"/>
          </w:tcPr>
          <w:p w14:paraId="5DB909B6" w14:textId="77777777" w:rsidR="00177580" w:rsidRPr="00895810" w:rsidRDefault="00177580" w:rsidP="00177580">
            <w:pPr>
              <w:pStyle w:val="Tabletext"/>
              <w:rPr>
                <w:rFonts w:ascii="IBM Plex Sans Light" w:hAnsi="IBM Plex Sans Light"/>
                <w:b/>
                <w:bCs/>
                <w:color w:val="3D7FE0" w:themeColor="accent1"/>
              </w:rPr>
            </w:pPr>
            <w:r w:rsidRPr="00895810">
              <w:rPr>
                <w:rFonts w:ascii="IBM Plex Sans Light" w:hAnsi="IBM Plex Sans Light"/>
                <w:b/>
                <w:bCs/>
                <w:color w:val="3D7FE0" w:themeColor="accent1"/>
                <w:spacing w:val="-4"/>
                <w:sz w:val="18"/>
                <w:szCs w:val="24"/>
              </w:rPr>
              <w:t>Adjusted earnings</w:t>
            </w:r>
          </w:p>
        </w:tc>
        <w:tc>
          <w:tcPr>
            <w:tcW w:w="143" w:type="dxa"/>
            <w:tcBorders>
              <w:top w:val="single" w:sz="8" w:space="0" w:color="3D7FE0" w:themeColor="accent1"/>
              <w:bottom w:val="single" w:sz="8" w:space="0" w:color="3D7FE0" w:themeColor="accent1"/>
            </w:tcBorders>
            <w:shd w:val="clear" w:color="auto" w:fill="FFFFFF" w:themeFill="background1"/>
            <w:vAlign w:val="bottom"/>
          </w:tcPr>
          <w:p w14:paraId="1EB683FB" w14:textId="1CF8267C" w:rsidR="00177580" w:rsidRPr="00895810" w:rsidRDefault="00177580" w:rsidP="00177580">
            <w:pPr>
              <w:pStyle w:val="Tabletext"/>
              <w:jc w:val="right"/>
              <w:rPr>
                <w:rFonts w:ascii="IBM Plex Sans Light" w:hAnsi="IBM Plex Sans Light"/>
              </w:rPr>
            </w:pPr>
          </w:p>
        </w:tc>
        <w:tc>
          <w:tcPr>
            <w:tcW w:w="708" w:type="dxa"/>
            <w:tcBorders>
              <w:top w:val="single" w:sz="8" w:space="0" w:color="3D7FE0" w:themeColor="accent1"/>
              <w:bottom w:val="single" w:sz="8" w:space="0" w:color="3D7FE0" w:themeColor="accent1"/>
            </w:tcBorders>
            <w:shd w:val="clear" w:color="auto" w:fill="FFFFFF" w:themeFill="background1"/>
            <w:vAlign w:val="bottom"/>
          </w:tcPr>
          <w:p w14:paraId="5AF1E722" w14:textId="77777777" w:rsidR="00177580" w:rsidRPr="00895810" w:rsidRDefault="00177580" w:rsidP="00177580">
            <w:pPr>
              <w:pStyle w:val="TableFigures"/>
              <w:ind w:right="57"/>
              <w:rPr>
                <w:rFonts w:ascii="IBM Plex Sans Light" w:hAnsi="IBM Plex Sans Light"/>
                <w:spacing w:val="-4"/>
                <w:sz w:val="18"/>
              </w:rPr>
            </w:pPr>
          </w:p>
        </w:tc>
        <w:tc>
          <w:tcPr>
            <w:tcW w:w="992" w:type="dxa"/>
            <w:tcBorders>
              <w:top w:val="single" w:sz="8" w:space="0" w:color="3D7FE0" w:themeColor="accent1"/>
              <w:bottom w:val="single" w:sz="8" w:space="0" w:color="3D7FE0" w:themeColor="accent1"/>
            </w:tcBorders>
            <w:shd w:val="clear" w:color="auto" w:fill="FFFFFF" w:themeFill="background1"/>
          </w:tcPr>
          <w:p w14:paraId="0D3CF0FA" w14:textId="1A528DAC" w:rsidR="00177580" w:rsidRPr="00177580" w:rsidRDefault="00177580" w:rsidP="00177580">
            <w:pPr>
              <w:pStyle w:val="TableFigures"/>
              <w:rPr>
                <w:rFonts w:ascii="IBM Plex Sans Medium" w:hAnsi="IBM Plex Sans Medium"/>
                <w:b/>
                <w:bCs/>
                <w:color w:val="3D7FE0" w:themeColor="accent1"/>
                <w:spacing w:val="-4"/>
                <w:sz w:val="18"/>
                <w:szCs w:val="18"/>
              </w:rPr>
            </w:pPr>
            <w:r w:rsidRPr="00177580">
              <w:rPr>
                <w:rFonts w:ascii="IBM Plex Sans Medium" w:hAnsi="IBM Plex Sans Medium"/>
                <w:b/>
                <w:bCs/>
                <w:color w:val="3D7FE0" w:themeColor="accent1"/>
                <w:spacing w:val="-4"/>
                <w:sz w:val="18"/>
                <w:szCs w:val="18"/>
              </w:rPr>
              <w:t>116.3</w:t>
            </w:r>
          </w:p>
        </w:tc>
        <w:tc>
          <w:tcPr>
            <w:tcW w:w="992" w:type="dxa"/>
            <w:tcBorders>
              <w:top w:val="single" w:sz="8" w:space="0" w:color="3D7FE0" w:themeColor="accent1"/>
              <w:bottom w:val="single" w:sz="8" w:space="0" w:color="3D7FE0" w:themeColor="accent1"/>
            </w:tcBorders>
            <w:shd w:val="clear" w:color="auto" w:fill="auto"/>
          </w:tcPr>
          <w:p w14:paraId="75F55054" w14:textId="0BBB99CB" w:rsidR="00177580" w:rsidRPr="00895810" w:rsidRDefault="00177580" w:rsidP="00177580">
            <w:pPr>
              <w:pStyle w:val="TableFigures"/>
              <w:rPr>
                <w:rFonts w:ascii="IBM Plex Sans Light" w:hAnsi="IBM Plex Sans Light"/>
                <w:color w:val="auto"/>
                <w:spacing w:val="-4"/>
                <w:sz w:val="18"/>
              </w:rPr>
            </w:pPr>
            <w:r w:rsidRPr="00B81B47">
              <w:rPr>
                <w:rFonts w:ascii="IBM Plex Sans Light" w:hAnsi="IBM Plex Sans Light"/>
                <w:color w:val="auto"/>
                <w:spacing w:val="-4"/>
                <w:sz w:val="18"/>
              </w:rPr>
              <w:t>104.9</w:t>
            </w:r>
          </w:p>
        </w:tc>
      </w:tr>
    </w:tbl>
    <w:p w14:paraId="11E1C48A" w14:textId="77777777" w:rsidR="00177580" w:rsidRDefault="00177580">
      <w:pPr>
        <w:spacing w:after="0" w:line="240" w:lineRule="auto"/>
        <w:rPr>
          <w:rFonts w:ascii="IBM Plex Sans Light" w:hAnsi="IBM Plex Sans Light" w:cs="Arial"/>
          <w:sz w:val="16"/>
          <w:szCs w:val="16"/>
        </w:rPr>
      </w:pPr>
    </w:p>
    <w:p w14:paraId="2A8C444A" w14:textId="77777777" w:rsidR="00177580" w:rsidRPr="00C55BF9" w:rsidRDefault="00177580" w:rsidP="00177580">
      <w:pPr>
        <w:spacing w:after="0" w:line="240" w:lineRule="auto"/>
        <w:ind w:left="284" w:hanging="284"/>
        <w:rPr>
          <w:rFonts w:ascii="IBM Plex Sans Light" w:hAnsi="IBM Plex Sans Light" w:cs="Arial"/>
          <w:sz w:val="16"/>
          <w:szCs w:val="16"/>
        </w:rPr>
      </w:pPr>
      <w:r w:rsidRPr="00C55BF9">
        <w:rPr>
          <w:rFonts w:ascii="IBM Plex Sans Light" w:hAnsi="IBM Plex Sans Light" w:cs="Arial"/>
          <w:sz w:val="16"/>
          <w:szCs w:val="16"/>
        </w:rPr>
        <w:t>a</w:t>
      </w:r>
      <w:r w:rsidRPr="00C55BF9">
        <w:rPr>
          <w:rFonts w:ascii="IBM Plex Sans Light" w:hAnsi="IBM Plex Sans Light" w:cs="Arial"/>
          <w:sz w:val="16"/>
          <w:szCs w:val="16"/>
        </w:rPr>
        <w:tab/>
        <w:t>As shown in note 2, includes profit on the sale of properties of £1.3m (2022: loss of £0.6m) and losses on the sale of joint venture and associates of £19.1m (2022: £nil) principally relating to the sales of Italie Deux and Croydon. See note 8 for further details.</w:t>
      </w:r>
    </w:p>
    <w:p w14:paraId="62248E04" w14:textId="77777777" w:rsidR="00177580" w:rsidRPr="00C55BF9" w:rsidRDefault="00177580" w:rsidP="00177580">
      <w:pPr>
        <w:spacing w:after="0" w:line="240" w:lineRule="auto"/>
        <w:ind w:left="284" w:hanging="284"/>
        <w:rPr>
          <w:rFonts w:ascii="IBM Plex Sans Light" w:hAnsi="IBM Plex Sans Light" w:cs="Arial"/>
          <w:sz w:val="16"/>
          <w:szCs w:val="16"/>
        </w:rPr>
      </w:pPr>
      <w:r w:rsidRPr="00C55BF9">
        <w:rPr>
          <w:rFonts w:ascii="IBM Plex Sans Light" w:hAnsi="IBM Plex Sans Light" w:cs="Arial"/>
          <w:sz w:val="16"/>
          <w:szCs w:val="16"/>
        </w:rPr>
        <w:t>b</w:t>
      </w:r>
      <w:r w:rsidRPr="00C55BF9">
        <w:rPr>
          <w:rFonts w:ascii="IBM Plex Sans Light" w:hAnsi="IBM Plex Sans Light" w:cs="Arial"/>
          <w:sz w:val="16"/>
          <w:szCs w:val="16"/>
        </w:rPr>
        <w:tab/>
        <w:t>Exchange gains previously recognised in equity until disposal, principally in relation to Italie Deux and O’Parinor.</w:t>
      </w:r>
    </w:p>
    <w:p w14:paraId="2F692611" w14:textId="77777777" w:rsidR="00177580" w:rsidRPr="00C55BF9" w:rsidRDefault="00177580" w:rsidP="00177580">
      <w:pPr>
        <w:spacing w:after="0" w:line="240" w:lineRule="auto"/>
        <w:ind w:left="284" w:hanging="284"/>
        <w:rPr>
          <w:rFonts w:ascii="IBM Plex Sans Light" w:hAnsi="IBM Plex Sans Light" w:cs="Arial"/>
          <w:sz w:val="16"/>
          <w:szCs w:val="16"/>
        </w:rPr>
      </w:pPr>
      <w:r w:rsidRPr="00C55BF9">
        <w:rPr>
          <w:rFonts w:ascii="IBM Plex Sans Light" w:hAnsi="IBM Plex Sans Light" w:cs="Arial"/>
          <w:sz w:val="16"/>
          <w:szCs w:val="16"/>
        </w:rPr>
        <w:t>c</w:t>
      </w:r>
      <w:r w:rsidRPr="00C55BF9">
        <w:rPr>
          <w:rFonts w:ascii="IBM Plex Sans Light" w:hAnsi="IBM Plex Sans Light" w:cs="Arial"/>
          <w:sz w:val="16"/>
          <w:szCs w:val="16"/>
        </w:rPr>
        <w:tab/>
        <w:t>Impairment resulting from derecognition of O’Parinor joint venture, see note 8 for details.</w:t>
      </w:r>
    </w:p>
    <w:p w14:paraId="6FE62241" w14:textId="77777777" w:rsidR="00177580" w:rsidRPr="00C55BF9" w:rsidRDefault="00177580" w:rsidP="00177580">
      <w:pPr>
        <w:spacing w:after="0" w:line="240" w:lineRule="auto"/>
        <w:ind w:left="284" w:hanging="284"/>
        <w:rPr>
          <w:rFonts w:ascii="IBM Plex Sans Light" w:hAnsi="IBM Plex Sans Light" w:cs="Arial"/>
          <w:sz w:val="16"/>
          <w:szCs w:val="16"/>
        </w:rPr>
      </w:pPr>
      <w:r w:rsidRPr="00C55BF9">
        <w:rPr>
          <w:rFonts w:ascii="IBM Plex Sans Light" w:hAnsi="IBM Plex Sans Light" w:cs="Arial"/>
          <w:sz w:val="16"/>
          <w:szCs w:val="16"/>
        </w:rPr>
        <w:t>d</w:t>
      </w:r>
      <w:r w:rsidRPr="00C55BF9">
        <w:rPr>
          <w:rFonts w:ascii="IBM Plex Sans Light" w:hAnsi="IBM Plex Sans Light" w:cs="Arial"/>
          <w:sz w:val="16"/>
          <w:szCs w:val="16"/>
        </w:rPr>
        <w:tab/>
        <w:t>Adjustments in respect of associates. Total for 2023 is £17.3m (2022: £32.7m).</w:t>
      </w:r>
    </w:p>
    <w:p w14:paraId="6ABD0DC6" w14:textId="77777777" w:rsidR="00177580" w:rsidRPr="00C55BF9" w:rsidRDefault="00177580" w:rsidP="00177580">
      <w:pPr>
        <w:spacing w:after="0" w:line="240" w:lineRule="auto"/>
        <w:ind w:left="284" w:hanging="284"/>
        <w:rPr>
          <w:rFonts w:ascii="IBM Plex Sans Light" w:hAnsi="IBM Plex Sans Light" w:cs="Arial"/>
          <w:sz w:val="16"/>
          <w:szCs w:val="16"/>
        </w:rPr>
      </w:pPr>
      <w:r w:rsidRPr="00C55BF9">
        <w:rPr>
          <w:rFonts w:ascii="IBM Plex Sans Light" w:hAnsi="IBM Plex Sans Light" w:cs="Arial"/>
          <w:sz w:val="16"/>
          <w:szCs w:val="16"/>
        </w:rPr>
        <w:t>e</w:t>
      </w:r>
      <w:r w:rsidRPr="00C55BF9">
        <w:rPr>
          <w:rFonts w:ascii="IBM Plex Sans Light" w:hAnsi="IBM Plex Sans Light" w:cs="Arial"/>
          <w:sz w:val="16"/>
          <w:szCs w:val="16"/>
        </w:rPr>
        <w:tab/>
        <w:t>In accordance with EPRA guidance, the tax effects of EPRA adjustments (including those for disposals) are excluded.</w:t>
      </w:r>
    </w:p>
    <w:p w14:paraId="71E63766" w14:textId="4E608226" w:rsidR="00872780" w:rsidRDefault="00177580" w:rsidP="00177580">
      <w:pPr>
        <w:spacing w:after="0" w:line="240" w:lineRule="auto"/>
        <w:ind w:left="284" w:hanging="284"/>
        <w:rPr>
          <w:rFonts w:ascii="IBM Plex Sans Light" w:hAnsi="IBM Plex Sans Light" w:cs="Arial"/>
          <w:sz w:val="16"/>
          <w:szCs w:val="16"/>
        </w:rPr>
      </w:pPr>
      <w:r w:rsidRPr="00C55BF9">
        <w:rPr>
          <w:rFonts w:ascii="IBM Plex Sans Light" w:hAnsi="IBM Plex Sans Light" w:cs="Arial"/>
          <w:sz w:val="16"/>
          <w:szCs w:val="16"/>
        </w:rPr>
        <w:t>f</w:t>
      </w:r>
      <w:r w:rsidRPr="00C55BF9">
        <w:rPr>
          <w:rFonts w:ascii="IBM Plex Sans Light" w:hAnsi="IBM Plex Sans Light" w:cs="Arial"/>
          <w:sz w:val="16"/>
          <w:szCs w:val="16"/>
        </w:rPr>
        <w:tab/>
        <w:t>Change in fair value of derivatives and participative loans: such items are excluded because they represent gains and losses arising from market rather than settlement revaluation methodologies which differ from the accruals basis upon which all other non-investment property related assets and liabilities are measured. Such a treatment is a form of revaluation gain or loss created by an assumption that the derivatives or loans will be settled before their maturity. Such gains and losses are excluded from Adjusted earnings as they are unrealised and conflict with the commercial reasons for entering into such arrangements and are expected to be held to maturity.</w:t>
      </w:r>
    </w:p>
    <w:p w14:paraId="690451B7" w14:textId="77777777" w:rsidR="00177580" w:rsidRPr="00177580" w:rsidRDefault="00177580" w:rsidP="00177580">
      <w:pPr>
        <w:suppressAutoHyphens/>
        <w:autoSpaceDE w:val="0"/>
        <w:autoSpaceDN w:val="0"/>
        <w:adjustRightInd w:val="0"/>
        <w:spacing w:after="57" w:line="185" w:lineRule="atLeast"/>
        <w:ind w:left="284" w:hanging="284"/>
        <w:textAlignment w:val="center"/>
        <w:rPr>
          <w:rFonts w:ascii="IBM Plex Sans Light" w:hAnsi="IBM Plex Sans Light" w:cs="IBM Plex Sans Light"/>
          <w:color w:val="000000"/>
          <w:spacing w:val="-5"/>
          <w:szCs w:val="18"/>
        </w:rPr>
      </w:pPr>
      <w:r w:rsidRPr="00024B10">
        <w:rPr>
          <w:rFonts w:ascii="IBM Plex Sans Light" w:hAnsi="IBM Plex Sans Light" w:cs="IBM Plex Sans Light"/>
          <w:color w:val="000000"/>
          <w:spacing w:val="-5"/>
          <w:sz w:val="16"/>
          <w:szCs w:val="16"/>
        </w:rPr>
        <w:t>g</w:t>
      </w:r>
      <w:r w:rsidRPr="00177580">
        <w:rPr>
          <w:rFonts w:ascii="IBM Plex Sans Light" w:hAnsi="IBM Plex Sans Light" w:cs="IBM Plex Sans Light"/>
          <w:color w:val="000000"/>
          <w:spacing w:val="-5"/>
          <w:szCs w:val="18"/>
        </w:rPr>
        <w:tab/>
        <w:t>Financing items comprise:</w:t>
      </w:r>
    </w:p>
    <w:tbl>
      <w:tblPr>
        <w:tblW w:w="9638" w:type="dxa"/>
        <w:tblInd w:w="284" w:type="dxa"/>
        <w:tblLayout w:type="fixed"/>
        <w:tblLook w:val="01E0" w:firstRow="1" w:lastRow="1" w:firstColumn="1" w:lastColumn="1" w:noHBand="0" w:noVBand="0"/>
      </w:tblPr>
      <w:tblGrid>
        <w:gridCol w:w="4025"/>
        <w:gridCol w:w="283"/>
        <w:gridCol w:w="888"/>
        <w:gridCol w:w="888"/>
        <w:gridCol w:w="889"/>
        <w:gridCol w:w="888"/>
        <w:gridCol w:w="888"/>
        <w:gridCol w:w="889"/>
      </w:tblGrid>
      <w:tr w:rsidR="00865C3F" w:rsidRPr="00895810" w14:paraId="622BE1FB" w14:textId="77777777" w:rsidTr="009F3319">
        <w:tc>
          <w:tcPr>
            <w:tcW w:w="4025" w:type="dxa"/>
            <w:tcBorders>
              <w:bottom w:val="single" w:sz="2" w:space="0" w:color="3D7FE0" w:themeColor="accent1"/>
            </w:tcBorders>
            <w:tcMar>
              <w:left w:w="0" w:type="dxa"/>
              <w:right w:w="0" w:type="dxa"/>
            </w:tcMar>
            <w:vAlign w:val="bottom"/>
          </w:tcPr>
          <w:p w14:paraId="06FF27AF" w14:textId="77777777" w:rsidR="00865C3F" w:rsidRPr="00895810" w:rsidRDefault="00865C3F" w:rsidP="0063218B">
            <w:pPr>
              <w:pStyle w:val="TableColHeads"/>
              <w:rPr>
                <w:rFonts w:ascii="IBM Plex Sans Light" w:hAnsi="IBM Plex Sans Light"/>
              </w:rPr>
            </w:pPr>
          </w:p>
        </w:tc>
        <w:tc>
          <w:tcPr>
            <w:tcW w:w="283" w:type="dxa"/>
            <w:tcBorders>
              <w:bottom w:val="single" w:sz="2" w:space="0" w:color="3D7FE0" w:themeColor="accent1"/>
            </w:tcBorders>
            <w:vAlign w:val="bottom"/>
          </w:tcPr>
          <w:p w14:paraId="60C6F1AB" w14:textId="7956837C" w:rsidR="00865C3F" w:rsidRPr="00895810" w:rsidRDefault="00865C3F" w:rsidP="0063218B">
            <w:pPr>
              <w:pStyle w:val="TableColHeads"/>
              <w:rPr>
                <w:rFonts w:ascii="IBM Plex Sans Light" w:hAnsi="IBM Plex Sans Light"/>
              </w:rPr>
            </w:pPr>
          </w:p>
        </w:tc>
        <w:tc>
          <w:tcPr>
            <w:tcW w:w="2665" w:type="dxa"/>
            <w:gridSpan w:val="3"/>
            <w:tcBorders>
              <w:bottom w:val="single" w:sz="2" w:space="0" w:color="3D7FE0" w:themeColor="accent1"/>
            </w:tcBorders>
            <w:vAlign w:val="bottom"/>
          </w:tcPr>
          <w:p w14:paraId="4B321353" w14:textId="4F9F917E" w:rsidR="00865C3F" w:rsidRPr="00895810" w:rsidRDefault="00785AC2" w:rsidP="00D32983">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2665" w:type="dxa"/>
            <w:gridSpan w:val="3"/>
            <w:tcBorders>
              <w:bottom w:val="single" w:sz="2" w:space="0" w:color="3D7FE0" w:themeColor="accent1"/>
            </w:tcBorders>
            <w:tcMar>
              <w:left w:w="0" w:type="dxa"/>
              <w:right w:w="0" w:type="dxa"/>
            </w:tcMar>
            <w:vAlign w:val="bottom"/>
          </w:tcPr>
          <w:p w14:paraId="5B1C27B3" w14:textId="1D1DD507" w:rsidR="00865C3F" w:rsidRPr="00895810" w:rsidRDefault="006E7EB0" w:rsidP="00D32983">
            <w:pPr>
              <w:pStyle w:val="TableColHeads"/>
              <w:rPr>
                <w:rFonts w:ascii="IBM Plex Sans Light" w:hAnsi="IBM Plex Sans Light"/>
              </w:rPr>
            </w:pPr>
            <w:r>
              <w:rPr>
                <w:rFonts w:ascii="IBM Plex Sans Light" w:hAnsi="IBM Plex Sans Light"/>
              </w:rPr>
              <w:t>2022</w:t>
            </w:r>
          </w:p>
        </w:tc>
      </w:tr>
      <w:tr w:rsidR="00865C3F" w:rsidRPr="00895810" w14:paraId="24238164" w14:textId="77777777" w:rsidTr="006E0FB5">
        <w:tc>
          <w:tcPr>
            <w:tcW w:w="4025" w:type="dxa"/>
            <w:tcBorders>
              <w:top w:val="single" w:sz="2" w:space="0" w:color="3D7FE0" w:themeColor="accent1"/>
              <w:bottom w:val="single" w:sz="2" w:space="0" w:color="3D7FE0" w:themeColor="accent1"/>
            </w:tcBorders>
            <w:tcMar>
              <w:left w:w="0" w:type="dxa"/>
              <w:right w:w="0" w:type="dxa"/>
            </w:tcMar>
            <w:vAlign w:val="bottom"/>
          </w:tcPr>
          <w:p w14:paraId="58B6D6AD" w14:textId="77777777" w:rsidR="00865C3F" w:rsidRPr="00895810" w:rsidRDefault="00865C3F" w:rsidP="0063218B">
            <w:pPr>
              <w:pStyle w:val="TableColHeads"/>
              <w:rPr>
                <w:rFonts w:ascii="IBM Plex Sans Light" w:hAnsi="IBM Plex Sans Light"/>
              </w:rPr>
            </w:pPr>
          </w:p>
        </w:tc>
        <w:tc>
          <w:tcPr>
            <w:tcW w:w="283" w:type="dxa"/>
            <w:tcBorders>
              <w:top w:val="single" w:sz="2" w:space="0" w:color="3D7FE0" w:themeColor="accent1"/>
              <w:bottom w:val="single" w:sz="2" w:space="0" w:color="3D7FE0" w:themeColor="accent1"/>
            </w:tcBorders>
            <w:vAlign w:val="bottom"/>
          </w:tcPr>
          <w:p w14:paraId="48893FDC" w14:textId="23463DA0" w:rsidR="00865C3F" w:rsidRPr="00895810" w:rsidRDefault="00865C3F" w:rsidP="0063218B">
            <w:pPr>
              <w:pStyle w:val="TableColHeads"/>
              <w:rPr>
                <w:rFonts w:ascii="IBM Plex Sans Light" w:hAnsi="IBM Plex Sans Light"/>
              </w:rPr>
            </w:pPr>
          </w:p>
        </w:tc>
        <w:tc>
          <w:tcPr>
            <w:tcW w:w="888" w:type="dxa"/>
            <w:tcBorders>
              <w:top w:val="single" w:sz="2" w:space="0" w:color="3D7FE0" w:themeColor="accent1"/>
              <w:bottom w:val="single" w:sz="2" w:space="0" w:color="3D7FE0" w:themeColor="accent1"/>
            </w:tcBorders>
            <w:vAlign w:val="bottom"/>
          </w:tcPr>
          <w:p w14:paraId="5463C76B" w14:textId="77777777" w:rsidR="00865C3F" w:rsidRPr="00895810" w:rsidRDefault="00865C3F"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Reported Group</w:t>
            </w:r>
          </w:p>
          <w:p w14:paraId="12E62E50" w14:textId="77777777" w:rsidR="00865C3F" w:rsidRPr="00895810" w:rsidRDefault="00865C3F"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888" w:type="dxa"/>
            <w:tcBorders>
              <w:top w:val="single" w:sz="2" w:space="0" w:color="3D7FE0" w:themeColor="accent1"/>
              <w:bottom w:val="single" w:sz="2" w:space="0" w:color="3D7FE0" w:themeColor="accent1"/>
            </w:tcBorders>
            <w:vAlign w:val="bottom"/>
          </w:tcPr>
          <w:p w14:paraId="238B6FC2" w14:textId="2F8CBBD3" w:rsidR="00865C3F" w:rsidRPr="00895810" w:rsidRDefault="00865C3F"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Share of </w:t>
            </w:r>
            <w:r w:rsidR="0097119A" w:rsidRPr="00895810">
              <w:rPr>
                <w:rFonts w:ascii="IBM Plex Sans Light" w:hAnsi="IBM Plex Sans Light"/>
                <w:color w:val="3D7FE0" w:themeColor="accent1"/>
              </w:rPr>
              <w:t xml:space="preserve">Property </w:t>
            </w:r>
            <w:r w:rsidRPr="00895810">
              <w:rPr>
                <w:rFonts w:ascii="IBM Plex Sans Light" w:hAnsi="IBM Plex Sans Light"/>
                <w:color w:val="3D7FE0" w:themeColor="accent1"/>
              </w:rPr>
              <w:t>interests</w:t>
            </w:r>
          </w:p>
          <w:p w14:paraId="374B1DE6" w14:textId="77777777" w:rsidR="00865C3F" w:rsidRPr="00895810" w:rsidRDefault="00865C3F"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889" w:type="dxa"/>
            <w:tcBorders>
              <w:top w:val="single" w:sz="2" w:space="0" w:color="3D7FE0" w:themeColor="accent1"/>
              <w:bottom w:val="single" w:sz="2" w:space="0" w:color="3D7FE0" w:themeColor="accent1"/>
            </w:tcBorders>
            <w:vAlign w:val="bottom"/>
          </w:tcPr>
          <w:p w14:paraId="57C6D1C7" w14:textId="77777777" w:rsidR="00865C3F" w:rsidRPr="00895810" w:rsidRDefault="00865C3F"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Total</w:t>
            </w:r>
          </w:p>
          <w:p w14:paraId="016A953D" w14:textId="77777777" w:rsidR="00865C3F" w:rsidRPr="00895810" w:rsidRDefault="00865C3F"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888" w:type="dxa"/>
            <w:tcBorders>
              <w:top w:val="single" w:sz="2" w:space="0" w:color="3D7FE0" w:themeColor="accent1"/>
              <w:bottom w:val="single" w:sz="2" w:space="0" w:color="3D7FE0" w:themeColor="accent1"/>
            </w:tcBorders>
            <w:tcMar>
              <w:left w:w="0" w:type="dxa"/>
              <w:right w:w="0" w:type="dxa"/>
            </w:tcMar>
            <w:vAlign w:val="bottom"/>
          </w:tcPr>
          <w:p w14:paraId="70EC05BF" w14:textId="77777777" w:rsidR="00865C3F" w:rsidRPr="00895810" w:rsidRDefault="00865C3F" w:rsidP="0063218B">
            <w:pPr>
              <w:pStyle w:val="TableColHeadsBold"/>
              <w:rPr>
                <w:rFonts w:ascii="IBM Plex Sans Light" w:hAnsi="IBM Plex Sans Light"/>
                <w:b w:val="0"/>
                <w:bCs w:val="0"/>
              </w:rPr>
            </w:pPr>
            <w:r w:rsidRPr="00895810">
              <w:rPr>
                <w:rFonts w:ascii="IBM Plex Sans Light" w:hAnsi="IBM Plex Sans Light"/>
                <w:b w:val="0"/>
                <w:bCs w:val="0"/>
              </w:rPr>
              <w:t>Reported Group</w:t>
            </w:r>
          </w:p>
          <w:p w14:paraId="29A56042" w14:textId="77777777" w:rsidR="00865C3F" w:rsidRPr="00895810" w:rsidRDefault="00865C3F" w:rsidP="0063218B">
            <w:pPr>
              <w:pStyle w:val="TableColHeadsBold"/>
              <w:rPr>
                <w:rFonts w:ascii="IBM Plex Sans Light" w:hAnsi="IBM Plex Sans Light"/>
                <w:b w:val="0"/>
                <w:bCs w:val="0"/>
              </w:rPr>
            </w:pPr>
            <w:r w:rsidRPr="00895810">
              <w:rPr>
                <w:rFonts w:ascii="IBM Plex Sans Light" w:hAnsi="IBM Plex Sans Light"/>
                <w:b w:val="0"/>
                <w:bCs w:val="0"/>
              </w:rPr>
              <w:t>£m</w:t>
            </w:r>
          </w:p>
        </w:tc>
        <w:tc>
          <w:tcPr>
            <w:tcW w:w="888" w:type="dxa"/>
            <w:tcBorders>
              <w:top w:val="single" w:sz="2" w:space="0" w:color="3D7FE0" w:themeColor="accent1"/>
              <w:bottom w:val="single" w:sz="2" w:space="0" w:color="3D7FE0" w:themeColor="accent1"/>
            </w:tcBorders>
            <w:tcMar>
              <w:left w:w="0" w:type="dxa"/>
              <w:right w:w="0" w:type="dxa"/>
            </w:tcMar>
            <w:vAlign w:val="bottom"/>
          </w:tcPr>
          <w:p w14:paraId="486A8A56" w14:textId="450E58F5" w:rsidR="00865C3F" w:rsidRPr="00895810" w:rsidRDefault="00865C3F" w:rsidP="0063218B">
            <w:pPr>
              <w:pStyle w:val="TableColHeads"/>
              <w:rPr>
                <w:rFonts w:ascii="IBM Plex Sans Light" w:hAnsi="IBM Plex Sans Light"/>
              </w:rPr>
            </w:pPr>
            <w:r w:rsidRPr="00895810">
              <w:rPr>
                <w:rFonts w:ascii="IBM Plex Sans Light" w:hAnsi="IBM Plex Sans Light"/>
              </w:rPr>
              <w:t xml:space="preserve">Share of </w:t>
            </w:r>
            <w:r w:rsidR="0097119A" w:rsidRPr="00895810">
              <w:rPr>
                <w:rFonts w:ascii="IBM Plex Sans Light" w:hAnsi="IBM Plex Sans Light"/>
              </w:rPr>
              <w:t xml:space="preserve">Property </w:t>
            </w:r>
            <w:r w:rsidRPr="00895810">
              <w:rPr>
                <w:rFonts w:ascii="IBM Plex Sans Light" w:hAnsi="IBM Plex Sans Light"/>
              </w:rPr>
              <w:t>interests</w:t>
            </w:r>
          </w:p>
          <w:p w14:paraId="3A49CE39" w14:textId="77777777" w:rsidR="00865C3F" w:rsidRPr="00895810" w:rsidRDefault="00865C3F" w:rsidP="0063218B">
            <w:pPr>
              <w:pStyle w:val="TableColHeads"/>
              <w:rPr>
                <w:rFonts w:ascii="IBM Plex Sans Light" w:hAnsi="IBM Plex Sans Light"/>
              </w:rPr>
            </w:pPr>
            <w:r w:rsidRPr="00895810">
              <w:rPr>
                <w:rFonts w:ascii="IBM Plex Sans Light" w:hAnsi="IBM Plex Sans Light"/>
              </w:rPr>
              <w:t>£m</w:t>
            </w:r>
          </w:p>
        </w:tc>
        <w:tc>
          <w:tcPr>
            <w:tcW w:w="889" w:type="dxa"/>
            <w:tcBorders>
              <w:top w:val="single" w:sz="2" w:space="0" w:color="3D7FE0" w:themeColor="accent1"/>
              <w:bottom w:val="single" w:sz="2" w:space="0" w:color="3D7FE0" w:themeColor="accent1"/>
            </w:tcBorders>
            <w:tcMar>
              <w:left w:w="0" w:type="dxa"/>
              <w:right w:w="0" w:type="dxa"/>
            </w:tcMar>
            <w:vAlign w:val="bottom"/>
          </w:tcPr>
          <w:p w14:paraId="3C793766" w14:textId="77777777" w:rsidR="00865C3F" w:rsidRPr="00895810" w:rsidRDefault="00865C3F" w:rsidP="0063218B">
            <w:pPr>
              <w:pStyle w:val="TableColHeads"/>
              <w:rPr>
                <w:rFonts w:ascii="IBM Plex Sans Light" w:hAnsi="IBM Plex Sans Light"/>
              </w:rPr>
            </w:pPr>
            <w:r w:rsidRPr="00895810">
              <w:rPr>
                <w:rFonts w:ascii="IBM Plex Sans Light" w:hAnsi="IBM Plex Sans Light"/>
              </w:rPr>
              <w:t>Total</w:t>
            </w:r>
          </w:p>
          <w:p w14:paraId="114F23F7" w14:textId="77777777" w:rsidR="00865C3F" w:rsidRPr="00895810" w:rsidRDefault="00865C3F" w:rsidP="0063218B">
            <w:pPr>
              <w:pStyle w:val="TableColHeads"/>
              <w:rPr>
                <w:rFonts w:ascii="IBM Plex Sans Light" w:hAnsi="IBM Plex Sans Light"/>
              </w:rPr>
            </w:pPr>
            <w:r w:rsidRPr="00895810">
              <w:rPr>
                <w:rFonts w:ascii="IBM Plex Sans Light" w:hAnsi="IBM Plex Sans Light"/>
              </w:rPr>
              <w:t>£m</w:t>
            </w:r>
          </w:p>
        </w:tc>
      </w:tr>
      <w:tr w:rsidR="00177580" w:rsidRPr="00895810" w14:paraId="58C23410" w14:textId="77777777" w:rsidTr="00C55BF9">
        <w:tc>
          <w:tcPr>
            <w:tcW w:w="4025" w:type="dxa"/>
            <w:tcBorders>
              <w:top w:val="single" w:sz="2" w:space="0" w:color="3D7FE0" w:themeColor="accent1"/>
            </w:tcBorders>
            <w:tcMar>
              <w:left w:w="0" w:type="dxa"/>
              <w:right w:w="0" w:type="dxa"/>
            </w:tcMar>
          </w:tcPr>
          <w:p w14:paraId="7D9A955C" w14:textId="71762142" w:rsidR="00177580" w:rsidRPr="007C5135" w:rsidRDefault="00177580" w:rsidP="00345205">
            <w:pPr>
              <w:pStyle w:val="Tabletext"/>
              <w:rPr>
                <w:rFonts w:ascii="IBM Plex Sans Light" w:hAnsi="IBM Plex Sans Light"/>
                <w:spacing w:val="-4"/>
                <w:szCs w:val="16"/>
              </w:rPr>
            </w:pPr>
            <w:r w:rsidRPr="007C5135">
              <w:rPr>
                <w:rFonts w:ascii="IBM Plex Sans Light" w:hAnsi="IBM Plex Sans Light"/>
                <w:spacing w:val="-4"/>
                <w:szCs w:val="16"/>
              </w:rPr>
              <w:t>Discount on redemption of bonds</w:t>
            </w:r>
          </w:p>
        </w:tc>
        <w:tc>
          <w:tcPr>
            <w:tcW w:w="283" w:type="dxa"/>
            <w:tcBorders>
              <w:top w:val="single" w:sz="2" w:space="0" w:color="3D7FE0" w:themeColor="accent1"/>
            </w:tcBorders>
          </w:tcPr>
          <w:p w14:paraId="2E60D3D9" w14:textId="77777777" w:rsidR="00177580" w:rsidRPr="007C5135" w:rsidRDefault="00177580" w:rsidP="00177580">
            <w:pPr>
              <w:pStyle w:val="Tabletext"/>
              <w:ind w:left="139" w:hanging="139"/>
              <w:rPr>
                <w:rFonts w:ascii="IBM Plex Sans Light" w:hAnsi="IBM Plex Sans Light"/>
                <w:spacing w:val="-4"/>
                <w:szCs w:val="16"/>
              </w:rPr>
            </w:pPr>
          </w:p>
        </w:tc>
        <w:tc>
          <w:tcPr>
            <w:tcW w:w="888" w:type="dxa"/>
            <w:tcBorders>
              <w:top w:val="single" w:sz="2" w:space="0" w:color="3D7FE0" w:themeColor="accent1"/>
            </w:tcBorders>
          </w:tcPr>
          <w:p w14:paraId="53ABF530" w14:textId="54270967" w:rsidR="00177580" w:rsidRPr="007C5135" w:rsidRDefault="00177580" w:rsidP="00C55BF9">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(4.3)</w:t>
            </w:r>
          </w:p>
        </w:tc>
        <w:tc>
          <w:tcPr>
            <w:tcW w:w="888" w:type="dxa"/>
            <w:tcBorders>
              <w:top w:val="single" w:sz="2" w:space="0" w:color="3D7FE0" w:themeColor="accent1"/>
            </w:tcBorders>
          </w:tcPr>
          <w:p w14:paraId="06EA059D" w14:textId="78A086E9" w:rsidR="00177580" w:rsidRPr="007C5135" w:rsidRDefault="00177580" w:rsidP="00177580">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w:t>
            </w:r>
          </w:p>
        </w:tc>
        <w:tc>
          <w:tcPr>
            <w:tcW w:w="889" w:type="dxa"/>
            <w:tcBorders>
              <w:top w:val="single" w:sz="2" w:space="0" w:color="3D7FE0" w:themeColor="accent1"/>
            </w:tcBorders>
          </w:tcPr>
          <w:p w14:paraId="5AE5FCF9" w14:textId="41649853" w:rsidR="00177580" w:rsidRPr="007C5135" w:rsidRDefault="00177580" w:rsidP="00C55BF9">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(4.3)</w:t>
            </w:r>
          </w:p>
        </w:tc>
        <w:tc>
          <w:tcPr>
            <w:tcW w:w="888" w:type="dxa"/>
            <w:tcBorders>
              <w:top w:val="single" w:sz="2" w:space="0" w:color="3D7FE0" w:themeColor="accent1"/>
            </w:tcBorders>
            <w:tcMar>
              <w:left w:w="0" w:type="dxa"/>
              <w:right w:w="0" w:type="dxa"/>
            </w:tcMar>
          </w:tcPr>
          <w:p w14:paraId="4426CB5A" w14:textId="584EEE26"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olor w:val="auto"/>
                <w:spacing w:val="-4"/>
                <w:szCs w:val="16"/>
              </w:rPr>
              <w:t>–</w:t>
            </w:r>
          </w:p>
        </w:tc>
        <w:tc>
          <w:tcPr>
            <w:tcW w:w="888" w:type="dxa"/>
            <w:tcBorders>
              <w:top w:val="single" w:sz="2" w:space="0" w:color="3D7FE0" w:themeColor="accent1"/>
            </w:tcBorders>
            <w:tcMar>
              <w:left w:w="0" w:type="dxa"/>
              <w:right w:w="0" w:type="dxa"/>
            </w:tcMar>
          </w:tcPr>
          <w:p w14:paraId="1F540EF1" w14:textId="34B5949F"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olor w:val="auto"/>
                <w:spacing w:val="-4"/>
                <w:szCs w:val="16"/>
              </w:rPr>
              <w:t>–</w:t>
            </w:r>
          </w:p>
        </w:tc>
        <w:tc>
          <w:tcPr>
            <w:tcW w:w="889" w:type="dxa"/>
            <w:tcBorders>
              <w:top w:val="single" w:sz="2" w:space="0" w:color="3D7FE0" w:themeColor="accent1"/>
            </w:tcBorders>
            <w:tcMar>
              <w:left w:w="0" w:type="dxa"/>
              <w:right w:w="0" w:type="dxa"/>
            </w:tcMar>
          </w:tcPr>
          <w:p w14:paraId="76CE05D2" w14:textId="577A6BE1" w:rsidR="00177580" w:rsidRPr="007C5135" w:rsidRDefault="00177580" w:rsidP="00C55BF9">
            <w:pPr>
              <w:pStyle w:val="TableFigures"/>
              <w:spacing w:line="240" w:lineRule="auto"/>
              <w:rPr>
                <w:rFonts w:ascii="IBM Plex Sans Light" w:hAnsi="IBM Plex Sans Light"/>
                <w:bCs/>
                <w:color w:val="auto"/>
                <w:spacing w:val="-4"/>
                <w:szCs w:val="16"/>
              </w:rPr>
            </w:pPr>
            <w:r w:rsidRPr="007C5135">
              <w:rPr>
                <w:rFonts w:ascii="IBM Plex Sans Light" w:hAnsi="IBM Plex Sans Light"/>
                <w:color w:val="auto"/>
                <w:spacing w:val="-4"/>
                <w:szCs w:val="16"/>
              </w:rPr>
              <w:t>–</w:t>
            </w:r>
          </w:p>
        </w:tc>
      </w:tr>
      <w:tr w:rsidR="00177580" w:rsidRPr="00895810" w14:paraId="75339E8D" w14:textId="77777777" w:rsidTr="00C55BF9">
        <w:tc>
          <w:tcPr>
            <w:tcW w:w="4025" w:type="dxa"/>
            <w:tcMar>
              <w:left w:w="0" w:type="dxa"/>
              <w:right w:w="0" w:type="dxa"/>
            </w:tcMar>
          </w:tcPr>
          <w:p w14:paraId="6E16AB26" w14:textId="5BE6E513" w:rsidR="00177580" w:rsidRPr="007C5135" w:rsidRDefault="00177580" w:rsidP="00177580">
            <w:pPr>
              <w:pStyle w:val="Tabletext"/>
              <w:rPr>
                <w:rFonts w:ascii="IBM Plex Sans Light" w:hAnsi="IBM Plex Sans Light"/>
                <w:spacing w:val="-4"/>
                <w:szCs w:val="16"/>
              </w:rPr>
            </w:pPr>
            <w:r w:rsidRPr="007C5135">
              <w:rPr>
                <w:rFonts w:ascii="IBM Plex Sans Light" w:hAnsi="IBM Plex Sans Light"/>
                <w:spacing w:val="-4"/>
                <w:szCs w:val="16"/>
              </w:rPr>
              <w:t>Debt and loan facility cancellation costs</w:t>
            </w:r>
          </w:p>
        </w:tc>
        <w:tc>
          <w:tcPr>
            <w:tcW w:w="283" w:type="dxa"/>
          </w:tcPr>
          <w:p w14:paraId="76B0B9ED" w14:textId="77777777" w:rsidR="00177580" w:rsidRPr="007C5135" w:rsidRDefault="00177580" w:rsidP="00177580">
            <w:pPr>
              <w:pStyle w:val="Tabletext"/>
              <w:ind w:left="-107" w:right="-46"/>
              <w:rPr>
                <w:rFonts w:ascii="IBM Plex Sans Light" w:hAnsi="IBM Plex Sans Light"/>
                <w:spacing w:val="-4"/>
                <w:szCs w:val="16"/>
              </w:rPr>
            </w:pPr>
          </w:p>
        </w:tc>
        <w:tc>
          <w:tcPr>
            <w:tcW w:w="888" w:type="dxa"/>
          </w:tcPr>
          <w:p w14:paraId="74D9B34E" w14:textId="4B346F69" w:rsidR="00177580" w:rsidRPr="007C5135" w:rsidRDefault="00177580" w:rsidP="00177580">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w:t>
            </w:r>
          </w:p>
        </w:tc>
        <w:tc>
          <w:tcPr>
            <w:tcW w:w="888" w:type="dxa"/>
          </w:tcPr>
          <w:p w14:paraId="5EC09B10" w14:textId="35A2DF05" w:rsidR="00177580" w:rsidRPr="007C5135" w:rsidRDefault="00177580" w:rsidP="00177580">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w:t>
            </w:r>
          </w:p>
        </w:tc>
        <w:tc>
          <w:tcPr>
            <w:tcW w:w="889" w:type="dxa"/>
          </w:tcPr>
          <w:p w14:paraId="1E09AC07" w14:textId="44528E6B" w:rsidR="00177580" w:rsidRPr="007C5135" w:rsidRDefault="00177580" w:rsidP="00177580">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w:t>
            </w:r>
          </w:p>
        </w:tc>
        <w:tc>
          <w:tcPr>
            <w:tcW w:w="888" w:type="dxa"/>
            <w:tcMar>
              <w:left w:w="0" w:type="dxa"/>
              <w:right w:w="0" w:type="dxa"/>
            </w:tcMar>
          </w:tcPr>
          <w:p w14:paraId="74193BA4" w14:textId="57A7625D"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1.3</w:t>
            </w:r>
          </w:p>
        </w:tc>
        <w:tc>
          <w:tcPr>
            <w:tcW w:w="888" w:type="dxa"/>
            <w:tcMar>
              <w:left w:w="0" w:type="dxa"/>
              <w:right w:w="0" w:type="dxa"/>
            </w:tcMar>
          </w:tcPr>
          <w:p w14:paraId="0711FE24" w14:textId="4B757575" w:rsidR="00177580" w:rsidRPr="007C5135" w:rsidRDefault="00177580" w:rsidP="00C55BF9">
            <w:pPr>
              <w:pStyle w:val="TableFigures"/>
              <w:spacing w:line="240" w:lineRule="auto"/>
              <w:rPr>
                <w:rFonts w:ascii="IBM Plex Sans Light" w:hAnsi="IBM Plex Sans Light"/>
                <w:color w:val="auto"/>
                <w:spacing w:val="-4"/>
                <w:szCs w:val="16"/>
              </w:rPr>
            </w:pPr>
            <w:r w:rsidRPr="007C5135">
              <w:rPr>
                <w:rFonts w:ascii="IBM Plex Sans Light" w:hAnsi="IBM Plex Sans Light"/>
                <w:color w:val="auto"/>
                <w:spacing w:val="-4"/>
                <w:szCs w:val="16"/>
              </w:rPr>
              <w:t>–</w:t>
            </w:r>
          </w:p>
        </w:tc>
        <w:tc>
          <w:tcPr>
            <w:tcW w:w="889" w:type="dxa"/>
            <w:tcMar>
              <w:left w:w="0" w:type="dxa"/>
              <w:right w:w="0" w:type="dxa"/>
            </w:tcMar>
          </w:tcPr>
          <w:p w14:paraId="584F4C6C" w14:textId="7427EF7A"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bCs/>
                <w:color w:val="auto"/>
                <w:spacing w:val="-4"/>
                <w:szCs w:val="16"/>
              </w:rPr>
              <w:t>1.3</w:t>
            </w:r>
          </w:p>
        </w:tc>
      </w:tr>
      <w:tr w:rsidR="00177580" w:rsidRPr="00895810" w14:paraId="1BC34F89" w14:textId="77777777" w:rsidTr="00C55BF9">
        <w:tc>
          <w:tcPr>
            <w:tcW w:w="4025" w:type="dxa"/>
            <w:tcMar>
              <w:left w:w="0" w:type="dxa"/>
              <w:right w:w="0" w:type="dxa"/>
            </w:tcMar>
          </w:tcPr>
          <w:p w14:paraId="10DDAD18" w14:textId="6FD9975A" w:rsidR="00177580" w:rsidRPr="00024B10" w:rsidRDefault="00177580" w:rsidP="00177580">
            <w:pPr>
              <w:pStyle w:val="Tabletext"/>
              <w:rPr>
                <w:rFonts w:ascii="IBM Plex Sans Light" w:hAnsi="IBM Plex Sans Light"/>
                <w:spacing w:val="-4"/>
                <w:szCs w:val="16"/>
                <w:vertAlign w:val="superscript"/>
              </w:rPr>
            </w:pPr>
            <w:r w:rsidRPr="007C5135">
              <w:rPr>
                <w:rFonts w:ascii="IBM Plex Sans Light" w:hAnsi="IBM Plex Sans Light"/>
                <w:spacing w:val="-4"/>
                <w:szCs w:val="16"/>
              </w:rPr>
              <w:t xml:space="preserve">Change in fair value of </w:t>
            </w:r>
            <w:proofErr w:type="spellStart"/>
            <w:r w:rsidRPr="007C5135">
              <w:rPr>
                <w:rFonts w:ascii="IBM Plex Sans Light" w:hAnsi="IBM Plex Sans Light"/>
                <w:spacing w:val="-4"/>
                <w:szCs w:val="16"/>
              </w:rPr>
              <w:t>derivatives</w:t>
            </w:r>
            <w:r w:rsidR="00CE2F7F">
              <w:rPr>
                <w:rFonts w:ascii="IBM Plex Sans Light" w:hAnsi="IBM Plex Sans Light"/>
                <w:spacing w:val="-4"/>
                <w:szCs w:val="16"/>
                <w:vertAlign w:val="superscript"/>
              </w:rPr>
              <w:t>f</w:t>
            </w:r>
            <w:proofErr w:type="spellEnd"/>
          </w:p>
        </w:tc>
        <w:tc>
          <w:tcPr>
            <w:tcW w:w="283" w:type="dxa"/>
          </w:tcPr>
          <w:p w14:paraId="012797D3" w14:textId="15DE8AD2" w:rsidR="00177580" w:rsidRPr="007C5135" w:rsidRDefault="00177580" w:rsidP="00024B10">
            <w:pPr>
              <w:pStyle w:val="Tabletext"/>
              <w:ind w:left="-107" w:right="-46"/>
              <w:jc w:val="center"/>
              <w:rPr>
                <w:rFonts w:ascii="IBM Plex Sans Light" w:hAnsi="IBM Plex Sans Light"/>
                <w:spacing w:val="-4"/>
                <w:szCs w:val="16"/>
              </w:rPr>
            </w:pPr>
          </w:p>
        </w:tc>
        <w:tc>
          <w:tcPr>
            <w:tcW w:w="888" w:type="dxa"/>
          </w:tcPr>
          <w:p w14:paraId="66F8197F" w14:textId="2E2E8347" w:rsidR="00177580" w:rsidRPr="007C5135" w:rsidRDefault="00177580" w:rsidP="00C55BF9">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(0.7)</w:t>
            </w:r>
          </w:p>
        </w:tc>
        <w:tc>
          <w:tcPr>
            <w:tcW w:w="888" w:type="dxa"/>
          </w:tcPr>
          <w:p w14:paraId="56F6FE8B" w14:textId="496EFD8E" w:rsidR="00177580" w:rsidRPr="007C5135" w:rsidRDefault="00177580" w:rsidP="00177580">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1.8</w:t>
            </w:r>
          </w:p>
        </w:tc>
        <w:tc>
          <w:tcPr>
            <w:tcW w:w="889" w:type="dxa"/>
          </w:tcPr>
          <w:p w14:paraId="5C9004E5" w14:textId="4202045B" w:rsidR="00177580" w:rsidRPr="007C5135" w:rsidRDefault="00177580" w:rsidP="00177580">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1.1</w:t>
            </w:r>
          </w:p>
        </w:tc>
        <w:tc>
          <w:tcPr>
            <w:tcW w:w="888" w:type="dxa"/>
            <w:tcMar>
              <w:left w:w="0" w:type="dxa"/>
              <w:right w:w="0" w:type="dxa"/>
            </w:tcMar>
          </w:tcPr>
          <w:p w14:paraId="1C189C56" w14:textId="449F2FF4"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14.4</w:t>
            </w:r>
          </w:p>
        </w:tc>
        <w:tc>
          <w:tcPr>
            <w:tcW w:w="888" w:type="dxa"/>
            <w:tcMar>
              <w:left w:w="0" w:type="dxa"/>
              <w:right w:w="0" w:type="dxa"/>
            </w:tcMar>
          </w:tcPr>
          <w:p w14:paraId="77324C3B" w14:textId="497AC97C" w:rsidR="00177580" w:rsidRPr="007C5135" w:rsidRDefault="00177580" w:rsidP="00C55BF9">
            <w:pPr>
              <w:pStyle w:val="TableFiguresBold"/>
              <w:ind w:right="34"/>
              <w:rPr>
                <w:rFonts w:ascii="IBM Plex Sans Light" w:hAnsi="IBM Plex Sans Light" w:cs="MyriadPro-Light"/>
                <w:b w:val="0"/>
                <w:bCs w:val="0"/>
                <w:color w:val="auto"/>
                <w:spacing w:val="-4"/>
                <w:szCs w:val="16"/>
              </w:rPr>
            </w:pPr>
            <w:r w:rsidRPr="007C5135">
              <w:rPr>
                <w:rFonts w:ascii="IBM Plex Sans Light" w:hAnsi="IBM Plex Sans Light" w:cs="MyriadPro-Light"/>
                <w:b w:val="0"/>
                <w:bCs w:val="0"/>
                <w:color w:val="auto"/>
                <w:spacing w:val="-4"/>
                <w:szCs w:val="16"/>
              </w:rPr>
              <w:t>(4.1)</w:t>
            </w:r>
          </w:p>
        </w:tc>
        <w:tc>
          <w:tcPr>
            <w:tcW w:w="889" w:type="dxa"/>
            <w:tcMar>
              <w:left w:w="0" w:type="dxa"/>
              <w:right w:w="0" w:type="dxa"/>
            </w:tcMar>
          </w:tcPr>
          <w:p w14:paraId="5FA36E17" w14:textId="6F4776CC"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10.3</w:t>
            </w:r>
          </w:p>
        </w:tc>
      </w:tr>
      <w:tr w:rsidR="00177580" w:rsidRPr="00895810" w14:paraId="2A65EACF" w14:textId="77777777" w:rsidTr="00C55BF9">
        <w:tc>
          <w:tcPr>
            <w:tcW w:w="4025" w:type="dxa"/>
            <w:tcBorders>
              <w:top w:val="single" w:sz="2" w:space="0" w:color="3D7FE0" w:themeColor="accent1"/>
              <w:bottom w:val="single" w:sz="8" w:space="0" w:color="3D7FE0" w:themeColor="accent1"/>
            </w:tcBorders>
            <w:tcMar>
              <w:left w:w="0" w:type="dxa"/>
              <w:right w:w="0" w:type="dxa"/>
            </w:tcMar>
          </w:tcPr>
          <w:p w14:paraId="14D784AD" w14:textId="77777777" w:rsidR="00177580" w:rsidRPr="007C5135" w:rsidRDefault="00177580" w:rsidP="00177580">
            <w:pPr>
              <w:pStyle w:val="Tabletext"/>
              <w:rPr>
                <w:rFonts w:ascii="IBM Plex Sans Light" w:hAnsi="IBM Plex Sans Light"/>
                <w:spacing w:val="-4"/>
                <w:szCs w:val="16"/>
              </w:rPr>
            </w:pPr>
            <w:r w:rsidRPr="007C5135">
              <w:rPr>
                <w:rFonts w:ascii="IBM Plex Sans Light" w:hAnsi="IBM Plex Sans Light"/>
                <w:spacing w:val="-4"/>
                <w:szCs w:val="16"/>
              </w:rPr>
              <w:t xml:space="preserve">     </w:t>
            </w:r>
          </w:p>
        </w:tc>
        <w:tc>
          <w:tcPr>
            <w:tcW w:w="283" w:type="dxa"/>
            <w:tcBorders>
              <w:top w:val="single" w:sz="2" w:space="0" w:color="3D7FE0" w:themeColor="accent1"/>
              <w:bottom w:val="single" w:sz="8" w:space="0" w:color="3D7FE0" w:themeColor="accent1"/>
            </w:tcBorders>
          </w:tcPr>
          <w:p w14:paraId="2883ED9B" w14:textId="278E3016" w:rsidR="00177580" w:rsidRPr="007C5135" w:rsidRDefault="00177580" w:rsidP="00177580">
            <w:pPr>
              <w:pStyle w:val="Tabletext"/>
              <w:rPr>
                <w:rFonts w:ascii="IBM Plex Sans Light" w:hAnsi="IBM Plex Sans Light"/>
                <w:spacing w:val="-4"/>
                <w:szCs w:val="16"/>
              </w:rPr>
            </w:pPr>
          </w:p>
        </w:tc>
        <w:tc>
          <w:tcPr>
            <w:tcW w:w="888" w:type="dxa"/>
            <w:tcBorders>
              <w:top w:val="single" w:sz="2" w:space="0" w:color="3D7FE0" w:themeColor="accent1"/>
              <w:bottom w:val="single" w:sz="8" w:space="0" w:color="3D7FE0" w:themeColor="accent1"/>
            </w:tcBorders>
          </w:tcPr>
          <w:p w14:paraId="683F1AA3" w14:textId="626DF3BE" w:rsidR="00177580" w:rsidRPr="007C5135" w:rsidRDefault="00177580" w:rsidP="00C55BF9">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(5.0)</w:t>
            </w:r>
          </w:p>
        </w:tc>
        <w:tc>
          <w:tcPr>
            <w:tcW w:w="888" w:type="dxa"/>
            <w:tcBorders>
              <w:top w:val="single" w:sz="2" w:space="0" w:color="3D7FE0" w:themeColor="accent1"/>
              <w:bottom w:val="single" w:sz="8" w:space="0" w:color="3D7FE0" w:themeColor="accent1"/>
            </w:tcBorders>
          </w:tcPr>
          <w:p w14:paraId="57EDDC6B" w14:textId="2F2CB450" w:rsidR="00177580" w:rsidRPr="007C5135" w:rsidRDefault="00177580" w:rsidP="00177580">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1.8</w:t>
            </w:r>
          </w:p>
        </w:tc>
        <w:tc>
          <w:tcPr>
            <w:tcW w:w="889" w:type="dxa"/>
            <w:tcBorders>
              <w:top w:val="single" w:sz="2" w:space="0" w:color="3D7FE0" w:themeColor="accent1"/>
              <w:bottom w:val="single" w:sz="8" w:space="0" w:color="3D7FE0" w:themeColor="accent1"/>
            </w:tcBorders>
          </w:tcPr>
          <w:p w14:paraId="5B2DE2B7" w14:textId="610E374E" w:rsidR="00177580" w:rsidRPr="007C5135" w:rsidRDefault="00177580" w:rsidP="00C55BF9">
            <w:pPr>
              <w:pStyle w:val="TableFiguresBracket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(3.2)</w:t>
            </w:r>
          </w:p>
        </w:tc>
        <w:tc>
          <w:tcPr>
            <w:tcW w:w="888" w:type="dxa"/>
            <w:tcBorders>
              <w:top w:val="single" w:sz="2" w:space="0" w:color="3D7FE0" w:themeColor="accent1"/>
              <w:bottom w:val="single" w:sz="8" w:space="0" w:color="3D7FE0" w:themeColor="accent1"/>
            </w:tcBorders>
            <w:tcMar>
              <w:left w:w="0" w:type="dxa"/>
              <w:right w:w="0" w:type="dxa"/>
            </w:tcMar>
          </w:tcPr>
          <w:p w14:paraId="0A5F6B43" w14:textId="30AF84D1"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15.7</w:t>
            </w:r>
          </w:p>
        </w:tc>
        <w:tc>
          <w:tcPr>
            <w:tcW w:w="888" w:type="dxa"/>
            <w:tcBorders>
              <w:top w:val="single" w:sz="2" w:space="0" w:color="3D7FE0" w:themeColor="accent1"/>
              <w:bottom w:val="single" w:sz="8" w:space="0" w:color="3D7FE0" w:themeColor="accent1"/>
            </w:tcBorders>
            <w:tcMar>
              <w:left w:w="0" w:type="dxa"/>
              <w:right w:w="0" w:type="dxa"/>
            </w:tcMar>
          </w:tcPr>
          <w:p w14:paraId="09A2A895" w14:textId="314D3024" w:rsidR="00177580" w:rsidRPr="007C5135" w:rsidRDefault="00177580" w:rsidP="00C55BF9">
            <w:pPr>
              <w:pStyle w:val="TableFiguresBold"/>
              <w:ind w:right="34"/>
              <w:rPr>
                <w:rFonts w:ascii="IBM Plex Sans Light" w:hAnsi="IBM Plex Sans Light" w:cs="MyriadPro-Light"/>
                <w:b w:val="0"/>
                <w:bCs w:val="0"/>
                <w:color w:val="auto"/>
                <w:spacing w:val="-4"/>
                <w:szCs w:val="16"/>
              </w:rPr>
            </w:pPr>
            <w:r w:rsidRPr="007C5135">
              <w:rPr>
                <w:rFonts w:ascii="IBM Plex Sans Light" w:hAnsi="IBM Plex Sans Light" w:cs="MyriadPro-Light"/>
                <w:b w:val="0"/>
                <w:bCs w:val="0"/>
                <w:color w:val="auto"/>
                <w:spacing w:val="-4"/>
                <w:szCs w:val="16"/>
              </w:rPr>
              <w:t>(4.1)</w:t>
            </w:r>
          </w:p>
        </w:tc>
        <w:tc>
          <w:tcPr>
            <w:tcW w:w="889" w:type="dxa"/>
            <w:tcBorders>
              <w:top w:val="single" w:sz="2" w:space="0" w:color="3D7FE0" w:themeColor="accent1"/>
              <w:bottom w:val="single" w:sz="8" w:space="0" w:color="3D7FE0" w:themeColor="accent1"/>
            </w:tcBorders>
            <w:tcMar>
              <w:left w:w="0" w:type="dxa"/>
              <w:right w:w="0" w:type="dxa"/>
            </w:tcMar>
          </w:tcPr>
          <w:p w14:paraId="402A1B4B" w14:textId="79B56CFA" w:rsidR="00177580" w:rsidRPr="007C5135" w:rsidRDefault="00177580"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11.6</w:t>
            </w:r>
          </w:p>
        </w:tc>
      </w:tr>
    </w:tbl>
    <w:p w14:paraId="3E54B080" w14:textId="77777777" w:rsidR="00177580" w:rsidRDefault="00177580" w:rsidP="00177580">
      <w:pPr>
        <w:tabs>
          <w:tab w:val="left" w:pos="170"/>
          <w:tab w:val="left" w:pos="340"/>
        </w:tabs>
        <w:suppressAutoHyphens/>
        <w:autoSpaceDE w:val="0"/>
        <w:autoSpaceDN w:val="0"/>
        <w:adjustRightInd w:val="0"/>
        <w:spacing w:after="57" w:line="185" w:lineRule="atLeast"/>
        <w:ind w:left="170" w:hanging="170"/>
        <w:textAlignment w:val="center"/>
        <w:rPr>
          <w:rFonts w:ascii="IBM Plex Sans Light" w:hAnsi="IBM Plex Sans Light" w:cs="IBM Plex Sans Light"/>
          <w:color w:val="000000"/>
          <w:spacing w:val="-5"/>
          <w:sz w:val="16"/>
          <w:szCs w:val="16"/>
        </w:rPr>
      </w:pPr>
      <w:r w:rsidRPr="00177580">
        <w:rPr>
          <w:rFonts w:ascii="IBM Plex Sans Light" w:hAnsi="IBM Plex Sans Light" w:cs="IBM Plex Sans Light"/>
          <w:color w:val="000000"/>
          <w:spacing w:val="-5"/>
          <w:sz w:val="16"/>
          <w:szCs w:val="16"/>
        </w:rPr>
        <w:tab/>
      </w:r>
    </w:p>
    <w:p w14:paraId="2A867D6E" w14:textId="665DFA35" w:rsidR="00177580" w:rsidRPr="007C5135" w:rsidRDefault="00177580" w:rsidP="00177580">
      <w:pPr>
        <w:suppressAutoHyphens/>
        <w:autoSpaceDE w:val="0"/>
        <w:autoSpaceDN w:val="0"/>
        <w:adjustRightInd w:val="0"/>
        <w:spacing w:after="57" w:line="185" w:lineRule="atLeast"/>
        <w:ind w:left="284"/>
        <w:textAlignment w:val="center"/>
        <w:rPr>
          <w:rFonts w:ascii="IBM Plex Sans Light" w:hAnsi="IBM Plex Sans Light" w:cs="IBM Plex Sans Light"/>
          <w:color w:val="000000"/>
          <w:spacing w:val="-5"/>
          <w:sz w:val="16"/>
          <w:szCs w:val="16"/>
        </w:rPr>
      </w:pPr>
      <w:r w:rsidRPr="007C5135">
        <w:rPr>
          <w:rFonts w:ascii="IBM Plex Sans Light" w:hAnsi="IBM Plex Sans Light" w:cs="IBM Plex Sans Light"/>
          <w:color w:val="000000"/>
          <w:spacing w:val="-5"/>
          <w:sz w:val="16"/>
          <w:szCs w:val="16"/>
        </w:rPr>
        <w:t>The write off of up-front fees arising on early cancellation or early repayment redemption premiums are considered outside of day-to-day financing activities and are accordingly excluded from Adjusted earnings.</w:t>
      </w:r>
    </w:p>
    <w:p w14:paraId="0486A434" w14:textId="77777777" w:rsidR="00177580" w:rsidRPr="007C5135" w:rsidRDefault="00177580" w:rsidP="00345205">
      <w:pPr>
        <w:suppressAutoHyphens/>
        <w:autoSpaceDE w:val="0"/>
        <w:autoSpaceDN w:val="0"/>
        <w:adjustRightInd w:val="0"/>
        <w:spacing w:after="57" w:line="185" w:lineRule="atLeast"/>
        <w:ind w:left="284" w:hanging="284"/>
        <w:textAlignment w:val="center"/>
        <w:rPr>
          <w:rFonts w:ascii="IBM Plex Sans Light" w:hAnsi="IBM Plex Sans Light" w:cs="IBM Plex Sans Light"/>
          <w:color w:val="000000"/>
          <w:spacing w:val="-5"/>
          <w:sz w:val="16"/>
          <w:szCs w:val="16"/>
        </w:rPr>
      </w:pPr>
      <w:r w:rsidRPr="007C5135">
        <w:rPr>
          <w:rFonts w:ascii="IBM Plex Sans Light" w:hAnsi="IBM Plex Sans Light" w:cs="IBM Plex Sans Light"/>
          <w:color w:val="000000"/>
          <w:spacing w:val="-5"/>
          <w:sz w:val="16"/>
          <w:szCs w:val="16"/>
        </w:rPr>
        <w:t>h</w:t>
      </w:r>
      <w:r w:rsidRPr="007C5135">
        <w:rPr>
          <w:rFonts w:ascii="IBM Plex Sans Light" w:hAnsi="IBM Plex Sans Light" w:cs="IBM Plex Sans Light"/>
          <w:color w:val="000000"/>
          <w:spacing w:val="-5"/>
          <w:sz w:val="16"/>
          <w:szCs w:val="16"/>
        </w:rPr>
        <w:tab/>
        <w:t>Relates to the fair value movement in a small residual investment in VIA Outlets.</w:t>
      </w:r>
    </w:p>
    <w:p w14:paraId="3C325EB3" w14:textId="77777777" w:rsidR="00345205" w:rsidRPr="007C5135" w:rsidRDefault="00345205" w:rsidP="00345205">
      <w:pPr>
        <w:suppressAutoHyphens/>
        <w:autoSpaceDE w:val="0"/>
        <w:autoSpaceDN w:val="0"/>
        <w:adjustRightInd w:val="0"/>
        <w:spacing w:after="57" w:line="185" w:lineRule="atLeast"/>
        <w:ind w:left="284" w:hanging="284"/>
        <w:textAlignment w:val="center"/>
        <w:rPr>
          <w:rFonts w:ascii="IBM Plex Sans Light" w:hAnsi="IBM Plex Sans Light" w:cs="IBM Plex Sans Light"/>
          <w:color w:val="000000"/>
          <w:spacing w:val="-5"/>
          <w:sz w:val="16"/>
          <w:szCs w:val="16"/>
        </w:rPr>
      </w:pPr>
      <w:r w:rsidRPr="007C5135">
        <w:rPr>
          <w:rFonts w:ascii="IBM Plex Sans Light" w:hAnsi="IBM Plex Sans Light" w:cs="IBM Plex Sans Light"/>
          <w:color w:val="000000"/>
          <w:spacing w:val="-5"/>
          <w:sz w:val="16"/>
          <w:szCs w:val="16"/>
        </w:rPr>
        <w:t>i</w:t>
      </w:r>
      <w:r w:rsidRPr="007C5135">
        <w:rPr>
          <w:rFonts w:ascii="IBM Plex Sans Light" w:hAnsi="IBM Plex Sans Light" w:cs="IBM Plex Sans Light"/>
          <w:color w:val="000000"/>
          <w:spacing w:val="-5"/>
          <w:sz w:val="16"/>
          <w:szCs w:val="16"/>
        </w:rPr>
        <w:tab/>
        <w:t>Business transformation costs comprise:</w:t>
      </w:r>
    </w:p>
    <w:tbl>
      <w:tblPr>
        <w:tblStyle w:val="TableGrid"/>
        <w:tblW w:w="9661" w:type="dxa"/>
        <w:tblInd w:w="284" w:type="dxa"/>
        <w:tblLayout w:type="fixed"/>
        <w:tblLook w:val="04A0" w:firstRow="1" w:lastRow="0" w:firstColumn="1" w:lastColumn="0" w:noHBand="0" w:noVBand="1"/>
      </w:tblPr>
      <w:tblGrid>
        <w:gridCol w:w="6180"/>
        <w:gridCol w:w="312"/>
        <w:gridCol w:w="709"/>
        <w:gridCol w:w="1275"/>
        <w:gridCol w:w="1185"/>
      </w:tblGrid>
      <w:tr w:rsidR="00A4130A" w:rsidRPr="00895810" w14:paraId="6952308F" w14:textId="77777777" w:rsidTr="007B052B">
        <w:trPr>
          <w:trHeight w:val="262"/>
        </w:trPr>
        <w:tc>
          <w:tcPr>
            <w:tcW w:w="6180" w:type="dxa"/>
            <w:tcBorders>
              <w:bottom w:val="single" w:sz="2" w:space="0" w:color="3D7FE0" w:themeColor="accent1"/>
            </w:tcBorders>
            <w:vAlign w:val="bottom"/>
          </w:tcPr>
          <w:p w14:paraId="4CD0F0D7" w14:textId="77777777" w:rsidR="00A4130A" w:rsidRPr="00895810" w:rsidRDefault="00A4130A" w:rsidP="003F2C4C">
            <w:pPr>
              <w:pStyle w:val="TableColHeads"/>
              <w:jc w:val="left"/>
              <w:rPr>
                <w:rFonts w:ascii="IBM Plex Sans Light" w:hAnsi="IBM Plex Sans Light"/>
                <w:sz w:val="16"/>
                <w:szCs w:val="16"/>
              </w:rPr>
            </w:pPr>
          </w:p>
        </w:tc>
        <w:tc>
          <w:tcPr>
            <w:tcW w:w="312" w:type="dxa"/>
            <w:tcBorders>
              <w:bottom w:val="single" w:sz="2" w:space="0" w:color="3D7FE0" w:themeColor="accent1"/>
            </w:tcBorders>
            <w:vAlign w:val="bottom"/>
          </w:tcPr>
          <w:p w14:paraId="06B44D90" w14:textId="77777777" w:rsidR="00A4130A" w:rsidRPr="00895810" w:rsidRDefault="00A4130A" w:rsidP="003F2C4C">
            <w:pPr>
              <w:pStyle w:val="TableColHeadsBold"/>
              <w:jc w:val="left"/>
              <w:rPr>
                <w:rFonts w:ascii="IBM Plex Sans Light" w:hAnsi="IBM Plex Sans Light"/>
                <w:color w:val="3D7FE0" w:themeColor="accent1"/>
                <w:sz w:val="16"/>
                <w:szCs w:val="16"/>
              </w:rPr>
            </w:pPr>
          </w:p>
        </w:tc>
        <w:tc>
          <w:tcPr>
            <w:tcW w:w="709" w:type="dxa"/>
            <w:tcBorders>
              <w:bottom w:val="single" w:sz="2" w:space="0" w:color="3D7FE0" w:themeColor="accent1"/>
            </w:tcBorders>
            <w:vAlign w:val="bottom"/>
          </w:tcPr>
          <w:p w14:paraId="4E103E8A" w14:textId="77777777" w:rsidR="00A4130A" w:rsidRPr="00895810" w:rsidRDefault="00A4130A" w:rsidP="003F2C4C">
            <w:pPr>
              <w:pStyle w:val="TableColHeadsBold"/>
              <w:tabs>
                <w:tab w:val="clear" w:pos="284"/>
              </w:tabs>
              <w:ind w:right="57"/>
              <w:jc w:val="center"/>
              <w:rPr>
                <w:rFonts w:ascii="IBM Plex Sans Light" w:hAnsi="IBM Plex Sans Light"/>
                <w:szCs w:val="14"/>
              </w:rPr>
            </w:pPr>
          </w:p>
        </w:tc>
        <w:tc>
          <w:tcPr>
            <w:tcW w:w="1275" w:type="dxa"/>
            <w:tcBorders>
              <w:bottom w:val="single" w:sz="2" w:space="0" w:color="3D7FE0" w:themeColor="accent1"/>
            </w:tcBorders>
            <w:vAlign w:val="bottom"/>
          </w:tcPr>
          <w:p w14:paraId="603C1AEF" w14:textId="2D361B89" w:rsidR="00A4130A" w:rsidRPr="00895810" w:rsidRDefault="00785AC2" w:rsidP="003F2C4C">
            <w:pPr>
              <w:pStyle w:val="TableColHeadsBold"/>
              <w:rPr>
                <w:rFonts w:ascii="IBM Plex Sans Light" w:hAnsi="IBM Plex Sans Light"/>
                <w:color w:val="3D7FE0" w:themeColor="accent1"/>
                <w:szCs w:val="14"/>
              </w:rPr>
            </w:pPr>
            <w:r>
              <w:rPr>
                <w:rFonts w:ascii="IBM Plex Sans Light" w:hAnsi="IBM Plex Sans Light"/>
                <w:color w:val="3D7FE0" w:themeColor="accent1"/>
                <w:szCs w:val="14"/>
              </w:rPr>
              <w:t>2023</w:t>
            </w:r>
          </w:p>
          <w:p w14:paraId="7CE224C1" w14:textId="77777777" w:rsidR="00A4130A" w:rsidRPr="00895810" w:rsidRDefault="00A4130A" w:rsidP="003F2C4C">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£m</w:t>
            </w:r>
          </w:p>
        </w:tc>
        <w:tc>
          <w:tcPr>
            <w:tcW w:w="1185" w:type="dxa"/>
            <w:tcBorders>
              <w:bottom w:val="single" w:sz="2" w:space="0" w:color="3D7FE0" w:themeColor="accent1"/>
            </w:tcBorders>
            <w:vAlign w:val="bottom"/>
          </w:tcPr>
          <w:p w14:paraId="0AA8E977" w14:textId="46FA5155" w:rsidR="00A4130A" w:rsidRPr="00895810" w:rsidRDefault="006E7EB0" w:rsidP="003F2C4C">
            <w:pPr>
              <w:pStyle w:val="TableColHeadsBold"/>
              <w:rPr>
                <w:rFonts w:ascii="IBM Plex Sans Light" w:hAnsi="IBM Plex Sans Light"/>
                <w:b w:val="0"/>
                <w:bCs w:val="0"/>
                <w:szCs w:val="14"/>
              </w:rPr>
            </w:pPr>
            <w:r>
              <w:rPr>
                <w:rFonts w:ascii="IBM Plex Sans Light" w:hAnsi="IBM Plex Sans Light"/>
                <w:b w:val="0"/>
                <w:bCs w:val="0"/>
                <w:szCs w:val="14"/>
              </w:rPr>
              <w:t>2022</w:t>
            </w:r>
          </w:p>
          <w:p w14:paraId="0D113CB2" w14:textId="77777777" w:rsidR="00A4130A" w:rsidRPr="00895810" w:rsidRDefault="00A4130A" w:rsidP="003F2C4C">
            <w:pPr>
              <w:pStyle w:val="TableColHeadsBold"/>
              <w:rPr>
                <w:rFonts w:ascii="IBM Plex Sans Light" w:hAnsi="IBM Plex Sans Light"/>
                <w:b w:val="0"/>
                <w:bCs w:val="0"/>
                <w:szCs w:val="14"/>
              </w:rPr>
            </w:pPr>
            <w:r w:rsidRPr="00895810">
              <w:rPr>
                <w:rFonts w:ascii="IBM Plex Sans Light" w:hAnsi="IBM Plex Sans Light"/>
                <w:b w:val="0"/>
                <w:bCs w:val="0"/>
                <w:szCs w:val="14"/>
              </w:rPr>
              <w:t xml:space="preserve">£m </w:t>
            </w:r>
          </w:p>
        </w:tc>
      </w:tr>
      <w:tr w:rsidR="00345205" w:rsidRPr="00895810" w14:paraId="3538A09E" w14:textId="77777777" w:rsidTr="002C6646">
        <w:trPr>
          <w:trHeight w:val="20"/>
        </w:trPr>
        <w:tc>
          <w:tcPr>
            <w:tcW w:w="6180" w:type="dxa"/>
            <w:tcBorders>
              <w:top w:val="single" w:sz="2" w:space="0" w:color="3D7FE0" w:themeColor="accent1"/>
            </w:tcBorders>
          </w:tcPr>
          <w:p w14:paraId="111DCB1F" w14:textId="72064EA6" w:rsidR="00345205" w:rsidRPr="007C5135" w:rsidRDefault="00345205" w:rsidP="00345205">
            <w:pPr>
              <w:pStyle w:val="Tabletext"/>
              <w:rPr>
                <w:rFonts w:ascii="IBM Plex Sans Light" w:hAnsi="IBM Plex Sans Light"/>
                <w:spacing w:val="-4"/>
                <w:szCs w:val="16"/>
              </w:rPr>
            </w:pPr>
            <w:r w:rsidRPr="007C5135">
              <w:rPr>
                <w:rFonts w:ascii="IBM Plex Sans Light" w:hAnsi="IBM Plex Sans Light"/>
                <w:spacing w:val="-4"/>
                <w:szCs w:val="16"/>
              </w:rPr>
              <w:t>Employee severance</w:t>
            </w:r>
          </w:p>
        </w:tc>
        <w:tc>
          <w:tcPr>
            <w:tcW w:w="312" w:type="dxa"/>
            <w:tcBorders>
              <w:top w:val="single" w:sz="2" w:space="0" w:color="3D7FE0" w:themeColor="accent1"/>
            </w:tcBorders>
            <w:shd w:val="clear" w:color="auto" w:fill="FFFFFF" w:themeFill="background1"/>
          </w:tcPr>
          <w:p w14:paraId="3F0630B0" w14:textId="77777777" w:rsidR="00345205" w:rsidRPr="007C5135" w:rsidRDefault="00345205" w:rsidP="00345205">
            <w:pPr>
              <w:pStyle w:val="Tabletext"/>
              <w:rPr>
                <w:rFonts w:ascii="IBM Plex Sans Light" w:hAnsi="IBM Plex Sans Light"/>
                <w:spacing w:val="-4"/>
                <w:szCs w:val="16"/>
              </w:rPr>
            </w:pPr>
          </w:p>
        </w:tc>
        <w:tc>
          <w:tcPr>
            <w:tcW w:w="709" w:type="dxa"/>
            <w:tcBorders>
              <w:top w:val="single" w:sz="2" w:space="0" w:color="3D7FE0" w:themeColor="accent1"/>
            </w:tcBorders>
            <w:shd w:val="clear" w:color="auto" w:fill="FFFFFF" w:themeFill="background1"/>
          </w:tcPr>
          <w:p w14:paraId="6B86B444" w14:textId="77777777" w:rsidR="00345205" w:rsidRPr="007C5135" w:rsidRDefault="00345205" w:rsidP="00345205">
            <w:pPr>
              <w:pStyle w:val="Tabletext"/>
              <w:ind w:right="-3"/>
              <w:jc w:val="right"/>
              <w:rPr>
                <w:rFonts w:ascii="IBM Plex Sans Light" w:hAnsi="IBM Plex Sans Light"/>
                <w:spacing w:val="-4"/>
                <w:szCs w:val="16"/>
              </w:rPr>
            </w:pPr>
          </w:p>
        </w:tc>
        <w:tc>
          <w:tcPr>
            <w:tcW w:w="1275" w:type="dxa"/>
            <w:tcBorders>
              <w:top w:val="single" w:sz="2" w:space="0" w:color="3D7FE0" w:themeColor="accent1"/>
            </w:tcBorders>
            <w:shd w:val="clear" w:color="auto" w:fill="FFFFFF" w:themeFill="background1"/>
          </w:tcPr>
          <w:p w14:paraId="29BE76DC" w14:textId="3FAD5539" w:rsidR="00345205" w:rsidRPr="007C5135" w:rsidRDefault="00345205" w:rsidP="00345205">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6.3</w:t>
            </w:r>
          </w:p>
        </w:tc>
        <w:tc>
          <w:tcPr>
            <w:tcW w:w="1185" w:type="dxa"/>
            <w:tcBorders>
              <w:top w:val="single" w:sz="2" w:space="0" w:color="3D7FE0" w:themeColor="accent1"/>
            </w:tcBorders>
            <w:shd w:val="clear" w:color="auto" w:fill="auto"/>
          </w:tcPr>
          <w:p w14:paraId="0AE2ADF7" w14:textId="1E0CF21B" w:rsidR="00345205" w:rsidRPr="007C5135" w:rsidRDefault="00345205"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3.4</w:t>
            </w:r>
          </w:p>
        </w:tc>
      </w:tr>
      <w:tr w:rsidR="00345205" w:rsidRPr="00895810" w14:paraId="0AC5DB20" w14:textId="77777777" w:rsidTr="0071622F">
        <w:trPr>
          <w:trHeight w:val="20"/>
        </w:trPr>
        <w:tc>
          <w:tcPr>
            <w:tcW w:w="6180" w:type="dxa"/>
          </w:tcPr>
          <w:p w14:paraId="59C9CBF8" w14:textId="78BCFEC2" w:rsidR="00345205" w:rsidRPr="007C5135" w:rsidRDefault="00345205" w:rsidP="00345205">
            <w:pPr>
              <w:pStyle w:val="Tabletext"/>
              <w:rPr>
                <w:rFonts w:ascii="IBM Plex Sans Light" w:hAnsi="IBM Plex Sans Light"/>
                <w:spacing w:val="-4"/>
                <w:szCs w:val="16"/>
              </w:rPr>
            </w:pPr>
            <w:r w:rsidRPr="007C5135">
              <w:rPr>
                <w:rFonts w:ascii="IBM Plex Sans Light" w:hAnsi="IBM Plex Sans Light"/>
                <w:spacing w:val="-4"/>
                <w:szCs w:val="16"/>
              </w:rPr>
              <w:t>System related costs</w:t>
            </w:r>
          </w:p>
        </w:tc>
        <w:tc>
          <w:tcPr>
            <w:tcW w:w="312" w:type="dxa"/>
            <w:shd w:val="clear" w:color="auto" w:fill="FFFFFF" w:themeFill="background1"/>
          </w:tcPr>
          <w:p w14:paraId="2DA2DCC9" w14:textId="77777777" w:rsidR="00345205" w:rsidRPr="007C5135" w:rsidRDefault="00345205" w:rsidP="00345205">
            <w:pPr>
              <w:pStyle w:val="Tabletext"/>
              <w:rPr>
                <w:rFonts w:ascii="IBM Plex Sans Light" w:hAnsi="IBM Plex Sans Light"/>
                <w:spacing w:val="-4"/>
                <w:szCs w:val="16"/>
              </w:rPr>
            </w:pPr>
          </w:p>
        </w:tc>
        <w:tc>
          <w:tcPr>
            <w:tcW w:w="709" w:type="dxa"/>
            <w:shd w:val="clear" w:color="auto" w:fill="FFFFFF" w:themeFill="background1"/>
          </w:tcPr>
          <w:p w14:paraId="5BFCCFE1" w14:textId="77777777" w:rsidR="00345205" w:rsidRPr="007C5135" w:rsidRDefault="00345205" w:rsidP="00345205">
            <w:pPr>
              <w:pStyle w:val="Tabletext"/>
              <w:ind w:right="-3"/>
              <w:jc w:val="right"/>
              <w:rPr>
                <w:rFonts w:ascii="IBM Plex Sans Light" w:hAnsi="IBM Plex Sans Light"/>
                <w:spacing w:val="-4"/>
                <w:szCs w:val="16"/>
              </w:rPr>
            </w:pPr>
          </w:p>
        </w:tc>
        <w:tc>
          <w:tcPr>
            <w:tcW w:w="1275" w:type="dxa"/>
            <w:shd w:val="clear" w:color="auto" w:fill="FFFFFF" w:themeFill="background1"/>
          </w:tcPr>
          <w:p w14:paraId="0CBFC1CF" w14:textId="77AB374E" w:rsidR="00345205" w:rsidRPr="007C5135" w:rsidRDefault="00345205" w:rsidP="00345205">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2.9</w:t>
            </w:r>
          </w:p>
        </w:tc>
        <w:tc>
          <w:tcPr>
            <w:tcW w:w="1185" w:type="dxa"/>
            <w:shd w:val="clear" w:color="auto" w:fill="auto"/>
          </w:tcPr>
          <w:p w14:paraId="337AD839" w14:textId="2499E1D1" w:rsidR="00345205" w:rsidRPr="007C5135" w:rsidRDefault="00345205"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1.7</w:t>
            </w:r>
          </w:p>
        </w:tc>
      </w:tr>
      <w:tr w:rsidR="00345205" w:rsidRPr="00895810" w14:paraId="538AC1D1" w14:textId="77777777" w:rsidTr="0071622F">
        <w:trPr>
          <w:trHeight w:val="20"/>
        </w:trPr>
        <w:tc>
          <w:tcPr>
            <w:tcW w:w="6180" w:type="dxa"/>
          </w:tcPr>
          <w:p w14:paraId="001D0834" w14:textId="05865E61" w:rsidR="00345205" w:rsidRPr="007C5135" w:rsidRDefault="00345205" w:rsidP="00345205">
            <w:pPr>
              <w:pStyle w:val="Tabletext"/>
              <w:rPr>
                <w:rFonts w:ascii="IBM Plex Sans Light" w:hAnsi="IBM Plex Sans Light"/>
                <w:spacing w:val="-4"/>
                <w:szCs w:val="16"/>
              </w:rPr>
            </w:pPr>
            <w:r w:rsidRPr="007C5135">
              <w:rPr>
                <w:rFonts w:ascii="IBM Plex Sans Light" w:hAnsi="IBM Plex Sans Light"/>
                <w:spacing w:val="-4"/>
                <w:szCs w:val="16"/>
              </w:rPr>
              <w:t>Consultancy costs</w:t>
            </w:r>
          </w:p>
        </w:tc>
        <w:tc>
          <w:tcPr>
            <w:tcW w:w="312" w:type="dxa"/>
            <w:shd w:val="clear" w:color="auto" w:fill="FFFFFF" w:themeFill="background1"/>
          </w:tcPr>
          <w:p w14:paraId="74D06D8E" w14:textId="77777777" w:rsidR="00345205" w:rsidRPr="007C5135" w:rsidRDefault="00345205" w:rsidP="00345205">
            <w:pPr>
              <w:pStyle w:val="Tabletext"/>
              <w:rPr>
                <w:rFonts w:ascii="IBM Plex Sans Light" w:hAnsi="IBM Plex Sans Light"/>
                <w:spacing w:val="-4"/>
                <w:szCs w:val="16"/>
              </w:rPr>
            </w:pPr>
          </w:p>
        </w:tc>
        <w:tc>
          <w:tcPr>
            <w:tcW w:w="709" w:type="dxa"/>
            <w:shd w:val="clear" w:color="auto" w:fill="FFFFFF" w:themeFill="background1"/>
          </w:tcPr>
          <w:p w14:paraId="7B07E967" w14:textId="77777777" w:rsidR="00345205" w:rsidRPr="007C5135" w:rsidRDefault="00345205" w:rsidP="00345205">
            <w:pPr>
              <w:pStyle w:val="Tabletext"/>
              <w:ind w:right="-3"/>
              <w:jc w:val="right"/>
              <w:rPr>
                <w:rFonts w:ascii="IBM Plex Sans Light" w:hAnsi="IBM Plex Sans Light"/>
                <w:spacing w:val="-4"/>
                <w:szCs w:val="16"/>
              </w:rPr>
            </w:pPr>
          </w:p>
        </w:tc>
        <w:tc>
          <w:tcPr>
            <w:tcW w:w="1275" w:type="dxa"/>
            <w:shd w:val="clear" w:color="auto" w:fill="FFFFFF" w:themeFill="background1"/>
          </w:tcPr>
          <w:p w14:paraId="79921691" w14:textId="7E75B61A" w:rsidR="00345205" w:rsidRPr="007C5135" w:rsidRDefault="00345205" w:rsidP="00345205">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4.0</w:t>
            </w:r>
          </w:p>
        </w:tc>
        <w:tc>
          <w:tcPr>
            <w:tcW w:w="1185" w:type="dxa"/>
            <w:shd w:val="clear" w:color="auto" w:fill="auto"/>
          </w:tcPr>
          <w:p w14:paraId="7478A625" w14:textId="3E78E6AB" w:rsidR="00345205" w:rsidRPr="007C5135" w:rsidRDefault="00345205"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w:t>
            </w:r>
          </w:p>
        </w:tc>
      </w:tr>
      <w:tr w:rsidR="00345205" w:rsidRPr="00895810" w14:paraId="7200D391" w14:textId="77777777" w:rsidTr="003F2C4C">
        <w:trPr>
          <w:trHeight w:val="20"/>
        </w:trPr>
        <w:tc>
          <w:tcPr>
            <w:tcW w:w="6180" w:type="dxa"/>
            <w:tcBorders>
              <w:top w:val="single" w:sz="2" w:space="0" w:color="3D7FE0" w:themeColor="accent1"/>
              <w:bottom w:val="single" w:sz="8" w:space="0" w:color="3D7FE0" w:themeColor="accent1"/>
            </w:tcBorders>
          </w:tcPr>
          <w:p w14:paraId="77022CBE" w14:textId="77777777" w:rsidR="00345205" w:rsidRPr="007C5135" w:rsidRDefault="00345205" w:rsidP="00345205">
            <w:pPr>
              <w:pStyle w:val="Tabletext"/>
              <w:rPr>
                <w:rFonts w:ascii="IBM Plex Sans Light" w:hAnsi="IBM Plex Sans Light"/>
                <w:spacing w:val="-4"/>
                <w:szCs w:val="16"/>
              </w:rPr>
            </w:pPr>
          </w:p>
        </w:tc>
        <w:tc>
          <w:tcPr>
            <w:tcW w:w="312" w:type="dxa"/>
            <w:tcBorders>
              <w:top w:val="single" w:sz="2" w:space="0" w:color="3D7FE0" w:themeColor="accent1"/>
              <w:bottom w:val="single" w:sz="8" w:space="0" w:color="3D7FE0" w:themeColor="accent1"/>
            </w:tcBorders>
            <w:shd w:val="clear" w:color="auto" w:fill="FFFFFF" w:themeFill="background1"/>
          </w:tcPr>
          <w:p w14:paraId="297B711B" w14:textId="77777777" w:rsidR="00345205" w:rsidRPr="007C5135" w:rsidRDefault="00345205" w:rsidP="00345205">
            <w:pPr>
              <w:pStyle w:val="Tabletext"/>
              <w:rPr>
                <w:rFonts w:ascii="IBM Plex Sans Light" w:hAnsi="IBM Plex Sans Light"/>
                <w:spacing w:val="-4"/>
                <w:szCs w:val="16"/>
              </w:rPr>
            </w:pPr>
          </w:p>
        </w:tc>
        <w:tc>
          <w:tcPr>
            <w:tcW w:w="709" w:type="dxa"/>
            <w:tcBorders>
              <w:top w:val="single" w:sz="2" w:space="0" w:color="3D7FE0" w:themeColor="accent1"/>
              <w:bottom w:val="single" w:sz="8" w:space="0" w:color="3D7FE0" w:themeColor="accent1"/>
            </w:tcBorders>
            <w:shd w:val="clear" w:color="auto" w:fill="FFFFFF" w:themeFill="background1"/>
          </w:tcPr>
          <w:p w14:paraId="7FAEEADA" w14:textId="77777777" w:rsidR="00345205" w:rsidRPr="007C5135" w:rsidRDefault="00345205" w:rsidP="00345205">
            <w:pPr>
              <w:pStyle w:val="Tabletext"/>
              <w:ind w:right="-3"/>
              <w:jc w:val="right"/>
              <w:rPr>
                <w:rFonts w:ascii="IBM Plex Sans Light" w:hAnsi="IBM Plex Sans Light"/>
                <w:spacing w:val="-4"/>
                <w:szCs w:val="16"/>
              </w:rPr>
            </w:pPr>
          </w:p>
        </w:tc>
        <w:tc>
          <w:tcPr>
            <w:tcW w:w="1275" w:type="dxa"/>
            <w:tcBorders>
              <w:top w:val="single" w:sz="2" w:space="0" w:color="3D7FE0" w:themeColor="accent1"/>
              <w:bottom w:val="single" w:sz="8" w:space="0" w:color="3D7FE0" w:themeColor="accent1"/>
            </w:tcBorders>
            <w:shd w:val="clear" w:color="auto" w:fill="FFFFFF" w:themeFill="background1"/>
          </w:tcPr>
          <w:p w14:paraId="7474A96C" w14:textId="04D7EC93" w:rsidR="00345205" w:rsidRPr="007C5135" w:rsidRDefault="00345205" w:rsidP="00345205">
            <w:pPr>
              <w:pStyle w:val="TableFigures"/>
              <w:rPr>
                <w:rFonts w:ascii="IBM Plex Sans Medium" w:hAnsi="IBM Plex Sans Medium"/>
                <w:b/>
                <w:bCs/>
                <w:color w:val="3D7FE0" w:themeColor="accent1"/>
                <w:spacing w:val="-4"/>
                <w:szCs w:val="16"/>
              </w:rPr>
            </w:pPr>
            <w:r w:rsidRPr="007C5135">
              <w:rPr>
                <w:rFonts w:ascii="IBM Plex Sans Medium" w:hAnsi="IBM Plex Sans Medium"/>
                <w:b/>
                <w:bCs/>
                <w:color w:val="3D7FE0" w:themeColor="accent1"/>
                <w:spacing w:val="-4"/>
                <w:szCs w:val="16"/>
              </w:rPr>
              <w:t>13.2</w:t>
            </w:r>
          </w:p>
        </w:tc>
        <w:tc>
          <w:tcPr>
            <w:tcW w:w="1185" w:type="dxa"/>
            <w:tcBorders>
              <w:top w:val="single" w:sz="2" w:space="0" w:color="3D7FE0" w:themeColor="accent1"/>
              <w:bottom w:val="single" w:sz="8" w:space="0" w:color="3D7FE0" w:themeColor="accent1"/>
            </w:tcBorders>
            <w:shd w:val="clear" w:color="auto" w:fill="auto"/>
          </w:tcPr>
          <w:p w14:paraId="3A949ABB" w14:textId="15246DD4" w:rsidR="00345205" w:rsidRPr="007C5135" w:rsidRDefault="00345205" w:rsidP="00C55BF9">
            <w:pPr>
              <w:pStyle w:val="TableFigures"/>
              <w:spacing w:line="240" w:lineRule="auto"/>
              <w:rPr>
                <w:rFonts w:ascii="IBM Plex Sans Light" w:hAnsi="IBM Plex Sans Light" w:cs="MyriadPro-Light"/>
                <w:bCs/>
                <w:color w:val="auto"/>
                <w:spacing w:val="-4"/>
                <w:szCs w:val="16"/>
              </w:rPr>
            </w:pPr>
            <w:r w:rsidRPr="007C5135">
              <w:rPr>
                <w:rFonts w:ascii="IBM Plex Sans Light" w:hAnsi="IBM Plex Sans Light" w:cs="MyriadPro-Light"/>
                <w:bCs/>
                <w:color w:val="auto"/>
                <w:spacing w:val="-4"/>
                <w:szCs w:val="16"/>
              </w:rPr>
              <w:t>5.1</w:t>
            </w:r>
          </w:p>
        </w:tc>
      </w:tr>
    </w:tbl>
    <w:p w14:paraId="06D27FB0" w14:textId="77777777" w:rsidR="00345205" w:rsidRPr="007C5135" w:rsidRDefault="00345205" w:rsidP="00345205">
      <w:pPr>
        <w:spacing w:before="120"/>
        <w:ind w:left="284"/>
        <w:rPr>
          <w:rFonts w:ascii="IBM Plex Sans Light" w:hAnsi="IBM Plex Sans Light"/>
          <w:sz w:val="16"/>
          <w:szCs w:val="16"/>
        </w:rPr>
      </w:pPr>
      <w:r w:rsidRPr="007C5135">
        <w:rPr>
          <w:rFonts w:ascii="IBM Plex Sans Light" w:hAnsi="IBM Plex Sans Light"/>
          <w:sz w:val="16"/>
          <w:szCs w:val="16"/>
        </w:rPr>
        <w:t xml:space="preserve">Such costs relate to the strategic and operational review undertaken by the new management team and which is an integral part of the Group’s strategy announced during 2021. The related costs are incremental and do not form part of underlying trading. These costs have been incurred since the announcement of the strategy and further transformation activities will take place in 2024. </w:t>
      </w:r>
    </w:p>
    <w:p w14:paraId="54793A02" w14:textId="63B84C05" w:rsidR="00345205" w:rsidRPr="007C5135" w:rsidRDefault="00345205" w:rsidP="00345205">
      <w:pPr>
        <w:spacing w:before="120"/>
        <w:ind w:left="284" w:hanging="284"/>
        <w:rPr>
          <w:rFonts w:ascii="IBM Plex Sans Light" w:hAnsi="IBM Plex Sans Light"/>
          <w:sz w:val="16"/>
          <w:szCs w:val="16"/>
        </w:rPr>
      </w:pPr>
      <w:r w:rsidRPr="007C5135">
        <w:rPr>
          <w:rFonts w:ascii="IBM Plex Sans Light" w:hAnsi="IBM Plex Sans Light"/>
          <w:sz w:val="16"/>
          <w:szCs w:val="16"/>
        </w:rPr>
        <w:t>j</w:t>
      </w:r>
      <w:r w:rsidRPr="007C5135">
        <w:rPr>
          <w:rFonts w:ascii="IBM Plex Sans Light" w:hAnsi="IBM Plex Sans Light"/>
          <w:sz w:val="16"/>
          <w:szCs w:val="16"/>
        </w:rPr>
        <w:tab/>
        <w:t>The Group makes a charge for expected credit losses in accordance with the technical interpretation of IFRS 9 irrespective of whether the income to which the provision relates has been recognised in the income statement or is deferred on the balance sheet. Because of the mismatch this causes between the cost of provision being recognised in one accounting period and the related revenue being recognised in a different accounting period, the adjustment eradicates this distortion. For 2023 the adjustment of £0.3m (2022: £(2.4m)) is split £0.2m (2022: £(0.9m)</w:t>
      </w:r>
      <w:r w:rsidR="00576F12">
        <w:rPr>
          <w:rFonts w:ascii="IBM Plex Sans Light" w:hAnsi="IBM Plex Sans Light"/>
          <w:sz w:val="16"/>
          <w:szCs w:val="16"/>
        </w:rPr>
        <w:t>)</w:t>
      </w:r>
      <w:r w:rsidRPr="007C5135">
        <w:rPr>
          <w:rFonts w:ascii="IBM Plex Sans Light" w:hAnsi="IBM Plex Sans Light"/>
          <w:sz w:val="16"/>
          <w:szCs w:val="16"/>
        </w:rPr>
        <w:t xml:space="preserve"> for the Reported Group and £0.1m (2022: (£1.5m)) for Share of Property interests.</w:t>
      </w:r>
    </w:p>
    <w:p w14:paraId="7301BDC7" w14:textId="49B34BF9" w:rsidR="00345205" w:rsidRPr="007C5135" w:rsidRDefault="00345205" w:rsidP="00345205">
      <w:pPr>
        <w:spacing w:before="120"/>
        <w:ind w:left="284" w:hanging="284"/>
        <w:rPr>
          <w:rFonts w:ascii="IBM Plex Sans Light" w:hAnsi="IBM Plex Sans Light"/>
          <w:sz w:val="16"/>
          <w:szCs w:val="16"/>
          <w:highlight w:val="yellow"/>
        </w:rPr>
      </w:pPr>
      <w:r w:rsidRPr="007C5135">
        <w:rPr>
          <w:rFonts w:ascii="IBM Plex Sans Light" w:hAnsi="IBM Plex Sans Light"/>
          <w:sz w:val="16"/>
          <w:szCs w:val="16"/>
        </w:rPr>
        <w:t>k</w:t>
      </w:r>
      <w:r w:rsidRPr="007C5135">
        <w:rPr>
          <w:rFonts w:ascii="IBM Plex Sans Light" w:hAnsi="IBM Plex Sans Light"/>
          <w:sz w:val="16"/>
          <w:szCs w:val="16"/>
        </w:rPr>
        <w:tab/>
        <w:t>Income from assets held for sale in 2022 relates to the Group’s joint venture investment in Silverburn, which was transferred to assets held for sale as at 31 December 2021 and where the sale completed in March 2022. A £nil gain/loss was generated on the sale which comprised certain additional costs and accruals of £1.6m which were offset by net income generated in the period up to the point of disposal (after taking account of distributions) of £1.6m. The Group excludes losses on disposal from its EPRA and Adjusted earnings, and because this offset of income generated in the period against the loss causes the income to be excluded, the income is added back as an adjusting item in order to reflect the fact that the property remained under the Group’s ownership and management up until completion of the disposal and is therefore considered to form part of underlying earnings. There were no assets held for sale as at 31 December 2023.</w:t>
      </w:r>
    </w:p>
    <w:p w14:paraId="00171720" w14:textId="2F2AA576" w:rsidR="00670108" w:rsidRPr="00345205" w:rsidRDefault="00670108" w:rsidP="00345205">
      <w:pPr>
        <w:spacing w:before="120"/>
        <w:rPr>
          <w:rFonts w:ascii="IBM Plex Sans Light" w:hAnsi="IBM Plex Sans Light" w:cs="Arial"/>
          <w:sz w:val="16"/>
          <w:szCs w:val="16"/>
        </w:rPr>
      </w:pPr>
    </w:p>
    <w:p w14:paraId="524D7301" w14:textId="76A724B3" w:rsidR="00670108" w:rsidRPr="00895810" w:rsidRDefault="00670108" w:rsidP="00670108">
      <w:pPr>
        <w:pStyle w:val="Heading2SpaceBefore"/>
        <w:spacing w:before="60"/>
        <w:rPr>
          <w:rFonts w:ascii="IBM Plex Sans Light" w:hAnsi="IBM Plex Sans Light"/>
          <w:color w:val="3D7FE0" w:themeColor="accent1"/>
          <w:szCs w:val="18"/>
        </w:rPr>
      </w:pPr>
      <w:r w:rsidRPr="00895810">
        <w:rPr>
          <w:rFonts w:ascii="IBM Plex Sans Light" w:hAnsi="IBM Plex Sans Light"/>
          <w:color w:val="3D7FE0" w:themeColor="accent1"/>
          <w:szCs w:val="18"/>
        </w:rPr>
        <w:t>B. A</w:t>
      </w:r>
      <w:r w:rsidR="005F6D26">
        <w:rPr>
          <w:rFonts w:ascii="IBM Plex Sans Light" w:hAnsi="IBM Plex Sans Light"/>
          <w:color w:val="3D7FE0" w:themeColor="accent1"/>
          <w:szCs w:val="18"/>
        </w:rPr>
        <w:t>LTERNATIVE NET ASSET MEASURES</w:t>
      </w:r>
    </w:p>
    <w:p w14:paraId="54B8DABF" w14:textId="77777777" w:rsidR="00E35DFD" w:rsidRPr="00E35DFD" w:rsidRDefault="00E35DFD" w:rsidP="00E35DFD">
      <w:pPr>
        <w:spacing w:before="180" w:after="0" w:line="240" w:lineRule="auto"/>
        <w:ind w:right="-335"/>
        <w:rPr>
          <w:rFonts w:ascii="IBM Plex Sans Light" w:hAnsi="IBM Plex Sans Light" w:cs="Arial"/>
          <w:bCs/>
          <w:szCs w:val="15"/>
        </w:rPr>
      </w:pPr>
      <w:r w:rsidRPr="00E35DFD">
        <w:rPr>
          <w:rFonts w:ascii="IBM Plex Sans Light" w:hAnsi="IBM Plex Sans Light" w:cs="Arial"/>
          <w:bCs/>
          <w:szCs w:val="15"/>
        </w:rPr>
        <w:t>The Group uses the EPRA best practice guidelines incorporating three measures of net asset value: EPRA Net Tangible Assets (NTA), Net Reinstatement Value (NRV) and Net Disposal Value (NDV). EPRA NTA is considered to be the most relevant measure for the Group.</w:t>
      </w:r>
    </w:p>
    <w:p w14:paraId="0041C640" w14:textId="52ACB20B" w:rsidR="00670108" w:rsidRPr="00895810" w:rsidRDefault="00E35DFD" w:rsidP="00E35DFD">
      <w:pPr>
        <w:spacing w:before="180" w:after="0" w:line="240" w:lineRule="auto"/>
        <w:ind w:right="-335"/>
        <w:rPr>
          <w:rFonts w:ascii="IBM Plex Sans Light" w:hAnsi="IBM Plex Sans Light" w:cs="Arial"/>
          <w:bCs/>
          <w:szCs w:val="15"/>
        </w:rPr>
      </w:pPr>
      <w:r w:rsidRPr="00E35DFD">
        <w:rPr>
          <w:rFonts w:ascii="IBM Plex Sans Light" w:hAnsi="IBM Plex Sans Light" w:cs="Arial"/>
          <w:bCs/>
          <w:szCs w:val="15"/>
        </w:rPr>
        <w:t>A reconciliation between IFRS net assets and the three EPRA net asset valuation metrics is set out below</w:t>
      </w:r>
      <w:r w:rsidR="00BC024A" w:rsidRPr="00895810">
        <w:rPr>
          <w:rFonts w:ascii="IBM Plex Sans Light" w:hAnsi="IBM Plex Sans Light" w:cs="Arial"/>
          <w:bCs/>
          <w:szCs w:val="15"/>
        </w:rPr>
        <w:t>.</w:t>
      </w:r>
    </w:p>
    <w:tbl>
      <w:tblPr>
        <w:tblW w:w="9921" w:type="dxa"/>
        <w:tblLayout w:type="fixed"/>
        <w:tblLook w:val="01E0" w:firstRow="1" w:lastRow="1" w:firstColumn="1" w:lastColumn="1" w:noHBand="0" w:noVBand="0"/>
      </w:tblPr>
      <w:tblGrid>
        <w:gridCol w:w="4876"/>
        <w:gridCol w:w="511"/>
        <w:gridCol w:w="707"/>
        <w:gridCol w:w="956"/>
        <w:gridCol w:w="957"/>
        <w:gridCol w:w="957"/>
        <w:gridCol w:w="957"/>
      </w:tblGrid>
      <w:tr w:rsidR="0038682A" w:rsidRPr="00895810" w14:paraId="0566FE93" w14:textId="77777777" w:rsidTr="00024B10">
        <w:tc>
          <w:tcPr>
            <w:tcW w:w="4876" w:type="dxa"/>
            <w:tcBorders>
              <w:bottom w:val="single" w:sz="4" w:space="0" w:color="3D7FE0" w:themeColor="accent1"/>
            </w:tcBorders>
            <w:tcMar>
              <w:left w:w="0" w:type="dxa"/>
              <w:right w:w="0" w:type="dxa"/>
            </w:tcMar>
            <w:vAlign w:val="bottom"/>
          </w:tcPr>
          <w:p w14:paraId="765F4131" w14:textId="77777777" w:rsidR="0038682A" w:rsidRPr="00895810" w:rsidRDefault="0038682A" w:rsidP="0063218B">
            <w:pPr>
              <w:pStyle w:val="TableColHeads"/>
              <w:rPr>
                <w:rFonts w:ascii="IBM Plex Sans Light" w:hAnsi="IBM Plex Sans Light"/>
                <w:szCs w:val="14"/>
              </w:rPr>
            </w:pPr>
          </w:p>
        </w:tc>
        <w:tc>
          <w:tcPr>
            <w:tcW w:w="511" w:type="dxa"/>
            <w:tcBorders>
              <w:bottom w:val="single" w:sz="4" w:space="0" w:color="3D7FE0" w:themeColor="accent1"/>
            </w:tcBorders>
            <w:tcMar>
              <w:left w:w="0" w:type="dxa"/>
              <w:right w:w="0" w:type="dxa"/>
            </w:tcMar>
            <w:vAlign w:val="bottom"/>
          </w:tcPr>
          <w:p w14:paraId="35543505" w14:textId="77777777" w:rsidR="0038682A" w:rsidRPr="00895810" w:rsidRDefault="0038682A" w:rsidP="0063218B">
            <w:pPr>
              <w:pStyle w:val="TableColHeadsBold"/>
              <w:rPr>
                <w:rFonts w:ascii="IBM Plex Sans Light" w:hAnsi="IBM Plex Sans Light"/>
                <w:szCs w:val="14"/>
              </w:rPr>
            </w:pPr>
            <w:r w:rsidRPr="00895810">
              <w:rPr>
                <w:rFonts w:ascii="IBM Plex Sans Light" w:hAnsi="IBM Plex Sans Light"/>
                <w:szCs w:val="14"/>
              </w:rPr>
              <w:t xml:space="preserve"> </w:t>
            </w:r>
          </w:p>
        </w:tc>
        <w:tc>
          <w:tcPr>
            <w:tcW w:w="707" w:type="dxa"/>
            <w:tcBorders>
              <w:bottom w:val="single" w:sz="4" w:space="0" w:color="3D7FE0" w:themeColor="accent1"/>
            </w:tcBorders>
            <w:tcMar>
              <w:left w:w="0" w:type="dxa"/>
              <w:right w:w="0" w:type="dxa"/>
            </w:tcMar>
            <w:vAlign w:val="bottom"/>
          </w:tcPr>
          <w:p w14:paraId="7A82D52F" w14:textId="77777777" w:rsidR="0038682A" w:rsidRPr="00895810" w:rsidRDefault="0038682A" w:rsidP="0063218B">
            <w:pPr>
              <w:pStyle w:val="TableColHeadsBold"/>
              <w:rPr>
                <w:rFonts w:ascii="IBM Plex Sans Light" w:hAnsi="IBM Plex Sans Light"/>
                <w:szCs w:val="14"/>
              </w:rPr>
            </w:pPr>
          </w:p>
        </w:tc>
        <w:tc>
          <w:tcPr>
            <w:tcW w:w="956" w:type="dxa"/>
            <w:tcBorders>
              <w:bottom w:val="single" w:sz="4" w:space="0" w:color="3D7FE0" w:themeColor="accent1"/>
            </w:tcBorders>
          </w:tcPr>
          <w:p w14:paraId="08395A26" w14:textId="77777777" w:rsidR="0038682A" w:rsidRPr="00895810" w:rsidRDefault="0038682A" w:rsidP="0063218B">
            <w:pPr>
              <w:pStyle w:val="TableColHeadsBold"/>
              <w:rPr>
                <w:rFonts w:ascii="IBM Plex Sans Light" w:hAnsi="IBM Plex Sans Light"/>
                <w:szCs w:val="14"/>
              </w:rPr>
            </w:pPr>
          </w:p>
        </w:tc>
        <w:tc>
          <w:tcPr>
            <w:tcW w:w="957" w:type="dxa"/>
            <w:tcBorders>
              <w:bottom w:val="single" w:sz="4" w:space="0" w:color="3D7FE0" w:themeColor="accent1"/>
            </w:tcBorders>
            <w:tcMar>
              <w:left w:w="0" w:type="dxa"/>
              <w:right w:w="0" w:type="dxa"/>
            </w:tcMar>
            <w:vAlign w:val="bottom"/>
          </w:tcPr>
          <w:p w14:paraId="1B4410D7" w14:textId="77777777" w:rsidR="0038682A" w:rsidRPr="00895810" w:rsidRDefault="0038682A" w:rsidP="0063218B">
            <w:pPr>
              <w:pStyle w:val="TableColHeadsBold"/>
              <w:rPr>
                <w:rFonts w:ascii="IBM Plex Sans Light" w:hAnsi="IBM Plex Sans Light"/>
                <w:szCs w:val="14"/>
              </w:rPr>
            </w:pPr>
          </w:p>
        </w:tc>
        <w:tc>
          <w:tcPr>
            <w:tcW w:w="957" w:type="dxa"/>
            <w:tcBorders>
              <w:bottom w:val="single" w:sz="4" w:space="0" w:color="3D7FE0" w:themeColor="accent1"/>
            </w:tcBorders>
            <w:tcMar>
              <w:left w:w="0" w:type="dxa"/>
              <w:right w:w="0" w:type="dxa"/>
            </w:tcMar>
            <w:vAlign w:val="bottom"/>
          </w:tcPr>
          <w:p w14:paraId="1D46C1F4" w14:textId="77777777" w:rsidR="0038682A" w:rsidRPr="00895810" w:rsidRDefault="0038682A" w:rsidP="0063218B">
            <w:pPr>
              <w:pStyle w:val="TableColHeadsBold"/>
              <w:rPr>
                <w:rFonts w:ascii="IBM Plex Sans Light" w:hAnsi="IBM Plex Sans Light"/>
                <w:szCs w:val="14"/>
                <w:highlight w:val="yellow"/>
              </w:rPr>
            </w:pPr>
          </w:p>
        </w:tc>
        <w:tc>
          <w:tcPr>
            <w:tcW w:w="957" w:type="dxa"/>
            <w:tcBorders>
              <w:bottom w:val="single" w:sz="4" w:space="0" w:color="3D7FE0" w:themeColor="accent1"/>
            </w:tcBorders>
            <w:tcMar>
              <w:left w:w="0" w:type="dxa"/>
              <w:right w:w="0" w:type="dxa"/>
            </w:tcMar>
            <w:vAlign w:val="bottom"/>
          </w:tcPr>
          <w:p w14:paraId="3E8B69CF" w14:textId="195BB27D" w:rsidR="0038682A" w:rsidRPr="00895810" w:rsidRDefault="00785AC2" w:rsidP="0063218B">
            <w:pPr>
              <w:pStyle w:val="TableColHeadsBold"/>
              <w:rPr>
                <w:rFonts w:ascii="IBM Plex Sans Light" w:hAnsi="IBM Plex Sans Light"/>
                <w:szCs w:val="14"/>
              </w:rPr>
            </w:pPr>
            <w:r>
              <w:rPr>
                <w:rFonts w:ascii="IBM Plex Sans Light" w:hAnsi="IBM Plex Sans Light"/>
                <w:color w:val="3D7FE0" w:themeColor="accent1"/>
                <w:szCs w:val="14"/>
              </w:rPr>
              <w:t>2023</w:t>
            </w:r>
            <w:r w:rsidR="0038682A" w:rsidRPr="00895810">
              <w:rPr>
                <w:rFonts w:ascii="IBM Plex Sans Light" w:hAnsi="IBM Plex Sans Light"/>
                <w:szCs w:val="14"/>
              </w:rPr>
              <w:t xml:space="preserve">  </w:t>
            </w:r>
          </w:p>
        </w:tc>
      </w:tr>
      <w:tr w:rsidR="0038682A" w:rsidRPr="00895810" w14:paraId="3A31B222" w14:textId="77777777" w:rsidTr="00024B10">
        <w:tc>
          <w:tcPr>
            <w:tcW w:w="4876" w:type="dxa"/>
            <w:tcBorders>
              <w:top w:val="single" w:sz="4" w:space="0" w:color="3D7FE0" w:themeColor="accent1"/>
              <w:bottom w:val="single" w:sz="2" w:space="0" w:color="3D7FE0" w:themeColor="accent1"/>
            </w:tcBorders>
            <w:tcMar>
              <w:left w:w="0" w:type="dxa"/>
              <w:right w:w="0" w:type="dxa"/>
            </w:tcMar>
            <w:vAlign w:val="bottom"/>
          </w:tcPr>
          <w:p w14:paraId="5B40EEBE" w14:textId="77777777" w:rsidR="0038682A" w:rsidRPr="00895810" w:rsidRDefault="0038682A" w:rsidP="0063218B">
            <w:pPr>
              <w:pStyle w:val="TableColHeads"/>
              <w:rPr>
                <w:rFonts w:ascii="IBM Plex Sans Light" w:hAnsi="IBM Plex Sans Light"/>
                <w:szCs w:val="14"/>
              </w:rPr>
            </w:pPr>
          </w:p>
        </w:tc>
        <w:tc>
          <w:tcPr>
            <w:tcW w:w="511" w:type="dxa"/>
            <w:tcBorders>
              <w:top w:val="single" w:sz="4" w:space="0" w:color="3D7FE0" w:themeColor="accent1"/>
              <w:bottom w:val="single" w:sz="2" w:space="0" w:color="3D7FE0" w:themeColor="accent1"/>
            </w:tcBorders>
            <w:tcMar>
              <w:left w:w="0" w:type="dxa"/>
              <w:right w:w="0" w:type="dxa"/>
            </w:tcMar>
            <w:vAlign w:val="bottom"/>
          </w:tcPr>
          <w:p w14:paraId="47D340FE" w14:textId="77777777" w:rsidR="0038682A" w:rsidRPr="00895810" w:rsidRDefault="0038682A" w:rsidP="0063218B">
            <w:pPr>
              <w:pStyle w:val="TableColHeadsBold"/>
              <w:rPr>
                <w:rFonts w:ascii="IBM Plex Sans Light" w:hAnsi="IBM Plex Sans Light"/>
                <w:b w:val="0"/>
                <w:szCs w:val="14"/>
              </w:rPr>
            </w:pPr>
          </w:p>
        </w:tc>
        <w:tc>
          <w:tcPr>
            <w:tcW w:w="707" w:type="dxa"/>
            <w:tcBorders>
              <w:top w:val="single" w:sz="4" w:space="0" w:color="3D7FE0" w:themeColor="accent1"/>
              <w:bottom w:val="single" w:sz="2" w:space="0" w:color="3D7FE0" w:themeColor="accent1"/>
            </w:tcBorders>
            <w:tcMar>
              <w:left w:w="0" w:type="dxa"/>
              <w:right w:w="0" w:type="dxa"/>
            </w:tcMar>
            <w:vAlign w:val="bottom"/>
          </w:tcPr>
          <w:p w14:paraId="0E7136EE" w14:textId="5CC15ECF" w:rsidR="0038682A" w:rsidRPr="00895810" w:rsidRDefault="00CE2F7F" w:rsidP="0063218B">
            <w:pPr>
              <w:pStyle w:val="TableColHeadsBold"/>
              <w:rPr>
                <w:rFonts w:ascii="IBM Plex Sans Light" w:hAnsi="IBM Plex Sans Light"/>
                <w:szCs w:val="14"/>
              </w:rPr>
            </w:pPr>
            <w:r>
              <w:rPr>
                <w:rFonts w:ascii="IBM Plex Sans Light" w:hAnsi="IBM Plex Sans Light"/>
                <w:szCs w:val="14"/>
              </w:rPr>
              <w:t>Footnote</w:t>
            </w:r>
          </w:p>
        </w:tc>
        <w:tc>
          <w:tcPr>
            <w:tcW w:w="956" w:type="dxa"/>
            <w:tcBorders>
              <w:top w:val="single" w:sz="4" w:space="0" w:color="3D7FE0" w:themeColor="accent1"/>
              <w:bottom w:val="single" w:sz="2" w:space="0" w:color="3D7FE0" w:themeColor="accent1"/>
            </w:tcBorders>
            <w:vAlign w:val="bottom"/>
          </w:tcPr>
          <w:p w14:paraId="2854F618" w14:textId="77777777" w:rsidR="0038682A" w:rsidRPr="00895810" w:rsidRDefault="0038682A" w:rsidP="00F657BA">
            <w:pPr>
              <w:pStyle w:val="TableColHeadsBold"/>
              <w:ind w:right="34"/>
              <w:rPr>
                <w:rFonts w:ascii="IBM Plex Sans Light" w:hAnsi="IBM Plex Sans Light"/>
                <w:color w:val="3D7FE0" w:themeColor="accent1"/>
                <w:szCs w:val="14"/>
              </w:rPr>
            </w:pPr>
            <w:r w:rsidRPr="00895810">
              <w:rPr>
                <w:rFonts w:ascii="IBM Plex Sans Light" w:hAnsi="IBM Plex Sans Light"/>
                <w:color w:val="3D7FE0" w:themeColor="accent1"/>
                <w:szCs w:val="14"/>
              </w:rPr>
              <w:t>Reported Group</w:t>
            </w:r>
          </w:p>
          <w:p w14:paraId="5E71C1F2" w14:textId="77777777" w:rsidR="0038682A" w:rsidRPr="00895810" w:rsidRDefault="0038682A" w:rsidP="00F657BA">
            <w:pPr>
              <w:pStyle w:val="TableColHeadsBold"/>
              <w:ind w:right="34"/>
              <w:rPr>
                <w:rFonts w:ascii="IBM Plex Sans Light" w:hAnsi="IBM Plex Sans Light"/>
                <w:b w:val="0"/>
                <w:szCs w:val="14"/>
              </w:rPr>
            </w:pPr>
            <w:r w:rsidRPr="00895810">
              <w:rPr>
                <w:rFonts w:ascii="IBM Plex Sans Light" w:hAnsi="IBM Plex Sans Light"/>
                <w:color w:val="3D7FE0" w:themeColor="accent1"/>
                <w:szCs w:val="14"/>
              </w:rPr>
              <w:t>£m</w:t>
            </w:r>
          </w:p>
        </w:tc>
        <w:tc>
          <w:tcPr>
            <w:tcW w:w="957" w:type="dxa"/>
            <w:tcBorders>
              <w:top w:val="single" w:sz="4" w:space="0" w:color="3D7FE0" w:themeColor="accent1"/>
              <w:bottom w:val="single" w:sz="2" w:space="0" w:color="3D7FE0" w:themeColor="accent1"/>
            </w:tcBorders>
            <w:tcMar>
              <w:left w:w="0" w:type="dxa"/>
              <w:right w:w="0" w:type="dxa"/>
            </w:tcMar>
            <w:vAlign w:val="bottom"/>
          </w:tcPr>
          <w:p w14:paraId="4D2A48D7" w14:textId="4C7D0931" w:rsidR="0038682A" w:rsidRPr="00895810" w:rsidRDefault="0038682A" w:rsidP="0063218B">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Share of </w:t>
            </w:r>
            <w:r w:rsidR="00EC2E25" w:rsidRPr="00895810">
              <w:rPr>
                <w:rFonts w:ascii="IBM Plex Sans Light" w:hAnsi="IBM Plex Sans Light"/>
                <w:color w:val="3D7FE0" w:themeColor="accent1"/>
                <w:szCs w:val="14"/>
              </w:rPr>
              <w:t>P</w:t>
            </w:r>
            <w:r w:rsidRPr="00895810">
              <w:rPr>
                <w:rFonts w:ascii="IBM Plex Sans Light" w:hAnsi="IBM Plex Sans Light"/>
                <w:color w:val="3D7FE0" w:themeColor="accent1"/>
                <w:szCs w:val="14"/>
              </w:rPr>
              <w:t>roperty interests</w:t>
            </w:r>
          </w:p>
          <w:p w14:paraId="6A393778" w14:textId="77777777" w:rsidR="0038682A" w:rsidRPr="00895810" w:rsidRDefault="0038682A" w:rsidP="0063218B">
            <w:pPr>
              <w:pStyle w:val="TableColHeadsBold"/>
              <w:rPr>
                <w:rFonts w:ascii="IBM Plex Sans Light" w:hAnsi="IBM Plex Sans Light"/>
                <w:b w:val="0"/>
                <w:szCs w:val="14"/>
              </w:rPr>
            </w:pPr>
            <w:r w:rsidRPr="00895810">
              <w:rPr>
                <w:rFonts w:ascii="IBM Plex Sans Light" w:hAnsi="IBM Plex Sans Light"/>
                <w:color w:val="3D7FE0" w:themeColor="accent1"/>
                <w:szCs w:val="14"/>
              </w:rPr>
              <w:t>£m</w:t>
            </w:r>
          </w:p>
        </w:tc>
        <w:tc>
          <w:tcPr>
            <w:tcW w:w="957" w:type="dxa"/>
            <w:tcBorders>
              <w:top w:val="single" w:sz="4" w:space="0" w:color="3D7FE0" w:themeColor="accent1"/>
              <w:bottom w:val="single" w:sz="2" w:space="0" w:color="3D7FE0" w:themeColor="accent1"/>
            </w:tcBorders>
            <w:tcMar>
              <w:left w:w="0" w:type="dxa"/>
              <w:right w:w="0" w:type="dxa"/>
            </w:tcMar>
            <w:vAlign w:val="bottom"/>
          </w:tcPr>
          <w:p w14:paraId="3011EEDB" w14:textId="77777777" w:rsidR="0038682A" w:rsidRPr="00895810" w:rsidRDefault="0038682A" w:rsidP="0063218B">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Value Retail</w:t>
            </w:r>
          </w:p>
          <w:p w14:paraId="3B050F7E" w14:textId="77777777" w:rsidR="0038682A" w:rsidRPr="00895810" w:rsidRDefault="0038682A" w:rsidP="0063218B">
            <w:pPr>
              <w:pStyle w:val="TableColHeadsBold"/>
              <w:rPr>
                <w:rFonts w:ascii="IBM Plex Sans Light" w:hAnsi="IBM Plex Sans Light"/>
                <w:b w:val="0"/>
                <w:szCs w:val="14"/>
              </w:rPr>
            </w:pPr>
            <w:r w:rsidRPr="00895810">
              <w:rPr>
                <w:rFonts w:ascii="IBM Plex Sans Light" w:hAnsi="IBM Plex Sans Light"/>
                <w:color w:val="3D7FE0" w:themeColor="accent1"/>
                <w:szCs w:val="14"/>
              </w:rPr>
              <w:t>£m</w:t>
            </w:r>
          </w:p>
        </w:tc>
        <w:tc>
          <w:tcPr>
            <w:tcW w:w="957" w:type="dxa"/>
            <w:tcBorders>
              <w:top w:val="single" w:sz="4" w:space="0" w:color="3D7FE0" w:themeColor="accent1"/>
              <w:bottom w:val="single" w:sz="2" w:space="0" w:color="3D7FE0" w:themeColor="accent1"/>
            </w:tcBorders>
            <w:tcMar>
              <w:left w:w="0" w:type="dxa"/>
              <w:right w:w="0" w:type="dxa"/>
            </w:tcMar>
            <w:vAlign w:val="bottom"/>
          </w:tcPr>
          <w:p w14:paraId="4C3016A3" w14:textId="77777777" w:rsidR="0038682A" w:rsidRPr="00895810" w:rsidRDefault="0038682A" w:rsidP="0063218B">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Total</w:t>
            </w:r>
          </w:p>
          <w:p w14:paraId="6BE13817" w14:textId="77777777" w:rsidR="0038682A" w:rsidRPr="00895810" w:rsidRDefault="0038682A" w:rsidP="0063218B">
            <w:pPr>
              <w:pStyle w:val="TableColHeadsBold"/>
              <w:rPr>
                <w:rFonts w:ascii="IBM Plex Sans Light" w:hAnsi="IBM Plex Sans Light"/>
                <w:b w:val="0"/>
                <w:szCs w:val="14"/>
              </w:rPr>
            </w:pPr>
            <w:r w:rsidRPr="00895810">
              <w:rPr>
                <w:rFonts w:ascii="IBM Plex Sans Light" w:hAnsi="IBM Plex Sans Light"/>
                <w:color w:val="3D7FE0" w:themeColor="accent1"/>
                <w:szCs w:val="14"/>
              </w:rPr>
              <w:t>£m</w:t>
            </w:r>
          </w:p>
        </w:tc>
      </w:tr>
      <w:tr w:rsidR="0038682A" w:rsidRPr="00895810" w14:paraId="0D8EA751" w14:textId="77777777" w:rsidTr="00024B10">
        <w:tc>
          <w:tcPr>
            <w:tcW w:w="4876" w:type="dxa"/>
            <w:tcBorders>
              <w:top w:val="single" w:sz="2" w:space="0" w:color="3D7FE0" w:themeColor="accent1"/>
            </w:tcBorders>
            <w:tcMar>
              <w:left w:w="0" w:type="dxa"/>
              <w:bottom w:w="28" w:type="dxa"/>
              <w:right w:w="0" w:type="dxa"/>
            </w:tcMar>
            <w:vAlign w:val="bottom"/>
          </w:tcPr>
          <w:p w14:paraId="1F8B8BDC" w14:textId="77777777" w:rsidR="0038682A" w:rsidRPr="00895810" w:rsidRDefault="0038682A" w:rsidP="0063218B">
            <w:pPr>
              <w:pStyle w:val="TableColHeads"/>
              <w:rPr>
                <w:rFonts w:ascii="IBM Plex Sans Light" w:hAnsi="IBM Plex Sans Light"/>
              </w:rPr>
            </w:pPr>
          </w:p>
        </w:tc>
        <w:tc>
          <w:tcPr>
            <w:tcW w:w="511" w:type="dxa"/>
            <w:tcBorders>
              <w:top w:val="single" w:sz="2" w:space="0" w:color="3D7FE0" w:themeColor="accent1"/>
            </w:tcBorders>
            <w:tcMar>
              <w:left w:w="0" w:type="dxa"/>
              <w:bottom w:w="28" w:type="dxa"/>
              <w:right w:w="0" w:type="dxa"/>
            </w:tcMar>
            <w:vAlign w:val="bottom"/>
          </w:tcPr>
          <w:p w14:paraId="425B302F" w14:textId="77777777" w:rsidR="0038682A" w:rsidRPr="00895810" w:rsidRDefault="0038682A" w:rsidP="0063218B">
            <w:pPr>
              <w:pStyle w:val="TableColHeadsBold"/>
              <w:rPr>
                <w:rFonts w:ascii="IBM Plex Sans Light" w:hAnsi="IBM Plex Sans Light"/>
                <w:b w:val="0"/>
                <w:sz w:val="13"/>
                <w:szCs w:val="13"/>
              </w:rPr>
            </w:pPr>
          </w:p>
        </w:tc>
        <w:tc>
          <w:tcPr>
            <w:tcW w:w="707" w:type="dxa"/>
            <w:tcBorders>
              <w:top w:val="single" w:sz="2" w:space="0" w:color="3D7FE0" w:themeColor="accent1"/>
            </w:tcBorders>
            <w:tcMar>
              <w:left w:w="0" w:type="dxa"/>
              <w:bottom w:w="28" w:type="dxa"/>
              <w:right w:w="0" w:type="dxa"/>
            </w:tcMar>
            <w:vAlign w:val="bottom"/>
          </w:tcPr>
          <w:p w14:paraId="3F54445B" w14:textId="77777777" w:rsidR="0038682A" w:rsidRPr="00895810" w:rsidRDefault="0038682A" w:rsidP="0063218B">
            <w:pPr>
              <w:pStyle w:val="TableColHeadsBold"/>
              <w:rPr>
                <w:rFonts w:ascii="IBM Plex Sans Light" w:hAnsi="IBM Plex Sans Light"/>
                <w:b w:val="0"/>
                <w:sz w:val="13"/>
                <w:szCs w:val="13"/>
              </w:rPr>
            </w:pPr>
          </w:p>
        </w:tc>
        <w:tc>
          <w:tcPr>
            <w:tcW w:w="956" w:type="dxa"/>
            <w:tcBorders>
              <w:top w:val="single" w:sz="2" w:space="0" w:color="3D7FE0" w:themeColor="accent1"/>
            </w:tcBorders>
          </w:tcPr>
          <w:p w14:paraId="1ECF2343" w14:textId="77777777" w:rsidR="0038682A" w:rsidRPr="00895810" w:rsidRDefault="0038682A" w:rsidP="0063218B">
            <w:pPr>
              <w:pStyle w:val="TableColHeadsBold"/>
              <w:ind w:right="-11"/>
              <w:rPr>
                <w:rFonts w:ascii="IBM Plex Sans Light" w:hAnsi="IBM Plex Sans Light"/>
                <w:b w:val="0"/>
                <w:sz w:val="13"/>
                <w:szCs w:val="13"/>
              </w:rPr>
            </w:pPr>
          </w:p>
        </w:tc>
        <w:tc>
          <w:tcPr>
            <w:tcW w:w="957" w:type="dxa"/>
            <w:tcBorders>
              <w:top w:val="single" w:sz="2" w:space="0" w:color="3D7FE0" w:themeColor="accent1"/>
            </w:tcBorders>
            <w:tcMar>
              <w:left w:w="0" w:type="dxa"/>
              <w:bottom w:w="28" w:type="dxa"/>
              <w:right w:w="0" w:type="dxa"/>
            </w:tcMar>
            <w:vAlign w:val="bottom"/>
          </w:tcPr>
          <w:p w14:paraId="0B8890C4" w14:textId="77777777" w:rsidR="0038682A" w:rsidRPr="00895810" w:rsidRDefault="0038682A" w:rsidP="0063218B">
            <w:pPr>
              <w:pStyle w:val="TableColHeadsBold"/>
              <w:rPr>
                <w:rFonts w:ascii="IBM Plex Sans Light" w:hAnsi="IBM Plex Sans Light"/>
                <w:b w:val="0"/>
                <w:sz w:val="13"/>
                <w:szCs w:val="13"/>
              </w:rPr>
            </w:pPr>
          </w:p>
        </w:tc>
        <w:tc>
          <w:tcPr>
            <w:tcW w:w="957" w:type="dxa"/>
            <w:tcBorders>
              <w:top w:val="single" w:sz="2" w:space="0" w:color="3D7FE0" w:themeColor="accent1"/>
            </w:tcBorders>
            <w:tcMar>
              <w:left w:w="0" w:type="dxa"/>
              <w:bottom w:w="28" w:type="dxa"/>
              <w:right w:w="0" w:type="dxa"/>
            </w:tcMar>
            <w:vAlign w:val="bottom"/>
          </w:tcPr>
          <w:p w14:paraId="1126775D" w14:textId="77777777" w:rsidR="0038682A" w:rsidRPr="00895810" w:rsidRDefault="0038682A" w:rsidP="0063218B">
            <w:pPr>
              <w:pStyle w:val="TableColHeadsBold"/>
              <w:rPr>
                <w:rFonts w:ascii="IBM Plex Sans Light" w:hAnsi="IBM Plex Sans Light"/>
                <w:b w:val="0"/>
                <w:sz w:val="13"/>
                <w:szCs w:val="13"/>
              </w:rPr>
            </w:pPr>
          </w:p>
        </w:tc>
        <w:tc>
          <w:tcPr>
            <w:tcW w:w="957" w:type="dxa"/>
            <w:tcBorders>
              <w:top w:val="single" w:sz="2" w:space="0" w:color="3D7FE0" w:themeColor="accent1"/>
            </w:tcBorders>
            <w:tcMar>
              <w:left w:w="0" w:type="dxa"/>
              <w:bottom w:w="28" w:type="dxa"/>
              <w:right w:w="0" w:type="dxa"/>
            </w:tcMar>
            <w:vAlign w:val="bottom"/>
          </w:tcPr>
          <w:p w14:paraId="0BBDDB31" w14:textId="77777777" w:rsidR="0038682A" w:rsidRPr="00895810" w:rsidRDefault="0038682A" w:rsidP="0063218B">
            <w:pPr>
              <w:pStyle w:val="TableColHeadsBold"/>
              <w:rPr>
                <w:rFonts w:ascii="IBM Plex Sans Light" w:hAnsi="IBM Plex Sans Light"/>
                <w:b w:val="0"/>
                <w:sz w:val="13"/>
                <w:szCs w:val="13"/>
              </w:rPr>
            </w:pPr>
          </w:p>
        </w:tc>
      </w:tr>
      <w:tr w:rsidR="00345205" w:rsidRPr="00895810" w14:paraId="7D0BCC23" w14:textId="77777777" w:rsidTr="00024B10">
        <w:tc>
          <w:tcPr>
            <w:tcW w:w="4876" w:type="dxa"/>
            <w:tcMar>
              <w:left w:w="0" w:type="dxa"/>
              <w:right w:w="0" w:type="dxa"/>
            </w:tcMar>
            <w:vAlign w:val="bottom"/>
          </w:tcPr>
          <w:p w14:paraId="34B590F7" w14:textId="4F1E7376" w:rsidR="00345205" w:rsidRPr="00895810" w:rsidRDefault="00345205" w:rsidP="00345205">
            <w:pPr>
              <w:pStyle w:val="Tabletext"/>
              <w:rPr>
                <w:rFonts w:ascii="IBM Plex Sans Light" w:hAnsi="IBM Plex Sans Light"/>
                <w:sz w:val="18"/>
                <w:szCs w:val="18"/>
              </w:rPr>
            </w:pPr>
            <w:r w:rsidRPr="00895810">
              <w:rPr>
                <w:rFonts w:ascii="IBM Plex Sans Light" w:hAnsi="IBM Plex Sans Light"/>
                <w:spacing w:val="-4"/>
                <w:sz w:val="18"/>
                <w:szCs w:val="18"/>
              </w:rPr>
              <w:t>Reported balance sheet net assets (</w:t>
            </w:r>
            <w:r>
              <w:rPr>
                <w:rFonts w:ascii="IBM Plex Sans Light" w:hAnsi="IBM Plex Sans Light"/>
                <w:spacing w:val="-4"/>
                <w:sz w:val="18"/>
                <w:szCs w:val="18"/>
              </w:rPr>
              <w:t>e</w:t>
            </w:r>
            <w:r w:rsidRPr="00895810">
              <w:rPr>
                <w:rFonts w:ascii="IBM Plex Sans Light" w:hAnsi="IBM Plex Sans Light"/>
                <w:spacing w:val="-4"/>
                <w:sz w:val="18"/>
                <w:szCs w:val="18"/>
              </w:rPr>
              <w:t>quity shareholders' funds)</w:t>
            </w:r>
          </w:p>
        </w:tc>
        <w:tc>
          <w:tcPr>
            <w:tcW w:w="511" w:type="dxa"/>
            <w:tcMar>
              <w:left w:w="0" w:type="dxa"/>
              <w:right w:w="0" w:type="dxa"/>
            </w:tcMar>
            <w:vAlign w:val="bottom"/>
          </w:tcPr>
          <w:p w14:paraId="3CE13A45" w14:textId="77777777" w:rsidR="00345205" w:rsidRPr="00895810" w:rsidRDefault="00345205" w:rsidP="00345205">
            <w:pPr>
              <w:pStyle w:val="TableFiguresBold"/>
              <w:rPr>
                <w:rFonts w:ascii="IBM Plex Sans Light" w:hAnsi="IBM Plex Sans Light"/>
                <w:spacing w:val="-4"/>
                <w:sz w:val="18"/>
                <w:szCs w:val="18"/>
              </w:rPr>
            </w:pPr>
          </w:p>
        </w:tc>
        <w:tc>
          <w:tcPr>
            <w:tcW w:w="707" w:type="dxa"/>
            <w:tcMar>
              <w:left w:w="0" w:type="dxa"/>
              <w:right w:w="0" w:type="dxa"/>
            </w:tcMar>
            <w:vAlign w:val="bottom"/>
          </w:tcPr>
          <w:p w14:paraId="278535DF" w14:textId="77777777" w:rsidR="00345205" w:rsidRPr="00895810" w:rsidRDefault="00345205" w:rsidP="00345205">
            <w:pPr>
              <w:pStyle w:val="TableFiguresBold"/>
              <w:rPr>
                <w:rFonts w:ascii="IBM Plex Sans Light" w:hAnsi="IBM Plex Sans Light"/>
                <w:b w:val="0"/>
                <w:bCs w:val="0"/>
                <w:spacing w:val="-4"/>
                <w:sz w:val="18"/>
                <w:szCs w:val="18"/>
              </w:rPr>
            </w:pPr>
          </w:p>
        </w:tc>
        <w:tc>
          <w:tcPr>
            <w:tcW w:w="956" w:type="dxa"/>
          </w:tcPr>
          <w:p w14:paraId="3C706675" w14:textId="6BDAD482"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2,462.6</w:t>
            </w:r>
          </w:p>
        </w:tc>
        <w:tc>
          <w:tcPr>
            <w:tcW w:w="957" w:type="dxa"/>
            <w:tcMar>
              <w:left w:w="0" w:type="dxa"/>
              <w:right w:w="0" w:type="dxa"/>
            </w:tcMar>
          </w:tcPr>
          <w:p w14:paraId="3F17640E" w14:textId="4517832D"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Mar>
              <w:left w:w="0" w:type="dxa"/>
              <w:right w:w="0" w:type="dxa"/>
            </w:tcMar>
          </w:tcPr>
          <w:p w14:paraId="7F6646D9" w14:textId="32102A3E"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Mar>
              <w:left w:w="0" w:type="dxa"/>
              <w:right w:w="0" w:type="dxa"/>
            </w:tcMar>
          </w:tcPr>
          <w:p w14:paraId="11B8E3E7" w14:textId="31315EA5"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2,462.6</w:t>
            </w:r>
          </w:p>
        </w:tc>
      </w:tr>
      <w:tr w:rsidR="00345205" w:rsidRPr="00895810" w14:paraId="33DD7CA6" w14:textId="77777777" w:rsidTr="00024B10">
        <w:tc>
          <w:tcPr>
            <w:tcW w:w="4876" w:type="dxa"/>
            <w:tcBorders>
              <w:bottom w:val="single" w:sz="2" w:space="0" w:color="3D7FE0" w:themeColor="accent1"/>
            </w:tcBorders>
            <w:tcMar>
              <w:left w:w="0" w:type="dxa"/>
              <w:right w:w="0" w:type="dxa"/>
            </w:tcMar>
            <w:vAlign w:val="bottom"/>
          </w:tcPr>
          <w:p w14:paraId="2CAFBD92" w14:textId="3B717AC4" w:rsidR="00345205" w:rsidRPr="00895810" w:rsidRDefault="00345205" w:rsidP="00345205">
            <w:pPr>
              <w:pStyle w:val="Tabletext"/>
              <w:rPr>
                <w:rFonts w:ascii="IBM Plex Sans Light" w:hAnsi="IBM Plex Sans Light"/>
                <w:sz w:val="18"/>
                <w:szCs w:val="18"/>
              </w:rPr>
            </w:pPr>
            <w:r>
              <w:rPr>
                <w:rFonts w:ascii="IBM Plex Sans Light" w:hAnsi="IBM Plex Sans Light"/>
                <w:spacing w:val="-4"/>
                <w:sz w:val="18"/>
                <w:szCs w:val="18"/>
              </w:rPr>
              <w:t>Change in f</w:t>
            </w:r>
            <w:r w:rsidRPr="00895810">
              <w:rPr>
                <w:rFonts w:ascii="IBM Plex Sans Light" w:hAnsi="IBM Plex Sans Light"/>
                <w:spacing w:val="-4"/>
                <w:sz w:val="18"/>
                <w:szCs w:val="18"/>
              </w:rPr>
              <w:t xml:space="preserve">air value </w:t>
            </w:r>
            <w:r>
              <w:rPr>
                <w:rFonts w:ascii="IBM Plex Sans Light" w:hAnsi="IBM Plex Sans Light"/>
                <w:spacing w:val="-4"/>
                <w:sz w:val="18"/>
                <w:szCs w:val="18"/>
              </w:rPr>
              <w:t>of borrowings</w:t>
            </w:r>
          </w:p>
        </w:tc>
        <w:tc>
          <w:tcPr>
            <w:tcW w:w="511" w:type="dxa"/>
            <w:tcBorders>
              <w:bottom w:val="single" w:sz="2" w:space="0" w:color="3D7FE0" w:themeColor="accent1"/>
            </w:tcBorders>
            <w:tcMar>
              <w:left w:w="0" w:type="dxa"/>
              <w:right w:w="0" w:type="dxa"/>
            </w:tcMar>
            <w:vAlign w:val="bottom"/>
          </w:tcPr>
          <w:p w14:paraId="7490B00E" w14:textId="77777777" w:rsidR="00345205" w:rsidRPr="00895810" w:rsidRDefault="00345205" w:rsidP="00345205">
            <w:pPr>
              <w:pStyle w:val="TableFiguresBold"/>
              <w:rPr>
                <w:rFonts w:ascii="IBM Plex Sans Light" w:hAnsi="IBM Plex Sans Light"/>
                <w:spacing w:val="-4"/>
                <w:sz w:val="18"/>
                <w:szCs w:val="18"/>
              </w:rPr>
            </w:pPr>
          </w:p>
        </w:tc>
        <w:tc>
          <w:tcPr>
            <w:tcW w:w="707" w:type="dxa"/>
            <w:tcBorders>
              <w:bottom w:val="single" w:sz="2" w:space="0" w:color="3D7FE0" w:themeColor="accent1"/>
            </w:tcBorders>
            <w:tcMar>
              <w:left w:w="0" w:type="dxa"/>
              <w:right w:w="0" w:type="dxa"/>
            </w:tcMar>
          </w:tcPr>
          <w:p w14:paraId="6DBF08D6" w14:textId="6D35BDA1" w:rsidR="00345205" w:rsidRPr="00895810" w:rsidRDefault="00345205" w:rsidP="00345205">
            <w:pPr>
              <w:pStyle w:val="TableFiguresBold"/>
              <w:rPr>
                <w:rFonts w:ascii="IBM Plex Sans Light" w:hAnsi="IBM Plex Sans Light"/>
                <w:b w:val="0"/>
                <w:bCs w:val="0"/>
                <w:spacing w:val="-4"/>
                <w:szCs w:val="16"/>
              </w:rPr>
            </w:pPr>
            <w:r w:rsidRPr="00345205">
              <w:rPr>
                <w:rFonts w:ascii="IBM Plex Sans Light" w:hAnsi="IBM Plex Sans Light"/>
                <w:b w:val="0"/>
                <w:bCs w:val="0"/>
                <w:spacing w:val="-4"/>
                <w:szCs w:val="16"/>
              </w:rPr>
              <w:t>a</w:t>
            </w:r>
          </w:p>
        </w:tc>
        <w:tc>
          <w:tcPr>
            <w:tcW w:w="956" w:type="dxa"/>
            <w:tcBorders>
              <w:bottom w:val="single" w:sz="2" w:space="0" w:color="3D7FE0" w:themeColor="accent1"/>
            </w:tcBorders>
          </w:tcPr>
          <w:p w14:paraId="54C2EE68" w14:textId="4E08BCC7"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36.7</w:t>
            </w:r>
          </w:p>
        </w:tc>
        <w:tc>
          <w:tcPr>
            <w:tcW w:w="957" w:type="dxa"/>
            <w:tcBorders>
              <w:bottom w:val="single" w:sz="2" w:space="0" w:color="3D7FE0" w:themeColor="accent1"/>
            </w:tcBorders>
            <w:tcMar>
              <w:left w:w="0" w:type="dxa"/>
              <w:right w:w="0" w:type="dxa"/>
            </w:tcMar>
          </w:tcPr>
          <w:p w14:paraId="5540DE93" w14:textId="403EFA28" w:rsidR="00345205" w:rsidRPr="00024B10" w:rsidRDefault="00345205" w:rsidP="00345205">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(0.2)</w:t>
            </w:r>
          </w:p>
        </w:tc>
        <w:tc>
          <w:tcPr>
            <w:tcW w:w="957" w:type="dxa"/>
            <w:tcBorders>
              <w:bottom w:val="single" w:sz="2" w:space="0" w:color="3D7FE0" w:themeColor="accent1"/>
            </w:tcBorders>
            <w:tcMar>
              <w:left w:w="0" w:type="dxa"/>
              <w:right w:w="0" w:type="dxa"/>
            </w:tcMar>
          </w:tcPr>
          <w:p w14:paraId="34A7A297" w14:textId="4B0F9E88"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Borders>
              <w:bottom w:val="single" w:sz="2" w:space="0" w:color="3D7FE0" w:themeColor="accent1"/>
            </w:tcBorders>
            <w:tcMar>
              <w:left w:w="0" w:type="dxa"/>
              <w:right w:w="0" w:type="dxa"/>
            </w:tcMar>
          </w:tcPr>
          <w:p w14:paraId="1E1557FE" w14:textId="3141A49E"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36.5</w:t>
            </w:r>
          </w:p>
        </w:tc>
      </w:tr>
      <w:tr w:rsidR="00345205" w:rsidRPr="00895810" w14:paraId="374B4A1E" w14:textId="77777777" w:rsidTr="00024B10">
        <w:tc>
          <w:tcPr>
            <w:tcW w:w="4876" w:type="dxa"/>
            <w:tcBorders>
              <w:top w:val="single" w:sz="2" w:space="0" w:color="3D7FE0" w:themeColor="accent1"/>
            </w:tcBorders>
            <w:tcMar>
              <w:left w:w="0" w:type="dxa"/>
              <w:right w:w="0" w:type="dxa"/>
            </w:tcMar>
            <w:vAlign w:val="bottom"/>
          </w:tcPr>
          <w:p w14:paraId="5303A9D2" w14:textId="77777777" w:rsidR="00345205" w:rsidRPr="00895810" w:rsidRDefault="00345205" w:rsidP="00345205">
            <w:pPr>
              <w:pStyle w:val="Tabletext"/>
              <w:rPr>
                <w:rFonts w:ascii="IBM Plex Sans Light" w:hAnsi="IBM Plex Sans Light"/>
                <w:sz w:val="18"/>
                <w:szCs w:val="18"/>
              </w:rPr>
            </w:pPr>
            <w:r w:rsidRPr="00895810">
              <w:rPr>
                <w:rFonts w:ascii="IBM Plex Sans Light" w:hAnsi="IBM Plex Sans Light"/>
                <w:b/>
                <w:bCs/>
                <w:color w:val="3D7FE0" w:themeColor="accent1"/>
                <w:spacing w:val="-4"/>
                <w:sz w:val="18"/>
                <w:szCs w:val="18"/>
              </w:rPr>
              <w:t>EPRA NDV</w:t>
            </w:r>
          </w:p>
        </w:tc>
        <w:tc>
          <w:tcPr>
            <w:tcW w:w="511" w:type="dxa"/>
            <w:tcBorders>
              <w:top w:val="single" w:sz="2" w:space="0" w:color="3D7FE0" w:themeColor="accent1"/>
            </w:tcBorders>
            <w:tcMar>
              <w:left w:w="0" w:type="dxa"/>
              <w:right w:w="0" w:type="dxa"/>
            </w:tcMar>
            <w:vAlign w:val="bottom"/>
          </w:tcPr>
          <w:p w14:paraId="07B71642" w14:textId="77777777" w:rsidR="00345205" w:rsidRPr="00895810" w:rsidRDefault="00345205" w:rsidP="00345205">
            <w:pPr>
              <w:pStyle w:val="TableFiguresBold"/>
              <w:rPr>
                <w:rFonts w:ascii="IBM Plex Sans Light" w:hAnsi="IBM Plex Sans Light"/>
                <w:spacing w:val="-4"/>
                <w:sz w:val="18"/>
                <w:szCs w:val="18"/>
              </w:rPr>
            </w:pPr>
          </w:p>
        </w:tc>
        <w:tc>
          <w:tcPr>
            <w:tcW w:w="707" w:type="dxa"/>
            <w:tcBorders>
              <w:top w:val="single" w:sz="2" w:space="0" w:color="3D7FE0" w:themeColor="accent1"/>
            </w:tcBorders>
            <w:tcMar>
              <w:left w:w="0" w:type="dxa"/>
              <w:right w:w="0" w:type="dxa"/>
            </w:tcMar>
          </w:tcPr>
          <w:p w14:paraId="15DD95AE" w14:textId="77777777" w:rsidR="00345205" w:rsidRPr="00895810" w:rsidRDefault="00345205" w:rsidP="00345205">
            <w:pPr>
              <w:pStyle w:val="TableFiguresBold"/>
              <w:rPr>
                <w:rFonts w:ascii="IBM Plex Sans Light" w:hAnsi="IBM Plex Sans Light"/>
                <w:b w:val="0"/>
                <w:bCs w:val="0"/>
                <w:spacing w:val="-4"/>
                <w:szCs w:val="16"/>
              </w:rPr>
            </w:pPr>
          </w:p>
        </w:tc>
        <w:tc>
          <w:tcPr>
            <w:tcW w:w="956" w:type="dxa"/>
            <w:tcBorders>
              <w:top w:val="single" w:sz="2" w:space="0" w:color="3D7FE0" w:themeColor="accent1"/>
            </w:tcBorders>
          </w:tcPr>
          <w:p w14:paraId="70C3F46C"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tcBorders>
            <w:tcMar>
              <w:left w:w="0" w:type="dxa"/>
              <w:right w:w="0" w:type="dxa"/>
            </w:tcMar>
          </w:tcPr>
          <w:p w14:paraId="2884C6A0"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tcBorders>
            <w:tcMar>
              <w:left w:w="0" w:type="dxa"/>
              <w:right w:w="0" w:type="dxa"/>
            </w:tcMar>
          </w:tcPr>
          <w:p w14:paraId="08C4B77A"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tcBorders>
            <w:tcMar>
              <w:left w:w="0" w:type="dxa"/>
              <w:right w:w="0" w:type="dxa"/>
            </w:tcMar>
          </w:tcPr>
          <w:p w14:paraId="7DBF8481" w14:textId="3E5519BD"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2,499.1</w:t>
            </w:r>
          </w:p>
        </w:tc>
      </w:tr>
      <w:tr w:rsidR="00345205" w:rsidRPr="00895810" w14:paraId="29202E95" w14:textId="77777777" w:rsidTr="00024B10">
        <w:tc>
          <w:tcPr>
            <w:tcW w:w="4876" w:type="dxa"/>
            <w:tcMar>
              <w:left w:w="0" w:type="dxa"/>
              <w:right w:w="0" w:type="dxa"/>
            </w:tcMar>
            <w:vAlign w:val="bottom"/>
          </w:tcPr>
          <w:p w14:paraId="5E67211C" w14:textId="163505DD" w:rsidR="00345205" w:rsidRPr="00895810" w:rsidRDefault="00345205" w:rsidP="00345205">
            <w:pPr>
              <w:pStyle w:val="Tabletext"/>
              <w:rPr>
                <w:rFonts w:ascii="IBM Plex Sans Light" w:hAnsi="IBM Plex Sans Light"/>
                <w:sz w:val="18"/>
                <w:szCs w:val="18"/>
              </w:rPr>
            </w:pPr>
            <w:r w:rsidRPr="00895810">
              <w:rPr>
                <w:rFonts w:ascii="IBM Plex Sans Light" w:hAnsi="IBM Plex Sans Light"/>
                <w:spacing w:val="-4"/>
                <w:sz w:val="18"/>
                <w:szCs w:val="18"/>
              </w:rPr>
              <w:t xml:space="preserve">Deduct change </w:t>
            </w:r>
            <w:r>
              <w:rPr>
                <w:rFonts w:ascii="IBM Plex Sans Light" w:hAnsi="IBM Plex Sans Light"/>
                <w:spacing w:val="-4"/>
                <w:sz w:val="18"/>
                <w:szCs w:val="18"/>
              </w:rPr>
              <w:t xml:space="preserve">in </w:t>
            </w:r>
            <w:r w:rsidRPr="00895810">
              <w:rPr>
                <w:rFonts w:ascii="IBM Plex Sans Light" w:hAnsi="IBM Plex Sans Light"/>
                <w:spacing w:val="-4"/>
                <w:sz w:val="18"/>
                <w:szCs w:val="18"/>
              </w:rPr>
              <w:t xml:space="preserve">fair value </w:t>
            </w:r>
            <w:r>
              <w:rPr>
                <w:rFonts w:ascii="IBM Plex Sans Light" w:hAnsi="IBM Plex Sans Light"/>
                <w:spacing w:val="-4"/>
                <w:sz w:val="18"/>
                <w:szCs w:val="18"/>
              </w:rPr>
              <w:t>of borrowings</w:t>
            </w:r>
          </w:p>
        </w:tc>
        <w:tc>
          <w:tcPr>
            <w:tcW w:w="511" w:type="dxa"/>
            <w:tcMar>
              <w:left w:w="0" w:type="dxa"/>
              <w:right w:w="0" w:type="dxa"/>
            </w:tcMar>
            <w:vAlign w:val="bottom"/>
          </w:tcPr>
          <w:p w14:paraId="5D30BDA9" w14:textId="77777777" w:rsidR="00345205" w:rsidRPr="00895810" w:rsidRDefault="00345205" w:rsidP="00345205">
            <w:pPr>
              <w:pStyle w:val="TableFiguresBold"/>
              <w:rPr>
                <w:rFonts w:ascii="IBM Plex Sans Light" w:hAnsi="IBM Plex Sans Light"/>
                <w:spacing w:val="-4"/>
                <w:sz w:val="18"/>
                <w:szCs w:val="18"/>
              </w:rPr>
            </w:pPr>
          </w:p>
        </w:tc>
        <w:tc>
          <w:tcPr>
            <w:tcW w:w="707" w:type="dxa"/>
            <w:tcMar>
              <w:left w:w="0" w:type="dxa"/>
              <w:right w:w="0" w:type="dxa"/>
            </w:tcMar>
          </w:tcPr>
          <w:p w14:paraId="31E8E3F2" w14:textId="65EB21FA" w:rsidR="00345205" w:rsidRPr="00895810" w:rsidRDefault="00345205" w:rsidP="00345205">
            <w:pPr>
              <w:pStyle w:val="TableFiguresBold"/>
              <w:rPr>
                <w:rFonts w:ascii="IBM Plex Sans Light" w:hAnsi="IBM Plex Sans Light"/>
                <w:b w:val="0"/>
                <w:bCs w:val="0"/>
                <w:spacing w:val="-4"/>
                <w:szCs w:val="16"/>
              </w:rPr>
            </w:pPr>
            <w:r w:rsidRPr="00345205">
              <w:rPr>
                <w:rFonts w:ascii="IBM Plex Sans Light" w:hAnsi="IBM Plex Sans Light"/>
                <w:b w:val="0"/>
                <w:bCs w:val="0"/>
                <w:spacing w:val="-4"/>
                <w:szCs w:val="16"/>
              </w:rPr>
              <w:t>a</w:t>
            </w:r>
          </w:p>
        </w:tc>
        <w:tc>
          <w:tcPr>
            <w:tcW w:w="956" w:type="dxa"/>
          </w:tcPr>
          <w:p w14:paraId="4E7D95CD" w14:textId="61C9476B" w:rsidR="00345205" w:rsidRPr="00024B10" w:rsidRDefault="00345205" w:rsidP="00024B10">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(36.7)</w:t>
            </w:r>
          </w:p>
        </w:tc>
        <w:tc>
          <w:tcPr>
            <w:tcW w:w="957" w:type="dxa"/>
            <w:tcMar>
              <w:left w:w="0" w:type="dxa"/>
              <w:right w:w="0" w:type="dxa"/>
            </w:tcMar>
          </w:tcPr>
          <w:p w14:paraId="42E8BFFA" w14:textId="01C5B2F6"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0.2</w:t>
            </w:r>
          </w:p>
        </w:tc>
        <w:tc>
          <w:tcPr>
            <w:tcW w:w="957" w:type="dxa"/>
            <w:tcMar>
              <w:left w:w="0" w:type="dxa"/>
              <w:right w:w="0" w:type="dxa"/>
            </w:tcMar>
          </w:tcPr>
          <w:p w14:paraId="76199FE0" w14:textId="186F27BD"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Mar>
              <w:left w:w="0" w:type="dxa"/>
              <w:right w:w="0" w:type="dxa"/>
            </w:tcMar>
          </w:tcPr>
          <w:p w14:paraId="50174E35" w14:textId="7B54431E" w:rsidR="00345205" w:rsidRPr="00024B10" w:rsidRDefault="00345205" w:rsidP="00024B10">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(36.5)</w:t>
            </w:r>
          </w:p>
        </w:tc>
      </w:tr>
      <w:tr w:rsidR="00345205" w:rsidRPr="00895810" w14:paraId="29A95A57" w14:textId="77777777" w:rsidTr="00024B10">
        <w:trPr>
          <w:trHeight w:val="170"/>
        </w:trPr>
        <w:tc>
          <w:tcPr>
            <w:tcW w:w="4876" w:type="dxa"/>
            <w:tcMar>
              <w:left w:w="0" w:type="dxa"/>
              <w:right w:w="0" w:type="dxa"/>
            </w:tcMar>
            <w:vAlign w:val="bottom"/>
          </w:tcPr>
          <w:p w14:paraId="52A7D01C" w14:textId="77777777" w:rsidR="00345205" w:rsidRPr="00895810" w:rsidRDefault="00345205" w:rsidP="00345205">
            <w:pPr>
              <w:pStyle w:val="Tabletext"/>
              <w:rPr>
                <w:rFonts w:ascii="IBM Plex Sans Light" w:hAnsi="IBM Plex Sans Light"/>
                <w:sz w:val="18"/>
                <w:szCs w:val="18"/>
              </w:rPr>
            </w:pPr>
            <w:r w:rsidRPr="00895810">
              <w:rPr>
                <w:rFonts w:ascii="IBM Plex Sans Light" w:hAnsi="IBM Plex Sans Light"/>
                <w:spacing w:val="-4"/>
                <w:sz w:val="18"/>
                <w:szCs w:val="18"/>
              </w:rPr>
              <w:t>Deferred tax – 50% share</w:t>
            </w:r>
          </w:p>
        </w:tc>
        <w:tc>
          <w:tcPr>
            <w:tcW w:w="511" w:type="dxa"/>
            <w:tcMar>
              <w:left w:w="0" w:type="dxa"/>
              <w:right w:w="0" w:type="dxa"/>
            </w:tcMar>
            <w:vAlign w:val="bottom"/>
          </w:tcPr>
          <w:p w14:paraId="76190590" w14:textId="77777777" w:rsidR="00345205" w:rsidRPr="00895810" w:rsidRDefault="00345205" w:rsidP="00345205">
            <w:pPr>
              <w:pStyle w:val="TableFiguresBold"/>
              <w:jc w:val="left"/>
              <w:rPr>
                <w:rFonts w:ascii="IBM Plex Sans Light" w:hAnsi="IBM Plex Sans Light"/>
                <w:b w:val="0"/>
                <w:bCs w:val="0"/>
                <w:spacing w:val="-4"/>
                <w:sz w:val="18"/>
                <w:szCs w:val="18"/>
              </w:rPr>
            </w:pPr>
          </w:p>
        </w:tc>
        <w:tc>
          <w:tcPr>
            <w:tcW w:w="707" w:type="dxa"/>
            <w:tcMar>
              <w:left w:w="0" w:type="dxa"/>
              <w:right w:w="0" w:type="dxa"/>
            </w:tcMar>
          </w:tcPr>
          <w:p w14:paraId="38F769B6" w14:textId="35D5FE0D" w:rsidR="00345205" w:rsidRPr="00895810" w:rsidRDefault="00345205" w:rsidP="00345205">
            <w:pPr>
              <w:pStyle w:val="TableFiguresBold"/>
              <w:rPr>
                <w:rFonts w:ascii="IBM Plex Sans Light" w:hAnsi="IBM Plex Sans Light"/>
                <w:b w:val="0"/>
                <w:bCs w:val="0"/>
                <w:spacing w:val="-4"/>
                <w:szCs w:val="16"/>
              </w:rPr>
            </w:pPr>
            <w:r w:rsidRPr="00345205">
              <w:rPr>
                <w:rFonts w:ascii="IBM Plex Sans Light" w:hAnsi="IBM Plex Sans Light"/>
                <w:b w:val="0"/>
                <w:bCs w:val="0"/>
                <w:spacing w:val="-4"/>
                <w:szCs w:val="16"/>
              </w:rPr>
              <w:t>b</w:t>
            </w:r>
          </w:p>
        </w:tc>
        <w:tc>
          <w:tcPr>
            <w:tcW w:w="956" w:type="dxa"/>
          </w:tcPr>
          <w:p w14:paraId="069F4376" w14:textId="6A9FD559"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0.2</w:t>
            </w:r>
          </w:p>
        </w:tc>
        <w:tc>
          <w:tcPr>
            <w:tcW w:w="957" w:type="dxa"/>
            <w:tcMar>
              <w:left w:w="0" w:type="dxa"/>
              <w:right w:w="0" w:type="dxa"/>
            </w:tcMar>
          </w:tcPr>
          <w:p w14:paraId="26EBBF44" w14:textId="10C8B67D"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0.1</w:t>
            </w:r>
          </w:p>
        </w:tc>
        <w:tc>
          <w:tcPr>
            <w:tcW w:w="957" w:type="dxa"/>
            <w:tcMar>
              <w:left w:w="0" w:type="dxa"/>
              <w:right w:w="0" w:type="dxa"/>
            </w:tcMar>
          </w:tcPr>
          <w:p w14:paraId="3D154C6D" w14:textId="7F0D9640"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100.7</w:t>
            </w:r>
          </w:p>
        </w:tc>
        <w:tc>
          <w:tcPr>
            <w:tcW w:w="957" w:type="dxa"/>
            <w:tcMar>
              <w:left w:w="0" w:type="dxa"/>
              <w:right w:w="0" w:type="dxa"/>
            </w:tcMar>
          </w:tcPr>
          <w:p w14:paraId="7521B854" w14:textId="474A01F9"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101.0</w:t>
            </w:r>
          </w:p>
        </w:tc>
      </w:tr>
      <w:tr w:rsidR="00345205" w:rsidRPr="00895810" w14:paraId="3EDF1CCA" w14:textId="77777777" w:rsidTr="00024B10">
        <w:tc>
          <w:tcPr>
            <w:tcW w:w="4876" w:type="dxa"/>
            <w:tcMar>
              <w:left w:w="0" w:type="dxa"/>
              <w:right w:w="0" w:type="dxa"/>
            </w:tcMar>
            <w:vAlign w:val="bottom"/>
          </w:tcPr>
          <w:p w14:paraId="60FB7DC4" w14:textId="77777777" w:rsidR="00345205" w:rsidRPr="00895810" w:rsidRDefault="00345205" w:rsidP="00345205">
            <w:pPr>
              <w:pStyle w:val="Tabletext"/>
              <w:rPr>
                <w:rFonts w:ascii="IBM Plex Sans Light" w:hAnsi="IBM Plex Sans Light"/>
                <w:sz w:val="18"/>
                <w:szCs w:val="18"/>
              </w:rPr>
            </w:pPr>
            <w:r w:rsidRPr="00895810">
              <w:rPr>
                <w:rFonts w:ascii="IBM Plex Sans Light" w:hAnsi="IBM Plex Sans Light"/>
                <w:spacing w:val="-4"/>
                <w:sz w:val="18"/>
                <w:szCs w:val="18"/>
              </w:rPr>
              <w:t>Fair value of currency swaps as a result of interest rates</w:t>
            </w:r>
          </w:p>
        </w:tc>
        <w:tc>
          <w:tcPr>
            <w:tcW w:w="511" w:type="dxa"/>
            <w:tcMar>
              <w:left w:w="0" w:type="dxa"/>
              <w:right w:w="0" w:type="dxa"/>
            </w:tcMar>
            <w:vAlign w:val="bottom"/>
          </w:tcPr>
          <w:p w14:paraId="53D557EE" w14:textId="77777777" w:rsidR="00345205" w:rsidRPr="00895810" w:rsidRDefault="00345205" w:rsidP="00345205">
            <w:pPr>
              <w:pStyle w:val="TableFiguresBold"/>
              <w:rPr>
                <w:rFonts w:ascii="IBM Plex Sans Light" w:hAnsi="IBM Plex Sans Light"/>
                <w:spacing w:val="-4"/>
                <w:sz w:val="18"/>
                <w:szCs w:val="18"/>
              </w:rPr>
            </w:pPr>
          </w:p>
        </w:tc>
        <w:tc>
          <w:tcPr>
            <w:tcW w:w="707" w:type="dxa"/>
            <w:tcMar>
              <w:left w:w="0" w:type="dxa"/>
              <w:right w:w="0" w:type="dxa"/>
            </w:tcMar>
          </w:tcPr>
          <w:p w14:paraId="3A9B36C1" w14:textId="6443DC45" w:rsidR="00345205" w:rsidRPr="00895810" w:rsidRDefault="00345205" w:rsidP="00345205">
            <w:pPr>
              <w:pStyle w:val="TableFiguresBold"/>
              <w:rPr>
                <w:rFonts w:ascii="IBM Plex Sans Light" w:hAnsi="IBM Plex Sans Light"/>
                <w:b w:val="0"/>
                <w:bCs w:val="0"/>
                <w:spacing w:val="-4"/>
                <w:szCs w:val="16"/>
              </w:rPr>
            </w:pPr>
            <w:r w:rsidRPr="00345205">
              <w:rPr>
                <w:rFonts w:ascii="IBM Plex Sans Light" w:hAnsi="IBM Plex Sans Light"/>
                <w:b w:val="0"/>
                <w:bCs w:val="0"/>
                <w:spacing w:val="-4"/>
                <w:szCs w:val="16"/>
              </w:rPr>
              <w:t>c</w:t>
            </w:r>
          </w:p>
        </w:tc>
        <w:tc>
          <w:tcPr>
            <w:tcW w:w="956" w:type="dxa"/>
          </w:tcPr>
          <w:p w14:paraId="6F90562A" w14:textId="7D3A7682"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w:t>
            </w:r>
          </w:p>
        </w:tc>
        <w:tc>
          <w:tcPr>
            <w:tcW w:w="957" w:type="dxa"/>
            <w:tcMar>
              <w:left w:w="0" w:type="dxa"/>
              <w:right w:w="0" w:type="dxa"/>
            </w:tcMar>
          </w:tcPr>
          <w:p w14:paraId="0F46711D" w14:textId="46E15D40"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Mar>
              <w:left w:w="0" w:type="dxa"/>
              <w:right w:w="0" w:type="dxa"/>
            </w:tcMar>
          </w:tcPr>
          <w:p w14:paraId="1C6E0FB9" w14:textId="4EC33C30"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Mar>
              <w:left w:w="0" w:type="dxa"/>
              <w:right w:w="0" w:type="dxa"/>
            </w:tcMar>
          </w:tcPr>
          <w:p w14:paraId="455DE9CC" w14:textId="32E8D268"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w:t>
            </w:r>
          </w:p>
        </w:tc>
      </w:tr>
      <w:tr w:rsidR="00345205" w:rsidRPr="00895810" w14:paraId="0078D630" w14:textId="77777777" w:rsidTr="00024B10">
        <w:tc>
          <w:tcPr>
            <w:tcW w:w="4876" w:type="dxa"/>
            <w:tcBorders>
              <w:bottom w:val="single" w:sz="2" w:space="0" w:color="3D7FE0" w:themeColor="accent1"/>
            </w:tcBorders>
            <w:tcMar>
              <w:left w:w="0" w:type="dxa"/>
              <w:right w:w="0" w:type="dxa"/>
            </w:tcMar>
            <w:vAlign w:val="bottom"/>
          </w:tcPr>
          <w:p w14:paraId="10603785" w14:textId="77777777" w:rsidR="00345205" w:rsidRPr="00895810" w:rsidRDefault="00345205" w:rsidP="00345205">
            <w:pPr>
              <w:pStyle w:val="Tabletext"/>
              <w:rPr>
                <w:rFonts w:ascii="IBM Plex Sans Light" w:hAnsi="IBM Plex Sans Light"/>
                <w:sz w:val="18"/>
                <w:szCs w:val="18"/>
              </w:rPr>
            </w:pPr>
            <w:r w:rsidRPr="00895810">
              <w:rPr>
                <w:rFonts w:ascii="IBM Plex Sans Light" w:hAnsi="IBM Plex Sans Light"/>
                <w:spacing w:val="-4"/>
                <w:sz w:val="18"/>
                <w:szCs w:val="18"/>
              </w:rPr>
              <w:t>Fair value of interest rate swaps</w:t>
            </w:r>
          </w:p>
        </w:tc>
        <w:tc>
          <w:tcPr>
            <w:tcW w:w="511" w:type="dxa"/>
            <w:tcBorders>
              <w:bottom w:val="single" w:sz="2" w:space="0" w:color="3D7FE0" w:themeColor="accent1"/>
            </w:tcBorders>
            <w:tcMar>
              <w:left w:w="0" w:type="dxa"/>
              <w:right w:w="0" w:type="dxa"/>
            </w:tcMar>
            <w:vAlign w:val="bottom"/>
          </w:tcPr>
          <w:p w14:paraId="3B28E862" w14:textId="77777777" w:rsidR="00345205" w:rsidRPr="00895810" w:rsidRDefault="00345205" w:rsidP="00345205">
            <w:pPr>
              <w:pStyle w:val="TableFiguresBold"/>
              <w:rPr>
                <w:rFonts w:ascii="IBM Plex Sans Light" w:hAnsi="IBM Plex Sans Light"/>
                <w:spacing w:val="-4"/>
                <w:sz w:val="18"/>
                <w:szCs w:val="18"/>
              </w:rPr>
            </w:pPr>
          </w:p>
        </w:tc>
        <w:tc>
          <w:tcPr>
            <w:tcW w:w="707" w:type="dxa"/>
            <w:tcBorders>
              <w:bottom w:val="single" w:sz="2" w:space="0" w:color="3D7FE0" w:themeColor="accent1"/>
            </w:tcBorders>
            <w:tcMar>
              <w:left w:w="0" w:type="dxa"/>
              <w:right w:w="0" w:type="dxa"/>
            </w:tcMar>
          </w:tcPr>
          <w:p w14:paraId="2B67D663" w14:textId="77777777" w:rsidR="00345205" w:rsidRPr="00345205" w:rsidRDefault="00345205" w:rsidP="00345205">
            <w:pPr>
              <w:pStyle w:val="TableFiguresBold"/>
              <w:rPr>
                <w:rFonts w:ascii="IBM Plex Sans Light" w:hAnsi="IBM Plex Sans Light"/>
                <w:b w:val="0"/>
                <w:bCs w:val="0"/>
                <w:spacing w:val="-4"/>
                <w:szCs w:val="16"/>
              </w:rPr>
            </w:pPr>
          </w:p>
        </w:tc>
        <w:tc>
          <w:tcPr>
            <w:tcW w:w="956" w:type="dxa"/>
            <w:tcBorders>
              <w:bottom w:val="single" w:sz="2" w:space="0" w:color="3D7FE0" w:themeColor="accent1"/>
            </w:tcBorders>
          </w:tcPr>
          <w:p w14:paraId="49986530" w14:textId="28DCB8DF"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0.7</w:t>
            </w:r>
          </w:p>
        </w:tc>
        <w:tc>
          <w:tcPr>
            <w:tcW w:w="957" w:type="dxa"/>
            <w:tcBorders>
              <w:bottom w:val="single" w:sz="2" w:space="0" w:color="3D7FE0" w:themeColor="accent1"/>
            </w:tcBorders>
            <w:tcMar>
              <w:left w:w="0" w:type="dxa"/>
              <w:right w:w="0" w:type="dxa"/>
            </w:tcMar>
          </w:tcPr>
          <w:p w14:paraId="766EB861" w14:textId="36AD1BBA" w:rsidR="00345205" w:rsidRPr="00024B10" w:rsidRDefault="00345205" w:rsidP="00024B10">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(1.3)</w:t>
            </w:r>
          </w:p>
        </w:tc>
        <w:tc>
          <w:tcPr>
            <w:tcW w:w="957" w:type="dxa"/>
            <w:tcBorders>
              <w:bottom w:val="single" w:sz="2" w:space="0" w:color="3D7FE0" w:themeColor="accent1"/>
            </w:tcBorders>
            <w:tcMar>
              <w:left w:w="0" w:type="dxa"/>
              <w:right w:w="0" w:type="dxa"/>
            </w:tcMar>
          </w:tcPr>
          <w:p w14:paraId="10A44831" w14:textId="2A0D8ACF" w:rsidR="00345205" w:rsidRPr="00024B10" w:rsidRDefault="00345205" w:rsidP="00024B10">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(22.0)</w:t>
            </w:r>
          </w:p>
        </w:tc>
        <w:tc>
          <w:tcPr>
            <w:tcW w:w="957" w:type="dxa"/>
            <w:tcBorders>
              <w:bottom w:val="single" w:sz="2" w:space="0" w:color="3D7FE0" w:themeColor="accent1"/>
            </w:tcBorders>
            <w:tcMar>
              <w:left w:w="0" w:type="dxa"/>
              <w:right w:w="0" w:type="dxa"/>
            </w:tcMar>
          </w:tcPr>
          <w:p w14:paraId="09724975" w14:textId="6492F1AD" w:rsidR="00345205" w:rsidRPr="00024B10" w:rsidRDefault="00345205" w:rsidP="00024B10">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(22.6)</w:t>
            </w:r>
          </w:p>
        </w:tc>
      </w:tr>
      <w:tr w:rsidR="00345205" w:rsidRPr="00895810" w14:paraId="39147969" w14:textId="77777777" w:rsidTr="00024B10">
        <w:tc>
          <w:tcPr>
            <w:tcW w:w="4876" w:type="dxa"/>
            <w:tcBorders>
              <w:top w:val="single" w:sz="2" w:space="0" w:color="3D7FE0" w:themeColor="accent1"/>
            </w:tcBorders>
            <w:tcMar>
              <w:left w:w="0" w:type="dxa"/>
              <w:right w:w="0" w:type="dxa"/>
            </w:tcMar>
            <w:vAlign w:val="bottom"/>
          </w:tcPr>
          <w:p w14:paraId="36BDAA42" w14:textId="77777777" w:rsidR="00345205" w:rsidRPr="00895810" w:rsidRDefault="00345205" w:rsidP="00345205">
            <w:pPr>
              <w:pStyle w:val="Tabletext"/>
              <w:rPr>
                <w:rFonts w:ascii="IBM Plex Sans Light" w:hAnsi="IBM Plex Sans Light"/>
                <w:spacing w:val="-4"/>
                <w:sz w:val="18"/>
                <w:szCs w:val="18"/>
              </w:rPr>
            </w:pPr>
            <w:r w:rsidRPr="00895810">
              <w:rPr>
                <w:rFonts w:ascii="IBM Plex Sans Light" w:hAnsi="IBM Plex Sans Light"/>
                <w:b/>
                <w:bCs/>
                <w:color w:val="3D7FE0" w:themeColor="accent1"/>
                <w:spacing w:val="-4"/>
                <w:sz w:val="18"/>
                <w:szCs w:val="18"/>
              </w:rPr>
              <w:t>EPRA NTA</w:t>
            </w:r>
          </w:p>
        </w:tc>
        <w:tc>
          <w:tcPr>
            <w:tcW w:w="511" w:type="dxa"/>
            <w:tcBorders>
              <w:top w:val="single" w:sz="2" w:space="0" w:color="3D7FE0" w:themeColor="accent1"/>
            </w:tcBorders>
            <w:tcMar>
              <w:left w:w="0" w:type="dxa"/>
              <w:right w:w="0" w:type="dxa"/>
            </w:tcMar>
            <w:vAlign w:val="bottom"/>
          </w:tcPr>
          <w:p w14:paraId="278ACD5A" w14:textId="77777777" w:rsidR="00345205" w:rsidRPr="00895810" w:rsidRDefault="00345205" w:rsidP="00345205">
            <w:pPr>
              <w:pStyle w:val="TableFiguresBracketsBold"/>
              <w:rPr>
                <w:rFonts w:ascii="IBM Plex Sans Light" w:hAnsi="IBM Plex Sans Light"/>
                <w:b w:val="0"/>
                <w:bCs w:val="0"/>
                <w:color w:val="auto"/>
                <w:spacing w:val="-4"/>
                <w:sz w:val="18"/>
                <w:szCs w:val="18"/>
              </w:rPr>
            </w:pPr>
          </w:p>
        </w:tc>
        <w:tc>
          <w:tcPr>
            <w:tcW w:w="707" w:type="dxa"/>
            <w:tcBorders>
              <w:top w:val="single" w:sz="2" w:space="0" w:color="3D7FE0" w:themeColor="accent1"/>
            </w:tcBorders>
            <w:tcMar>
              <w:left w:w="0" w:type="dxa"/>
              <w:right w:w="0" w:type="dxa"/>
            </w:tcMar>
          </w:tcPr>
          <w:p w14:paraId="12F4BA42" w14:textId="77777777" w:rsidR="00345205" w:rsidRPr="00345205" w:rsidRDefault="00345205" w:rsidP="00345205">
            <w:pPr>
              <w:pStyle w:val="TableFiguresBold"/>
              <w:rPr>
                <w:rFonts w:ascii="IBM Plex Sans Light" w:hAnsi="IBM Plex Sans Light"/>
                <w:b w:val="0"/>
                <w:bCs w:val="0"/>
                <w:spacing w:val="-4"/>
                <w:szCs w:val="16"/>
              </w:rPr>
            </w:pPr>
          </w:p>
        </w:tc>
        <w:tc>
          <w:tcPr>
            <w:tcW w:w="956" w:type="dxa"/>
            <w:tcBorders>
              <w:top w:val="single" w:sz="2" w:space="0" w:color="3D7FE0" w:themeColor="accent1"/>
            </w:tcBorders>
          </w:tcPr>
          <w:p w14:paraId="519A312B"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tcBorders>
            <w:tcMar>
              <w:left w:w="0" w:type="dxa"/>
              <w:right w:w="0" w:type="dxa"/>
            </w:tcMar>
          </w:tcPr>
          <w:p w14:paraId="235D2B7E"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tcBorders>
            <w:tcMar>
              <w:left w:w="0" w:type="dxa"/>
              <w:right w:w="0" w:type="dxa"/>
            </w:tcMar>
          </w:tcPr>
          <w:p w14:paraId="485A57B1"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tcBorders>
            <w:tcMar>
              <w:left w:w="0" w:type="dxa"/>
              <w:right w:w="0" w:type="dxa"/>
            </w:tcMar>
          </w:tcPr>
          <w:p w14:paraId="4CE2EFC0" w14:textId="744E68D0"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2,542.0</w:t>
            </w:r>
          </w:p>
        </w:tc>
      </w:tr>
      <w:tr w:rsidR="00345205" w:rsidRPr="00895810" w14:paraId="6D057F8A" w14:textId="77777777" w:rsidTr="00024B10">
        <w:tc>
          <w:tcPr>
            <w:tcW w:w="4876" w:type="dxa"/>
            <w:tcMar>
              <w:left w:w="0" w:type="dxa"/>
              <w:right w:w="0" w:type="dxa"/>
            </w:tcMar>
            <w:vAlign w:val="bottom"/>
          </w:tcPr>
          <w:p w14:paraId="618270C2" w14:textId="77777777" w:rsidR="00345205" w:rsidRPr="00895810" w:rsidRDefault="00345205" w:rsidP="00345205">
            <w:pPr>
              <w:pStyle w:val="Tabletext"/>
              <w:rPr>
                <w:rFonts w:ascii="IBM Plex Sans Light" w:hAnsi="IBM Plex Sans Light"/>
                <w:spacing w:val="-4"/>
                <w:sz w:val="18"/>
                <w:szCs w:val="18"/>
              </w:rPr>
            </w:pPr>
            <w:r w:rsidRPr="00895810">
              <w:rPr>
                <w:rFonts w:ascii="IBM Plex Sans Light" w:hAnsi="IBM Plex Sans Light"/>
                <w:spacing w:val="-4"/>
                <w:sz w:val="18"/>
                <w:szCs w:val="18"/>
              </w:rPr>
              <w:t>Deferred tax – remaining 50% share</w:t>
            </w:r>
          </w:p>
        </w:tc>
        <w:tc>
          <w:tcPr>
            <w:tcW w:w="511" w:type="dxa"/>
            <w:tcMar>
              <w:left w:w="0" w:type="dxa"/>
              <w:right w:w="0" w:type="dxa"/>
            </w:tcMar>
            <w:vAlign w:val="bottom"/>
          </w:tcPr>
          <w:p w14:paraId="1FAEF301" w14:textId="77777777" w:rsidR="00345205" w:rsidRPr="00895810" w:rsidRDefault="00345205" w:rsidP="00345205">
            <w:pPr>
              <w:pStyle w:val="TableFiguresBold"/>
              <w:ind w:left="-18"/>
              <w:rPr>
                <w:rFonts w:ascii="IBM Plex Sans Light" w:hAnsi="IBM Plex Sans Light"/>
                <w:b w:val="0"/>
                <w:bCs w:val="0"/>
                <w:color w:val="auto"/>
                <w:spacing w:val="-4"/>
                <w:sz w:val="18"/>
                <w:szCs w:val="18"/>
              </w:rPr>
            </w:pPr>
          </w:p>
        </w:tc>
        <w:tc>
          <w:tcPr>
            <w:tcW w:w="707" w:type="dxa"/>
            <w:tcMar>
              <w:left w:w="0" w:type="dxa"/>
              <w:right w:w="0" w:type="dxa"/>
            </w:tcMar>
          </w:tcPr>
          <w:p w14:paraId="15AD2B8F" w14:textId="5B8F3505" w:rsidR="00345205" w:rsidRPr="00345205" w:rsidRDefault="00345205" w:rsidP="00345205">
            <w:pPr>
              <w:pStyle w:val="TableFiguresBold"/>
              <w:rPr>
                <w:rFonts w:ascii="IBM Plex Sans Light" w:hAnsi="IBM Plex Sans Light"/>
                <w:b w:val="0"/>
                <w:bCs w:val="0"/>
                <w:spacing w:val="-4"/>
                <w:szCs w:val="16"/>
              </w:rPr>
            </w:pPr>
            <w:r w:rsidRPr="00345205">
              <w:rPr>
                <w:rFonts w:ascii="IBM Plex Sans Light" w:hAnsi="IBM Plex Sans Light"/>
                <w:b w:val="0"/>
                <w:bCs w:val="0"/>
                <w:spacing w:val="-4"/>
                <w:szCs w:val="16"/>
              </w:rPr>
              <w:t>b</w:t>
            </w:r>
          </w:p>
        </w:tc>
        <w:tc>
          <w:tcPr>
            <w:tcW w:w="956" w:type="dxa"/>
          </w:tcPr>
          <w:p w14:paraId="2F6CB749" w14:textId="7F17F423"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0.2</w:t>
            </w:r>
          </w:p>
        </w:tc>
        <w:tc>
          <w:tcPr>
            <w:tcW w:w="957" w:type="dxa"/>
            <w:tcMar>
              <w:left w:w="0" w:type="dxa"/>
              <w:right w:w="0" w:type="dxa"/>
            </w:tcMar>
          </w:tcPr>
          <w:p w14:paraId="78C0370B" w14:textId="54FDD73A"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Mar>
              <w:left w:w="0" w:type="dxa"/>
              <w:right w:w="0" w:type="dxa"/>
            </w:tcMar>
          </w:tcPr>
          <w:p w14:paraId="010CA4CD" w14:textId="2936B74B"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100.7</w:t>
            </w:r>
          </w:p>
        </w:tc>
        <w:tc>
          <w:tcPr>
            <w:tcW w:w="957" w:type="dxa"/>
            <w:tcMar>
              <w:left w:w="0" w:type="dxa"/>
              <w:right w:w="0" w:type="dxa"/>
            </w:tcMar>
          </w:tcPr>
          <w:p w14:paraId="5D1AED11" w14:textId="33228F50"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100.9</w:t>
            </w:r>
          </w:p>
        </w:tc>
      </w:tr>
      <w:tr w:rsidR="00345205" w:rsidRPr="00895810" w14:paraId="6A0B01DE" w14:textId="77777777" w:rsidTr="00024B10">
        <w:tc>
          <w:tcPr>
            <w:tcW w:w="4876" w:type="dxa"/>
            <w:tcBorders>
              <w:bottom w:val="single" w:sz="2" w:space="0" w:color="3D7FE0" w:themeColor="accent1"/>
            </w:tcBorders>
            <w:tcMar>
              <w:left w:w="0" w:type="dxa"/>
              <w:right w:w="0" w:type="dxa"/>
            </w:tcMar>
            <w:vAlign w:val="bottom"/>
          </w:tcPr>
          <w:p w14:paraId="06FAB8B0" w14:textId="77777777" w:rsidR="00345205" w:rsidRPr="00895810" w:rsidRDefault="00345205" w:rsidP="00345205">
            <w:pPr>
              <w:pStyle w:val="Tabletext"/>
              <w:rPr>
                <w:rFonts w:ascii="IBM Plex Sans Light" w:hAnsi="IBM Plex Sans Light"/>
                <w:spacing w:val="-4"/>
                <w:sz w:val="18"/>
                <w:szCs w:val="18"/>
              </w:rPr>
            </w:pPr>
            <w:r w:rsidRPr="00895810">
              <w:rPr>
                <w:rFonts w:ascii="IBM Plex Sans Light" w:hAnsi="IBM Plex Sans Light"/>
                <w:spacing w:val="-4"/>
                <w:sz w:val="18"/>
                <w:szCs w:val="18"/>
              </w:rPr>
              <w:t>Purchasers’ costs</w:t>
            </w:r>
          </w:p>
        </w:tc>
        <w:tc>
          <w:tcPr>
            <w:tcW w:w="511" w:type="dxa"/>
            <w:tcBorders>
              <w:bottom w:val="single" w:sz="2" w:space="0" w:color="3D7FE0" w:themeColor="accent1"/>
            </w:tcBorders>
            <w:tcMar>
              <w:left w:w="0" w:type="dxa"/>
              <w:right w:w="0" w:type="dxa"/>
            </w:tcMar>
            <w:vAlign w:val="bottom"/>
          </w:tcPr>
          <w:p w14:paraId="2201111D" w14:textId="77777777" w:rsidR="00345205" w:rsidRPr="00895810" w:rsidRDefault="00345205" w:rsidP="00345205">
            <w:pPr>
              <w:pStyle w:val="TableFiguresBold"/>
              <w:rPr>
                <w:rFonts w:ascii="IBM Plex Sans Light" w:hAnsi="IBM Plex Sans Light"/>
                <w:b w:val="0"/>
                <w:bCs w:val="0"/>
                <w:color w:val="auto"/>
                <w:spacing w:val="-4"/>
                <w:sz w:val="18"/>
                <w:szCs w:val="18"/>
              </w:rPr>
            </w:pPr>
          </w:p>
        </w:tc>
        <w:tc>
          <w:tcPr>
            <w:tcW w:w="707" w:type="dxa"/>
            <w:tcBorders>
              <w:bottom w:val="single" w:sz="2" w:space="0" w:color="3D7FE0" w:themeColor="accent1"/>
            </w:tcBorders>
            <w:tcMar>
              <w:left w:w="0" w:type="dxa"/>
              <w:right w:w="0" w:type="dxa"/>
            </w:tcMar>
          </w:tcPr>
          <w:p w14:paraId="1DFA435A" w14:textId="1DC86069" w:rsidR="00345205" w:rsidRPr="00345205" w:rsidRDefault="00345205" w:rsidP="00345205">
            <w:pPr>
              <w:pStyle w:val="TableFiguresBold"/>
              <w:rPr>
                <w:rFonts w:ascii="IBM Plex Sans Light" w:hAnsi="IBM Plex Sans Light"/>
                <w:b w:val="0"/>
                <w:bCs w:val="0"/>
                <w:spacing w:val="-4"/>
                <w:szCs w:val="16"/>
              </w:rPr>
            </w:pPr>
            <w:r w:rsidRPr="00345205">
              <w:rPr>
                <w:rFonts w:ascii="IBM Plex Sans Light" w:hAnsi="IBM Plex Sans Light"/>
                <w:b w:val="0"/>
                <w:bCs w:val="0"/>
                <w:spacing w:val="-4"/>
                <w:szCs w:val="16"/>
              </w:rPr>
              <w:t>d</w:t>
            </w:r>
          </w:p>
        </w:tc>
        <w:tc>
          <w:tcPr>
            <w:tcW w:w="956" w:type="dxa"/>
            <w:tcBorders>
              <w:bottom w:val="single" w:sz="2" w:space="0" w:color="3D7FE0" w:themeColor="accent1"/>
            </w:tcBorders>
          </w:tcPr>
          <w:p w14:paraId="24F6A7EB" w14:textId="4FE0CC73"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302.9</w:t>
            </w:r>
          </w:p>
        </w:tc>
        <w:tc>
          <w:tcPr>
            <w:tcW w:w="957" w:type="dxa"/>
            <w:tcBorders>
              <w:bottom w:val="single" w:sz="2" w:space="0" w:color="3D7FE0" w:themeColor="accent1"/>
            </w:tcBorders>
            <w:tcMar>
              <w:left w:w="0" w:type="dxa"/>
              <w:right w:w="0" w:type="dxa"/>
            </w:tcMar>
          </w:tcPr>
          <w:p w14:paraId="25949C25" w14:textId="7E103030"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Borders>
              <w:bottom w:val="single" w:sz="2" w:space="0" w:color="3D7FE0" w:themeColor="accent1"/>
            </w:tcBorders>
            <w:tcMar>
              <w:left w:w="0" w:type="dxa"/>
              <w:right w:w="0" w:type="dxa"/>
            </w:tcMar>
          </w:tcPr>
          <w:p w14:paraId="5136ECA4" w14:textId="4E15AE87"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p>
        </w:tc>
        <w:tc>
          <w:tcPr>
            <w:tcW w:w="957" w:type="dxa"/>
            <w:tcBorders>
              <w:bottom w:val="single" w:sz="2" w:space="0" w:color="3D7FE0" w:themeColor="accent1"/>
            </w:tcBorders>
            <w:tcMar>
              <w:left w:w="0" w:type="dxa"/>
              <w:right w:w="0" w:type="dxa"/>
            </w:tcMar>
          </w:tcPr>
          <w:p w14:paraId="43212812" w14:textId="30D54C15"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302.9</w:t>
            </w:r>
          </w:p>
        </w:tc>
      </w:tr>
      <w:tr w:rsidR="00345205" w:rsidRPr="00895810" w14:paraId="7ADFD984" w14:textId="77777777" w:rsidTr="00024B10">
        <w:tc>
          <w:tcPr>
            <w:tcW w:w="4876" w:type="dxa"/>
            <w:tcBorders>
              <w:top w:val="single" w:sz="2" w:space="0" w:color="3D7FE0" w:themeColor="accent1"/>
              <w:bottom w:val="single" w:sz="8" w:space="0" w:color="3D7FE0" w:themeColor="accent1"/>
            </w:tcBorders>
            <w:tcMar>
              <w:left w:w="0" w:type="dxa"/>
              <w:right w:w="0" w:type="dxa"/>
            </w:tcMar>
            <w:vAlign w:val="bottom"/>
          </w:tcPr>
          <w:p w14:paraId="43539EDB" w14:textId="77777777" w:rsidR="00345205" w:rsidRPr="00895810" w:rsidRDefault="00345205" w:rsidP="00345205">
            <w:pPr>
              <w:pStyle w:val="Tabletext"/>
              <w:rPr>
                <w:rFonts w:ascii="IBM Plex Sans Light" w:hAnsi="IBM Plex Sans Light"/>
                <w:spacing w:val="-4"/>
                <w:sz w:val="18"/>
                <w:szCs w:val="18"/>
              </w:rPr>
            </w:pPr>
            <w:r w:rsidRPr="00895810">
              <w:rPr>
                <w:rFonts w:ascii="IBM Plex Sans Light" w:hAnsi="IBM Plex Sans Light"/>
                <w:b/>
                <w:bCs/>
                <w:color w:val="3D7FE0" w:themeColor="accent1"/>
                <w:spacing w:val="-4"/>
                <w:sz w:val="18"/>
                <w:szCs w:val="18"/>
              </w:rPr>
              <w:t>EPRA NRV</w:t>
            </w:r>
          </w:p>
        </w:tc>
        <w:tc>
          <w:tcPr>
            <w:tcW w:w="511" w:type="dxa"/>
            <w:tcBorders>
              <w:top w:val="single" w:sz="2" w:space="0" w:color="3D7FE0" w:themeColor="accent1"/>
              <w:bottom w:val="single" w:sz="8" w:space="0" w:color="3D7FE0" w:themeColor="accent1"/>
            </w:tcBorders>
            <w:tcMar>
              <w:left w:w="0" w:type="dxa"/>
              <w:right w:w="0" w:type="dxa"/>
            </w:tcMar>
            <w:vAlign w:val="bottom"/>
          </w:tcPr>
          <w:p w14:paraId="39A20769" w14:textId="77777777" w:rsidR="00345205" w:rsidRPr="00895810" w:rsidRDefault="00345205" w:rsidP="00345205">
            <w:pPr>
              <w:pStyle w:val="TableFiguresBracketsBold"/>
              <w:rPr>
                <w:rFonts w:ascii="IBM Plex Sans Light" w:hAnsi="IBM Plex Sans Light"/>
                <w:b w:val="0"/>
                <w:bCs w:val="0"/>
                <w:color w:val="auto"/>
                <w:spacing w:val="-4"/>
                <w:sz w:val="18"/>
                <w:szCs w:val="18"/>
              </w:rPr>
            </w:pPr>
          </w:p>
        </w:tc>
        <w:tc>
          <w:tcPr>
            <w:tcW w:w="707" w:type="dxa"/>
            <w:tcBorders>
              <w:top w:val="single" w:sz="2" w:space="0" w:color="3D7FE0" w:themeColor="accent1"/>
              <w:bottom w:val="single" w:sz="8" w:space="0" w:color="3D7FE0" w:themeColor="accent1"/>
            </w:tcBorders>
            <w:tcMar>
              <w:left w:w="0" w:type="dxa"/>
              <w:right w:w="0" w:type="dxa"/>
            </w:tcMar>
            <w:vAlign w:val="bottom"/>
          </w:tcPr>
          <w:p w14:paraId="18032CD3" w14:textId="77777777" w:rsidR="00345205" w:rsidRPr="00895810" w:rsidRDefault="00345205" w:rsidP="00345205">
            <w:pPr>
              <w:pStyle w:val="TableFiguresBracketsBold"/>
              <w:rPr>
                <w:rFonts w:ascii="IBM Plex Sans Light" w:hAnsi="IBM Plex Sans Light"/>
                <w:b w:val="0"/>
                <w:bCs w:val="0"/>
                <w:color w:val="auto"/>
                <w:spacing w:val="-4"/>
                <w:szCs w:val="16"/>
              </w:rPr>
            </w:pPr>
          </w:p>
        </w:tc>
        <w:tc>
          <w:tcPr>
            <w:tcW w:w="956" w:type="dxa"/>
            <w:tcBorders>
              <w:top w:val="single" w:sz="2" w:space="0" w:color="3D7FE0" w:themeColor="accent1"/>
              <w:bottom w:val="single" w:sz="8" w:space="0" w:color="3D7FE0" w:themeColor="accent1"/>
            </w:tcBorders>
          </w:tcPr>
          <w:p w14:paraId="4CDB60C9"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bottom w:val="single" w:sz="8" w:space="0" w:color="3D7FE0" w:themeColor="accent1"/>
            </w:tcBorders>
            <w:tcMar>
              <w:left w:w="0" w:type="dxa"/>
              <w:right w:w="0" w:type="dxa"/>
            </w:tcMar>
          </w:tcPr>
          <w:p w14:paraId="171CD976"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bottom w:val="single" w:sz="8" w:space="0" w:color="3D7FE0" w:themeColor="accent1"/>
            </w:tcBorders>
            <w:tcMar>
              <w:left w:w="0" w:type="dxa"/>
              <w:right w:w="0" w:type="dxa"/>
            </w:tcMar>
          </w:tcPr>
          <w:p w14:paraId="48CF408F" w14:textId="77777777" w:rsidR="00345205" w:rsidRPr="00024B10" w:rsidRDefault="00345205" w:rsidP="00345205">
            <w:pPr>
              <w:pStyle w:val="TableFigures"/>
              <w:rPr>
                <w:rFonts w:ascii="IBM Plex Sans Medium" w:hAnsi="IBM Plex Sans Medium"/>
                <w:b/>
                <w:bCs/>
                <w:color w:val="3D7FE0" w:themeColor="accent1"/>
                <w:spacing w:val="-4"/>
                <w:sz w:val="18"/>
                <w:szCs w:val="18"/>
              </w:rPr>
            </w:pPr>
          </w:p>
        </w:tc>
        <w:tc>
          <w:tcPr>
            <w:tcW w:w="957" w:type="dxa"/>
            <w:tcBorders>
              <w:top w:val="single" w:sz="2" w:space="0" w:color="3D7FE0" w:themeColor="accent1"/>
              <w:bottom w:val="single" w:sz="8" w:space="0" w:color="3D7FE0" w:themeColor="accent1"/>
            </w:tcBorders>
            <w:tcMar>
              <w:left w:w="0" w:type="dxa"/>
              <w:right w:w="0" w:type="dxa"/>
            </w:tcMar>
          </w:tcPr>
          <w:p w14:paraId="51EC8CBC" w14:textId="01D48FB5" w:rsidR="00345205" w:rsidRPr="00024B10" w:rsidRDefault="00345205" w:rsidP="00345205">
            <w:pPr>
              <w:pStyle w:val="TableFigure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2,945.8</w:t>
            </w:r>
          </w:p>
        </w:tc>
      </w:tr>
    </w:tbl>
    <w:p w14:paraId="78A89942" w14:textId="77777777" w:rsidR="00670108" w:rsidRPr="00895810" w:rsidRDefault="00670108" w:rsidP="00670108">
      <w:pPr>
        <w:pStyle w:val="Heading2SpaceBefore"/>
        <w:spacing w:before="0"/>
        <w:rPr>
          <w:rFonts w:ascii="IBM Plex Sans Light" w:hAnsi="IBM Plex Sans Light" w:cs="Arial"/>
          <w:b w:val="0"/>
          <w:color w:val="3D7FE0" w:themeColor="accent1"/>
          <w:szCs w:val="18"/>
        </w:rPr>
      </w:pPr>
    </w:p>
    <w:tbl>
      <w:tblPr>
        <w:tblW w:w="9921" w:type="dxa"/>
        <w:tblLayout w:type="fixed"/>
        <w:tblLook w:val="01E0" w:firstRow="1" w:lastRow="1" w:firstColumn="1" w:lastColumn="1" w:noHBand="0" w:noVBand="0"/>
      </w:tblPr>
      <w:tblGrid>
        <w:gridCol w:w="4876"/>
        <w:gridCol w:w="511"/>
        <w:gridCol w:w="707"/>
        <w:gridCol w:w="956"/>
        <w:gridCol w:w="957"/>
        <w:gridCol w:w="957"/>
        <w:gridCol w:w="957"/>
      </w:tblGrid>
      <w:tr w:rsidR="0038682A" w:rsidRPr="00895810" w14:paraId="2B435D14" w14:textId="77777777" w:rsidTr="00024B10">
        <w:tc>
          <w:tcPr>
            <w:tcW w:w="4876" w:type="dxa"/>
            <w:tcBorders>
              <w:bottom w:val="single" w:sz="4" w:space="0" w:color="3D7FE0" w:themeColor="accent1"/>
            </w:tcBorders>
            <w:tcMar>
              <w:left w:w="0" w:type="dxa"/>
              <w:right w:w="0" w:type="dxa"/>
            </w:tcMar>
            <w:vAlign w:val="bottom"/>
          </w:tcPr>
          <w:p w14:paraId="770C6000" w14:textId="77777777" w:rsidR="0038682A" w:rsidRPr="00895810" w:rsidRDefault="0038682A" w:rsidP="0063218B">
            <w:pPr>
              <w:pStyle w:val="TableColHeads"/>
              <w:rPr>
                <w:rFonts w:ascii="IBM Plex Sans Light" w:hAnsi="IBM Plex Sans Light"/>
              </w:rPr>
            </w:pPr>
          </w:p>
        </w:tc>
        <w:tc>
          <w:tcPr>
            <w:tcW w:w="511" w:type="dxa"/>
            <w:tcBorders>
              <w:bottom w:val="single" w:sz="4" w:space="0" w:color="3D7FE0" w:themeColor="accent1"/>
            </w:tcBorders>
            <w:tcMar>
              <w:left w:w="0" w:type="dxa"/>
              <w:right w:w="0" w:type="dxa"/>
            </w:tcMar>
            <w:vAlign w:val="bottom"/>
          </w:tcPr>
          <w:p w14:paraId="17008CAD" w14:textId="77777777" w:rsidR="0038682A" w:rsidRPr="00895810" w:rsidRDefault="0038682A" w:rsidP="0063218B">
            <w:pPr>
              <w:pStyle w:val="TableColHeadsBold"/>
              <w:rPr>
                <w:rFonts w:ascii="IBM Plex Sans Light" w:hAnsi="IBM Plex Sans Light"/>
                <w:sz w:val="13"/>
                <w:szCs w:val="13"/>
              </w:rPr>
            </w:pPr>
            <w:r w:rsidRPr="00895810">
              <w:rPr>
                <w:rFonts w:ascii="IBM Plex Sans Light" w:hAnsi="IBM Plex Sans Light"/>
                <w:sz w:val="13"/>
                <w:szCs w:val="13"/>
              </w:rPr>
              <w:t xml:space="preserve"> </w:t>
            </w:r>
          </w:p>
        </w:tc>
        <w:tc>
          <w:tcPr>
            <w:tcW w:w="707" w:type="dxa"/>
            <w:tcBorders>
              <w:bottom w:val="single" w:sz="4" w:space="0" w:color="3D7FE0" w:themeColor="accent1"/>
            </w:tcBorders>
            <w:tcMar>
              <w:left w:w="0" w:type="dxa"/>
              <w:right w:w="0" w:type="dxa"/>
            </w:tcMar>
            <w:vAlign w:val="bottom"/>
          </w:tcPr>
          <w:p w14:paraId="0B218F22" w14:textId="77777777" w:rsidR="0038682A" w:rsidRPr="00895810" w:rsidRDefault="0038682A" w:rsidP="0063218B">
            <w:pPr>
              <w:pStyle w:val="TableColHeadsBold"/>
              <w:rPr>
                <w:rFonts w:ascii="IBM Plex Sans Light" w:hAnsi="IBM Plex Sans Light"/>
                <w:sz w:val="13"/>
                <w:szCs w:val="13"/>
              </w:rPr>
            </w:pPr>
          </w:p>
        </w:tc>
        <w:tc>
          <w:tcPr>
            <w:tcW w:w="956" w:type="dxa"/>
            <w:tcBorders>
              <w:bottom w:val="single" w:sz="4" w:space="0" w:color="3D7FE0" w:themeColor="accent1"/>
            </w:tcBorders>
          </w:tcPr>
          <w:p w14:paraId="217CCD5E" w14:textId="77777777" w:rsidR="0038682A" w:rsidRPr="00895810" w:rsidRDefault="0038682A" w:rsidP="0063218B">
            <w:pPr>
              <w:pStyle w:val="TableColHeadsBold"/>
              <w:rPr>
                <w:rFonts w:ascii="IBM Plex Sans Light" w:hAnsi="IBM Plex Sans Light"/>
                <w:b w:val="0"/>
                <w:bCs w:val="0"/>
                <w:sz w:val="13"/>
                <w:szCs w:val="13"/>
              </w:rPr>
            </w:pPr>
          </w:p>
        </w:tc>
        <w:tc>
          <w:tcPr>
            <w:tcW w:w="957" w:type="dxa"/>
            <w:tcBorders>
              <w:bottom w:val="single" w:sz="4" w:space="0" w:color="3D7FE0" w:themeColor="accent1"/>
            </w:tcBorders>
            <w:tcMar>
              <w:left w:w="0" w:type="dxa"/>
              <w:right w:w="0" w:type="dxa"/>
            </w:tcMar>
            <w:vAlign w:val="bottom"/>
          </w:tcPr>
          <w:p w14:paraId="4BDF4399" w14:textId="77777777" w:rsidR="0038682A" w:rsidRPr="00895810" w:rsidRDefault="0038682A" w:rsidP="0063218B">
            <w:pPr>
              <w:pStyle w:val="TableColHeadsBold"/>
              <w:rPr>
                <w:rFonts w:ascii="IBM Plex Sans Light" w:hAnsi="IBM Plex Sans Light"/>
                <w:b w:val="0"/>
                <w:bCs w:val="0"/>
                <w:sz w:val="13"/>
                <w:szCs w:val="13"/>
              </w:rPr>
            </w:pPr>
          </w:p>
        </w:tc>
        <w:tc>
          <w:tcPr>
            <w:tcW w:w="1914" w:type="dxa"/>
            <w:gridSpan w:val="2"/>
            <w:tcBorders>
              <w:bottom w:val="single" w:sz="4" w:space="0" w:color="3D7FE0" w:themeColor="accent1"/>
            </w:tcBorders>
            <w:tcMar>
              <w:left w:w="0" w:type="dxa"/>
              <w:right w:w="0" w:type="dxa"/>
            </w:tcMar>
            <w:vAlign w:val="bottom"/>
          </w:tcPr>
          <w:p w14:paraId="4F31241D" w14:textId="6A9A89BE" w:rsidR="0038682A" w:rsidRPr="00895810" w:rsidRDefault="006E7EB0" w:rsidP="0063218B">
            <w:pPr>
              <w:pStyle w:val="TableColHeadsBold"/>
              <w:rPr>
                <w:rFonts w:ascii="IBM Plex Sans Light" w:hAnsi="IBM Plex Sans Light"/>
                <w:b w:val="0"/>
                <w:bCs w:val="0"/>
                <w:sz w:val="13"/>
                <w:szCs w:val="13"/>
              </w:rPr>
            </w:pPr>
            <w:r>
              <w:rPr>
                <w:rFonts w:ascii="IBM Plex Sans Light" w:hAnsi="IBM Plex Sans Light"/>
                <w:b w:val="0"/>
                <w:bCs w:val="0"/>
              </w:rPr>
              <w:t>2022</w:t>
            </w:r>
            <w:r w:rsidR="0038682A" w:rsidRPr="00895810">
              <w:rPr>
                <w:rFonts w:ascii="IBM Plex Sans Light" w:hAnsi="IBM Plex Sans Light"/>
                <w:b w:val="0"/>
                <w:bCs w:val="0"/>
                <w:sz w:val="13"/>
                <w:szCs w:val="13"/>
              </w:rPr>
              <w:t xml:space="preserve">  </w:t>
            </w:r>
          </w:p>
        </w:tc>
      </w:tr>
      <w:tr w:rsidR="0038682A" w:rsidRPr="00895810" w14:paraId="4BE1586B" w14:textId="77777777" w:rsidTr="00024B10">
        <w:tc>
          <w:tcPr>
            <w:tcW w:w="4876" w:type="dxa"/>
            <w:tcBorders>
              <w:top w:val="single" w:sz="4" w:space="0" w:color="3D7FE0" w:themeColor="accent1"/>
              <w:bottom w:val="single" w:sz="4" w:space="0" w:color="3D7FE0" w:themeColor="accent1"/>
            </w:tcBorders>
            <w:tcMar>
              <w:left w:w="0" w:type="dxa"/>
              <w:right w:w="0" w:type="dxa"/>
            </w:tcMar>
            <w:vAlign w:val="bottom"/>
          </w:tcPr>
          <w:p w14:paraId="52569B5C" w14:textId="77777777" w:rsidR="0038682A" w:rsidRPr="00895810" w:rsidRDefault="0038682A" w:rsidP="0063218B">
            <w:pPr>
              <w:pStyle w:val="TableColHeads"/>
              <w:rPr>
                <w:rFonts w:ascii="IBM Plex Sans Light" w:hAnsi="IBM Plex Sans Light"/>
              </w:rPr>
            </w:pPr>
          </w:p>
        </w:tc>
        <w:tc>
          <w:tcPr>
            <w:tcW w:w="511" w:type="dxa"/>
            <w:tcBorders>
              <w:top w:val="single" w:sz="4" w:space="0" w:color="3D7FE0" w:themeColor="accent1"/>
              <w:bottom w:val="single" w:sz="4" w:space="0" w:color="3D7FE0" w:themeColor="accent1"/>
            </w:tcBorders>
            <w:tcMar>
              <w:left w:w="0" w:type="dxa"/>
              <w:right w:w="0" w:type="dxa"/>
            </w:tcMar>
            <w:vAlign w:val="bottom"/>
          </w:tcPr>
          <w:p w14:paraId="25EB88EA" w14:textId="77777777" w:rsidR="0038682A" w:rsidRPr="00895810" w:rsidRDefault="0038682A" w:rsidP="0063218B">
            <w:pPr>
              <w:pStyle w:val="TableColHeadsBold"/>
              <w:rPr>
                <w:rFonts w:ascii="IBM Plex Sans Light" w:hAnsi="IBM Plex Sans Light"/>
                <w:b w:val="0"/>
                <w:sz w:val="13"/>
                <w:szCs w:val="13"/>
              </w:rPr>
            </w:pPr>
          </w:p>
        </w:tc>
        <w:tc>
          <w:tcPr>
            <w:tcW w:w="707" w:type="dxa"/>
            <w:tcBorders>
              <w:top w:val="single" w:sz="4" w:space="0" w:color="3D7FE0" w:themeColor="accent1"/>
              <w:bottom w:val="single" w:sz="4" w:space="0" w:color="3D7FE0" w:themeColor="accent1"/>
            </w:tcBorders>
            <w:tcMar>
              <w:left w:w="0" w:type="dxa"/>
              <w:right w:w="0" w:type="dxa"/>
            </w:tcMar>
            <w:vAlign w:val="bottom"/>
          </w:tcPr>
          <w:p w14:paraId="57F04BE1" w14:textId="5D8A0694" w:rsidR="0038682A" w:rsidRPr="00895810" w:rsidRDefault="00CE2F7F" w:rsidP="0063218B">
            <w:pPr>
              <w:pStyle w:val="TableColHeadsBold"/>
              <w:rPr>
                <w:rFonts w:ascii="IBM Plex Sans Light" w:hAnsi="IBM Plex Sans Light"/>
                <w:szCs w:val="14"/>
              </w:rPr>
            </w:pPr>
            <w:r>
              <w:rPr>
                <w:rFonts w:ascii="IBM Plex Sans Light" w:hAnsi="IBM Plex Sans Light"/>
                <w:szCs w:val="14"/>
              </w:rPr>
              <w:t>Footnote</w:t>
            </w:r>
          </w:p>
        </w:tc>
        <w:tc>
          <w:tcPr>
            <w:tcW w:w="956" w:type="dxa"/>
            <w:tcBorders>
              <w:top w:val="single" w:sz="4" w:space="0" w:color="3D7FE0" w:themeColor="accent1"/>
              <w:bottom w:val="single" w:sz="4" w:space="0" w:color="3D7FE0" w:themeColor="accent1"/>
            </w:tcBorders>
            <w:vAlign w:val="bottom"/>
          </w:tcPr>
          <w:p w14:paraId="389BCC88" w14:textId="77777777"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Reported Group</w:t>
            </w:r>
          </w:p>
          <w:p w14:paraId="4C02566C" w14:textId="77777777" w:rsidR="0038682A" w:rsidRPr="00895810" w:rsidRDefault="0038682A" w:rsidP="00F657BA">
            <w:pPr>
              <w:pStyle w:val="TableColHeadsBold"/>
              <w:rPr>
                <w:rFonts w:ascii="IBM Plex Sans Light" w:hAnsi="IBM Plex Sans Light"/>
                <w:b w:val="0"/>
                <w:bCs w:val="0"/>
                <w:szCs w:val="14"/>
              </w:rPr>
            </w:pPr>
            <w:r w:rsidRPr="00895810">
              <w:rPr>
                <w:rFonts w:ascii="IBM Plex Sans Light" w:hAnsi="IBM Plex Sans Light"/>
                <w:b w:val="0"/>
                <w:bCs w:val="0"/>
                <w:szCs w:val="14"/>
              </w:rPr>
              <w:t>£m</w:t>
            </w:r>
          </w:p>
        </w:tc>
        <w:tc>
          <w:tcPr>
            <w:tcW w:w="957" w:type="dxa"/>
            <w:tcBorders>
              <w:top w:val="single" w:sz="4" w:space="0" w:color="3D7FE0" w:themeColor="accent1"/>
              <w:bottom w:val="single" w:sz="4" w:space="0" w:color="3D7FE0" w:themeColor="accent1"/>
            </w:tcBorders>
            <w:tcMar>
              <w:left w:w="0" w:type="dxa"/>
              <w:right w:w="0" w:type="dxa"/>
            </w:tcMar>
            <w:vAlign w:val="bottom"/>
          </w:tcPr>
          <w:p w14:paraId="10BA3EFC" w14:textId="73D67896"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 xml:space="preserve">Share of </w:t>
            </w:r>
            <w:r w:rsidR="00EC2E25" w:rsidRPr="00895810">
              <w:rPr>
                <w:rFonts w:ascii="IBM Plex Sans Light" w:hAnsi="IBM Plex Sans Light"/>
                <w:b w:val="0"/>
                <w:bCs w:val="0"/>
                <w:szCs w:val="14"/>
              </w:rPr>
              <w:t>P</w:t>
            </w:r>
            <w:r w:rsidRPr="00895810">
              <w:rPr>
                <w:rFonts w:ascii="IBM Plex Sans Light" w:hAnsi="IBM Plex Sans Light"/>
                <w:b w:val="0"/>
                <w:bCs w:val="0"/>
                <w:szCs w:val="14"/>
              </w:rPr>
              <w:t>roperty interests</w:t>
            </w:r>
          </w:p>
          <w:p w14:paraId="540F038A" w14:textId="77777777"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£m</w:t>
            </w:r>
          </w:p>
        </w:tc>
        <w:tc>
          <w:tcPr>
            <w:tcW w:w="957" w:type="dxa"/>
            <w:tcBorders>
              <w:top w:val="single" w:sz="4" w:space="0" w:color="3D7FE0" w:themeColor="accent1"/>
              <w:bottom w:val="single" w:sz="4" w:space="0" w:color="3D7FE0" w:themeColor="accent1"/>
            </w:tcBorders>
            <w:tcMar>
              <w:left w:w="0" w:type="dxa"/>
              <w:right w:w="0" w:type="dxa"/>
            </w:tcMar>
            <w:vAlign w:val="bottom"/>
          </w:tcPr>
          <w:p w14:paraId="5F07B599" w14:textId="77777777"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Value Retail</w:t>
            </w:r>
          </w:p>
          <w:p w14:paraId="45CEA113" w14:textId="77777777"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£m</w:t>
            </w:r>
          </w:p>
        </w:tc>
        <w:tc>
          <w:tcPr>
            <w:tcW w:w="957" w:type="dxa"/>
            <w:tcBorders>
              <w:top w:val="single" w:sz="4" w:space="0" w:color="3D7FE0" w:themeColor="accent1"/>
              <w:bottom w:val="single" w:sz="4" w:space="0" w:color="3D7FE0" w:themeColor="accent1"/>
            </w:tcBorders>
            <w:tcMar>
              <w:left w:w="0" w:type="dxa"/>
              <w:right w:w="0" w:type="dxa"/>
            </w:tcMar>
            <w:vAlign w:val="bottom"/>
          </w:tcPr>
          <w:p w14:paraId="23061E5C" w14:textId="77777777"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Total</w:t>
            </w:r>
          </w:p>
          <w:p w14:paraId="3CC77BB3" w14:textId="77777777" w:rsidR="0038682A" w:rsidRPr="00895810" w:rsidRDefault="0038682A" w:rsidP="0063218B">
            <w:pPr>
              <w:pStyle w:val="TableColHeadsBold"/>
              <w:rPr>
                <w:rFonts w:ascii="IBM Plex Sans Light" w:hAnsi="IBM Plex Sans Light"/>
                <w:b w:val="0"/>
                <w:bCs w:val="0"/>
                <w:szCs w:val="14"/>
              </w:rPr>
            </w:pPr>
            <w:r w:rsidRPr="00895810">
              <w:rPr>
                <w:rFonts w:ascii="IBM Plex Sans Light" w:hAnsi="IBM Plex Sans Light"/>
                <w:b w:val="0"/>
                <w:bCs w:val="0"/>
                <w:szCs w:val="14"/>
              </w:rPr>
              <w:t>£m</w:t>
            </w:r>
          </w:p>
        </w:tc>
      </w:tr>
      <w:tr w:rsidR="0038682A" w:rsidRPr="00895810" w14:paraId="5F3F4234" w14:textId="77777777" w:rsidTr="00024B10">
        <w:tc>
          <w:tcPr>
            <w:tcW w:w="4876" w:type="dxa"/>
            <w:tcBorders>
              <w:top w:val="single" w:sz="4" w:space="0" w:color="3D7FE0" w:themeColor="accent1"/>
            </w:tcBorders>
            <w:tcMar>
              <w:left w:w="0" w:type="dxa"/>
              <w:bottom w:w="28" w:type="dxa"/>
              <w:right w:w="0" w:type="dxa"/>
            </w:tcMar>
            <w:vAlign w:val="bottom"/>
          </w:tcPr>
          <w:p w14:paraId="1F09EB46" w14:textId="77777777" w:rsidR="0038682A" w:rsidRPr="00895810" w:rsidRDefault="0038682A" w:rsidP="0063218B">
            <w:pPr>
              <w:pStyle w:val="TableColHeads"/>
              <w:rPr>
                <w:rFonts w:ascii="IBM Plex Sans Light" w:hAnsi="IBM Plex Sans Light"/>
              </w:rPr>
            </w:pPr>
          </w:p>
        </w:tc>
        <w:tc>
          <w:tcPr>
            <w:tcW w:w="511" w:type="dxa"/>
            <w:tcBorders>
              <w:top w:val="single" w:sz="4" w:space="0" w:color="3D7FE0" w:themeColor="accent1"/>
            </w:tcBorders>
            <w:tcMar>
              <w:left w:w="0" w:type="dxa"/>
              <w:bottom w:w="28" w:type="dxa"/>
              <w:right w:w="0" w:type="dxa"/>
            </w:tcMar>
            <w:vAlign w:val="bottom"/>
          </w:tcPr>
          <w:p w14:paraId="699D0D9B" w14:textId="77777777" w:rsidR="0038682A" w:rsidRPr="00895810" w:rsidRDefault="0038682A" w:rsidP="0063218B">
            <w:pPr>
              <w:pStyle w:val="TableColHeadsBold"/>
              <w:rPr>
                <w:rFonts w:ascii="IBM Plex Sans Light" w:hAnsi="IBM Plex Sans Light"/>
                <w:b w:val="0"/>
                <w:sz w:val="13"/>
                <w:szCs w:val="13"/>
              </w:rPr>
            </w:pPr>
          </w:p>
        </w:tc>
        <w:tc>
          <w:tcPr>
            <w:tcW w:w="707" w:type="dxa"/>
            <w:tcBorders>
              <w:top w:val="single" w:sz="4" w:space="0" w:color="3D7FE0" w:themeColor="accent1"/>
            </w:tcBorders>
            <w:tcMar>
              <w:left w:w="0" w:type="dxa"/>
              <w:bottom w:w="28" w:type="dxa"/>
              <w:right w:w="0" w:type="dxa"/>
            </w:tcMar>
            <w:vAlign w:val="bottom"/>
          </w:tcPr>
          <w:p w14:paraId="491FEDF7" w14:textId="77777777" w:rsidR="0038682A" w:rsidRPr="00895810" w:rsidRDefault="0038682A" w:rsidP="0063218B">
            <w:pPr>
              <w:pStyle w:val="TableColHeadsBold"/>
              <w:rPr>
                <w:rFonts w:ascii="IBM Plex Sans Light" w:hAnsi="IBM Plex Sans Light"/>
                <w:b w:val="0"/>
                <w:sz w:val="13"/>
                <w:szCs w:val="13"/>
              </w:rPr>
            </w:pPr>
          </w:p>
        </w:tc>
        <w:tc>
          <w:tcPr>
            <w:tcW w:w="956" w:type="dxa"/>
            <w:tcBorders>
              <w:top w:val="single" w:sz="4" w:space="0" w:color="3D7FE0" w:themeColor="accent1"/>
            </w:tcBorders>
          </w:tcPr>
          <w:p w14:paraId="68F903D4" w14:textId="77777777" w:rsidR="0038682A" w:rsidRPr="00895810" w:rsidRDefault="0038682A" w:rsidP="0063218B">
            <w:pPr>
              <w:pStyle w:val="TableColHeadsBold"/>
              <w:ind w:right="-11"/>
              <w:rPr>
                <w:rFonts w:ascii="IBM Plex Sans Light" w:hAnsi="IBM Plex Sans Light"/>
                <w:b w:val="0"/>
                <w:sz w:val="13"/>
                <w:szCs w:val="13"/>
              </w:rPr>
            </w:pPr>
          </w:p>
        </w:tc>
        <w:tc>
          <w:tcPr>
            <w:tcW w:w="957" w:type="dxa"/>
            <w:tcBorders>
              <w:top w:val="single" w:sz="4" w:space="0" w:color="3D7FE0" w:themeColor="accent1"/>
            </w:tcBorders>
            <w:tcMar>
              <w:left w:w="0" w:type="dxa"/>
              <w:bottom w:w="28" w:type="dxa"/>
              <w:right w:w="0" w:type="dxa"/>
            </w:tcMar>
            <w:vAlign w:val="bottom"/>
          </w:tcPr>
          <w:p w14:paraId="3414D9D2" w14:textId="77777777" w:rsidR="0038682A" w:rsidRPr="00895810" w:rsidRDefault="0038682A" w:rsidP="0063218B">
            <w:pPr>
              <w:pStyle w:val="TableColHeadsBold"/>
              <w:rPr>
                <w:rFonts w:ascii="IBM Plex Sans Light" w:hAnsi="IBM Plex Sans Light"/>
                <w:b w:val="0"/>
                <w:sz w:val="13"/>
                <w:szCs w:val="13"/>
              </w:rPr>
            </w:pPr>
          </w:p>
        </w:tc>
        <w:tc>
          <w:tcPr>
            <w:tcW w:w="957" w:type="dxa"/>
            <w:tcBorders>
              <w:top w:val="single" w:sz="4" w:space="0" w:color="3D7FE0" w:themeColor="accent1"/>
            </w:tcBorders>
            <w:tcMar>
              <w:left w:w="0" w:type="dxa"/>
              <w:bottom w:w="28" w:type="dxa"/>
              <w:right w:w="0" w:type="dxa"/>
            </w:tcMar>
            <w:vAlign w:val="bottom"/>
          </w:tcPr>
          <w:p w14:paraId="1EF52628" w14:textId="77777777" w:rsidR="0038682A" w:rsidRPr="00895810" w:rsidRDefault="0038682A" w:rsidP="0063218B">
            <w:pPr>
              <w:pStyle w:val="TableColHeadsBold"/>
              <w:rPr>
                <w:rFonts w:ascii="IBM Plex Sans Light" w:hAnsi="IBM Plex Sans Light"/>
                <w:b w:val="0"/>
                <w:sz w:val="13"/>
                <w:szCs w:val="13"/>
              </w:rPr>
            </w:pPr>
          </w:p>
        </w:tc>
        <w:tc>
          <w:tcPr>
            <w:tcW w:w="957" w:type="dxa"/>
            <w:tcBorders>
              <w:top w:val="single" w:sz="4" w:space="0" w:color="3D7FE0" w:themeColor="accent1"/>
            </w:tcBorders>
            <w:tcMar>
              <w:left w:w="0" w:type="dxa"/>
              <w:bottom w:w="28" w:type="dxa"/>
              <w:right w:w="0" w:type="dxa"/>
            </w:tcMar>
            <w:vAlign w:val="bottom"/>
          </w:tcPr>
          <w:p w14:paraId="3DC59058" w14:textId="77777777" w:rsidR="0038682A" w:rsidRPr="00895810" w:rsidRDefault="0038682A" w:rsidP="0063218B">
            <w:pPr>
              <w:pStyle w:val="TableColHeadsBold"/>
              <w:rPr>
                <w:rFonts w:ascii="IBM Plex Sans Light" w:hAnsi="IBM Plex Sans Light"/>
                <w:b w:val="0"/>
                <w:sz w:val="13"/>
                <w:szCs w:val="13"/>
              </w:rPr>
            </w:pPr>
          </w:p>
        </w:tc>
      </w:tr>
      <w:tr w:rsidR="00377242" w:rsidRPr="00895810" w14:paraId="7C107CFE" w14:textId="77777777" w:rsidTr="00024B10">
        <w:tc>
          <w:tcPr>
            <w:tcW w:w="4876" w:type="dxa"/>
            <w:tcMar>
              <w:left w:w="0" w:type="dxa"/>
              <w:right w:w="0" w:type="dxa"/>
            </w:tcMar>
            <w:vAlign w:val="bottom"/>
          </w:tcPr>
          <w:p w14:paraId="18DBB49D" w14:textId="2102CD5A" w:rsidR="00377242" w:rsidRPr="002532AD" w:rsidRDefault="00377242" w:rsidP="0037724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Reported balance sheet net assets (equity shareholders' funds)</w:t>
            </w:r>
          </w:p>
        </w:tc>
        <w:tc>
          <w:tcPr>
            <w:tcW w:w="511" w:type="dxa"/>
            <w:tcMar>
              <w:left w:w="0" w:type="dxa"/>
              <w:right w:w="0" w:type="dxa"/>
            </w:tcMar>
            <w:vAlign w:val="bottom"/>
          </w:tcPr>
          <w:p w14:paraId="5B4A04C5" w14:textId="77777777" w:rsidR="00377242" w:rsidRPr="00895810" w:rsidRDefault="00377242" w:rsidP="00377242">
            <w:pPr>
              <w:pStyle w:val="TableFiguresBold"/>
              <w:rPr>
                <w:rFonts w:ascii="IBM Plex Sans Light" w:hAnsi="IBM Plex Sans Light"/>
                <w:spacing w:val="-4"/>
                <w:szCs w:val="16"/>
              </w:rPr>
            </w:pPr>
          </w:p>
        </w:tc>
        <w:tc>
          <w:tcPr>
            <w:tcW w:w="707" w:type="dxa"/>
            <w:tcMar>
              <w:left w:w="0" w:type="dxa"/>
              <w:right w:w="0" w:type="dxa"/>
            </w:tcMar>
            <w:vAlign w:val="bottom"/>
          </w:tcPr>
          <w:p w14:paraId="41A5E876" w14:textId="77777777" w:rsidR="00377242" w:rsidRPr="00895810" w:rsidRDefault="00377242" w:rsidP="00377242">
            <w:pPr>
              <w:pStyle w:val="TableFiguresBold"/>
              <w:rPr>
                <w:rFonts w:ascii="IBM Plex Sans Light" w:hAnsi="IBM Plex Sans Light"/>
                <w:b w:val="0"/>
                <w:bCs w:val="0"/>
                <w:spacing w:val="-4"/>
                <w:szCs w:val="16"/>
              </w:rPr>
            </w:pPr>
          </w:p>
        </w:tc>
        <w:tc>
          <w:tcPr>
            <w:tcW w:w="956" w:type="dxa"/>
          </w:tcPr>
          <w:p w14:paraId="14D3CA1E" w14:textId="2E7C44EA" w:rsidR="00377242" w:rsidRPr="00895810" w:rsidRDefault="00377242" w:rsidP="00377242">
            <w:pPr>
              <w:pStyle w:val="TableFiguresBold"/>
              <w:rPr>
                <w:rFonts w:ascii="IBM Plex Sans Light" w:hAnsi="IBM Plex Sans Light"/>
                <w:b w:val="0"/>
                <w:bCs w:val="0"/>
                <w:spacing w:val="-4"/>
                <w:sz w:val="18"/>
                <w:szCs w:val="18"/>
              </w:rPr>
            </w:pPr>
            <w:r w:rsidRPr="00377242">
              <w:rPr>
                <w:rFonts w:ascii="IBM Plex Sans Light" w:hAnsi="IBM Plex Sans Light"/>
                <w:b w:val="0"/>
                <w:bCs w:val="0"/>
                <w:spacing w:val="-4"/>
                <w:sz w:val="18"/>
                <w:szCs w:val="18"/>
              </w:rPr>
              <w:t>2,586.4</w:t>
            </w:r>
          </w:p>
        </w:tc>
        <w:tc>
          <w:tcPr>
            <w:tcW w:w="957" w:type="dxa"/>
            <w:tcMar>
              <w:left w:w="0" w:type="dxa"/>
              <w:right w:w="0" w:type="dxa"/>
            </w:tcMar>
            <w:vAlign w:val="bottom"/>
          </w:tcPr>
          <w:p w14:paraId="1BFD8CCF" w14:textId="16F753DD" w:rsidR="00377242" w:rsidRPr="00024B10" w:rsidRDefault="00377242" w:rsidP="00377242">
            <w:pPr>
              <w:pStyle w:val="TableFiguresBold"/>
              <w:rPr>
                <w:rFonts w:ascii="IBM Plex Sans Light" w:hAnsi="IBM Plex Sans Light" w:cs="MyriadPro-Light"/>
                <w:b w:val="0"/>
                <w:bCs w:val="0"/>
                <w:color w:val="auto"/>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Mar>
              <w:left w:w="0" w:type="dxa"/>
              <w:right w:w="0" w:type="dxa"/>
            </w:tcMar>
            <w:vAlign w:val="bottom"/>
          </w:tcPr>
          <w:p w14:paraId="690FA59B" w14:textId="2958F697" w:rsidR="00377242" w:rsidRPr="005F6D26" w:rsidRDefault="00377242" w:rsidP="00377242">
            <w:pPr>
              <w:pStyle w:val="TableFiguresBold"/>
              <w:rPr>
                <w:rFonts w:ascii="IBM Plex Sans Light" w:hAnsi="IBM Plex Sans Light"/>
                <w:b w:val="0"/>
                <w:bCs w:val="0"/>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Mar>
              <w:left w:w="0" w:type="dxa"/>
              <w:right w:w="0" w:type="dxa"/>
            </w:tcMar>
            <w:vAlign w:val="bottom"/>
          </w:tcPr>
          <w:p w14:paraId="1851254B" w14:textId="69882C7C" w:rsidR="00377242" w:rsidRPr="00895810" w:rsidRDefault="00377242" w:rsidP="00377242">
            <w:pPr>
              <w:pStyle w:val="TableFiguresBold"/>
              <w:rPr>
                <w:rFonts w:ascii="IBM Plex Sans Light" w:hAnsi="IBM Plex Sans Light"/>
                <w:b w:val="0"/>
                <w:bCs w:val="0"/>
                <w:spacing w:val="-4"/>
                <w:sz w:val="18"/>
                <w:szCs w:val="18"/>
              </w:rPr>
            </w:pPr>
            <w:r w:rsidRPr="00895810">
              <w:rPr>
                <w:rFonts w:ascii="IBM Plex Sans Light" w:hAnsi="IBM Plex Sans Light"/>
                <w:b w:val="0"/>
                <w:bCs w:val="0"/>
                <w:spacing w:val="-4"/>
                <w:sz w:val="18"/>
                <w:szCs w:val="18"/>
              </w:rPr>
              <w:t>2,</w:t>
            </w:r>
            <w:r w:rsidR="00560CFF">
              <w:rPr>
                <w:rFonts w:ascii="IBM Plex Sans Light" w:hAnsi="IBM Plex Sans Light"/>
                <w:b w:val="0"/>
                <w:bCs w:val="0"/>
                <w:spacing w:val="-4"/>
                <w:sz w:val="18"/>
                <w:szCs w:val="18"/>
              </w:rPr>
              <w:t>586.4</w:t>
            </w:r>
          </w:p>
        </w:tc>
      </w:tr>
      <w:tr w:rsidR="0081441B" w:rsidRPr="00895810" w14:paraId="4F543B31" w14:textId="77777777" w:rsidTr="00024B10">
        <w:tc>
          <w:tcPr>
            <w:tcW w:w="4876" w:type="dxa"/>
            <w:tcBorders>
              <w:bottom w:val="single" w:sz="2" w:space="0" w:color="3D7FE0" w:themeColor="accent1"/>
            </w:tcBorders>
            <w:tcMar>
              <w:left w:w="0" w:type="dxa"/>
              <w:right w:w="0" w:type="dxa"/>
            </w:tcMar>
            <w:vAlign w:val="bottom"/>
          </w:tcPr>
          <w:p w14:paraId="47189774" w14:textId="47FA9ADF" w:rsidR="0081441B" w:rsidRPr="002532AD" w:rsidRDefault="0081441B" w:rsidP="0081441B">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Change in fair value of borrowings</w:t>
            </w:r>
          </w:p>
        </w:tc>
        <w:tc>
          <w:tcPr>
            <w:tcW w:w="511" w:type="dxa"/>
            <w:tcBorders>
              <w:bottom w:val="single" w:sz="2" w:space="0" w:color="3D7FE0" w:themeColor="accent1"/>
            </w:tcBorders>
            <w:tcMar>
              <w:left w:w="0" w:type="dxa"/>
              <w:right w:w="0" w:type="dxa"/>
            </w:tcMar>
            <w:vAlign w:val="bottom"/>
          </w:tcPr>
          <w:p w14:paraId="14ADED60" w14:textId="77777777" w:rsidR="0081441B" w:rsidRPr="00895810" w:rsidRDefault="0081441B" w:rsidP="0081441B">
            <w:pPr>
              <w:pStyle w:val="TableFiguresBold"/>
              <w:rPr>
                <w:rFonts w:ascii="IBM Plex Sans Light" w:hAnsi="IBM Plex Sans Light"/>
                <w:spacing w:val="-4"/>
                <w:szCs w:val="16"/>
              </w:rPr>
            </w:pPr>
          </w:p>
        </w:tc>
        <w:tc>
          <w:tcPr>
            <w:tcW w:w="707" w:type="dxa"/>
            <w:tcBorders>
              <w:bottom w:val="single" w:sz="2" w:space="0" w:color="3D7FE0" w:themeColor="accent1"/>
            </w:tcBorders>
            <w:tcMar>
              <w:left w:w="0" w:type="dxa"/>
              <w:right w:w="0" w:type="dxa"/>
            </w:tcMar>
            <w:vAlign w:val="bottom"/>
          </w:tcPr>
          <w:p w14:paraId="6F783F62" w14:textId="2227748B" w:rsidR="0081441B" w:rsidRPr="00895810" w:rsidRDefault="0081441B" w:rsidP="0081441B">
            <w:pPr>
              <w:pStyle w:val="TableFiguresBold"/>
              <w:rPr>
                <w:rFonts w:ascii="IBM Plex Sans Light" w:hAnsi="IBM Plex Sans Light"/>
                <w:b w:val="0"/>
                <w:bCs w:val="0"/>
                <w:spacing w:val="-4"/>
                <w:szCs w:val="16"/>
              </w:rPr>
            </w:pPr>
            <w:r w:rsidRPr="00895810">
              <w:rPr>
                <w:rFonts w:ascii="IBM Plex Sans Light" w:hAnsi="IBM Plex Sans Light"/>
                <w:b w:val="0"/>
                <w:bCs w:val="0"/>
                <w:spacing w:val="-4"/>
                <w:szCs w:val="16"/>
              </w:rPr>
              <w:t>a</w:t>
            </w:r>
          </w:p>
        </w:tc>
        <w:tc>
          <w:tcPr>
            <w:tcW w:w="956" w:type="dxa"/>
            <w:tcBorders>
              <w:bottom w:val="single" w:sz="2" w:space="0" w:color="3D7FE0" w:themeColor="accent1"/>
            </w:tcBorders>
          </w:tcPr>
          <w:p w14:paraId="732485B0" w14:textId="10F6920B" w:rsidR="0081441B" w:rsidRPr="00895810" w:rsidRDefault="0081441B" w:rsidP="006B3D45">
            <w:pPr>
              <w:pStyle w:val="TableFiguresBold"/>
              <w:rPr>
                <w:rFonts w:ascii="IBM Plex Sans Light" w:hAnsi="IBM Plex Sans Light"/>
                <w:b w:val="0"/>
                <w:bCs w:val="0"/>
                <w:spacing w:val="-4"/>
                <w:sz w:val="18"/>
                <w:szCs w:val="18"/>
              </w:rPr>
            </w:pPr>
            <w:r w:rsidRPr="006B3D45">
              <w:rPr>
                <w:rFonts w:ascii="IBM Plex Sans Light" w:hAnsi="IBM Plex Sans Light"/>
                <w:b w:val="0"/>
                <w:bCs w:val="0"/>
                <w:spacing w:val="-4"/>
                <w:sz w:val="18"/>
                <w:szCs w:val="18"/>
              </w:rPr>
              <w:t>216.2</w:t>
            </w:r>
          </w:p>
        </w:tc>
        <w:tc>
          <w:tcPr>
            <w:tcW w:w="957" w:type="dxa"/>
            <w:tcBorders>
              <w:bottom w:val="single" w:sz="2" w:space="0" w:color="3D7FE0" w:themeColor="accent1"/>
            </w:tcBorders>
            <w:tcMar>
              <w:left w:w="0" w:type="dxa"/>
              <w:right w:w="0" w:type="dxa"/>
            </w:tcMar>
            <w:vAlign w:val="bottom"/>
          </w:tcPr>
          <w:p w14:paraId="5B29B123" w14:textId="5D255282" w:rsidR="0081441B" w:rsidRPr="00895810" w:rsidRDefault="0081441B" w:rsidP="0081441B">
            <w:pPr>
              <w:pStyle w:val="TableFiguresBold"/>
              <w:ind w:right="34"/>
              <w:rPr>
                <w:rFonts w:ascii="IBM Plex Sans Light" w:hAnsi="IBM Plex Sans Light" w:cs="MyriadPro-Light"/>
                <w:b w:val="0"/>
                <w:bCs w:val="0"/>
                <w:color w:val="auto"/>
                <w:spacing w:val="-4"/>
                <w:sz w:val="18"/>
                <w:szCs w:val="18"/>
              </w:rPr>
            </w:pPr>
            <w:r w:rsidRPr="00895810">
              <w:rPr>
                <w:rFonts w:ascii="IBM Plex Sans Light" w:hAnsi="IBM Plex Sans Light" w:cs="MyriadPro-Light"/>
                <w:b w:val="0"/>
                <w:bCs w:val="0"/>
                <w:color w:val="auto"/>
                <w:spacing w:val="-4"/>
                <w:sz w:val="18"/>
                <w:szCs w:val="18"/>
              </w:rPr>
              <w:t>(</w:t>
            </w:r>
            <w:r w:rsidR="00F0779D">
              <w:rPr>
                <w:rFonts w:ascii="IBM Plex Sans Light" w:hAnsi="IBM Plex Sans Light" w:cs="MyriadPro-Light"/>
                <w:b w:val="0"/>
                <w:bCs w:val="0"/>
                <w:color w:val="auto"/>
                <w:spacing w:val="-4"/>
                <w:sz w:val="18"/>
                <w:szCs w:val="18"/>
              </w:rPr>
              <w:t>0.7</w:t>
            </w:r>
            <w:r w:rsidRPr="00895810">
              <w:rPr>
                <w:rFonts w:ascii="IBM Plex Sans Light" w:hAnsi="IBM Plex Sans Light" w:cs="MyriadPro-Light"/>
                <w:b w:val="0"/>
                <w:bCs w:val="0"/>
                <w:color w:val="auto"/>
                <w:spacing w:val="-4"/>
                <w:sz w:val="18"/>
                <w:szCs w:val="18"/>
              </w:rPr>
              <w:t>)</w:t>
            </w:r>
          </w:p>
        </w:tc>
        <w:tc>
          <w:tcPr>
            <w:tcW w:w="957" w:type="dxa"/>
            <w:tcBorders>
              <w:bottom w:val="single" w:sz="2" w:space="0" w:color="3D7FE0" w:themeColor="accent1"/>
            </w:tcBorders>
            <w:tcMar>
              <w:left w:w="0" w:type="dxa"/>
              <w:right w:w="0" w:type="dxa"/>
            </w:tcMar>
            <w:vAlign w:val="bottom"/>
          </w:tcPr>
          <w:p w14:paraId="697D83D3" w14:textId="5F5DE165" w:rsidR="0081441B" w:rsidRPr="005F6D26" w:rsidRDefault="0081441B" w:rsidP="0081441B">
            <w:pPr>
              <w:pStyle w:val="TableFiguresBold"/>
              <w:rPr>
                <w:rFonts w:ascii="IBM Plex Sans Light" w:hAnsi="IBM Plex Sans Light"/>
                <w:b w:val="0"/>
                <w:bCs w:val="0"/>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Borders>
              <w:bottom w:val="single" w:sz="2" w:space="0" w:color="3D7FE0" w:themeColor="accent1"/>
            </w:tcBorders>
            <w:tcMar>
              <w:left w:w="0" w:type="dxa"/>
              <w:right w:w="0" w:type="dxa"/>
            </w:tcMar>
            <w:vAlign w:val="bottom"/>
          </w:tcPr>
          <w:p w14:paraId="0F371603" w14:textId="63D02876" w:rsidR="0081441B" w:rsidRPr="00560CFF" w:rsidRDefault="00560CFF" w:rsidP="00560CFF">
            <w:pPr>
              <w:pStyle w:val="TableFiguresBold"/>
              <w:rPr>
                <w:rFonts w:ascii="IBM Plex Sans Light" w:hAnsi="IBM Plex Sans Light"/>
                <w:b w:val="0"/>
                <w:bCs w:val="0"/>
                <w:spacing w:val="-4"/>
                <w:sz w:val="18"/>
                <w:szCs w:val="18"/>
              </w:rPr>
            </w:pPr>
            <w:r w:rsidRPr="00560CFF">
              <w:rPr>
                <w:rFonts w:ascii="IBM Plex Sans Light" w:hAnsi="IBM Plex Sans Light"/>
                <w:b w:val="0"/>
                <w:bCs w:val="0"/>
                <w:spacing w:val="-4"/>
                <w:sz w:val="18"/>
                <w:szCs w:val="18"/>
              </w:rPr>
              <w:t>215.5</w:t>
            </w:r>
          </w:p>
        </w:tc>
      </w:tr>
      <w:tr w:rsidR="00002EC2" w:rsidRPr="00895810" w14:paraId="7DBD55E9" w14:textId="77777777" w:rsidTr="00024B10">
        <w:tc>
          <w:tcPr>
            <w:tcW w:w="4876" w:type="dxa"/>
            <w:tcBorders>
              <w:top w:val="single" w:sz="2" w:space="0" w:color="3D7FE0" w:themeColor="accent1"/>
            </w:tcBorders>
            <w:tcMar>
              <w:left w:w="0" w:type="dxa"/>
              <w:right w:w="0" w:type="dxa"/>
            </w:tcMar>
            <w:vAlign w:val="bottom"/>
          </w:tcPr>
          <w:p w14:paraId="6D6FB94A" w14:textId="43F6D87C"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b/>
                <w:bCs/>
                <w:color w:val="auto"/>
                <w:spacing w:val="-4"/>
                <w:sz w:val="18"/>
                <w:szCs w:val="18"/>
              </w:rPr>
              <w:t>EPRA NDV</w:t>
            </w:r>
          </w:p>
        </w:tc>
        <w:tc>
          <w:tcPr>
            <w:tcW w:w="511" w:type="dxa"/>
            <w:tcBorders>
              <w:top w:val="single" w:sz="2" w:space="0" w:color="3D7FE0" w:themeColor="accent1"/>
            </w:tcBorders>
            <w:tcMar>
              <w:left w:w="0" w:type="dxa"/>
              <w:right w:w="0" w:type="dxa"/>
            </w:tcMar>
            <w:vAlign w:val="bottom"/>
          </w:tcPr>
          <w:p w14:paraId="72ECD7BD" w14:textId="77777777" w:rsidR="00002EC2" w:rsidRPr="00895810" w:rsidRDefault="00002EC2" w:rsidP="00002EC2">
            <w:pPr>
              <w:pStyle w:val="TableFiguresBold"/>
              <w:rPr>
                <w:rFonts w:ascii="IBM Plex Sans Light" w:hAnsi="IBM Plex Sans Light"/>
                <w:spacing w:val="-4"/>
                <w:szCs w:val="16"/>
              </w:rPr>
            </w:pPr>
          </w:p>
        </w:tc>
        <w:tc>
          <w:tcPr>
            <w:tcW w:w="707" w:type="dxa"/>
            <w:tcBorders>
              <w:top w:val="single" w:sz="2" w:space="0" w:color="3D7FE0" w:themeColor="accent1"/>
            </w:tcBorders>
            <w:tcMar>
              <w:left w:w="0" w:type="dxa"/>
              <w:right w:w="0" w:type="dxa"/>
            </w:tcMar>
            <w:vAlign w:val="bottom"/>
          </w:tcPr>
          <w:p w14:paraId="031D7177" w14:textId="77777777" w:rsidR="00002EC2" w:rsidRPr="00895810" w:rsidRDefault="00002EC2" w:rsidP="00002EC2">
            <w:pPr>
              <w:pStyle w:val="TableFiguresBold"/>
              <w:rPr>
                <w:rFonts w:ascii="IBM Plex Sans Light" w:hAnsi="IBM Plex Sans Light"/>
                <w:b w:val="0"/>
                <w:bCs w:val="0"/>
                <w:spacing w:val="-4"/>
                <w:szCs w:val="16"/>
              </w:rPr>
            </w:pPr>
          </w:p>
        </w:tc>
        <w:tc>
          <w:tcPr>
            <w:tcW w:w="956" w:type="dxa"/>
            <w:tcBorders>
              <w:top w:val="single" w:sz="2" w:space="0" w:color="3D7FE0" w:themeColor="accent1"/>
            </w:tcBorders>
            <w:vAlign w:val="bottom"/>
          </w:tcPr>
          <w:p w14:paraId="1B9682D4" w14:textId="77777777" w:rsidR="00002EC2" w:rsidRPr="00895810" w:rsidRDefault="00002EC2" w:rsidP="00002EC2">
            <w:pPr>
              <w:pStyle w:val="TableFiguresBold"/>
              <w:rPr>
                <w:rFonts w:ascii="IBM Plex Sans Light" w:hAnsi="IBM Plex Sans Light"/>
                <w:b w:val="0"/>
                <w:bCs w:val="0"/>
                <w:spacing w:val="-4"/>
                <w:sz w:val="18"/>
                <w:szCs w:val="18"/>
              </w:rPr>
            </w:pPr>
          </w:p>
        </w:tc>
        <w:tc>
          <w:tcPr>
            <w:tcW w:w="957" w:type="dxa"/>
            <w:tcBorders>
              <w:top w:val="single" w:sz="2" w:space="0" w:color="3D7FE0" w:themeColor="accent1"/>
            </w:tcBorders>
            <w:tcMar>
              <w:left w:w="0" w:type="dxa"/>
              <w:right w:w="0" w:type="dxa"/>
            </w:tcMar>
            <w:vAlign w:val="bottom"/>
          </w:tcPr>
          <w:p w14:paraId="7825B304" w14:textId="77777777" w:rsidR="00002EC2" w:rsidRPr="00895810" w:rsidRDefault="00002EC2" w:rsidP="00002EC2">
            <w:pPr>
              <w:pStyle w:val="TableFiguresBold"/>
              <w:rPr>
                <w:rFonts w:ascii="IBM Plex Sans Light" w:hAnsi="IBM Plex Sans Light"/>
                <w:b w:val="0"/>
                <w:bCs w:val="0"/>
                <w:spacing w:val="-4"/>
                <w:sz w:val="18"/>
                <w:szCs w:val="18"/>
              </w:rPr>
            </w:pPr>
          </w:p>
        </w:tc>
        <w:tc>
          <w:tcPr>
            <w:tcW w:w="957" w:type="dxa"/>
            <w:tcBorders>
              <w:top w:val="single" w:sz="2" w:space="0" w:color="3D7FE0" w:themeColor="accent1"/>
            </w:tcBorders>
            <w:tcMar>
              <w:left w:w="0" w:type="dxa"/>
              <w:right w:w="0" w:type="dxa"/>
            </w:tcMar>
            <w:vAlign w:val="bottom"/>
          </w:tcPr>
          <w:p w14:paraId="5951938B" w14:textId="77777777" w:rsidR="00002EC2" w:rsidRPr="00895810" w:rsidRDefault="00002EC2" w:rsidP="00002EC2">
            <w:pPr>
              <w:pStyle w:val="TableFiguresBold"/>
              <w:rPr>
                <w:rFonts w:ascii="IBM Plex Sans Light" w:hAnsi="IBM Plex Sans Light"/>
                <w:b w:val="0"/>
                <w:bCs w:val="0"/>
                <w:spacing w:val="-4"/>
                <w:sz w:val="18"/>
                <w:szCs w:val="18"/>
              </w:rPr>
            </w:pPr>
          </w:p>
        </w:tc>
        <w:tc>
          <w:tcPr>
            <w:tcW w:w="957" w:type="dxa"/>
            <w:tcBorders>
              <w:top w:val="single" w:sz="2" w:space="0" w:color="3D7FE0" w:themeColor="accent1"/>
            </w:tcBorders>
            <w:tcMar>
              <w:left w:w="0" w:type="dxa"/>
              <w:right w:w="0" w:type="dxa"/>
            </w:tcMar>
          </w:tcPr>
          <w:p w14:paraId="29961556" w14:textId="3D72737B" w:rsidR="00002EC2" w:rsidRPr="00002EC2" w:rsidRDefault="00002EC2" w:rsidP="00002EC2">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2,801.9</w:t>
            </w:r>
          </w:p>
        </w:tc>
      </w:tr>
      <w:tr w:rsidR="00002EC2" w:rsidRPr="00895810" w14:paraId="51925A08" w14:textId="77777777" w:rsidTr="00024B10">
        <w:tc>
          <w:tcPr>
            <w:tcW w:w="4876" w:type="dxa"/>
            <w:tcMar>
              <w:left w:w="0" w:type="dxa"/>
              <w:right w:w="0" w:type="dxa"/>
            </w:tcMar>
            <w:vAlign w:val="bottom"/>
          </w:tcPr>
          <w:p w14:paraId="6395CB65" w14:textId="5FD9BF4B"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Deduct change in fair value of borrowings</w:t>
            </w:r>
          </w:p>
        </w:tc>
        <w:tc>
          <w:tcPr>
            <w:tcW w:w="511" w:type="dxa"/>
            <w:tcMar>
              <w:left w:w="0" w:type="dxa"/>
              <w:right w:w="0" w:type="dxa"/>
            </w:tcMar>
            <w:vAlign w:val="bottom"/>
          </w:tcPr>
          <w:p w14:paraId="5C3433C7" w14:textId="77777777" w:rsidR="00002EC2" w:rsidRPr="00895810" w:rsidRDefault="00002EC2" w:rsidP="00002EC2">
            <w:pPr>
              <w:pStyle w:val="TableFiguresBold"/>
              <w:rPr>
                <w:rFonts w:ascii="IBM Plex Sans Light" w:hAnsi="IBM Plex Sans Light"/>
                <w:spacing w:val="-4"/>
                <w:szCs w:val="16"/>
              </w:rPr>
            </w:pPr>
          </w:p>
        </w:tc>
        <w:tc>
          <w:tcPr>
            <w:tcW w:w="707" w:type="dxa"/>
            <w:tcMar>
              <w:left w:w="0" w:type="dxa"/>
              <w:right w:w="0" w:type="dxa"/>
            </w:tcMar>
            <w:vAlign w:val="bottom"/>
          </w:tcPr>
          <w:p w14:paraId="59B34783" w14:textId="714F9B5D" w:rsidR="00002EC2" w:rsidRPr="00895810" w:rsidRDefault="00002EC2" w:rsidP="00002EC2">
            <w:pPr>
              <w:pStyle w:val="TableFiguresBold"/>
              <w:rPr>
                <w:rFonts w:ascii="IBM Plex Sans Light" w:hAnsi="IBM Plex Sans Light"/>
                <w:b w:val="0"/>
                <w:bCs w:val="0"/>
                <w:spacing w:val="-4"/>
                <w:szCs w:val="16"/>
              </w:rPr>
            </w:pPr>
            <w:r w:rsidRPr="00895810">
              <w:rPr>
                <w:rFonts w:ascii="IBM Plex Sans Light" w:hAnsi="IBM Plex Sans Light"/>
                <w:b w:val="0"/>
                <w:bCs w:val="0"/>
                <w:spacing w:val="-4"/>
                <w:szCs w:val="16"/>
              </w:rPr>
              <w:t>a</w:t>
            </w:r>
          </w:p>
        </w:tc>
        <w:tc>
          <w:tcPr>
            <w:tcW w:w="956" w:type="dxa"/>
            <w:vAlign w:val="bottom"/>
          </w:tcPr>
          <w:p w14:paraId="4DCB4DD9" w14:textId="77AD7349" w:rsidR="00002EC2" w:rsidRPr="006B3D45" w:rsidRDefault="00002EC2" w:rsidP="00002EC2">
            <w:pPr>
              <w:pStyle w:val="TableFiguresBold"/>
              <w:ind w:right="34"/>
              <w:rPr>
                <w:rFonts w:ascii="IBM Plex Sans Light" w:hAnsi="IBM Plex Sans Light" w:cs="MyriadPro-Light"/>
                <w:b w:val="0"/>
                <w:bCs w:val="0"/>
                <w:color w:val="auto"/>
                <w:spacing w:val="-4"/>
                <w:sz w:val="18"/>
                <w:szCs w:val="18"/>
              </w:rPr>
            </w:pPr>
            <w:r w:rsidRPr="006B3D45">
              <w:rPr>
                <w:rFonts w:ascii="IBM Plex Sans Light" w:hAnsi="IBM Plex Sans Light" w:cs="MyriadPro-Light"/>
                <w:b w:val="0"/>
                <w:bCs w:val="0"/>
                <w:color w:val="auto"/>
                <w:spacing w:val="-4"/>
                <w:sz w:val="18"/>
                <w:szCs w:val="18"/>
              </w:rPr>
              <w:t>(216.2)</w:t>
            </w:r>
          </w:p>
        </w:tc>
        <w:tc>
          <w:tcPr>
            <w:tcW w:w="957" w:type="dxa"/>
            <w:tcMar>
              <w:left w:w="0" w:type="dxa"/>
              <w:right w:w="0" w:type="dxa"/>
            </w:tcMar>
            <w:vAlign w:val="bottom"/>
          </w:tcPr>
          <w:p w14:paraId="0B764ED5" w14:textId="68E71E7D" w:rsidR="00002EC2" w:rsidRPr="00895810" w:rsidRDefault="00002EC2" w:rsidP="00002EC2">
            <w:pPr>
              <w:pStyle w:val="TableFiguresBold"/>
              <w:rPr>
                <w:rFonts w:ascii="IBM Plex Sans Light" w:hAnsi="IBM Plex Sans Light"/>
                <w:b w:val="0"/>
                <w:bCs w:val="0"/>
                <w:spacing w:val="-4"/>
                <w:sz w:val="18"/>
                <w:szCs w:val="18"/>
              </w:rPr>
            </w:pPr>
            <w:r>
              <w:rPr>
                <w:rFonts w:ascii="IBM Plex Sans Light" w:hAnsi="IBM Plex Sans Light"/>
                <w:b w:val="0"/>
                <w:bCs w:val="0"/>
                <w:spacing w:val="-4"/>
                <w:sz w:val="18"/>
                <w:szCs w:val="18"/>
              </w:rPr>
              <w:t>0.7</w:t>
            </w:r>
          </w:p>
        </w:tc>
        <w:tc>
          <w:tcPr>
            <w:tcW w:w="957" w:type="dxa"/>
            <w:tcMar>
              <w:left w:w="0" w:type="dxa"/>
              <w:right w:w="0" w:type="dxa"/>
            </w:tcMar>
            <w:vAlign w:val="bottom"/>
          </w:tcPr>
          <w:p w14:paraId="54BB026A" w14:textId="2F9CBE8D" w:rsidR="00002EC2" w:rsidRPr="005F6D26" w:rsidRDefault="00002EC2" w:rsidP="00002EC2">
            <w:pPr>
              <w:pStyle w:val="TableFiguresBold"/>
              <w:rPr>
                <w:rFonts w:ascii="IBM Plex Sans Light" w:hAnsi="IBM Plex Sans Light"/>
                <w:b w:val="0"/>
                <w:bCs w:val="0"/>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Mar>
              <w:left w:w="0" w:type="dxa"/>
              <w:right w:w="0" w:type="dxa"/>
            </w:tcMar>
          </w:tcPr>
          <w:p w14:paraId="25588FD3" w14:textId="26F3E234" w:rsidR="00002EC2" w:rsidRPr="00002EC2" w:rsidRDefault="00002EC2" w:rsidP="00002EC2">
            <w:pPr>
              <w:pStyle w:val="TableFiguresBold"/>
              <w:ind w:right="34"/>
              <w:rPr>
                <w:rFonts w:ascii="IBM Plex Sans Light" w:hAnsi="IBM Plex Sans Light" w:cs="MyriadPro-Light"/>
                <w:b w:val="0"/>
                <w:bCs w:val="0"/>
                <w:color w:val="auto"/>
                <w:spacing w:val="-4"/>
                <w:sz w:val="18"/>
                <w:szCs w:val="18"/>
              </w:rPr>
            </w:pPr>
            <w:r w:rsidRPr="00002EC2">
              <w:rPr>
                <w:rFonts w:ascii="IBM Plex Sans Light" w:hAnsi="IBM Plex Sans Light" w:cs="MyriadPro-Light"/>
                <w:b w:val="0"/>
                <w:bCs w:val="0"/>
                <w:color w:val="auto"/>
                <w:spacing w:val="-4"/>
                <w:sz w:val="18"/>
                <w:szCs w:val="18"/>
              </w:rPr>
              <w:t>(215.5)</w:t>
            </w:r>
          </w:p>
        </w:tc>
      </w:tr>
      <w:tr w:rsidR="00002EC2" w:rsidRPr="00895810" w14:paraId="1A4C866E" w14:textId="77777777" w:rsidTr="00024B10">
        <w:trPr>
          <w:trHeight w:val="283"/>
        </w:trPr>
        <w:tc>
          <w:tcPr>
            <w:tcW w:w="4876" w:type="dxa"/>
            <w:tcMar>
              <w:left w:w="0" w:type="dxa"/>
              <w:right w:w="0" w:type="dxa"/>
            </w:tcMar>
            <w:vAlign w:val="bottom"/>
          </w:tcPr>
          <w:p w14:paraId="7694D093" w14:textId="0E594B75"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Deferred tax – 50% share</w:t>
            </w:r>
          </w:p>
        </w:tc>
        <w:tc>
          <w:tcPr>
            <w:tcW w:w="511" w:type="dxa"/>
            <w:tcMar>
              <w:left w:w="0" w:type="dxa"/>
              <w:right w:w="0" w:type="dxa"/>
            </w:tcMar>
            <w:vAlign w:val="bottom"/>
          </w:tcPr>
          <w:p w14:paraId="5268C5D1" w14:textId="77777777" w:rsidR="00002EC2" w:rsidRPr="00895810" w:rsidRDefault="00002EC2" w:rsidP="00002EC2">
            <w:pPr>
              <w:pStyle w:val="TableFiguresBold"/>
              <w:rPr>
                <w:rFonts w:ascii="IBM Plex Sans Light" w:hAnsi="IBM Plex Sans Light"/>
                <w:b w:val="0"/>
                <w:bCs w:val="0"/>
                <w:spacing w:val="-4"/>
                <w:szCs w:val="16"/>
              </w:rPr>
            </w:pPr>
          </w:p>
        </w:tc>
        <w:tc>
          <w:tcPr>
            <w:tcW w:w="707" w:type="dxa"/>
            <w:tcMar>
              <w:left w:w="0" w:type="dxa"/>
              <w:right w:w="0" w:type="dxa"/>
            </w:tcMar>
            <w:vAlign w:val="bottom"/>
          </w:tcPr>
          <w:p w14:paraId="1879BD97" w14:textId="53379ABF" w:rsidR="00002EC2" w:rsidRPr="00895810" w:rsidRDefault="00002EC2" w:rsidP="00002EC2">
            <w:pPr>
              <w:pStyle w:val="TableFiguresBold"/>
              <w:rPr>
                <w:rFonts w:ascii="IBM Plex Sans Light" w:hAnsi="IBM Plex Sans Light"/>
                <w:b w:val="0"/>
                <w:bCs w:val="0"/>
                <w:spacing w:val="-4"/>
                <w:szCs w:val="16"/>
              </w:rPr>
            </w:pPr>
            <w:r w:rsidRPr="00895810">
              <w:rPr>
                <w:rFonts w:ascii="IBM Plex Sans Light" w:hAnsi="IBM Plex Sans Light"/>
                <w:b w:val="0"/>
                <w:bCs w:val="0"/>
                <w:spacing w:val="-4"/>
                <w:szCs w:val="16"/>
              </w:rPr>
              <w:t>b</w:t>
            </w:r>
          </w:p>
        </w:tc>
        <w:tc>
          <w:tcPr>
            <w:tcW w:w="956" w:type="dxa"/>
            <w:vAlign w:val="bottom"/>
          </w:tcPr>
          <w:p w14:paraId="116B1B75" w14:textId="77777777" w:rsidR="00002EC2" w:rsidRPr="00895810" w:rsidRDefault="00002EC2" w:rsidP="00002EC2">
            <w:pPr>
              <w:pStyle w:val="TableFiguresBold"/>
              <w:rPr>
                <w:rFonts w:ascii="IBM Plex Sans Light" w:hAnsi="IBM Plex Sans Light"/>
                <w:b w:val="0"/>
                <w:bCs w:val="0"/>
                <w:spacing w:val="-4"/>
                <w:sz w:val="18"/>
                <w:szCs w:val="18"/>
              </w:rPr>
            </w:pPr>
            <w:r w:rsidRPr="00895810">
              <w:rPr>
                <w:rFonts w:ascii="IBM Plex Sans Light" w:hAnsi="IBM Plex Sans Light"/>
                <w:b w:val="0"/>
                <w:bCs w:val="0"/>
                <w:spacing w:val="-4"/>
                <w:sz w:val="18"/>
                <w:szCs w:val="18"/>
              </w:rPr>
              <w:t>0.2</w:t>
            </w:r>
          </w:p>
        </w:tc>
        <w:tc>
          <w:tcPr>
            <w:tcW w:w="957" w:type="dxa"/>
            <w:tcMar>
              <w:left w:w="0" w:type="dxa"/>
              <w:right w:w="0" w:type="dxa"/>
            </w:tcMar>
            <w:vAlign w:val="bottom"/>
          </w:tcPr>
          <w:p w14:paraId="55090390" w14:textId="6676B27C" w:rsidR="00002EC2" w:rsidRPr="00895810" w:rsidRDefault="00002EC2" w:rsidP="00002EC2">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0.1</w:t>
            </w:r>
          </w:p>
        </w:tc>
        <w:tc>
          <w:tcPr>
            <w:tcW w:w="957" w:type="dxa"/>
            <w:tcMar>
              <w:left w:w="0" w:type="dxa"/>
              <w:right w:w="0" w:type="dxa"/>
            </w:tcMar>
            <w:vAlign w:val="bottom"/>
          </w:tcPr>
          <w:p w14:paraId="55DA7DA8" w14:textId="48CDCCA8" w:rsidR="00002EC2" w:rsidRPr="00895810" w:rsidRDefault="00002EC2" w:rsidP="00002EC2">
            <w:pPr>
              <w:pStyle w:val="TableFiguresBold"/>
              <w:rPr>
                <w:rFonts w:ascii="IBM Plex Sans Light" w:hAnsi="IBM Plex Sans Light"/>
                <w:b w:val="0"/>
                <w:bCs w:val="0"/>
                <w:spacing w:val="-4"/>
                <w:sz w:val="18"/>
                <w:szCs w:val="18"/>
              </w:rPr>
            </w:pPr>
            <w:r w:rsidRPr="00895810">
              <w:rPr>
                <w:rFonts w:ascii="IBM Plex Sans Light" w:hAnsi="IBM Plex Sans Light"/>
                <w:b w:val="0"/>
                <w:bCs w:val="0"/>
                <w:spacing w:val="-4"/>
                <w:sz w:val="18"/>
                <w:szCs w:val="18"/>
              </w:rPr>
              <w:t>9</w:t>
            </w:r>
            <w:r>
              <w:rPr>
                <w:rFonts w:ascii="IBM Plex Sans Light" w:hAnsi="IBM Plex Sans Light"/>
                <w:b w:val="0"/>
                <w:bCs w:val="0"/>
                <w:spacing w:val="-4"/>
                <w:sz w:val="18"/>
                <w:szCs w:val="18"/>
              </w:rPr>
              <w:t>9.4</w:t>
            </w:r>
          </w:p>
        </w:tc>
        <w:tc>
          <w:tcPr>
            <w:tcW w:w="957" w:type="dxa"/>
            <w:tcMar>
              <w:left w:w="0" w:type="dxa"/>
              <w:right w:w="0" w:type="dxa"/>
            </w:tcMar>
            <w:vAlign w:val="bottom"/>
          </w:tcPr>
          <w:p w14:paraId="3A1387C6" w14:textId="41F82D62" w:rsidR="00002EC2" w:rsidRPr="00895810" w:rsidRDefault="00002EC2" w:rsidP="00FC6179">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99.7</w:t>
            </w:r>
          </w:p>
        </w:tc>
      </w:tr>
      <w:tr w:rsidR="00002EC2" w:rsidRPr="00895810" w14:paraId="679E2071" w14:textId="77777777" w:rsidTr="00024B10">
        <w:tc>
          <w:tcPr>
            <w:tcW w:w="4876" w:type="dxa"/>
            <w:tcMar>
              <w:left w:w="0" w:type="dxa"/>
              <w:right w:w="0" w:type="dxa"/>
            </w:tcMar>
            <w:vAlign w:val="bottom"/>
          </w:tcPr>
          <w:p w14:paraId="04CDF917" w14:textId="16E686CF"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Fair value of currency swaps as a result of interest rates</w:t>
            </w:r>
          </w:p>
        </w:tc>
        <w:tc>
          <w:tcPr>
            <w:tcW w:w="511" w:type="dxa"/>
            <w:tcMar>
              <w:left w:w="0" w:type="dxa"/>
              <w:right w:w="0" w:type="dxa"/>
            </w:tcMar>
            <w:vAlign w:val="bottom"/>
          </w:tcPr>
          <w:p w14:paraId="7201BB77" w14:textId="77777777" w:rsidR="00002EC2" w:rsidRPr="00895810" w:rsidRDefault="00002EC2" w:rsidP="00002EC2">
            <w:pPr>
              <w:pStyle w:val="TableFiguresBold"/>
              <w:rPr>
                <w:rFonts w:ascii="IBM Plex Sans Light" w:hAnsi="IBM Plex Sans Light"/>
                <w:spacing w:val="-4"/>
                <w:szCs w:val="16"/>
              </w:rPr>
            </w:pPr>
          </w:p>
        </w:tc>
        <w:tc>
          <w:tcPr>
            <w:tcW w:w="707" w:type="dxa"/>
            <w:tcMar>
              <w:left w:w="0" w:type="dxa"/>
              <w:right w:w="0" w:type="dxa"/>
            </w:tcMar>
            <w:vAlign w:val="bottom"/>
          </w:tcPr>
          <w:p w14:paraId="4781A9C2" w14:textId="6A84C118" w:rsidR="00002EC2" w:rsidRPr="00895810" w:rsidRDefault="00002EC2" w:rsidP="00002EC2">
            <w:pPr>
              <w:pStyle w:val="TableFiguresBold"/>
              <w:rPr>
                <w:rFonts w:ascii="IBM Plex Sans Light" w:hAnsi="IBM Plex Sans Light"/>
                <w:b w:val="0"/>
                <w:bCs w:val="0"/>
                <w:spacing w:val="-4"/>
                <w:szCs w:val="16"/>
              </w:rPr>
            </w:pPr>
            <w:r w:rsidRPr="00895810">
              <w:rPr>
                <w:rFonts w:ascii="IBM Plex Sans Light" w:hAnsi="IBM Plex Sans Light"/>
                <w:b w:val="0"/>
                <w:bCs w:val="0"/>
                <w:spacing w:val="-4"/>
                <w:szCs w:val="16"/>
              </w:rPr>
              <w:t>c</w:t>
            </w:r>
          </w:p>
        </w:tc>
        <w:tc>
          <w:tcPr>
            <w:tcW w:w="956" w:type="dxa"/>
          </w:tcPr>
          <w:p w14:paraId="545A561C" w14:textId="536BBC17" w:rsidR="00002EC2" w:rsidRPr="006B3D45" w:rsidRDefault="00002EC2" w:rsidP="00002EC2">
            <w:pPr>
              <w:pStyle w:val="TableFiguresBold"/>
              <w:ind w:right="34"/>
              <w:rPr>
                <w:rFonts w:ascii="IBM Plex Sans Light" w:hAnsi="IBM Plex Sans Light" w:cs="MyriadPro-Light"/>
                <w:b w:val="0"/>
                <w:bCs w:val="0"/>
                <w:color w:val="auto"/>
                <w:spacing w:val="-4"/>
                <w:sz w:val="18"/>
                <w:szCs w:val="18"/>
              </w:rPr>
            </w:pPr>
            <w:r w:rsidRPr="006B3D45">
              <w:rPr>
                <w:rFonts w:ascii="IBM Plex Sans Light" w:hAnsi="IBM Plex Sans Light" w:cs="MyriadPro-Light"/>
                <w:b w:val="0"/>
                <w:bCs w:val="0"/>
                <w:color w:val="auto"/>
                <w:spacing w:val="-4"/>
                <w:sz w:val="18"/>
                <w:szCs w:val="18"/>
              </w:rPr>
              <w:t>(0.9)</w:t>
            </w:r>
          </w:p>
        </w:tc>
        <w:tc>
          <w:tcPr>
            <w:tcW w:w="957" w:type="dxa"/>
            <w:tcMar>
              <w:left w:w="0" w:type="dxa"/>
              <w:right w:w="0" w:type="dxa"/>
            </w:tcMar>
            <w:vAlign w:val="bottom"/>
          </w:tcPr>
          <w:p w14:paraId="28A659D3" w14:textId="5DC15754" w:rsidR="00002EC2" w:rsidRPr="005F6D26" w:rsidRDefault="00002EC2" w:rsidP="00002EC2">
            <w:pPr>
              <w:pStyle w:val="TableFiguresBold"/>
              <w:rPr>
                <w:rFonts w:ascii="IBM Plex Sans Light" w:hAnsi="IBM Plex Sans Light"/>
                <w:b w:val="0"/>
                <w:bCs w:val="0"/>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Mar>
              <w:left w:w="0" w:type="dxa"/>
              <w:right w:w="0" w:type="dxa"/>
            </w:tcMar>
            <w:vAlign w:val="bottom"/>
          </w:tcPr>
          <w:p w14:paraId="10D0AB7A" w14:textId="5D4018D7" w:rsidR="00002EC2" w:rsidRPr="005F6D26" w:rsidRDefault="00002EC2" w:rsidP="00002EC2">
            <w:pPr>
              <w:pStyle w:val="TableFiguresBold"/>
              <w:rPr>
                <w:rFonts w:ascii="IBM Plex Sans Light" w:hAnsi="IBM Plex Sans Light"/>
                <w:b w:val="0"/>
                <w:bCs w:val="0"/>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Mar>
              <w:left w:w="0" w:type="dxa"/>
              <w:right w:w="0" w:type="dxa"/>
            </w:tcMar>
          </w:tcPr>
          <w:p w14:paraId="304F2729" w14:textId="2312D484" w:rsidR="00002EC2" w:rsidRPr="00002EC2" w:rsidRDefault="00002EC2" w:rsidP="00002EC2">
            <w:pPr>
              <w:pStyle w:val="TableFiguresBold"/>
              <w:ind w:right="34"/>
              <w:rPr>
                <w:rFonts w:ascii="IBM Plex Sans Light" w:hAnsi="IBM Plex Sans Light" w:cs="MyriadPro-Light"/>
                <w:b w:val="0"/>
                <w:bCs w:val="0"/>
                <w:color w:val="auto"/>
                <w:spacing w:val="-4"/>
                <w:sz w:val="18"/>
                <w:szCs w:val="18"/>
              </w:rPr>
            </w:pPr>
            <w:r w:rsidRPr="00002EC2">
              <w:rPr>
                <w:rFonts w:ascii="IBM Plex Sans Light" w:hAnsi="IBM Plex Sans Light" w:cs="MyriadPro-Light"/>
                <w:b w:val="0"/>
                <w:bCs w:val="0"/>
                <w:color w:val="auto"/>
                <w:spacing w:val="-4"/>
                <w:sz w:val="18"/>
                <w:szCs w:val="18"/>
              </w:rPr>
              <w:t>(0.9)</w:t>
            </w:r>
          </w:p>
        </w:tc>
      </w:tr>
      <w:tr w:rsidR="00002EC2" w:rsidRPr="00895810" w14:paraId="3303B46A" w14:textId="77777777" w:rsidTr="00024B10">
        <w:tc>
          <w:tcPr>
            <w:tcW w:w="4876" w:type="dxa"/>
            <w:tcBorders>
              <w:bottom w:val="single" w:sz="2" w:space="0" w:color="3D7FE0" w:themeColor="accent1"/>
            </w:tcBorders>
            <w:tcMar>
              <w:left w:w="0" w:type="dxa"/>
              <w:right w:w="0" w:type="dxa"/>
            </w:tcMar>
            <w:vAlign w:val="bottom"/>
          </w:tcPr>
          <w:p w14:paraId="384F7302" w14:textId="1CDE512D"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Fair value of interest rate swaps</w:t>
            </w:r>
          </w:p>
        </w:tc>
        <w:tc>
          <w:tcPr>
            <w:tcW w:w="511" w:type="dxa"/>
            <w:tcBorders>
              <w:bottom w:val="single" w:sz="2" w:space="0" w:color="3D7FE0" w:themeColor="accent1"/>
            </w:tcBorders>
            <w:tcMar>
              <w:left w:w="0" w:type="dxa"/>
              <w:right w:w="0" w:type="dxa"/>
            </w:tcMar>
            <w:vAlign w:val="bottom"/>
          </w:tcPr>
          <w:p w14:paraId="09DC1322" w14:textId="77777777" w:rsidR="00002EC2" w:rsidRPr="00895810" w:rsidRDefault="00002EC2" w:rsidP="00002EC2">
            <w:pPr>
              <w:pStyle w:val="TableFiguresBold"/>
              <w:rPr>
                <w:rFonts w:ascii="IBM Plex Sans Light" w:hAnsi="IBM Plex Sans Light"/>
                <w:spacing w:val="-4"/>
                <w:szCs w:val="16"/>
              </w:rPr>
            </w:pPr>
          </w:p>
        </w:tc>
        <w:tc>
          <w:tcPr>
            <w:tcW w:w="707" w:type="dxa"/>
            <w:tcBorders>
              <w:bottom w:val="single" w:sz="2" w:space="0" w:color="3D7FE0" w:themeColor="accent1"/>
            </w:tcBorders>
            <w:tcMar>
              <w:left w:w="0" w:type="dxa"/>
              <w:right w:w="0" w:type="dxa"/>
            </w:tcMar>
            <w:vAlign w:val="bottom"/>
          </w:tcPr>
          <w:p w14:paraId="5AD6B36D" w14:textId="77777777" w:rsidR="00002EC2" w:rsidRPr="00895810" w:rsidRDefault="00002EC2" w:rsidP="00002EC2">
            <w:pPr>
              <w:pStyle w:val="TableFiguresBold"/>
              <w:rPr>
                <w:rFonts w:ascii="IBM Plex Sans Light" w:hAnsi="IBM Plex Sans Light"/>
                <w:spacing w:val="-4"/>
                <w:szCs w:val="16"/>
              </w:rPr>
            </w:pPr>
          </w:p>
        </w:tc>
        <w:tc>
          <w:tcPr>
            <w:tcW w:w="956" w:type="dxa"/>
            <w:tcBorders>
              <w:bottom w:val="single" w:sz="2" w:space="0" w:color="3D7FE0" w:themeColor="accent1"/>
            </w:tcBorders>
          </w:tcPr>
          <w:p w14:paraId="79AE3FA6" w14:textId="29E0F9DF" w:rsidR="00002EC2" w:rsidRPr="00895810" w:rsidRDefault="00002EC2" w:rsidP="00002EC2">
            <w:pPr>
              <w:pStyle w:val="TableFiguresBold"/>
              <w:rPr>
                <w:rFonts w:ascii="IBM Plex Sans Light" w:hAnsi="IBM Plex Sans Light"/>
                <w:b w:val="0"/>
                <w:bCs w:val="0"/>
                <w:spacing w:val="-4"/>
                <w:sz w:val="18"/>
                <w:szCs w:val="18"/>
              </w:rPr>
            </w:pPr>
            <w:r w:rsidRPr="006B3D45">
              <w:rPr>
                <w:rFonts w:ascii="IBM Plex Sans Light" w:hAnsi="IBM Plex Sans Light"/>
                <w:b w:val="0"/>
                <w:bCs w:val="0"/>
                <w:spacing w:val="-4"/>
                <w:sz w:val="18"/>
                <w:szCs w:val="18"/>
              </w:rPr>
              <w:t>2.1</w:t>
            </w:r>
          </w:p>
        </w:tc>
        <w:tc>
          <w:tcPr>
            <w:tcW w:w="957" w:type="dxa"/>
            <w:tcBorders>
              <w:bottom w:val="single" w:sz="2" w:space="0" w:color="3D7FE0" w:themeColor="accent1"/>
            </w:tcBorders>
            <w:tcMar>
              <w:left w:w="0" w:type="dxa"/>
              <w:right w:w="0" w:type="dxa"/>
            </w:tcMar>
            <w:vAlign w:val="bottom"/>
          </w:tcPr>
          <w:p w14:paraId="2CCCC874" w14:textId="4B91BE8C" w:rsidR="00002EC2" w:rsidRPr="00F0779D" w:rsidRDefault="00002EC2" w:rsidP="00002EC2">
            <w:pPr>
              <w:pStyle w:val="TableFiguresBold"/>
              <w:ind w:right="34"/>
              <w:rPr>
                <w:rFonts w:ascii="IBM Plex Sans Light" w:hAnsi="IBM Plex Sans Light" w:cs="MyriadPro-Light"/>
                <w:b w:val="0"/>
                <w:bCs w:val="0"/>
                <w:color w:val="auto"/>
                <w:spacing w:val="-4"/>
                <w:sz w:val="18"/>
                <w:szCs w:val="18"/>
              </w:rPr>
            </w:pPr>
            <w:r w:rsidRPr="00F0779D">
              <w:rPr>
                <w:rFonts w:ascii="IBM Plex Sans Light" w:hAnsi="IBM Plex Sans Light" w:cs="MyriadPro-Light"/>
                <w:b w:val="0"/>
                <w:bCs w:val="0"/>
                <w:color w:val="auto"/>
                <w:spacing w:val="-4"/>
                <w:sz w:val="18"/>
                <w:szCs w:val="18"/>
              </w:rPr>
              <w:t>(6.3)</w:t>
            </w:r>
          </w:p>
        </w:tc>
        <w:tc>
          <w:tcPr>
            <w:tcW w:w="957" w:type="dxa"/>
            <w:tcBorders>
              <w:bottom w:val="single" w:sz="2" w:space="0" w:color="3D7FE0" w:themeColor="accent1"/>
            </w:tcBorders>
            <w:tcMar>
              <w:left w:w="0" w:type="dxa"/>
              <w:right w:w="0" w:type="dxa"/>
            </w:tcMar>
            <w:vAlign w:val="bottom"/>
          </w:tcPr>
          <w:p w14:paraId="4732DB70" w14:textId="08F9015A" w:rsidR="00002EC2" w:rsidRPr="00002EC2" w:rsidRDefault="00002EC2" w:rsidP="00002EC2">
            <w:pPr>
              <w:pStyle w:val="TableFiguresBold"/>
              <w:ind w:right="34"/>
              <w:rPr>
                <w:rFonts w:ascii="IBM Plex Sans Light" w:hAnsi="IBM Plex Sans Light" w:cs="MyriadPro-Light"/>
                <w:b w:val="0"/>
                <w:bCs w:val="0"/>
                <w:color w:val="auto"/>
                <w:spacing w:val="-4"/>
                <w:sz w:val="18"/>
                <w:szCs w:val="18"/>
              </w:rPr>
            </w:pPr>
            <w:r w:rsidRPr="00002EC2">
              <w:rPr>
                <w:rFonts w:ascii="IBM Plex Sans Light" w:hAnsi="IBM Plex Sans Light" w:cs="MyriadPro-Light"/>
                <w:b w:val="0"/>
                <w:bCs w:val="0"/>
                <w:color w:val="auto"/>
                <w:spacing w:val="-4"/>
                <w:sz w:val="18"/>
                <w:szCs w:val="18"/>
              </w:rPr>
              <w:t>(47.3)</w:t>
            </w:r>
          </w:p>
        </w:tc>
        <w:tc>
          <w:tcPr>
            <w:tcW w:w="957" w:type="dxa"/>
            <w:tcBorders>
              <w:bottom w:val="single" w:sz="2" w:space="0" w:color="3D7FE0" w:themeColor="accent1"/>
            </w:tcBorders>
            <w:tcMar>
              <w:left w:w="0" w:type="dxa"/>
              <w:right w:w="0" w:type="dxa"/>
            </w:tcMar>
          </w:tcPr>
          <w:p w14:paraId="0519349A" w14:textId="6940F98A" w:rsidR="00002EC2" w:rsidRPr="00002EC2" w:rsidRDefault="00002EC2" w:rsidP="00002EC2">
            <w:pPr>
              <w:pStyle w:val="TableFiguresBold"/>
              <w:ind w:right="34"/>
              <w:rPr>
                <w:rFonts w:ascii="IBM Plex Sans Light" w:hAnsi="IBM Plex Sans Light" w:cs="MyriadPro-Light"/>
                <w:b w:val="0"/>
                <w:bCs w:val="0"/>
                <w:color w:val="auto"/>
                <w:spacing w:val="-4"/>
                <w:sz w:val="18"/>
                <w:szCs w:val="18"/>
              </w:rPr>
            </w:pPr>
            <w:r w:rsidRPr="00002EC2">
              <w:rPr>
                <w:rFonts w:ascii="IBM Plex Sans Light" w:hAnsi="IBM Plex Sans Light" w:cs="MyriadPro-Light"/>
                <w:b w:val="0"/>
                <w:bCs w:val="0"/>
                <w:color w:val="auto"/>
                <w:spacing w:val="-4"/>
                <w:sz w:val="18"/>
                <w:szCs w:val="18"/>
              </w:rPr>
              <w:tab/>
              <w:t>(51.5)</w:t>
            </w:r>
          </w:p>
        </w:tc>
      </w:tr>
      <w:tr w:rsidR="00002EC2" w:rsidRPr="00895810" w14:paraId="0E5D0176" w14:textId="77777777" w:rsidTr="00024B10">
        <w:tc>
          <w:tcPr>
            <w:tcW w:w="4876" w:type="dxa"/>
            <w:tcBorders>
              <w:top w:val="single" w:sz="2" w:space="0" w:color="3D7FE0" w:themeColor="accent1"/>
            </w:tcBorders>
            <w:tcMar>
              <w:left w:w="0" w:type="dxa"/>
              <w:right w:w="0" w:type="dxa"/>
            </w:tcMar>
            <w:vAlign w:val="bottom"/>
          </w:tcPr>
          <w:p w14:paraId="302D1063" w14:textId="14481DAF"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b/>
                <w:bCs/>
                <w:color w:val="auto"/>
                <w:spacing w:val="-4"/>
                <w:sz w:val="18"/>
                <w:szCs w:val="18"/>
              </w:rPr>
              <w:t>EPRA NTA</w:t>
            </w:r>
          </w:p>
        </w:tc>
        <w:tc>
          <w:tcPr>
            <w:tcW w:w="511" w:type="dxa"/>
            <w:tcBorders>
              <w:top w:val="single" w:sz="2" w:space="0" w:color="3D7FE0" w:themeColor="accent1"/>
            </w:tcBorders>
            <w:tcMar>
              <w:left w:w="0" w:type="dxa"/>
              <w:right w:w="0" w:type="dxa"/>
            </w:tcMar>
            <w:vAlign w:val="bottom"/>
          </w:tcPr>
          <w:p w14:paraId="18F58D0B" w14:textId="77777777" w:rsidR="00002EC2" w:rsidRPr="00895810" w:rsidRDefault="00002EC2" w:rsidP="00002EC2">
            <w:pPr>
              <w:pStyle w:val="TableFiguresBracketsBold"/>
              <w:rPr>
                <w:rFonts w:ascii="IBM Plex Sans Light" w:hAnsi="IBM Plex Sans Light"/>
                <w:b w:val="0"/>
                <w:bCs w:val="0"/>
                <w:color w:val="auto"/>
                <w:spacing w:val="-4"/>
                <w:szCs w:val="16"/>
              </w:rPr>
            </w:pPr>
          </w:p>
        </w:tc>
        <w:tc>
          <w:tcPr>
            <w:tcW w:w="707" w:type="dxa"/>
            <w:tcBorders>
              <w:top w:val="single" w:sz="2" w:space="0" w:color="3D7FE0" w:themeColor="accent1"/>
            </w:tcBorders>
            <w:tcMar>
              <w:left w:w="0" w:type="dxa"/>
              <w:right w:w="0" w:type="dxa"/>
            </w:tcMar>
            <w:vAlign w:val="bottom"/>
          </w:tcPr>
          <w:p w14:paraId="1F30AA27" w14:textId="77777777" w:rsidR="00002EC2" w:rsidRPr="00895810" w:rsidRDefault="00002EC2" w:rsidP="00002EC2">
            <w:pPr>
              <w:pStyle w:val="TableFiguresBracketsBold"/>
              <w:rPr>
                <w:rFonts w:ascii="IBM Plex Sans Light" w:hAnsi="IBM Plex Sans Light"/>
                <w:b w:val="0"/>
                <w:bCs w:val="0"/>
                <w:color w:val="auto"/>
                <w:spacing w:val="-4"/>
                <w:szCs w:val="16"/>
              </w:rPr>
            </w:pPr>
          </w:p>
        </w:tc>
        <w:tc>
          <w:tcPr>
            <w:tcW w:w="956" w:type="dxa"/>
            <w:tcBorders>
              <w:top w:val="single" w:sz="2" w:space="0" w:color="3D7FE0" w:themeColor="accent1"/>
            </w:tcBorders>
            <w:vAlign w:val="bottom"/>
          </w:tcPr>
          <w:p w14:paraId="28FC54C3" w14:textId="77777777" w:rsidR="00002EC2" w:rsidRPr="006B3D45" w:rsidRDefault="00002EC2" w:rsidP="00002EC2">
            <w:pPr>
              <w:pStyle w:val="TableFiguresBold"/>
              <w:rPr>
                <w:rFonts w:ascii="IBM Plex Sans Light" w:hAnsi="IBM Plex Sans Light"/>
                <w:b w:val="0"/>
                <w:bCs w:val="0"/>
                <w:spacing w:val="-4"/>
                <w:sz w:val="18"/>
                <w:szCs w:val="18"/>
              </w:rPr>
            </w:pPr>
          </w:p>
        </w:tc>
        <w:tc>
          <w:tcPr>
            <w:tcW w:w="957" w:type="dxa"/>
            <w:tcBorders>
              <w:top w:val="single" w:sz="2" w:space="0" w:color="3D7FE0" w:themeColor="accent1"/>
            </w:tcBorders>
            <w:tcMar>
              <w:left w:w="0" w:type="dxa"/>
              <w:right w:w="0" w:type="dxa"/>
            </w:tcMar>
            <w:vAlign w:val="bottom"/>
          </w:tcPr>
          <w:p w14:paraId="734C9853" w14:textId="77777777" w:rsidR="00002EC2" w:rsidRPr="00895810" w:rsidRDefault="00002EC2" w:rsidP="00002EC2">
            <w:pPr>
              <w:pStyle w:val="TableFiguresBracketsBold"/>
              <w:rPr>
                <w:rFonts w:ascii="IBM Plex Sans Light" w:hAnsi="IBM Plex Sans Light"/>
                <w:b w:val="0"/>
                <w:bCs w:val="0"/>
                <w:color w:val="auto"/>
                <w:spacing w:val="-4"/>
                <w:sz w:val="18"/>
                <w:szCs w:val="18"/>
              </w:rPr>
            </w:pPr>
          </w:p>
        </w:tc>
        <w:tc>
          <w:tcPr>
            <w:tcW w:w="957" w:type="dxa"/>
            <w:tcBorders>
              <w:top w:val="single" w:sz="2" w:space="0" w:color="3D7FE0" w:themeColor="accent1"/>
            </w:tcBorders>
            <w:tcMar>
              <w:left w:w="0" w:type="dxa"/>
              <w:right w:w="0" w:type="dxa"/>
            </w:tcMar>
            <w:vAlign w:val="bottom"/>
          </w:tcPr>
          <w:p w14:paraId="5C7CA009" w14:textId="77777777" w:rsidR="00002EC2" w:rsidRPr="00895810" w:rsidRDefault="00002EC2" w:rsidP="00002EC2">
            <w:pPr>
              <w:pStyle w:val="TableFiguresBracketsBold"/>
              <w:rPr>
                <w:rFonts w:ascii="IBM Plex Sans Light" w:hAnsi="IBM Plex Sans Light"/>
                <w:b w:val="0"/>
                <w:bCs w:val="0"/>
                <w:color w:val="auto"/>
                <w:spacing w:val="-4"/>
                <w:sz w:val="18"/>
                <w:szCs w:val="18"/>
              </w:rPr>
            </w:pPr>
          </w:p>
        </w:tc>
        <w:tc>
          <w:tcPr>
            <w:tcW w:w="957" w:type="dxa"/>
            <w:tcBorders>
              <w:top w:val="single" w:sz="2" w:space="0" w:color="3D7FE0" w:themeColor="accent1"/>
            </w:tcBorders>
            <w:tcMar>
              <w:left w:w="0" w:type="dxa"/>
              <w:right w:w="0" w:type="dxa"/>
            </w:tcMar>
          </w:tcPr>
          <w:p w14:paraId="34146B16" w14:textId="54901F20" w:rsidR="00002EC2" w:rsidRPr="00002EC2" w:rsidRDefault="00002EC2" w:rsidP="00002EC2">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2,633.7</w:t>
            </w:r>
          </w:p>
        </w:tc>
      </w:tr>
      <w:tr w:rsidR="00002EC2" w:rsidRPr="00895810" w14:paraId="60AC3749" w14:textId="77777777" w:rsidTr="00024B10">
        <w:tc>
          <w:tcPr>
            <w:tcW w:w="4876" w:type="dxa"/>
            <w:tcMar>
              <w:left w:w="0" w:type="dxa"/>
              <w:right w:w="0" w:type="dxa"/>
            </w:tcMar>
            <w:vAlign w:val="bottom"/>
          </w:tcPr>
          <w:p w14:paraId="210DD6DF" w14:textId="0C0CA689"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lastRenderedPageBreak/>
              <w:t>Deferred tax – remaining 50% share</w:t>
            </w:r>
          </w:p>
        </w:tc>
        <w:tc>
          <w:tcPr>
            <w:tcW w:w="511" w:type="dxa"/>
            <w:tcMar>
              <w:left w:w="0" w:type="dxa"/>
              <w:right w:w="0" w:type="dxa"/>
            </w:tcMar>
            <w:vAlign w:val="bottom"/>
          </w:tcPr>
          <w:p w14:paraId="2CE9A2A3" w14:textId="77777777" w:rsidR="00002EC2" w:rsidRPr="00895810" w:rsidRDefault="00002EC2" w:rsidP="00002EC2">
            <w:pPr>
              <w:pStyle w:val="TableFiguresBold"/>
              <w:ind w:left="-18"/>
              <w:rPr>
                <w:rFonts w:ascii="IBM Plex Sans Light" w:hAnsi="IBM Plex Sans Light"/>
                <w:b w:val="0"/>
                <w:bCs w:val="0"/>
                <w:color w:val="auto"/>
                <w:spacing w:val="-4"/>
                <w:szCs w:val="16"/>
              </w:rPr>
            </w:pPr>
          </w:p>
        </w:tc>
        <w:tc>
          <w:tcPr>
            <w:tcW w:w="707" w:type="dxa"/>
            <w:tcMar>
              <w:left w:w="0" w:type="dxa"/>
              <w:right w:w="0" w:type="dxa"/>
            </w:tcMar>
            <w:vAlign w:val="bottom"/>
          </w:tcPr>
          <w:p w14:paraId="1A1117FD" w14:textId="075834C0" w:rsidR="00002EC2" w:rsidRPr="00895810" w:rsidRDefault="00002EC2" w:rsidP="00002EC2">
            <w:pPr>
              <w:pStyle w:val="TableFiguresBold"/>
              <w:rPr>
                <w:rFonts w:ascii="IBM Plex Sans Light" w:hAnsi="IBM Plex Sans Light" w:cs="MyriadPro-Light"/>
                <w:b w:val="0"/>
                <w:bCs w:val="0"/>
                <w:color w:val="auto"/>
                <w:spacing w:val="-4"/>
                <w:szCs w:val="16"/>
              </w:rPr>
            </w:pPr>
            <w:r w:rsidRPr="00895810">
              <w:rPr>
                <w:rFonts w:ascii="IBM Plex Sans Light" w:hAnsi="IBM Plex Sans Light" w:cs="MyriadPro-Light"/>
                <w:b w:val="0"/>
                <w:bCs w:val="0"/>
                <w:color w:val="auto"/>
                <w:spacing w:val="-4"/>
                <w:szCs w:val="16"/>
              </w:rPr>
              <w:t>b</w:t>
            </w:r>
          </w:p>
        </w:tc>
        <w:tc>
          <w:tcPr>
            <w:tcW w:w="956" w:type="dxa"/>
          </w:tcPr>
          <w:p w14:paraId="1CD21769" w14:textId="62ABC44E" w:rsidR="00002EC2" w:rsidRPr="006B3D45" w:rsidRDefault="00002EC2" w:rsidP="00002EC2">
            <w:pPr>
              <w:pStyle w:val="TableFiguresBold"/>
              <w:rPr>
                <w:rFonts w:ascii="IBM Plex Sans Light" w:hAnsi="IBM Plex Sans Light"/>
                <w:b w:val="0"/>
                <w:bCs w:val="0"/>
                <w:spacing w:val="-4"/>
                <w:sz w:val="18"/>
                <w:szCs w:val="18"/>
              </w:rPr>
            </w:pPr>
            <w:r w:rsidRPr="006B3D45">
              <w:rPr>
                <w:rFonts w:ascii="IBM Plex Sans Light" w:hAnsi="IBM Plex Sans Light"/>
                <w:b w:val="0"/>
                <w:bCs w:val="0"/>
                <w:spacing w:val="-4"/>
                <w:sz w:val="18"/>
                <w:szCs w:val="18"/>
              </w:rPr>
              <w:t>0.2</w:t>
            </w:r>
          </w:p>
        </w:tc>
        <w:tc>
          <w:tcPr>
            <w:tcW w:w="957" w:type="dxa"/>
            <w:tcMar>
              <w:left w:w="0" w:type="dxa"/>
              <w:right w:w="0" w:type="dxa"/>
            </w:tcMar>
            <w:vAlign w:val="bottom"/>
          </w:tcPr>
          <w:p w14:paraId="42D8CA19" w14:textId="13A85AB7" w:rsidR="00002EC2" w:rsidRPr="00895810" w:rsidRDefault="00002EC2" w:rsidP="00002EC2">
            <w:pPr>
              <w:pStyle w:val="TableFiguresBold"/>
              <w:rPr>
                <w:rFonts w:ascii="IBM Plex Sans Light" w:hAnsi="IBM Plex Sans Light" w:cs="MyriadPro-Light"/>
                <w:b w:val="0"/>
                <w:bCs w:val="0"/>
                <w:color w:val="auto"/>
                <w:spacing w:val="-4"/>
                <w:sz w:val="18"/>
                <w:szCs w:val="18"/>
              </w:rPr>
            </w:pPr>
            <w:r w:rsidRPr="00895810">
              <w:rPr>
                <w:rFonts w:ascii="IBM Plex Sans Light" w:hAnsi="IBM Plex Sans Light"/>
                <w:b w:val="0"/>
                <w:bCs w:val="0"/>
                <w:color w:val="auto"/>
                <w:spacing w:val="-4"/>
                <w:sz w:val="18"/>
                <w:szCs w:val="18"/>
              </w:rPr>
              <w:t>–</w:t>
            </w:r>
          </w:p>
        </w:tc>
        <w:tc>
          <w:tcPr>
            <w:tcW w:w="957" w:type="dxa"/>
            <w:tcMar>
              <w:left w:w="0" w:type="dxa"/>
              <w:right w:w="0" w:type="dxa"/>
            </w:tcMar>
            <w:vAlign w:val="bottom"/>
          </w:tcPr>
          <w:p w14:paraId="11CDE858" w14:textId="7C53FBA0" w:rsidR="00002EC2" w:rsidRPr="00895810" w:rsidRDefault="00002EC2" w:rsidP="00002EC2">
            <w:pPr>
              <w:pStyle w:val="TableFiguresBold"/>
              <w:rPr>
                <w:rFonts w:ascii="IBM Plex Sans Light" w:hAnsi="IBM Plex Sans Light"/>
                <w:b w:val="0"/>
                <w:bCs w:val="0"/>
                <w:color w:val="auto"/>
                <w:spacing w:val="-4"/>
                <w:sz w:val="18"/>
                <w:szCs w:val="18"/>
              </w:rPr>
            </w:pPr>
            <w:r>
              <w:rPr>
                <w:rFonts w:ascii="IBM Plex Sans Light" w:hAnsi="IBM Plex Sans Light"/>
                <w:b w:val="0"/>
                <w:bCs w:val="0"/>
                <w:color w:val="auto"/>
                <w:spacing w:val="-4"/>
                <w:sz w:val="18"/>
                <w:szCs w:val="18"/>
              </w:rPr>
              <w:t>99.4</w:t>
            </w:r>
          </w:p>
        </w:tc>
        <w:tc>
          <w:tcPr>
            <w:tcW w:w="957" w:type="dxa"/>
            <w:tcMar>
              <w:left w:w="0" w:type="dxa"/>
              <w:right w:w="0" w:type="dxa"/>
            </w:tcMar>
          </w:tcPr>
          <w:p w14:paraId="2357217B" w14:textId="7F1ECBB9" w:rsidR="00002EC2" w:rsidRPr="00002EC2" w:rsidRDefault="00002EC2" w:rsidP="00002EC2">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99.6</w:t>
            </w:r>
          </w:p>
        </w:tc>
      </w:tr>
      <w:tr w:rsidR="00002EC2" w:rsidRPr="00895810" w14:paraId="7DD7A63D" w14:textId="77777777" w:rsidTr="00024B10">
        <w:tc>
          <w:tcPr>
            <w:tcW w:w="4876" w:type="dxa"/>
            <w:tcBorders>
              <w:bottom w:val="single" w:sz="2" w:space="0" w:color="3D7FE0" w:themeColor="accent1"/>
            </w:tcBorders>
            <w:tcMar>
              <w:left w:w="0" w:type="dxa"/>
              <w:right w:w="0" w:type="dxa"/>
            </w:tcMar>
            <w:vAlign w:val="bottom"/>
          </w:tcPr>
          <w:p w14:paraId="49D1CFEC" w14:textId="0DD9AB5E"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color w:val="auto"/>
                <w:spacing w:val="-4"/>
                <w:sz w:val="18"/>
                <w:szCs w:val="18"/>
              </w:rPr>
              <w:t>Purchasers’ costs</w:t>
            </w:r>
          </w:p>
        </w:tc>
        <w:tc>
          <w:tcPr>
            <w:tcW w:w="511" w:type="dxa"/>
            <w:tcBorders>
              <w:bottom w:val="single" w:sz="2" w:space="0" w:color="3D7FE0" w:themeColor="accent1"/>
            </w:tcBorders>
            <w:tcMar>
              <w:left w:w="0" w:type="dxa"/>
              <w:right w:w="0" w:type="dxa"/>
            </w:tcMar>
            <w:vAlign w:val="bottom"/>
          </w:tcPr>
          <w:p w14:paraId="72A9C0B0" w14:textId="77777777" w:rsidR="00002EC2" w:rsidRPr="00895810" w:rsidRDefault="00002EC2" w:rsidP="00002EC2">
            <w:pPr>
              <w:pStyle w:val="TableFiguresBold"/>
              <w:rPr>
                <w:rFonts w:ascii="IBM Plex Sans Light" w:hAnsi="IBM Plex Sans Light"/>
                <w:b w:val="0"/>
                <w:bCs w:val="0"/>
                <w:color w:val="auto"/>
                <w:spacing w:val="-4"/>
                <w:szCs w:val="16"/>
              </w:rPr>
            </w:pPr>
          </w:p>
        </w:tc>
        <w:tc>
          <w:tcPr>
            <w:tcW w:w="707" w:type="dxa"/>
            <w:tcBorders>
              <w:bottom w:val="single" w:sz="2" w:space="0" w:color="3D7FE0" w:themeColor="accent1"/>
            </w:tcBorders>
            <w:tcMar>
              <w:left w:w="0" w:type="dxa"/>
              <w:right w:w="0" w:type="dxa"/>
            </w:tcMar>
            <w:vAlign w:val="bottom"/>
          </w:tcPr>
          <w:p w14:paraId="755222FC" w14:textId="50C1373A" w:rsidR="00002EC2" w:rsidRPr="00895810" w:rsidRDefault="00002EC2" w:rsidP="00002EC2">
            <w:pPr>
              <w:pStyle w:val="TableFiguresBold"/>
              <w:rPr>
                <w:rFonts w:ascii="IBM Plex Sans Light" w:hAnsi="IBM Plex Sans Light" w:cs="MyriadPro-Light"/>
                <w:b w:val="0"/>
                <w:bCs w:val="0"/>
                <w:color w:val="auto"/>
                <w:spacing w:val="-4"/>
                <w:szCs w:val="16"/>
              </w:rPr>
            </w:pPr>
            <w:r w:rsidRPr="00895810">
              <w:rPr>
                <w:rFonts w:ascii="IBM Plex Sans Light" w:hAnsi="IBM Plex Sans Light" w:cs="MyriadPro-Light"/>
                <w:b w:val="0"/>
                <w:bCs w:val="0"/>
                <w:color w:val="auto"/>
                <w:spacing w:val="-4"/>
                <w:szCs w:val="16"/>
              </w:rPr>
              <w:t>d</w:t>
            </w:r>
          </w:p>
        </w:tc>
        <w:tc>
          <w:tcPr>
            <w:tcW w:w="956" w:type="dxa"/>
            <w:tcBorders>
              <w:bottom w:val="single" w:sz="2" w:space="0" w:color="3D7FE0" w:themeColor="accent1"/>
            </w:tcBorders>
          </w:tcPr>
          <w:p w14:paraId="6B1511E9" w14:textId="1EDC1590" w:rsidR="00002EC2" w:rsidRPr="006B3D45" w:rsidRDefault="00002EC2" w:rsidP="00002EC2">
            <w:pPr>
              <w:pStyle w:val="TableFiguresBold"/>
              <w:rPr>
                <w:rFonts w:ascii="IBM Plex Sans Light" w:hAnsi="IBM Plex Sans Light"/>
                <w:b w:val="0"/>
                <w:bCs w:val="0"/>
                <w:spacing w:val="-4"/>
                <w:sz w:val="18"/>
                <w:szCs w:val="18"/>
              </w:rPr>
            </w:pPr>
            <w:r w:rsidRPr="006B3D45">
              <w:rPr>
                <w:rFonts w:ascii="IBM Plex Sans Light" w:hAnsi="IBM Plex Sans Light"/>
                <w:b w:val="0"/>
                <w:bCs w:val="0"/>
                <w:spacing w:val="-4"/>
                <w:sz w:val="18"/>
                <w:szCs w:val="18"/>
              </w:rPr>
              <w:t>330.0</w:t>
            </w:r>
          </w:p>
        </w:tc>
        <w:tc>
          <w:tcPr>
            <w:tcW w:w="957" w:type="dxa"/>
            <w:tcBorders>
              <w:bottom w:val="single" w:sz="2" w:space="0" w:color="3D7FE0" w:themeColor="accent1"/>
            </w:tcBorders>
            <w:tcMar>
              <w:left w:w="0" w:type="dxa"/>
              <w:right w:w="0" w:type="dxa"/>
            </w:tcMar>
            <w:vAlign w:val="bottom"/>
          </w:tcPr>
          <w:p w14:paraId="225CF4EF" w14:textId="7F05DC73" w:rsidR="00002EC2" w:rsidRPr="00895810" w:rsidRDefault="00002EC2" w:rsidP="00002EC2">
            <w:pPr>
              <w:pStyle w:val="TableFiguresBold"/>
              <w:rPr>
                <w:rFonts w:ascii="IBM Plex Sans Light" w:hAnsi="IBM Plex Sans Light"/>
                <w:b w:val="0"/>
                <w:bCs w:val="0"/>
                <w:color w:val="auto"/>
                <w:spacing w:val="-4"/>
                <w:sz w:val="18"/>
                <w:szCs w:val="18"/>
              </w:rPr>
            </w:pPr>
            <w:r w:rsidRPr="00895810">
              <w:rPr>
                <w:rFonts w:ascii="IBM Plex Sans Light" w:hAnsi="IBM Plex Sans Light"/>
                <w:b w:val="0"/>
                <w:bCs w:val="0"/>
                <w:color w:val="auto"/>
                <w:spacing w:val="-4"/>
                <w:sz w:val="18"/>
                <w:szCs w:val="18"/>
              </w:rPr>
              <w:t>–</w:t>
            </w:r>
          </w:p>
        </w:tc>
        <w:tc>
          <w:tcPr>
            <w:tcW w:w="957" w:type="dxa"/>
            <w:tcBorders>
              <w:bottom w:val="single" w:sz="2" w:space="0" w:color="3D7FE0" w:themeColor="accent1"/>
            </w:tcBorders>
            <w:tcMar>
              <w:left w:w="0" w:type="dxa"/>
              <w:right w:w="0" w:type="dxa"/>
            </w:tcMar>
            <w:vAlign w:val="bottom"/>
          </w:tcPr>
          <w:p w14:paraId="632D2DD8" w14:textId="1EE71AA5" w:rsidR="00002EC2" w:rsidRPr="005F6D26" w:rsidRDefault="00002EC2" w:rsidP="00002EC2">
            <w:pPr>
              <w:pStyle w:val="TableFiguresBold"/>
              <w:rPr>
                <w:rFonts w:ascii="IBM Plex Sans Light" w:hAnsi="IBM Plex Sans Light"/>
                <w:b w:val="0"/>
                <w:bCs w:val="0"/>
                <w:color w:val="auto"/>
                <w:spacing w:val="-4"/>
                <w:sz w:val="18"/>
                <w:szCs w:val="18"/>
              </w:rPr>
            </w:pPr>
            <w:r w:rsidRPr="00024B10">
              <w:rPr>
                <w:rFonts w:ascii="IBM Plex Sans Light" w:hAnsi="IBM Plex Sans Light" w:cs="MyriadPro-Light"/>
                <w:b w:val="0"/>
                <w:bCs w:val="0"/>
                <w:color w:val="auto"/>
                <w:spacing w:val="-4"/>
                <w:sz w:val="18"/>
                <w:szCs w:val="18"/>
              </w:rPr>
              <w:t>–</w:t>
            </w:r>
          </w:p>
        </w:tc>
        <w:tc>
          <w:tcPr>
            <w:tcW w:w="957" w:type="dxa"/>
            <w:tcBorders>
              <w:bottom w:val="single" w:sz="2" w:space="0" w:color="3D7FE0" w:themeColor="accent1"/>
            </w:tcBorders>
            <w:tcMar>
              <w:left w:w="0" w:type="dxa"/>
              <w:right w:w="0" w:type="dxa"/>
            </w:tcMar>
          </w:tcPr>
          <w:p w14:paraId="57449A13" w14:textId="0316F528" w:rsidR="00002EC2" w:rsidRPr="00002EC2" w:rsidRDefault="00002EC2" w:rsidP="00002EC2">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ab/>
              <w:t xml:space="preserve">330.0 </w:t>
            </w:r>
          </w:p>
        </w:tc>
      </w:tr>
      <w:tr w:rsidR="00002EC2" w:rsidRPr="00895810" w14:paraId="7E2FE8E0" w14:textId="77777777" w:rsidTr="00024B10">
        <w:tc>
          <w:tcPr>
            <w:tcW w:w="4876" w:type="dxa"/>
            <w:tcBorders>
              <w:top w:val="single" w:sz="2" w:space="0" w:color="3D7FE0" w:themeColor="accent1"/>
              <w:bottom w:val="single" w:sz="8" w:space="0" w:color="3D7FE0" w:themeColor="accent1"/>
            </w:tcBorders>
            <w:tcMar>
              <w:left w:w="0" w:type="dxa"/>
              <w:right w:w="0" w:type="dxa"/>
            </w:tcMar>
            <w:vAlign w:val="bottom"/>
          </w:tcPr>
          <w:p w14:paraId="55115C1C" w14:textId="19236E09" w:rsidR="00002EC2" w:rsidRPr="002532AD" w:rsidRDefault="00002EC2" w:rsidP="00002EC2">
            <w:pPr>
              <w:pStyle w:val="Tabletext"/>
              <w:rPr>
                <w:rFonts w:ascii="IBM Plex Sans Light" w:hAnsi="IBM Plex Sans Light"/>
                <w:color w:val="auto"/>
                <w:spacing w:val="-4"/>
                <w:sz w:val="18"/>
              </w:rPr>
            </w:pPr>
            <w:r w:rsidRPr="002532AD">
              <w:rPr>
                <w:rFonts w:ascii="IBM Plex Sans Light" w:hAnsi="IBM Plex Sans Light"/>
                <w:b/>
                <w:bCs/>
                <w:color w:val="auto"/>
                <w:spacing w:val="-4"/>
                <w:sz w:val="18"/>
                <w:szCs w:val="18"/>
              </w:rPr>
              <w:t>EPRA NRV</w:t>
            </w:r>
          </w:p>
        </w:tc>
        <w:tc>
          <w:tcPr>
            <w:tcW w:w="511" w:type="dxa"/>
            <w:tcBorders>
              <w:top w:val="single" w:sz="2" w:space="0" w:color="3D7FE0" w:themeColor="accent1"/>
              <w:bottom w:val="single" w:sz="8" w:space="0" w:color="3D7FE0" w:themeColor="accent1"/>
            </w:tcBorders>
            <w:tcMar>
              <w:left w:w="0" w:type="dxa"/>
              <w:right w:w="0" w:type="dxa"/>
            </w:tcMar>
            <w:vAlign w:val="bottom"/>
          </w:tcPr>
          <w:p w14:paraId="36ADE71C" w14:textId="77777777" w:rsidR="00002EC2" w:rsidRPr="00895810" w:rsidRDefault="00002EC2" w:rsidP="00002EC2">
            <w:pPr>
              <w:pStyle w:val="TableFiguresBracketsBold"/>
              <w:rPr>
                <w:rFonts w:ascii="IBM Plex Sans Light" w:hAnsi="IBM Plex Sans Light"/>
                <w:b w:val="0"/>
                <w:bCs w:val="0"/>
                <w:color w:val="auto"/>
                <w:spacing w:val="-4"/>
                <w:szCs w:val="16"/>
              </w:rPr>
            </w:pPr>
          </w:p>
        </w:tc>
        <w:tc>
          <w:tcPr>
            <w:tcW w:w="707" w:type="dxa"/>
            <w:tcBorders>
              <w:top w:val="single" w:sz="2" w:space="0" w:color="3D7FE0" w:themeColor="accent1"/>
              <w:bottom w:val="single" w:sz="8" w:space="0" w:color="3D7FE0" w:themeColor="accent1"/>
            </w:tcBorders>
            <w:tcMar>
              <w:left w:w="0" w:type="dxa"/>
              <w:right w:w="0" w:type="dxa"/>
            </w:tcMar>
            <w:vAlign w:val="bottom"/>
          </w:tcPr>
          <w:p w14:paraId="4887E6FA" w14:textId="77777777" w:rsidR="00002EC2" w:rsidRPr="00895810" w:rsidRDefault="00002EC2" w:rsidP="00002EC2">
            <w:pPr>
              <w:pStyle w:val="TableFiguresBracketsBold"/>
              <w:rPr>
                <w:rFonts w:ascii="IBM Plex Sans Light" w:hAnsi="IBM Plex Sans Light"/>
                <w:b w:val="0"/>
                <w:bCs w:val="0"/>
                <w:color w:val="auto"/>
                <w:spacing w:val="-4"/>
                <w:szCs w:val="16"/>
              </w:rPr>
            </w:pPr>
          </w:p>
        </w:tc>
        <w:tc>
          <w:tcPr>
            <w:tcW w:w="956" w:type="dxa"/>
            <w:tcBorders>
              <w:top w:val="single" w:sz="2" w:space="0" w:color="3D7FE0" w:themeColor="accent1"/>
              <w:bottom w:val="single" w:sz="8" w:space="0" w:color="3D7FE0" w:themeColor="accent1"/>
            </w:tcBorders>
            <w:vAlign w:val="bottom"/>
          </w:tcPr>
          <w:p w14:paraId="20B4DB71" w14:textId="77777777" w:rsidR="00002EC2" w:rsidRPr="00895810" w:rsidRDefault="00002EC2" w:rsidP="00002EC2">
            <w:pPr>
              <w:pStyle w:val="TableFiguresBracketsBold"/>
              <w:rPr>
                <w:rFonts w:ascii="IBM Plex Sans Light" w:hAnsi="IBM Plex Sans Light"/>
                <w:b w:val="0"/>
                <w:bCs w:val="0"/>
                <w:color w:val="auto"/>
                <w:spacing w:val="-4"/>
                <w:sz w:val="18"/>
                <w:szCs w:val="18"/>
              </w:rPr>
            </w:pPr>
          </w:p>
        </w:tc>
        <w:tc>
          <w:tcPr>
            <w:tcW w:w="957" w:type="dxa"/>
            <w:tcBorders>
              <w:top w:val="single" w:sz="2" w:space="0" w:color="3D7FE0" w:themeColor="accent1"/>
              <w:bottom w:val="single" w:sz="8" w:space="0" w:color="3D7FE0" w:themeColor="accent1"/>
            </w:tcBorders>
            <w:tcMar>
              <w:left w:w="0" w:type="dxa"/>
              <w:right w:w="0" w:type="dxa"/>
            </w:tcMar>
            <w:vAlign w:val="bottom"/>
          </w:tcPr>
          <w:p w14:paraId="555330A0" w14:textId="77777777" w:rsidR="00002EC2" w:rsidRPr="00895810" w:rsidRDefault="00002EC2" w:rsidP="00002EC2">
            <w:pPr>
              <w:pStyle w:val="TableFiguresBracketsBold"/>
              <w:rPr>
                <w:rFonts w:ascii="IBM Plex Sans Light" w:hAnsi="IBM Plex Sans Light"/>
                <w:b w:val="0"/>
                <w:bCs w:val="0"/>
                <w:color w:val="auto"/>
                <w:spacing w:val="-4"/>
                <w:sz w:val="18"/>
                <w:szCs w:val="18"/>
              </w:rPr>
            </w:pPr>
          </w:p>
        </w:tc>
        <w:tc>
          <w:tcPr>
            <w:tcW w:w="957" w:type="dxa"/>
            <w:tcBorders>
              <w:top w:val="single" w:sz="2" w:space="0" w:color="3D7FE0" w:themeColor="accent1"/>
              <w:bottom w:val="single" w:sz="8" w:space="0" w:color="3D7FE0" w:themeColor="accent1"/>
            </w:tcBorders>
            <w:tcMar>
              <w:left w:w="0" w:type="dxa"/>
              <w:right w:w="0" w:type="dxa"/>
            </w:tcMar>
            <w:vAlign w:val="bottom"/>
          </w:tcPr>
          <w:p w14:paraId="737D5B44" w14:textId="77777777" w:rsidR="00002EC2" w:rsidRPr="00895810" w:rsidRDefault="00002EC2" w:rsidP="00002EC2">
            <w:pPr>
              <w:pStyle w:val="TableFiguresBracketsBold"/>
              <w:rPr>
                <w:rFonts w:ascii="IBM Plex Sans Light" w:hAnsi="IBM Plex Sans Light"/>
                <w:b w:val="0"/>
                <w:bCs w:val="0"/>
                <w:color w:val="auto"/>
                <w:spacing w:val="-4"/>
                <w:sz w:val="18"/>
                <w:szCs w:val="18"/>
              </w:rPr>
            </w:pPr>
          </w:p>
        </w:tc>
        <w:tc>
          <w:tcPr>
            <w:tcW w:w="957" w:type="dxa"/>
            <w:tcBorders>
              <w:top w:val="single" w:sz="2" w:space="0" w:color="3D7FE0" w:themeColor="accent1"/>
              <w:bottom w:val="single" w:sz="8" w:space="0" w:color="3D7FE0" w:themeColor="accent1"/>
            </w:tcBorders>
            <w:tcMar>
              <w:left w:w="0" w:type="dxa"/>
              <w:right w:w="0" w:type="dxa"/>
            </w:tcMar>
          </w:tcPr>
          <w:p w14:paraId="2B23242F" w14:textId="61480F9E" w:rsidR="00002EC2" w:rsidRPr="00002EC2" w:rsidRDefault="00002EC2" w:rsidP="00002EC2">
            <w:pPr>
              <w:pStyle w:val="TableFiguresBold"/>
              <w:rPr>
                <w:rFonts w:ascii="IBM Plex Sans Light" w:hAnsi="IBM Plex Sans Light"/>
                <w:b w:val="0"/>
                <w:bCs w:val="0"/>
                <w:spacing w:val="-4"/>
                <w:sz w:val="18"/>
                <w:szCs w:val="18"/>
              </w:rPr>
            </w:pPr>
            <w:r w:rsidRPr="00002EC2">
              <w:rPr>
                <w:rFonts w:ascii="IBM Plex Sans Light" w:hAnsi="IBM Plex Sans Light"/>
                <w:b w:val="0"/>
                <w:bCs w:val="0"/>
                <w:spacing w:val="-4"/>
                <w:sz w:val="18"/>
                <w:szCs w:val="18"/>
              </w:rPr>
              <w:t>3,063.3</w:t>
            </w:r>
          </w:p>
        </w:tc>
      </w:tr>
    </w:tbl>
    <w:p w14:paraId="6DFD39FF" w14:textId="544F1C4A" w:rsidR="00670108" w:rsidRPr="00895810" w:rsidRDefault="00670108" w:rsidP="00895760">
      <w:pPr>
        <w:pStyle w:val="Footnotes"/>
        <w:spacing w:before="0" w:after="0" w:line="240" w:lineRule="auto"/>
        <w:ind w:left="0" w:firstLine="0"/>
        <w:rPr>
          <w:rFonts w:ascii="IBM Plex Sans Light" w:hAnsi="IBM Plex Sans Light"/>
          <w:sz w:val="16"/>
          <w:szCs w:val="16"/>
        </w:rPr>
      </w:pPr>
    </w:p>
    <w:p w14:paraId="359FA4D5" w14:textId="77777777" w:rsidR="00345205" w:rsidRPr="00B93337" w:rsidRDefault="00345205"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a</w:t>
      </w:r>
      <w:r w:rsidRPr="00B93337">
        <w:rPr>
          <w:rFonts w:ascii="IBM Plex Sans Light" w:hAnsi="IBM Plex Sans Light" w:cs="Arial"/>
          <w:sz w:val="16"/>
          <w:szCs w:val="16"/>
        </w:rPr>
        <w:tab/>
        <w:t>Applicable for EPRA NDV calculation only and hence the adjustment is reversed for EPRA NTA and EPRA NRV.</w:t>
      </w:r>
    </w:p>
    <w:p w14:paraId="48834523" w14:textId="77777777" w:rsidR="00345205" w:rsidRPr="00B93337" w:rsidRDefault="00345205"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b</w:t>
      </w:r>
      <w:r w:rsidRPr="00B93337">
        <w:rPr>
          <w:rFonts w:ascii="IBM Plex Sans Light" w:hAnsi="IBM Plex Sans Light" w:cs="Arial"/>
          <w:sz w:val="16"/>
          <w:szCs w:val="16"/>
        </w:rPr>
        <w:tab/>
        <w:t>EPRA guidance stipulates exclusion of 50% of deferred tax for EPRA NTA purposes.</w:t>
      </w:r>
    </w:p>
    <w:p w14:paraId="6F002DAC" w14:textId="77777777" w:rsidR="00345205" w:rsidRPr="00B93337" w:rsidRDefault="00345205"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c</w:t>
      </w:r>
      <w:r w:rsidRPr="00B93337">
        <w:rPr>
          <w:rFonts w:ascii="IBM Plex Sans Light" w:hAnsi="IBM Plex Sans Light" w:cs="Arial"/>
          <w:sz w:val="16"/>
          <w:szCs w:val="16"/>
        </w:rPr>
        <w:tab/>
        <w:t>Excludes impact of foreign exchange.</w:t>
      </w:r>
    </w:p>
    <w:p w14:paraId="3B86A9D3" w14:textId="74E51724" w:rsidR="00670108" w:rsidRPr="00B93337" w:rsidRDefault="00345205" w:rsidP="00B93337">
      <w:pPr>
        <w:pStyle w:val="ListParagraph"/>
        <w:ind w:left="284" w:right="-255" w:hanging="284"/>
        <w:rPr>
          <w:rFonts w:ascii="IBM Plex Sans Light" w:hAnsi="IBM Plex Sans Light" w:cs="Arial"/>
          <w:sz w:val="16"/>
          <w:szCs w:val="16"/>
        </w:rPr>
      </w:pPr>
      <w:r w:rsidRPr="00B93337">
        <w:rPr>
          <w:rFonts w:ascii="IBM Plex Sans Light" w:hAnsi="IBM Plex Sans Light" w:cs="Arial"/>
          <w:sz w:val="16"/>
          <w:szCs w:val="16"/>
        </w:rPr>
        <w:t>d</w:t>
      </w:r>
      <w:r w:rsidRPr="00B93337">
        <w:rPr>
          <w:rFonts w:ascii="IBM Plex Sans Light" w:hAnsi="IBM Plex Sans Light" w:cs="Arial"/>
          <w:sz w:val="16"/>
          <w:szCs w:val="16"/>
        </w:rPr>
        <w:tab/>
        <w:t>Represents property transfer taxes and fees payable should the Group’s entire property portfolio, (including Value Retail), be acquired at year end market values.</w:t>
      </w:r>
    </w:p>
    <w:p w14:paraId="382DE18A" w14:textId="6D5655B5" w:rsidR="00670108" w:rsidRPr="00895810" w:rsidRDefault="00670108" w:rsidP="00670108">
      <w:pPr>
        <w:spacing w:after="0" w:line="240" w:lineRule="auto"/>
        <w:rPr>
          <w:rFonts w:ascii="IBM Plex Sans Light" w:hAnsi="IBM Plex Sans Light" w:cs="Arial"/>
          <w:b/>
          <w:color w:val="3D7FE0" w:themeColor="accent1"/>
          <w:szCs w:val="18"/>
        </w:rPr>
      </w:pPr>
    </w:p>
    <w:p w14:paraId="6E349804" w14:textId="692F871A" w:rsidR="00A44065" w:rsidRPr="00AB6B6E" w:rsidRDefault="001E118C"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10</w:t>
      </w:r>
      <w:r w:rsidR="00A44065" w:rsidRPr="00AB6B6E">
        <w:rPr>
          <w:rFonts w:ascii="IBM Plex Sans Medium" w:hAnsi="IBM Plex Sans Medium" w:cs="Arial"/>
          <w:b/>
          <w:color w:val="3D7FE0" w:themeColor="accent1"/>
          <w:szCs w:val="18"/>
        </w:rPr>
        <w:t>. (LOSS)</w:t>
      </w:r>
      <w:r w:rsidR="00C55BF9">
        <w:rPr>
          <w:rFonts w:ascii="IBM Plex Sans Medium" w:hAnsi="IBM Plex Sans Medium" w:cs="Arial"/>
          <w:b/>
          <w:color w:val="3D7FE0" w:themeColor="accent1"/>
          <w:szCs w:val="18"/>
        </w:rPr>
        <w:t>/EARNINGS</w:t>
      </w:r>
      <w:r w:rsidR="00102CBC" w:rsidRPr="00AB6B6E">
        <w:rPr>
          <w:rFonts w:ascii="IBM Plex Sans Medium" w:hAnsi="IBM Plex Sans Medium" w:cs="Arial"/>
          <w:b/>
          <w:color w:val="3D7FE0" w:themeColor="accent1"/>
          <w:szCs w:val="18"/>
        </w:rPr>
        <w:t xml:space="preserve"> </w:t>
      </w:r>
      <w:r w:rsidR="00A44065" w:rsidRPr="00AB6B6E">
        <w:rPr>
          <w:rFonts w:ascii="IBM Plex Sans Medium" w:hAnsi="IBM Plex Sans Medium" w:cs="Arial"/>
          <w:b/>
          <w:color w:val="3D7FE0" w:themeColor="accent1"/>
          <w:szCs w:val="18"/>
        </w:rPr>
        <w:t>PER SHARE AND NET ASSET VALUE PER SHARE</w:t>
      </w:r>
    </w:p>
    <w:p w14:paraId="04F4AAC2" w14:textId="77777777" w:rsidR="0027166D" w:rsidRPr="0027166D" w:rsidRDefault="0027166D" w:rsidP="0027166D">
      <w:pPr>
        <w:spacing w:after="0" w:line="240" w:lineRule="auto"/>
        <w:ind w:right="-255"/>
        <w:rPr>
          <w:rFonts w:ascii="IBM Plex Sans Light" w:hAnsi="IBM Plex Sans Light" w:cs="Arial"/>
          <w:bCs/>
          <w:szCs w:val="15"/>
        </w:rPr>
      </w:pPr>
      <w:r w:rsidRPr="0027166D">
        <w:rPr>
          <w:rFonts w:ascii="IBM Plex Sans Light" w:hAnsi="IBM Plex Sans Light" w:cs="Arial"/>
          <w:bCs/>
          <w:szCs w:val="15"/>
        </w:rPr>
        <w:t>The calculations of the (loss)/earnings per share (EPS) measures set out below are based on (loss)/profit after tax, Headline profit after tax, EPRA profit after tax and Adjusted profit after tax attributable to owners of the parent and the weighted average number of shares in issue during the year.</w:t>
      </w:r>
    </w:p>
    <w:p w14:paraId="39478209" w14:textId="77777777" w:rsidR="0027166D" w:rsidRPr="0027166D" w:rsidRDefault="0027166D" w:rsidP="0027166D">
      <w:pPr>
        <w:spacing w:after="0" w:line="240" w:lineRule="auto"/>
        <w:ind w:right="-255"/>
        <w:rPr>
          <w:rFonts w:ascii="IBM Plex Sans Light" w:hAnsi="IBM Plex Sans Light" w:cs="Arial"/>
          <w:bCs/>
          <w:szCs w:val="15"/>
        </w:rPr>
      </w:pPr>
    </w:p>
    <w:p w14:paraId="07545788" w14:textId="77777777" w:rsidR="0027166D" w:rsidRPr="0027166D" w:rsidRDefault="0027166D" w:rsidP="0027166D">
      <w:pPr>
        <w:spacing w:after="0" w:line="240" w:lineRule="auto"/>
        <w:ind w:right="-255"/>
        <w:rPr>
          <w:rFonts w:ascii="IBM Plex Sans Light" w:hAnsi="IBM Plex Sans Light" w:cs="Arial"/>
          <w:bCs/>
          <w:szCs w:val="15"/>
        </w:rPr>
      </w:pPr>
      <w:r w:rsidRPr="0027166D">
        <w:rPr>
          <w:rFonts w:ascii="IBM Plex Sans Light" w:hAnsi="IBM Plex Sans Light" w:cs="Arial"/>
          <w:bCs/>
          <w:szCs w:val="15"/>
        </w:rPr>
        <w:t>Headline earnings per share has been calculated in accordance with the requirements of the Johannesburg Stock Exchange listing requirements. EPRA has issued recommended bases for the calculation of certain per share information which includes net asset value per share as well as earnings per share. The calculation of Headline, EPRA and Adjusted earnings which includes a reconciliation to Reported IFRS earnings is set out in note 9A.</w:t>
      </w:r>
    </w:p>
    <w:p w14:paraId="49AEC217" w14:textId="77777777" w:rsidR="0027166D" w:rsidRPr="0027166D" w:rsidRDefault="0027166D" w:rsidP="0027166D">
      <w:pPr>
        <w:spacing w:after="0" w:line="240" w:lineRule="auto"/>
        <w:ind w:right="-255"/>
        <w:rPr>
          <w:rFonts w:ascii="IBM Plex Sans Light" w:hAnsi="IBM Plex Sans Light" w:cs="Arial"/>
          <w:bCs/>
          <w:szCs w:val="15"/>
        </w:rPr>
      </w:pPr>
    </w:p>
    <w:p w14:paraId="5058C359" w14:textId="77777777" w:rsidR="0027166D" w:rsidRPr="0027166D" w:rsidRDefault="0027166D" w:rsidP="0027166D">
      <w:pPr>
        <w:spacing w:after="0" w:line="240" w:lineRule="auto"/>
        <w:ind w:right="-255"/>
        <w:rPr>
          <w:rFonts w:ascii="IBM Plex Sans Light" w:hAnsi="IBM Plex Sans Light" w:cs="Arial"/>
          <w:bCs/>
          <w:szCs w:val="15"/>
        </w:rPr>
      </w:pPr>
      <w:r w:rsidRPr="0027166D">
        <w:rPr>
          <w:rFonts w:ascii="IBM Plex Sans Light" w:hAnsi="IBM Plex Sans Light" w:cs="Arial"/>
          <w:bCs/>
          <w:szCs w:val="15"/>
        </w:rPr>
        <w:t>Basic EPS measures are calculated by dividing the earnings attributable to the equity shareholders of the Company by the weighted average number of shares outstanding during the year. Diluted EPS measures are calculated on the same basis as basic EPS but with a further adjustment to the weighted average number of shares outstanding to assume conversion of all potentially dilutive ordinary shares. Such potentially dilutive ordinary shares comprise share options and awards granted to colleagues where the exercise price is less than the average market price of the Company’s ordinary shares during the year and any unvested shares which have met, or are expected to meet, the performance conditions at the end of the year. To the extent that there is no dilution, this arises due to the anti-dilutive effect of all such shares.</w:t>
      </w:r>
    </w:p>
    <w:p w14:paraId="784B02BF" w14:textId="77777777" w:rsidR="0027166D" w:rsidRPr="0027166D" w:rsidRDefault="0027166D" w:rsidP="0027166D">
      <w:pPr>
        <w:spacing w:after="0" w:line="240" w:lineRule="auto"/>
        <w:ind w:right="-255"/>
        <w:rPr>
          <w:rFonts w:ascii="IBM Plex Sans Light" w:hAnsi="IBM Plex Sans Light" w:cs="Arial"/>
          <w:bCs/>
          <w:szCs w:val="15"/>
        </w:rPr>
      </w:pPr>
    </w:p>
    <w:p w14:paraId="1FCDDD91" w14:textId="70B55C49" w:rsidR="00903B2E" w:rsidRDefault="0027166D" w:rsidP="0027166D">
      <w:pPr>
        <w:spacing w:after="0" w:line="240" w:lineRule="auto"/>
        <w:ind w:right="-255"/>
        <w:rPr>
          <w:rFonts w:ascii="IBM Plex Sans Light" w:hAnsi="IBM Plex Sans Light" w:cs="Arial"/>
          <w:bCs/>
          <w:szCs w:val="15"/>
        </w:rPr>
      </w:pPr>
      <w:r w:rsidRPr="0027166D">
        <w:rPr>
          <w:rFonts w:ascii="IBM Plex Sans Light" w:hAnsi="IBM Plex Sans Light" w:cs="Arial"/>
          <w:bCs/>
          <w:szCs w:val="15"/>
        </w:rPr>
        <w:t>Net assets per share comprise net assets calculated in accordance with EPRA guidelines, as set out in note 9B, divided by the number of shares in issue.</w:t>
      </w:r>
    </w:p>
    <w:p w14:paraId="03EF2372" w14:textId="77777777" w:rsidR="0027166D" w:rsidRPr="00895810" w:rsidRDefault="0027166D" w:rsidP="0027166D">
      <w:pPr>
        <w:spacing w:after="0" w:line="240" w:lineRule="auto"/>
        <w:ind w:right="-255"/>
        <w:rPr>
          <w:rFonts w:ascii="IBM Plex Sans Light" w:hAnsi="IBM Plex Sans Light" w:cs="Arial"/>
          <w:bCs/>
          <w:szCs w:val="15"/>
        </w:rPr>
      </w:pPr>
    </w:p>
    <w:p w14:paraId="0C4674A9" w14:textId="2A46B325" w:rsidR="007D0C41" w:rsidRPr="00895810" w:rsidRDefault="007D0C41" w:rsidP="007D0C41">
      <w:pPr>
        <w:pStyle w:val="TableFiguresBold"/>
        <w:jc w:val="left"/>
        <w:rPr>
          <w:rFonts w:ascii="IBM Plex Sans Light" w:hAnsi="IBM Plex Sans Light" w:cs="Arial"/>
          <w:b w:val="0"/>
          <w:bCs w:val="0"/>
          <w:color w:val="auto"/>
          <w:szCs w:val="16"/>
        </w:rPr>
      </w:pPr>
      <w:r w:rsidRPr="00895810">
        <w:rPr>
          <w:rFonts w:ascii="IBM Plex Sans Light" w:hAnsi="IBM Plex Sans Light" w:cs="Arial"/>
          <w:color w:val="3D7FE0" w:themeColor="accent1"/>
          <w:sz w:val="18"/>
          <w:szCs w:val="16"/>
        </w:rPr>
        <w:t xml:space="preserve">A. </w:t>
      </w:r>
      <w:r w:rsidR="005F6D26" w:rsidRPr="00895810">
        <w:rPr>
          <w:rFonts w:ascii="IBM Plex Sans Light" w:hAnsi="IBM Plex Sans Light" w:cs="Arial"/>
          <w:color w:val="3D7FE0" w:themeColor="accent1"/>
          <w:sz w:val="18"/>
          <w:szCs w:val="16"/>
        </w:rPr>
        <w:t xml:space="preserve">NUMBER OF </w:t>
      </w:r>
      <w:r w:rsidR="005F6D26">
        <w:rPr>
          <w:rFonts w:ascii="IBM Plex Sans Light" w:hAnsi="IBM Plex Sans Light" w:cs="Arial"/>
          <w:color w:val="3D7FE0" w:themeColor="accent1"/>
          <w:sz w:val="18"/>
          <w:szCs w:val="16"/>
        </w:rPr>
        <w:t xml:space="preserve">ORDINARY </w:t>
      </w:r>
      <w:r w:rsidR="005F6D26" w:rsidRPr="00895810">
        <w:rPr>
          <w:rFonts w:ascii="IBM Plex Sans Light" w:hAnsi="IBM Plex Sans Light" w:cs="Arial"/>
          <w:color w:val="3D7FE0" w:themeColor="accent1"/>
          <w:sz w:val="18"/>
          <w:szCs w:val="16"/>
        </w:rPr>
        <w:t>SHARES FOR PER SHARE CALCULATIONS</w:t>
      </w:r>
    </w:p>
    <w:tbl>
      <w:tblPr>
        <w:tblW w:w="9921" w:type="dxa"/>
        <w:tblLayout w:type="fixed"/>
        <w:tblLook w:val="01E0" w:firstRow="1" w:lastRow="1" w:firstColumn="1" w:lastColumn="1" w:noHBand="0" w:noVBand="0"/>
      </w:tblPr>
      <w:tblGrid>
        <w:gridCol w:w="7230"/>
        <w:gridCol w:w="708"/>
        <w:gridCol w:w="993"/>
        <w:gridCol w:w="990"/>
      </w:tblGrid>
      <w:tr w:rsidR="008A1D52" w:rsidRPr="00895810" w14:paraId="38E1CD25" w14:textId="77777777" w:rsidTr="006304BD">
        <w:tc>
          <w:tcPr>
            <w:tcW w:w="7230" w:type="dxa"/>
            <w:tcMar>
              <w:left w:w="0" w:type="dxa"/>
              <w:right w:w="0" w:type="dxa"/>
            </w:tcMar>
            <w:vAlign w:val="bottom"/>
          </w:tcPr>
          <w:p w14:paraId="2E26A50B" w14:textId="77777777" w:rsidR="008A1D52" w:rsidRPr="00895810" w:rsidRDefault="008A1D52" w:rsidP="0063218B">
            <w:pPr>
              <w:pStyle w:val="TableColHeads"/>
              <w:rPr>
                <w:rFonts w:ascii="IBM Plex Sans Light" w:hAnsi="IBM Plex Sans Light"/>
              </w:rPr>
            </w:pPr>
          </w:p>
        </w:tc>
        <w:tc>
          <w:tcPr>
            <w:tcW w:w="708" w:type="dxa"/>
            <w:vAlign w:val="bottom"/>
          </w:tcPr>
          <w:p w14:paraId="54A7E298" w14:textId="3937D657" w:rsidR="008A1D52" w:rsidRPr="00895810" w:rsidRDefault="008A1D52" w:rsidP="006304BD">
            <w:pPr>
              <w:pStyle w:val="TableColHeads"/>
              <w:tabs>
                <w:tab w:val="clear" w:pos="284"/>
              </w:tabs>
              <w:ind w:left="31" w:hanging="31"/>
              <w:rPr>
                <w:rFonts w:ascii="IBM Plex Sans Light" w:hAnsi="IBM Plex Sans Light"/>
              </w:rPr>
            </w:pPr>
          </w:p>
        </w:tc>
        <w:tc>
          <w:tcPr>
            <w:tcW w:w="993" w:type="dxa"/>
            <w:tcMar>
              <w:left w:w="0" w:type="dxa"/>
              <w:right w:w="0" w:type="dxa"/>
            </w:tcMar>
            <w:vAlign w:val="bottom"/>
          </w:tcPr>
          <w:p w14:paraId="47ACC1CD" w14:textId="0B5ED6BB" w:rsidR="008A1D52" w:rsidRPr="00895810" w:rsidRDefault="00785AC2" w:rsidP="0063218B">
            <w:pPr>
              <w:pStyle w:val="TableColHeadsBold"/>
              <w:rPr>
                <w:rFonts w:ascii="IBM Plex Sans Light" w:hAnsi="IBM Plex Sans Light"/>
                <w:color w:val="3D7FE0" w:themeColor="accent1"/>
              </w:rPr>
            </w:pPr>
            <w:r>
              <w:rPr>
                <w:rFonts w:ascii="IBM Plex Sans Light" w:hAnsi="IBM Plex Sans Light"/>
                <w:color w:val="3D7FE0" w:themeColor="accent1"/>
              </w:rPr>
              <w:t>2023</w:t>
            </w:r>
            <w:r w:rsidR="008A1D52" w:rsidRPr="00895810">
              <w:rPr>
                <w:rFonts w:ascii="IBM Plex Sans Light" w:hAnsi="IBM Plex Sans Light"/>
                <w:color w:val="3D7FE0" w:themeColor="accent1"/>
              </w:rPr>
              <w:t xml:space="preserve"> </w:t>
            </w:r>
          </w:p>
        </w:tc>
        <w:tc>
          <w:tcPr>
            <w:tcW w:w="990" w:type="dxa"/>
            <w:tcMar>
              <w:left w:w="0" w:type="dxa"/>
              <w:right w:w="0" w:type="dxa"/>
            </w:tcMar>
            <w:vAlign w:val="bottom"/>
          </w:tcPr>
          <w:p w14:paraId="427FB8D0" w14:textId="1E7DD7F3" w:rsidR="008A1D52" w:rsidRPr="00895810" w:rsidRDefault="006E7EB0" w:rsidP="0063218B">
            <w:pPr>
              <w:pStyle w:val="TableColHeads"/>
              <w:rPr>
                <w:rFonts w:ascii="IBM Plex Sans Light" w:hAnsi="IBM Plex Sans Light"/>
              </w:rPr>
            </w:pPr>
            <w:r>
              <w:rPr>
                <w:rFonts w:ascii="IBM Plex Sans Light" w:hAnsi="IBM Plex Sans Light"/>
              </w:rPr>
              <w:t>2022</w:t>
            </w:r>
            <w:r w:rsidR="008A1D52" w:rsidRPr="00895810">
              <w:rPr>
                <w:rFonts w:ascii="IBM Plex Sans Light" w:hAnsi="IBM Plex Sans Light"/>
              </w:rPr>
              <w:t xml:space="preserve"> </w:t>
            </w:r>
          </w:p>
        </w:tc>
      </w:tr>
      <w:tr w:rsidR="008A1D52" w:rsidRPr="00895810" w14:paraId="2963BA9C" w14:textId="77777777" w:rsidTr="006304BD">
        <w:tc>
          <w:tcPr>
            <w:tcW w:w="7230" w:type="dxa"/>
            <w:tcBorders>
              <w:bottom w:val="single" w:sz="2" w:space="0" w:color="3D7FE0" w:themeColor="accent1"/>
            </w:tcBorders>
            <w:tcMar>
              <w:left w:w="0" w:type="dxa"/>
              <w:bottom w:w="28" w:type="dxa"/>
              <w:right w:w="0" w:type="dxa"/>
            </w:tcMar>
            <w:vAlign w:val="bottom"/>
          </w:tcPr>
          <w:p w14:paraId="7856E90F" w14:textId="77777777" w:rsidR="008A1D52" w:rsidRPr="00895810" w:rsidRDefault="008A1D52" w:rsidP="0063218B">
            <w:pPr>
              <w:pStyle w:val="TableColHeads"/>
              <w:rPr>
                <w:rFonts w:ascii="IBM Plex Sans Light" w:hAnsi="IBM Plex Sans Light"/>
              </w:rPr>
            </w:pPr>
          </w:p>
        </w:tc>
        <w:tc>
          <w:tcPr>
            <w:tcW w:w="708" w:type="dxa"/>
            <w:tcBorders>
              <w:bottom w:val="single" w:sz="2" w:space="0" w:color="3D7FE0" w:themeColor="accent1"/>
            </w:tcBorders>
            <w:vAlign w:val="bottom"/>
          </w:tcPr>
          <w:p w14:paraId="4987C627" w14:textId="4FAE9A01" w:rsidR="008A1D52" w:rsidRPr="00895810" w:rsidRDefault="008A1D52" w:rsidP="006304BD">
            <w:pPr>
              <w:pStyle w:val="TableColHeads"/>
              <w:tabs>
                <w:tab w:val="clear" w:pos="284"/>
              </w:tabs>
              <w:ind w:left="31" w:hanging="31"/>
              <w:rPr>
                <w:rFonts w:ascii="IBM Plex Sans Light" w:hAnsi="IBM Plex Sans Light"/>
              </w:rPr>
            </w:pPr>
          </w:p>
        </w:tc>
        <w:tc>
          <w:tcPr>
            <w:tcW w:w="993" w:type="dxa"/>
            <w:tcBorders>
              <w:bottom w:val="single" w:sz="2" w:space="0" w:color="3D7FE0" w:themeColor="accent1"/>
            </w:tcBorders>
            <w:tcMar>
              <w:left w:w="0" w:type="dxa"/>
              <w:bottom w:w="28" w:type="dxa"/>
              <w:right w:w="0" w:type="dxa"/>
            </w:tcMar>
            <w:vAlign w:val="bottom"/>
          </w:tcPr>
          <w:p w14:paraId="78C9AB78" w14:textId="4D11AE12" w:rsidR="008A1D52" w:rsidRPr="00895810" w:rsidRDefault="008A1D52"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million </w:t>
            </w:r>
          </w:p>
        </w:tc>
        <w:tc>
          <w:tcPr>
            <w:tcW w:w="990" w:type="dxa"/>
            <w:tcBorders>
              <w:bottom w:val="single" w:sz="2" w:space="0" w:color="3D7FE0" w:themeColor="accent1"/>
            </w:tcBorders>
            <w:tcMar>
              <w:left w:w="0" w:type="dxa"/>
              <w:bottom w:w="28" w:type="dxa"/>
              <w:right w:w="0" w:type="dxa"/>
            </w:tcMar>
            <w:vAlign w:val="bottom"/>
          </w:tcPr>
          <w:p w14:paraId="5AD7F1CA" w14:textId="74CCF3D8" w:rsidR="008A1D52" w:rsidRPr="00895810" w:rsidRDefault="008A1D52" w:rsidP="0063218B">
            <w:pPr>
              <w:pStyle w:val="TableColHeads"/>
              <w:rPr>
                <w:rFonts w:ascii="IBM Plex Sans Light" w:hAnsi="IBM Plex Sans Light"/>
              </w:rPr>
            </w:pPr>
            <w:r w:rsidRPr="00895810">
              <w:rPr>
                <w:rFonts w:ascii="IBM Plex Sans Light" w:hAnsi="IBM Plex Sans Light"/>
              </w:rPr>
              <w:t xml:space="preserve">million </w:t>
            </w:r>
          </w:p>
        </w:tc>
      </w:tr>
      <w:tr w:rsidR="008A1D52" w:rsidRPr="00895810" w14:paraId="63A93887" w14:textId="77777777" w:rsidTr="00363F8A">
        <w:tc>
          <w:tcPr>
            <w:tcW w:w="7230" w:type="dxa"/>
            <w:tcBorders>
              <w:top w:val="single" w:sz="2" w:space="0" w:color="3D7FE0" w:themeColor="accent1"/>
              <w:bottom w:val="single" w:sz="8" w:space="0" w:color="3D7FE0" w:themeColor="accent1"/>
            </w:tcBorders>
            <w:tcMar>
              <w:left w:w="0" w:type="dxa"/>
              <w:right w:w="0" w:type="dxa"/>
            </w:tcMar>
            <w:vAlign w:val="bottom"/>
          </w:tcPr>
          <w:p w14:paraId="3B79EE0F" w14:textId="3EA11554" w:rsidR="008A1D52" w:rsidRPr="00895810" w:rsidRDefault="008A1D52" w:rsidP="00363F8A">
            <w:pPr>
              <w:spacing w:after="0" w:line="240" w:lineRule="auto"/>
              <w:rPr>
                <w:rFonts w:ascii="IBM Plex Sans Light" w:hAnsi="IBM Plex Sans Light"/>
                <w:szCs w:val="20"/>
              </w:rPr>
            </w:pPr>
            <w:r w:rsidRPr="00895810">
              <w:rPr>
                <w:rFonts w:ascii="IBM Plex Sans Light" w:hAnsi="IBM Plex Sans Light"/>
                <w:b/>
                <w:bCs/>
                <w:color w:val="3D7FE0" w:themeColor="accent1"/>
              </w:rPr>
              <w:t xml:space="preserve">Shares in issue (for </w:t>
            </w:r>
            <w:r w:rsidR="0027166D">
              <w:rPr>
                <w:rFonts w:ascii="IBM Plex Sans Light" w:hAnsi="IBM Plex Sans Light"/>
                <w:b/>
                <w:bCs/>
                <w:color w:val="3D7FE0" w:themeColor="accent1"/>
              </w:rPr>
              <w:t xml:space="preserve">purposes of </w:t>
            </w:r>
            <w:r w:rsidRPr="00895810">
              <w:rPr>
                <w:rFonts w:ascii="IBM Plex Sans Light" w:hAnsi="IBM Plex Sans Light"/>
                <w:b/>
                <w:bCs/>
                <w:color w:val="3D7FE0" w:themeColor="accent1"/>
              </w:rPr>
              <w:t>net asset per share calculations)</w:t>
            </w:r>
          </w:p>
        </w:tc>
        <w:tc>
          <w:tcPr>
            <w:tcW w:w="708" w:type="dxa"/>
            <w:tcBorders>
              <w:top w:val="single" w:sz="2" w:space="0" w:color="3D7FE0" w:themeColor="accent1"/>
              <w:bottom w:val="single" w:sz="8" w:space="0" w:color="3D7FE0" w:themeColor="accent1"/>
            </w:tcBorders>
          </w:tcPr>
          <w:p w14:paraId="125F1937" w14:textId="3D59DCD7" w:rsidR="008A1D52" w:rsidRPr="00895810" w:rsidRDefault="008A1D52" w:rsidP="006304BD">
            <w:pPr>
              <w:spacing w:after="0" w:line="240" w:lineRule="auto"/>
              <w:ind w:left="31" w:hanging="31"/>
              <w:jc w:val="right"/>
              <w:rPr>
                <w:rFonts w:ascii="IBM Plex Sans Light" w:hAnsi="IBM Plex Sans Light"/>
                <w:szCs w:val="20"/>
              </w:rPr>
            </w:pPr>
          </w:p>
        </w:tc>
        <w:tc>
          <w:tcPr>
            <w:tcW w:w="993" w:type="dxa"/>
            <w:tcBorders>
              <w:top w:val="single" w:sz="2" w:space="0" w:color="3D7FE0" w:themeColor="accent1"/>
              <w:bottom w:val="single" w:sz="8" w:space="0" w:color="3D7FE0" w:themeColor="accent1"/>
            </w:tcBorders>
            <w:tcMar>
              <w:left w:w="0" w:type="dxa"/>
              <w:right w:w="0" w:type="dxa"/>
            </w:tcMar>
            <w:vAlign w:val="bottom"/>
          </w:tcPr>
          <w:p w14:paraId="65570242" w14:textId="58BC6150" w:rsidR="008A1D52" w:rsidRPr="00895810" w:rsidRDefault="0027166D" w:rsidP="00E62A0E">
            <w:pPr>
              <w:pStyle w:val="TableFigures"/>
              <w:rPr>
                <w:rFonts w:ascii="IBM Plex Sans Light" w:hAnsi="IBM Plex Sans Light"/>
                <w:b/>
                <w:color w:val="3D7FE0" w:themeColor="accent1"/>
                <w:spacing w:val="-4"/>
                <w:sz w:val="18"/>
                <w:szCs w:val="18"/>
              </w:rPr>
            </w:pPr>
            <w:r>
              <w:rPr>
                <w:rFonts w:ascii="IBM Plex Sans Light" w:hAnsi="IBM Plex Sans Light"/>
                <w:b/>
                <w:color w:val="3D7FE0" w:themeColor="accent1"/>
                <w:spacing w:val="-4"/>
                <w:sz w:val="18"/>
                <w:szCs w:val="18"/>
              </w:rPr>
              <w:t>5,002.3</w:t>
            </w:r>
          </w:p>
        </w:tc>
        <w:tc>
          <w:tcPr>
            <w:tcW w:w="990" w:type="dxa"/>
            <w:tcBorders>
              <w:top w:val="single" w:sz="2" w:space="0" w:color="3D7FE0" w:themeColor="accent1"/>
              <w:bottom w:val="single" w:sz="8" w:space="0" w:color="3D7FE0" w:themeColor="accent1"/>
            </w:tcBorders>
            <w:tcMar>
              <w:left w:w="0" w:type="dxa"/>
              <w:right w:w="0" w:type="dxa"/>
            </w:tcMar>
            <w:vAlign w:val="bottom"/>
          </w:tcPr>
          <w:p w14:paraId="21D0D5DD" w14:textId="7525862F" w:rsidR="008A1D52" w:rsidRPr="00895810" w:rsidRDefault="00A3658B" w:rsidP="00320E55">
            <w:pPr>
              <w:pStyle w:val="TableFigures"/>
              <w:rPr>
                <w:rFonts w:ascii="IBM Plex Sans Light" w:hAnsi="IBM Plex Sans Light"/>
                <w:bCs/>
                <w:color w:val="auto"/>
                <w:spacing w:val="-4"/>
                <w:sz w:val="18"/>
              </w:rPr>
            </w:pPr>
            <w:r>
              <w:rPr>
                <w:rFonts w:ascii="IBM Plex Sans Light" w:hAnsi="IBM Plex Sans Light"/>
                <w:bCs/>
                <w:color w:val="auto"/>
                <w:spacing w:val="-4"/>
                <w:sz w:val="18"/>
              </w:rPr>
              <w:t>5,002.3</w:t>
            </w:r>
          </w:p>
        </w:tc>
      </w:tr>
      <w:tr w:rsidR="008A1D52" w:rsidRPr="00895810" w14:paraId="68DB2ACF" w14:textId="77777777" w:rsidTr="00363F8A">
        <w:tc>
          <w:tcPr>
            <w:tcW w:w="7230" w:type="dxa"/>
            <w:tcMar>
              <w:left w:w="0" w:type="dxa"/>
              <w:right w:w="0" w:type="dxa"/>
            </w:tcMar>
            <w:vAlign w:val="bottom"/>
          </w:tcPr>
          <w:p w14:paraId="5453C649" w14:textId="77777777" w:rsidR="008A1D52" w:rsidRPr="00895810" w:rsidRDefault="008A1D52" w:rsidP="00363F8A">
            <w:pPr>
              <w:pStyle w:val="TableColHeads"/>
              <w:jc w:val="left"/>
              <w:rPr>
                <w:rFonts w:ascii="IBM Plex Sans Light" w:hAnsi="IBM Plex Sans Light"/>
              </w:rPr>
            </w:pPr>
          </w:p>
        </w:tc>
        <w:tc>
          <w:tcPr>
            <w:tcW w:w="708" w:type="dxa"/>
            <w:vAlign w:val="bottom"/>
          </w:tcPr>
          <w:p w14:paraId="2CEAB211" w14:textId="77777777" w:rsidR="008A1D52" w:rsidRPr="00895810" w:rsidRDefault="008A1D52" w:rsidP="006304BD">
            <w:pPr>
              <w:pStyle w:val="TableColHeads"/>
              <w:tabs>
                <w:tab w:val="clear" w:pos="284"/>
              </w:tabs>
              <w:ind w:left="31" w:hanging="31"/>
              <w:rPr>
                <w:rFonts w:ascii="IBM Plex Sans Light" w:hAnsi="IBM Plex Sans Light"/>
              </w:rPr>
            </w:pPr>
          </w:p>
        </w:tc>
        <w:tc>
          <w:tcPr>
            <w:tcW w:w="993" w:type="dxa"/>
            <w:tcMar>
              <w:left w:w="0" w:type="dxa"/>
              <w:right w:w="0" w:type="dxa"/>
            </w:tcMar>
            <w:vAlign w:val="bottom"/>
          </w:tcPr>
          <w:p w14:paraId="42BDFDF5" w14:textId="77777777" w:rsidR="008A1D52" w:rsidRPr="00895810" w:rsidRDefault="008A1D52" w:rsidP="00943B9C">
            <w:pPr>
              <w:pStyle w:val="TableColHeadsBold"/>
              <w:rPr>
                <w:rFonts w:ascii="IBM Plex Sans Light" w:hAnsi="IBM Plex Sans Light"/>
                <w:color w:val="3D7FE0" w:themeColor="accent1"/>
              </w:rPr>
            </w:pPr>
          </w:p>
        </w:tc>
        <w:tc>
          <w:tcPr>
            <w:tcW w:w="990" w:type="dxa"/>
            <w:tcMar>
              <w:left w:w="0" w:type="dxa"/>
              <w:right w:w="0" w:type="dxa"/>
            </w:tcMar>
            <w:vAlign w:val="bottom"/>
          </w:tcPr>
          <w:p w14:paraId="4594645D" w14:textId="77777777" w:rsidR="008A1D52" w:rsidRPr="00895810" w:rsidRDefault="008A1D52" w:rsidP="00943B9C">
            <w:pPr>
              <w:pStyle w:val="TableColHeads"/>
              <w:rPr>
                <w:rFonts w:ascii="IBM Plex Sans Light" w:hAnsi="IBM Plex Sans Light"/>
              </w:rPr>
            </w:pPr>
          </w:p>
        </w:tc>
      </w:tr>
      <w:tr w:rsidR="008A1D52" w:rsidRPr="00895810" w14:paraId="2D6BC58D" w14:textId="77777777" w:rsidTr="00363F8A">
        <w:tc>
          <w:tcPr>
            <w:tcW w:w="7230" w:type="dxa"/>
            <w:tcMar>
              <w:left w:w="0" w:type="dxa"/>
              <w:right w:w="0" w:type="dxa"/>
            </w:tcMar>
            <w:vAlign w:val="bottom"/>
          </w:tcPr>
          <w:p w14:paraId="09953FF8" w14:textId="77777777" w:rsidR="008A1D52" w:rsidRPr="00895810" w:rsidRDefault="008A1D52" w:rsidP="00363F8A">
            <w:pPr>
              <w:pStyle w:val="TableColHeads"/>
              <w:jc w:val="left"/>
              <w:rPr>
                <w:rFonts w:ascii="IBM Plex Sans Light" w:hAnsi="IBM Plex Sans Light"/>
              </w:rPr>
            </w:pPr>
          </w:p>
        </w:tc>
        <w:tc>
          <w:tcPr>
            <w:tcW w:w="708" w:type="dxa"/>
            <w:vAlign w:val="bottom"/>
          </w:tcPr>
          <w:p w14:paraId="3DC3C2AB" w14:textId="77777777" w:rsidR="008A1D52" w:rsidRPr="00895810" w:rsidRDefault="008A1D52" w:rsidP="006304BD">
            <w:pPr>
              <w:pStyle w:val="TableColHeads"/>
              <w:tabs>
                <w:tab w:val="clear" w:pos="284"/>
              </w:tabs>
              <w:ind w:left="31" w:hanging="31"/>
              <w:rPr>
                <w:rFonts w:ascii="IBM Plex Sans Light" w:hAnsi="IBM Plex Sans Light"/>
              </w:rPr>
            </w:pPr>
          </w:p>
        </w:tc>
        <w:tc>
          <w:tcPr>
            <w:tcW w:w="993" w:type="dxa"/>
            <w:tcMar>
              <w:left w:w="0" w:type="dxa"/>
              <w:right w:w="0" w:type="dxa"/>
            </w:tcMar>
            <w:vAlign w:val="bottom"/>
          </w:tcPr>
          <w:p w14:paraId="70541E71" w14:textId="093DAD70" w:rsidR="008A1D52" w:rsidRPr="00895810" w:rsidRDefault="008A1D52" w:rsidP="00943B9C">
            <w:pPr>
              <w:pStyle w:val="TableColHeadsBold"/>
              <w:rPr>
                <w:rFonts w:ascii="IBM Plex Sans Light" w:hAnsi="IBM Plex Sans Light"/>
                <w:color w:val="3D7FE0" w:themeColor="accent1"/>
              </w:rPr>
            </w:pPr>
          </w:p>
        </w:tc>
        <w:tc>
          <w:tcPr>
            <w:tcW w:w="990" w:type="dxa"/>
            <w:tcMar>
              <w:left w:w="0" w:type="dxa"/>
              <w:right w:w="0" w:type="dxa"/>
            </w:tcMar>
            <w:vAlign w:val="bottom"/>
          </w:tcPr>
          <w:p w14:paraId="1476D23A" w14:textId="2EF85E12" w:rsidR="008A1D52" w:rsidRPr="00895810" w:rsidRDefault="008A1D52" w:rsidP="00943B9C">
            <w:pPr>
              <w:pStyle w:val="TableColHeads"/>
              <w:rPr>
                <w:rFonts w:ascii="IBM Plex Sans Light" w:hAnsi="IBM Plex Sans Light"/>
              </w:rPr>
            </w:pPr>
          </w:p>
        </w:tc>
      </w:tr>
      <w:tr w:rsidR="0027166D" w:rsidRPr="00895810" w14:paraId="348592BE" w14:textId="77777777" w:rsidTr="00363F8A">
        <w:tc>
          <w:tcPr>
            <w:tcW w:w="7230" w:type="dxa"/>
            <w:tcBorders>
              <w:top w:val="single" w:sz="2" w:space="0" w:color="3D7FE0" w:themeColor="accent1"/>
            </w:tcBorders>
            <w:tcMar>
              <w:left w:w="0" w:type="dxa"/>
              <w:right w:w="0" w:type="dxa"/>
            </w:tcMar>
            <w:vAlign w:val="bottom"/>
          </w:tcPr>
          <w:p w14:paraId="7DF78F00" w14:textId="08F3660D" w:rsidR="0027166D" w:rsidRPr="0027166D" w:rsidRDefault="0027166D" w:rsidP="00363F8A">
            <w:pPr>
              <w:spacing w:after="0" w:line="240" w:lineRule="auto"/>
              <w:rPr>
                <w:rFonts w:ascii="IBM Plex Sans Light" w:hAnsi="IBM Plex Sans Light"/>
                <w:b/>
                <w:bCs/>
                <w:color w:val="3D7FE0" w:themeColor="accent1"/>
              </w:rPr>
            </w:pPr>
            <w:r w:rsidRPr="0027166D">
              <w:rPr>
                <w:rFonts w:ascii="IBM Plex Sans Light" w:hAnsi="IBM Plex Sans Light"/>
                <w:b/>
                <w:bCs/>
                <w:color w:val="3D7FE0" w:themeColor="accent1"/>
              </w:rPr>
              <w:t>Weighted average number of shares</w:t>
            </w:r>
            <w:r w:rsidR="0084584E">
              <w:rPr>
                <w:rFonts w:ascii="IBM Plex Sans Light" w:hAnsi="IBM Plex Sans Light"/>
                <w:b/>
                <w:bCs/>
                <w:color w:val="3D7FE0" w:themeColor="accent1"/>
              </w:rPr>
              <w:t>:</w:t>
            </w:r>
          </w:p>
        </w:tc>
        <w:tc>
          <w:tcPr>
            <w:tcW w:w="708" w:type="dxa"/>
            <w:tcBorders>
              <w:top w:val="single" w:sz="2" w:space="0" w:color="3D7FE0" w:themeColor="accent1"/>
            </w:tcBorders>
          </w:tcPr>
          <w:p w14:paraId="5BDBE454" w14:textId="78AA8DC6" w:rsidR="0027166D" w:rsidRPr="00895810" w:rsidRDefault="0027166D" w:rsidP="0027166D">
            <w:pPr>
              <w:pStyle w:val="Tabletext"/>
              <w:ind w:left="31" w:hanging="31"/>
              <w:jc w:val="right"/>
              <w:rPr>
                <w:rFonts w:ascii="IBM Plex Sans Light" w:hAnsi="IBM Plex Sans Light"/>
                <w:spacing w:val="-4"/>
                <w:szCs w:val="16"/>
              </w:rPr>
            </w:pPr>
          </w:p>
        </w:tc>
        <w:tc>
          <w:tcPr>
            <w:tcW w:w="993" w:type="dxa"/>
            <w:tcBorders>
              <w:top w:val="single" w:sz="2" w:space="0" w:color="3D7FE0" w:themeColor="accent1"/>
            </w:tcBorders>
            <w:tcMar>
              <w:left w:w="0" w:type="dxa"/>
              <w:right w:w="0" w:type="dxa"/>
            </w:tcMar>
            <w:vAlign w:val="bottom"/>
          </w:tcPr>
          <w:p w14:paraId="1DD353A4" w14:textId="522A4781" w:rsidR="0027166D" w:rsidRPr="00895810" w:rsidRDefault="0027166D" w:rsidP="0027166D">
            <w:pPr>
              <w:pStyle w:val="TableFigures"/>
              <w:rPr>
                <w:rFonts w:ascii="IBM Plex Sans Light" w:hAnsi="IBM Plex Sans Light"/>
                <w:b/>
                <w:color w:val="3D7FE0" w:themeColor="accent1"/>
                <w:spacing w:val="-4"/>
                <w:sz w:val="18"/>
                <w:szCs w:val="18"/>
              </w:rPr>
            </w:pPr>
          </w:p>
        </w:tc>
        <w:tc>
          <w:tcPr>
            <w:tcW w:w="990" w:type="dxa"/>
            <w:tcBorders>
              <w:top w:val="single" w:sz="2" w:space="0" w:color="3D7FE0" w:themeColor="accent1"/>
            </w:tcBorders>
            <w:tcMar>
              <w:left w:w="0" w:type="dxa"/>
              <w:right w:w="0" w:type="dxa"/>
            </w:tcMar>
            <w:vAlign w:val="bottom"/>
          </w:tcPr>
          <w:p w14:paraId="612DC904" w14:textId="420DE86E" w:rsidR="0027166D" w:rsidRPr="00895810" w:rsidRDefault="0027166D" w:rsidP="0027166D">
            <w:pPr>
              <w:pStyle w:val="TableFigures"/>
              <w:rPr>
                <w:rFonts w:ascii="IBM Plex Sans Light" w:hAnsi="IBM Plex Sans Light" w:cs="MyriadPro-Light"/>
                <w:color w:val="auto"/>
                <w:spacing w:val="-4"/>
                <w:sz w:val="18"/>
                <w:szCs w:val="18"/>
              </w:rPr>
            </w:pPr>
          </w:p>
        </w:tc>
      </w:tr>
      <w:tr w:rsidR="00363F8A" w:rsidRPr="00895810" w14:paraId="4D18A3C3" w14:textId="77777777" w:rsidTr="00B15B57">
        <w:tc>
          <w:tcPr>
            <w:tcW w:w="7230" w:type="dxa"/>
            <w:tcMar>
              <w:left w:w="0" w:type="dxa"/>
              <w:right w:w="0" w:type="dxa"/>
            </w:tcMar>
            <w:vAlign w:val="bottom"/>
          </w:tcPr>
          <w:p w14:paraId="4A4A56E7" w14:textId="1EBE7A98" w:rsidR="00363F8A" w:rsidRPr="0027166D" w:rsidRDefault="00363F8A" w:rsidP="00363F8A">
            <w:pPr>
              <w:spacing w:after="0" w:line="240" w:lineRule="auto"/>
              <w:rPr>
                <w:rFonts w:ascii="IBM Plex Sans Light" w:hAnsi="IBM Plex Sans Light"/>
                <w:b/>
                <w:bCs/>
                <w:color w:val="3D7FE0" w:themeColor="accent1"/>
              </w:rPr>
            </w:pPr>
            <w:r w:rsidRPr="0027166D">
              <w:rPr>
                <w:rFonts w:ascii="IBM Plex Sans Light" w:hAnsi="IBM Plex Sans Light"/>
                <w:b/>
                <w:bCs/>
                <w:color w:val="3D7FE0" w:themeColor="accent1"/>
              </w:rPr>
              <w:t>For purposes of basic EPS</w:t>
            </w:r>
          </w:p>
        </w:tc>
        <w:tc>
          <w:tcPr>
            <w:tcW w:w="708" w:type="dxa"/>
          </w:tcPr>
          <w:p w14:paraId="20F4BFE0" w14:textId="77777777" w:rsidR="00363F8A" w:rsidRPr="00895810" w:rsidRDefault="00363F8A" w:rsidP="00363F8A">
            <w:pPr>
              <w:pStyle w:val="Tabletext"/>
              <w:ind w:left="31" w:hanging="31"/>
              <w:jc w:val="right"/>
              <w:rPr>
                <w:rFonts w:ascii="IBM Plex Sans Light" w:hAnsi="IBM Plex Sans Light"/>
                <w:szCs w:val="16"/>
              </w:rPr>
            </w:pPr>
          </w:p>
        </w:tc>
        <w:tc>
          <w:tcPr>
            <w:tcW w:w="993" w:type="dxa"/>
            <w:tcMar>
              <w:left w:w="0" w:type="dxa"/>
              <w:right w:w="0" w:type="dxa"/>
            </w:tcMar>
          </w:tcPr>
          <w:p w14:paraId="6871B3B0" w14:textId="54105C07" w:rsidR="00363F8A" w:rsidRPr="00895810" w:rsidRDefault="00363F8A" w:rsidP="00363F8A">
            <w:pPr>
              <w:pStyle w:val="TableFigures"/>
              <w:rPr>
                <w:rFonts w:ascii="IBM Plex Sans Light" w:hAnsi="IBM Plex Sans Light"/>
                <w:b/>
                <w:color w:val="3D7FE0" w:themeColor="accent1"/>
                <w:spacing w:val="-4"/>
                <w:sz w:val="18"/>
                <w:szCs w:val="18"/>
              </w:rPr>
            </w:pPr>
            <w:r w:rsidRPr="00363F8A">
              <w:rPr>
                <w:rFonts w:ascii="IBM Plex Sans Light" w:hAnsi="IBM Plex Sans Light"/>
                <w:b/>
                <w:color w:val="3D7FE0" w:themeColor="accent1"/>
                <w:spacing w:val="-4"/>
                <w:sz w:val="18"/>
                <w:szCs w:val="18"/>
              </w:rPr>
              <w:t>4,971.4</w:t>
            </w:r>
          </w:p>
        </w:tc>
        <w:tc>
          <w:tcPr>
            <w:tcW w:w="990" w:type="dxa"/>
            <w:tcMar>
              <w:left w:w="0" w:type="dxa"/>
              <w:right w:w="0" w:type="dxa"/>
            </w:tcMar>
            <w:vAlign w:val="bottom"/>
          </w:tcPr>
          <w:p w14:paraId="6D07536E" w14:textId="36446384" w:rsidR="00363F8A" w:rsidRDefault="00363F8A" w:rsidP="00363F8A">
            <w:pPr>
              <w:pStyle w:val="TableFigures"/>
              <w:rPr>
                <w:rFonts w:ascii="IBM Plex Sans Light" w:hAnsi="IBM Plex Sans Light" w:cs="MyriadPro-Light"/>
                <w:color w:val="auto"/>
                <w:spacing w:val="-4"/>
                <w:sz w:val="18"/>
                <w:szCs w:val="18"/>
              </w:rPr>
            </w:pPr>
            <w:r>
              <w:rPr>
                <w:rFonts w:ascii="IBM Plex Sans Light" w:hAnsi="IBM Plex Sans Light"/>
                <w:bCs/>
                <w:color w:val="auto"/>
                <w:spacing w:val="-4"/>
                <w:sz w:val="18"/>
              </w:rPr>
              <w:t>4,938.9</w:t>
            </w:r>
          </w:p>
        </w:tc>
      </w:tr>
      <w:tr w:rsidR="00363F8A" w:rsidRPr="00895810" w14:paraId="53FD4047" w14:textId="77777777" w:rsidTr="00B15B57">
        <w:tc>
          <w:tcPr>
            <w:tcW w:w="7230" w:type="dxa"/>
            <w:tcMar>
              <w:left w:w="0" w:type="dxa"/>
              <w:right w:w="0" w:type="dxa"/>
            </w:tcMar>
            <w:vAlign w:val="bottom"/>
          </w:tcPr>
          <w:p w14:paraId="3D7812D6" w14:textId="08F9A9F9" w:rsidR="00363F8A" w:rsidRPr="0027166D" w:rsidRDefault="00363F8A" w:rsidP="00363F8A">
            <w:pPr>
              <w:pStyle w:val="Tabletext"/>
              <w:rPr>
                <w:rFonts w:ascii="IBM Plex Sans Light" w:hAnsi="IBM Plex Sans Light"/>
                <w:b/>
                <w:bCs/>
                <w:color w:val="3D7FE0" w:themeColor="accent1"/>
              </w:rPr>
            </w:pPr>
            <w:r w:rsidRPr="0027166D">
              <w:rPr>
                <w:rFonts w:ascii="IBM Plex Sans Light" w:hAnsi="IBM Plex Sans Light"/>
                <w:spacing w:val="-4"/>
                <w:sz w:val="18"/>
              </w:rPr>
              <w:t>Effect of potentially dilutive shares (share options)</w:t>
            </w:r>
            <w:r w:rsidRPr="0027166D">
              <w:rPr>
                <w:rFonts w:ascii="IBM Plex Sans Light" w:hAnsi="IBM Plex Sans Light"/>
                <w:b/>
                <w:bCs/>
                <w:color w:val="3D7FE0" w:themeColor="accent1"/>
              </w:rPr>
              <w:t xml:space="preserve"> </w:t>
            </w:r>
          </w:p>
        </w:tc>
        <w:tc>
          <w:tcPr>
            <w:tcW w:w="708" w:type="dxa"/>
          </w:tcPr>
          <w:p w14:paraId="5E28D810" w14:textId="6AF19100" w:rsidR="00363F8A" w:rsidRPr="00895810" w:rsidRDefault="00363F8A" w:rsidP="00363F8A">
            <w:pPr>
              <w:pStyle w:val="Tabletext"/>
              <w:ind w:left="31" w:hanging="31"/>
              <w:jc w:val="right"/>
              <w:rPr>
                <w:rFonts w:ascii="IBM Plex Sans Light" w:hAnsi="IBM Plex Sans Light"/>
                <w:szCs w:val="16"/>
              </w:rPr>
            </w:pPr>
          </w:p>
        </w:tc>
        <w:tc>
          <w:tcPr>
            <w:tcW w:w="993" w:type="dxa"/>
            <w:tcMar>
              <w:left w:w="0" w:type="dxa"/>
              <w:right w:w="0" w:type="dxa"/>
            </w:tcMar>
          </w:tcPr>
          <w:p w14:paraId="5FF5CBBB" w14:textId="12A762A5" w:rsidR="00363F8A" w:rsidRPr="00895810" w:rsidRDefault="00363F8A" w:rsidP="00363F8A">
            <w:pPr>
              <w:pStyle w:val="TableFigures"/>
              <w:rPr>
                <w:rFonts w:ascii="IBM Plex Sans Light" w:hAnsi="IBM Plex Sans Light"/>
                <w:b/>
                <w:color w:val="3D7FE0" w:themeColor="accent1"/>
                <w:spacing w:val="-4"/>
                <w:sz w:val="18"/>
                <w:szCs w:val="18"/>
              </w:rPr>
            </w:pPr>
            <w:r w:rsidRPr="00363F8A">
              <w:rPr>
                <w:rFonts w:ascii="IBM Plex Sans Light" w:hAnsi="IBM Plex Sans Light"/>
                <w:b/>
                <w:color w:val="3D7FE0" w:themeColor="accent1"/>
                <w:spacing w:val="-4"/>
                <w:sz w:val="18"/>
                <w:szCs w:val="18"/>
              </w:rPr>
              <w:t>10.6</w:t>
            </w:r>
          </w:p>
        </w:tc>
        <w:tc>
          <w:tcPr>
            <w:tcW w:w="990" w:type="dxa"/>
            <w:tcMar>
              <w:left w:w="0" w:type="dxa"/>
              <w:right w:w="0" w:type="dxa"/>
            </w:tcMar>
            <w:vAlign w:val="bottom"/>
          </w:tcPr>
          <w:p w14:paraId="50A7E4B1" w14:textId="46E0B021" w:rsidR="00363F8A" w:rsidRPr="00895810" w:rsidRDefault="00363F8A" w:rsidP="00363F8A">
            <w:pPr>
              <w:pStyle w:val="TableFigures"/>
              <w:rPr>
                <w:rFonts w:ascii="IBM Plex Sans Light" w:hAnsi="IBM Plex Sans Light"/>
                <w:bCs/>
                <w:color w:val="auto"/>
                <w:spacing w:val="-4"/>
                <w:sz w:val="18"/>
              </w:rPr>
            </w:pPr>
            <w:r>
              <w:rPr>
                <w:rFonts w:ascii="IBM Plex Sans Light" w:hAnsi="IBM Plex Sans Light" w:cs="MyriadPro-Light"/>
                <w:color w:val="auto"/>
                <w:spacing w:val="-4"/>
                <w:sz w:val="18"/>
                <w:szCs w:val="18"/>
              </w:rPr>
              <w:t>10.3</w:t>
            </w:r>
          </w:p>
        </w:tc>
      </w:tr>
      <w:tr w:rsidR="00363F8A" w:rsidRPr="00895810" w14:paraId="763E012C" w14:textId="77777777" w:rsidTr="00B15B57">
        <w:tc>
          <w:tcPr>
            <w:tcW w:w="7230" w:type="dxa"/>
            <w:tcBorders>
              <w:top w:val="single" w:sz="2" w:space="0" w:color="3D7FE0" w:themeColor="accent1"/>
              <w:bottom w:val="single" w:sz="8" w:space="0" w:color="3D7FE0" w:themeColor="accent1"/>
            </w:tcBorders>
            <w:tcMar>
              <w:left w:w="0" w:type="dxa"/>
              <w:right w:w="0" w:type="dxa"/>
            </w:tcMar>
            <w:vAlign w:val="bottom"/>
          </w:tcPr>
          <w:p w14:paraId="5C996CD8" w14:textId="5C8476E9" w:rsidR="00363F8A" w:rsidRPr="0027166D" w:rsidRDefault="00363F8A" w:rsidP="00363F8A">
            <w:pPr>
              <w:spacing w:after="0" w:line="240" w:lineRule="auto"/>
              <w:rPr>
                <w:rFonts w:ascii="IBM Plex Sans Light" w:hAnsi="IBM Plex Sans Light"/>
                <w:b/>
                <w:bCs/>
                <w:color w:val="3D7FE0" w:themeColor="accent1"/>
              </w:rPr>
            </w:pPr>
            <w:r w:rsidRPr="0027166D">
              <w:rPr>
                <w:rFonts w:ascii="IBM Plex Sans Light" w:hAnsi="IBM Plex Sans Light"/>
                <w:b/>
                <w:bCs/>
                <w:color w:val="3D7FE0" w:themeColor="accent1"/>
              </w:rPr>
              <w:t>For purposes of diluted EPS (excluding Reported Group)</w:t>
            </w:r>
          </w:p>
        </w:tc>
        <w:tc>
          <w:tcPr>
            <w:tcW w:w="708" w:type="dxa"/>
            <w:tcBorders>
              <w:top w:val="single" w:sz="2" w:space="0" w:color="3D7FE0" w:themeColor="accent1"/>
              <w:bottom w:val="single" w:sz="8" w:space="0" w:color="3D7FE0" w:themeColor="accent1"/>
            </w:tcBorders>
          </w:tcPr>
          <w:p w14:paraId="3597C5CD" w14:textId="37FC1409" w:rsidR="00363F8A" w:rsidRPr="00895810" w:rsidRDefault="00363F8A" w:rsidP="00363F8A">
            <w:pPr>
              <w:spacing w:after="0" w:line="240" w:lineRule="auto"/>
              <w:ind w:left="31" w:hanging="31"/>
              <w:jc w:val="right"/>
              <w:rPr>
                <w:rFonts w:ascii="IBM Plex Sans Light" w:hAnsi="IBM Plex Sans Light"/>
                <w:color w:val="3D7FE0" w:themeColor="accent1"/>
              </w:rPr>
            </w:pPr>
          </w:p>
        </w:tc>
        <w:tc>
          <w:tcPr>
            <w:tcW w:w="993" w:type="dxa"/>
            <w:tcBorders>
              <w:top w:val="single" w:sz="2" w:space="0" w:color="3D7FE0" w:themeColor="accent1"/>
              <w:bottom w:val="single" w:sz="8" w:space="0" w:color="3D7FE0" w:themeColor="accent1"/>
            </w:tcBorders>
            <w:tcMar>
              <w:left w:w="0" w:type="dxa"/>
              <w:right w:w="0" w:type="dxa"/>
            </w:tcMar>
          </w:tcPr>
          <w:p w14:paraId="1A8C136E" w14:textId="3A800F36" w:rsidR="00363F8A" w:rsidRPr="00363F8A" w:rsidRDefault="00363F8A" w:rsidP="00363F8A">
            <w:pPr>
              <w:pStyle w:val="TableFigures"/>
              <w:rPr>
                <w:rFonts w:ascii="IBM Plex Sans Light" w:hAnsi="IBM Plex Sans Light"/>
                <w:b/>
                <w:color w:val="3D7FE0" w:themeColor="accent1"/>
                <w:spacing w:val="-4"/>
                <w:sz w:val="18"/>
                <w:szCs w:val="18"/>
              </w:rPr>
            </w:pPr>
            <w:r w:rsidRPr="00363F8A">
              <w:rPr>
                <w:rFonts w:ascii="IBM Plex Sans Light" w:hAnsi="IBM Plex Sans Light"/>
                <w:b/>
                <w:color w:val="3D7FE0" w:themeColor="accent1"/>
                <w:spacing w:val="-4"/>
                <w:sz w:val="18"/>
                <w:szCs w:val="18"/>
              </w:rPr>
              <w:t>4,982.0</w:t>
            </w:r>
          </w:p>
        </w:tc>
        <w:tc>
          <w:tcPr>
            <w:tcW w:w="990" w:type="dxa"/>
            <w:tcBorders>
              <w:top w:val="single" w:sz="2" w:space="0" w:color="3D7FE0" w:themeColor="accent1"/>
              <w:bottom w:val="single" w:sz="8" w:space="0" w:color="3D7FE0" w:themeColor="accent1"/>
            </w:tcBorders>
            <w:tcMar>
              <w:left w:w="0" w:type="dxa"/>
              <w:right w:w="0" w:type="dxa"/>
            </w:tcMar>
            <w:vAlign w:val="bottom"/>
          </w:tcPr>
          <w:p w14:paraId="3A4EA5DE" w14:textId="0A0E7262" w:rsidR="00363F8A" w:rsidRPr="00895810" w:rsidRDefault="00363F8A" w:rsidP="00363F8A">
            <w:pPr>
              <w:pStyle w:val="TableFigures"/>
              <w:rPr>
                <w:rFonts w:ascii="IBM Plex Sans Light" w:hAnsi="IBM Plex Sans Light"/>
                <w:bCs/>
                <w:color w:val="auto"/>
                <w:spacing w:val="-4"/>
                <w:sz w:val="18"/>
              </w:rPr>
            </w:pPr>
            <w:r>
              <w:rPr>
                <w:rFonts w:ascii="IBM Plex Sans Light" w:hAnsi="IBM Plex Sans Light"/>
                <w:bCs/>
                <w:color w:val="auto"/>
                <w:spacing w:val="-4"/>
                <w:sz w:val="18"/>
              </w:rPr>
              <w:t>4,949.2</w:t>
            </w:r>
          </w:p>
        </w:tc>
      </w:tr>
    </w:tbl>
    <w:p w14:paraId="18391C5C" w14:textId="77777777" w:rsidR="00710FC3" w:rsidRPr="00710FC3" w:rsidRDefault="00710FC3" w:rsidP="00710FC3">
      <w:pPr>
        <w:pStyle w:val="ListParagraph"/>
        <w:spacing w:before="120"/>
        <w:ind w:left="284" w:right="-255"/>
        <w:rPr>
          <w:rFonts w:ascii="IBM Plex Sans Light" w:hAnsi="IBM Plex Sans Light" w:cs="Arial"/>
          <w:bCs/>
          <w:sz w:val="16"/>
          <w:szCs w:val="16"/>
        </w:rPr>
      </w:pPr>
    </w:p>
    <w:p w14:paraId="00E683A3" w14:textId="4AE8689D" w:rsidR="001B68D8" w:rsidRPr="00895810" w:rsidRDefault="00B71FAE" w:rsidP="008B47FC">
      <w:pPr>
        <w:pStyle w:val="TableFiguresBold"/>
        <w:spacing w:before="0" w:after="0"/>
        <w:jc w:val="left"/>
        <w:rPr>
          <w:rFonts w:ascii="IBM Plex Sans Light" w:hAnsi="IBM Plex Sans Light" w:cs="Arial"/>
          <w:b w:val="0"/>
          <w:bCs w:val="0"/>
          <w:szCs w:val="16"/>
        </w:rPr>
      </w:pPr>
      <w:r w:rsidRPr="00895810">
        <w:rPr>
          <w:rFonts w:ascii="IBM Plex Sans Light" w:hAnsi="IBM Plex Sans Light" w:cs="Arial"/>
          <w:color w:val="3D7FE0" w:themeColor="accent1"/>
          <w:sz w:val="18"/>
          <w:szCs w:val="16"/>
        </w:rPr>
        <w:t>B</w:t>
      </w:r>
      <w:r w:rsidR="001B68D8" w:rsidRPr="00895810">
        <w:rPr>
          <w:rFonts w:ascii="IBM Plex Sans Light" w:hAnsi="IBM Plex Sans Light" w:cs="Arial"/>
          <w:color w:val="3D7FE0" w:themeColor="accent1"/>
          <w:sz w:val="18"/>
          <w:szCs w:val="16"/>
        </w:rPr>
        <w:t xml:space="preserve">. </w:t>
      </w:r>
      <w:r w:rsidR="005F6D26">
        <w:rPr>
          <w:rFonts w:ascii="IBM Plex Sans Light" w:hAnsi="IBM Plex Sans Light" w:cs="Arial"/>
          <w:color w:val="3D7FE0" w:themeColor="accent1"/>
          <w:sz w:val="18"/>
          <w:szCs w:val="16"/>
        </w:rPr>
        <w:t>(LOSS)/E</w:t>
      </w:r>
      <w:r w:rsidR="005F6D26" w:rsidRPr="00895810">
        <w:rPr>
          <w:rFonts w:ascii="IBM Plex Sans Light" w:hAnsi="IBM Plex Sans Light" w:cs="Arial"/>
          <w:color w:val="3D7FE0" w:themeColor="accent1"/>
          <w:sz w:val="18"/>
          <w:szCs w:val="16"/>
        </w:rPr>
        <w:t>ARNINGS PER SHARE</w:t>
      </w:r>
      <w:r w:rsidR="001B68D8" w:rsidRPr="00895810">
        <w:rPr>
          <w:rFonts w:ascii="IBM Plex Sans Light" w:hAnsi="IBM Plex Sans Light" w:cs="Arial"/>
          <w:color w:val="3D7FE0" w:themeColor="accent1"/>
          <w:sz w:val="18"/>
          <w:szCs w:val="16"/>
        </w:rPr>
        <w:t xml:space="preserve"> </w:t>
      </w:r>
    </w:p>
    <w:tbl>
      <w:tblPr>
        <w:tblW w:w="9934" w:type="dxa"/>
        <w:tblLayout w:type="fixed"/>
        <w:tblLook w:val="01E0" w:firstRow="1" w:lastRow="1" w:firstColumn="1" w:lastColumn="1" w:noHBand="0" w:noVBand="0"/>
      </w:tblPr>
      <w:tblGrid>
        <w:gridCol w:w="2268"/>
        <w:gridCol w:w="284"/>
        <w:gridCol w:w="566"/>
        <w:gridCol w:w="1134"/>
        <w:gridCol w:w="1192"/>
        <w:gridCol w:w="236"/>
        <w:gridCol w:w="1131"/>
        <w:gridCol w:w="1041"/>
        <w:gridCol w:w="1041"/>
        <w:gridCol w:w="1041"/>
      </w:tblGrid>
      <w:tr w:rsidR="00FB326C" w:rsidRPr="00895810" w14:paraId="398821A1" w14:textId="77777777" w:rsidTr="00FB326C">
        <w:tc>
          <w:tcPr>
            <w:tcW w:w="2268" w:type="dxa"/>
            <w:tcMar>
              <w:left w:w="0" w:type="dxa"/>
              <w:right w:w="0" w:type="dxa"/>
            </w:tcMar>
            <w:vAlign w:val="bottom"/>
          </w:tcPr>
          <w:p w14:paraId="44CEC1C4" w14:textId="77777777" w:rsidR="00FB326C" w:rsidRPr="00895810" w:rsidRDefault="00FB326C" w:rsidP="0063218B">
            <w:pPr>
              <w:pStyle w:val="TableColHeads"/>
              <w:rPr>
                <w:rFonts w:ascii="IBM Plex Sans Light" w:hAnsi="IBM Plex Sans Light"/>
              </w:rPr>
            </w:pPr>
          </w:p>
        </w:tc>
        <w:tc>
          <w:tcPr>
            <w:tcW w:w="284" w:type="dxa"/>
            <w:vAlign w:val="bottom"/>
          </w:tcPr>
          <w:p w14:paraId="615CF07F" w14:textId="6E120821" w:rsidR="00FB326C" w:rsidRPr="00895810" w:rsidRDefault="00FB326C" w:rsidP="0063218B">
            <w:pPr>
              <w:pStyle w:val="TableColHeads"/>
              <w:rPr>
                <w:rFonts w:ascii="IBM Plex Sans Light" w:hAnsi="IBM Plex Sans Light"/>
              </w:rPr>
            </w:pPr>
          </w:p>
        </w:tc>
        <w:tc>
          <w:tcPr>
            <w:tcW w:w="566" w:type="dxa"/>
          </w:tcPr>
          <w:p w14:paraId="3D5D7E8D" w14:textId="77777777" w:rsidR="00FB326C" w:rsidRPr="00895810" w:rsidRDefault="00FB326C" w:rsidP="00B71FAE">
            <w:pPr>
              <w:pStyle w:val="TableColHeads"/>
              <w:jc w:val="center"/>
              <w:rPr>
                <w:rFonts w:ascii="IBM Plex Sans Light" w:hAnsi="IBM Plex Sans Light"/>
              </w:rPr>
            </w:pPr>
          </w:p>
        </w:tc>
        <w:tc>
          <w:tcPr>
            <w:tcW w:w="2326" w:type="dxa"/>
            <w:gridSpan w:val="2"/>
            <w:tcBorders>
              <w:bottom w:val="single" w:sz="4" w:space="0" w:color="3D7FE0" w:themeColor="accent1"/>
            </w:tcBorders>
            <w:vAlign w:val="bottom"/>
          </w:tcPr>
          <w:p w14:paraId="53CDAD88" w14:textId="1CC1B851" w:rsidR="00FB326C" w:rsidRPr="00895810" w:rsidRDefault="00363F8A" w:rsidP="00024B10">
            <w:pPr>
              <w:pStyle w:val="TableColHeads"/>
              <w:rPr>
                <w:rFonts w:ascii="IBM Plex Sans Light" w:hAnsi="IBM Plex Sans Light"/>
                <w:b/>
                <w:bCs/>
                <w:color w:val="3D7FE0" w:themeColor="accent1"/>
              </w:rPr>
            </w:pPr>
            <w:r>
              <w:rPr>
                <w:rFonts w:ascii="IBM Plex Sans Light" w:hAnsi="IBM Plex Sans Light"/>
                <w:b/>
                <w:bCs/>
                <w:color w:val="3D7FE0" w:themeColor="accent1"/>
              </w:rPr>
              <w:t>(Loss)/e</w:t>
            </w:r>
            <w:r w:rsidR="00FB326C" w:rsidRPr="00895810">
              <w:rPr>
                <w:rFonts w:ascii="IBM Plex Sans Light" w:hAnsi="IBM Plex Sans Light"/>
                <w:b/>
                <w:bCs/>
                <w:color w:val="3D7FE0" w:themeColor="accent1"/>
              </w:rPr>
              <w:t>arnings</w:t>
            </w:r>
          </w:p>
        </w:tc>
        <w:tc>
          <w:tcPr>
            <w:tcW w:w="236" w:type="dxa"/>
          </w:tcPr>
          <w:p w14:paraId="3B86053C" w14:textId="77777777" w:rsidR="00FB326C" w:rsidRPr="00895810" w:rsidRDefault="00FB326C" w:rsidP="008F0EDE">
            <w:pPr>
              <w:pStyle w:val="TableColHeadsBold"/>
              <w:jc w:val="center"/>
              <w:rPr>
                <w:rFonts w:ascii="IBM Plex Sans Light" w:hAnsi="IBM Plex Sans Light"/>
                <w:color w:val="3D7FE0" w:themeColor="accent1"/>
              </w:rPr>
            </w:pPr>
          </w:p>
        </w:tc>
        <w:tc>
          <w:tcPr>
            <w:tcW w:w="4254" w:type="dxa"/>
            <w:gridSpan w:val="4"/>
            <w:tcBorders>
              <w:bottom w:val="single" w:sz="4" w:space="0" w:color="3D7FE0" w:themeColor="accent1"/>
            </w:tcBorders>
          </w:tcPr>
          <w:p w14:paraId="1BF2B424" w14:textId="06B38585" w:rsidR="00FB326C" w:rsidRPr="00895810" w:rsidRDefault="00363F8A" w:rsidP="00024B10">
            <w:pPr>
              <w:pStyle w:val="TableColHeadsBold"/>
              <w:rPr>
                <w:rFonts w:ascii="IBM Plex Sans Light" w:hAnsi="IBM Plex Sans Light"/>
                <w:color w:val="3D7FE0" w:themeColor="accent1"/>
              </w:rPr>
            </w:pPr>
            <w:r>
              <w:rPr>
                <w:rFonts w:ascii="IBM Plex Sans Light" w:hAnsi="IBM Plex Sans Light"/>
                <w:color w:val="3D7FE0" w:themeColor="accent1"/>
              </w:rPr>
              <w:t>(Loss)/ea</w:t>
            </w:r>
            <w:r w:rsidR="00FB326C" w:rsidRPr="00895810">
              <w:rPr>
                <w:rFonts w:ascii="IBM Plex Sans Light" w:hAnsi="IBM Plex Sans Light"/>
                <w:color w:val="3D7FE0" w:themeColor="accent1"/>
              </w:rPr>
              <w:t>rnings per share</w:t>
            </w:r>
          </w:p>
        </w:tc>
      </w:tr>
      <w:tr w:rsidR="00FB326C" w:rsidRPr="00895810" w14:paraId="52EBB20F" w14:textId="77777777" w:rsidTr="00FB326C">
        <w:tc>
          <w:tcPr>
            <w:tcW w:w="2268" w:type="dxa"/>
            <w:tcMar>
              <w:left w:w="0" w:type="dxa"/>
              <w:right w:w="0" w:type="dxa"/>
            </w:tcMar>
            <w:vAlign w:val="bottom"/>
          </w:tcPr>
          <w:p w14:paraId="7C1FE145" w14:textId="77777777" w:rsidR="00FB326C" w:rsidRPr="00895810" w:rsidRDefault="00FB326C" w:rsidP="0063218B">
            <w:pPr>
              <w:pStyle w:val="TableColHeads"/>
              <w:rPr>
                <w:rFonts w:ascii="IBM Plex Sans Light" w:hAnsi="IBM Plex Sans Light"/>
              </w:rPr>
            </w:pPr>
          </w:p>
        </w:tc>
        <w:tc>
          <w:tcPr>
            <w:tcW w:w="284" w:type="dxa"/>
            <w:vAlign w:val="bottom"/>
          </w:tcPr>
          <w:p w14:paraId="62A6F34C" w14:textId="6F571DD2" w:rsidR="00FB326C" w:rsidRPr="00895810" w:rsidRDefault="00FB326C" w:rsidP="0063218B">
            <w:pPr>
              <w:pStyle w:val="TableColHeads"/>
              <w:rPr>
                <w:rFonts w:ascii="IBM Plex Sans Light" w:hAnsi="IBM Plex Sans Light"/>
              </w:rPr>
            </w:pPr>
          </w:p>
        </w:tc>
        <w:tc>
          <w:tcPr>
            <w:tcW w:w="566" w:type="dxa"/>
          </w:tcPr>
          <w:p w14:paraId="38791017" w14:textId="77777777" w:rsidR="00FB326C" w:rsidRPr="00895810" w:rsidRDefault="00FB326C" w:rsidP="0063218B">
            <w:pPr>
              <w:pStyle w:val="TableColHeads"/>
              <w:rPr>
                <w:rFonts w:ascii="IBM Plex Sans Light" w:hAnsi="IBM Plex Sans Light"/>
              </w:rPr>
            </w:pPr>
          </w:p>
        </w:tc>
        <w:tc>
          <w:tcPr>
            <w:tcW w:w="1134" w:type="dxa"/>
            <w:tcBorders>
              <w:top w:val="single" w:sz="4" w:space="0" w:color="3D7FE0" w:themeColor="accent1"/>
            </w:tcBorders>
            <w:vAlign w:val="bottom"/>
          </w:tcPr>
          <w:p w14:paraId="39D08619" w14:textId="46CCC39C" w:rsidR="00FB326C" w:rsidRPr="00895810" w:rsidRDefault="00FB326C" w:rsidP="0063218B">
            <w:pPr>
              <w:pStyle w:val="TableColHeads"/>
              <w:rPr>
                <w:rFonts w:ascii="IBM Plex Sans Light" w:hAnsi="IBM Plex Sans Light"/>
              </w:rPr>
            </w:pPr>
          </w:p>
        </w:tc>
        <w:tc>
          <w:tcPr>
            <w:tcW w:w="1192" w:type="dxa"/>
            <w:tcBorders>
              <w:top w:val="single" w:sz="4" w:space="0" w:color="3D7FE0" w:themeColor="accent1"/>
            </w:tcBorders>
            <w:vAlign w:val="bottom"/>
          </w:tcPr>
          <w:p w14:paraId="027A2790" w14:textId="5BBFA843" w:rsidR="00FB326C" w:rsidRPr="00895810" w:rsidRDefault="00FB326C" w:rsidP="0063218B">
            <w:pPr>
              <w:pStyle w:val="TableColHeads"/>
              <w:rPr>
                <w:rFonts w:ascii="IBM Plex Sans Light" w:hAnsi="IBM Plex Sans Light"/>
              </w:rPr>
            </w:pPr>
          </w:p>
        </w:tc>
        <w:tc>
          <w:tcPr>
            <w:tcW w:w="236" w:type="dxa"/>
          </w:tcPr>
          <w:p w14:paraId="1728DB10" w14:textId="77777777" w:rsidR="00FB326C" w:rsidRPr="00895810" w:rsidRDefault="00FB326C" w:rsidP="008F0EDE">
            <w:pPr>
              <w:pStyle w:val="TableColHeadsBold"/>
              <w:jc w:val="center"/>
              <w:rPr>
                <w:rFonts w:ascii="IBM Plex Sans Light" w:hAnsi="IBM Plex Sans Light"/>
                <w:color w:val="3D7FE0" w:themeColor="accent1"/>
              </w:rPr>
            </w:pPr>
          </w:p>
        </w:tc>
        <w:tc>
          <w:tcPr>
            <w:tcW w:w="2172" w:type="dxa"/>
            <w:gridSpan w:val="2"/>
            <w:tcBorders>
              <w:top w:val="single" w:sz="4" w:space="0" w:color="3D7FE0" w:themeColor="accent1"/>
            </w:tcBorders>
          </w:tcPr>
          <w:p w14:paraId="45839093" w14:textId="34FBFFF2" w:rsidR="00FB326C" w:rsidRPr="00895810" w:rsidRDefault="00FB326C" w:rsidP="008F0EDE">
            <w:pPr>
              <w:pStyle w:val="TableColHeadsBold"/>
              <w:jc w:val="center"/>
              <w:rPr>
                <w:rFonts w:ascii="IBM Plex Sans Light" w:hAnsi="IBM Plex Sans Light"/>
                <w:color w:val="3D7FE0" w:themeColor="accent1"/>
              </w:rPr>
            </w:pPr>
            <w:r w:rsidRPr="00895810">
              <w:rPr>
                <w:rFonts w:ascii="IBM Plex Sans Light" w:hAnsi="IBM Plex Sans Light"/>
                <w:color w:val="3D7FE0" w:themeColor="accent1"/>
              </w:rPr>
              <w:t>Basic</w:t>
            </w:r>
          </w:p>
        </w:tc>
        <w:tc>
          <w:tcPr>
            <w:tcW w:w="2082" w:type="dxa"/>
            <w:gridSpan w:val="2"/>
            <w:tcBorders>
              <w:top w:val="single" w:sz="4" w:space="0" w:color="3D7FE0" w:themeColor="accent1"/>
            </w:tcBorders>
            <w:tcMar>
              <w:left w:w="0" w:type="dxa"/>
              <w:right w:w="0" w:type="dxa"/>
            </w:tcMar>
            <w:vAlign w:val="bottom"/>
          </w:tcPr>
          <w:p w14:paraId="4C842983" w14:textId="74E276C7" w:rsidR="00FB326C" w:rsidRPr="00895810" w:rsidRDefault="00FB326C" w:rsidP="008F0EDE">
            <w:pPr>
              <w:pStyle w:val="TableColHeadsBold"/>
              <w:jc w:val="center"/>
              <w:rPr>
                <w:rFonts w:ascii="IBM Plex Sans Light" w:hAnsi="IBM Plex Sans Light"/>
              </w:rPr>
            </w:pPr>
            <w:r w:rsidRPr="00895810">
              <w:rPr>
                <w:rFonts w:ascii="IBM Plex Sans Light" w:hAnsi="IBM Plex Sans Light"/>
                <w:color w:val="3D7FE0" w:themeColor="accent1"/>
              </w:rPr>
              <w:t>Diluted</w:t>
            </w:r>
          </w:p>
        </w:tc>
      </w:tr>
      <w:tr w:rsidR="00FB326C" w:rsidRPr="00895810" w14:paraId="24E06BD0" w14:textId="77777777" w:rsidTr="00FB326C">
        <w:tc>
          <w:tcPr>
            <w:tcW w:w="2268" w:type="dxa"/>
            <w:tcBorders>
              <w:bottom w:val="single" w:sz="4" w:space="0" w:color="3D7FE0" w:themeColor="accent1"/>
            </w:tcBorders>
            <w:tcMar>
              <w:left w:w="0" w:type="dxa"/>
              <w:right w:w="0" w:type="dxa"/>
            </w:tcMar>
            <w:vAlign w:val="bottom"/>
          </w:tcPr>
          <w:p w14:paraId="24A88084" w14:textId="77777777" w:rsidR="00FB326C" w:rsidRPr="00895810" w:rsidRDefault="00FB326C" w:rsidP="00F34EA2">
            <w:pPr>
              <w:pStyle w:val="TableColHeads"/>
              <w:rPr>
                <w:rFonts w:ascii="IBM Plex Sans Light" w:hAnsi="IBM Plex Sans Light"/>
              </w:rPr>
            </w:pPr>
          </w:p>
        </w:tc>
        <w:tc>
          <w:tcPr>
            <w:tcW w:w="284" w:type="dxa"/>
            <w:tcBorders>
              <w:bottom w:val="single" w:sz="4" w:space="0" w:color="3D7FE0" w:themeColor="accent1"/>
            </w:tcBorders>
            <w:vAlign w:val="bottom"/>
          </w:tcPr>
          <w:p w14:paraId="54A3848A" w14:textId="571390D8" w:rsidR="00FB326C" w:rsidRPr="00895810" w:rsidRDefault="00FB326C" w:rsidP="00F34EA2">
            <w:pPr>
              <w:pStyle w:val="TableColHeads"/>
              <w:rPr>
                <w:rFonts w:ascii="IBM Plex Sans Light" w:hAnsi="IBM Plex Sans Light"/>
              </w:rPr>
            </w:pPr>
          </w:p>
        </w:tc>
        <w:tc>
          <w:tcPr>
            <w:tcW w:w="566" w:type="dxa"/>
            <w:tcBorders>
              <w:bottom w:val="single" w:sz="4" w:space="0" w:color="3D7FE0" w:themeColor="accent1"/>
            </w:tcBorders>
          </w:tcPr>
          <w:p w14:paraId="47609369" w14:textId="77777777" w:rsidR="00FB326C" w:rsidRPr="00895810" w:rsidRDefault="00FB326C" w:rsidP="00FB326C">
            <w:pPr>
              <w:pStyle w:val="TableColHeads"/>
              <w:ind w:left="-106"/>
              <w:rPr>
                <w:rFonts w:ascii="IBM Plex Sans Light" w:hAnsi="IBM Plex Sans Light"/>
                <w:b/>
                <w:bCs/>
              </w:rPr>
            </w:pPr>
          </w:p>
          <w:p w14:paraId="7F5427CE" w14:textId="09276529" w:rsidR="00FB326C" w:rsidRPr="00895810" w:rsidRDefault="00FB326C" w:rsidP="00FB326C">
            <w:pPr>
              <w:pStyle w:val="TableColHeads"/>
              <w:ind w:left="-106"/>
              <w:rPr>
                <w:rFonts w:ascii="IBM Plex Sans Light" w:hAnsi="IBM Plex Sans Light"/>
                <w:b/>
                <w:bCs/>
              </w:rPr>
            </w:pPr>
            <w:r w:rsidRPr="00895810">
              <w:rPr>
                <w:rFonts w:ascii="IBM Plex Sans Light" w:hAnsi="IBM Plex Sans Light"/>
                <w:b/>
                <w:bCs/>
              </w:rPr>
              <w:t>Note</w:t>
            </w:r>
          </w:p>
        </w:tc>
        <w:tc>
          <w:tcPr>
            <w:tcW w:w="1134" w:type="dxa"/>
            <w:tcBorders>
              <w:bottom w:val="single" w:sz="4" w:space="0" w:color="3D7FE0" w:themeColor="accent1"/>
            </w:tcBorders>
            <w:vAlign w:val="bottom"/>
          </w:tcPr>
          <w:p w14:paraId="438BC5A1" w14:textId="22F6A49B" w:rsidR="00FB326C" w:rsidRPr="00895810" w:rsidRDefault="00785AC2" w:rsidP="00D75ECB">
            <w:pPr>
              <w:pStyle w:val="TableColHeadsBold"/>
              <w:ind w:left="-111"/>
              <w:rPr>
                <w:rFonts w:ascii="IBM Plex Sans Light" w:hAnsi="IBM Plex Sans Light"/>
                <w:color w:val="3D7FE0" w:themeColor="accent1"/>
              </w:rPr>
            </w:pPr>
            <w:r>
              <w:rPr>
                <w:rFonts w:ascii="IBM Plex Sans Light" w:hAnsi="IBM Plex Sans Light"/>
                <w:color w:val="3D7FE0" w:themeColor="accent1"/>
              </w:rPr>
              <w:t>2023</w:t>
            </w:r>
            <w:r w:rsidR="00FB326C" w:rsidRPr="00895810">
              <w:rPr>
                <w:rFonts w:ascii="IBM Plex Sans Light" w:hAnsi="IBM Plex Sans Light"/>
                <w:color w:val="3D7FE0" w:themeColor="accent1"/>
              </w:rPr>
              <w:t xml:space="preserve"> </w:t>
            </w:r>
          </w:p>
          <w:p w14:paraId="202084F7" w14:textId="284BCD44" w:rsidR="00FB326C" w:rsidRPr="00895810" w:rsidRDefault="00FB326C" w:rsidP="00D75ECB">
            <w:pPr>
              <w:pStyle w:val="TableColHeadsBold"/>
              <w:ind w:left="-111"/>
              <w:rPr>
                <w:rFonts w:ascii="IBM Plex Sans Light" w:hAnsi="IBM Plex Sans Light"/>
                <w:color w:val="3D7FE0" w:themeColor="accent1"/>
              </w:rPr>
            </w:pPr>
            <w:r w:rsidRPr="00895810">
              <w:rPr>
                <w:rFonts w:ascii="IBM Plex Sans Light" w:hAnsi="IBM Plex Sans Light"/>
                <w:color w:val="3D7FE0" w:themeColor="accent1"/>
              </w:rPr>
              <w:t>£m</w:t>
            </w:r>
          </w:p>
        </w:tc>
        <w:tc>
          <w:tcPr>
            <w:tcW w:w="1192" w:type="dxa"/>
            <w:tcBorders>
              <w:bottom w:val="single" w:sz="4" w:space="0" w:color="3D7FE0" w:themeColor="accent1"/>
            </w:tcBorders>
            <w:vAlign w:val="bottom"/>
          </w:tcPr>
          <w:p w14:paraId="62AC92E0" w14:textId="08FA68BA" w:rsidR="00FB326C" w:rsidRPr="00895810" w:rsidRDefault="006E7EB0" w:rsidP="000E3591">
            <w:pPr>
              <w:pStyle w:val="TableColHeads"/>
              <w:rPr>
                <w:rFonts w:ascii="IBM Plex Sans Light" w:hAnsi="IBM Plex Sans Light"/>
              </w:rPr>
            </w:pPr>
            <w:r>
              <w:rPr>
                <w:rFonts w:ascii="IBM Plex Sans Light" w:hAnsi="IBM Plex Sans Light"/>
              </w:rPr>
              <w:t>2022</w:t>
            </w:r>
          </w:p>
          <w:p w14:paraId="78B7ED7C" w14:textId="6CAAB19F" w:rsidR="00FB326C" w:rsidRPr="00D97BC1" w:rsidRDefault="00FB326C" w:rsidP="00D97BC1">
            <w:pPr>
              <w:pStyle w:val="TableColHeadsBold"/>
              <w:ind w:left="-111"/>
              <w:rPr>
                <w:rFonts w:ascii="IBM Plex Sans Light" w:hAnsi="IBM Plex Sans Light"/>
                <w:b w:val="0"/>
                <w:bCs w:val="0"/>
              </w:rPr>
            </w:pPr>
            <w:r w:rsidRPr="00D97BC1">
              <w:rPr>
                <w:rFonts w:ascii="IBM Plex Sans Light" w:hAnsi="IBM Plex Sans Light"/>
                <w:b w:val="0"/>
                <w:bCs w:val="0"/>
              </w:rPr>
              <w:t>£m</w:t>
            </w:r>
          </w:p>
        </w:tc>
        <w:tc>
          <w:tcPr>
            <w:tcW w:w="236" w:type="dxa"/>
            <w:tcBorders>
              <w:bottom w:val="single" w:sz="4" w:space="0" w:color="3D7FE0" w:themeColor="accent1"/>
            </w:tcBorders>
          </w:tcPr>
          <w:p w14:paraId="6F56FF26" w14:textId="77777777" w:rsidR="00FB326C" w:rsidRPr="00895810" w:rsidRDefault="00FB326C" w:rsidP="00F34EA2">
            <w:pPr>
              <w:pStyle w:val="TableColHeadsBold"/>
              <w:ind w:left="-111"/>
              <w:rPr>
                <w:rFonts w:ascii="IBM Plex Sans Light" w:hAnsi="IBM Plex Sans Light"/>
                <w:color w:val="3D7FE0" w:themeColor="accent1"/>
              </w:rPr>
            </w:pPr>
          </w:p>
        </w:tc>
        <w:tc>
          <w:tcPr>
            <w:tcW w:w="1131" w:type="dxa"/>
            <w:tcBorders>
              <w:bottom w:val="single" w:sz="4" w:space="0" w:color="3D7FE0" w:themeColor="accent1"/>
            </w:tcBorders>
            <w:vAlign w:val="bottom"/>
          </w:tcPr>
          <w:p w14:paraId="451ACE2E" w14:textId="385C516D" w:rsidR="00FB326C" w:rsidRPr="00895810" w:rsidRDefault="00785AC2" w:rsidP="00F34EA2">
            <w:pPr>
              <w:pStyle w:val="TableColHeadsBold"/>
              <w:ind w:left="-111"/>
              <w:rPr>
                <w:rFonts w:ascii="IBM Plex Sans Light" w:hAnsi="IBM Plex Sans Light"/>
                <w:color w:val="3D7FE0" w:themeColor="accent1"/>
              </w:rPr>
            </w:pPr>
            <w:r>
              <w:rPr>
                <w:rFonts w:ascii="IBM Plex Sans Light" w:hAnsi="IBM Plex Sans Light"/>
                <w:color w:val="3D7FE0" w:themeColor="accent1"/>
              </w:rPr>
              <w:t>2023</w:t>
            </w:r>
          </w:p>
          <w:p w14:paraId="431EA75B" w14:textId="3A909E6D" w:rsidR="00FB326C" w:rsidRPr="00895810" w:rsidRDefault="00FB326C" w:rsidP="00D75ECB">
            <w:pPr>
              <w:pStyle w:val="TableColHeadsBold"/>
              <w:ind w:left="-111"/>
              <w:rPr>
                <w:rFonts w:ascii="IBM Plex Sans Light" w:hAnsi="IBM Plex Sans Light"/>
                <w:color w:val="3D7FE0" w:themeColor="accent1"/>
              </w:rPr>
            </w:pPr>
            <w:r w:rsidRPr="00895810">
              <w:rPr>
                <w:rFonts w:ascii="IBM Plex Sans Light" w:hAnsi="IBM Plex Sans Light"/>
                <w:color w:val="3D7FE0" w:themeColor="accent1"/>
              </w:rPr>
              <w:t>p</w:t>
            </w:r>
            <w:r w:rsidR="0053048A">
              <w:rPr>
                <w:rFonts w:ascii="IBM Plex Sans Light" w:hAnsi="IBM Plex Sans Light"/>
                <w:color w:val="3D7FE0" w:themeColor="accent1"/>
              </w:rPr>
              <w:t>ence</w:t>
            </w:r>
            <w:r w:rsidRPr="00895810">
              <w:rPr>
                <w:rFonts w:ascii="IBM Plex Sans Light" w:hAnsi="IBM Plex Sans Light"/>
                <w:color w:val="3D7FE0" w:themeColor="accent1"/>
              </w:rPr>
              <w:t xml:space="preserve"> </w:t>
            </w:r>
          </w:p>
        </w:tc>
        <w:tc>
          <w:tcPr>
            <w:tcW w:w="1041" w:type="dxa"/>
            <w:tcBorders>
              <w:bottom w:val="single" w:sz="4" w:space="0" w:color="3D7FE0" w:themeColor="accent1"/>
            </w:tcBorders>
            <w:tcMar>
              <w:left w:w="0" w:type="dxa"/>
              <w:right w:w="0" w:type="dxa"/>
            </w:tcMar>
            <w:vAlign w:val="bottom"/>
          </w:tcPr>
          <w:p w14:paraId="3D98B49B" w14:textId="02CDC3DA" w:rsidR="00FB326C" w:rsidRPr="00D97BC1" w:rsidRDefault="006E7EB0" w:rsidP="00D97BC1">
            <w:pPr>
              <w:pStyle w:val="TableColHeads"/>
              <w:rPr>
                <w:rFonts w:ascii="IBM Plex Sans Light" w:hAnsi="IBM Plex Sans Light"/>
              </w:rPr>
            </w:pPr>
            <w:r>
              <w:rPr>
                <w:rFonts w:ascii="IBM Plex Sans Light" w:hAnsi="IBM Plex Sans Light"/>
              </w:rPr>
              <w:t>2022</w:t>
            </w:r>
          </w:p>
          <w:p w14:paraId="0A072AE6" w14:textId="7EBC5ADB" w:rsidR="00FB326C" w:rsidRPr="00D97BC1" w:rsidRDefault="00FB326C" w:rsidP="00D97BC1">
            <w:pPr>
              <w:pStyle w:val="TableColHeads"/>
              <w:rPr>
                <w:rFonts w:ascii="IBM Plex Sans Light" w:hAnsi="IBM Plex Sans Light"/>
              </w:rPr>
            </w:pPr>
            <w:r w:rsidRPr="00895810">
              <w:rPr>
                <w:rFonts w:ascii="IBM Plex Sans Light" w:hAnsi="IBM Plex Sans Light"/>
              </w:rPr>
              <w:t>p</w:t>
            </w:r>
            <w:r w:rsidR="0053048A">
              <w:rPr>
                <w:rFonts w:ascii="IBM Plex Sans Light" w:hAnsi="IBM Plex Sans Light"/>
              </w:rPr>
              <w:t>ence</w:t>
            </w:r>
            <w:r w:rsidRPr="00895810">
              <w:rPr>
                <w:rFonts w:ascii="IBM Plex Sans Light" w:hAnsi="IBM Plex Sans Light"/>
              </w:rPr>
              <w:t xml:space="preserve"> </w:t>
            </w:r>
          </w:p>
        </w:tc>
        <w:tc>
          <w:tcPr>
            <w:tcW w:w="1041" w:type="dxa"/>
            <w:tcBorders>
              <w:bottom w:val="single" w:sz="4" w:space="0" w:color="3D7FE0" w:themeColor="accent1"/>
            </w:tcBorders>
            <w:tcMar>
              <w:left w:w="0" w:type="dxa"/>
              <w:right w:w="0" w:type="dxa"/>
            </w:tcMar>
            <w:vAlign w:val="bottom"/>
          </w:tcPr>
          <w:p w14:paraId="586ABC41" w14:textId="2092CB04" w:rsidR="00FB326C" w:rsidRPr="00895810" w:rsidRDefault="00785AC2" w:rsidP="00F34EA2">
            <w:pPr>
              <w:pStyle w:val="TableColHeads"/>
              <w:rPr>
                <w:rFonts w:ascii="IBM Plex Sans Light" w:hAnsi="IBM Plex Sans Light"/>
                <w:b/>
                <w:bCs/>
                <w:color w:val="3D7FE0" w:themeColor="accent1"/>
              </w:rPr>
            </w:pPr>
            <w:r>
              <w:rPr>
                <w:rFonts w:ascii="IBM Plex Sans Light" w:hAnsi="IBM Plex Sans Light"/>
                <w:b/>
                <w:bCs/>
                <w:color w:val="3D7FE0" w:themeColor="accent1"/>
              </w:rPr>
              <w:t>2023</w:t>
            </w:r>
          </w:p>
          <w:p w14:paraId="50056F0E" w14:textId="4A9F26A3" w:rsidR="00FB326C" w:rsidRPr="00895810" w:rsidRDefault="00FB326C" w:rsidP="00F34EA2">
            <w:pPr>
              <w:pStyle w:val="TableColHeads"/>
              <w:rPr>
                <w:rFonts w:ascii="IBM Plex Sans Light" w:hAnsi="IBM Plex Sans Light"/>
                <w:b/>
                <w:bCs/>
                <w:color w:val="3D7FE0" w:themeColor="accent1"/>
              </w:rPr>
            </w:pPr>
            <w:r w:rsidRPr="00895810">
              <w:rPr>
                <w:rFonts w:ascii="IBM Plex Sans Light" w:hAnsi="IBM Plex Sans Light"/>
                <w:b/>
                <w:bCs/>
                <w:color w:val="3D7FE0" w:themeColor="accent1"/>
              </w:rPr>
              <w:t>p</w:t>
            </w:r>
            <w:r w:rsidR="0053048A">
              <w:rPr>
                <w:rFonts w:ascii="IBM Plex Sans Light" w:hAnsi="IBM Plex Sans Light"/>
                <w:b/>
                <w:bCs/>
                <w:color w:val="3D7FE0" w:themeColor="accent1"/>
              </w:rPr>
              <w:t>ence</w:t>
            </w:r>
            <w:r w:rsidRPr="00895810">
              <w:rPr>
                <w:rFonts w:ascii="IBM Plex Sans Light" w:hAnsi="IBM Plex Sans Light"/>
                <w:b/>
                <w:bCs/>
                <w:color w:val="3D7FE0" w:themeColor="accent1"/>
              </w:rPr>
              <w:t xml:space="preserve"> </w:t>
            </w:r>
          </w:p>
        </w:tc>
        <w:tc>
          <w:tcPr>
            <w:tcW w:w="1041" w:type="dxa"/>
            <w:tcBorders>
              <w:bottom w:val="single" w:sz="4" w:space="0" w:color="3D7FE0" w:themeColor="accent1"/>
            </w:tcBorders>
            <w:tcMar>
              <w:left w:w="0" w:type="dxa"/>
              <w:right w:w="0" w:type="dxa"/>
            </w:tcMar>
            <w:vAlign w:val="bottom"/>
          </w:tcPr>
          <w:p w14:paraId="157AEEFB" w14:textId="522EA13C" w:rsidR="00FB326C" w:rsidRPr="00895810" w:rsidRDefault="006E7EB0" w:rsidP="00F34EA2">
            <w:pPr>
              <w:pStyle w:val="TableColHeads"/>
              <w:rPr>
                <w:rFonts w:ascii="IBM Plex Sans Light" w:hAnsi="IBM Plex Sans Light"/>
              </w:rPr>
            </w:pPr>
            <w:r>
              <w:rPr>
                <w:rFonts w:ascii="IBM Plex Sans Light" w:hAnsi="IBM Plex Sans Light"/>
              </w:rPr>
              <w:t>2022</w:t>
            </w:r>
          </w:p>
          <w:p w14:paraId="7B823A15" w14:textId="73A6AC21" w:rsidR="00FB326C" w:rsidRPr="00895810" w:rsidRDefault="00FB326C" w:rsidP="008B47FC">
            <w:pPr>
              <w:pStyle w:val="TableColHeads"/>
              <w:ind w:right="0"/>
              <w:rPr>
                <w:rFonts w:ascii="IBM Plex Sans Light" w:hAnsi="IBM Plex Sans Light"/>
              </w:rPr>
            </w:pPr>
            <w:r w:rsidRPr="00895810">
              <w:rPr>
                <w:rFonts w:ascii="IBM Plex Sans Light" w:hAnsi="IBM Plex Sans Light"/>
              </w:rPr>
              <w:t>p</w:t>
            </w:r>
            <w:r w:rsidR="0053048A">
              <w:rPr>
                <w:rFonts w:ascii="IBM Plex Sans Light" w:hAnsi="IBM Plex Sans Light"/>
              </w:rPr>
              <w:t>ence</w:t>
            </w:r>
            <w:r w:rsidRPr="00895810">
              <w:rPr>
                <w:rFonts w:ascii="IBM Plex Sans Light" w:hAnsi="IBM Plex Sans Light"/>
              </w:rPr>
              <w:t xml:space="preserve"> </w:t>
            </w:r>
          </w:p>
        </w:tc>
      </w:tr>
      <w:tr w:rsidR="00363F8A" w:rsidRPr="00895810" w14:paraId="0AE3DA13" w14:textId="77777777" w:rsidTr="00B7740E">
        <w:tc>
          <w:tcPr>
            <w:tcW w:w="2268" w:type="dxa"/>
            <w:tcBorders>
              <w:top w:val="single" w:sz="2" w:space="0" w:color="3D7FE0" w:themeColor="accent1"/>
              <w:bottom w:val="single" w:sz="2" w:space="0" w:color="3D7FE0" w:themeColor="accent1"/>
            </w:tcBorders>
            <w:tcMar>
              <w:left w:w="0" w:type="dxa"/>
              <w:right w:w="0" w:type="dxa"/>
            </w:tcMar>
          </w:tcPr>
          <w:p w14:paraId="1753F4EB" w14:textId="2965D0E1" w:rsidR="00363F8A" w:rsidRPr="00895810" w:rsidRDefault="00363F8A" w:rsidP="00363F8A">
            <w:pPr>
              <w:spacing w:after="0" w:line="240" w:lineRule="auto"/>
              <w:rPr>
                <w:rFonts w:ascii="IBM Plex Sans Light" w:hAnsi="IBM Plex Sans Light"/>
              </w:rPr>
            </w:pPr>
            <w:r w:rsidRPr="00895810">
              <w:rPr>
                <w:rFonts w:ascii="IBM Plex Sans Light" w:hAnsi="IBM Plex Sans Light"/>
                <w:b/>
                <w:bCs/>
                <w:color w:val="3D7FE0" w:themeColor="accent1"/>
              </w:rPr>
              <w:t xml:space="preserve"> </w:t>
            </w:r>
            <w:r>
              <w:rPr>
                <w:rFonts w:ascii="IBM Plex Sans Light" w:hAnsi="IBM Plex Sans Light"/>
                <w:b/>
                <w:bCs/>
                <w:color w:val="3D7FE0" w:themeColor="accent1"/>
              </w:rPr>
              <w:t>Reported Group</w:t>
            </w:r>
          </w:p>
        </w:tc>
        <w:tc>
          <w:tcPr>
            <w:tcW w:w="284" w:type="dxa"/>
            <w:tcBorders>
              <w:top w:val="single" w:sz="2" w:space="0" w:color="3D7FE0" w:themeColor="accent1"/>
              <w:bottom w:val="single" w:sz="2" w:space="0" w:color="3D7FE0" w:themeColor="accent1"/>
            </w:tcBorders>
          </w:tcPr>
          <w:p w14:paraId="1C7DEF75" w14:textId="0EB6D69D" w:rsidR="00363F8A" w:rsidRPr="00895810" w:rsidRDefault="00363F8A" w:rsidP="00363F8A">
            <w:pPr>
              <w:pStyle w:val="Tabletext"/>
              <w:rPr>
                <w:rFonts w:ascii="IBM Plex Sans Light" w:hAnsi="IBM Plex Sans Light"/>
                <w:spacing w:val="-4"/>
                <w:sz w:val="18"/>
              </w:rPr>
            </w:pPr>
          </w:p>
        </w:tc>
        <w:tc>
          <w:tcPr>
            <w:tcW w:w="566" w:type="dxa"/>
            <w:tcBorders>
              <w:top w:val="single" w:sz="2" w:space="0" w:color="3D7FE0" w:themeColor="accent1"/>
              <w:bottom w:val="single" w:sz="2" w:space="0" w:color="3D7FE0" w:themeColor="accent1"/>
            </w:tcBorders>
          </w:tcPr>
          <w:p w14:paraId="0EF7F79C" w14:textId="77777777" w:rsidR="00363F8A" w:rsidRPr="00895810" w:rsidRDefault="00363F8A" w:rsidP="00363F8A">
            <w:pPr>
              <w:pStyle w:val="Tabletext"/>
              <w:tabs>
                <w:tab w:val="left" w:pos="284"/>
              </w:tabs>
              <w:ind w:left="-106"/>
              <w:rPr>
                <w:rFonts w:ascii="IBM Plex Sans Light" w:hAnsi="IBM Plex Sans Light"/>
                <w:color w:val="auto"/>
                <w:spacing w:val="-4"/>
                <w:sz w:val="18"/>
              </w:rPr>
            </w:pPr>
          </w:p>
        </w:tc>
        <w:tc>
          <w:tcPr>
            <w:tcW w:w="1134" w:type="dxa"/>
            <w:tcBorders>
              <w:top w:val="single" w:sz="2" w:space="0" w:color="3D7FE0" w:themeColor="accent1"/>
              <w:bottom w:val="single" w:sz="2" w:space="0" w:color="3D7FE0" w:themeColor="accent1"/>
            </w:tcBorders>
          </w:tcPr>
          <w:p w14:paraId="26581D25" w14:textId="66188882"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(51.4)</w:t>
            </w:r>
          </w:p>
        </w:tc>
        <w:tc>
          <w:tcPr>
            <w:tcW w:w="1192" w:type="dxa"/>
            <w:tcBorders>
              <w:top w:val="single" w:sz="2" w:space="0" w:color="3D7FE0" w:themeColor="accent1"/>
              <w:bottom w:val="single" w:sz="2" w:space="0" w:color="3D7FE0" w:themeColor="accent1"/>
            </w:tcBorders>
            <w:vAlign w:val="bottom"/>
          </w:tcPr>
          <w:p w14:paraId="547788AC" w14:textId="551DBE3A" w:rsidR="00363F8A" w:rsidRPr="00895810" w:rsidRDefault="00363F8A" w:rsidP="00363F8A">
            <w:pPr>
              <w:pStyle w:val="TableFiguresBold"/>
              <w:ind w:right="34"/>
              <w:rPr>
                <w:rFonts w:ascii="IBM Plex Sans Light" w:hAnsi="IBM Plex Sans Light" w:cs="MyriadPro-Light"/>
                <w:b w:val="0"/>
                <w:bCs w:val="0"/>
                <w:color w:val="auto"/>
                <w:spacing w:val="-4"/>
                <w:sz w:val="18"/>
                <w:szCs w:val="18"/>
              </w:rPr>
            </w:pPr>
            <w:r w:rsidRPr="00895810">
              <w:rPr>
                <w:rFonts w:ascii="IBM Plex Sans Light" w:hAnsi="IBM Plex Sans Light" w:cs="MyriadPro-Light"/>
                <w:b w:val="0"/>
                <w:bCs w:val="0"/>
                <w:color w:val="auto"/>
                <w:spacing w:val="-4"/>
                <w:sz w:val="18"/>
                <w:szCs w:val="18"/>
              </w:rPr>
              <w:t>(</w:t>
            </w:r>
            <w:r>
              <w:rPr>
                <w:rFonts w:ascii="IBM Plex Sans Light" w:hAnsi="IBM Plex Sans Light" w:cs="MyriadPro-Light"/>
                <w:b w:val="0"/>
                <w:bCs w:val="0"/>
                <w:color w:val="auto"/>
                <w:spacing w:val="-4"/>
                <w:sz w:val="18"/>
                <w:szCs w:val="18"/>
              </w:rPr>
              <w:t>164.2</w:t>
            </w:r>
            <w:r w:rsidRPr="00895810">
              <w:rPr>
                <w:rFonts w:ascii="IBM Plex Sans Light" w:hAnsi="IBM Plex Sans Light" w:cs="MyriadPro-Light"/>
                <w:b w:val="0"/>
                <w:bCs w:val="0"/>
                <w:color w:val="auto"/>
                <w:spacing w:val="-4"/>
                <w:sz w:val="18"/>
                <w:szCs w:val="18"/>
              </w:rPr>
              <w:t>)</w:t>
            </w:r>
          </w:p>
        </w:tc>
        <w:tc>
          <w:tcPr>
            <w:tcW w:w="236" w:type="dxa"/>
            <w:tcBorders>
              <w:top w:val="single" w:sz="2" w:space="0" w:color="3D7FE0" w:themeColor="accent1"/>
              <w:bottom w:val="single" w:sz="2" w:space="0" w:color="3D7FE0" w:themeColor="accent1"/>
            </w:tcBorders>
          </w:tcPr>
          <w:p w14:paraId="7848918C" w14:textId="77777777" w:rsidR="00363F8A" w:rsidRPr="00895810" w:rsidRDefault="00363F8A" w:rsidP="00363F8A">
            <w:pPr>
              <w:pStyle w:val="TableFigures"/>
              <w:rPr>
                <w:rFonts w:ascii="IBM Plex Sans Light" w:hAnsi="IBM Plex Sans Light" w:cs="MyriadPro-Light"/>
                <w:b/>
                <w:color w:val="3D7FE0" w:themeColor="accent1"/>
                <w:spacing w:val="-4"/>
                <w:sz w:val="18"/>
                <w:szCs w:val="18"/>
              </w:rPr>
            </w:pPr>
          </w:p>
        </w:tc>
        <w:tc>
          <w:tcPr>
            <w:tcW w:w="1131" w:type="dxa"/>
            <w:tcBorders>
              <w:top w:val="single" w:sz="2" w:space="0" w:color="3D7FE0" w:themeColor="accent1"/>
              <w:bottom w:val="single" w:sz="2" w:space="0" w:color="3D7FE0" w:themeColor="accent1"/>
            </w:tcBorders>
          </w:tcPr>
          <w:p w14:paraId="08C30CE6" w14:textId="364C5DDE"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(1.0)p</w:t>
            </w:r>
          </w:p>
        </w:tc>
        <w:tc>
          <w:tcPr>
            <w:tcW w:w="1041" w:type="dxa"/>
            <w:tcBorders>
              <w:top w:val="single" w:sz="2" w:space="0" w:color="3D7FE0" w:themeColor="accent1"/>
              <w:bottom w:val="single" w:sz="2" w:space="0" w:color="3D7FE0" w:themeColor="accent1"/>
            </w:tcBorders>
            <w:tcMar>
              <w:left w:w="0" w:type="dxa"/>
              <w:right w:w="0" w:type="dxa"/>
            </w:tcMar>
          </w:tcPr>
          <w:p w14:paraId="3DD281F0" w14:textId="013B6836" w:rsidR="00363F8A" w:rsidRPr="00895810"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(3.3)p</w:t>
            </w:r>
          </w:p>
        </w:tc>
        <w:tc>
          <w:tcPr>
            <w:tcW w:w="1041" w:type="dxa"/>
            <w:tcBorders>
              <w:top w:val="single" w:sz="2" w:space="0" w:color="3D7FE0" w:themeColor="accent1"/>
              <w:bottom w:val="single" w:sz="2" w:space="0" w:color="3D7FE0" w:themeColor="accent1"/>
            </w:tcBorders>
            <w:tcMar>
              <w:left w:w="0" w:type="dxa"/>
              <w:right w:w="0" w:type="dxa"/>
            </w:tcMar>
          </w:tcPr>
          <w:p w14:paraId="4FCF985F" w14:textId="7B71F8D1"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(1.0)p</w:t>
            </w:r>
          </w:p>
        </w:tc>
        <w:tc>
          <w:tcPr>
            <w:tcW w:w="1041" w:type="dxa"/>
            <w:tcBorders>
              <w:top w:val="single" w:sz="2" w:space="0" w:color="3D7FE0" w:themeColor="accent1"/>
              <w:bottom w:val="single" w:sz="2" w:space="0" w:color="3D7FE0" w:themeColor="accent1"/>
            </w:tcBorders>
            <w:tcMar>
              <w:left w:w="0" w:type="dxa"/>
              <w:right w:w="0" w:type="dxa"/>
            </w:tcMar>
          </w:tcPr>
          <w:p w14:paraId="6A155996" w14:textId="4F3926CC" w:rsidR="00363F8A" w:rsidRPr="00895810"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(3.3)p</w:t>
            </w:r>
          </w:p>
        </w:tc>
      </w:tr>
      <w:tr w:rsidR="00363F8A" w:rsidRPr="00895810" w14:paraId="1E8DF74A" w14:textId="77777777" w:rsidTr="00B7740E">
        <w:tc>
          <w:tcPr>
            <w:tcW w:w="2268" w:type="dxa"/>
            <w:tcBorders>
              <w:top w:val="single" w:sz="2" w:space="0" w:color="3D7FE0" w:themeColor="accent1"/>
              <w:bottom w:val="single" w:sz="2" w:space="0" w:color="3D7FE0" w:themeColor="accent1"/>
            </w:tcBorders>
            <w:tcMar>
              <w:left w:w="0" w:type="dxa"/>
              <w:right w:w="0" w:type="dxa"/>
            </w:tcMar>
          </w:tcPr>
          <w:p w14:paraId="5A08627A" w14:textId="51022E58" w:rsidR="00363F8A" w:rsidRPr="00895810" w:rsidRDefault="00363F8A" w:rsidP="00363F8A">
            <w:pPr>
              <w:spacing w:after="0" w:line="240" w:lineRule="auto"/>
              <w:rPr>
                <w:rFonts w:ascii="IBM Plex Sans Light" w:hAnsi="IBM Plex Sans Light"/>
                <w:b/>
                <w:bCs/>
                <w:color w:val="3D7FE0" w:themeColor="accent1"/>
              </w:rPr>
            </w:pPr>
            <w:r w:rsidRPr="00895810">
              <w:rPr>
                <w:rFonts w:ascii="IBM Plex Sans Light" w:hAnsi="IBM Plex Sans Light"/>
                <w:b/>
                <w:bCs/>
                <w:color w:val="3D7FE0" w:themeColor="accent1"/>
              </w:rPr>
              <w:t xml:space="preserve"> </w:t>
            </w:r>
            <w:r w:rsidR="00F90775">
              <w:rPr>
                <w:rFonts w:ascii="IBM Plex Sans Light" w:hAnsi="IBM Plex Sans Light"/>
                <w:b/>
                <w:bCs/>
                <w:color w:val="3D7FE0" w:themeColor="accent1"/>
              </w:rPr>
              <w:t>Headline</w:t>
            </w:r>
          </w:p>
        </w:tc>
        <w:tc>
          <w:tcPr>
            <w:tcW w:w="284" w:type="dxa"/>
            <w:tcBorders>
              <w:top w:val="single" w:sz="2" w:space="0" w:color="3D7FE0" w:themeColor="accent1"/>
              <w:bottom w:val="single" w:sz="2" w:space="0" w:color="3D7FE0" w:themeColor="accent1"/>
            </w:tcBorders>
          </w:tcPr>
          <w:p w14:paraId="0E5B5AFC" w14:textId="16D2C73E" w:rsidR="00363F8A" w:rsidRPr="00895810" w:rsidRDefault="00363F8A" w:rsidP="00363F8A">
            <w:pPr>
              <w:spacing w:after="0" w:line="240" w:lineRule="auto"/>
              <w:rPr>
                <w:rFonts w:ascii="IBM Plex Sans Light" w:hAnsi="IBM Plex Sans Light"/>
                <w:b/>
                <w:bCs/>
                <w:color w:val="3D7FE0" w:themeColor="accent1"/>
              </w:rPr>
            </w:pPr>
          </w:p>
        </w:tc>
        <w:tc>
          <w:tcPr>
            <w:tcW w:w="566" w:type="dxa"/>
            <w:tcBorders>
              <w:top w:val="single" w:sz="2" w:space="0" w:color="3D7FE0" w:themeColor="accent1"/>
              <w:bottom w:val="single" w:sz="2" w:space="0" w:color="3D7FE0" w:themeColor="accent1"/>
            </w:tcBorders>
            <w:vAlign w:val="center"/>
          </w:tcPr>
          <w:p w14:paraId="6C266280" w14:textId="140BD2B2" w:rsidR="00363F8A" w:rsidRPr="00895810" w:rsidRDefault="00363F8A" w:rsidP="00363F8A">
            <w:pPr>
              <w:pStyle w:val="Tabletext"/>
              <w:tabs>
                <w:tab w:val="left" w:pos="284"/>
              </w:tabs>
              <w:ind w:left="-106"/>
              <w:jc w:val="right"/>
              <w:rPr>
                <w:rFonts w:ascii="IBM Plex Sans Light" w:hAnsi="IBM Plex Sans Light"/>
                <w:szCs w:val="16"/>
              </w:rPr>
            </w:pPr>
            <w:r>
              <w:rPr>
                <w:rFonts w:ascii="IBM Plex Sans Light" w:hAnsi="IBM Plex Sans Light"/>
                <w:szCs w:val="16"/>
              </w:rPr>
              <w:t>9</w:t>
            </w:r>
            <w:r w:rsidRPr="00895810">
              <w:rPr>
                <w:rFonts w:ascii="IBM Plex Sans Light" w:hAnsi="IBM Plex Sans Light"/>
                <w:szCs w:val="16"/>
              </w:rPr>
              <w:t>A</w:t>
            </w:r>
          </w:p>
        </w:tc>
        <w:tc>
          <w:tcPr>
            <w:tcW w:w="1134" w:type="dxa"/>
            <w:tcBorders>
              <w:top w:val="single" w:sz="2" w:space="0" w:color="3D7FE0" w:themeColor="accent1"/>
              <w:bottom w:val="single" w:sz="2" w:space="0" w:color="3D7FE0" w:themeColor="accent1"/>
            </w:tcBorders>
          </w:tcPr>
          <w:p w14:paraId="61BE1ED5" w14:textId="5639D830"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102.9</w:t>
            </w:r>
          </w:p>
        </w:tc>
        <w:tc>
          <w:tcPr>
            <w:tcW w:w="1192" w:type="dxa"/>
            <w:tcBorders>
              <w:top w:val="single" w:sz="2" w:space="0" w:color="3D7FE0" w:themeColor="accent1"/>
              <w:bottom w:val="single" w:sz="2" w:space="0" w:color="3D7FE0" w:themeColor="accent1"/>
            </w:tcBorders>
            <w:vAlign w:val="bottom"/>
          </w:tcPr>
          <w:p w14:paraId="3F444413" w14:textId="1A56D10E" w:rsidR="00363F8A" w:rsidRPr="00895810" w:rsidRDefault="00363F8A" w:rsidP="00363F8A">
            <w:pPr>
              <w:pStyle w:val="TableFiguresBold"/>
              <w:rPr>
                <w:rFonts w:ascii="IBM Plex Sans Light" w:hAnsi="IBM Plex Sans Light"/>
                <w:b w:val="0"/>
                <w:bCs w:val="0"/>
                <w:spacing w:val="-4"/>
                <w:sz w:val="18"/>
                <w:szCs w:val="18"/>
              </w:rPr>
            </w:pPr>
            <w:r>
              <w:rPr>
                <w:rFonts w:ascii="IBM Plex Sans Light" w:hAnsi="IBM Plex Sans Light"/>
                <w:b w:val="0"/>
                <w:bCs w:val="0"/>
                <w:spacing w:val="-4"/>
                <w:sz w:val="18"/>
                <w:szCs w:val="18"/>
              </w:rPr>
              <w:t>116.8</w:t>
            </w:r>
          </w:p>
        </w:tc>
        <w:tc>
          <w:tcPr>
            <w:tcW w:w="236" w:type="dxa"/>
            <w:tcBorders>
              <w:top w:val="single" w:sz="2" w:space="0" w:color="3D7FE0" w:themeColor="accent1"/>
              <w:bottom w:val="single" w:sz="2" w:space="0" w:color="3D7FE0" w:themeColor="accent1"/>
            </w:tcBorders>
          </w:tcPr>
          <w:p w14:paraId="3559D801" w14:textId="77777777" w:rsidR="00363F8A" w:rsidRPr="00895810" w:rsidRDefault="00363F8A" w:rsidP="00363F8A">
            <w:pPr>
              <w:pStyle w:val="TableFigures"/>
              <w:rPr>
                <w:rFonts w:ascii="IBM Plex Sans Light" w:hAnsi="IBM Plex Sans Light"/>
                <w:b/>
                <w:color w:val="3D7FE0" w:themeColor="accent1"/>
                <w:spacing w:val="-4"/>
                <w:sz w:val="18"/>
                <w:szCs w:val="18"/>
              </w:rPr>
            </w:pPr>
          </w:p>
        </w:tc>
        <w:tc>
          <w:tcPr>
            <w:tcW w:w="1131" w:type="dxa"/>
            <w:tcBorders>
              <w:top w:val="single" w:sz="2" w:space="0" w:color="3D7FE0" w:themeColor="accent1"/>
              <w:bottom w:val="single" w:sz="2" w:space="0" w:color="3D7FE0" w:themeColor="accent1"/>
            </w:tcBorders>
          </w:tcPr>
          <w:p w14:paraId="38F4652B" w14:textId="2AB9E025"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2.1p</w:t>
            </w:r>
          </w:p>
        </w:tc>
        <w:tc>
          <w:tcPr>
            <w:tcW w:w="1041" w:type="dxa"/>
            <w:tcBorders>
              <w:top w:val="single" w:sz="2" w:space="0" w:color="3D7FE0" w:themeColor="accent1"/>
              <w:bottom w:val="single" w:sz="2" w:space="0" w:color="3D7FE0" w:themeColor="accent1"/>
            </w:tcBorders>
            <w:tcMar>
              <w:left w:w="0" w:type="dxa"/>
              <w:right w:w="0" w:type="dxa"/>
            </w:tcMar>
          </w:tcPr>
          <w:p w14:paraId="12D9FB6A" w14:textId="74B97F8B" w:rsidR="00363F8A" w:rsidRPr="009A610A"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2.4p</w:t>
            </w:r>
          </w:p>
        </w:tc>
        <w:tc>
          <w:tcPr>
            <w:tcW w:w="1041" w:type="dxa"/>
            <w:tcBorders>
              <w:top w:val="single" w:sz="2" w:space="0" w:color="3D7FE0" w:themeColor="accent1"/>
              <w:bottom w:val="single" w:sz="2" w:space="0" w:color="3D7FE0" w:themeColor="accent1"/>
            </w:tcBorders>
            <w:tcMar>
              <w:left w:w="0" w:type="dxa"/>
              <w:right w:w="0" w:type="dxa"/>
            </w:tcMar>
          </w:tcPr>
          <w:p w14:paraId="4F8ECE59" w14:textId="5E6363D5"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2.1p</w:t>
            </w:r>
          </w:p>
        </w:tc>
        <w:tc>
          <w:tcPr>
            <w:tcW w:w="1041" w:type="dxa"/>
            <w:tcBorders>
              <w:top w:val="single" w:sz="2" w:space="0" w:color="3D7FE0" w:themeColor="accent1"/>
              <w:bottom w:val="single" w:sz="2" w:space="0" w:color="3D7FE0" w:themeColor="accent1"/>
            </w:tcBorders>
            <w:tcMar>
              <w:left w:w="0" w:type="dxa"/>
              <w:right w:w="0" w:type="dxa"/>
            </w:tcMar>
          </w:tcPr>
          <w:p w14:paraId="348F190E" w14:textId="2AE2AFA8" w:rsidR="00363F8A" w:rsidRPr="009A610A"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2.4p</w:t>
            </w:r>
          </w:p>
        </w:tc>
      </w:tr>
      <w:tr w:rsidR="00363F8A" w:rsidRPr="00895810" w14:paraId="41A19CA6" w14:textId="77777777" w:rsidTr="00B7740E">
        <w:tc>
          <w:tcPr>
            <w:tcW w:w="2268" w:type="dxa"/>
            <w:tcBorders>
              <w:top w:val="single" w:sz="2" w:space="0" w:color="0099CC"/>
              <w:bottom w:val="single" w:sz="2" w:space="0" w:color="3D7FE0" w:themeColor="accent1"/>
            </w:tcBorders>
            <w:tcMar>
              <w:left w:w="0" w:type="dxa"/>
              <w:right w:w="0" w:type="dxa"/>
            </w:tcMar>
          </w:tcPr>
          <w:p w14:paraId="6F70B37A" w14:textId="77777777" w:rsidR="00363F8A" w:rsidRPr="00895810" w:rsidRDefault="00363F8A" w:rsidP="00363F8A">
            <w:pPr>
              <w:pStyle w:val="Tabletext"/>
              <w:rPr>
                <w:rFonts w:ascii="IBM Plex Sans Light" w:hAnsi="IBM Plex Sans Light"/>
                <w:b/>
                <w:bCs/>
                <w:color w:val="3D7FE0" w:themeColor="accent1"/>
                <w:spacing w:val="-4"/>
                <w:sz w:val="18"/>
                <w:szCs w:val="24"/>
              </w:rPr>
            </w:pPr>
            <w:r w:rsidRPr="00895810">
              <w:rPr>
                <w:rFonts w:ascii="IBM Plex Sans Light" w:hAnsi="IBM Plex Sans Light"/>
                <w:b/>
                <w:bCs/>
                <w:color w:val="3D7FE0" w:themeColor="accent1"/>
                <w:spacing w:val="-4"/>
                <w:sz w:val="18"/>
                <w:szCs w:val="24"/>
              </w:rPr>
              <w:t xml:space="preserve"> EPRA</w:t>
            </w:r>
          </w:p>
        </w:tc>
        <w:tc>
          <w:tcPr>
            <w:tcW w:w="284" w:type="dxa"/>
            <w:tcBorders>
              <w:top w:val="single" w:sz="2" w:space="0" w:color="0099CC"/>
              <w:bottom w:val="single" w:sz="2" w:space="0" w:color="3D7FE0" w:themeColor="accent1"/>
            </w:tcBorders>
          </w:tcPr>
          <w:p w14:paraId="7B797361" w14:textId="2F325537" w:rsidR="00363F8A" w:rsidRPr="00895810" w:rsidRDefault="00363F8A" w:rsidP="00363F8A">
            <w:pPr>
              <w:pStyle w:val="Tabletext"/>
              <w:rPr>
                <w:rFonts w:ascii="IBM Plex Sans Light" w:hAnsi="IBM Plex Sans Light"/>
                <w:b/>
                <w:bCs/>
                <w:color w:val="3D7FE0" w:themeColor="accent1"/>
                <w:spacing w:val="-4"/>
                <w:sz w:val="18"/>
                <w:szCs w:val="24"/>
              </w:rPr>
            </w:pPr>
          </w:p>
        </w:tc>
        <w:tc>
          <w:tcPr>
            <w:tcW w:w="566" w:type="dxa"/>
            <w:tcBorders>
              <w:top w:val="single" w:sz="2" w:space="0" w:color="0099CC"/>
              <w:bottom w:val="single" w:sz="2" w:space="0" w:color="3D7FE0" w:themeColor="accent1"/>
            </w:tcBorders>
            <w:vAlign w:val="center"/>
          </w:tcPr>
          <w:p w14:paraId="1B09D47D" w14:textId="78871B00" w:rsidR="00363F8A" w:rsidRPr="00895810" w:rsidRDefault="00363F8A" w:rsidP="00363F8A">
            <w:pPr>
              <w:pStyle w:val="Tabletext"/>
              <w:tabs>
                <w:tab w:val="left" w:pos="284"/>
              </w:tabs>
              <w:ind w:left="-106"/>
              <w:jc w:val="right"/>
              <w:rPr>
                <w:rFonts w:ascii="IBM Plex Sans Light" w:hAnsi="IBM Plex Sans Light"/>
                <w:color w:val="auto"/>
                <w:spacing w:val="-4"/>
                <w:szCs w:val="16"/>
              </w:rPr>
            </w:pPr>
            <w:r>
              <w:rPr>
                <w:rFonts w:ascii="IBM Plex Sans Light" w:hAnsi="IBM Plex Sans Light"/>
                <w:szCs w:val="16"/>
              </w:rPr>
              <w:t>9</w:t>
            </w:r>
            <w:r w:rsidRPr="00895810">
              <w:rPr>
                <w:rFonts w:ascii="IBM Plex Sans Light" w:hAnsi="IBM Plex Sans Light"/>
                <w:szCs w:val="16"/>
              </w:rPr>
              <w:t>A</w:t>
            </w:r>
          </w:p>
        </w:tc>
        <w:tc>
          <w:tcPr>
            <w:tcW w:w="1134" w:type="dxa"/>
            <w:tcBorders>
              <w:top w:val="single" w:sz="2" w:space="0" w:color="0099CC"/>
              <w:bottom w:val="single" w:sz="2" w:space="0" w:color="3D7FE0" w:themeColor="accent1"/>
            </w:tcBorders>
          </w:tcPr>
          <w:p w14:paraId="7D4C5023" w14:textId="04279809"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102.8</w:t>
            </w:r>
          </w:p>
        </w:tc>
        <w:tc>
          <w:tcPr>
            <w:tcW w:w="1192" w:type="dxa"/>
            <w:tcBorders>
              <w:top w:val="single" w:sz="2" w:space="0" w:color="0099CC"/>
              <w:bottom w:val="single" w:sz="2" w:space="0" w:color="3D7FE0" w:themeColor="accent1"/>
            </w:tcBorders>
          </w:tcPr>
          <w:p w14:paraId="1114A18B" w14:textId="7C7C9619" w:rsidR="00363F8A" w:rsidRPr="00895810" w:rsidRDefault="00363F8A" w:rsidP="00363F8A">
            <w:pPr>
              <w:pStyle w:val="TableFiguresBold"/>
              <w:rPr>
                <w:rFonts w:ascii="IBM Plex Sans Light" w:hAnsi="IBM Plex Sans Light"/>
                <w:b w:val="0"/>
                <w:bCs w:val="0"/>
                <w:spacing w:val="-4"/>
                <w:sz w:val="18"/>
                <w:szCs w:val="18"/>
              </w:rPr>
            </w:pPr>
            <w:r w:rsidRPr="00276465">
              <w:rPr>
                <w:rFonts w:ascii="IBM Plex Sans Light" w:hAnsi="IBM Plex Sans Light"/>
                <w:b w:val="0"/>
                <w:bCs w:val="0"/>
                <w:spacing w:val="-4"/>
                <w:sz w:val="18"/>
                <w:szCs w:val="18"/>
              </w:rPr>
              <w:t>100.6</w:t>
            </w:r>
          </w:p>
        </w:tc>
        <w:tc>
          <w:tcPr>
            <w:tcW w:w="236" w:type="dxa"/>
            <w:tcBorders>
              <w:top w:val="single" w:sz="2" w:space="0" w:color="0099CC"/>
              <w:bottom w:val="single" w:sz="2" w:space="0" w:color="3D7FE0" w:themeColor="accent1"/>
            </w:tcBorders>
          </w:tcPr>
          <w:p w14:paraId="3CE453A8" w14:textId="77777777" w:rsidR="00363F8A" w:rsidRPr="00895810" w:rsidRDefault="00363F8A" w:rsidP="00363F8A">
            <w:pPr>
              <w:pStyle w:val="TableFigures"/>
              <w:rPr>
                <w:rFonts w:ascii="IBM Plex Sans Light" w:hAnsi="IBM Plex Sans Light" w:cs="MyriadPro-Light"/>
                <w:b/>
                <w:color w:val="3D7FE0" w:themeColor="accent1"/>
                <w:spacing w:val="-4"/>
                <w:sz w:val="18"/>
                <w:szCs w:val="18"/>
              </w:rPr>
            </w:pPr>
          </w:p>
        </w:tc>
        <w:tc>
          <w:tcPr>
            <w:tcW w:w="1131" w:type="dxa"/>
            <w:tcBorders>
              <w:top w:val="single" w:sz="2" w:space="0" w:color="0099CC"/>
              <w:bottom w:val="single" w:sz="2" w:space="0" w:color="3D7FE0" w:themeColor="accent1"/>
            </w:tcBorders>
          </w:tcPr>
          <w:p w14:paraId="5F861DFF" w14:textId="37D8C4C2"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2.1p</w:t>
            </w:r>
          </w:p>
        </w:tc>
        <w:tc>
          <w:tcPr>
            <w:tcW w:w="1041" w:type="dxa"/>
            <w:tcBorders>
              <w:top w:val="single" w:sz="2" w:space="0" w:color="0099CC"/>
              <w:bottom w:val="single" w:sz="2" w:space="0" w:color="3D7FE0" w:themeColor="accent1"/>
            </w:tcBorders>
            <w:tcMar>
              <w:left w:w="0" w:type="dxa"/>
              <w:right w:w="0" w:type="dxa"/>
            </w:tcMar>
          </w:tcPr>
          <w:p w14:paraId="3739AAEF" w14:textId="523AE343" w:rsidR="00363F8A" w:rsidRPr="009A610A"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2.0p</w:t>
            </w:r>
          </w:p>
        </w:tc>
        <w:tc>
          <w:tcPr>
            <w:tcW w:w="1041" w:type="dxa"/>
            <w:tcBorders>
              <w:top w:val="single" w:sz="2" w:space="0" w:color="0099CC"/>
              <w:bottom w:val="single" w:sz="2" w:space="0" w:color="3D7FE0" w:themeColor="accent1"/>
            </w:tcBorders>
            <w:tcMar>
              <w:left w:w="0" w:type="dxa"/>
              <w:right w:w="0" w:type="dxa"/>
            </w:tcMar>
          </w:tcPr>
          <w:p w14:paraId="3A5F70DC" w14:textId="25F9D09A"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2.1p</w:t>
            </w:r>
          </w:p>
        </w:tc>
        <w:tc>
          <w:tcPr>
            <w:tcW w:w="1041" w:type="dxa"/>
            <w:tcBorders>
              <w:top w:val="single" w:sz="2" w:space="0" w:color="0099CC"/>
              <w:bottom w:val="single" w:sz="2" w:space="0" w:color="3D7FE0" w:themeColor="accent1"/>
            </w:tcBorders>
            <w:tcMar>
              <w:left w:w="0" w:type="dxa"/>
              <w:right w:w="0" w:type="dxa"/>
            </w:tcMar>
          </w:tcPr>
          <w:p w14:paraId="7A79802F" w14:textId="34925760" w:rsidR="00363F8A" w:rsidRPr="009A610A"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2.0p</w:t>
            </w:r>
          </w:p>
        </w:tc>
      </w:tr>
      <w:tr w:rsidR="00363F8A" w:rsidRPr="00895810" w14:paraId="2C7DCA98" w14:textId="77777777" w:rsidTr="00B7740E">
        <w:tc>
          <w:tcPr>
            <w:tcW w:w="2268" w:type="dxa"/>
            <w:tcBorders>
              <w:top w:val="single" w:sz="2" w:space="0" w:color="3D7FE0" w:themeColor="accent1"/>
              <w:bottom w:val="single" w:sz="8" w:space="0" w:color="3D7FE0" w:themeColor="accent1"/>
            </w:tcBorders>
            <w:tcMar>
              <w:left w:w="0" w:type="dxa"/>
              <w:right w:w="0" w:type="dxa"/>
            </w:tcMar>
          </w:tcPr>
          <w:p w14:paraId="10311B86" w14:textId="5BB8C19B" w:rsidR="00363F8A" w:rsidRPr="00895810" w:rsidRDefault="00F90775" w:rsidP="00363F8A">
            <w:pPr>
              <w:pStyle w:val="Tabletext"/>
              <w:rPr>
                <w:rFonts w:ascii="IBM Plex Sans Light" w:hAnsi="IBM Plex Sans Light"/>
                <w:b/>
                <w:bCs/>
                <w:color w:val="3D7FE0" w:themeColor="accent1"/>
                <w:spacing w:val="-4"/>
                <w:sz w:val="18"/>
                <w:szCs w:val="24"/>
              </w:rPr>
            </w:pPr>
            <w:r>
              <w:rPr>
                <w:rFonts w:ascii="IBM Plex Sans Light" w:hAnsi="IBM Plex Sans Light"/>
                <w:b/>
                <w:bCs/>
                <w:color w:val="3D7FE0" w:themeColor="accent1"/>
                <w:spacing w:val="-4"/>
                <w:sz w:val="18"/>
                <w:szCs w:val="24"/>
              </w:rPr>
              <w:t>Adjusted</w:t>
            </w:r>
          </w:p>
        </w:tc>
        <w:tc>
          <w:tcPr>
            <w:tcW w:w="284" w:type="dxa"/>
            <w:tcBorders>
              <w:top w:val="single" w:sz="2" w:space="0" w:color="3D7FE0" w:themeColor="accent1"/>
              <w:bottom w:val="single" w:sz="8" w:space="0" w:color="3D7FE0" w:themeColor="accent1"/>
            </w:tcBorders>
          </w:tcPr>
          <w:p w14:paraId="45AD6DE1" w14:textId="38FBE198" w:rsidR="00363F8A" w:rsidRPr="00895810" w:rsidRDefault="00363F8A" w:rsidP="00363F8A">
            <w:pPr>
              <w:pStyle w:val="Tabletext"/>
              <w:rPr>
                <w:rFonts w:ascii="IBM Plex Sans Light" w:hAnsi="IBM Plex Sans Light"/>
                <w:b/>
                <w:bCs/>
                <w:color w:val="3D7FE0" w:themeColor="accent1"/>
                <w:spacing w:val="-4"/>
                <w:sz w:val="18"/>
                <w:szCs w:val="24"/>
              </w:rPr>
            </w:pPr>
          </w:p>
        </w:tc>
        <w:tc>
          <w:tcPr>
            <w:tcW w:w="566" w:type="dxa"/>
            <w:tcBorders>
              <w:top w:val="single" w:sz="2" w:space="0" w:color="3D7FE0" w:themeColor="accent1"/>
              <w:bottom w:val="single" w:sz="8" w:space="0" w:color="3D7FE0" w:themeColor="accent1"/>
            </w:tcBorders>
            <w:vAlign w:val="center"/>
          </w:tcPr>
          <w:p w14:paraId="492354E3" w14:textId="646EBD03" w:rsidR="00363F8A" w:rsidRPr="00895810" w:rsidRDefault="00363F8A" w:rsidP="00363F8A">
            <w:pPr>
              <w:pStyle w:val="Tabletext"/>
              <w:tabs>
                <w:tab w:val="left" w:pos="284"/>
              </w:tabs>
              <w:ind w:left="-106"/>
              <w:jc w:val="right"/>
              <w:rPr>
                <w:rFonts w:ascii="IBM Plex Sans Light" w:hAnsi="IBM Plex Sans Light"/>
                <w:color w:val="auto"/>
                <w:spacing w:val="-4"/>
                <w:szCs w:val="16"/>
              </w:rPr>
            </w:pPr>
            <w:r>
              <w:rPr>
                <w:rFonts w:ascii="IBM Plex Sans Light" w:hAnsi="IBM Plex Sans Light"/>
                <w:szCs w:val="16"/>
              </w:rPr>
              <w:t>9</w:t>
            </w:r>
            <w:r w:rsidRPr="00895810">
              <w:rPr>
                <w:rFonts w:ascii="IBM Plex Sans Light" w:hAnsi="IBM Plex Sans Light"/>
                <w:szCs w:val="16"/>
              </w:rPr>
              <w:t>A</w:t>
            </w:r>
          </w:p>
        </w:tc>
        <w:tc>
          <w:tcPr>
            <w:tcW w:w="1134" w:type="dxa"/>
            <w:tcBorders>
              <w:top w:val="single" w:sz="2" w:space="0" w:color="3D7FE0" w:themeColor="accent1"/>
              <w:bottom w:val="single" w:sz="8" w:space="0" w:color="3D7FE0" w:themeColor="accent1"/>
            </w:tcBorders>
          </w:tcPr>
          <w:p w14:paraId="295D3C30" w14:textId="7E0048A3"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116.3</w:t>
            </w:r>
          </w:p>
        </w:tc>
        <w:tc>
          <w:tcPr>
            <w:tcW w:w="1192" w:type="dxa"/>
            <w:tcBorders>
              <w:top w:val="single" w:sz="2" w:space="0" w:color="3D7FE0" w:themeColor="accent1"/>
              <w:bottom w:val="single" w:sz="8" w:space="0" w:color="3D7FE0" w:themeColor="accent1"/>
            </w:tcBorders>
          </w:tcPr>
          <w:p w14:paraId="2FCF8F24" w14:textId="0BFAAF2B" w:rsidR="00363F8A" w:rsidRPr="00895810" w:rsidRDefault="00363F8A" w:rsidP="00363F8A">
            <w:pPr>
              <w:pStyle w:val="TableFiguresBold"/>
              <w:rPr>
                <w:rFonts w:ascii="IBM Plex Sans Light" w:hAnsi="IBM Plex Sans Light"/>
                <w:b w:val="0"/>
                <w:bCs w:val="0"/>
                <w:spacing w:val="-4"/>
                <w:sz w:val="18"/>
                <w:szCs w:val="18"/>
              </w:rPr>
            </w:pPr>
            <w:r w:rsidRPr="00276465">
              <w:rPr>
                <w:rFonts w:ascii="IBM Plex Sans Light" w:hAnsi="IBM Plex Sans Light"/>
                <w:b w:val="0"/>
                <w:bCs w:val="0"/>
                <w:spacing w:val="-4"/>
                <w:sz w:val="18"/>
                <w:szCs w:val="18"/>
              </w:rPr>
              <w:t>104.9</w:t>
            </w:r>
          </w:p>
        </w:tc>
        <w:tc>
          <w:tcPr>
            <w:tcW w:w="236" w:type="dxa"/>
            <w:tcBorders>
              <w:top w:val="single" w:sz="2" w:space="0" w:color="3D7FE0" w:themeColor="accent1"/>
              <w:bottom w:val="single" w:sz="8" w:space="0" w:color="3D7FE0" w:themeColor="accent1"/>
            </w:tcBorders>
          </w:tcPr>
          <w:p w14:paraId="6BCA6608" w14:textId="77777777" w:rsidR="00363F8A" w:rsidRPr="00895810" w:rsidRDefault="00363F8A" w:rsidP="00363F8A">
            <w:pPr>
              <w:pStyle w:val="TableFigures"/>
              <w:rPr>
                <w:rFonts w:ascii="IBM Plex Sans Light" w:hAnsi="IBM Plex Sans Light" w:cs="MyriadPro-Light"/>
                <w:b/>
                <w:color w:val="3D7FE0" w:themeColor="accent1"/>
                <w:spacing w:val="-4"/>
                <w:sz w:val="18"/>
                <w:szCs w:val="18"/>
              </w:rPr>
            </w:pPr>
          </w:p>
        </w:tc>
        <w:tc>
          <w:tcPr>
            <w:tcW w:w="1131" w:type="dxa"/>
            <w:tcBorders>
              <w:top w:val="single" w:sz="2" w:space="0" w:color="3D7FE0" w:themeColor="accent1"/>
              <w:bottom w:val="single" w:sz="8" w:space="0" w:color="3D7FE0" w:themeColor="accent1"/>
            </w:tcBorders>
          </w:tcPr>
          <w:p w14:paraId="48B311C6" w14:textId="12010DBD"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2.3p</w:t>
            </w:r>
          </w:p>
        </w:tc>
        <w:tc>
          <w:tcPr>
            <w:tcW w:w="1041" w:type="dxa"/>
            <w:tcBorders>
              <w:top w:val="single" w:sz="2" w:space="0" w:color="3D7FE0" w:themeColor="accent1"/>
              <w:bottom w:val="single" w:sz="8" w:space="0" w:color="3D7FE0" w:themeColor="accent1"/>
            </w:tcBorders>
            <w:tcMar>
              <w:left w:w="0" w:type="dxa"/>
              <w:right w:w="0" w:type="dxa"/>
            </w:tcMar>
          </w:tcPr>
          <w:p w14:paraId="18BDAD87" w14:textId="421AC256" w:rsidR="00363F8A" w:rsidRPr="009A610A"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2.1p</w:t>
            </w:r>
          </w:p>
        </w:tc>
        <w:tc>
          <w:tcPr>
            <w:tcW w:w="1041" w:type="dxa"/>
            <w:tcBorders>
              <w:top w:val="single" w:sz="2" w:space="0" w:color="3D7FE0" w:themeColor="accent1"/>
              <w:bottom w:val="single" w:sz="8" w:space="0" w:color="3D7FE0" w:themeColor="accent1"/>
            </w:tcBorders>
            <w:tcMar>
              <w:left w:w="0" w:type="dxa"/>
              <w:right w:w="0" w:type="dxa"/>
            </w:tcMar>
          </w:tcPr>
          <w:p w14:paraId="3FB6CA4B" w14:textId="7BC45ED6"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2.3p</w:t>
            </w:r>
          </w:p>
        </w:tc>
        <w:tc>
          <w:tcPr>
            <w:tcW w:w="1041" w:type="dxa"/>
            <w:tcBorders>
              <w:top w:val="single" w:sz="2" w:space="0" w:color="3D7FE0" w:themeColor="accent1"/>
              <w:bottom w:val="single" w:sz="8" w:space="0" w:color="3D7FE0" w:themeColor="accent1"/>
            </w:tcBorders>
            <w:tcMar>
              <w:left w:w="0" w:type="dxa"/>
              <w:right w:w="0" w:type="dxa"/>
            </w:tcMar>
          </w:tcPr>
          <w:p w14:paraId="627B6634" w14:textId="3772AC09" w:rsidR="00363F8A" w:rsidRPr="009A610A" w:rsidRDefault="00363F8A" w:rsidP="00363F8A">
            <w:pPr>
              <w:pStyle w:val="TableFiguresBold"/>
              <w:ind w:right="34"/>
              <w:rPr>
                <w:rFonts w:ascii="IBM Plex Sans Light" w:hAnsi="IBM Plex Sans Light" w:cs="MyriadPro-Light"/>
                <w:b w:val="0"/>
                <w:bCs w:val="0"/>
                <w:color w:val="auto"/>
                <w:spacing w:val="-4"/>
                <w:sz w:val="18"/>
                <w:szCs w:val="18"/>
              </w:rPr>
            </w:pPr>
            <w:r w:rsidRPr="009A610A">
              <w:rPr>
                <w:rFonts w:ascii="IBM Plex Sans Light" w:hAnsi="IBM Plex Sans Light" w:cs="MyriadPro-Light"/>
                <w:b w:val="0"/>
                <w:bCs w:val="0"/>
                <w:color w:val="auto"/>
                <w:spacing w:val="-4"/>
                <w:sz w:val="18"/>
                <w:szCs w:val="18"/>
              </w:rPr>
              <w:t>2.1p</w:t>
            </w:r>
          </w:p>
        </w:tc>
      </w:tr>
    </w:tbl>
    <w:p w14:paraId="60E6A7C1" w14:textId="77777777" w:rsidR="008B395D" w:rsidRPr="00895810" w:rsidRDefault="008B395D" w:rsidP="008B395D">
      <w:pPr>
        <w:pStyle w:val="TableFiguresBold"/>
        <w:spacing w:before="120" w:after="0" w:line="240" w:lineRule="auto"/>
        <w:ind w:left="284" w:right="-142" w:hanging="284"/>
        <w:jc w:val="left"/>
        <w:rPr>
          <w:rFonts w:ascii="IBM Plex Sans Light" w:hAnsi="IBM Plex Sans Light"/>
          <w:b w:val="0"/>
          <w:bCs w:val="0"/>
        </w:rPr>
      </w:pPr>
    </w:p>
    <w:p w14:paraId="452E6204" w14:textId="1CE17771" w:rsidR="001B68D8" w:rsidRPr="00895810" w:rsidRDefault="00385BAD" w:rsidP="001B68D8">
      <w:pPr>
        <w:pStyle w:val="TableFiguresBold"/>
        <w:jc w:val="left"/>
        <w:rPr>
          <w:rFonts w:ascii="IBM Plex Sans Light" w:hAnsi="IBM Plex Sans Light" w:cs="Arial"/>
          <w:b w:val="0"/>
          <w:bCs w:val="0"/>
          <w:szCs w:val="16"/>
        </w:rPr>
      </w:pPr>
      <w:r w:rsidRPr="00895810">
        <w:rPr>
          <w:rFonts w:ascii="IBM Plex Sans Light" w:hAnsi="IBM Plex Sans Light" w:cs="Arial"/>
          <w:color w:val="3D7FE0" w:themeColor="accent1"/>
          <w:sz w:val="18"/>
          <w:szCs w:val="16"/>
        </w:rPr>
        <w:t>C</w:t>
      </w:r>
      <w:r w:rsidR="001B68D8" w:rsidRPr="00895810">
        <w:rPr>
          <w:rFonts w:ascii="IBM Plex Sans Light" w:hAnsi="IBM Plex Sans Light" w:cs="Arial"/>
          <w:color w:val="3D7FE0" w:themeColor="accent1"/>
          <w:sz w:val="18"/>
          <w:szCs w:val="16"/>
        </w:rPr>
        <w:t xml:space="preserve">. </w:t>
      </w:r>
      <w:r w:rsidR="005F6D26" w:rsidRPr="00895810">
        <w:rPr>
          <w:rFonts w:ascii="IBM Plex Sans Light" w:hAnsi="IBM Plex Sans Light" w:cs="Arial"/>
          <w:color w:val="3D7FE0" w:themeColor="accent1"/>
          <w:sz w:val="18"/>
          <w:szCs w:val="16"/>
        </w:rPr>
        <w:t>NET ASSET VALUE PER SHARE</w:t>
      </w:r>
    </w:p>
    <w:tbl>
      <w:tblPr>
        <w:tblW w:w="9924" w:type="dxa"/>
        <w:tblLayout w:type="fixed"/>
        <w:tblLook w:val="01E0" w:firstRow="1" w:lastRow="1" w:firstColumn="1" w:lastColumn="1" w:noHBand="0" w:noVBand="0"/>
      </w:tblPr>
      <w:tblGrid>
        <w:gridCol w:w="3686"/>
        <w:gridCol w:w="709"/>
        <w:gridCol w:w="1390"/>
        <w:gridCol w:w="1303"/>
        <w:gridCol w:w="283"/>
        <w:gridCol w:w="1255"/>
        <w:gridCol w:w="1298"/>
      </w:tblGrid>
      <w:tr w:rsidR="00A3357C" w:rsidRPr="00895810" w14:paraId="306A1BD0" w14:textId="77777777" w:rsidTr="00D91739">
        <w:tc>
          <w:tcPr>
            <w:tcW w:w="3686" w:type="dxa"/>
            <w:tcMar>
              <w:left w:w="0" w:type="dxa"/>
              <w:right w:w="0" w:type="dxa"/>
            </w:tcMar>
            <w:vAlign w:val="bottom"/>
          </w:tcPr>
          <w:p w14:paraId="3C0CB503" w14:textId="77777777" w:rsidR="00A3357C" w:rsidRPr="00895810" w:rsidRDefault="00A3357C" w:rsidP="00A3357C">
            <w:pPr>
              <w:pStyle w:val="TableColHeads"/>
              <w:rPr>
                <w:rFonts w:ascii="IBM Plex Sans Light" w:hAnsi="IBM Plex Sans Light"/>
              </w:rPr>
            </w:pPr>
          </w:p>
        </w:tc>
        <w:tc>
          <w:tcPr>
            <w:tcW w:w="709" w:type="dxa"/>
          </w:tcPr>
          <w:p w14:paraId="4E89193E" w14:textId="77777777" w:rsidR="00A3357C" w:rsidRPr="00895810" w:rsidRDefault="00A3357C" w:rsidP="00A3357C">
            <w:pPr>
              <w:pStyle w:val="TableColHeads"/>
              <w:rPr>
                <w:rFonts w:ascii="IBM Plex Sans Light" w:hAnsi="IBM Plex Sans Light"/>
                <w:b/>
                <w:bCs/>
              </w:rPr>
            </w:pPr>
          </w:p>
        </w:tc>
        <w:tc>
          <w:tcPr>
            <w:tcW w:w="2693" w:type="dxa"/>
            <w:gridSpan w:val="2"/>
            <w:tcBorders>
              <w:bottom w:val="single" w:sz="2" w:space="0" w:color="3D7FE0" w:themeColor="accent1"/>
            </w:tcBorders>
            <w:tcMar>
              <w:left w:w="0" w:type="dxa"/>
              <w:right w:w="0" w:type="dxa"/>
            </w:tcMar>
            <w:vAlign w:val="bottom"/>
          </w:tcPr>
          <w:p w14:paraId="44D3A83B" w14:textId="64157D42" w:rsidR="00A3357C" w:rsidRPr="00895810" w:rsidRDefault="00A3357C" w:rsidP="00024B10">
            <w:pPr>
              <w:pStyle w:val="TableColHeadsBold"/>
              <w:rPr>
                <w:rFonts w:ascii="IBM Plex Sans Light" w:hAnsi="IBM Plex Sans Light"/>
                <w:color w:val="3D7FE0" w:themeColor="accent1"/>
              </w:rPr>
            </w:pPr>
            <w:r w:rsidRPr="00895810">
              <w:rPr>
                <w:rFonts w:ascii="IBM Plex Sans Light" w:hAnsi="IBM Plex Sans Light"/>
                <w:color w:val="3D7FE0" w:themeColor="accent1"/>
              </w:rPr>
              <w:t>Net asset value</w:t>
            </w:r>
          </w:p>
        </w:tc>
        <w:tc>
          <w:tcPr>
            <w:tcW w:w="283" w:type="dxa"/>
            <w:vAlign w:val="bottom"/>
          </w:tcPr>
          <w:p w14:paraId="06E9BFDF" w14:textId="77777777" w:rsidR="00A3357C" w:rsidRPr="00895810" w:rsidRDefault="00A3357C" w:rsidP="00A3357C">
            <w:pPr>
              <w:pStyle w:val="TableColHeadsBold"/>
              <w:rPr>
                <w:rFonts w:ascii="IBM Plex Sans Light" w:hAnsi="IBM Plex Sans Light"/>
                <w:color w:val="3D7FE0" w:themeColor="accent1"/>
              </w:rPr>
            </w:pPr>
          </w:p>
        </w:tc>
        <w:tc>
          <w:tcPr>
            <w:tcW w:w="2553" w:type="dxa"/>
            <w:gridSpan w:val="2"/>
            <w:tcBorders>
              <w:bottom w:val="single" w:sz="2" w:space="0" w:color="3D7FE0" w:themeColor="accent1"/>
            </w:tcBorders>
            <w:tcMar>
              <w:left w:w="0" w:type="dxa"/>
              <w:right w:w="0" w:type="dxa"/>
            </w:tcMar>
            <w:vAlign w:val="bottom"/>
          </w:tcPr>
          <w:p w14:paraId="528E1936" w14:textId="1A801685" w:rsidR="00A3357C" w:rsidRPr="00895810" w:rsidRDefault="00A3357C" w:rsidP="00024B10">
            <w:pPr>
              <w:pStyle w:val="TableColHeadsBold"/>
              <w:rPr>
                <w:rFonts w:ascii="IBM Plex Sans Light" w:hAnsi="IBM Plex Sans Light"/>
                <w:color w:val="3D7FE0" w:themeColor="accent1"/>
              </w:rPr>
            </w:pPr>
            <w:r w:rsidRPr="00895810">
              <w:rPr>
                <w:rFonts w:ascii="IBM Plex Sans Light" w:hAnsi="IBM Plex Sans Light"/>
                <w:color w:val="3D7FE0" w:themeColor="accent1"/>
              </w:rPr>
              <w:t>Net asset value per share</w:t>
            </w:r>
          </w:p>
        </w:tc>
      </w:tr>
      <w:tr w:rsidR="00A3357C" w:rsidRPr="00895810" w14:paraId="2B2DD371" w14:textId="77777777" w:rsidTr="00D91739">
        <w:tc>
          <w:tcPr>
            <w:tcW w:w="3686" w:type="dxa"/>
            <w:tcMar>
              <w:left w:w="0" w:type="dxa"/>
              <w:right w:w="0" w:type="dxa"/>
            </w:tcMar>
            <w:vAlign w:val="bottom"/>
          </w:tcPr>
          <w:p w14:paraId="7E2C1FE8" w14:textId="77777777" w:rsidR="00A3357C" w:rsidRPr="00895810" w:rsidRDefault="00A3357C" w:rsidP="00A3357C">
            <w:pPr>
              <w:pStyle w:val="TableColHeads"/>
              <w:rPr>
                <w:rFonts w:ascii="IBM Plex Sans Light" w:hAnsi="IBM Plex Sans Light"/>
              </w:rPr>
            </w:pPr>
          </w:p>
        </w:tc>
        <w:tc>
          <w:tcPr>
            <w:tcW w:w="709" w:type="dxa"/>
          </w:tcPr>
          <w:p w14:paraId="7DD0F8F2" w14:textId="77777777" w:rsidR="00A3357C" w:rsidRPr="00895810" w:rsidRDefault="00A3357C" w:rsidP="00D75ECB">
            <w:pPr>
              <w:pStyle w:val="TableColHeads"/>
              <w:rPr>
                <w:rFonts w:ascii="IBM Plex Sans Light" w:hAnsi="IBM Plex Sans Light"/>
              </w:rPr>
            </w:pPr>
          </w:p>
        </w:tc>
        <w:tc>
          <w:tcPr>
            <w:tcW w:w="1390" w:type="dxa"/>
            <w:tcBorders>
              <w:top w:val="single" w:sz="2" w:space="0" w:color="3D7FE0" w:themeColor="accent1"/>
            </w:tcBorders>
            <w:tcMar>
              <w:left w:w="0" w:type="dxa"/>
              <w:right w:w="0" w:type="dxa"/>
            </w:tcMar>
            <w:vAlign w:val="bottom"/>
          </w:tcPr>
          <w:p w14:paraId="79F89887" w14:textId="5558827D" w:rsidR="00A3357C" w:rsidRPr="00895810" w:rsidRDefault="00785AC2" w:rsidP="00A3357C">
            <w:pPr>
              <w:pStyle w:val="TableColHeadsBold"/>
              <w:rPr>
                <w:rFonts w:ascii="IBM Plex Sans Light" w:hAnsi="IBM Plex Sans Light"/>
                <w:bCs w:val="0"/>
                <w:color w:val="3D7FE0" w:themeColor="accent1"/>
              </w:rPr>
            </w:pPr>
            <w:r>
              <w:rPr>
                <w:rFonts w:ascii="IBM Plex Sans Light" w:hAnsi="IBM Plex Sans Light"/>
                <w:bCs w:val="0"/>
                <w:color w:val="3D7FE0" w:themeColor="accent1"/>
              </w:rPr>
              <w:t>2023</w:t>
            </w:r>
            <w:r w:rsidR="00A3357C" w:rsidRPr="00895810">
              <w:rPr>
                <w:rFonts w:ascii="IBM Plex Sans Light" w:hAnsi="IBM Plex Sans Light"/>
                <w:bCs w:val="0"/>
                <w:color w:val="3D7FE0" w:themeColor="accent1"/>
              </w:rPr>
              <w:t xml:space="preserve"> </w:t>
            </w:r>
          </w:p>
        </w:tc>
        <w:tc>
          <w:tcPr>
            <w:tcW w:w="1303" w:type="dxa"/>
            <w:tcBorders>
              <w:top w:val="single" w:sz="2" w:space="0" w:color="3D7FE0" w:themeColor="accent1"/>
            </w:tcBorders>
            <w:vAlign w:val="bottom"/>
          </w:tcPr>
          <w:p w14:paraId="51006229" w14:textId="40D415C5" w:rsidR="00A3357C" w:rsidRPr="00895810" w:rsidRDefault="006E7EB0" w:rsidP="001E02A5">
            <w:pPr>
              <w:pStyle w:val="TableColHeadsBold"/>
              <w:ind w:left="-110" w:right="-78"/>
              <w:rPr>
                <w:rFonts w:ascii="IBM Plex Sans Light" w:hAnsi="IBM Plex Sans Light"/>
                <w:b w:val="0"/>
                <w:bCs w:val="0"/>
                <w:color w:val="3D7FE0" w:themeColor="accent1"/>
              </w:rPr>
            </w:pPr>
            <w:r>
              <w:rPr>
                <w:rFonts w:ascii="IBM Plex Sans Light" w:hAnsi="IBM Plex Sans Light"/>
                <w:b w:val="0"/>
                <w:bCs w:val="0"/>
              </w:rPr>
              <w:t>2022</w:t>
            </w:r>
            <w:r w:rsidR="00A3357C" w:rsidRPr="00895810">
              <w:rPr>
                <w:rFonts w:ascii="IBM Plex Sans Light" w:hAnsi="IBM Plex Sans Light"/>
                <w:b w:val="0"/>
                <w:bCs w:val="0"/>
              </w:rPr>
              <w:t xml:space="preserve"> </w:t>
            </w:r>
          </w:p>
        </w:tc>
        <w:tc>
          <w:tcPr>
            <w:tcW w:w="283" w:type="dxa"/>
            <w:vAlign w:val="bottom"/>
          </w:tcPr>
          <w:p w14:paraId="54EB4AE2" w14:textId="7F4E4D4E" w:rsidR="00A3357C" w:rsidRPr="00895810" w:rsidRDefault="00A3357C" w:rsidP="00A3357C">
            <w:pPr>
              <w:pStyle w:val="TableColHeadsBold"/>
              <w:rPr>
                <w:rFonts w:ascii="IBM Plex Sans Light" w:hAnsi="IBM Plex Sans Light"/>
                <w:color w:val="3D7FE0" w:themeColor="accent1"/>
              </w:rPr>
            </w:pPr>
          </w:p>
        </w:tc>
        <w:tc>
          <w:tcPr>
            <w:tcW w:w="1255" w:type="dxa"/>
            <w:tcBorders>
              <w:top w:val="single" w:sz="2" w:space="0" w:color="3D7FE0" w:themeColor="accent1"/>
            </w:tcBorders>
            <w:tcMar>
              <w:left w:w="0" w:type="dxa"/>
              <w:right w:w="0" w:type="dxa"/>
            </w:tcMar>
            <w:vAlign w:val="bottom"/>
          </w:tcPr>
          <w:p w14:paraId="61A49A63" w14:textId="7DC9A00F" w:rsidR="00A3357C" w:rsidRPr="00895810" w:rsidRDefault="00785AC2" w:rsidP="00A3357C">
            <w:pPr>
              <w:pStyle w:val="TableColHeads"/>
              <w:rPr>
                <w:rFonts w:ascii="IBM Plex Sans Light" w:hAnsi="IBM Plex Sans Light"/>
                <w:b/>
                <w:bCs/>
              </w:rPr>
            </w:pPr>
            <w:r>
              <w:rPr>
                <w:rFonts w:ascii="IBM Plex Sans Light" w:hAnsi="IBM Plex Sans Light"/>
                <w:b/>
                <w:bCs/>
                <w:color w:val="3D7FE0" w:themeColor="accent1"/>
              </w:rPr>
              <w:t>2023</w:t>
            </w:r>
            <w:r w:rsidR="00A3357C" w:rsidRPr="00895810">
              <w:rPr>
                <w:rFonts w:ascii="IBM Plex Sans Light" w:hAnsi="IBM Plex Sans Light"/>
                <w:b/>
                <w:bCs/>
                <w:color w:val="3D7FE0" w:themeColor="accent1"/>
              </w:rPr>
              <w:t xml:space="preserve"> </w:t>
            </w:r>
          </w:p>
        </w:tc>
        <w:tc>
          <w:tcPr>
            <w:tcW w:w="1298" w:type="dxa"/>
            <w:tcBorders>
              <w:top w:val="single" w:sz="2" w:space="0" w:color="3D7FE0" w:themeColor="accent1"/>
            </w:tcBorders>
            <w:tcMar>
              <w:left w:w="0" w:type="dxa"/>
              <w:right w:w="0" w:type="dxa"/>
            </w:tcMar>
            <w:vAlign w:val="bottom"/>
          </w:tcPr>
          <w:p w14:paraId="02C3C373" w14:textId="66BD7D2E" w:rsidR="00A3357C" w:rsidRPr="00895810" w:rsidRDefault="006E7EB0" w:rsidP="001E02A5">
            <w:pPr>
              <w:pStyle w:val="TableColHeadsBold"/>
              <w:ind w:left="-110" w:right="0"/>
              <w:rPr>
                <w:rFonts w:ascii="IBM Plex Sans Light" w:hAnsi="IBM Plex Sans Light"/>
                <w:b w:val="0"/>
                <w:bCs w:val="0"/>
              </w:rPr>
            </w:pPr>
            <w:r>
              <w:rPr>
                <w:rFonts w:ascii="IBM Plex Sans Light" w:hAnsi="IBM Plex Sans Light"/>
                <w:b w:val="0"/>
                <w:bCs w:val="0"/>
              </w:rPr>
              <w:t>2022</w:t>
            </w:r>
            <w:r w:rsidR="00A3357C" w:rsidRPr="00895810">
              <w:rPr>
                <w:rFonts w:ascii="IBM Plex Sans Light" w:hAnsi="IBM Plex Sans Light"/>
                <w:b w:val="0"/>
                <w:bCs w:val="0"/>
              </w:rPr>
              <w:t xml:space="preserve"> </w:t>
            </w:r>
          </w:p>
        </w:tc>
      </w:tr>
      <w:tr w:rsidR="00A3357C" w:rsidRPr="00895810" w14:paraId="714B960F" w14:textId="77777777" w:rsidTr="00B877C0">
        <w:tc>
          <w:tcPr>
            <w:tcW w:w="3686" w:type="dxa"/>
            <w:tcBorders>
              <w:bottom w:val="single" w:sz="4" w:space="0" w:color="3D7FE0" w:themeColor="accent1"/>
            </w:tcBorders>
            <w:tcMar>
              <w:left w:w="0" w:type="dxa"/>
              <w:bottom w:w="28" w:type="dxa"/>
              <w:right w:w="0" w:type="dxa"/>
            </w:tcMar>
            <w:vAlign w:val="bottom"/>
          </w:tcPr>
          <w:p w14:paraId="18156687" w14:textId="77777777" w:rsidR="00A3357C" w:rsidRPr="00895810" w:rsidRDefault="00A3357C" w:rsidP="00A3357C">
            <w:pPr>
              <w:pStyle w:val="TableColHeads"/>
              <w:rPr>
                <w:rFonts w:ascii="IBM Plex Sans Light" w:hAnsi="IBM Plex Sans Light"/>
              </w:rPr>
            </w:pPr>
          </w:p>
        </w:tc>
        <w:tc>
          <w:tcPr>
            <w:tcW w:w="709" w:type="dxa"/>
            <w:tcBorders>
              <w:bottom w:val="single" w:sz="4" w:space="0" w:color="3D7FE0" w:themeColor="accent1"/>
            </w:tcBorders>
          </w:tcPr>
          <w:p w14:paraId="080B16AC" w14:textId="6C593F6F" w:rsidR="00A3357C" w:rsidRPr="00895810" w:rsidRDefault="00A3357C" w:rsidP="00D75ECB">
            <w:pPr>
              <w:pStyle w:val="TableColHeads"/>
              <w:tabs>
                <w:tab w:val="clear" w:pos="284"/>
              </w:tabs>
              <w:ind w:right="31"/>
              <w:jc w:val="left"/>
              <w:rPr>
                <w:rFonts w:ascii="IBM Plex Sans Light" w:hAnsi="IBM Plex Sans Light"/>
                <w:b/>
                <w:bCs/>
              </w:rPr>
            </w:pPr>
            <w:r w:rsidRPr="00895810">
              <w:rPr>
                <w:rFonts w:ascii="IBM Plex Sans Light" w:hAnsi="IBM Plex Sans Light"/>
                <w:b/>
                <w:bCs/>
              </w:rPr>
              <w:t>Note</w:t>
            </w:r>
          </w:p>
        </w:tc>
        <w:tc>
          <w:tcPr>
            <w:tcW w:w="1390" w:type="dxa"/>
            <w:tcBorders>
              <w:bottom w:val="single" w:sz="4" w:space="0" w:color="3D7FE0" w:themeColor="accent1"/>
            </w:tcBorders>
            <w:tcMar>
              <w:left w:w="0" w:type="dxa"/>
              <w:bottom w:w="28" w:type="dxa"/>
              <w:right w:w="0" w:type="dxa"/>
            </w:tcMar>
            <w:vAlign w:val="bottom"/>
          </w:tcPr>
          <w:p w14:paraId="50387F36" w14:textId="68B6E1C6" w:rsidR="00A3357C" w:rsidRPr="00895810" w:rsidRDefault="00A3357C" w:rsidP="00A3357C">
            <w:pPr>
              <w:pStyle w:val="TableColHeadsBold"/>
              <w:rPr>
                <w:rFonts w:ascii="IBM Plex Sans Light" w:hAnsi="IBM Plex Sans Light"/>
                <w:bCs w:val="0"/>
                <w:color w:val="3D7FE0" w:themeColor="accent1"/>
              </w:rPr>
            </w:pPr>
            <w:r w:rsidRPr="00895810">
              <w:rPr>
                <w:rFonts w:ascii="IBM Plex Sans Light" w:hAnsi="IBM Plex Sans Light"/>
                <w:bCs w:val="0"/>
                <w:color w:val="3D7FE0" w:themeColor="accent1"/>
              </w:rPr>
              <w:t xml:space="preserve">£m </w:t>
            </w:r>
          </w:p>
        </w:tc>
        <w:tc>
          <w:tcPr>
            <w:tcW w:w="1303" w:type="dxa"/>
            <w:tcBorders>
              <w:bottom w:val="single" w:sz="4" w:space="0" w:color="3D7FE0" w:themeColor="accent1"/>
            </w:tcBorders>
            <w:vAlign w:val="bottom"/>
          </w:tcPr>
          <w:p w14:paraId="22750BB1" w14:textId="4B005B92" w:rsidR="00A3357C" w:rsidRPr="00895810" w:rsidRDefault="00A3357C" w:rsidP="001E02A5">
            <w:pPr>
              <w:pStyle w:val="TableColHeadsBold"/>
              <w:ind w:right="-78"/>
              <w:rPr>
                <w:rFonts w:ascii="IBM Plex Sans Light" w:hAnsi="IBM Plex Sans Light"/>
                <w:b w:val="0"/>
                <w:bCs w:val="0"/>
                <w:color w:val="3D7FE0" w:themeColor="accent1"/>
              </w:rPr>
            </w:pPr>
            <w:r w:rsidRPr="00895810">
              <w:rPr>
                <w:rFonts w:ascii="IBM Plex Sans Light" w:hAnsi="IBM Plex Sans Light"/>
                <w:b w:val="0"/>
                <w:bCs w:val="0"/>
              </w:rPr>
              <w:t xml:space="preserve">£m </w:t>
            </w:r>
          </w:p>
        </w:tc>
        <w:tc>
          <w:tcPr>
            <w:tcW w:w="283" w:type="dxa"/>
            <w:tcBorders>
              <w:bottom w:val="single" w:sz="4" w:space="0" w:color="3D7FE0" w:themeColor="accent1"/>
            </w:tcBorders>
            <w:vAlign w:val="bottom"/>
          </w:tcPr>
          <w:p w14:paraId="2C717EDB" w14:textId="1CB7BF74" w:rsidR="00A3357C" w:rsidRPr="00895810" w:rsidRDefault="00A3357C" w:rsidP="00A3357C">
            <w:pPr>
              <w:pStyle w:val="TableColHeadsBold"/>
              <w:rPr>
                <w:rFonts w:ascii="IBM Plex Sans Light" w:hAnsi="IBM Plex Sans Light"/>
                <w:color w:val="3D7FE0" w:themeColor="accent1"/>
              </w:rPr>
            </w:pPr>
          </w:p>
        </w:tc>
        <w:tc>
          <w:tcPr>
            <w:tcW w:w="1255" w:type="dxa"/>
            <w:tcBorders>
              <w:bottom w:val="single" w:sz="4" w:space="0" w:color="3D7FE0" w:themeColor="accent1"/>
            </w:tcBorders>
            <w:tcMar>
              <w:left w:w="0" w:type="dxa"/>
              <w:bottom w:w="28" w:type="dxa"/>
              <w:right w:w="0" w:type="dxa"/>
            </w:tcMar>
            <w:vAlign w:val="bottom"/>
          </w:tcPr>
          <w:p w14:paraId="191C5E25" w14:textId="37CF9A0F" w:rsidR="00A3357C" w:rsidRPr="00895810" w:rsidRDefault="00A3357C" w:rsidP="00A3357C">
            <w:pPr>
              <w:pStyle w:val="TableColHeads"/>
              <w:rPr>
                <w:rFonts w:ascii="IBM Plex Sans Light" w:hAnsi="IBM Plex Sans Light"/>
                <w:b/>
                <w:bCs/>
              </w:rPr>
            </w:pPr>
            <w:r w:rsidRPr="00895810">
              <w:rPr>
                <w:rFonts w:ascii="IBM Plex Sans Light" w:hAnsi="IBM Plex Sans Light"/>
                <w:b/>
                <w:bCs/>
                <w:color w:val="3D7FE0" w:themeColor="accent1"/>
              </w:rPr>
              <w:t>p</w:t>
            </w:r>
            <w:r w:rsidR="0053048A">
              <w:rPr>
                <w:rFonts w:ascii="IBM Plex Sans Light" w:hAnsi="IBM Plex Sans Light"/>
                <w:b/>
                <w:bCs/>
                <w:color w:val="3D7FE0" w:themeColor="accent1"/>
              </w:rPr>
              <w:t>ence</w:t>
            </w:r>
            <w:r w:rsidRPr="00895810">
              <w:rPr>
                <w:rFonts w:ascii="IBM Plex Sans Light" w:hAnsi="IBM Plex Sans Light"/>
                <w:b/>
                <w:bCs/>
                <w:color w:val="3D7FE0" w:themeColor="accent1"/>
              </w:rPr>
              <w:t xml:space="preserve"> </w:t>
            </w:r>
          </w:p>
        </w:tc>
        <w:tc>
          <w:tcPr>
            <w:tcW w:w="1298" w:type="dxa"/>
            <w:tcBorders>
              <w:bottom w:val="single" w:sz="4" w:space="0" w:color="3D7FE0" w:themeColor="accent1"/>
            </w:tcBorders>
            <w:tcMar>
              <w:left w:w="0" w:type="dxa"/>
              <w:bottom w:w="28" w:type="dxa"/>
              <w:right w:w="0" w:type="dxa"/>
            </w:tcMar>
            <w:vAlign w:val="bottom"/>
          </w:tcPr>
          <w:p w14:paraId="705468F6" w14:textId="066A2CC0" w:rsidR="00A3357C" w:rsidRPr="00895810" w:rsidRDefault="00A3357C" w:rsidP="00895760">
            <w:pPr>
              <w:pStyle w:val="TableColHeads"/>
              <w:ind w:right="33"/>
              <w:rPr>
                <w:rFonts w:ascii="IBM Plex Sans Light" w:hAnsi="IBM Plex Sans Light"/>
              </w:rPr>
            </w:pPr>
            <w:r w:rsidRPr="00895810">
              <w:rPr>
                <w:rFonts w:ascii="IBM Plex Sans Light" w:hAnsi="IBM Plex Sans Light"/>
              </w:rPr>
              <w:t>p</w:t>
            </w:r>
            <w:r w:rsidR="0053048A">
              <w:rPr>
                <w:rFonts w:ascii="IBM Plex Sans Light" w:hAnsi="IBM Plex Sans Light"/>
              </w:rPr>
              <w:t>ence</w:t>
            </w:r>
          </w:p>
        </w:tc>
      </w:tr>
      <w:tr w:rsidR="00363F8A" w:rsidRPr="00895810" w14:paraId="13BC9B1B" w14:textId="77777777" w:rsidTr="003D6A4E">
        <w:tc>
          <w:tcPr>
            <w:tcW w:w="3686" w:type="dxa"/>
            <w:tcBorders>
              <w:top w:val="single" w:sz="4" w:space="0" w:color="3D7FE0" w:themeColor="accent1"/>
              <w:bottom w:val="single" w:sz="8" w:space="0" w:color="3D7FE0" w:themeColor="accent1"/>
            </w:tcBorders>
            <w:tcMar>
              <w:left w:w="0" w:type="dxa"/>
              <w:right w:w="0" w:type="dxa"/>
            </w:tcMar>
          </w:tcPr>
          <w:p w14:paraId="7BC89E7A" w14:textId="4A9C0EB8" w:rsidR="00363F8A" w:rsidRPr="00895810" w:rsidRDefault="00363F8A" w:rsidP="00363F8A">
            <w:pPr>
              <w:pStyle w:val="Tabletext"/>
              <w:rPr>
                <w:rFonts w:ascii="IBM Plex Sans Light" w:hAnsi="IBM Plex Sans Light"/>
                <w:b/>
                <w:bCs/>
                <w:color w:val="3D7FE0" w:themeColor="accent1"/>
                <w:spacing w:val="-4"/>
                <w:sz w:val="18"/>
                <w:szCs w:val="24"/>
              </w:rPr>
            </w:pPr>
            <w:r w:rsidRPr="00895810">
              <w:rPr>
                <w:rFonts w:ascii="IBM Plex Sans Light" w:hAnsi="IBM Plex Sans Light"/>
                <w:b/>
                <w:bCs/>
                <w:color w:val="3D7FE0" w:themeColor="accent1"/>
                <w:spacing w:val="-4"/>
                <w:sz w:val="18"/>
                <w:szCs w:val="24"/>
              </w:rPr>
              <w:t xml:space="preserve"> EPRA NDV</w:t>
            </w:r>
          </w:p>
        </w:tc>
        <w:tc>
          <w:tcPr>
            <w:tcW w:w="709" w:type="dxa"/>
            <w:tcBorders>
              <w:top w:val="single" w:sz="4" w:space="0" w:color="3D7FE0" w:themeColor="accent1"/>
              <w:bottom w:val="single" w:sz="8" w:space="0" w:color="3D7FE0" w:themeColor="accent1"/>
            </w:tcBorders>
            <w:vAlign w:val="center"/>
          </w:tcPr>
          <w:p w14:paraId="5A74B737" w14:textId="0BD34E94" w:rsidR="00363F8A" w:rsidRPr="00895810" w:rsidRDefault="00363F8A" w:rsidP="00363F8A">
            <w:pPr>
              <w:spacing w:after="0" w:line="240" w:lineRule="auto"/>
              <w:rPr>
                <w:rFonts w:ascii="IBM Plex Sans Light" w:hAnsi="IBM Plex Sans Light"/>
                <w:sz w:val="16"/>
                <w:szCs w:val="16"/>
              </w:rPr>
            </w:pPr>
            <w:r>
              <w:rPr>
                <w:rFonts w:ascii="IBM Plex Sans Light" w:hAnsi="IBM Plex Sans Light"/>
                <w:sz w:val="16"/>
                <w:szCs w:val="16"/>
              </w:rPr>
              <w:t>9</w:t>
            </w:r>
            <w:r w:rsidRPr="00895810">
              <w:rPr>
                <w:rFonts w:ascii="IBM Plex Sans Light" w:hAnsi="IBM Plex Sans Light"/>
                <w:sz w:val="16"/>
                <w:szCs w:val="16"/>
              </w:rPr>
              <w:t>B</w:t>
            </w:r>
          </w:p>
        </w:tc>
        <w:tc>
          <w:tcPr>
            <w:tcW w:w="1390" w:type="dxa"/>
            <w:tcBorders>
              <w:top w:val="single" w:sz="4" w:space="0" w:color="3D7FE0" w:themeColor="accent1"/>
              <w:bottom w:val="single" w:sz="8" w:space="0" w:color="3D7FE0" w:themeColor="accent1"/>
            </w:tcBorders>
            <w:tcMar>
              <w:left w:w="0" w:type="dxa"/>
              <w:right w:w="0" w:type="dxa"/>
            </w:tcMar>
          </w:tcPr>
          <w:p w14:paraId="6A0C253F" w14:textId="44DF6280"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2,499.1</w:t>
            </w:r>
          </w:p>
        </w:tc>
        <w:tc>
          <w:tcPr>
            <w:tcW w:w="1303" w:type="dxa"/>
            <w:tcBorders>
              <w:top w:val="single" w:sz="4" w:space="0" w:color="3D7FE0" w:themeColor="accent1"/>
              <w:bottom w:val="single" w:sz="8" w:space="0" w:color="3D7FE0" w:themeColor="accent1"/>
            </w:tcBorders>
          </w:tcPr>
          <w:p w14:paraId="6EFDE143" w14:textId="2CAD2CAA" w:rsidR="00363F8A" w:rsidRPr="00410599" w:rsidRDefault="00363F8A" w:rsidP="00363F8A">
            <w:pPr>
              <w:pStyle w:val="TableFiguresBold"/>
              <w:ind w:right="-104"/>
              <w:rPr>
                <w:rFonts w:ascii="IBM Plex Sans Light" w:hAnsi="IBM Plex Sans Light"/>
                <w:b w:val="0"/>
                <w:bCs w:val="0"/>
                <w:spacing w:val="-4"/>
                <w:sz w:val="18"/>
                <w:szCs w:val="18"/>
              </w:rPr>
            </w:pPr>
            <w:r w:rsidRPr="00410599">
              <w:rPr>
                <w:rFonts w:ascii="IBM Plex Sans Light" w:hAnsi="IBM Plex Sans Light"/>
                <w:b w:val="0"/>
                <w:bCs w:val="0"/>
                <w:spacing w:val="-4"/>
                <w:sz w:val="18"/>
                <w:szCs w:val="18"/>
              </w:rPr>
              <w:t>2,801.9</w:t>
            </w:r>
          </w:p>
        </w:tc>
        <w:tc>
          <w:tcPr>
            <w:tcW w:w="283" w:type="dxa"/>
            <w:tcBorders>
              <w:top w:val="single" w:sz="4" w:space="0" w:color="3D7FE0" w:themeColor="accent1"/>
              <w:bottom w:val="single" w:sz="8" w:space="0" w:color="3D7FE0" w:themeColor="accent1"/>
            </w:tcBorders>
            <w:vAlign w:val="bottom"/>
          </w:tcPr>
          <w:p w14:paraId="4AA58D6D" w14:textId="46C40BF9" w:rsidR="00363F8A" w:rsidRPr="00895810" w:rsidRDefault="00363F8A" w:rsidP="00363F8A">
            <w:pPr>
              <w:pStyle w:val="Tabletext"/>
              <w:jc w:val="right"/>
              <w:rPr>
                <w:rFonts w:ascii="IBM Plex Sans Light" w:hAnsi="IBM Plex Sans Light"/>
                <w:b/>
                <w:bCs/>
                <w:color w:val="3D7FE0" w:themeColor="accent1"/>
                <w:spacing w:val="-4"/>
                <w:sz w:val="18"/>
                <w:szCs w:val="24"/>
              </w:rPr>
            </w:pPr>
          </w:p>
        </w:tc>
        <w:tc>
          <w:tcPr>
            <w:tcW w:w="1255" w:type="dxa"/>
            <w:tcBorders>
              <w:top w:val="single" w:sz="4" w:space="0" w:color="3D7FE0" w:themeColor="accent1"/>
              <w:bottom w:val="single" w:sz="8" w:space="0" w:color="3D7FE0" w:themeColor="accent1"/>
            </w:tcBorders>
            <w:tcMar>
              <w:left w:w="0" w:type="dxa"/>
              <w:right w:w="0" w:type="dxa"/>
            </w:tcMar>
          </w:tcPr>
          <w:p w14:paraId="4C2F5D46" w14:textId="051414BA"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50p</w:t>
            </w:r>
          </w:p>
        </w:tc>
        <w:tc>
          <w:tcPr>
            <w:tcW w:w="1298" w:type="dxa"/>
            <w:tcBorders>
              <w:top w:val="single" w:sz="4" w:space="0" w:color="3D7FE0" w:themeColor="accent1"/>
              <w:bottom w:val="single" w:sz="8" w:space="0" w:color="3D7FE0" w:themeColor="accent1"/>
            </w:tcBorders>
            <w:tcMar>
              <w:left w:w="0" w:type="dxa"/>
              <w:right w:w="0" w:type="dxa"/>
            </w:tcMar>
          </w:tcPr>
          <w:p w14:paraId="501A15A1" w14:textId="6254D66E" w:rsidR="00363F8A" w:rsidRPr="00254113" w:rsidRDefault="00363F8A" w:rsidP="00363F8A">
            <w:pPr>
              <w:pStyle w:val="TableFiguresBold"/>
              <w:ind w:right="34"/>
              <w:rPr>
                <w:rFonts w:ascii="IBM Plex Sans Light" w:hAnsi="IBM Plex Sans Light" w:cs="MyriadPro-Light"/>
                <w:b w:val="0"/>
                <w:bCs w:val="0"/>
                <w:color w:val="auto"/>
                <w:spacing w:val="-4"/>
                <w:sz w:val="18"/>
                <w:szCs w:val="18"/>
              </w:rPr>
            </w:pPr>
            <w:r w:rsidRPr="00254113">
              <w:rPr>
                <w:rFonts w:ascii="IBM Plex Sans Light" w:hAnsi="IBM Plex Sans Light" w:cs="MyriadPro-Light"/>
                <w:b w:val="0"/>
                <w:bCs w:val="0"/>
                <w:color w:val="auto"/>
                <w:spacing w:val="-4"/>
                <w:sz w:val="18"/>
                <w:szCs w:val="18"/>
              </w:rPr>
              <w:t>56p</w:t>
            </w:r>
          </w:p>
        </w:tc>
      </w:tr>
      <w:tr w:rsidR="00363F8A" w:rsidRPr="00895810" w14:paraId="6B3C39B9" w14:textId="77777777" w:rsidTr="003D6A4E">
        <w:tc>
          <w:tcPr>
            <w:tcW w:w="3686" w:type="dxa"/>
            <w:tcBorders>
              <w:top w:val="single" w:sz="4" w:space="0" w:color="3D7FE0" w:themeColor="accent1"/>
              <w:bottom w:val="single" w:sz="8" w:space="0" w:color="3D7FE0" w:themeColor="accent1"/>
            </w:tcBorders>
            <w:tcMar>
              <w:left w:w="0" w:type="dxa"/>
              <w:right w:w="0" w:type="dxa"/>
            </w:tcMar>
          </w:tcPr>
          <w:p w14:paraId="2B1654D7" w14:textId="1EAAFA86" w:rsidR="00363F8A" w:rsidRPr="00895810" w:rsidRDefault="00363F8A" w:rsidP="00363F8A">
            <w:pPr>
              <w:pStyle w:val="Tabletext"/>
              <w:rPr>
                <w:rFonts w:ascii="IBM Plex Sans Light" w:hAnsi="IBM Plex Sans Light"/>
                <w:b/>
                <w:bCs/>
                <w:color w:val="3D7FE0" w:themeColor="accent1"/>
                <w:spacing w:val="-4"/>
                <w:sz w:val="18"/>
                <w:szCs w:val="24"/>
              </w:rPr>
            </w:pPr>
            <w:r w:rsidRPr="00895810">
              <w:rPr>
                <w:rFonts w:ascii="IBM Plex Sans Light" w:hAnsi="IBM Plex Sans Light"/>
                <w:b/>
                <w:bCs/>
                <w:color w:val="3D7FE0" w:themeColor="accent1"/>
                <w:spacing w:val="-4"/>
                <w:sz w:val="18"/>
                <w:szCs w:val="24"/>
              </w:rPr>
              <w:t xml:space="preserve"> EPRA NTA</w:t>
            </w:r>
          </w:p>
        </w:tc>
        <w:tc>
          <w:tcPr>
            <w:tcW w:w="709" w:type="dxa"/>
            <w:tcBorders>
              <w:top w:val="single" w:sz="4" w:space="0" w:color="3D7FE0" w:themeColor="accent1"/>
              <w:bottom w:val="single" w:sz="8" w:space="0" w:color="3D7FE0" w:themeColor="accent1"/>
            </w:tcBorders>
            <w:vAlign w:val="center"/>
          </w:tcPr>
          <w:p w14:paraId="12C18CA8" w14:textId="2177C23F" w:rsidR="00363F8A" w:rsidRPr="00895810" w:rsidRDefault="00363F8A" w:rsidP="00363F8A">
            <w:pPr>
              <w:spacing w:after="0" w:line="240" w:lineRule="auto"/>
              <w:rPr>
                <w:rFonts w:ascii="IBM Plex Sans Light" w:hAnsi="IBM Plex Sans Light"/>
                <w:sz w:val="16"/>
                <w:szCs w:val="16"/>
              </w:rPr>
            </w:pPr>
            <w:r>
              <w:rPr>
                <w:rFonts w:ascii="IBM Plex Sans Light" w:hAnsi="IBM Plex Sans Light"/>
                <w:sz w:val="16"/>
                <w:szCs w:val="16"/>
              </w:rPr>
              <w:t>9</w:t>
            </w:r>
            <w:r w:rsidRPr="00895810">
              <w:rPr>
                <w:rFonts w:ascii="IBM Plex Sans Light" w:hAnsi="IBM Plex Sans Light"/>
                <w:sz w:val="16"/>
                <w:szCs w:val="16"/>
              </w:rPr>
              <w:t>B</w:t>
            </w:r>
          </w:p>
        </w:tc>
        <w:tc>
          <w:tcPr>
            <w:tcW w:w="1390" w:type="dxa"/>
            <w:tcBorders>
              <w:top w:val="single" w:sz="4" w:space="0" w:color="3D7FE0" w:themeColor="accent1"/>
              <w:bottom w:val="single" w:sz="8" w:space="0" w:color="3D7FE0" w:themeColor="accent1"/>
            </w:tcBorders>
            <w:tcMar>
              <w:left w:w="0" w:type="dxa"/>
              <w:right w:w="0" w:type="dxa"/>
            </w:tcMar>
          </w:tcPr>
          <w:p w14:paraId="263DC6A0" w14:textId="48D29B4C"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2,542.0</w:t>
            </w:r>
          </w:p>
        </w:tc>
        <w:tc>
          <w:tcPr>
            <w:tcW w:w="1303" w:type="dxa"/>
            <w:tcBorders>
              <w:top w:val="single" w:sz="4" w:space="0" w:color="3D7FE0" w:themeColor="accent1"/>
              <w:bottom w:val="single" w:sz="8" w:space="0" w:color="3D7FE0" w:themeColor="accent1"/>
            </w:tcBorders>
          </w:tcPr>
          <w:p w14:paraId="2AF9A771" w14:textId="68572374" w:rsidR="00363F8A" w:rsidRPr="00410599" w:rsidRDefault="00363F8A" w:rsidP="00363F8A">
            <w:pPr>
              <w:pStyle w:val="TableFiguresBold"/>
              <w:ind w:right="-104"/>
              <w:rPr>
                <w:rFonts w:ascii="IBM Plex Sans Light" w:hAnsi="IBM Plex Sans Light"/>
                <w:b w:val="0"/>
                <w:bCs w:val="0"/>
                <w:spacing w:val="-4"/>
                <w:sz w:val="18"/>
                <w:szCs w:val="18"/>
              </w:rPr>
            </w:pPr>
            <w:r w:rsidRPr="00410599">
              <w:rPr>
                <w:rFonts w:ascii="IBM Plex Sans Light" w:hAnsi="IBM Plex Sans Light"/>
                <w:b w:val="0"/>
                <w:bCs w:val="0"/>
                <w:spacing w:val="-4"/>
                <w:sz w:val="18"/>
                <w:szCs w:val="18"/>
              </w:rPr>
              <w:t>2,633.7</w:t>
            </w:r>
          </w:p>
        </w:tc>
        <w:tc>
          <w:tcPr>
            <w:tcW w:w="283" w:type="dxa"/>
            <w:tcBorders>
              <w:top w:val="single" w:sz="4" w:space="0" w:color="3D7FE0" w:themeColor="accent1"/>
              <w:bottom w:val="single" w:sz="8" w:space="0" w:color="3D7FE0" w:themeColor="accent1"/>
            </w:tcBorders>
            <w:vAlign w:val="bottom"/>
          </w:tcPr>
          <w:p w14:paraId="4699602F" w14:textId="77777777" w:rsidR="00363F8A" w:rsidRPr="00895810" w:rsidRDefault="00363F8A" w:rsidP="00363F8A">
            <w:pPr>
              <w:pStyle w:val="Tabletext"/>
              <w:jc w:val="right"/>
              <w:rPr>
                <w:rFonts w:ascii="IBM Plex Sans Light" w:hAnsi="IBM Plex Sans Light"/>
                <w:b/>
                <w:bCs/>
                <w:color w:val="3D7FE0" w:themeColor="accent1"/>
                <w:spacing w:val="-4"/>
                <w:sz w:val="18"/>
                <w:szCs w:val="24"/>
              </w:rPr>
            </w:pPr>
          </w:p>
        </w:tc>
        <w:tc>
          <w:tcPr>
            <w:tcW w:w="1255" w:type="dxa"/>
            <w:tcBorders>
              <w:top w:val="single" w:sz="4" w:space="0" w:color="3D7FE0" w:themeColor="accent1"/>
              <w:bottom w:val="single" w:sz="8" w:space="0" w:color="3D7FE0" w:themeColor="accent1"/>
            </w:tcBorders>
            <w:tcMar>
              <w:left w:w="0" w:type="dxa"/>
              <w:right w:w="0" w:type="dxa"/>
            </w:tcMar>
          </w:tcPr>
          <w:p w14:paraId="050BC584" w14:textId="6E6BD53F"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51p</w:t>
            </w:r>
          </w:p>
        </w:tc>
        <w:tc>
          <w:tcPr>
            <w:tcW w:w="1298" w:type="dxa"/>
            <w:tcBorders>
              <w:top w:val="single" w:sz="4" w:space="0" w:color="3D7FE0" w:themeColor="accent1"/>
              <w:bottom w:val="single" w:sz="8" w:space="0" w:color="3D7FE0" w:themeColor="accent1"/>
            </w:tcBorders>
            <w:tcMar>
              <w:left w:w="0" w:type="dxa"/>
              <w:right w:w="0" w:type="dxa"/>
            </w:tcMar>
          </w:tcPr>
          <w:p w14:paraId="2FA515A5" w14:textId="532D6D10" w:rsidR="00363F8A" w:rsidRPr="00254113" w:rsidRDefault="00363F8A" w:rsidP="00363F8A">
            <w:pPr>
              <w:pStyle w:val="TableFiguresBold"/>
              <w:ind w:right="34"/>
              <w:rPr>
                <w:rFonts w:ascii="IBM Plex Sans Light" w:hAnsi="IBM Plex Sans Light" w:cs="MyriadPro-Light"/>
                <w:b w:val="0"/>
                <w:bCs w:val="0"/>
                <w:color w:val="auto"/>
                <w:spacing w:val="-4"/>
                <w:sz w:val="18"/>
                <w:szCs w:val="18"/>
              </w:rPr>
            </w:pPr>
            <w:r w:rsidRPr="00254113">
              <w:rPr>
                <w:rFonts w:ascii="IBM Plex Sans Light" w:hAnsi="IBM Plex Sans Light" w:cs="MyriadPro-Light"/>
                <w:b w:val="0"/>
                <w:bCs w:val="0"/>
                <w:color w:val="auto"/>
                <w:spacing w:val="-4"/>
                <w:sz w:val="18"/>
                <w:szCs w:val="18"/>
              </w:rPr>
              <w:t>53p</w:t>
            </w:r>
          </w:p>
        </w:tc>
      </w:tr>
      <w:tr w:rsidR="00363F8A" w:rsidRPr="00895810" w14:paraId="0D7F8AAD" w14:textId="77777777" w:rsidTr="003D6A4E">
        <w:tc>
          <w:tcPr>
            <w:tcW w:w="3686" w:type="dxa"/>
            <w:tcBorders>
              <w:top w:val="single" w:sz="8" w:space="0" w:color="3D7FE0" w:themeColor="accent1"/>
              <w:bottom w:val="single" w:sz="8" w:space="0" w:color="3D7FE0" w:themeColor="accent1"/>
            </w:tcBorders>
            <w:tcMar>
              <w:left w:w="0" w:type="dxa"/>
              <w:right w:w="0" w:type="dxa"/>
            </w:tcMar>
          </w:tcPr>
          <w:p w14:paraId="22BF029F" w14:textId="718F01E9" w:rsidR="00363F8A" w:rsidRPr="00895810" w:rsidRDefault="00363F8A" w:rsidP="00363F8A">
            <w:pPr>
              <w:pStyle w:val="Tabletext"/>
              <w:rPr>
                <w:rFonts w:ascii="IBM Plex Sans Light" w:hAnsi="IBM Plex Sans Light"/>
                <w:b/>
                <w:bCs/>
                <w:color w:val="3D7FE0" w:themeColor="accent1"/>
                <w:spacing w:val="-4"/>
                <w:sz w:val="18"/>
                <w:szCs w:val="24"/>
              </w:rPr>
            </w:pPr>
            <w:r w:rsidRPr="00895810">
              <w:rPr>
                <w:rFonts w:ascii="IBM Plex Sans Light" w:hAnsi="IBM Plex Sans Light"/>
                <w:b/>
                <w:bCs/>
                <w:color w:val="3D7FE0" w:themeColor="accent1"/>
                <w:spacing w:val="-4"/>
                <w:sz w:val="18"/>
                <w:szCs w:val="24"/>
              </w:rPr>
              <w:t xml:space="preserve"> EPRA NRV</w:t>
            </w:r>
          </w:p>
        </w:tc>
        <w:tc>
          <w:tcPr>
            <w:tcW w:w="709" w:type="dxa"/>
            <w:tcBorders>
              <w:top w:val="single" w:sz="8" w:space="0" w:color="3D7FE0" w:themeColor="accent1"/>
              <w:bottom w:val="single" w:sz="8" w:space="0" w:color="3D7FE0" w:themeColor="accent1"/>
            </w:tcBorders>
            <w:vAlign w:val="center"/>
          </w:tcPr>
          <w:p w14:paraId="14D44A02" w14:textId="2E1D80A9" w:rsidR="00363F8A" w:rsidRPr="00895810" w:rsidRDefault="00363F8A" w:rsidP="00363F8A">
            <w:pPr>
              <w:spacing w:after="0" w:line="240" w:lineRule="auto"/>
              <w:rPr>
                <w:rFonts w:ascii="IBM Plex Sans Light" w:hAnsi="IBM Plex Sans Light"/>
                <w:sz w:val="16"/>
                <w:szCs w:val="16"/>
              </w:rPr>
            </w:pPr>
            <w:r>
              <w:rPr>
                <w:rFonts w:ascii="IBM Plex Sans Light" w:hAnsi="IBM Plex Sans Light"/>
                <w:sz w:val="16"/>
                <w:szCs w:val="16"/>
              </w:rPr>
              <w:t>9</w:t>
            </w:r>
            <w:r w:rsidRPr="00895810">
              <w:rPr>
                <w:rFonts w:ascii="IBM Plex Sans Light" w:hAnsi="IBM Plex Sans Light"/>
                <w:sz w:val="16"/>
                <w:szCs w:val="16"/>
              </w:rPr>
              <w:t>B</w:t>
            </w:r>
          </w:p>
        </w:tc>
        <w:tc>
          <w:tcPr>
            <w:tcW w:w="1390" w:type="dxa"/>
            <w:tcBorders>
              <w:top w:val="single" w:sz="8" w:space="0" w:color="3D7FE0" w:themeColor="accent1"/>
              <w:bottom w:val="single" w:sz="8" w:space="0" w:color="3D7FE0" w:themeColor="accent1"/>
            </w:tcBorders>
            <w:tcMar>
              <w:left w:w="0" w:type="dxa"/>
              <w:right w:w="0" w:type="dxa"/>
            </w:tcMar>
          </w:tcPr>
          <w:p w14:paraId="212EEE77" w14:textId="529C816F"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2,945.8</w:t>
            </w:r>
          </w:p>
        </w:tc>
        <w:tc>
          <w:tcPr>
            <w:tcW w:w="1303" w:type="dxa"/>
            <w:tcBorders>
              <w:top w:val="single" w:sz="8" w:space="0" w:color="3D7FE0" w:themeColor="accent1"/>
              <w:bottom w:val="single" w:sz="8" w:space="0" w:color="3D7FE0" w:themeColor="accent1"/>
            </w:tcBorders>
          </w:tcPr>
          <w:p w14:paraId="207F17E2" w14:textId="51C6A69F" w:rsidR="00363F8A" w:rsidRPr="00410599" w:rsidRDefault="00363F8A" w:rsidP="00363F8A">
            <w:pPr>
              <w:pStyle w:val="TableFiguresBold"/>
              <w:ind w:right="-104"/>
              <w:rPr>
                <w:rFonts w:ascii="IBM Plex Sans Light" w:hAnsi="IBM Plex Sans Light"/>
                <w:b w:val="0"/>
                <w:bCs w:val="0"/>
                <w:spacing w:val="-4"/>
                <w:sz w:val="18"/>
                <w:szCs w:val="18"/>
              </w:rPr>
            </w:pPr>
            <w:r w:rsidRPr="00410599">
              <w:rPr>
                <w:rFonts w:ascii="IBM Plex Sans Light" w:hAnsi="IBM Plex Sans Light"/>
                <w:b w:val="0"/>
                <w:bCs w:val="0"/>
                <w:spacing w:val="-4"/>
                <w:sz w:val="18"/>
                <w:szCs w:val="18"/>
              </w:rPr>
              <w:t>3,063.3</w:t>
            </w:r>
          </w:p>
        </w:tc>
        <w:tc>
          <w:tcPr>
            <w:tcW w:w="283" w:type="dxa"/>
            <w:tcBorders>
              <w:top w:val="single" w:sz="8" w:space="0" w:color="3D7FE0" w:themeColor="accent1"/>
              <w:bottom w:val="single" w:sz="8" w:space="0" w:color="3D7FE0" w:themeColor="accent1"/>
            </w:tcBorders>
            <w:vAlign w:val="bottom"/>
          </w:tcPr>
          <w:p w14:paraId="2F27E3B4" w14:textId="1711CE95" w:rsidR="00363F8A" w:rsidRPr="00895810" w:rsidRDefault="00363F8A" w:rsidP="00363F8A">
            <w:pPr>
              <w:pStyle w:val="TableFiguresBrackets"/>
              <w:rPr>
                <w:rFonts w:ascii="IBM Plex Sans Light" w:hAnsi="IBM Plex Sans Light" w:cs="MyriadPro-Light"/>
                <w:b/>
                <w:color w:val="3D7FE0" w:themeColor="accent1"/>
                <w:spacing w:val="-4"/>
                <w:sz w:val="18"/>
                <w:szCs w:val="18"/>
              </w:rPr>
            </w:pPr>
          </w:p>
        </w:tc>
        <w:tc>
          <w:tcPr>
            <w:tcW w:w="1255" w:type="dxa"/>
            <w:tcBorders>
              <w:top w:val="single" w:sz="8" w:space="0" w:color="3D7FE0" w:themeColor="accent1"/>
              <w:bottom w:val="single" w:sz="8" w:space="0" w:color="3D7FE0" w:themeColor="accent1"/>
            </w:tcBorders>
            <w:tcMar>
              <w:left w:w="0" w:type="dxa"/>
              <w:right w:w="0" w:type="dxa"/>
            </w:tcMar>
          </w:tcPr>
          <w:p w14:paraId="285733FA" w14:textId="39E0BC23"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59p</w:t>
            </w:r>
          </w:p>
        </w:tc>
        <w:tc>
          <w:tcPr>
            <w:tcW w:w="1298" w:type="dxa"/>
            <w:tcBorders>
              <w:top w:val="single" w:sz="8" w:space="0" w:color="3D7FE0" w:themeColor="accent1"/>
              <w:bottom w:val="single" w:sz="8" w:space="0" w:color="3D7FE0" w:themeColor="accent1"/>
            </w:tcBorders>
            <w:tcMar>
              <w:left w:w="0" w:type="dxa"/>
              <w:right w:w="0" w:type="dxa"/>
            </w:tcMar>
          </w:tcPr>
          <w:p w14:paraId="3471D184" w14:textId="5E4A0F0C" w:rsidR="00363F8A" w:rsidRPr="00254113" w:rsidRDefault="00363F8A" w:rsidP="00363F8A">
            <w:pPr>
              <w:pStyle w:val="TableFiguresBold"/>
              <w:ind w:right="34"/>
              <w:rPr>
                <w:rFonts w:ascii="IBM Plex Sans Light" w:hAnsi="IBM Plex Sans Light" w:cs="MyriadPro-Light"/>
                <w:b w:val="0"/>
                <w:bCs w:val="0"/>
                <w:color w:val="auto"/>
                <w:spacing w:val="-4"/>
                <w:sz w:val="18"/>
                <w:szCs w:val="18"/>
              </w:rPr>
            </w:pPr>
            <w:r w:rsidRPr="00254113">
              <w:rPr>
                <w:rFonts w:ascii="IBM Plex Sans Light" w:hAnsi="IBM Plex Sans Light" w:cs="MyriadPro-Light"/>
                <w:b w:val="0"/>
                <w:bCs w:val="0"/>
                <w:color w:val="auto"/>
                <w:spacing w:val="-4"/>
                <w:sz w:val="18"/>
                <w:szCs w:val="18"/>
              </w:rPr>
              <w:t>61p</w:t>
            </w:r>
          </w:p>
        </w:tc>
      </w:tr>
    </w:tbl>
    <w:p w14:paraId="556D09C5" w14:textId="77777777" w:rsidR="00662475" w:rsidRPr="00895810" w:rsidRDefault="00662475" w:rsidP="000A2B6A">
      <w:pPr>
        <w:spacing w:after="60"/>
        <w:rPr>
          <w:rFonts w:ascii="IBM Plex Sans Light" w:hAnsi="IBM Plex Sans Light" w:cs="Arial"/>
          <w:b/>
          <w:color w:val="3D7FE0" w:themeColor="accent1"/>
          <w:szCs w:val="18"/>
        </w:rPr>
      </w:pPr>
    </w:p>
    <w:p w14:paraId="2F69BD47" w14:textId="633D7348" w:rsidR="00CD4ABD" w:rsidRPr="00AB6B6E" w:rsidRDefault="002215BB"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1E118C" w:rsidRPr="00AB6B6E">
        <w:rPr>
          <w:rFonts w:ascii="IBM Plex Sans Medium" w:hAnsi="IBM Plex Sans Medium" w:cs="Arial"/>
          <w:b/>
          <w:color w:val="3D7FE0" w:themeColor="accent1"/>
          <w:szCs w:val="18"/>
        </w:rPr>
        <w:t>1</w:t>
      </w:r>
      <w:r w:rsidR="00CD4ABD" w:rsidRPr="00AB6B6E">
        <w:rPr>
          <w:rFonts w:ascii="IBM Plex Sans Medium" w:hAnsi="IBM Plex Sans Medium" w:cs="Arial"/>
          <w:b/>
          <w:color w:val="3D7FE0" w:themeColor="accent1"/>
          <w:szCs w:val="18"/>
        </w:rPr>
        <w:t xml:space="preserve">. PROPERTIES </w:t>
      </w:r>
    </w:p>
    <w:tbl>
      <w:tblPr>
        <w:tblW w:w="9951" w:type="dxa"/>
        <w:tblLayout w:type="fixed"/>
        <w:tblLook w:val="01E0" w:firstRow="1" w:lastRow="1" w:firstColumn="1" w:lastColumn="1" w:noHBand="0" w:noVBand="0"/>
      </w:tblPr>
      <w:tblGrid>
        <w:gridCol w:w="3005"/>
        <w:gridCol w:w="567"/>
        <w:gridCol w:w="1063"/>
        <w:gridCol w:w="1063"/>
        <w:gridCol w:w="1063"/>
        <w:gridCol w:w="1063"/>
        <w:gridCol w:w="1063"/>
        <w:gridCol w:w="1064"/>
      </w:tblGrid>
      <w:tr w:rsidR="00AC362E" w:rsidRPr="00895810" w14:paraId="2EF46781" w14:textId="77777777" w:rsidTr="009F3319">
        <w:trPr>
          <w:trHeight w:val="170"/>
        </w:trPr>
        <w:tc>
          <w:tcPr>
            <w:tcW w:w="3005" w:type="dxa"/>
            <w:tcBorders>
              <w:bottom w:val="single" w:sz="2" w:space="0" w:color="3D7FE0" w:themeColor="accent1"/>
            </w:tcBorders>
            <w:tcMar>
              <w:left w:w="0" w:type="dxa"/>
              <w:right w:w="0" w:type="dxa"/>
            </w:tcMar>
            <w:vAlign w:val="bottom"/>
          </w:tcPr>
          <w:p w14:paraId="40776408" w14:textId="77777777" w:rsidR="00AC362E" w:rsidRPr="00895810" w:rsidRDefault="00AC362E" w:rsidP="002943FC">
            <w:pPr>
              <w:pStyle w:val="TableColHeads"/>
              <w:jc w:val="left"/>
              <w:rPr>
                <w:rFonts w:ascii="IBM Plex Sans Light" w:hAnsi="IBM Plex Sans Light"/>
                <w:sz w:val="16"/>
                <w:szCs w:val="16"/>
              </w:rPr>
            </w:pPr>
          </w:p>
        </w:tc>
        <w:tc>
          <w:tcPr>
            <w:tcW w:w="567" w:type="dxa"/>
            <w:tcBorders>
              <w:bottom w:val="single" w:sz="2" w:space="0" w:color="3D7FE0" w:themeColor="accent1"/>
            </w:tcBorders>
          </w:tcPr>
          <w:p w14:paraId="3F4552E2" w14:textId="77777777" w:rsidR="00AC362E" w:rsidRPr="00895810" w:rsidRDefault="00AC362E" w:rsidP="002943FC">
            <w:pPr>
              <w:pStyle w:val="TableColHeadsBold"/>
              <w:rPr>
                <w:rFonts w:ascii="IBM Plex Sans Light" w:hAnsi="IBM Plex Sans Light"/>
                <w:color w:val="3D7FE0" w:themeColor="accent1"/>
              </w:rPr>
            </w:pPr>
          </w:p>
        </w:tc>
        <w:tc>
          <w:tcPr>
            <w:tcW w:w="3189" w:type="dxa"/>
            <w:gridSpan w:val="3"/>
            <w:tcBorders>
              <w:bottom w:val="single" w:sz="2" w:space="0" w:color="3D7FE0" w:themeColor="accent1"/>
            </w:tcBorders>
            <w:vAlign w:val="bottom"/>
          </w:tcPr>
          <w:p w14:paraId="156461D2" w14:textId="2E2B4170" w:rsidR="00AC362E" w:rsidRPr="00895810" w:rsidRDefault="00785AC2" w:rsidP="002943FC">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3190" w:type="dxa"/>
            <w:gridSpan w:val="3"/>
            <w:tcBorders>
              <w:bottom w:val="single" w:sz="2" w:space="0" w:color="3D7FE0" w:themeColor="accent1"/>
            </w:tcBorders>
            <w:tcMar>
              <w:left w:w="0" w:type="dxa"/>
              <w:right w:w="0" w:type="dxa"/>
            </w:tcMar>
            <w:vAlign w:val="bottom"/>
          </w:tcPr>
          <w:p w14:paraId="2BB73837" w14:textId="32C5DB91" w:rsidR="00AC362E" w:rsidRPr="00895810" w:rsidRDefault="006E7EB0" w:rsidP="002943FC">
            <w:pPr>
              <w:pStyle w:val="TableColHeadsBold"/>
              <w:rPr>
                <w:rFonts w:ascii="IBM Plex Sans Light" w:hAnsi="IBM Plex Sans Light"/>
                <w:b w:val="0"/>
                <w:bCs w:val="0"/>
              </w:rPr>
            </w:pPr>
            <w:r>
              <w:rPr>
                <w:rFonts w:ascii="IBM Plex Sans Light" w:hAnsi="IBM Plex Sans Light"/>
                <w:b w:val="0"/>
                <w:bCs w:val="0"/>
              </w:rPr>
              <w:t>2022</w:t>
            </w:r>
          </w:p>
        </w:tc>
      </w:tr>
      <w:tr w:rsidR="002943FC" w:rsidRPr="00895810" w14:paraId="271E256C" w14:textId="77777777" w:rsidTr="009F3319">
        <w:trPr>
          <w:trHeight w:val="170"/>
        </w:trPr>
        <w:tc>
          <w:tcPr>
            <w:tcW w:w="3005" w:type="dxa"/>
            <w:tcBorders>
              <w:top w:val="single" w:sz="2" w:space="0" w:color="3D7FE0" w:themeColor="accent1"/>
            </w:tcBorders>
            <w:tcMar>
              <w:left w:w="0" w:type="dxa"/>
              <w:right w:w="0" w:type="dxa"/>
            </w:tcMar>
            <w:vAlign w:val="bottom"/>
          </w:tcPr>
          <w:p w14:paraId="4D65A089" w14:textId="77777777" w:rsidR="002943FC" w:rsidRPr="00895810" w:rsidRDefault="002943FC" w:rsidP="002943FC">
            <w:pPr>
              <w:pStyle w:val="TableColHeads"/>
              <w:jc w:val="left"/>
              <w:rPr>
                <w:rFonts w:ascii="IBM Plex Sans Light" w:hAnsi="IBM Plex Sans Light"/>
                <w:sz w:val="16"/>
                <w:szCs w:val="16"/>
              </w:rPr>
            </w:pPr>
          </w:p>
        </w:tc>
        <w:tc>
          <w:tcPr>
            <w:tcW w:w="567" w:type="dxa"/>
            <w:tcBorders>
              <w:top w:val="single" w:sz="2" w:space="0" w:color="3D7FE0" w:themeColor="accent1"/>
            </w:tcBorders>
          </w:tcPr>
          <w:p w14:paraId="371A03AE" w14:textId="77777777" w:rsidR="002943FC" w:rsidRPr="00895810" w:rsidRDefault="002943FC" w:rsidP="002943FC">
            <w:pPr>
              <w:pStyle w:val="TableColHeadsBold"/>
              <w:rPr>
                <w:rFonts w:ascii="IBM Plex Sans Light" w:hAnsi="IBM Plex Sans Light"/>
                <w:color w:val="3D7FE0" w:themeColor="accent1"/>
              </w:rPr>
            </w:pPr>
          </w:p>
        </w:tc>
        <w:tc>
          <w:tcPr>
            <w:tcW w:w="1063" w:type="dxa"/>
            <w:tcBorders>
              <w:top w:val="single" w:sz="2" w:space="0" w:color="3D7FE0" w:themeColor="accent1"/>
            </w:tcBorders>
            <w:vAlign w:val="bottom"/>
          </w:tcPr>
          <w:p w14:paraId="4ECC7F36" w14:textId="4D929DB2" w:rsidR="002943FC" w:rsidRPr="00895810" w:rsidRDefault="00C80DD6" w:rsidP="002943FC">
            <w:pPr>
              <w:pStyle w:val="TableColHeadsBold"/>
              <w:rPr>
                <w:rFonts w:ascii="IBM Plex Sans Light" w:hAnsi="IBM Plex Sans Light"/>
              </w:rPr>
            </w:pPr>
            <w:r w:rsidRPr="00895810">
              <w:rPr>
                <w:rFonts w:ascii="IBM Plex Sans Light" w:hAnsi="IBM Plex Sans Light"/>
                <w:color w:val="3D7FE0" w:themeColor="accent1"/>
              </w:rPr>
              <w:t xml:space="preserve">Investment </w:t>
            </w:r>
            <w:r w:rsidR="002943FC" w:rsidRPr="00895810">
              <w:rPr>
                <w:rFonts w:ascii="IBM Plex Sans Light" w:hAnsi="IBM Plex Sans Light"/>
                <w:color w:val="3D7FE0" w:themeColor="accent1"/>
              </w:rPr>
              <w:t>properties</w:t>
            </w:r>
          </w:p>
        </w:tc>
        <w:tc>
          <w:tcPr>
            <w:tcW w:w="1063" w:type="dxa"/>
            <w:tcBorders>
              <w:top w:val="single" w:sz="2" w:space="0" w:color="3D7FE0" w:themeColor="accent1"/>
            </w:tcBorders>
            <w:vAlign w:val="bottom"/>
          </w:tcPr>
          <w:p w14:paraId="1D29A611" w14:textId="7412CD47" w:rsidR="002943FC" w:rsidRPr="00895810" w:rsidRDefault="00C80DD6" w:rsidP="002943FC">
            <w:pPr>
              <w:pStyle w:val="TableColHeadsBold"/>
              <w:rPr>
                <w:rFonts w:ascii="IBM Plex Sans Light" w:hAnsi="IBM Plex Sans Light"/>
              </w:rPr>
            </w:pPr>
            <w:r w:rsidRPr="00895810">
              <w:rPr>
                <w:rFonts w:ascii="IBM Plex Sans Light" w:hAnsi="IBM Plex Sans Light"/>
                <w:color w:val="3D7FE0" w:themeColor="accent1"/>
              </w:rPr>
              <w:t xml:space="preserve">Trading </w:t>
            </w:r>
            <w:r w:rsidR="002943FC" w:rsidRPr="00895810">
              <w:rPr>
                <w:rFonts w:ascii="IBM Plex Sans Light" w:hAnsi="IBM Plex Sans Light"/>
                <w:color w:val="3D7FE0" w:themeColor="accent1"/>
              </w:rPr>
              <w:t>properties</w:t>
            </w:r>
          </w:p>
        </w:tc>
        <w:tc>
          <w:tcPr>
            <w:tcW w:w="1063" w:type="dxa"/>
            <w:tcBorders>
              <w:top w:val="single" w:sz="2" w:space="0" w:color="3D7FE0" w:themeColor="accent1"/>
            </w:tcBorders>
            <w:vAlign w:val="bottom"/>
          </w:tcPr>
          <w:p w14:paraId="1639137C" w14:textId="1C17CB6B" w:rsidR="002943FC" w:rsidRPr="00895810" w:rsidRDefault="002943FC" w:rsidP="002943FC">
            <w:pPr>
              <w:pStyle w:val="TableColHeadsBold"/>
              <w:rPr>
                <w:rFonts w:ascii="IBM Plex Sans Light" w:hAnsi="IBM Plex Sans Light"/>
              </w:rPr>
            </w:pPr>
            <w:r w:rsidRPr="00895810">
              <w:rPr>
                <w:rFonts w:ascii="IBM Plex Sans Light" w:hAnsi="IBM Plex Sans Light"/>
                <w:color w:val="3D7FE0" w:themeColor="accent1"/>
              </w:rPr>
              <w:t>Total</w:t>
            </w:r>
          </w:p>
        </w:tc>
        <w:tc>
          <w:tcPr>
            <w:tcW w:w="1063" w:type="dxa"/>
            <w:tcBorders>
              <w:top w:val="single" w:sz="2" w:space="0" w:color="3D7FE0" w:themeColor="accent1"/>
            </w:tcBorders>
            <w:tcMar>
              <w:left w:w="0" w:type="dxa"/>
              <w:right w:w="0" w:type="dxa"/>
            </w:tcMar>
            <w:vAlign w:val="bottom"/>
          </w:tcPr>
          <w:p w14:paraId="26AD3FDC" w14:textId="543252D8" w:rsidR="002943FC" w:rsidRPr="00895810" w:rsidRDefault="00C80DD6" w:rsidP="002943FC">
            <w:pPr>
              <w:pStyle w:val="TableColHeadsBold"/>
              <w:rPr>
                <w:rFonts w:ascii="IBM Plex Sans Light" w:hAnsi="IBM Plex Sans Light"/>
                <w:b w:val="0"/>
                <w:bCs w:val="0"/>
              </w:rPr>
            </w:pPr>
            <w:r w:rsidRPr="00895810">
              <w:rPr>
                <w:rFonts w:ascii="IBM Plex Sans Light" w:hAnsi="IBM Plex Sans Light"/>
                <w:b w:val="0"/>
                <w:bCs w:val="0"/>
              </w:rPr>
              <w:t xml:space="preserve">Investment </w:t>
            </w:r>
            <w:r w:rsidR="002943FC" w:rsidRPr="00895810">
              <w:rPr>
                <w:rFonts w:ascii="IBM Plex Sans Light" w:hAnsi="IBM Plex Sans Light"/>
                <w:b w:val="0"/>
                <w:bCs w:val="0"/>
              </w:rPr>
              <w:t>properties</w:t>
            </w:r>
          </w:p>
        </w:tc>
        <w:tc>
          <w:tcPr>
            <w:tcW w:w="1063" w:type="dxa"/>
            <w:tcBorders>
              <w:top w:val="single" w:sz="2" w:space="0" w:color="3D7FE0" w:themeColor="accent1"/>
            </w:tcBorders>
            <w:tcMar>
              <w:left w:w="0" w:type="dxa"/>
              <w:right w:w="0" w:type="dxa"/>
            </w:tcMar>
            <w:vAlign w:val="bottom"/>
          </w:tcPr>
          <w:p w14:paraId="59225F29" w14:textId="77777777" w:rsidR="00C80DD6" w:rsidRPr="00895810" w:rsidRDefault="00C80DD6" w:rsidP="002943FC">
            <w:pPr>
              <w:pStyle w:val="TableColHeadsBold"/>
              <w:rPr>
                <w:rFonts w:ascii="IBM Plex Sans Light" w:hAnsi="IBM Plex Sans Light"/>
                <w:b w:val="0"/>
                <w:bCs w:val="0"/>
              </w:rPr>
            </w:pPr>
            <w:r w:rsidRPr="00895810">
              <w:rPr>
                <w:rFonts w:ascii="IBM Plex Sans Light" w:hAnsi="IBM Plex Sans Light"/>
                <w:b w:val="0"/>
                <w:bCs w:val="0"/>
              </w:rPr>
              <w:t>Trading</w:t>
            </w:r>
          </w:p>
          <w:p w14:paraId="5F779D28" w14:textId="1CF75FC9" w:rsidR="002943FC" w:rsidRPr="00895810" w:rsidRDefault="002943FC" w:rsidP="002943FC">
            <w:pPr>
              <w:pStyle w:val="TableColHeadsBold"/>
              <w:rPr>
                <w:rFonts w:ascii="IBM Plex Sans Light" w:hAnsi="IBM Plex Sans Light"/>
                <w:b w:val="0"/>
                <w:bCs w:val="0"/>
              </w:rPr>
            </w:pPr>
            <w:r w:rsidRPr="00895810">
              <w:rPr>
                <w:rFonts w:ascii="IBM Plex Sans Light" w:hAnsi="IBM Plex Sans Light"/>
                <w:b w:val="0"/>
                <w:bCs w:val="0"/>
              </w:rPr>
              <w:t>properties</w:t>
            </w:r>
          </w:p>
        </w:tc>
        <w:tc>
          <w:tcPr>
            <w:tcW w:w="1064" w:type="dxa"/>
            <w:tcBorders>
              <w:top w:val="single" w:sz="2" w:space="0" w:color="3D7FE0" w:themeColor="accent1"/>
            </w:tcBorders>
            <w:tcMar>
              <w:left w:w="0" w:type="dxa"/>
              <w:right w:w="0" w:type="dxa"/>
            </w:tcMar>
            <w:vAlign w:val="bottom"/>
          </w:tcPr>
          <w:p w14:paraId="0AD4F741" w14:textId="77777777" w:rsidR="002943FC" w:rsidRPr="00895810" w:rsidRDefault="002943FC" w:rsidP="002943FC">
            <w:pPr>
              <w:pStyle w:val="TableColHeadsBold"/>
              <w:rPr>
                <w:rFonts w:ascii="IBM Plex Sans Light" w:hAnsi="IBM Plex Sans Light"/>
                <w:b w:val="0"/>
                <w:bCs w:val="0"/>
              </w:rPr>
            </w:pPr>
            <w:r w:rsidRPr="00895810">
              <w:rPr>
                <w:rFonts w:ascii="IBM Plex Sans Light" w:hAnsi="IBM Plex Sans Light"/>
                <w:b w:val="0"/>
                <w:bCs w:val="0"/>
              </w:rPr>
              <w:t>Total</w:t>
            </w:r>
          </w:p>
        </w:tc>
      </w:tr>
      <w:tr w:rsidR="002943FC" w:rsidRPr="00895810" w14:paraId="34B39DA7" w14:textId="77777777" w:rsidTr="00D40843">
        <w:trPr>
          <w:trHeight w:val="170"/>
        </w:trPr>
        <w:tc>
          <w:tcPr>
            <w:tcW w:w="3005" w:type="dxa"/>
            <w:tcBorders>
              <w:bottom w:val="single" w:sz="2" w:space="0" w:color="3D7FE0" w:themeColor="accent1"/>
            </w:tcBorders>
            <w:tcMar>
              <w:left w:w="0" w:type="dxa"/>
              <w:right w:w="0" w:type="dxa"/>
            </w:tcMar>
            <w:vAlign w:val="bottom"/>
          </w:tcPr>
          <w:p w14:paraId="2883A35D" w14:textId="77777777" w:rsidR="002943FC" w:rsidRPr="00895810" w:rsidRDefault="002943FC" w:rsidP="002943FC">
            <w:pPr>
              <w:pStyle w:val="TableColHeads"/>
              <w:jc w:val="left"/>
              <w:rPr>
                <w:rFonts w:ascii="IBM Plex Sans Light" w:hAnsi="IBM Plex Sans Light"/>
                <w:sz w:val="16"/>
                <w:szCs w:val="16"/>
              </w:rPr>
            </w:pPr>
          </w:p>
        </w:tc>
        <w:tc>
          <w:tcPr>
            <w:tcW w:w="567" w:type="dxa"/>
            <w:tcBorders>
              <w:bottom w:val="single" w:sz="2" w:space="0" w:color="3D7FE0" w:themeColor="accent1"/>
            </w:tcBorders>
          </w:tcPr>
          <w:p w14:paraId="1DCDE12F" w14:textId="71D8BECD" w:rsidR="002943FC" w:rsidRPr="00435CF7" w:rsidRDefault="002943FC" w:rsidP="00435CF7">
            <w:pPr>
              <w:pStyle w:val="TableColHeadsBold"/>
              <w:tabs>
                <w:tab w:val="clear" w:pos="284"/>
              </w:tabs>
              <w:ind w:right="-78"/>
              <w:jc w:val="center"/>
              <w:rPr>
                <w:rFonts w:ascii="IBM Plex Sans Light" w:hAnsi="IBM Plex Sans Light"/>
              </w:rPr>
            </w:pPr>
          </w:p>
        </w:tc>
        <w:tc>
          <w:tcPr>
            <w:tcW w:w="1063" w:type="dxa"/>
            <w:tcBorders>
              <w:bottom w:val="single" w:sz="2" w:space="0" w:color="3D7FE0" w:themeColor="accent1"/>
            </w:tcBorders>
            <w:vAlign w:val="bottom"/>
          </w:tcPr>
          <w:p w14:paraId="5D1EFC34" w14:textId="732063BC" w:rsidR="002943FC" w:rsidRPr="00895810" w:rsidRDefault="00AC362E" w:rsidP="002943FC">
            <w:pPr>
              <w:pStyle w:val="TableColHeadsBold"/>
              <w:rPr>
                <w:rFonts w:ascii="IBM Plex Sans Light" w:hAnsi="IBM Plex Sans Light"/>
              </w:rPr>
            </w:pPr>
            <w:r w:rsidRPr="00895810">
              <w:rPr>
                <w:rFonts w:ascii="IBM Plex Sans Light" w:hAnsi="IBM Plex Sans Light"/>
                <w:color w:val="3D7FE0" w:themeColor="accent1"/>
              </w:rPr>
              <w:t>£m</w:t>
            </w:r>
          </w:p>
        </w:tc>
        <w:tc>
          <w:tcPr>
            <w:tcW w:w="1063" w:type="dxa"/>
            <w:tcBorders>
              <w:bottom w:val="single" w:sz="2" w:space="0" w:color="3D7FE0" w:themeColor="accent1"/>
            </w:tcBorders>
            <w:vAlign w:val="bottom"/>
          </w:tcPr>
          <w:p w14:paraId="679556B0" w14:textId="3D32D58F" w:rsidR="002943FC" w:rsidRPr="00895810" w:rsidRDefault="00AC362E" w:rsidP="002943FC">
            <w:pPr>
              <w:pStyle w:val="TableColHeadsBold"/>
              <w:rPr>
                <w:rFonts w:ascii="IBM Plex Sans Light" w:hAnsi="IBM Plex Sans Light"/>
              </w:rPr>
            </w:pPr>
            <w:r w:rsidRPr="00895810">
              <w:rPr>
                <w:rFonts w:ascii="IBM Plex Sans Light" w:hAnsi="IBM Plex Sans Light"/>
                <w:color w:val="3D7FE0" w:themeColor="accent1"/>
              </w:rPr>
              <w:t>£m</w:t>
            </w:r>
          </w:p>
        </w:tc>
        <w:tc>
          <w:tcPr>
            <w:tcW w:w="1063" w:type="dxa"/>
            <w:tcBorders>
              <w:bottom w:val="single" w:sz="2" w:space="0" w:color="3D7FE0" w:themeColor="accent1"/>
            </w:tcBorders>
            <w:vAlign w:val="bottom"/>
          </w:tcPr>
          <w:p w14:paraId="08BE336E" w14:textId="094B01FA" w:rsidR="002943FC" w:rsidRPr="00895810" w:rsidRDefault="00AC362E" w:rsidP="002943FC">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1063" w:type="dxa"/>
            <w:tcBorders>
              <w:bottom w:val="single" w:sz="2" w:space="0" w:color="3D7FE0" w:themeColor="accent1"/>
            </w:tcBorders>
            <w:tcMar>
              <w:left w:w="0" w:type="dxa"/>
              <w:right w:w="0" w:type="dxa"/>
            </w:tcMar>
            <w:vAlign w:val="bottom"/>
          </w:tcPr>
          <w:p w14:paraId="03C7C2F4" w14:textId="77777777" w:rsidR="002943FC" w:rsidRPr="00895810" w:rsidRDefault="002943FC" w:rsidP="002943FC">
            <w:pPr>
              <w:pStyle w:val="TableColHeadsBold"/>
              <w:rPr>
                <w:rFonts w:ascii="IBM Plex Sans Light" w:hAnsi="IBM Plex Sans Light"/>
                <w:b w:val="0"/>
                <w:bCs w:val="0"/>
              </w:rPr>
            </w:pPr>
            <w:r w:rsidRPr="00895810">
              <w:rPr>
                <w:rFonts w:ascii="IBM Plex Sans Light" w:hAnsi="IBM Plex Sans Light"/>
                <w:b w:val="0"/>
                <w:bCs w:val="0"/>
              </w:rPr>
              <w:t xml:space="preserve">£m </w:t>
            </w:r>
          </w:p>
        </w:tc>
        <w:tc>
          <w:tcPr>
            <w:tcW w:w="1063" w:type="dxa"/>
            <w:tcBorders>
              <w:bottom w:val="single" w:sz="2" w:space="0" w:color="3D7FE0" w:themeColor="accent1"/>
            </w:tcBorders>
            <w:tcMar>
              <w:left w:w="0" w:type="dxa"/>
              <w:right w:w="0" w:type="dxa"/>
            </w:tcMar>
            <w:vAlign w:val="bottom"/>
          </w:tcPr>
          <w:p w14:paraId="218EC2C4" w14:textId="77777777" w:rsidR="002943FC" w:rsidRPr="00895810" w:rsidRDefault="002943FC" w:rsidP="002943FC">
            <w:pPr>
              <w:pStyle w:val="TableColHeadsBold"/>
              <w:rPr>
                <w:rFonts w:ascii="IBM Plex Sans Light" w:hAnsi="IBM Plex Sans Light"/>
                <w:b w:val="0"/>
                <w:bCs w:val="0"/>
              </w:rPr>
            </w:pPr>
            <w:r w:rsidRPr="00895810">
              <w:rPr>
                <w:rFonts w:ascii="IBM Plex Sans Light" w:hAnsi="IBM Plex Sans Light"/>
                <w:b w:val="0"/>
                <w:bCs w:val="0"/>
              </w:rPr>
              <w:t xml:space="preserve">£m </w:t>
            </w:r>
          </w:p>
        </w:tc>
        <w:tc>
          <w:tcPr>
            <w:tcW w:w="1064" w:type="dxa"/>
            <w:tcBorders>
              <w:bottom w:val="single" w:sz="2" w:space="0" w:color="3D7FE0" w:themeColor="accent1"/>
            </w:tcBorders>
            <w:tcMar>
              <w:left w:w="0" w:type="dxa"/>
              <w:right w:w="0" w:type="dxa"/>
            </w:tcMar>
            <w:vAlign w:val="bottom"/>
          </w:tcPr>
          <w:p w14:paraId="7CD28E8C" w14:textId="77777777" w:rsidR="002943FC" w:rsidRPr="00895810" w:rsidRDefault="002943FC" w:rsidP="002943FC">
            <w:pPr>
              <w:pStyle w:val="TableColHeadsBold"/>
              <w:rPr>
                <w:rFonts w:ascii="IBM Plex Sans Light" w:hAnsi="IBM Plex Sans Light"/>
                <w:b w:val="0"/>
                <w:bCs w:val="0"/>
              </w:rPr>
            </w:pPr>
            <w:r w:rsidRPr="00895810">
              <w:rPr>
                <w:rFonts w:ascii="IBM Plex Sans Light" w:hAnsi="IBM Plex Sans Light"/>
                <w:b w:val="0"/>
                <w:bCs w:val="0"/>
              </w:rPr>
              <w:t xml:space="preserve">£m </w:t>
            </w:r>
          </w:p>
        </w:tc>
      </w:tr>
      <w:tr w:rsidR="00363F8A" w:rsidRPr="00895810" w14:paraId="50947181" w14:textId="77777777" w:rsidTr="00FF5008">
        <w:tc>
          <w:tcPr>
            <w:tcW w:w="3005" w:type="dxa"/>
            <w:tcBorders>
              <w:top w:val="single" w:sz="2" w:space="0" w:color="3D7FE0" w:themeColor="accent1"/>
            </w:tcBorders>
            <w:tcMar>
              <w:left w:w="0" w:type="dxa"/>
              <w:right w:w="0" w:type="dxa"/>
            </w:tcMar>
            <w:vAlign w:val="bottom"/>
          </w:tcPr>
          <w:p w14:paraId="2A3B6456" w14:textId="5A17B8DA" w:rsidR="00363F8A" w:rsidRPr="00895810" w:rsidRDefault="00363F8A" w:rsidP="00363F8A">
            <w:pPr>
              <w:pStyle w:val="Tabletext"/>
              <w:rPr>
                <w:rFonts w:ascii="IBM Plex Sans Light" w:hAnsi="IBM Plex Sans Light"/>
                <w:spacing w:val="-4"/>
                <w:sz w:val="18"/>
              </w:rPr>
            </w:pPr>
            <w:r w:rsidRPr="00895810">
              <w:rPr>
                <w:rFonts w:ascii="IBM Plex Sans Light" w:hAnsi="IBM Plex Sans Light"/>
                <w:spacing w:val="-4"/>
                <w:sz w:val="18"/>
              </w:rPr>
              <w:t xml:space="preserve">At 1 January </w:t>
            </w:r>
          </w:p>
        </w:tc>
        <w:tc>
          <w:tcPr>
            <w:tcW w:w="567" w:type="dxa"/>
            <w:tcBorders>
              <w:top w:val="single" w:sz="2" w:space="0" w:color="3D7FE0" w:themeColor="accent1"/>
            </w:tcBorders>
          </w:tcPr>
          <w:p w14:paraId="33C7DB7A" w14:textId="77777777" w:rsidR="00363F8A" w:rsidRPr="00895810" w:rsidRDefault="00363F8A" w:rsidP="00363F8A">
            <w:pPr>
              <w:pStyle w:val="TableFigures"/>
              <w:rPr>
                <w:rFonts w:ascii="IBM Plex Sans Light" w:hAnsi="IBM Plex Sans Light"/>
                <w:spacing w:val="-4"/>
                <w:sz w:val="18"/>
              </w:rPr>
            </w:pPr>
          </w:p>
        </w:tc>
        <w:tc>
          <w:tcPr>
            <w:tcW w:w="1063" w:type="dxa"/>
            <w:tcBorders>
              <w:top w:val="single" w:sz="2" w:space="0" w:color="3D7FE0" w:themeColor="accent1"/>
            </w:tcBorders>
          </w:tcPr>
          <w:p w14:paraId="43850F6F" w14:textId="5CBC827D"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1,461.0</w:t>
            </w:r>
          </w:p>
        </w:tc>
        <w:tc>
          <w:tcPr>
            <w:tcW w:w="1063" w:type="dxa"/>
            <w:tcBorders>
              <w:top w:val="single" w:sz="2" w:space="0" w:color="3D7FE0" w:themeColor="accent1"/>
            </w:tcBorders>
          </w:tcPr>
          <w:p w14:paraId="591328D4" w14:textId="1F7B9DFE" w:rsidR="00363F8A" w:rsidRPr="00363F8A" w:rsidRDefault="00363F8A" w:rsidP="00363F8A">
            <w:pPr>
              <w:pStyle w:val="Tabletext"/>
              <w:jc w:val="right"/>
              <w:rPr>
                <w:rFonts w:ascii="IBM Plex Sans Medium" w:hAnsi="IBM Plex Sans Medium"/>
                <w:b/>
                <w:bCs/>
                <w:color w:val="3D7FE0" w:themeColor="accent1"/>
                <w:sz w:val="18"/>
                <w:szCs w:val="22"/>
              </w:rPr>
            </w:pPr>
            <w:r w:rsidRPr="00363F8A">
              <w:rPr>
                <w:rFonts w:ascii="IBM Plex Sans Medium" w:hAnsi="IBM Plex Sans Medium"/>
                <w:b/>
                <w:bCs/>
                <w:color w:val="3D7FE0" w:themeColor="accent1"/>
                <w:sz w:val="18"/>
                <w:szCs w:val="22"/>
              </w:rPr>
              <w:t>36.2</w:t>
            </w:r>
          </w:p>
        </w:tc>
        <w:tc>
          <w:tcPr>
            <w:tcW w:w="1063" w:type="dxa"/>
            <w:tcBorders>
              <w:top w:val="single" w:sz="2" w:space="0" w:color="3D7FE0" w:themeColor="accent1"/>
            </w:tcBorders>
          </w:tcPr>
          <w:p w14:paraId="62ADE725" w14:textId="2794449C"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1,497.2</w:t>
            </w:r>
          </w:p>
        </w:tc>
        <w:tc>
          <w:tcPr>
            <w:tcW w:w="1063" w:type="dxa"/>
            <w:tcBorders>
              <w:top w:val="single" w:sz="2" w:space="0" w:color="3D7FE0" w:themeColor="accent1"/>
            </w:tcBorders>
            <w:tcMar>
              <w:left w:w="0" w:type="dxa"/>
              <w:right w:w="0" w:type="dxa"/>
            </w:tcMar>
          </w:tcPr>
          <w:p w14:paraId="44895DC4" w14:textId="7488C331" w:rsidR="00363F8A" w:rsidRPr="00895810" w:rsidRDefault="00363F8A" w:rsidP="00363F8A">
            <w:pPr>
              <w:pStyle w:val="TableFiguresBold"/>
              <w:rPr>
                <w:rFonts w:ascii="IBM Plex Sans Light" w:hAnsi="IBM Plex Sans Light" w:cs="MyriadPro-Light"/>
                <w:b w:val="0"/>
                <w:color w:val="auto"/>
                <w:spacing w:val="-4"/>
                <w:sz w:val="18"/>
                <w:szCs w:val="18"/>
              </w:rPr>
            </w:pPr>
            <w:r w:rsidRPr="00EB586F">
              <w:rPr>
                <w:rFonts w:ascii="IBM Plex Sans Light" w:hAnsi="IBM Plex Sans Light" w:cs="MyriadPro-Light"/>
                <w:b w:val="0"/>
                <w:color w:val="auto"/>
                <w:spacing w:val="-4"/>
                <w:sz w:val="18"/>
                <w:szCs w:val="18"/>
              </w:rPr>
              <w:t>1,561.4</w:t>
            </w:r>
          </w:p>
        </w:tc>
        <w:tc>
          <w:tcPr>
            <w:tcW w:w="1063" w:type="dxa"/>
            <w:tcBorders>
              <w:top w:val="single" w:sz="2" w:space="0" w:color="3D7FE0" w:themeColor="accent1"/>
            </w:tcBorders>
            <w:tcMar>
              <w:left w:w="0" w:type="dxa"/>
              <w:right w:w="0" w:type="dxa"/>
            </w:tcMar>
          </w:tcPr>
          <w:p w14:paraId="64DF148C" w14:textId="6904801D" w:rsidR="00363F8A" w:rsidRPr="00895810" w:rsidRDefault="00363F8A" w:rsidP="00363F8A">
            <w:pPr>
              <w:pStyle w:val="TableFiguresBold"/>
              <w:rPr>
                <w:rFonts w:ascii="IBM Plex Sans Light" w:hAnsi="IBM Plex Sans Light" w:cs="MyriadPro-Light"/>
                <w:b w:val="0"/>
                <w:color w:val="auto"/>
                <w:spacing w:val="-4"/>
                <w:sz w:val="18"/>
                <w:szCs w:val="18"/>
              </w:rPr>
            </w:pPr>
            <w:r w:rsidRPr="00EB586F">
              <w:rPr>
                <w:rFonts w:ascii="IBM Plex Sans Light" w:hAnsi="IBM Plex Sans Light" w:cs="MyriadPro-Light"/>
                <w:b w:val="0"/>
                <w:color w:val="auto"/>
                <w:spacing w:val="-4"/>
                <w:sz w:val="18"/>
                <w:szCs w:val="18"/>
              </w:rPr>
              <w:t>34.3</w:t>
            </w:r>
          </w:p>
        </w:tc>
        <w:tc>
          <w:tcPr>
            <w:tcW w:w="1064" w:type="dxa"/>
            <w:tcBorders>
              <w:top w:val="single" w:sz="2" w:space="0" w:color="3D7FE0" w:themeColor="accent1"/>
            </w:tcBorders>
            <w:tcMar>
              <w:left w:w="0" w:type="dxa"/>
              <w:right w:w="0" w:type="dxa"/>
            </w:tcMar>
          </w:tcPr>
          <w:p w14:paraId="5D2431B9" w14:textId="47ABDD92" w:rsidR="00363F8A" w:rsidRPr="00895810" w:rsidRDefault="00363F8A" w:rsidP="00363F8A">
            <w:pPr>
              <w:pStyle w:val="TableFiguresBold"/>
              <w:rPr>
                <w:rFonts w:ascii="IBM Plex Sans Light" w:hAnsi="IBM Plex Sans Light" w:cs="MyriadPro-Light"/>
                <w:b w:val="0"/>
                <w:color w:val="auto"/>
                <w:spacing w:val="-4"/>
                <w:sz w:val="18"/>
                <w:szCs w:val="18"/>
              </w:rPr>
            </w:pPr>
            <w:r w:rsidRPr="00EB586F">
              <w:rPr>
                <w:rFonts w:ascii="IBM Plex Sans Light" w:hAnsi="IBM Plex Sans Light" w:cs="MyriadPro-Light"/>
                <w:b w:val="0"/>
                <w:color w:val="auto"/>
                <w:spacing w:val="-4"/>
                <w:sz w:val="18"/>
                <w:szCs w:val="18"/>
              </w:rPr>
              <w:t>1,595.7</w:t>
            </w:r>
          </w:p>
        </w:tc>
      </w:tr>
      <w:tr w:rsidR="00363F8A" w:rsidRPr="00895810" w14:paraId="299C79DC" w14:textId="77777777" w:rsidTr="00F42478">
        <w:tc>
          <w:tcPr>
            <w:tcW w:w="3005" w:type="dxa"/>
            <w:tcMar>
              <w:left w:w="0" w:type="dxa"/>
              <w:right w:w="0" w:type="dxa"/>
            </w:tcMar>
            <w:vAlign w:val="bottom"/>
          </w:tcPr>
          <w:p w14:paraId="127EEEE8" w14:textId="77777777" w:rsidR="00363F8A" w:rsidRPr="00895810" w:rsidRDefault="00363F8A" w:rsidP="00363F8A">
            <w:pPr>
              <w:pStyle w:val="Tabletext"/>
              <w:rPr>
                <w:rFonts w:ascii="IBM Plex Sans Light" w:hAnsi="IBM Plex Sans Light" w:cs="MyriadPro-Light"/>
                <w:spacing w:val="-4"/>
                <w:sz w:val="18"/>
              </w:rPr>
            </w:pPr>
            <w:r w:rsidRPr="00895810">
              <w:rPr>
                <w:rFonts w:ascii="IBM Plex Sans Light" w:hAnsi="IBM Plex Sans Light"/>
                <w:spacing w:val="-4"/>
                <w:sz w:val="18"/>
              </w:rPr>
              <w:t>Revaluation losses</w:t>
            </w:r>
          </w:p>
        </w:tc>
        <w:tc>
          <w:tcPr>
            <w:tcW w:w="567" w:type="dxa"/>
          </w:tcPr>
          <w:p w14:paraId="2A9FEA50" w14:textId="33A223C1" w:rsidR="00363F8A" w:rsidRPr="00895810" w:rsidRDefault="00363F8A" w:rsidP="00363F8A">
            <w:pPr>
              <w:pStyle w:val="TableFigures"/>
              <w:rPr>
                <w:rFonts w:ascii="IBM Plex Sans Light" w:hAnsi="IBM Plex Sans Light"/>
                <w:spacing w:val="-4"/>
                <w:sz w:val="18"/>
              </w:rPr>
            </w:pPr>
          </w:p>
        </w:tc>
        <w:tc>
          <w:tcPr>
            <w:tcW w:w="1063" w:type="dxa"/>
          </w:tcPr>
          <w:p w14:paraId="53ECC319" w14:textId="7E18CC0A"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(45.2)</w:t>
            </w:r>
          </w:p>
        </w:tc>
        <w:tc>
          <w:tcPr>
            <w:tcW w:w="1063" w:type="dxa"/>
          </w:tcPr>
          <w:p w14:paraId="3D056D39" w14:textId="1858A4C1"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Pr>
          <w:p w14:paraId="143C0711" w14:textId="1BB5432D"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(45.2)</w:t>
            </w:r>
          </w:p>
        </w:tc>
        <w:tc>
          <w:tcPr>
            <w:tcW w:w="1063" w:type="dxa"/>
            <w:tcMar>
              <w:left w:w="0" w:type="dxa"/>
              <w:right w:w="0" w:type="dxa"/>
            </w:tcMar>
          </w:tcPr>
          <w:p w14:paraId="5DE7C51B" w14:textId="27317B0E" w:rsidR="00363F8A" w:rsidRPr="00895810" w:rsidRDefault="00363F8A" w:rsidP="00363F8A">
            <w:pPr>
              <w:pStyle w:val="TableFiguresBrackets"/>
              <w:rPr>
                <w:rFonts w:ascii="IBM Plex Sans Light" w:hAnsi="IBM Plex Sans Light" w:cs="MyriadPro-Light"/>
                <w:color w:val="auto"/>
                <w:spacing w:val="-4"/>
                <w:sz w:val="18"/>
                <w:szCs w:val="18"/>
              </w:rPr>
            </w:pPr>
            <w:r w:rsidRPr="00EB586F">
              <w:rPr>
                <w:rFonts w:ascii="IBM Plex Sans Light" w:hAnsi="IBM Plex Sans Light" w:cs="MyriadPro-Light"/>
                <w:color w:val="auto"/>
                <w:spacing w:val="-4"/>
                <w:sz w:val="18"/>
                <w:szCs w:val="18"/>
              </w:rPr>
              <w:t>(82.7)</w:t>
            </w:r>
          </w:p>
        </w:tc>
        <w:tc>
          <w:tcPr>
            <w:tcW w:w="1063" w:type="dxa"/>
            <w:tcMar>
              <w:left w:w="0" w:type="dxa"/>
              <w:right w:w="0" w:type="dxa"/>
            </w:tcMar>
          </w:tcPr>
          <w:p w14:paraId="1F8183EA" w14:textId="59E836C4" w:rsidR="00363F8A" w:rsidRPr="005B0D3D" w:rsidRDefault="005F6D26" w:rsidP="00363F8A">
            <w:pPr>
              <w:pStyle w:val="TableFigures"/>
              <w:rPr>
                <w:rFonts w:ascii="IBM Plex Sans Light" w:hAnsi="IBM Plex Sans Light"/>
                <w:color w:val="auto"/>
                <w:spacing w:val="-4"/>
                <w:sz w:val="18"/>
                <w:szCs w:val="18"/>
              </w:rPr>
            </w:pPr>
            <w:r w:rsidRPr="005B0D3D">
              <w:rPr>
                <w:rFonts w:ascii="IBM Plex Sans Light" w:hAnsi="IBM Plex Sans Light" w:cs="MyriadPro-Light"/>
                <w:color w:val="auto"/>
                <w:spacing w:val="-4"/>
                <w:sz w:val="18"/>
                <w:szCs w:val="18"/>
              </w:rPr>
              <w:t>–</w:t>
            </w:r>
          </w:p>
        </w:tc>
        <w:tc>
          <w:tcPr>
            <w:tcW w:w="1064" w:type="dxa"/>
            <w:tcMar>
              <w:left w:w="0" w:type="dxa"/>
              <w:right w:w="0" w:type="dxa"/>
            </w:tcMar>
          </w:tcPr>
          <w:p w14:paraId="46AE5916" w14:textId="55BCF194" w:rsidR="00363F8A" w:rsidRPr="00EB586F" w:rsidRDefault="00363F8A" w:rsidP="00363F8A">
            <w:pPr>
              <w:pStyle w:val="TableFiguresBrackets"/>
              <w:rPr>
                <w:rFonts w:ascii="IBM Plex Sans Light" w:hAnsi="IBM Plex Sans Light" w:cs="MyriadPro-Light"/>
                <w:bCs/>
                <w:color w:val="auto"/>
                <w:spacing w:val="-4"/>
                <w:sz w:val="18"/>
                <w:szCs w:val="18"/>
              </w:rPr>
            </w:pPr>
            <w:r w:rsidRPr="00EB586F">
              <w:rPr>
                <w:rFonts w:ascii="IBM Plex Sans Light" w:hAnsi="IBM Plex Sans Light" w:cs="MyriadPro-Light"/>
                <w:bCs/>
                <w:color w:val="auto"/>
                <w:spacing w:val="-4"/>
                <w:sz w:val="18"/>
                <w:szCs w:val="18"/>
              </w:rPr>
              <w:t>(82.7)</w:t>
            </w:r>
          </w:p>
        </w:tc>
      </w:tr>
      <w:tr w:rsidR="00363F8A" w:rsidRPr="00895810" w14:paraId="470588E5" w14:textId="77777777" w:rsidTr="00456FB7">
        <w:tc>
          <w:tcPr>
            <w:tcW w:w="3005" w:type="dxa"/>
            <w:tcMar>
              <w:left w:w="0" w:type="dxa"/>
              <w:right w:w="0" w:type="dxa"/>
            </w:tcMar>
            <w:vAlign w:val="bottom"/>
          </w:tcPr>
          <w:p w14:paraId="51E2D2E2" w14:textId="77777777" w:rsidR="00363F8A" w:rsidRPr="00895810" w:rsidRDefault="00363F8A" w:rsidP="00363F8A">
            <w:pPr>
              <w:pStyle w:val="Tabletext"/>
              <w:rPr>
                <w:rFonts w:ascii="IBM Plex Sans Light" w:hAnsi="IBM Plex Sans Light"/>
                <w:spacing w:val="-4"/>
                <w:sz w:val="18"/>
              </w:rPr>
            </w:pPr>
            <w:r w:rsidRPr="00895810">
              <w:rPr>
                <w:rFonts w:ascii="IBM Plex Sans Light" w:hAnsi="IBM Plex Sans Light"/>
                <w:spacing w:val="-4"/>
                <w:sz w:val="18"/>
              </w:rPr>
              <w:t>Capital expenditure</w:t>
            </w:r>
          </w:p>
        </w:tc>
        <w:tc>
          <w:tcPr>
            <w:tcW w:w="567" w:type="dxa"/>
          </w:tcPr>
          <w:p w14:paraId="05C10E29" w14:textId="6E42826B" w:rsidR="00363F8A" w:rsidRPr="00895810" w:rsidRDefault="00363F8A" w:rsidP="00363F8A">
            <w:pPr>
              <w:pStyle w:val="TableFigures"/>
              <w:rPr>
                <w:rFonts w:ascii="IBM Plex Sans Light" w:hAnsi="IBM Plex Sans Light"/>
                <w:spacing w:val="-4"/>
                <w:sz w:val="18"/>
              </w:rPr>
            </w:pPr>
          </w:p>
        </w:tc>
        <w:tc>
          <w:tcPr>
            <w:tcW w:w="1063" w:type="dxa"/>
          </w:tcPr>
          <w:p w14:paraId="5A48EE25" w14:textId="13DEDEA1"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19.6</w:t>
            </w:r>
          </w:p>
        </w:tc>
        <w:tc>
          <w:tcPr>
            <w:tcW w:w="1063" w:type="dxa"/>
          </w:tcPr>
          <w:p w14:paraId="3AE4E492" w14:textId="680F92B0" w:rsidR="00363F8A" w:rsidRPr="00366E57" w:rsidRDefault="00363F8A" w:rsidP="00366E57">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Pr>
          <w:p w14:paraId="7A219ACA" w14:textId="387B5FBA"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19.6</w:t>
            </w:r>
          </w:p>
        </w:tc>
        <w:tc>
          <w:tcPr>
            <w:tcW w:w="1063" w:type="dxa"/>
            <w:tcMar>
              <w:left w:w="0" w:type="dxa"/>
              <w:right w:w="0" w:type="dxa"/>
            </w:tcMar>
          </w:tcPr>
          <w:p w14:paraId="763C2AD8" w14:textId="4FA8ABEB" w:rsidR="00363F8A" w:rsidRPr="00895810"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37.7</w:t>
            </w:r>
          </w:p>
        </w:tc>
        <w:tc>
          <w:tcPr>
            <w:tcW w:w="1063" w:type="dxa"/>
            <w:tcMar>
              <w:left w:w="0" w:type="dxa"/>
              <w:right w:w="0" w:type="dxa"/>
            </w:tcMar>
          </w:tcPr>
          <w:p w14:paraId="7D449D39" w14:textId="42E9CE5F" w:rsidR="00363F8A" w:rsidRPr="005B0D3D" w:rsidRDefault="00363F8A" w:rsidP="00363F8A">
            <w:pPr>
              <w:pStyle w:val="TableFigures"/>
              <w:rPr>
                <w:rFonts w:ascii="IBM Plex Sans Light" w:hAnsi="IBM Plex Sans Light" w:cs="MyriadPro-Light"/>
                <w:color w:val="auto"/>
                <w:spacing w:val="-4"/>
                <w:sz w:val="18"/>
                <w:szCs w:val="18"/>
              </w:rPr>
            </w:pPr>
            <w:r w:rsidRPr="005B0D3D">
              <w:rPr>
                <w:rFonts w:ascii="IBM Plex Sans Light" w:hAnsi="IBM Plex Sans Light" w:cs="MyriadPro-Light"/>
                <w:color w:val="auto"/>
                <w:spacing w:val="-4"/>
                <w:sz w:val="18"/>
                <w:szCs w:val="18"/>
              </w:rPr>
              <w:t>–</w:t>
            </w:r>
          </w:p>
        </w:tc>
        <w:tc>
          <w:tcPr>
            <w:tcW w:w="1064" w:type="dxa"/>
            <w:tcMar>
              <w:left w:w="0" w:type="dxa"/>
              <w:right w:w="0" w:type="dxa"/>
            </w:tcMar>
          </w:tcPr>
          <w:p w14:paraId="4C507E2E" w14:textId="4EFB4B9A" w:rsidR="00363F8A" w:rsidRPr="00BE24B5" w:rsidRDefault="00363F8A" w:rsidP="00363F8A">
            <w:pPr>
              <w:pStyle w:val="TableFigures"/>
              <w:rPr>
                <w:rFonts w:ascii="IBM Plex Sans Light" w:hAnsi="IBM Plex Sans Light" w:cs="MyriadPro-Light"/>
                <w:bCs/>
                <w:color w:val="auto"/>
                <w:spacing w:val="-4"/>
                <w:sz w:val="18"/>
                <w:szCs w:val="18"/>
              </w:rPr>
            </w:pPr>
            <w:r w:rsidRPr="00BE24B5">
              <w:rPr>
                <w:rFonts w:ascii="IBM Plex Sans Light" w:hAnsi="IBM Plex Sans Light" w:cs="MyriadPro-Light"/>
                <w:bCs/>
                <w:color w:val="auto"/>
                <w:spacing w:val="-4"/>
                <w:sz w:val="18"/>
                <w:szCs w:val="18"/>
              </w:rPr>
              <w:t>37.7</w:t>
            </w:r>
          </w:p>
        </w:tc>
      </w:tr>
      <w:tr w:rsidR="00363F8A" w:rsidRPr="00895810" w14:paraId="0BB5588B" w14:textId="77777777" w:rsidTr="00456FB7">
        <w:tc>
          <w:tcPr>
            <w:tcW w:w="3005" w:type="dxa"/>
            <w:tcMar>
              <w:left w:w="0" w:type="dxa"/>
              <w:right w:w="0" w:type="dxa"/>
            </w:tcMar>
            <w:vAlign w:val="bottom"/>
          </w:tcPr>
          <w:p w14:paraId="7533C1E6" w14:textId="77777777" w:rsidR="00363F8A" w:rsidRPr="00895810" w:rsidRDefault="00363F8A" w:rsidP="00363F8A">
            <w:pPr>
              <w:pStyle w:val="Tabletext"/>
              <w:rPr>
                <w:rFonts w:ascii="IBM Plex Sans Light" w:hAnsi="IBM Plex Sans Light"/>
                <w:spacing w:val="-4"/>
                <w:sz w:val="18"/>
              </w:rPr>
            </w:pPr>
            <w:r w:rsidRPr="00895810">
              <w:rPr>
                <w:rFonts w:ascii="IBM Plex Sans Light" w:hAnsi="IBM Plex Sans Light"/>
                <w:spacing w:val="-4"/>
                <w:sz w:val="18"/>
              </w:rPr>
              <w:t>Capitalised interest</w:t>
            </w:r>
          </w:p>
        </w:tc>
        <w:tc>
          <w:tcPr>
            <w:tcW w:w="567" w:type="dxa"/>
          </w:tcPr>
          <w:p w14:paraId="5DA27942" w14:textId="77777777" w:rsidR="00363F8A" w:rsidRPr="00895810" w:rsidRDefault="00363F8A" w:rsidP="00363F8A">
            <w:pPr>
              <w:pStyle w:val="TableFigures"/>
              <w:rPr>
                <w:rFonts w:ascii="IBM Plex Sans Light" w:hAnsi="IBM Plex Sans Light"/>
                <w:spacing w:val="-4"/>
                <w:sz w:val="18"/>
              </w:rPr>
            </w:pPr>
          </w:p>
        </w:tc>
        <w:tc>
          <w:tcPr>
            <w:tcW w:w="1063" w:type="dxa"/>
          </w:tcPr>
          <w:p w14:paraId="3D12B79D" w14:textId="70142AB9"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Pr>
          <w:p w14:paraId="121AC553" w14:textId="50B7F856" w:rsidR="00363F8A" w:rsidRPr="00366E57" w:rsidRDefault="00363F8A" w:rsidP="00366E57">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Pr>
          <w:p w14:paraId="2810B8FA" w14:textId="3CBEE245"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Mar>
              <w:left w:w="0" w:type="dxa"/>
              <w:right w:w="0" w:type="dxa"/>
            </w:tcMar>
          </w:tcPr>
          <w:p w14:paraId="24950EA9" w14:textId="4E7FA53F"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1.2</w:t>
            </w:r>
          </w:p>
        </w:tc>
        <w:tc>
          <w:tcPr>
            <w:tcW w:w="1063" w:type="dxa"/>
            <w:tcMar>
              <w:left w:w="0" w:type="dxa"/>
              <w:right w:w="0" w:type="dxa"/>
            </w:tcMar>
          </w:tcPr>
          <w:p w14:paraId="056039F2" w14:textId="3C91B15F" w:rsidR="00363F8A" w:rsidRPr="005B0D3D" w:rsidRDefault="00363F8A" w:rsidP="00363F8A">
            <w:pPr>
              <w:pStyle w:val="TableFiguresBold"/>
              <w:rPr>
                <w:rFonts w:ascii="IBM Plex Sans Light" w:hAnsi="IBM Plex Sans Light" w:cs="MyriadPro-Light"/>
                <w:b w:val="0"/>
                <w:bCs w:val="0"/>
                <w:color w:val="auto"/>
                <w:spacing w:val="-4"/>
                <w:sz w:val="18"/>
                <w:szCs w:val="18"/>
              </w:rPr>
            </w:pPr>
            <w:r w:rsidRPr="005B0D3D">
              <w:rPr>
                <w:rFonts w:ascii="IBM Plex Sans Light" w:hAnsi="IBM Plex Sans Light" w:cs="MyriadPro-Light"/>
                <w:b w:val="0"/>
                <w:bCs w:val="0"/>
                <w:color w:val="auto"/>
                <w:spacing w:val="-4"/>
                <w:sz w:val="18"/>
                <w:szCs w:val="18"/>
              </w:rPr>
              <w:t>–</w:t>
            </w:r>
          </w:p>
        </w:tc>
        <w:tc>
          <w:tcPr>
            <w:tcW w:w="1064" w:type="dxa"/>
            <w:tcMar>
              <w:left w:w="0" w:type="dxa"/>
              <w:right w:w="0" w:type="dxa"/>
            </w:tcMar>
          </w:tcPr>
          <w:p w14:paraId="579BB681" w14:textId="242CBD8E"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1.2</w:t>
            </w:r>
          </w:p>
        </w:tc>
      </w:tr>
      <w:tr w:rsidR="00363F8A" w:rsidRPr="00895810" w14:paraId="76448D5E" w14:textId="77777777" w:rsidTr="00456FB7">
        <w:tc>
          <w:tcPr>
            <w:tcW w:w="3005" w:type="dxa"/>
            <w:tcMar>
              <w:left w:w="0" w:type="dxa"/>
              <w:right w:w="0" w:type="dxa"/>
            </w:tcMar>
            <w:vAlign w:val="bottom"/>
          </w:tcPr>
          <w:p w14:paraId="60B9CBD3" w14:textId="5AE66C1A" w:rsidR="00363F8A" w:rsidRPr="00895810" w:rsidRDefault="00363F8A" w:rsidP="00363F8A">
            <w:pPr>
              <w:pStyle w:val="Tabletext"/>
              <w:rPr>
                <w:rFonts w:ascii="IBM Plex Sans Light" w:hAnsi="IBM Plex Sans Light"/>
                <w:spacing w:val="-4"/>
                <w:sz w:val="18"/>
              </w:rPr>
            </w:pPr>
            <w:r w:rsidRPr="00895810">
              <w:rPr>
                <w:rFonts w:ascii="IBM Plex Sans Light" w:hAnsi="IBM Plex Sans Light"/>
                <w:spacing w:val="-4"/>
                <w:sz w:val="18"/>
              </w:rPr>
              <w:t>Disposals</w:t>
            </w:r>
            <w:r w:rsidR="00FC6179">
              <w:rPr>
                <w:rFonts w:ascii="IBM Plex Sans Light" w:hAnsi="IBM Plex Sans Light"/>
                <w:spacing w:val="-4"/>
                <w:sz w:val="18"/>
              </w:rPr>
              <w:t xml:space="preserve"> (see note 8)</w:t>
            </w:r>
          </w:p>
        </w:tc>
        <w:tc>
          <w:tcPr>
            <w:tcW w:w="567" w:type="dxa"/>
          </w:tcPr>
          <w:p w14:paraId="52CD58FC" w14:textId="63A2A675" w:rsidR="00363F8A" w:rsidRPr="00895810" w:rsidRDefault="00363F8A" w:rsidP="00363F8A">
            <w:pPr>
              <w:pStyle w:val="TableFigures"/>
              <w:rPr>
                <w:rFonts w:ascii="IBM Plex Sans Light" w:hAnsi="IBM Plex Sans Light"/>
                <w:spacing w:val="-4"/>
                <w:sz w:val="18"/>
              </w:rPr>
            </w:pPr>
          </w:p>
        </w:tc>
        <w:tc>
          <w:tcPr>
            <w:tcW w:w="1063" w:type="dxa"/>
          </w:tcPr>
          <w:p w14:paraId="2ADB94A3" w14:textId="01FB418B"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(11.9)</w:t>
            </w:r>
          </w:p>
        </w:tc>
        <w:tc>
          <w:tcPr>
            <w:tcW w:w="1063" w:type="dxa"/>
          </w:tcPr>
          <w:p w14:paraId="44E209EE" w14:textId="1F0E281F"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(36.2)</w:t>
            </w:r>
          </w:p>
        </w:tc>
        <w:tc>
          <w:tcPr>
            <w:tcW w:w="1063" w:type="dxa"/>
          </w:tcPr>
          <w:p w14:paraId="2EA3CBB3" w14:textId="7D25F0B2"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(48.1)</w:t>
            </w:r>
          </w:p>
        </w:tc>
        <w:tc>
          <w:tcPr>
            <w:tcW w:w="1063" w:type="dxa"/>
            <w:tcMar>
              <w:left w:w="0" w:type="dxa"/>
              <w:right w:w="0" w:type="dxa"/>
            </w:tcMar>
          </w:tcPr>
          <w:p w14:paraId="5CCA5C81" w14:textId="73C2E670" w:rsidR="00363F8A" w:rsidRPr="00BE24B5" w:rsidRDefault="00363F8A" w:rsidP="00363F8A">
            <w:pPr>
              <w:pStyle w:val="TableFiguresBrackets"/>
              <w:rPr>
                <w:rFonts w:ascii="IBM Plex Sans Light" w:hAnsi="IBM Plex Sans Light" w:cs="MyriadPro-Light"/>
                <w:color w:val="auto"/>
                <w:spacing w:val="-4"/>
                <w:sz w:val="18"/>
                <w:szCs w:val="18"/>
              </w:rPr>
            </w:pPr>
            <w:r w:rsidRPr="00BE24B5">
              <w:rPr>
                <w:rFonts w:ascii="IBM Plex Sans Light" w:hAnsi="IBM Plex Sans Light" w:cs="MyriadPro-Light"/>
                <w:color w:val="auto"/>
                <w:spacing w:val="-4"/>
                <w:sz w:val="18"/>
                <w:szCs w:val="18"/>
              </w:rPr>
              <w:t>(125.3)</w:t>
            </w:r>
          </w:p>
        </w:tc>
        <w:tc>
          <w:tcPr>
            <w:tcW w:w="1063" w:type="dxa"/>
            <w:tcMar>
              <w:left w:w="0" w:type="dxa"/>
              <w:right w:w="0" w:type="dxa"/>
            </w:tcMar>
          </w:tcPr>
          <w:p w14:paraId="5A4BAFD5" w14:textId="415D27D2" w:rsidR="00363F8A" w:rsidRPr="005B0D3D" w:rsidRDefault="00363F8A" w:rsidP="00C55BF9">
            <w:pPr>
              <w:pStyle w:val="TableFiguresBold"/>
              <w:rPr>
                <w:rFonts w:ascii="IBM Plex Sans Light" w:hAnsi="IBM Plex Sans Light" w:cs="MyriadPro-Light"/>
                <w:b w:val="0"/>
                <w:bCs w:val="0"/>
                <w:color w:val="auto"/>
                <w:spacing w:val="-4"/>
                <w:sz w:val="18"/>
                <w:szCs w:val="18"/>
              </w:rPr>
            </w:pPr>
            <w:r w:rsidRPr="005B0D3D">
              <w:rPr>
                <w:rFonts w:ascii="IBM Plex Sans Light" w:hAnsi="IBM Plex Sans Light" w:cs="MyriadPro-Light"/>
                <w:b w:val="0"/>
                <w:bCs w:val="0"/>
                <w:color w:val="auto"/>
                <w:spacing w:val="-4"/>
                <w:sz w:val="18"/>
                <w:szCs w:val="18"/>
              </w:rPr>
              <w:t>–</w:t>
            </w:r>
          </w:p>
        </w:tc>
        <w:tc>
          <w:tcPr>
            <w:tcW w:w="1064" w:type="dxa"/>
            <w:tcMar>
              <w:left w:w="0" w:type="dxa"/>
              <w:right w:w="0" w:type="dxa"/>
            </w:tcMar>
          </w:tcPr>
          <w:p w14:paraId="24A55898" w14:textId="3F93C92B" w:rsidR="00363F8A" w:rsidRPr="00BE24B5" w:rsidRDefault="00363F8A" w:rsidP="00363F8A">
            <w:pPr>
              <w:pStyle w:val="TableFiguresBrackets"/>
              <w:rPr>
                <w:rFonts w:ascii="IBM Plex Sans Light" w:hAnsi="IBM Plex Sans Light" w:cs="MyriadPro-Light"/>
                <w:color w:val="auto"/>
                <w:spacing w:val="-4"/>
                <w:sz w:val="18"/>
                <w:szCs w:val="18"/>
              </w:rPr>
            </w:pPr>
            <w:r w:rsidRPr="00BE24B5">
              <w:rPr>
                <w:rFonts w:ascii="IBM Plex Sans Light" w:hAnsi="IBM Plex Sans Light" w:cs="MyriadPro-Light"/>
                <w:color w:val="auto"/>
                <w:spacing w:val="-4"/>
                <w:sz w:val="18"/>
                <w:szCs w:val="18"/>
              </w:rPr>
              <w:t>(125.3)</w:t>
            </w:r>
          </w:p>
        </w:tc>
      </w:tr>
      <w:tr w:rsidR="00363F8A" w:rsidRPr="00895810" w14:paraId="0304257A" w14:textId="77777777" w:rsidTr="00E70540">
        <w:tc>
          <w:tcPr>
            <w:tcW w:w="3005" w:type="dxa"/>
            <w:tcBorders>
              <w:bottom w:val="single" w:sz="2" w:space="0" w:color="3D7FE0" w:themeColor="accent1"/>
            </w:tcBorders>
            <w:tcMar>
              <w:left w:w="0" w:type="dxa"/>
              <w:right w:w="0" w:type="dxa"/>
            </w:tcMar>
            <w:vAlign w:val="bottom"/>
          </w:tcPr>
          <w:p w14:paraId="69D33FE5" w14:textId="77777777" w:rsidR="00363F8A" w:rsidRPr="00895810" w:rsidRDefault="00363F8A" w:rsidP="00363F8A">
            <w:pPr>
              <w:pStyle w:val="Tabletext"/>
              <w:rPr>
                <w:rFonts w:ascii="IBM Plex Sans Light" w:hAnsi="IBM Plex Sans Light"/>
                <w:spacing w:val="-4"/>
                <w:sz w:val="18"/>
              </w:rPr>
            </w:pPr>
            <w:r w:rsidRPr="00895810">
              <w:rPr>
                <w:rFonts w:ascii="IBM Plex Sans Light" w:hAnsi="IBM Plex Sans Light"/>
                <w:spacing w:val="-4"/>
                <w:sz w:val="18"/>
              </w:rPr>
              <w:t>Exchange adjustment</w:t>
            </w:r>
          </w:p>
        </w:tc>
        <w:tc>
          <w:tcPr>
            <w:tcW w:w="567" w:type="dxa"/>
            <w:tcBorders>
              <w:bottom w:val="single" w:sz="2" w:space="0" w:color="3D7FE0" w:themeColor="accent1"/>
            </w:tcBorders>
          </w:tcPr>
          <w:p w14:paraId="2A426F06" w14:textId="77777777" w:rsidR="00363F8A" w:rsidRPr="00895810" w:rsidRDefault="00363F8A" w:rsidP="00363F8A">
            <w:pPr>
              <w:pStyle w:val="TableFigures"/>
              <w:rPr>
                <w:rFonts w:ascii="IBM Plex Sans Light" w:hAnsi="IBM Plex Sans Light"/>
                <w:spacing w:val="-4"/>
                <w:sz w:val="18"/>
              </w:rPr>
            </w:pPr>
          </w:p>
        </w:tc>
        <w:tc>
          <w:tcPr>
            <w:tcW w:w="1063" w:type="dxa"/>
            <w:tcBorders>
              <w:bottom w:val="single" w:sz="2" w:space="0" w:color="3D7FE0" w:themeColor="accent1"/>
            </w:tcBorders>
          </w:tcPr>
          <w:p w14:paraId="684732D1" w14:textId="2970DC69"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(27.</w:t>
            </w:r>
            <w:r w:rsidR="006C0A49">
              <w:rPr>
                <w:rFonts w:ascii="IBM Plex Sans Medium" w:hAnsi="IBM Plex Sans Medium"/>
                <w:b/>
                <w:bCs/>
                <w:color w:val="3D7FE0" w:themeColor="accent1"/>
                <w:spacing w:val="-4"/>
                <w:sz w:val="18"/>
                <w:szCs w:val="18"/>
              </w:rPr>
              <w:t>3</w:t>
            </w:r>
            <w:r w:rsidRPr="00C55BF9">
              <w:rPr>
                <w:rFonts w:ascii="IBM Plex Sans Medium" w:hAnsi="IBM Plex Sans Medium"/>
                <w:b/>
                <w:bCs/>
                <w:color w:val="3D7FE0" w:themeColor="accent1"/>
                <w:spacing w:val="-4"/>
                <w:sz w:val="18"/>
                <w:szCs w:val="18"/>
              </w:rPr>
              <w:t>)</w:t>
            </w:r>
          </w:p>
        </w:tc>
        <w:tc>
          <w:tcPr>
            <w:tcW w:w="1063" w:type="dxa"/>
            <w:tcBorders>
              <w:bottom w:val="single" w:sz="2" w:space="0" w:color="3D7FE0" w:themeColor="accent1"/>
            </w:tcBorders>
          </w:tcPr>
          <w:p w14:paraId="68F982C3" w14:textId="31891D6D" w:rsidR="00363F8A" w:rsidRPr="00366E57" w:rsidRDefault="00363F8A" w:rsidP="00366E57">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Borders>
              <w:bottom w:val="single" w:sz="2" w:space="0" w:color="3D7FE0" w:themeColor="accent1"/>
            </w:tcBorders>
          </w:tcPr>
          <w:p w14:paraId="0E757B15" w14:textId="2DCAAB20" w:rsidR="00363F8A" w:rsidRPr="00C55BF9" w:rsidRDefault="00363F8A" w:rsidP="00C55BF9">
            <w:pPr>
              <w:pStyle w:val="TableFiguresBrackets"/>
              <w:rPr>
                <w:rFonts w:ascii="IBM Plex Sans Medium" w:hAnsi="IBM Plex Sans Medium"/>
                <w:b/>
                <w:bCs/>
                <w:color w:val="3D7FE0" w:themeColor="accent1"/>
                <w:spacing w:val="-4"/>
                <w:sz w:val="18"/>
                <w:szCs w:val="18"/>
              </w:rPr>
            </w:pPr>
            <w:r w:rsidRPr="00C55BF9">
              <w:rPr>
                <w:rFonts w:ascii="IBM Plex Sans Medium" w:hAnsi="IBM Plex Sans Medium"/>
                <w:b/>
                <w:bCs/>
                <w:color w:val="3D7FE0" w:themeColor="accent1"/>
                <w:spacing w:val="-4"/>
                <w:sz w:val="18"/>
                <w:szCs w:val="18"/>
              </w:rPr>
              <w:t>(27.</w:t>
            </w:r>
            <w:r w:rsidR="006C0A49">
              <w:rPr>
                <w:rFonts w:ascii="IBM Plex Sans Medium" w:hAnsi="IBM Plex Sans Medium"/>
                <w:b/>
                <w:bCs/>
                <w:color w:val="3D7FE0" w:themeColor="accent1"/>
                <w:spacing w:val="-4"/>
                <w:sz w:val="18"/>
                <w:szCs w:val="18"/>
              </w:rPr>
              <w:t>3</w:t>
            </w:r>
            <w:r w:rsidRPr="00C55BF9">
              <w:rPr>
                <w:rFonts w:ascii="IBM Plex Sans Medium" w:hAnsi="IBM Plex Sans Medium"/>
                <w:b/>
                <w:bCs/>
                <w:color w:val="3D7FE0" w:themeColor="accent1"/>
                <w:spacing w:val="-4"/>
                <w:sz w:val="18"/>
                <w:szCs w:val="18"/>
              </w:rPr>
              <w:t>)</w:t>
            </w:r>
          </w:p>
        </w:tc>
        <w:tc>
          <w:tcPr>
            <w:tcW w:w="1063" w:type="dxa"/>
            <w:tcBorders>
              <w:bottom w:val="single" w:sz="2" w:space="0" w:color="3D7FE0" w:themeColor="accent1"/>
            </w:tcBorders>
            <w:tcMar>
              <w:left w:w="0" w:type="dxa"/>
              <w:right w:w="0" w:type="dxa"/>
            </w:tcMar>
            <w:vAlign w:val="bottom"/>
          </w:tcPr>
          <w:p w14:paraId="4BFF9178" w14:textId="167A9069"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68.7</w:t>
            </w:r>
          </w:p>
        </w:tc>
        <w:tc>
          <w:tcPr>
            <w:tcW w:w="1063" w:type="dxa"/>
            <w:tcBorders>
              <w:bottom w:val="single" w:sz="2" w:space="0" w:color="3D7FE0" w:themeColor="accent1"/>
            </w:tcBorders>
            <w:tcMar>
              <w:left w:w="0" w:type="dxa"/>
              <w:right w:w="0" w:type="dxa"/>
            </w:tcMar>
          </w:tcPr>
          <w:p w14:paraId="267C9551" w14:textId="5098A1C5"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1.9</w:t>
            </w:r>
          </w:p>
        </w:tc>
        <w:tc>
          <w:tcPr>
            <w:tcW w:w="1064" w:type="dxa"/>
            <w:tcBorders>
              <w:bottom w:val="single" w:sz="2" w:space="0" w:color="3D7FE0" w:themeColor="accent1"/>
            </w:tcBorders>
            <w:tcMar>
              <w:left w:w="0" w:type="dxa"/>
              <w:right w:w="0" w:type="dxa"/>
            </w:tcMar>
          </w:tcPr>
          <w:p w14:paraId="14790D69" w14:textId="58851C81"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70.6</w:t>
            </w:r>
          </w:p>
        </w:tc>
      </w:tr>
      <w:tr w:rsidR="00363F8A" w:rsidRPr="00895810" w14:paraId="199F2871" w14:textId="77777777" w:rsidTr="00E70540">
        <w:tc>
          <w:tcPr>
            <w:tcW w:w="3005" w:type="dxa"/>
            <w:tcBorders>
              <w:top w:val="single" w:sz="2" w:space="0" w:color="3D7FE0" w:themeColor="accent1"/>
              <w:bottom w:val="single" w:sz="8" w:space="0" w:color="3D7FE0" w:themeColor="accent1"/>
            </w:tcBorders>
            <w:tcMar>
              <w:left w:w="0" w:type="dxa"/>
              <w:right w:w="0" w:type="dxa"/>
            </w:tcMar>
            <w:vAlign w:val="bottom"/>
          </w:tcPr>
          <w:p w14:paraId="6DCFBDF2" w14:textId="67A4AECD" w:rsidR="00363F8A" w:rsidRPr="00895810" w:rsidRDefault="00363F8A" w:rsidP="00363F8A">
            <w:pPr>
              <w:pStyle w:val="TabletextBold"/>
              <w:rPr>
                <w:rFonts w:ascii="IBM Plex Sans Light" w:hAnsi="IBM Plex Sans Light"/>
                <w:bCs/>
                <w:color w:val="3D7FE0" w:themeColor="accent1"/>
                <w:sz w:val="18"/>
              </w:rPr>
            </w:pPr>
            <w:r w:rsidRPr="00895810">
              <w:rPr>
                <w:rFonts w:ascii="IBM Plex Sans Light" w:hAnsi="IBM Plex Sans Light"/>
                <w:bCs/>
                <w:color w:val="3D7FE0" w:themeColor="accent1"/>
                <w:sz w:val="18"/>
              </w:rPr>
              <w:t>At 31 December</w:t>
            </w:r>
          </w:p>
        </w:tc>
        <w:tc>
          <w:tcPr>
            <w:tcW w:w="567" w:type="dxa"/>
            <w:tcBorders>
              <w:top w:val="single" w:sz="2" w:space="0" w:color="3D7FE0" w:themeColor="accent1"/>
              <w:bottom w:val="single" w:sz="8" w:space="0" w:color="3D7FE0" w:themeColor="accent1"/>
            </w:tcBorders>
          </w:tcPr>
          <w:p w14:paraId="09529361" w14:textId="77777777" w:rsidR="00363F8A" w:rsidRPr="00895810" w:rsidRDefault="00363F8A" w:rsidP="00363F8A">
            <w:pPr>
              <w:pStyle w:val="TableFigures"/>
              <w:rPr>
                <w:rFonts w:ascii="IBM Plex Sans Light" w:hAnsi="IBM Plex Sans Light"/>
                <w:spacing w:val="-4"/>
                <w:sz w:val="18"/>
              </w:rPr>
            </w:pPr>
          </w:p>
        </w:tc>
        <w:tc>
          <w:tcPr>
            <w:tcW w:w="1063" w:type="dxa"/>
            <w:tcBorders>
              <w:top w:val="single" w:sz="2" w:space="0" w:color="3D7FE0" w:themeColor="accent1"/>
              <w:bottom w:val="single" w:sz="8" w:space="0" w:color="3D7FE0" w:themeColor="accent1"/>
            </w:tcBorders>
          </w:tcPr>
          <w:p w14:paraId="55B6DAC2" w14:textId="0CB107A1"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1,396.2</w:t>
            </w:r>
          </w:p>
        </w:tc>
        <w:tc>
          <w:tcPr>
            <w:tcW w:w="1063" w:type="dxa"/>
            <w:tcBorders>
              <w:top w:val="single" w:sz="2" w:space="0" w:color="3D7FE0" w:themeColor="accent1"/>
              <w:bottom w:val="single" w:sz="8" w:space="0" w:color="3D7FE0" w:themeColor="accent1"/>
            </w:tcBorders>
          </w:tcPr>
          <w:p w14:paraId="3945A8F2" w14:textId="7E7E61CF" w:rsidR="00363F8A" w:rsidRPr="00366E57" w:rsidRDefault="00363F8A" w:rsidP="00366E57">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w:t>
            </w:r>
          </w:p>
        </w:tc>
        <w:tc>
          <w:tcPr>
            <w:tcW w:w="1063" w:type="dxa"/>
            <w:tcBorders>
              <w:top w:val="single" w:sz="2" w:space="0" w:color="3D7FE0" w:themeColor="accent1"/>
              <w:bottom w:val="single" w:sz="8" w:space="0" w:color="3D7FE0" w:themeColor="accent1"/>
            </w:tcBorders>
          </w:tcPr>
          <w:p w14:paraId="62F32967" w14:textId="517B367D"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1,396.2</w:t>
            </w:r>
          </w:p>
        </w:tc>
        <w:tc>
          <w:tcPr>
            <w:tcW w:w="1063" w:type="dxa"/>
            <w:tcBorders>
              <w:top w:val="single" w:sz="2" w:space="0" w:color="3D7FE0" w:themeColor="accent1"/>
              <w:bottom w:val="single" w:sz="8" w:space="0" w:color="3D7FE0" w:themeColor="accent1"/>
            </w:tcBorders>
            <w:tcMar>
              <w:left w:w="0" w:type="dxa"/>
              <w:right w:w="0" w:type="dxa"/>
            </w:tcMar>
            <w:vAlign w:val="bottom"/>
          </w:tcPr>
          <w:p w14:paraId="258847F6" w14:textId="0CA8DF17"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1,461.0</w:t>
            </w:r>
          </w:p>
        </w:tc>
        <w:tc>
          <w:tcPr>
            <w:tcW w:w="1063" w:type="dxa"/>
            <w:tcBorders>
              <w:top w:val="single" w:sz="2" w:space="0" w:color="3D7FE0" w:themeColor="accent1"/>
              <w:bottom w:val="single" w:sz="8" w:space="0" w:color="3D7FE0" w:themeColor="accent1"/>
            </w:tcBorders>
            <w:tcMar>
              <w:left w:w="0" w:type="dxa"/>
              <w:right w:w="0" w:type="dxa"/>
            </w:tcMar>
          </w:tcPr>
          <w:p w14:paraId="783D5F49" w14:textId="69C6DB6F"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36.2</w:t>
            </w:r>
          </w:p>
        </w:tc>
        <w:tc>
          <w:tcPr>
            <w:tcW w:w="1064" w:type="dxa"/>
            <w:tcBorders>
              <w:top w:val="single" w:sz="2" w:space="0" w:color="3D7FE0" w:themeColor="accent1"/>
              <w:bottom w:val="single" w:sz="8" w:space="0" w:color="3D7FE0" w:themeColor="accent1"/>
            </w:tcBorders>
            <w:tcMar>
              <w:left w:w="0" w:type="dxa"/>
              <w:right w:w="0" w:type="dxa"/>
            </w:tcMar>
          </w:tcPr>
          <w:p w14:paraId="657D7931" w14:textId="1D1815D6" w:rsidR="00363F8A" w:rsidRPr="00BE24B5" w:rsidRDefault="00363F8A" w:rsidP="00363F8A">
            <w:pPr>
              <w:pStyle w:val="TableFiguresBold"/>
              <w:rPr>
                <w:rFonts w:ascii="IBM Plex Sans Light" w:hAnsi="IBM Plex Sans Light" w:cs="MyriadPro-Light"/>
                <w:b w:val="0"/>
                <w:color w:val="auto"/>
                <w:spacing w:val="-4"/>
                <w:sz w:val="18"/>
                <w:szCs w:val="18"/>
              </w:rPr>
            </w:pPr>
            <w:r w:rsidRPr="00BE24B5">
              <w:rPr>
                <w:rFonts w:ascii="IBM Plex Sans Light" w:hAnsi="IBM Plex Sans Light" w:cs="MyriadPro-Light"/>
                <w:b w:val="0"/>
                <w:color w:val="auto"/>
                <w:spacing w:val="-4"/>
                <w:sz w:val="18"/>
                <w:szCs w:val="18"/>
              </w:rPr>
              <w:t>1,497.2</w:t>
            </w:r>
          </w:p>
        </w:tc>
      </w:tr>
    </w:tbl>
    <w:p w14:paraId="0CA9E492" w14:textId="52570729" w:rsidR="00E40626" w:rsidRDefault="00E40626" w:rsidP="00E303AC">
      <w:pPr>
        <w:spacing w:before="120" w:after="0" w:line="240" w:lineRule="auto"/>
        <w:jc w:val="both"/>
        <w:rPr>
          <w:rFonts w:ascii="IBM Plex Sans Light" w:hAnsi="IBM Plex Sans Light" w:cs="Arial"/>
          <w:sz w:val="16"/>
          <w:szCs w:val="16"/>
        </w:rPr>
      </w:pPr>
      <w:bookmarkStart w:id="0" w:name="_Hlk78228075"/>
    </w:p>
    <w:tbl>
      <w:tblPr>
        <w:tblW w:w="9951" w:type="dxa"/>
        <w:tblLayout w:type="fixed"/>
        <w:tblLook w:val="01E0" w:firstRow="1" w:lastRow="1" w:firstColumn="1" w:lastColumn="1" w:noHBand="0" w:noVBand="0"/>
      </w:tblPr>
      <w:tblGrid>
        <w:gridCol w:w="3005"/>
        <w:gridCol w:w="567"/>
        <w:gridCol w:w="1063"/>
        <w:gridCol w:w="1063"/>
        <w:gridCol w:w="1063"/>
        <w:gridCol w:w="1063"/>
        <w:gridCol w:w="1063"/>
        <w:gridCol w:w="1064"/>
      </w:tblGrid>
      <w:tr w:rsidR="00DD0B81" w:rsidRPr="00895810" w14:paraId="45D8D13E" w14:textId="77777777" w:rsidTr="003F2C4C">
        <w:trPr>
          <w:trHeight w:val="170"/>
        </w:trPr>
        <w:tc>
          <w:tcPr>
            <w:tcW w:w="3005" w:type="dxa"/>
            <w:tcBorders>
              <w:bottom w:val="single" w:sz="2" w:space="0" w:color="3D7FE0" w:themeColor="accent1"/>
            </w:tcBorders>
            <w:tcMar>
              <w:left w:w="0" w:type="dxa"/>
              <w:right w:w="0" w:type="dxa"/>
            </w:tcMar>
            <w:vAlign w:val="bottom"/>
          </w:tcPr>
          <w:p w14:paraId="66105783" w14:textId="77777777" w:rsidR="00DD0B81" w:rsidRPr="00895810" w:rsidRDefault="00DD0B81" w:rsidP="003F2C4C">
            <w:pPr>
              <w:pStyle w:val="TableColHeads"/>
              <w:jc w:val="left"/>
              <w:rPr>
                <w:rFonts w:ascii="IBM Plex Sans Light" w:hAnsi="IBM Plex Sans Light"/>
                <w:sz w:val="16"/>
                <w:szCs w:val="16"/>
              </w:rPr>
            </w:pPr>
          </w:p>
        </w:tc>
        <w:tc>
          <w:tcPr>
            <w:tcW w:w="567" w:type="dxa"/>
            <w:tcBorders>
              <w:bottom w:val="single" w:sz="2" w:space="0" w:color="3D7FE0" w:themeColor="accent1"/>
            </w:tcBorders>
          </w:tcPr>
          <w:p w14:paraId="1BFA1E60" w14:textId="77777777" w:rsidR="00DD0B81" w:rsidRPr="00895810" w:rsidRDefault="00DD0B81" w:rsidP="003F2C4C">
            <w:pPr>
              <w:pStyle w:val="TableColHeadsBold"/>
              <w:rPr>
                <w:rFonts w:ascii="IBM Plex Sans Light" w:hAnsi="IBM Plex Sans Light"/>
                <w:color w:val="3D7FE0" w:themeColor="accent1"/>
              </w:rPr>
            </w:pPr>
          </w:p>
        </w:tc>
        <w:tc>
          <w:tcPr>
            <w:tcW w:w="3189" w:type="dxa"/>
            <w:gridSpan w:val="3"/>
            <w:tcBorders>
              <w:bottom w:val="single" w:sz="2" w:space="0" w:color="3D7FE0" w:themeColor="accent1"/>
            </w:tcBorders>
            <w:vAlign w:val="bottom"/>
          </w:tcPr>
          <w:p w14:paraId="656BFDEC" w14:textId="0776E025" w:rsidR="00DD0B81" w:rsidRPr="00895810" w:rsidRDefault="00785AC2" w:rsidP="003F2C4C">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3190" w:type="dxa"/>
            <w:gridSpan w:val="3"/>
            <w:tcBorders>
              <w:bottom w:val="single" w:sz="2" w:space="0" w:color="3D7FE0" w:themeColor="accent1"/>
            </w:tcBorders>
            <w:tcMar>
              <w:left w:w="0" w:type="dxa"/>
              <w:right w:w="0" w:type="dxa"/>
            </w:tcMar>
            <w:vAlign w:val="bottom"/>
          </w:tcPr>
          <w:p w14:paraId="7AF937A6" w14:textId="6E00CD00" w:rsidR="00DD0B81" w:rsidRPr="00895810" w:rsidRDefault="006E7EB0" w:rsidP="003F2C4C">
            <w:pPr>
              <w:pStyle w:val="TableColHeadsBold"/>
              <w:rPr>
                <w:rFonts w:ascii="IBM Plex Sans Light" w:hAnsi="IBM Plex Sans Light"/>
                <w:b w:val="0"/>
                <w:bCs w:val="0"/>
              </w:rPr>
            </w:pPr>
            <w:r>
              <w:rPr>
                <w:rFonts w:ascii="IBM Plex Sans Light" w:hAnsi="IBM Plex Sans Light"/>
                <w:b w:val="0"/>
                <w:bCs w:val="0"/>
              </w:rPr>
              <w:t>2022</w:t>
            </w:r>
          </w:p>
        </w:tc>
      </w:tr>
      <w:bookmarkEnd w:id="0"/>
      <w:tr w:rsidR="0091536C" w:rsidRPr="00895810" w14:paraId="7577507D" w14:textId="77777777" w:rsidTr="003F2C4C">
        <w:trPr>
          <w:trHeight w:val="170"/>
        </w:trPr>
        <w:tc>
          <w:tcPr>
            <w:tcW w:w="3005" w:type="dxa"/>
            <w:tcBorders>
              <w:top w:val="single" w:sz="2" w:space="0" w:color="3D7FE0" w:themeColor="accent1"/>
            </w:tcBorders>
            <w:tcMar>
              <w:left w:w="0" w:type="dxa"/>
              <w:right w:w="0" w:type="dxa"/>
            </w:tcMar>
            <w:vAlign w:val="bottom"/>
          </w:tcPr>
          <w:p w14:paraId="233BA2CC" w14:textId="77777777" w:rsidR="0091536C" w:rsidRPr="00895810" w:rsidRDefault="0091536C" w:rsidP="0091536C">
            <w:pPr>
              <w:pStyle w:val="TableColHeads"/>
              <w:jc w:val="left"/>
              <w:rPr>
                <w:rFonts w:ascii="IBM Plex Sans Light" w:hAnsi="IBM Plex Sans Light"/>
                <w:sz w:val="16"/>
                <w:szCs w:val="16"/>
              </w:rPr>
            </w:pPr>
          </w:p>
        </w:tc>
        <w:tc>
          <w:tcPr>
            <w:tcW w:w="567" w:type="dxa"/>
            <w:tcBorders>
              <w:top w:val="single" w:sz="2" w:space="0" w:color="3D7FE0" w:themeColor="accent1"/>
            </w:tcBorders>
          </w:tcPr>
          <w:p w14:paraId="41E13072" w14:textId="77777777" w:rsidR="0091536C" w:rsidRPr="00895810" w:rsidRDefault="0091536C" w:rsidP="0091536C">
            <w:pPr>
              <w:pStyle w:val="TableColHeadsBold"/>
              <w:rPr>
                <w:rFonts w:ascii="IBM Plex Sans Light" w:hAnsi="IBM Plex Sans Light"/>
                <w:color w:val="3D7FE0" w:themeColor="accent1"/>
              </w:rPr>
            </w:pPr>
          </w:p>
        </w:tc>
        <w:tc>
          <w:tcPr>
            <w:tcW w:w="1063" w:type="dxa"/>
            <w:tcBorders>
              <w:top w:val="single" w:sz="2" w:space="0" w:color="3D7FE0" w:themeColor="accent1"/>
            </w:tcBorders>
            <w:vAlign w:val="bottom"/>
          </w:tcPr>
          <w:p w14:paraId="770C5210" w14:textId="20B453A6" w:rsidR="0091536C" w:rsidRPr="00895810" w:rsidRDefault="0091536C" w:rsidP="0091536C">
            <w:pPr>
              <w:pStyle w:val="TableColHeadsBold"/>
              <w:rPr>
                <w:rFonts w:ascii="IBM Plex Sans Light" w:hAnsi="IBM Plex Sans Light"/>
              </w:rPr>
            </w:pPr>
            <w:r w:rsidRPr="00895810">
              <w:rPr>
                <w:rFonts w:ascii="IBM Plex Sans Light" w:hAnsi="IBM Plex Sans Light"/>
                <w:color w:val="3D7FE0" w:themeColor="accent1"/>
              </w:rPr>
              <w:t>Freehold</w:t>
            </w:r>
          </w:p>
        </w:tc>
        <w:tc>
          <w:tcPr>
            <w:tcW w:w="1063" w:type="dxa"/>
            <w:tcBorders>
              <w:top w:val="single" w:sz="2" w:space="0" w:color="3D7FE0" w:themeColor="accent1"/>
            </w:tcBorders>
            <w:vAlign w:val="bottom"/>
          </w:tcPr>
          <w:p w14:paraId="2EB5290C" w14:textId="6DA56618" w:rsidR="0091536C" w:rsidRPr="00895810" w:rsidRDefault="0091536C" w:rsidP="0091536C">
            <w:pPr>
              <w:pStyle w:val="TableColHeadsBold"/>
              <w:rPr>
                <w:rFonts w:ascii="IBM Plex Sans Light" w:hAnsi="IBM Plex Sans Light"/>
              </w:rPr>
            </w:pPr>
            <w:r w:rsidRPr="00895810">
              <w:rPr>
                <w:rFonts w:ascii="IBM Plex Sans Light" w:hAnsi="IBM Plex Sans Light"/>
                <w:color w:val="3D7FE0" w:themeColor="accent1"/>
              </w:rPr>
              <w:t>Long leasehold</w:t>
            </w:r>
          </w:p>
        </w:tc>
        <w:tc>
          <w:tcPr>
            <w:tcW w:w="1063" w:type="dxa"/>
            <w:tcBorders>
              <w:top w:val="single" w:sz="2" w:space="0" w:color="3D7FE0" w:themeColor="accent1"/>
            </w:tcBorders>
            <w:vAlign w:val="bottom"/>
          </w:tcPr>
          <w:p w14:paraId="76F4874D" w14:textId="77777777" w:rsidR="0091536C" w:rsidRPr="00895810" w:rsidRDefault="0091536C" w:rsidP="0091536C">
            <w:pPr>
              <w:pStyle w:val="TableColHeadsBold"/>
              <w:rPr>
                <w:rFonts w:ascii="IBM Plex Sans Light" w:hAnsi="IBM Plex Sans Light"/>
              </w:rPr>
            </w:pPr>
            <w:r w:rsidRPr="00895810">
              <w:rPr>
                <w:rFonts w:ascii="IBM Plex Sans Light" w:hAnsi="IBM Plex Sans Light"/>
                <w:color w:val="3D7FE0" w:themeColor="accent1"/>
              </w:rPr>
              <w:t>Total</w:t>
            </w:r>
          </w:p>
        </w:tc>
        <w:tc>
          <w:tcPr>
            <w:tcW w:w="1063" w:type="dxa"/>
            <w:tcBorders>
              <w:top w:val="single" w:sz="2" w:space="0" w:color="3D7FE0" w:themeColor="accent1"/>
            </w:tcBorders>
            <w:tcMar>
              <w:left w:w="0" w:type="dxa"/>
              <w:right w:w="0" w:type="dxa"/>
            </w:tcMar>
            <w:vAlign w:val="bottom"/>
          </w:tcPr>
          <w:p w14:paraId="1DF77BED" w14:textId="424143EA" w:rsidR="0091536C" w:rsidRPr="00895810" w:rsidRDefault="0091536C" w:rsidP="0091536C">
            <w:pPr>
              <w:pStyle w:val="TableColHeadsBold"/>
              <w:rPr>
                <w:rFonts w:ascii="IBM Plex Sans Light" w:hAnsi="IBM Plex Sans Light"/>
                <w:b w:val="0"/>
                <w:bCs w:val="0"/>
              </w:rPr>
            </w:pPr>
            <w:r w:rsidRPr="00895810">
              <w:rPr>
                <w:rFonts w:ascii="IBM Plex Sans Light" w:hAnsi="IBM Plex Sans Light"/>
                <w:b w:val="0"/>
                <w:bCs w:val="0"/>
              </w:rPr>
              <w:t>Freehold</w:t>
            </w:r>
          </w:p>
        </w:tc>
        <w:tc>
          <w:tcPr>
            <w:tcW w:w="1063" w:type="dxa"/>
            <w:tcBorders>
              <w:top w:val="single" w:sz="2" w:space="0" w:color="3D7FE0" w:themeColor="accent1"/>
            </w:tcBorders>
            <w:tcMar>
              <w:left w:w="0" w:type="dxa"/>
              <w:right w:w="0" w:type="dxa"/>
            </w:tcMar>
            <w:vAlign w:val="bottom"/>
          </w:tcPr>
          <w:p w14:paraId="294240CC" w14:textId="498D0D6D" w:rsidR="0091536C" w:rsidRPr="00895810" w:rsidRDefault="0091536C" w:rsidP="0091536C">
            <w:pPr>
              <w:pStyle w:val="TableColHeadsBold"/>
              <w:rPr>
                <w:rFonts w:ascii="IBM Plex Sans Light" w:hAnsi="IBM Plex Sans Light"/>
                <w:b w:val="0"/>
                <w:bCs w:val="0"/>
              </w:rPr>
            </w:pPr>
            <w:r w:rsidRPr="00895810">
              <w:rPr>
                <w:rFonts w:ascii="IBM Plex Sans Light" w:hAnsi="IBM Plex Sans Light"/>
                <w:b w:val="0"/>
                <w:bCs w:val="0"/>
              </w:rPr>
              <w:t>Long leasehold</w:t>
            </w:r>
          </w:p>
        </w:tc>
        <w:tc>
          <w:tcPr>
            <w:tcW w:w="1064" w:type="dxa"/>
            <w:tcBorders>
              <w:top w:val="single" w:sz="2" w:space="0" w:color="3D7FE0" w:themeColor="accent1"/>
            </w:tcBorders>
            <w:tcMar>
              <w:left w:w="0" w:type="dxa"/>
              <w:right w:w="0" w:type="dxa"/>
            </w:tcMar>
            <w:vAlign w:val="bottom"/>
          </w:tcPr>
          <w:p w14:paraId="6DBC8CED" w14:textId="5EB0C65E" w:rsidR="0091536C" w:rsidRPr="00895810" w:rsidRDefault="0091536C" w:rsidP="0091536C">
            <w:pPr>
              <w:pStyle w:val="TableColHeadsBold"/>
              <w:rPr>
                <w:rFonts w:ascii="IBM Plex Sans Light" w:hAnsi="IBM Plex Sans Light"/>
                <w:b w:val="0"/>
                <w:bCs w:val="0"/>
              </w:rPr>
            </w:pPr>
            <w:r w:rsidRPr="00895810">
              <w:rPr>
                <w:rFonts w:ascii="IBM Plex Sans Light" w:hAnsi="IBM Plex Sans Light"/>
                <w:b w:val="0"/>
                <w:bCs w:val="0"/>
              </w:rPr>
              <w:t>Total</w:t>
            </w:r>
          </w:p>
        </w:tc>
      </w:tr>
      <w:tr w:rsidR="0091536C" w:rsidRPr="00895810" w14:paraId="27EC473E" w14:textId="77777777" w:rsidTr="00DD0B81">
        <w:trPr>
          <w:trHeight w:val="170"/>
        </w:trPr>
        <w:tc>
          <w:tcPr>
            <w:tcW w:w="3005" w:type="dxa"/>
            <w:tcBorders>
              <w:bottom w:val="single" w:sz="2" w:space="0" w:color="3D7FE0" w:themeColor="accent1"/>
            </w:tcBorders>
            <w:tcMar>
              <w:left w:w="0" w:type="dxa"/>
              <w:right w:w="0" w:type="dxa"/>
            </w:tcMar>
            <w:vAlign w:val="bottom"/>
          </w:tcPr>
          <w:p w14:paraId="7D57B6EE" w14:textId="77777777" w:rsidR="0091536C" w:rsidRPr="00895810" w:rsidRDefault="0091536C" w:rsidP="003F2C4C">
            <w:pPr>
              <w:pStyle w:val="TableColHeads"/>
              <w:jc w:val="left"/>
              <w:rPr>
                <w:rFonts w:ascii="IBM Plex Sans Light" w:hAnsi="IBM Plex Sans Light"/>
                <w:sz w:val="16"/>
                <w:szCs w:val="16"/>
              </w:rPr>
            </w:pPr>
          </w:p>
        </w:tc>
        <w:tc>
          <w:tcPr>
            <w:tcW w:w="567" w:type="dxa"/>
            <w:tcBorders>
              <w:bottom w:val="single" w:sz="2" w:space="0" w:color="3D7FE0" w:themeColor="accent1"/>
            </w:tcBorders>
          </w:tcPr>
          <w:p w14:paraId="2911BB7A" w14:textId="77777777" w:rsidR="0091536C" w:rsidRPr="00895810" w:rsidRDefault="0091536C" w:rsidP="003F2C4C">
            <w:pPr>
              <w:pStyle w:val="TableColHeadsBold"/>
              <w:rPr>
                <w:rFonts w:ascii="IBM Plex Sans Light" w:hAnsi="IBM Plex Sans Light"/>
                <w:color w:val="3D7FE0" w:themeColor="accent1"/>
              </w:rPr>
            </w:pPr>
          </w:p>
        </w:tc>
        <w:tc>
          <w:tcPr>
            <w:tcW w:w="1063" w:type="dxa"/>
            <w:tcBorders>
              <w:bottom w:val="single" w:sz="2" w:space="0" w:color="3D7FE0" w:themeColor="accent1"/>
            </w:tcBorders>
            <w:vAlign w:val="bottom"/>
          </w:tcPr>
          <w:p w14:paraId="28520A45" w14:textId="77777777" w:rsidR="0091536C" w:rsidRPr="00895810" w:rsidRDefault="0091536C" w:rsidP="003F2C4C">
            <w:pPr>
              <w:pStyle w:val="TableColHeadsBold"/>
              <w:rPr>
                <w:rFonts w:ascii="IBM Plex Sans Light" w:hAnsi="IBM Plex Sans Light"/>
              </w:rPr>
            </w:pPr>
            <w:r w:rsidRPr="00895810">
              <w:rPr>
                <w:rFonts w:ascii="IBM Plex Sans Light" w:hAnsi="IBM Plex Sans Light"/>
                <w:color w:val="3D7FE0" w:themeColor="accent1"/>
              </w:rPr>
              <w:t>£m</w:t>
            </w:r>
          </w:p>
        </w:tc>
        <w:tc>
          <w:tcPr>
            <w:tcW w:w="1063" w:type="dxa"/>
            <w:tcBorders>
              <w:bottom w:val="single" w:sz="2" w:space="0" w:color="3D7FE0" w:themeColor="accent1"/>
            </w:tcBorders>
            <w:vAlign w:val="bottom"/>
          </w:tcPr>
          <w:p w14:paraId="6E60AF76" w14:textId="77777777" w:rsidR="0091536C" w:rsidRPr="00895810" w:rsidRDefault="0091536C" w:rsidP="003F2C4C">
            <w:pPr>
              <w:pStyle w:val="TableColHeadsBold"/>
              <w:rPr>
                <w:rFonts w:ascii="IBM Plex Sans Light" w:hAnsi="IBM Plex Sans Light"/>
              </w:rPr>
            </w:pPr>
            <w:r w:rsidRPr="00895810">
              <w:rPr>
                <w:rFonts w:ascii="IBM Plex Sans Light" w:hAnsi="IBM Plex Sans Light"/>
                <w:color w:val="3D7FE0" w:themeColor="accent1"/>
              </w:rPr>
              <w:t>£m</w:t>
            </w:r>
          </w:p>
        </w:tc>
        <w:tc>
          <w:tcPr>
            <w:tcW w:w="1063" w:type="dxa"/>
            <w:tcBorders>
              <w:bottom w:val="single" w:sz="2" w:space="0" w:color="3D7FE0" w:themeColor="accent1"/>
            </w:tcBorders>
            <w:vAlign w:val="bottom"/>
          </w:tcPr>
          <w:p w14:paraId="0E383D21" w14:textId="77777777" w:rsidR="0091536C" w:rsidRPr="00895810" w:rsidRDefault="0091536C"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1063" w:type="dxa"/>
            <w:tcBorders>
              <w:bottom w:val="single" w:sz="2" w:space="0" w:color="3D7FE0" w:themeColor="accent1"/>
            </w:tcBorders>
            <w:tcMar>
              <w:left w:w="0" w:type="dxa"/>
              <w:right w:w="0" w:type="dxa"/>
            </w:tcMar>
            <w:vAlign w:val="bottom"/>
          </w:tcPr>
          <w:p w14:paraId="1E8DC6D3" w14:textId="77777777" w:rsidR="0091536C" w:rsidRPr="00895810" w:rsidRDefault="0091536C" w:rsidP="003F2C4C">
            <w:pPr>
              <w:pStyle w:val="TableColHeadsBold"/>
              <w:rPr>
                <w:rFonts w:ascii="IBM Plex Sans Light" w:hAnsi="IBM Plex Sans Light"/>
                <w:b w:val="0"/>
                <w:bCs w:val="0"/>
              </w:rPr>
            </w:pPr>
            <w:r w:rsidRPr="00895810">
              <w:rPr>
                <w:rFonts w:ascii="IBM Plex Sans Light" w:hAnsi="IBM Plex Sans Light"/>
                <w:b w:val="0"/>
                <w:bCs w:val="0"/>
              </w:rPr>
              <w:t xml:space="preserve">£m </w:t>
            </w:r>
          </w:p>
        </w:tc>
        <w:tc>
          <w:tcPr>
            <w:tcW w:w="1063" w:type="dxa"/>
            <w:tcBorders>
              <w:bottom w:val="single" w:sz="2" w:space="0" w:color="3D7FE0" w:themeColor="accent1"/>
            </w:tcBorders>
            <w:tcMar>
              <w:left w:w="0" w:type="dxa"/>
              <w:right w:w="0" w:type="dxa"/>
            </w:tcMar>
            <w:vAlign w:val="bottom"/>
          </w:tcPr>
          <w:p w14:paraId="40114A18" w14:textId="77777777" w:rsidR="0091536C" w:rsidRPr="00895810" w:rsidRDefault="0091536C" w:rsidP="003F2C4C">
            <w:pPr>
              <w:pStyle w:val="TableColHeadsBold"/>
              <w:rPr>
                <w:rFonts w:ascii="IBM Plex Sans Light" w:hAnsi="IBM Plex Sans Light"/>
                <w:b w:val="0"/>
                <w:bCs w:val="0"/>
              </w:rPr>
            </w:pPr>
            <w:r w:rsidRPr="00895810">
              <w:rPr>
                <w:rFonts w:ascii="IBM Plex Sans Light" w:hAnsi="IBM Plex Sans Light"/>
                <w:b w:val="0"/>
                <w:bCs w:val="0"/>
              </w:rPr>
              <w:t xml:space="preserve">£m </w:t>
            </w:r>
          </w:p>
        </w:tc>
        <w:tc>
          <w:tcPr>
            <w:tcW w:w="1064" w:type="dxa"/>
            <w:tcBorders>
              <w:bottom w:val="single" w:sz="2" w:space="0" w:color="3D7FE0" w:themeColor="accent1"/>
            </w:tcBorders>
            <w:tcMar>
              <w:left w:w="0" w:type="dxa"/>
              <w:right w:w="0" w:type="dxa"/>
            </w:tcMar>
            <w:vAlign w:val="bottom"/>
          </w:tcPr>
          <w:p w14:paraId="72545275" w14:textId="77777777" w:rsidR="0091536C" w:rsidRPr="00895810" w:rsidRDefault="0091536C" w:rsidP="003F2C4C">
            <w:pPr>
              <w:pStyle w:val="TableColHeadsBold"/>
              <w:rPr>
                <w:rFonts w:ascii="IBM Plex Sans Light" w:hAnsi="IBM Plex Sans Light"/>
                <w:b w:val="0"/>
                <w:bCs w:val="0"/>
              </w:rPr>
            </w:pPr>
            <w:r w:rsidRPr="00895810">
              <w:rPr>
                <w:rFonts w:ascii="IBM Plex Sans Light" w:hAnsi="IBM Plex Sans Light"/>
                <w:b w:val="0"/>
                <w:bCs w:val="0"/>
              </w:rPr>
              <w:t xml:space="preserve">£m </w:t>
            </w:r>
          </w:p>
        </w:tc>
      </w:tr>
      <w:tr w:rsidR="00363F8A" w:rsidRPr="00895810" w14:paraId="6AE808D2" w14:textId="77777777" w:rsidTr="00C708DD">
        <w:tc>
          <w:tcPr>
            <w:tcW w:w="3005" w:type="dxa"/>
            <w:tcBorders>
              <w:top w:val="single" w:sz="2" w:space="0" w:color="3D7FE0" w:themeColor="accent1"/>
              <w:bottom w:val="single" w:sz="8" w:space="0" w:color="3D7FE0" w:themeColor="accent1"/>
            </w:tcBorders>
            <w:tcMar>
              <w:left w:w="0" w:type="dxa"/>
              <w:right w:w="0" w:type="dxa"/>
            </w:tcMar>
            <w:vAlign w:val="bottom"/>
          </w:tcPr>
          <w:p w14:paraId="2E75EF5D" w14:textId="2AA2DDFE" w:rsidR="00363F8A" w:rsidRPr="00895810" w:rsidRDefault="00363F8A" w:rsidP="00363F8A">
            <w:pPr>
              <w:pStyle w:val="Tabletext"/>
              <w:rPr>
                <w:rFonts w:ascii="IBM Plex Sans Light" w:hAnsi="IBM Plex Sans Light"/>
                <w:spacing w:val="-4"/>
                <w:sz w:val="18"/>
              </w:rPr>
            </w:pPr>
            <w:r w:rsidRPr="00895810">
              <w:rPr>
                <w:rFonts w:ascii="IBM Plex Sans Light" w:hAnsi="IBM Plex Sans Light"/>
                <w:spacing w:val="-4"/>
                <w:sz w:val="18"/>
              </w:rPr>
              <w:t>Valuation analysis by tenure</w:t>
            </w:r>
          </w:p>
        </w:tc>
        <w:tc>
          <w:tcPr>
            <w:tcW w:w="567" w:type="dxa"/>
            <w:tcBorders>
              <w:top w:val="single" w:sz="2" w:space="0" w:color="3D7FE0" w:themeColor="accent1"/>
              <w:bottom w:val="single" w:sz="8" w:space="0" w:color="3D7FE0" w:themeColor="accent1"/>
            </w:tcBorders>
          </w:tcPr>
          <w:p w14:paraId="7D6C9474" w14:textId="77777777" w:rsidR="00363F8A" w:rsidRPr="00895810" w:rsidRDefault="00363F8A" w:rsidP="00363F8A">
            <w:pPr>
              <w:pStyle w:val="TableFigures"/>
              <w:rPr>
                <w:rFonts w:ascii="IBM Plex Sans Light" w:hAnsi="IBM Plex Sans Light"/>
                <w:spacing w:val="-4"/>
                <w:sz w:val="18"/>
              </w:rPr>
            </w:pPr>
          </w:p>
        </w:tc>
        <w:tc>
          <w:tcPr>
            <w:tcW w:w="1063" w:type="dxa"/>
            <w:tcBorders>
              <w:top w:val="single" w:sz="2" w:space="0" w:color="3D7FE0" w:themeColor="accent1"/>
              <w:bottom w:val="single" w:sz="8" w:space="0" w:color="3D7FE0" w:themeColor="accent1"/>
            </w:tcBorders>
          </w:tcPr>
          <w:p w14:paraId="498825E5" w14:textId="4A364595"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734.0</w:t>
            </w:r>
          </w:p>
        </w:tc>
        <w:tc>
          <w:tcPr>
            <w:tcW w:w="1063" w:type="dxa"/>
            <w:tcBorders>
              <w:top w:val="single" w:sz="2" w:space="0" w:color="3D7FE0" w:themeColor="accent1"/>
              <w:bottom w:val="single" w:sz="8" w:space="0" w:color="3D7FE0" w:themeColor="accent1"/>
            </w:tcBorders>
          </w:tcPr>
          <w:p w14:paraId="0722907F" w14:textId="1F18542D"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662.2</w:t>
            </w:r>
          </w:p>
        </w:tc>
        <w:tc>
          <w:tcPr>
            <w:tcW w:w="1063" w:type="dxa"/>
            <w:tcBorders>
              <w:top w:val="single" w:sz="2" w:space="0" w:color="3D7FE0" w:themeColor="accent1"/>
              <w:bottom w:val="single" w:sz="8" w:space="0" w:color="3D7FE0" w:themeColor="accent1"/>
            </w:tcBorders>
          </w:tcPr>
          <w:p w14:paraId="540E047E" w14:textId="0361FD2C" w:rsidR="00363F8A" w:rsidRPr="00363F8A" w:rsidRDefault="00363F8A" w:rsidP="00363F8A">
            <w:pPr>
              <w:pStyle w:val="TableFiguresBold"/>
              <w:rPr>
                <w:rFonts w:ascii="IBM Plex Sans Medium" w:hAnsi="IBM Plex Sans Medium"/>
                <w:color w:val="3D7FE0" w:themeColor="accent1"/>
                <w:sz w:val="18"/>
                <w:szCs w:val="22"/>
              </w:rPr>
            </w:pPr>
            <w:r w:rsidRPr="00363F8A">
              <w:rPr>
                <w:rFonts w:ascii="IBM Plex Sans Medium" w:hAnsi="IBM Plex Sans Medium"/>
                <w:color w:val="3D7FE0" w:themeColor="accent1"/>
                <w:sz w:val="18"/>
                <w:szCs w:val="22"/>
              </w:rPr>
              <w:t>1,396.2</w:t>
            </w:r>
          </w:p>
        </w:tc>
        <w:tc>
          <w:tcPr>
            <w:tcW w:w="1063" w:type="dxa"/>
            <w:tcBorders>
              <w:top w:val="single" w:sz="2" w:space="0" w:color="3D7FE0" w:themeColor="accent1"/>
              <w:bottom w:val="single" w:sz="8" w:space="0" w:color="3D7FE0" w:themeColor="accent1"/>
            </w:tcBorders>
            <w:tcMar>
              <w:left w:w="0" w:type="dxa"/>
              <w:right w:w="0" w:type="dxa"/>
            </w:tcMar>
            <w:vAlign w:val="bottom"/>
          </w:tcPr>
          <w:p w14:paraId="38CF43FE" w14:textId="68FB45FF" w:rsidR="00363F8A" w:rsidRPr="00895810" w:rsidRDefault="00363F8A" w:rsidP="00363F8A">
            <w:pPr>
              <w:pStyle w:val="TableFiguresBold"/>
              <w:rPr>
                <w:rFonts w:ascii="IBM Plex Sans Light" w:hAnsi="IBM Plex Sans Light" w:cs="MyriadPro-Light"/>
                <w:b w:val="0"/>
                <w:color w:val="auto"/>
                <w:spacing w:val="-4"/>
                <w:sz w:val="18"/>
                <w:szCs w:val="18"/>
              </w:rPr>
            </w:pPr>
            <w:r>
              <w:rPr>
                <w:rFonts w:ascii="IBM Plex Sans Light" w:hAnsi="IBM Plex Sans Light" w:cs="MyriadPro-Light"/>
                <w:b w:val="0"/>
                <w:color w:val="auto"/>
                <w:spacing w:val="-4"/>
                <w:sz w:val="18"/>
                <w:szCs w:val="18"/>
              </w:rPr>
              <w:t>805.3</w:t>
            </w:r>
          </w:p>
        </w:tc>
        <w:tc>
          <w:tcPr>
            <w:tcW w:w="1063" w:type="dxa"/>
            <w:tcBorders>
              <w:top w:val="single" w:sz="2" w:space="0" w:color="3D7FE0" w:themeColor="accent1"/>
              <w:bottom w:val="single" w:sz="8" w:space="0" w:color="3D7FE0" w:themeColor="accent1"/>
            </w:tcBorders>
            <w:tcMar>
              <w:left w:w="0" w:type="dxa"/>
              <w:right w:w="0" w:type="dxa"/>
            </w:tcMar>
            <w:vAlign w:val="bottom"/>
          </w:tcPr>
          <w:p w14:paraId="02704889" w14:textId="23883C7D" w:rsidR="00363F8A" w:rsidRPr="00895810" w:rsidRDefault="00363F8A" w:rsidP="00363F8A">
            <w:pPr>
              <w:pStyle w:val="TableFiguresBold"/>
              <w:rPr>
                <w:rFonts w:ascii="IBM Plex Sans Light" w:hAnsi="IBM Plex Sans Light" w:cs="MyriadPro-Light"/>
                <w:b w:val="0"/>
                <w:color w:val="auto"/>
                <w:spacing w:val="-4"/>
                <w:sz w:val="18"/>
                <w:szCs w:val="18"/>
              </w:rPr>
            </w:pPr>
            <w:r>
              <w:rPr>
                <w:rFonts w:ascii="IBM Plex Sans Light" w:hAnsi="IBM Plex Sans Light" w:cs="MyriadPro-Light"/>
                <w:b w:val="0"/>
                <w:color w:val="auto"/>
                <w:spacing w:val="-4"/>
                <w:sz w:val="18"/>
                <w:szCs w:val="18"/>
              </w:rPr>
              <w:t>691.9</w:t>
            </w:r>
          </w:p>
        </w:tc>
        <w:tc>
          <w:tcPr>
            <w:tcW w:w="1064" w:type="dxa"/>
            <w:tcBorders>
              <w:top w:val="single" w:sz="2" w:space="0" w:color="3D7FE0" w:themeColor="accent1"/>
              <w:bottom w:val="single" w:sz="8" w:space="0" w:color="3D7FE0" w:themeColor="accent1"/>
            </w:tcBorders>
            <w:tcMar>
              <w:left w:w="0" w:type="dxa"/>
              <w:right w:w="0" w:type="dxa"/>
            </w:tcMar>
            <w:vAlign w:val="bottom"/>
          </w:tcPr>
          <w:p w14:paraId="289B5A68" w14:textId="57B9ED56" w:rsidR="00363F8A" w:rsidRPr="00B8449B" w:rsidRDefault="00363F8A" w:rsidP="00363F8A">
            <w:pPr>
              <w:pStyle w:val="TableFiguresBold"/>
              <w:rPr>
                <w:rFonts w:ascii="IBM Plex Sans Light" w:hAnsi="IBM Plex Sans Light" w:cs="MyriadPro-Light"/>
                <w:b w:val="0"/>
                <w:color w:val="auto"/>
                <w:spacing w:val="-4"/>
                <w:sz w:val="18"/>
                <w:szCs w:val="18"/>
              </w:rPr>
            </w:pPr>
            <w:r w:rsidRPr="00B8449B">
              <w:rPr>
                <w:rFonts w:ascii="IBM Plex Sans Light" w:hAnsi="IBM Plex Sans Light" w:cs="MyriadPro-Light"/>
                <w:b w:val="0"/>
                <w:color w:val="auto"/>
                <w:spacing w:val="-4"/>
                <w:sz w:val="18"/>
                <w:szCs w:val="18"/>
              </w:rPr>
              <w:t>1,497.2</w:t>
            </w:r>
          </w:p>
        </w:tc>
      </w:tr>
    </w:tbl>
    <w:p w14:paraId="5246E504" w14:textId="54A5EC61" w:rsidR="00F20604" w:rsidRPr="00895810" w:rsidRDefault="00AD3699" w:rsidP="00C74B19">
      <w:pPr>
        <w:spacing w:before="120" w:after="40" w:line="240" w:lineRule="auto"/>
        <w:jc w:val="both"/>
        <w:rPr>
          <w:rFonts w:ascii="IBM Plex Sans Light" w:hAnsi="IBM Plex Sans Light"/>
        </w:rPr>
      </w:pPr>
      <w:r w:rsidRPr="00AD3699">
        <w:rPr>
          <w:rFonts w:ascii="IBM Plex Sans Light" w:hAnsi="IBM Plex Sans Light"/>
        </w:rPr>
        <w:t>Properties are stated at fair value, valued by professionally qualified external valuers in accordance with RICS Valuation – Global Standards as follows</w:t>
      </w:r>
      <w:r w:rsidR="00EE626F" w:rsidRPr="00895810">
        <w:rPr>
          <w:rFonts w:ascii="IBM Plex Sans Light" w:hAnsi="IBM Plex Sans Light"/>
        </w:rPr>
        <w:t>:</w:t>
      </w:r>
    </w:p>
    <w:tbl>
      <w:tblPr>
        <w:tblStyle w:val="TableGrid"/>
        <w:tblW w:w="9949" w:type="dxa"/>
        <w:tblLook w:val="04A0" w:firstRow="1" w:lastRow="0" w:firstColumn="1" w:lastColumn="0" w:noHBand="0" w:noVBand="1"/>
      </w:tblPr>
      <w:tblGrid>
        <w:gridCol w:w="3855"/>
        <w:gridCol w:w="6094"/>
      </w:tblGrid>
      <w:tr w:rsidR="00FC6179" w:rsidRPr="00895810" w14:paraId="7AB61ED8" w14:textId="77777777" w:rsidTr="00024B10">
        <w:trPr>
          <w:trHeight w:hRule="exact" w:val="340"/>
        </w:trPr>
        <w:tc>
          <w:tcPr>
            <w:tcW w:w="3855" w:type="dxa"/>
            <w:tcBorders>
              <w:bottom w:val="single" w:sz="4" w:space="0" w:color="3D7FE0" w:themeColor="accent1"/>
            </w:tcBorders>
            <w:vAlign w:val="bottom"/>
          </w:tcPr>
          <w:p w14:paraId="77162BD0" w14:textId="708CE754" w:rsidR="00FC6179" w:rsidRPr="00024B10" w:rsidRDefault="00FC6179" w:rsidP="00024B10">
            <w:pPr>
              <w:pStyle w:val="TableColHeadsBold"/>
              <w:jc w:val="left"/>
              <w:rPr>
                <w:rFonts w:ascii="IBM Plex Sans Light" w:hAnsi="IBM Plex Sans Light"/>
                <w:color w:val="3D7FE0" w:themeColor="accent1"/>
                <w:szCs w:val="14"/>
              </w:rPr>
            </w:pPr>
            <w:r w:rsidRPr="00024B10">
              <w:rPr>
                <w:rFonts w:ascii="IBM Plex Sans Light" w:hAnsi="IBM Plex Sans Light"/>
                <w:color w:val="3D7FE0" w:themeColor="accent1"/>
                <w:szCs w:val="14"/>
              </w:rPr>
              <w:t>Valuer</w:t>
            </w:r>
          </w:p>
        </w:tc>
        <w:tc>
          <w:tcPr>
            <w:tcW w:w="6094" w:type="dxa"/>
            <w:tcBorders>
              <w:bottom w:val="single" w:sz="4" w:space="0" w:color="3D7FE0" w:themeColor="accent1"/>
            </w:tcBorders>
            <w:vAlign w:val="bottom"/>
          </w:tcPr>
          <w:p w14:paraId="289BC3E0" w14:textId="592A701E" w:rsidR="00FC6179" w:rsidRPr="00024B10" w:rsidRDefault="00FC6179" w:rsidP="00024B10">
            <w:pPr>
              <w:pStyle w:val="TableColHeadsBold"/>
              <w:jc w:val="left"/>
              <w:rPr>
                <w:rFonts w:ascii="IBM Plex Sans Light" w:hAnsi="IBM Plex Sans Light"/>
                <w:color w:val="3D7FE0" w:themeColor="accent1"/>
                <w:szCs w:val="14"/>
              </w:rPr>
            </w:pPr>
            <w:r w:rsidRPr="00024B10">
              <w:rPr>
                <w:rFonts w:ascii="IBM Plex Sans Light" w:hAnsi="IBM Plex Sans Light"/>
                <w:color w:val="3D7FE0" w:themeColor="accent1"/>
                <w:szCs w:val="14"/>
              </w:rPr>
              <w:t>Properties</w:t>
            </w:r>
          </w:p>
        </w:tc>
      </w:tr>
      <w:tr w:rsidR="00363F8A" w:rsidRPr="00895810" w14:paraId="6775FCB6" w14:textId="77777777" w:rsidTr="00024B10">
        <w:trPr>
          <w:trHeight w:hRule="exact" w:val="340"/>
        </w:trPr>
        <w:tc>
          <w:tcPr>
            <w:tcW w:w="3855" w:type="dxa"/>
            <w:tcBorders>
              <w:top w:val="single" w:sz="4" w:space="0" w:color="3D7FE0" w:themeColor="accent1"/>
            </w:tcBorders>
          </w:tcPr>
          <w:p w14:paraId="48E911F8" w14:textId="0FF93572" w:rsidR="00363F8A" w:rsidRPr="00895810" w:rsidRDefault="00363F8A" w:rsidP="00363F8A">
            <w:pPr>
              <w:pStyle w:val="BodytextAftertables0"/>
              <w:rPr>
                <w:rFonts w:ascii="IBM Plex Sans Light" w:hAnsi="IBM Plex Sans Light"/>
              </w:rPr>
            </w:pPr>
            <w:r w:rsidRPr="00895810">
              <w:rPr>
                <w:rFonts w:ascii="IBM Plex Sans Light" w:hAnsi="IBM Plex Sans Light"/>
              </w:rPr>
              <w:t xml:space="preserve">CBRE </w:t>
            </w:r>
          </w:p>
        </w:tc>
        <w:tc>
          <w:tcPr>
            <w:tcW w:w="6094" w:type="dxa"/>
            <w:tcBorders>
              <w:top w:val="single" w:sz="4" w:space="0" w:color="3D7FE0" w:themeColor="accent1"/>
            </w:tcBorders>
          </w:tcPr>
          <w:p w14:paraId="30632B04" w14:textId="31C748C2" w:rsidR="00363F8A" w:rsidRPr="00895810" w:rsidRDefault="00363F8A" w:rsidP="00363F8A">
            <w:pPr>
              <w:pStyle w:val="BodytextAftertables0"/>
              <w:rPr>
                <w:rFonts w:ascii="IBM Plex Sans Light" w:hAnsi="IBM Plex Sans Light"/>
              </w:rPr>
            </w:pPr>
            <w:r w:rsidRPr="00363F8A">
              <w:rPr>
                <w:rFonts w:ascii="IBM Plex Sans Light" w:hAnsi="IBM Plex Sans Light"/>
              </w:rPr>
              <w:t>UK flagships, Developments and other properties</w:t>
            </w:r>
          </w:p>
        </w:tc>
      </w:tr>
      <w:tr w:rsidR="00363F8A" w:rsidRPr="00895810" w14:paraId="7BBCF4AA" w14:textId="77777777" w:rsidTr="008344FB">
        <w:trPr>
          <w:trHeight w:hRule="exact" w:val="340"/>
        </w:trPr>
        <w:tc>
          <w:tcPr>
            <w:tcW w:w="3855" w:type="dxa"/>
          </w:tcPr>
          <w:p w14:paraId="346CBE2A" w14:textId="772E414E" w:rsidR="00363F8A" w:rsidRPr="00895810" w:rsidRDefault="00363F8A" w:rsidP="00363F8A">
            <w:pPr>
              <w:pStyle w:val="BodytextAftertables0"/>
              <w:rPr>
                <w:rFonts w:ascii="IBM Plex Sans Light" w:hAnsi="IBM Plex Sans Light"/>
              </w:rPr>
            </w:pPr>
            <w:r w:rsidRPr="00895810">
              <w:rPr>
                <w:rFonts w:ascii="IBM Plex Sans Light" w:hAnsi="IBM Plex Sans Light"/>
              </w:rPr>
              <w:t xml:space="preserve">Jones Lang LaSalle </w:t>
            </w:r>
          </w:p>
        </w:tc>
        <w:tc>
          <w:tcPr>
            <w:tcW w:w="6094" w:type="dxa"/>
          </w:tcPr>
          <w:p w14:paraId="4AC82840" w14:textId="1F741F2E" w:rsidR="00363F8A" w:rsidRPr="00895810" w:rsidRDefault="00363F8A" w:rsidP="00363F8A">
            <w:pPr>
              <w:pStyle w:val="BodytextAftertables0"/>
              <w:rPr>
                <w:rFonts w:ascii="IBM Plex Sans Light" w:hAnsi="IBM Plex Sans Light"/>
              </w:rPr>
            </w:pPr>
            <w:r w:rsidRPr="00363F8A">
              <w:rPr>
                <w:rFonts w:ascii="IBM Plex Sans Light" w:hAnsi="IBM Plex Sans Light"/>
              </w:rPr>
              <w:t>UK flagships, French flagships, Developments and other properties</w:t>
            </w:r>
          </w:p>
        </w:tc>
      </w:tr>
      <w:tr w:rsidR="00363F8A" w:rsidRPr="00895810" w14:paraId="534C1051" w14:textId="77777777" w:rsidTr="008344FB">
        <w:trPr>
          <w:trHeight w:hRule="exact" w:val="340"/>
        </w:trPr>
        <w:tc>
          <w:tcPr>
            <w:tcW w:w="3855" w:type="dxa"/>
            <w:tcBorders>
              <w:bottom w:val="single" w:sz="8" w:space="0" w:color="3D7FE0" w:themeColor="accent1"/>
            </w:tcBorders>
          </w:tcPr>
          <w:p w14:paraId="774E15B1" w14:textId="19F5B2DF" w:rsidR="00363F8A" w:rsidRPr="00895810" w:rsidRDefault="00363F8A" w:rsidP="00363F8A">
            <w:pPr>
              <w:pStyle w:val="BodytextAftertables0"/>
              <w:rPr>
                <w:rFonts w:ascii="IBM Plex Sans Light" w:hAnsi="IBM Plex Sans Light"/>
              </w:rPr>
            </w:pPr>
            <w:r w:rsidRPr="00895810">
              <w:rPr>
                <w:rFonts w:ascii="IBM Plex Sans Light" w:hAnsi="IBM Plex Sans Light"/>
              </w:rPr>
              <w:t xml:space="preserve">Cushman and Wakefield </w:t>
            </w:r>
          </w:p>
        </w:tc>
        <w:tc>
          <w:tcPr>
            <w:tcW w:w="6094" w:type="dxa"/>
            <w:tcBorders>
              <w:bottom w:val="single" w:sz="8" w:space="0" w:color="3D7FE0" w:themeColor="accent1"/>
            </w:tcBorders>
          </w:tcPr>
          <w:p w14:paraId="09A32842" w14:textId="68082FA6" w:rsidR="00363F8A" w:rsidRPr="00895810" w:rsidRDefault="00363F8A" w:rsidP="00363F8A">
            <w:pPr>
              <w:pStyle w:val="BodytextAftertables0"/>
              <w:rPr>
                <w:rFonts w:ascii="IBM Plex Sans Light" w:hAnsi="IBM Plex Sans Light"/>
              </w:rPr>
            </w:pPr>
            <w:r w:rsidRPr="00363F8A">
              <w:rPr>
                <w:rFonts w:ascii="IBM Plex Sans Light" w:hAnsi="IBM Plex Sans Light"/>
              </w:rPr>
              <w:t>Brent Cross, Irish flagships, Development and other, Value Retail (not included in the table above)</w:t>
            </w:r>
          </w:p>
        </w:tc>
      </w:tr>
    </w:tbl>
    <w:p w14:paraId="630997E9" w14:textId="77777777" w:rsidR="00363F8A" w:rsidRDefault="00363F8A" w:rsidP="00363F8A">
      <w:pPr>
        <w:spacing w:after="0" w:line="240" w:lineRule="auto"/>
        <w:ind w:right="-255"/>
        <w:rPr>
          <w:rFonts w:ascii="IBM Plex Sans Light" w:hAnsi="IBM Plex Sans Light" w:cs="Arial"/>
          <w:bCs/>
          <w:szCs w:val="15"/>
        </w:rPr>
      </w:pPr>
    </w:p>
    <w:p w14:paraId="06117816" w14:textId="4A07E976" w:rsidR="00363F8A" w:rsidRPr="00363F8A" w:rsidRDefault="00C55BF9" w:rsidP="00363F8A">
      <w:pPr>
        <w:spacing w:after="0" w:line="240" w:lineRule="auto"/>
        <w:ind w:right="-255"/>
        <w:rPr>
          <w:rFonts w:ascii="IBM Plex Sans Light" w:hAnsi="IBM Plex Sans Light" w:cs="Arial"/>
          <w:bCs/>
          <w:szCs w:val="15"/>
        </w:rPr>
      </w:pPr>
      <w:r>
        <w:rPr>
          <w:rFonts w:ascii="IBM Plex Sans Light" w:hAnsi="IBM Plex Sans Light" w:cs="Arial"/>
          <w:bCs/>
          <w:szCs w:val="15"/>
        </w:rPr>
        <w:t>The</w:t>
      </w:r>
      <w:r w:rsidR="00363F8A" w:rsidRPr="00363F8A">
        <w:rPr>
          <w:rFonts w:ascii="IBM Plex Sans Light" w:hAnsi="IBM Plex Sans Light" w:cs="Arial"/>
          <w:bCs/>
          <w:szCs w:val="15"/>
        </w:rPr>
        <w:t xml:space="preserve"> estimation and judgement required in the valuations which are derived from data that is not publicly available, consistent with EPRA’s guidance, these valuations are classified as Level 3 in the IFRS 13 fair value hierarchy. A reconciliation of the Group portfolio valuation to Reported Group is shown in note 3B. A listing of properties is in Table 22 of the Additional Information.</w:t>
      </w:r>
    </w:p>
    <w:p w14:paraId="6208B375" w14:textId="2EA5CF50" w:rsidR="00371363" w:rsidRPr="00895810" w:rsidRDefault="005F6D26" w:rsidP="006B43AF">
      <w:pPr>
        <w:pStyle w:val="TableFiguresBold"/>
        <w:numPr>
          <w:ilvl w:val="0"/>
          <w:numId w:val="23"/>
        </w:numPr>
        <w:spacing w:before="120"/>
        <w:ind w:left="284" w:hanging="284"/>
        <w:jc w:val="left"/>
        <w:rPr>
          <w:rFonts w:ascii="IBM Plex Sans Light" w:hAnsi="IBM Plex Sans Light" w:cs="Arial"/>
          <w:color w:val="3D7FE0" w:themeColor="accent1"/>
          <w:sz w:val="18"/>
          <w:szCs w:val="16"/>
        </w:rPr>
      </w:pPr>
      <w:r w:rsidRPr="00895810">
        <w:rPr>
          <w:rFonts w:ascii="IBM Plex Sans Light" w:hAnsi="IBM Plex Sans Light" w:cs="Arial"/>
          <w:color w:val="3D7FE0" w:themeColor="accent1"/>
          <w:sz w:val="18"/>
          <w:szCs w:val="16"/>
        </w:rPr>
        <w:t xml:space="preserve">JOINT OPERATIONS </w:t>
      </w:r>
    </w:p>
    <w:p w14:paraId="3B8C621D" w14:textId="426DC0CA" w:rsidR="00D5204C" w:rsidRPr="00363F8A" w:rsidRDefault="00363F8A" w:rsidP="00363F8A">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Investment properties included a 50% interest in the Ilac Centre, Dublin and a 50% interest in Pavilions, Swords totalling £144.5m (2022: £151.4m). These properties are jointly controlled in co-ownership with Irish Life Assurance plc.</w:t>
      </w:r>
    </w:p>
    <w:p w14:paraId="4FC9996E" w14:textId="77777777" w:rsidR="00363F8A" w:rsidRDefault="00363F8A" w:rsidP="00AB6B6E">
      <w:pPr>
        <w:spacing w:after="80" w:line="240" w:lineRule="auto"/>
        <w:jc w:val="both"/>
        <w:rPr>
          <w:rFonts w:ascii="IBM Plex Sans Medium" w:hAnsi="IBM Plex Sans Medium" w:cs="Arial"/>
          <w:b/>
          <w:color w:val="3D7FE0" w:themeColor="accent1"/>
          <w:szCs w:val="18"/>
        </w:rPr>
      </w:pPr>
    </w:p>
    <w:p w14:paraId="6A630BA8" w14:textId="44035B30" w:rsidR="0023186C" w:rsidRPr="00AB6B6E" w:rsidRDefault="000B25C4"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F03778" w:rsidRPr="00AB6B6E">
        <w:rPr>
          <w:rFonts w:ascii="IBM Plex Sans Medium" w:hAnsi="IBM Plex Sans Medium" w:cs="Arial"/>
          <w:b/>
          <w:color w:val="3D7FE0" w:themeColor="accent1"/>
          <w:szCs w:val="18"/>
        </w:rPr>
        <w:t>2</w:t>
      </w:r>
      <w:r w:rsidR="00D00951" w:rsidRPr="00AB6B6E">
        <w:rPr>
          <w:rFonts w:ascii="IBM Plex Sans Medium" w:hAnsi="IBM Plex Sans Medium" w:cs="Arial"/>
          <w:b/>
          <w:color w:val="3D7FE0" w:themeColor="accent1"/>
          <w:szCs w:val="18"/>
        </w:rPr>
        <w:t>.</w:t>
      </w:r>
      <w:r w:rsidR="00CD4ABD" w:rsidRPr="00AB6B6E">
        <w:rPr>
          <w:rFonts w:ascii="IBM Plex Sans Medium" w:hAnsi="IBM Plex Sans Medium" w:cs="Arial"/>
          <w:b/>
          <w:color w:val="3D7FE0" w:themeColor="accent1"/>
          <w:szCs w:val="18"/>
        </w:rPr>
        <w:t xml:space="preserve"> INVESTMENT IN JOINT VENTURES</w:t>
      </w:r>
    </w:p>
    <w:p w14:paraId="30CBF1E4" w14:textId="77777777" w:rsidR="00363F8A" w:rsidRPr="00363F8A" w:rsidRDefault="00363F8A" w:rsidP="00363F8A">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 xml:space="preserve">The Group’s investments in joint ventures form part of the Share of Property interests to arrive at management’s analysis of the Group on a proportionally consolidated basis as explained in note 3 and set out in note 2. </w:t>
      </w:r>
    </w:p>
    <w:p w14:paraId="1B0B8635" w14:textId="77777777" w:rsidR="00363F8A" w:rsidRPr="00363F8A" w:rsidRDefault="00363F8A" w:rsidP="00363F8A">
      <w:pPr>
        <w:spacing w:after="0" w:line="240" w:lineRule="auto"/>
        <w:ind w:right="-255"/>
        <w:rPr>
          <w:rFonts w:ascii="IBM Plex Sans Light" w:hAnsi="IBM Plex Sans Light" w:cs="Arial"/>
          <w:bCs/>
          <w:szCs w:val="15"/>
        </w:rPr>
      </w:pPr>
    </w:p>
    <w:p w14:paraId="037702BB" w14:textId="2C331640" w:rsidR="00363F8A" w:rsidRPr="00363F8A" w:rsidRDefault="00363F8A" w:rsidP="00363F8A">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The Group and its partners invest principally by way of equity investment</w:t>
      </w:r>
      <w:r w:rsidR="006B0B5A">
        <w:rPr>
          <w:rFonts w:ascii="IBM Plex Sans Light" w:hAnsi="IBM Plex Sans Light" w:cs="Arial"/>
          <w:bCs/>
          <w:szCs w:val="15"/>
        </w:rPr>
        <w:t>. H</w:t>
      </w:r>
      <w:r w:rsidRPr="00363F8A">
        <w:rPr>
          <w:rFonts w:ascii="IBM Plex Sans Light" w:hAnsi="IBM Plex Sans Light" w:cs="Arial"/>
          <w:bCs/>
          <w:szCs w:val="15"/>
        </w:rPr>
        <w:t xml:space="preserve">owever, where applicable, non-equity (loan) balances have been included within non-current other payables as a liability of the joint venture. Joint ventures comprise prime urban real estate consisting of </w:t>
      </w:r>
      <w:r w:rsidR="006B0B5A">
        <w:rPr>
          <w:rFonts w:ascii="IBM Plex Sans Light" w:hAnsi="IBM Plex Sans Light" w:cs="Arial"/>
          <w:bCs/>
          <w:szCs w:val="15"/>
        </w:rPr>
        <w:t>F</w:t>
      </w:r>
      <w:r w:rsidRPr="00363F8A">
        <w:rPr>
          <w:rFonts w:ascii="IBM Plex Sans Light" w:hAnsi="IBM Plex Sans Light" w:cs="Arial"/>
          <w:bCs/>
          <w:szCs w:val="15"/>
        </w:rPr>
        <w:t>lagship destinations and Developments and other properties.</w:t>
      </w:r>
    </w:p>
    <w:p w14:paraId="4A7565FA" w14:textId="628F8C9D" w:rsidR="00B770CE" w:rsidRPr="00895810" w:rsidRDefault="00B770CE" w:rsidP="00B770CE">
      <w:pPr>
        <w:pStyle w:val="Heading2SpaceBefore"/>
        <w:rPr>
          <w:rFonts w:ascii="IBM Plex Sans Light" w:hAnsi="IBM Plex Sans Light"/>
          <w:color w:val="3D7FE0" w:themeColor="accent1"/>
        </w:rPr>
      </w:pPr>
      <w:r w:rsidRPr="00895810">
        <w:rPr>
          <w:rFonts w:ascii="IBM Plex Sans Light" w:hAnsi="IBM Plex Sans Light"/>
          <w:color w:val="3D7FE0" w:themeColor="accent1"/>
        </w:rPr>
        <w:t xml:space="preserve">A. </w:t>
      </w:r>
      <w:r w:rsidR="00560CFF">
        <w:rPr>
          <w:rFonts w:ascii="IBM Plex Sans Light" w:hAnsi="IBM Plex Sans Light"/>
          <w:color w:val="3D7FE0" w:themeColor="accent1"/>
        </w:rPr>
        <w:t>INVESTMENTS AT 31 DECEMBER 2023</w:t>
      </w:r>
    </w:p>
    <w:tbl>
      <w:tblPr>
        <w:tblW w:w="9921" w:type="dxa"/>
        <w:tblLayout w:type="fixed"/>
        <w:tblLook w:val="01E0" w:firstRow="1" w:lastRow="1" w:firstColumn="1" w:lastColumn="1" w:noHBand="0" w:noVBand="0"/>
      </w:tblPr>
      <w:tblGrid>
        <w:gridCol w:w="5245"/>
        <w:gridCol w:w="2693"/>
        <w:gridCol w:w="1418"/>
        <w:gridCol w:w="565"/>
      </w:tblGrid>
      <w:tr w:rsidR="00B770CE" w:rsidRPr="00895810" w14:paraId="580F8012" w14:textId="77777777" w:rsidTr="00024B10">
        <w:trPr>
          <w:trHeight w:val="227"/>
        </w:trPr>
        <w:tc>
          <w:tcPr>
            <w:tcW w:w="5245" w:type="dxa"/>
            <w:tcMar>
              <w:left w:w="0" w:type="dxa"/>
              <w:right w:w="0" w:type="dxa"/>
            </w:tcMar>
            <w:vAlign w:val="bottom"/>
          </w:tcPr>
          <w:p w14:paraId="14D5FB12" w14:textId="77777777" w:rsidR="00B770CE" w:rsidRPr="00895810" w:rsidRDefault="00B770CE" w:rsidP="003F2C4C">
            <w:pPr>
              <w:pStyle w:val="TableColHeadsBold"/>
              <w:rPr>
                <w:rFonts w:ascii="IBM Plex Sans Light" w:hAnsi="IBM Plex Sans Light"/>
                <w:sz w:val="18"/>
                <w:szCs w:val="18"/>
              </w:rPr>
            </w:pPr>
          </w:p>
        </w:tc>
        <w:tc>
          <w:tcPr>
            <w:tcW w:w="2693" w:type="dxa"/>
            <w:tcMar>
              <w:left w:w="0" w:type="dxa"/>
              <w:right w:w="0" w:type="dxa"/>
            </w:tcMar>
            <w:vAlign w:val="bottom"/>
          </w:tcPr>
          <w:p w14:paraId="700D8D72" w14:textId="77777777" w:rsidR="00B770CE" w:rsidRPr="00895810" w:rsidRDefault="00B770CE" w:rsidP="003F2C4C">
            <w:pPr>
              <w:pStyle w:val="TableColHeadsBold"/>
              <w:rPr>
                <w:rFonts w:ascii="IBM Plex Sans Light" w:hAnsi="IBM Plex Sans Light"/>
                <w:color w:val="3D7FE0" w:themeColor="accent1"/>
                <w:sz w:val="18"/>
                <w:szCs w:val="18"/>
              </w:rPr>
            </w:pPr>
          </w:p>
        </w:tc>
        <w:tc>
          <w:tcPr>
            <w:tcW w:w="1418" w:type="dxa"/>
            <w:tcMar>
              <w:left w:w="0" w:type="dxa"/>
              <w:right w:w="0" w:type="dxa"/>
            </w:tcMar>
            <w:vAlign w:val="bottom"/>
          </w:tcPr>
          <w:p w14:paraId="52F83930" w14:textId="1A87AA69" w:rsidR="00B770CE" w:rsidRPr="00895810" w:rsidRDefault="00B770CE" w:rsidP="003F2C4C">
            <w:pPr>
              <w:pStyle w:val="TableColHeadsBold"/>
              <w:spacing w:line="240" w:lineRule="auto"/>
              <w:rPr>
                <w:rFonts w:ascii="IBM Plex Sans Light" w:hAnsi="IBM Plex Sans Light"/>
                <w:color w:val="3D7FE0" w:themeColor="accent1"/>
              </w:rPr>
            </w:pPr>
          </w:p>
        </w:tc>
        <w:tc>
          <w:tcPr>
            <w:tcW w:w="565" w:type="dxa"/>
            <w:tcMar>
              <w:left w:w="0" w:type="dxa"/>
              <w:right w:w="0" w:type="dxa"/>
            </w:tcMar>
            <w:vAlign w:val="bottom"/>
          </w:tcPr>
          <w:p w14:paraId="17B6BA23" w14:textId="2BD4B745" w:rsidR="00B770CE" w:rsidRPr="00895810" w:rsidRDefault="00B770CE" w:rsidP="003F2C4C">
            <w:pPr>
              <w:pStyle w:val="TableColHeadsBold"/>
              <w:spacing w:line="240" w:lineRule="auto"/>
              <w:ind w:left="-106" w:right="39"/>
              <w:rPr>
                <w:rFonts w:ascii="IBM Plex Sans Light" w:hAnsi="IBM Plex Sans Light"/>
                <w:b w:val="0"/>
              </w:rPr>
            </w:pPr>
          </w:p>
        </w:tc>
      </w:tr>
      <w:tr w:rsidR="00B770CE" w:rsidRPr="00895810" w14:paraId="0522F285" w14:textId="77777777" w:rsidTr="00024B10">
        <w:tc>
          <w:tcPr>
            <w:tcW w:w="5245" w:type="dxa"/>
            <w:tcBorders>
              <w:bottom w:val="single" w:sz="2" w:space="0" w:color="3D7FE0" w:themeColor="accent1"/>
            </w:tcBorders>
            <w:tcMar>
              <w:left w:w="0" w:type="dxa"/>
              <w:bottom w:w="28" w:type="dxa"/>
              <w:right w:w="0" w:type="dxa"/>
            </w:tcMar>
            <w:vAlign w:val="bottom"/>
          </w:tcPr>
          <w:p w14:paraId="65B10495" w14:textId="11B17D95" w:rsidR="00B770CE" w:rsidRPr="00895810" w:rsidRDefault="003B4D2B" w:rsidP="000E335B">
            <w:pPr>
              <w:pStyle w:val="TableColHeadsBold"/>
              <w:jc w:val="left"/>
              <w:rPr>
                <w:rFonts w:ascii="IBM Plex Sans Light" w:hAnsi="IBM Plex Sans Light"/>
                <w:color w:val="3D7FE0" w:themeColor="accent1"/>
                <w:szCs w:val="14"/>
              </w:rPr>
            </w:pPr>
            <w:r w:rsidRPr="00895810">
              <w:rPr>
                <w:rFonts w:ascii="IBM Plex Sans Light" w:hAnsi="IBM Plex Sans Light"/>
                <w:color w:val="3D7FE0" w:themeColor="accent1"/>
                <w:szCs w:val="14"/>
              </w:rPr>
              <w:t>Joint venture</w:t>
            </w:r>
          </w:p>
        </w:tc>
        <w:tc>
          <w:tcPr>
            <w:tcW w:w="2693" w:type="dxa"/>
            <w:tcBorders>
              <w:bottom w:val="single" w:sz="2" w:space="0" w:color="3D7FE0" w:themeColor="accent1"/>
            </w:tcBorders>
            <w:tcMar>
              <w:left w:w="0" w:type="dxa"/>
              <w:bottom w:w="28" w:type="dxa"/>
              <w:right w:w="0" w:type="dxa"/>
            </w:tcMar>
            <w:vAlign w:val="bottom"/>
          </w:tcPr>
          <w:p w14:paraId="5309C45C" w14:textId="431CDB31" w:rsidR="00B770CE" w:rsidRPr="00895810" w:rsidRDefault="000E335B" w:rsidP="009F442F">
            <w:pPr>
              <w:pStyle w:val="TableColHeadsBold"/>
              <w:jc w:val="left"/>
              <w:rPr>
                <w:rFonts w:ascii="IBM Plex Sans Light" w:hAnsi="IBM Plex Sans Light"/>
                <w:color w:val="3D7FE0" w:themeColor="accent1"/>
                <w:szCs w:val="14"/>
              </w:rPr>
            </w:pPr>
            <w:r w:rsidRPr="00895810">
              <w:rPr>
                <w:rFonts w:ascii="IBM Plex Sans Light" w:hAnsi="IBM Plex Sans Light"/>
                <w:color w:val="3D7FE0" w:themeColor="accent1"/>
                <w:szCs w:val="14"/>
              </w:rPr>
              <w:t>Partner</w:t>
            </w:r>
          </w:p>
        </w:tc>
        <w:tc>
          <w:tcPr>
            <w:tcW w:w="1418" w:type="dxa"/>
            <w:tcBorders>
              <w:bottom w:val="single" w:sz="2" w:space="0" w:color="3D7FE0" w:themeColor="accent1"/>
            </w:tcBorders>
            <w:tcMar>
              <w:left w:w="0" w:type="dxa"/>
              <w:bottom w:w="28" w:type="dxa"/>
              <w:right w:w="0" w:type="dxa"/>
            </w:tcMar>
            <w:vAlign w:val="bottom"/>
          </w:tcPr>
          <w:p w14:paraId="38BEDD68" w14:textId="21B6A9C2" w:rsidR="00B770CE" w:rsidRPr="00895810" w:rsidRDefault="000E335B" w:rsidP="009F442F">
            <w:pPr>
              <w:pStyle w:val="TableColHeadsBold"/>
              <w:jc w:val="left"/>
              <w:rPr>
                <w:rFonts w:ascii="IBM Plex Sans Light" w:hAnsi="IBM Plex Sans Light"/>
                <w:b w:val="0"/>
                <w:szCs w:val="14"/>
              </w:rPr>
            </w:pPr>
            <w:r w:rsidRPr="00895810">
              <w:rPr>
                <w:rFonts w:ascii="IBM Plex Sans Light" w:hAnsi="IBM Plex Sans Light"/>
                <w:color w:val="3D7FE0" w:themeColor="accent1"/>
                <w:szCs w:val="14"/>
              </w:rPr>
              <w:t>Principal property</w:t>
            </w:r>
            <w:r w:rsidR="00B770CE" w:rsidRPr="00895810">
              <w:rPr>
                <w:rFonts w:ascii="IBM Plex Sans Light" w:hAnsi="IBM Plex Sans Light"/>
                <w:color w:val="3D7FE0" w:themeColor="accent1"/>
                <w:szCs w:val="14"/>
              </w:rPr>
              <w:t xml:space="preserve"> </w:t>
            </w:r>
          </w:p>
        </w:tc>
        <w:tc>
          <w:tcPr>
            <w:tcW w:w="565" w:type="dxa"/>
            <w:tcBorders>
              <w:bottom w:val="single" w:sz="2" w:space="0" w:color="3D7FE0" w:themeColor="accent1"/>
            </w:tcBorders>
            <w:tcMar>
              <w:left w:w="0" w:type="dxa"/>
              <w:bottom w:w="28" w:type="dxa"/>
              <w:right w:w="0" w:type="dxa"/>
            </w:tcMar>
            <w:vAlign w:val="bottom"/>
          </w:tcPr>
          <w:p w14:paraId="0D40AC69" w14:textId="77777777" w:rsidR="00B770CE" w:rsidRPr="00895810" w:rsidRDefault="00B770CE" w:rsidP="003F2C4C">
            <w:pPr>
              <w:pStyle w:val="TableColHeadsBold"/>
              <w:rPr>
                <w:rFonts w:ascii="IBM Plex Sans Light" w:hAnsi="IBM Plex Sans Light"/>
                <w:bCs w:val="0"/>
                <w:szCs w:val="14"/>
              </w:rPr>
            </w:pPr>
            <w:r w:rsidRPr="00895810">
              <w:rPr>
                <w:rFonts w:ascii="IBM Plex Sans Light" w:hAnsi="IBM Plex Sans Light"/>
                <w:bCs w:val="0"/>
                <w:color w:val="3D7FE0" w:themeColor="accent1"/>
                <w:szCs w:val="14"/>
              </w:rPr>
              <w:t>Share</w:t>
            </w:r>
          </w:p>
        </w:tc>
      </w:tr>
      <w:tr w:rsidR="00363F8A" w:rsidRPr="00895810" w14:paraId="4D8AE699" w14:textId="77777777" w:rsidTr="00024B10">
        <w:trPr>
          <w:trHeight w:hRule="exact" w:val="283"/>
        </w:trPr>
        <w:tc>
          <w:tcPr>
            <w:tcW w:w="5245" w:type="dxa"/>
            <w:tcBorders>
              <w:top w:val="single" w:sz="2" w:space="0" w:color="3D7FE0" w:themeColor="accent1"/>
            </w:tcBorders>
            <w:tcMar>
              <w:left w:w="0" w:type="dxa"/>
              <w:right w:w="0" w:type="dxa"/>
            </w:tcMar>
          </w:tcPr>
          <w:p w14:paraId="28BE788A" w14:textId="790AF2E5" w:rsidR="00363F8A" w:rsidRPr="00363F8A" w:rsidRDefault="00363F8A" w:rsidP="00363F8A">
            <w:pPr>
              <w:spacing w:after="0" w:line="240" w:lineRule="auto"/>
              <w:ind w:right="-255"/>
              <w:rPr>
                <w:rFonts w:ascii="IBM Plex Sans Light" w:hAnsi="IBM Plex Sans Light" w:cs="Arial"/>
                <w:b/>
                <w:szCs w:val="15"/>
              </w:rPr>
            </w:pPr>
            <w:r w:rsidRPr="00363F8A">
              <w:rPr>
                <w:rFonts w:ascii="IBM Plex Sans Light" w:hAnsi="IBM Plex Sans Light" w:cs="Arial"/>
                <w:b/>
                <w:szCs w:val="15"/>
              </w:rPr>
              <w:t>United Kingdom</w:t>
            </w:r>
          </w:p>
        </w:tc>
        <w:tc>
          <w:tcPr>
            <w:tcW w:w="2693" w:type="dxa"/>
            <w:tcBorders>
              <w:top w:val="single" w:sz="2" w:space="0" w:color="3D7FE0" w:themeColor="accent1"/>
            </w:tcBorders>
            <w:tcMar>
              <w:left w:w="0" w:type="dxa"/>
              <w:right w:w="0" w:type="dxa"/>
            </w:tcMar>
            <w:vAlign w:val="bottom"/>
          </w:tcPr>
          <w:p w14:paraId="2E22FDA8" w14:textId="0F627E63" w:rsidR="00363F8A" w:rsidRPr="00895810" w:rsidRDefault="00363F8A" w:rsidP="00363F8A">
            <w:pPr>
              <w:pStyle w:val="Tabletext"/>
              <w:rPr>
                <w:rFonts w:ascii="IBM Plex Sans Light" w:hAnsi="IBM Plex Sans Light"/>
                <w:spacing w:val="-4"/>
                <w:sz w:val="18"/>
                <w:szCs w:val="18"/>
              </w:rPr>
            </w:pPr>
          </w:p>
        </w:tc>
        <w:tc>
          <w:tcPr>
            <w:tcW w:w="1418" w:type="dxa"/>
            <w:tcBorders>
              <w:top w:val="single" w:sz="2" w:space="0" w:color="3D7FE0" w:themeColor="accent1"/>
            </w:tcBorders>
            <w:tcMar>
              <w:left w:w="0" w:type="dxa"/>
              <w:right w:w="0" w:type="dxa"/>
            </w:tcMar>
            <w:vAlign w:val="bottom"/>
          </w:tcPr>
          <w:p w14:paraId="0F69E05D" w14:textId="0A523907" w:rsidR="00363F8A" w:rsidRPr="00895810" w:rsidRDefault="00363F8A" w:rsidP="00363F8A">
            <w:pPr>
              <w:pStyle w:val="Tabletext"/>
              <w:rPr>
                <w:rFonts w:ascii="IBM Plex Sans Light" w:hAnsi="IBM Plex Sans Light"/>
                <w:spacing w:val="-4"/>
                <w:sz w:val="18"/>
                <w:szCs w:val="18"/>
              </w:rPr>
            </w:pPr>
          </w:p>
        </w:tc>
        <w:tc>
          <w:tcPr>
            <w:tcW w:w="565" w:type="dxa"/>
            <w:tcBorders>
              <w:top w:val="single" w:sz="2" w:space="0" w:color="3D7FE0" w:themeColor="accent1"/>
            </w:tcBorders>
            <w:tcMar>
              <w:left w:w="0" w:type="dxa"/>
              <w:right w:w="0" w:type="dxa"/>
            </w:tcMar>
            <w:vAlign w:val="bottom"/>
          </w:tcPr>
          <w:p w14:paraId="6BD10A74" w14:textId="7C0FAC54" w:rsidR="00363F8A" w:rsidRPr="00895810" w:rsidRDefault="00363F8A" w:rsidP="00363F8A">
            <w:pPr>
              <w:pStyle w:val="TableFigures"/>
              <w:rPr>
                <w:rFonts w:ascii="IBM Plex Sans Light" w:hAnsi="IBM Plex Sans Light"/>
                <w:color w:val="auto"/>
                <w:spacing w:val="-4"/>
                <w:sz w:val="18"/>
                <w:szCs w:val="18"/>
              </w:rPr>
            </w:pPr>
          </w:p>
        </w:tc>
      </w:tr>
      <w:tr w:rsidR="00363F8A" w:rsidRPr="00895810" w14:paraId="0D5BAF20" w14:textId="77777777" w:rsidTr="00024B10">
        <w:trPr>
          <w:trHeight w:hRule="exact" w:val="283"/>
        </w:trPr>
        <w:tc>
          <w:tcPr>
            <w:tcW w:w="5245" w:type="dxa"/>
            <w:tcMar>
              <w:left w:w="0" w:type="dxa"/>
              <w:right w:w="0" w:type="dxa"/>
            </w:tcMar>
            <w:vAlign w:val="bottom"/>
          </w:tcPr>
          <w:p w14:paraId="0038D322" w14:textId="2ABA444A"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Bishopsgate Goodsyard Regeneration Limited</w:t>
            </w:r>
          </w:p>
        </w:tc>
        <w:tc>
          <w:tcPr>
            <w:tcW w:w="2693" w:type="dxa"/>
            <w:tcMar>
              <w:left w:w="0" w:type="dxa"/>
              <w:right w:w="0" w:type="dxa"/>
            </w:tcMar>
            <w:vAlign w:val="bottom"/>
          </w:tcPr>
          <w:p w14:paraId="1F087DFE" w14:textId="511DC0F9"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Ballymore Properties</w:t>
            </w:r>
          </w:p>
        </w:tc>
        <w:tc>
          <w:tcPr>
            <w:tcW w:w="1418" w:type="dxa"/>
            <w:tcMar>
              <w:left w:w="0" w:type="dxa"/>
              <w:right w:w="0" w:type="dxa"/>
            </w:tcMar>
            <w:vAlign w:val="bottom"/>
          </w:tcPr>
          <w:p w14:paraId="23D64D6C" w14:textId="7D80ED24"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The Goodsyard</w:t>
            </w:r>
          </w:p>
        </w:tc>
        <w:tc>
          <w:tcPr>
            <w:tcW w:w="565" w:type="dxa"/>
            <w:tcMar>
              <w:left w:w="0" w:type="dxa"/>
              <w:right w:w="0" w:type="dxa"/>
            </w:tcMar>
          </w:tcPr>
          <w:p w14:paraId="6F64E96B" w14:textId="185456E5"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r w:rsidR="00363F8A" w:rsidRPr="00895810" w14:paraId="49615290" w14:textId="77777777" w:rsidTr="00024B10">
        <w:trPr>
          <w:trHeight w:hRule="exact" w:val="283"/>
        </w:trPr>
        <w:tc>
          <w:tcPr>
            <w:tcW w:w="5245" w:type="dxa"/>
            <w:tcMar>
              <w:left w:w="0" w:type="dxa"/>
              <w:right w:w="0" w:type="dxa"/>
            </w:tcMar>
            <w:vAlign w:val="bottom"/>
          </w:tcPr>
          <w:p w14:paraId="71752BAB" w14:textId="49CC22F6"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Brent Cross Partnership</w:t>
            </w:r>
          </w:p>
        </w:tc>
        <w:tc>
          <w:tcPr>
            <w:tcW w:w="2693" w:type="dxa"/>
            <w:tcMar>
              <w:left w:w="0" w:type="dxa"/>
              <w:right w:w="0" w:type="dxa"/>
            </w:tcMar>
            <w:vAlign w:val="bottom"/>
          </w:tcPr>
          <w:p w14:paraId="371922A0" w14:textId="362E5664"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Aberdeen Standard Investments</w:t>
            </w:r>
          </w:p>
        </w:tc>
        <w:tc>
          <w:tcPr>
            <w:tcW w:w="1418" w:type="dxa"/>
            <w:tcMar>
              <w:left w:w="0" w:type="dxa"/>
              <w:right w:w="0" w:type="dxa"/>
            </w:tcMar>
            <w:vAlign w:val="bottom"/>
          </w:tcPr>
          <w:p w14:paraId="5A52365B" w14:textId="2AB516CB"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Brent Cross</w:t>
            </w:r>
          </w:p>
        </w:tc>
        <w:tc>
          <w:tcPr>
            <w:tcW w:w="565" w:type="dxa"/>
            <w:tcMar>
              <w:left w:w="0" w:type="dxa"/>
              <w:right w:w="0" w:type="dxa"/>
            </w:tcMar>
          </w:tcPr>
          <w:p w14:paraId="1EFC1FEC" w14:textId="7696515A"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41%</w:t>
            </w:r>
          </w:p>
        </w:tc>
      </w:tr>
      <w:tr w:rsidR="00363F8A" w:rsidRPr="00895810" w14:paraId="576333F9" w14:textId="77777777" w:rsidTr="00024B10">
        <w:trPr>
          <w:trHeight w:hRule="exact" w:val="283"/>
        </w:trPr>
        <w:tc>
          <w:tcPr>
            <w:tcW w:w="5245" w:type="dxa"/>
            <w:tcMar>
              <w:left w:w="0" w:type="dxa"/>
              <w:right w:w="0" w:type="dxa"/>
            </w:tcMar>
            <w:vAlign w:val="bottom"/>
          </w:tcPr>
          <w:p w14:paraId="236CB835" w14:textId="617292A4"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Bristol Alliance Limited Partnership</w:t>
            </w:r>
          </w:p>
        </w:tc>
        <w:tc>
          <w:tcPr>
            <w:tcW w:w="2693" w:type="dxa"/>
            <w:tcMar>
              <w:left w:w="0" w:type="dxa"/>
              <w:right w:w="0" w:type="dxa"/>
            </w:tcMar>
            <w:vAlign w:val="bottom"/>
          </w:tcPr>
          <w:p w14:paraId="1CE3A079" w14:textId="049A9BD0"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 xml:space="preserve">AXA Real Estate </w:t>
            </w:r>
          </w:p>
        </w:tc>
        <w:tc>
          <w:tcPr>
            <w:tcW w:w="1418" w:type="dxa"/>
            <w:tcMar>
              <w:left w:w="0" w:type="dxa"/>
              <w:right w:w="0" w:type="dxa"/>
            </w:tcMar>
            <w:vAlign w:val="bottom"/>
          </w:tcPr>
          <w:p w14:paraId="639005EA" w14:textId="3A582F8A"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Cabot Circus</w:t>
            </w:r>
          </w:p>
        </w:tc>
        <w:tc>
          <w:tcPr>
            <w:tcW w:w="565" w:type="dxa"/>
            <w:tcMar>
              <w:left w:w="0" w:type="dxa"/>
              <w:right w:w="0" w:type="dxa"/>
            </w:tcMar>
          </w:tcPr>
          <w:p w14:paraId="273FD88C" w14:textId="7FBBD271"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r w:rsidR="00363F8A" w:rsidRPr="00895810" w14:paraId="343E09EF" w14:textId="77777777" w:rsidTr="00024B10">
        <w:trPr>
          <w:trHeight w:hRule="exact" w:val="283"/>
        </w:trPr>
        <w:tc>
          <w:tcPr>
            <w:tcW w:w="5245" w:type="dxa"/>
            <w:tcMar>
              <w:left w:w="0" w:type="dxa"/>
              <w:right w:w="0" w:type="dxa"/>
            </w:tcMar>
            <w:vAlign w:val="bottom"/>
          </w:tcPr>
          <w:p w14:paraId="289BE265" w14:textId="0E096561"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Grand Central Limited Partnership</w:t>
            </w:r>
          </w:p>
        </w:tc>
        <w:tc>
          <w:tcPr>
            <w:tcW w:w="2693" w:type="dxa"/>
            <w:tcMar>
              <w:left w:w="0" w:type="dxa"/>
              <w:right w:w="0" w:type="dxa"/>
            </w:tcMar>
            <w:vAlign w:val="bottom"/>
          </w:tcPr>
          <w:p w14:paraId="7F4909F0" w14:textId="3A938537"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CPP Investments</w:t>
            </w:r>
          </w:p>
        </w:tc>
        <w:tc>
          <w:tcPr>
            <w:tcW w:w="1418" w:type="dxa"/>
            <w:tcMar>
              <w:left w:w="0" w:type="dxa"/>
              <w:right w:w="0" w:type="dxa"/>
            </w:tcMar>
            <w:vAlign w:val="bottom"/>
          </w:tcPr>
          <w:p w14:paraId="300F46CE" w14:textId="26AE0A07"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Grand Central</w:t>
            </w:r>
          </w:p>
        </w:tc>
        <w:tc>
          <w:tcPr>
            <w:tcW w:w="565" w:type="dxa"/>
            <w:tcMar>
              <w:left w:w="0" w:type="dxa"/>
              <w:right w:w="0" w:type="dxa"/>
            </w:tcMar>
          </w:tcPr>
          <w:p w14:paraId="551C282C" w14:textId="08964881"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r w:rsidR="00363F8A" w:rsidRPr="00895810" w14:paraId="54FBDAFE" w14:textId="77777777" w:rsidTr="00024B10">
        <w:trPr>
          <w:trHeight w:hRule="exact" w:val="283"/>
        </w:trPr>
        <w:tc>
          <w:tcPr>
            <w:tcW w:w="5245" w:type="dxa"/>
            <w:tcMar>
              <w:left w:w="0" w:type="dxa"/>
              <w:right w:w="0" w:type="dxa"/>
            </w:tcMar>
            <w:vAlign w:val="bottom"/>
          </w:tcPr>
          <w:p w14:paraId="6750C8B1" w14:textId="521F5209"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The Bull Ring Limited Partnership</w:t>
            </w:r>
          </w:p>
        </w:tc>
        <w:tc>
          <w:tcPr>
            <w:tcW w:w="2693" w:type="dxa"/>
            <w:tcMar>
              <w:left w:w="0" w:type="dxa"/>
              <w:right w:w="0" w:type="dxa"/>
            </w:tcMar>
            <w:vAlign w:val="bottom"/>
          </w:tcPr>
          <w:p w14:paraId="21300A9D" w14:textId="31962C7F"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CPP Investments</w:t>
            </w:r>
          </w:p>
        </w:tc>
        <w:tc>
          <w:tcPr>
            <w:tcW w:w="1418" w:type="dxa"/>
            <w:tcMar>
              <w:left w:w="0" w:type="dxa"/>
              <w:right w:w="0" w:type="dxa"/>
            </w:tcMar>
            <w:vAlign w:val="bottom"/>
          </w:tcPr>
          <w:p w14:paraId="4B13FA7B" w14:textId="55B91911"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Bullring</w:t>
            </w:r>
          </w:p>
        </w:tc>
        <w:tc>
          <w:tcPr>
            <w:tcW w:w="565" w:type="dxa"/>
            <w:tcMar>
              <w:left w:w="0" w:type="dxa"/>
              <w:right w:w="0" w:type="dxa"/>
            </w:tcMar>
          </w:tcPr>
          <w:p w14:paraId="587D2B88" w14:textId="19FABA0C"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r w:rsidR="00363F8A" w:rsidRPr="00895810" w14:paraId="5C80658D" w14:textId="77777777" w:rsidTr="00024B10">
        <w:trPr>
          <w:trHeight w:hRule="exact" w:val="283"/>
        </w:trPr>
        <w:tc>
          <w:tcPr>
            <w:tcW w:w="5245" w:type="dxa"/>
            <w:tcMar>
              <w:left w:w="0" w:type="dxa"/>
              <w:right w:w="0" w:type="dxa"/>
            </w:tcMar>
            <w:vAlign w:val="bottom"/>
          </w:tcPr>
          <w:p w14:paraId="66C37CA3" w14:textId="53D5C25E"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The Oracle Limited Partnership</w:t>
            </w:r>
          </w:p>
        </w:tc>
        <w:tc>
          <w:tcPr>
            <w:tcW w:w="2693" w:type="dxa"/>
            <w:tcMar>
              <w:left w:w="0" w:type="dxa"/>
              <w:right w:w="0" w:type="dxa"/>
            </w:tcMar>
            <w:vAlign w:val="bottom"/>
          </w:tcPr>
          <w:p w14:paraId="74916D9D" w14:textId="4FB77257"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ADIA</w:t>
            </w:r>
          </w:p>
        </w:tc>
        <w:tc>
          <w:tcPr>
            <w:tcW w:w="1418" w:type="dxa"/>
            <w:tcMar>
              <w:left w:w="0" w:type="dxa"/>
              <w:right w:w="0" w:type="dxa"/>
            </w:tcMar>
            <w:vAlign w:val="bottom"/>
          </w:tcPr>
          <w:p w14:paraId="0A2713E1" w14:textId="583C5B79"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The Oracle</w:t>
            </w:r>
          </w:p>
        </w:tc>
        <w:tc>
          <w:tcPr>
            <w:tcW w:w="565" w:type="dxa"/>
            <w:tcMar>
              <w:left w:w="0" w:type="dxa"/>
              <w:right w:w="0" w:type="dxa"/>
            </w:tcMar>
          </w:tcPr>
          <w:p w14:paraId="18324B53" w14:textId="11863703"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r w:rsidR="00363F8A" w:rsidRPr="00895810" w14:paraId="1F61E155" w14:textId="77777777" w:rsidTr="00024B10">
        <w:trPr>
          <w:trHeight w:hRule="exact" w:val="283"/>
        </w:trPr>
        <w:tc>
          <w:tcPr>
            <w:tcW w:w="5245" w:type="dxa"/>
            <w:tcMar>
              <w:left w:w="0" w:type="dxa"/>
              <w:right w:w="0" w:type="dxa"/>
            </w:tcMar>
            <w:vAlign w:val="bottom"/>
          </w:tcPr>
          <w:p w14:paraId="4F30282C" w14:textId="562B6D92" w:rsidR="00363F8A" w:rsidRPr="00363F8A" w:rsidRDefault="00363F8A" w:rsidP="00CE2F7F">
            <w:pPr>
              <w:spacing w:after="0" w:line="240" w:lineRule="auto"/>
              <w:ind w:right="-255"/>
              <w:rPr>
                <w:rFonts w:ascii="IBM Plex Sans Light" w:hAnsi="IBM Plex Sans Light" w:cs="Arial"/>
                <w:bCs/>
                <w:szCs w:val="15"/>
              </w:rPr>
            </w:pPr>
            <w:r w:rsidRPr="00363F8A">
              <w:rPr>
                <w:rFonts w:ascii="IBM Plex Sans Light" w:hAnsi="IBM Plex Sans Light" w:cs="Arial"/>
                <w:bCs/>
                <w:szCs w:val="15"/>
              </w:rPr>
              <w:t>The West Quay Limited Partnership</w:t>
            </w:r>
          </w:p>
        </w:tc>
        <w:tc>
          <w:tcPr>
            <w:tcW w:w="2693" w:type="dxa"/>
            <w:tcMar>
              <w:left w:w="0" w:type="dxa"/>
              <w:right w:w="0" w:type="dxa"/>
            </w:tcMar>
            <w:vAlign w:val="bottom"/>
          </w:tcPr>
          <w:p w14:paraId="05820A50" w14:textId="60FC4DFB"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GIC</w:t>
            </w:r>
          </w:p>
        </w:tc>
        <w:tc>
          <w:tcPr>
            <w:tcW w:w="1418" w:type="dxa"/>
            <w:tcMar>
              <w:left w:w="0" w:type="dxa"/>
              <w:right w:w="0" w:type="dxa"/>
            </w:tcMar>
            <w:vAlign w:val="bottom"/>
          </w:tcPr>
          <w:p w14:paraId="68D248DF" w14:textId="4D4C02BC" w:rsidR="00363F8A" w:rsidRPr="00895810" w:rsidRDefault="00363F8A" w:rsidP="00CE2F7F">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Westquay</w:t>
            </w:r>
          </w:p>
        </w:tc>
        <w:tc>
          <w:tcPr>
            <w:tcW w:w="565" w:type="dxa"/>
            <w:tcMar>
              <w:left w:w="0" w:type="dxa"/>
              <w:right w:w="0" w:type="dxa"/>
            </w:tcMar>
          </w:tcPr>
          <w:p w14:paraId="66427A7C" w14:textId="481E8018" w:rsidR="00363F8A" w:rsidRPr="00895810" w:rsidRDefault="00363F8A" w:rsidP="00363F8A">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r w:rsidR="00C55BF9" w:rsidRPr="00895810" w14:paraId="58D02409" w14:textId="77777777" w:rsidTr="00024B10">
        <w:trPr>
          <w:trHeight w:hRule="exact" w:val="283"/>
        </w:trPr>
        <w:tc>
          <w:tcPr>
            <w:tcW w:w="5245" w:type="dxa"/>
            <w:tcBorders>
              <w:top w:val="single" w:sz="4" w:space="0" w:color="3D7FE0" w:themeColor="accent1"/>
            </w:tcBorders>
            <w:tcMar>
              <w:left w:w="0" w:type="dxa"/>
              <w:right w:w="0" w:type="dxa"/>
            </w:tcMar>
            <w:vAlign w:val="bottom"/>
          </w:tcPr>
          <w:p w14:paraId="539B7ACB" w14:textId="46A5CC8E" w:rsidR="00C55BF9" w:rsidRPr="00363F8A" w:rsidRDefault="00C55BF9" w:rsidP="00CE2F7F">
            <w:pPr>
              <w:spacing w:after="0" w:line="240" w:lineRule="auto"/>
              <w:ind w:right="-255"/>
              <w:rPr>
                <w:rFonts w:ascii="IBM Plex Sans Light" w:hAnsi="IBM Plex Sans Light" w:cs="Arial"/>
                <w:bCs/>
                <w:szCs w:val="15"/>
              </w:rPr>
            </w:pPr>
            <w:r>
              <w:rPr>
                <w:rFonts w:ascii="IBM Plex Sans Light" w:hAnsi="IBM Plex Sans Light" w:cs="Arial"/>
                <w:b/>
                <w:szCs w:val="15"/>
              </w:rPr>
              <w:t>Ireland</w:t>
            </w:r>
          </w:p>
        </w:tc>
        <w:tc>
          <w:tcPr>
            <w:tcW w:w="2693" w:type="dxa"/>
            <w:tcBorders>
              <w:top w:val="single" w:sz="4" w:space="0" w:color="3D7FE0" w:themeColor="accent1"/>
            </w:tcBorders>
            <w:tcMar>
              <w:left w:w="0" w:type="dxa"/>
              <w:right w:w="0" w:type="dxa"/>
            </w:tcMar>
            <w:vAlign w:val="bottom"/>
          </w:tcPr>
          <w:p w14:paraId="0EC2B02A" w14:textId="77777777" w:rsidR="00C55BF9" w:rsidRPr="00895810" w:rsidRDefault="00C55BF9" w:rsidP="00CE2F7F">
            <w:pPr>
              <w:pStyle w:val="TableFigures"/>
              <w:jc w:val="left"/>
              <w:rPr>
                <w:rFonts w:ascii="IBM Plex Sans Light" w:hAnsi="IBM Plex Sans Light"/>
                <w:spacing w:val="-4"/>
                <w:sz w:val="18"/>
                <w:szCs w:val="18"/>
              </w:rPr>
            </w:pPr>
          </w:p>
        </w:tc>
        <w:tc>
          <w:tcPr>
            <w:tcW w:w="1418" w:type="dxa"/>
            <w:tcBorders>
              <w:top w:val="single" w:sz="4" w:space="0" w:color="3D7FE0" w:themeColor="accent1"/>
            </w:tcBorders>
            <w:tcMar>
              <w:left w:w="0" w:type="dxa"/>
              <w:right w:w="0" w:type="dxa"/>
            </w:tcMar>
            <w:vAlign w:val="bottom"/>
          </w:tcPr>
          <w:p w14:paraId="5DECFCBE" w14:textId="77777777" w:rsidR="00C55BF9" w:rsidRPr="00895810" w:rsidRDefault="00C55BF9" w:rsidP="00CE2F7F">
            <w:pPr>
              <w:pStyle w:val="TableFigures"/>
              <w:jc w:val="left"/>
              <w:rPr>
                <w:rFonts w:ascii="IBM Plex Sans Light" w:hAnsi="IBM Plex Sans Light"/>
                <w:spacing w:val="-4"/>
                <w:sz w:val="18"/>
                <w:szCs w:val="18"/>
              </w:rPr>
            </w:pPr>
          </w:p>
        </w:tc>
        <w:tc>
          <w:tcPr>
            <w:tcW w:w="565" w:type="dxa"/>
            <w:tcBorders>
              <w:top w:val="single" w:sz="4" w:space="0" w:color="3D7FE0" w:themeColor="accent1"/>
            </w:tcBorders>
            <w:tcMar>
              <w:left w:w="0" w:type="dxa"/>
              <w:right w:w="0" w:type="dxa"/>
            </w:tcMar>
            <w:vAlign w:val="bottom"/>
          </w:tcPr>
          <w:p w14:paraId="67A8FBC8" w14:textId="77777777" w:rsidR="00C55BF9" w:rsidRPr="00895810" w:rsidRDefault="00C55BF9" w:rsidP="00363F8A">
            <w:pPr>
              <w:pStyle w:val="TableFigures"/>
              <w:rPr>
                <w:rFonts w:ascii="IBM Plex Sans Light" w:hAnsi="IBM Plex Sans Light"/>
                <w:color w:val="auto"/>
                <w:spacing w:val="-4"/>
                <w:sz w:val="18"/>
                <w:szCs w:val="18"/>
              </w:rPr>
            </w:pPr>
          </w:p>
        </w:tc>
      </w:tr>
      <w:tr w:rsidR="00CE2F7F" w:rsidRPr="00895810" w14:paraId="5B50A32A" w14:textId="77777777" w:rsidTr="00024B10">
        <w:trPr>
          <w:trHeight w:hRule="exact" w:val="283"/>
        </w:trPr>
        <w:tc>
          <w:tcPr>
            <w:tcW w:w="5245" w:type="dxa"/>
            <w:tcBorders>
              <w:bottom w:val="single" w:sz="4" w:space="0" w:color="3D7FE0" w:themeColor="accent1"/>
            </w:tcBorders>
            <w:tcMar>
              <w:left w:w="0" w:type="dxa"/>
              <w:right w:w="0" w:type="dxa"/>
            </w:tcMar>
            <w:vAlign w:val="bottom"/>
          </w:tcPr>
          <w:p w14:paraId="64B31A7A" w14:textId="11673783" w:rsidR="00CE2F7F" w:rsidRPr="00363F8A" w:rsidRDefault="00CE2F7F" w:rsidP="00CE2F7F">
            <w:pPr>
              <w:spacing w:after="0" w:line="240" w:lineRule="auto"/>
              <w:ind w:right="-255"/>
              <w:rPr>
                <w:rFonts w:ascii="IBM Plex Sans Light" w:hAnsi="IBM Plex Sans Light" w:cs="Arial"/>
                <w:bCs/>
                <w:szCs w:val="15"/>
              </w:rPr>
            </w:pPr>
            <w:r>
              <w:rPr>
                <w:rFonts w:ascii="IBM Plex Sans Light" w:hAnsi="IBM Plex Sans Light" w:cs="Arial"/>
                <w:bCs/>
                <w:szCs w:val="15"/>
              </w:rPr>
              <w:t>Dundrum Retail Limited Partnership/Dundrum Car Park Limited</w:t>
            </w:r>
          </w:p>
        </w:tc>
        <w:tc>
          <w:tcPr>
            <w:tcW w:w="2693" w:type="dxa"/>
            <w:tcBorders>
              <w:bottom w:val="single" w:sz="4" w:space="0" w:color="3D7FE0" w:themeColor="accent1"/>
            </w:tcBorders>
            <w:tcMar>
              <w:left w:w="0" w:type="dxa"/>
              <w:right w:w="0" w:type="dxa"/>
            </w:tcMar>
            <w:vAlign w:val="bottom"/>
          </w:tcPr>
          <w:p w14:paraId="460BAC5D" w14:textId="3FC9608D" w:rsidR="00CE2F7F" w:rsidRPr="00895810" w:rsidRDefault="00CE2F7F" w:rsidP="00CE2F7F">
            <w:pPr>
              <w:pStyle w:val="TableFigures"/>
              <w:jc w:val="left"/>
              <w:rPr>
                <w:rFonts w:ascii="IBM Plex Sans Light" w:hAnsi="IBM Plex Sans Light"/>
                <w:spacing w:val="-4"/>
                <w:sz w:val="18"/>
                <w:szCs w:val="18"/>
              </w:rPr>
            </w:pPr>
            <w:r>
              <w:rPr>
                <w:rFonts w:ascii="IBM Plex Sans Light" w:hAnsi="IBM Plex Sans Light"/>
                <w:spacing w:val="-4"/>
                <w:sz w:val="18"/>
                <w:szCs w:val="18"/>
              </w:rPr>
              <w:t>PIMCO</w:t>
            </w:r>
            <w:r w:rsidRPr="00895810">
              <w:rPr>
                <w:rFonts w:ascii="IBM Plex Sans Light" w:hAnsi="IBM Plex Sans Light"/>
                <w:spacing w:val="-4"/>
                <w:sz w:val="18"/>
                <w:szCs w:val="18"/>
              </w:rPr>
              <w:t xml:space="preserve"> </w:t>
            </w:r>
          </w:p>
        </w:tc>
        <w:tc>
          <w:tcPr>
            <w:tcW w:w="1418" w:type="dxa"/>
            <w:tcBorders>
              <w:bottom w:val="single" w:sz="4" w:space="0" w:color="3D7FE0" w:themeColor="accent1"/>
            </w:tcBorders>
            <w:tcMar>
              <w:left w:w="0" w:type="dxa"/>
              <w:right w:w="0" w:type="dxa"/>
            </w:tcMar>
            <w:vAlign w:val="bottom"/>
          </w:tcPr>
          <w:p w14:paraId="48E03C42" w14:textId="2B89D166" w:rsidR="00CE2F7F" w:rsidRPr="00895810" w:rsidRDefault="00CE2F7F" w:rsidP="00CE2F7F">
            <w:pPr>
              <w:pStyle w:val="TableFigures"/>
              <w:jc w:val="left"/>
              <w:rPr>
                <w:rFonts w:ascii="IBM Plex Sans Light" w:hAnsi="IBM Plex Sans Light"/>
                <w:spacing w:val="-4"/>
                <w:sz w:val="18"/>
                <w:szCs w:val="18"/>
              </w:rPr>
            </w:pPr>
            <w:r>
              <w:rPr>
                <w:rFonts w:ascii="IBM Plex Sans Light" w:hAnsi="IBM Plex Sans Light"/>
                <w:spacing w:val="-4"/>
                <w:sz w:val="18"/>
                <w:szCs w:val="18"/>
              </w:rPr>
              <w:t>Dundrum</w:t>
            </w:r>
          </w:p>
        </w:tc>
        <w:tc>
          <w:tcPr>
            <w:tcW w:w="565" w:type="dxa"/>
            <w:tcBorders>
              <w:bottom w:val="single" w:sz="4" w:space="0" w:color="3D7FE0" w:themeColor="accent1"/>
            </w:tcBorders>
            <w:tcMar>
              <w:left w:w="0" w:type="dxa"/>
              <w:right w:w="0" w:type="dxa"/>
            </w:tcMar>
          </w:tcPr>
          <w:p w14:paraId="5D748CF6" w14:textId="6132F72A" w:rsidR="00CE2F7F" w:rsidRPr="00895810" w:rsidRDefault="00CE2F7F" w:rsidP="00CE2F7F">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50%</w:t>
            </w:r>
          </w:p>
        </w:tc>
      </w:tr>
    </w:tbl>
    <w:p w14:paraId="09B18D2A" w14:textId="77777777" w:rsidR="009601CE" w:rsidRDefault="009601CE" w:rsidP="009601CE">
      <w:pPr>
        <w:spacing w:after="0" w:line="240" w:lineRule="auto"/>
        <w:ind w:right="-255"/>
        <w:rPr>
          <w:rFonts w:ascii="IBM Plex Sans Light" w:hAnsi="IBM Plex Sans Light" w:cs="Arial"/>
          <w:bCs/>
          <w:szCs w:val="15"/>
        </w:rPr>
      </w:pPr>
    </w:p>
    <w:p w14:paraId="74386B16" w14:textId="68791F45" w:rsidR="009601CE" w:rsidRPr="009601CE" w:rsidRDefault="009601CE" w:rsidP="009601CE">
      <w:pPr>
        <w:spacing w:after="0" w:line="240" w:lineRule="auto"/>
        <w:ind w:right="-255"/>
        <w:rPr>
          <w:rFonts w:ascii="IBM Plex Sans Light" w:hAnsi="IBM Plex Sans Light" w:cs="Arial"/>
          <w:bCs/>
          <w:szCs w:val="15"/>
        </w:rPr>
      </w:pPr>
      <w:r w:rsidRPr="009601CE">
        <w:rPr>
          <w:rFonts w:ascii="IBM Plex Sans Light" w:hAnsi="IBM Plex Sans Light" w:cs="Arial"/>
          <w:bCs/>
          <w:szCs w:val="15"/>
        </w:rPr>
        <w:t xml:space="preserve">The results of disposals of interests in joint ventures are included up to the point of disposal except for where such disposals form part of assets held for sale whereby they are excluded for the whole year. </w:t>
      </w:r>
    </w:p>
    <w:p w14:paraId="33710F53" w14:textId="77777777" w:rsidR="009601CE" w:rsidRPr="009601CE" w:rsidRDefault="009601CE" w:rsidP="009601CE">
      <w:pPr>
        <w:spacing w:after="0" w:line="240" w:lineRule="auto"/>
        <w:ind w:right="-255"/>
        <w:rPr>
          <w:rFonts w:ascii="IBM Plex Sans Light" w:hAnsi="IBM Plex Sans Light" w:cs="Arial"/>
          <w:bCs/>
          <w:szCs w:val="15"/>
        </w:rPr>
      </w:pPr>
    </w:p>
    <w:p w14:paraId="13659F06" w14:textId="77777777" w:rsidR="009601CE" w:rsidRPr="009601CE" w:rsidRDefault="009601CE" w:rsidP="009601CE">
      <w:pPr>
        <w:spacing w:after="0" w:line="240" w:lineRule="auto"/>
        <w:ind w:right="-255"/>
        <w:rPr>
          <w:rFonts w:ascii="IBM Plex Sans Light" w:hAnsi="IBM Plex Sans Light" w:cs="Arial"/>
          <w:bCs/>
          <w:szCs w:val="15"/>
        </w:rPr>
      </w:pPr>
      <w:r w:rsidRPr="009601CE">
        <w:rPr>
          <w:rFonts w:ascii="IBM Plex Sans Light" w:hAnsi="IBM Plex Sans Light" w:cs="Arial"/>
          <w:bCs/>
          <w:szCs w:val="15"/>
        </w:rPr>
        <w:t xml:space="preserve">During the year, and as explained in note 8, the Group disposed of its 50% interest in Croydon and also derecognised its 50% investment in Highcross and 25% investment in O’Parinor. </w:t>
      </w:r>
    </w:p>
    <w:p w14:paraId="401AF387" w14:textId="77777777" w:rsidR="006B0B5A" w:rsidRDefault="006B0B5A" w:rsidP="009601CE">
      <w:pPr>
        <w:spacing w:after="0" w:line="240" w:lineRule="auto"/>
        <w:ind w:right="-255"/>
        <w:rPr>
          <w:rFonts w:ascii="IBM Plex Sans Light" w:hAnsi="IBM Plex Sans Light" w:cs="Arial"/>
          <w:bCs/>
          <w:szCs w:val="15"/>
        </w:rPr>
      </w:pPr>
    </w:p>
    <w:p w14:paraId="4A8A8FEB" w14:textId="04EB81DA" w:rsidR="0088487A" w:rsidRDefault="009601CE" w:rsidP="009601CE">
      <w:pPr>
        <w:spacing w:after="0" w:line="240" w:lineRule="auto"/>
        <w:ind w:right="-255"/>
        <w:rPr>
          <w:rFonts w:ascii="IBM Plex Sans Light" w:hAnsi="IBM Plex Sans Light" w:cs="Arial"/>
          <w:bCs/>
          <w:szCs w:val="15"/>
        </w:rPr>
      </w:pPr>
      <w:r>
        <w:rPr>
          <w:rFonts w:ascii="IBM Plex Sans Light" w:hAnsi="IBM Plex Sans Light" w:cs="Arial"/>
          <w:bCs/>
          <w:szCs w:val="15"/>
        </w:rPr>
        <w:t>F</w:t>
      </w:r>
      <w:r w:rsidRPr="009601CE">
        <w:rPr>
          <w:rFonts w:ascii="IBM Plex Sans Light" w:hAnsi="IBM Plex Sans Light" w:cs="Arial"/>
          <w:bCs/>
          <w:szCs w:val="15"/>
        </w:rPr>
        <w:t>igures in the following tables include, where applicable, adjustments to align to the Group’s accounting policies and exclude balances which are eliminated on consolidation. For 2023, Goodsyard, Croydon (up to its disposal in April 2023), Highcross (up to date of derecognition in February 2023)</w:t>
      </w:r>
      <w:r w:rsidR="006B0B5A">
        <w:rPr>
          <w:rFonts w:ascii="IBM Plex Sans Light" w:hAnsi="IBM Plex Sans Light" w:cs="Arial"/>
          <w:bCs/>
          <w:szCs w:val="15"/>
        </w:rPr>
        <w:t xml:space="preserve"> </w:t>
      </w:r>
      <w:r w:rsidRPr="009601CE">
        <w:rPr>
          <w:rFonts w:ascii="IBM Plex Sans Light" w:hAnsi="IBM Plex Sans Light" w:cs="Arial"/>
          <w:bCs/>
          <w:szCs w:val="15"/>
        </w:rPr>
        <w:t>and O’Parinor (up to date of derecognition in June 2023) are included in ‘Other’. Croydon is separately disclosed in 2022.</w:t>
      </w:r>
    </w:p>
    <w:p w14:paraId="2FB2930E" w14:textId="77777777" w:rsidR="00181825" w:rsidRPr="00895810" w:rsidRDefault="00181825" w:rsidP="009601CE">
      <w:pPr>
        <w:spacing w:after="0" w:line="240" w:lineRule="auto"/>
        <w:ind w:right="-255"/>
        <w:rPr>
          <w:rFonts w:ascii="IBM Plex Sans Light" w:hAnsi="IBM Plex Sans Light" w:cs="Arial"/>
          <w:b/>
          <w:color w:val="3D7FE0" w:themeColor="accent1"/>
          <w:szCs w:val="18"/>
        </w:rPr>
      </w:pPr>
    </w:p>
    <w:p w14:paraId="5D48CA5B" w14:textId="5794E329" w:rsidR="00CD4ABD" w:rsidRPr="00895810" w:rsidRDefault="00410997" w:rsidP="00410997">
      <w:pPr>
        <w:pStyle w:val="Heading2SpaceBefore"/>
        <w:tabs>
          <w:tab w:val="clear" w:pos="340"/>
          <w:tab w:val="left" w:pos="284"/>
        </w:tabs>
        <w:spacing w:before="0" w:line="240" w:lineRule="auto"/>
        <w:rPr>
          <w:rFonts w:ascii="IBM Plex Sans Light" w:hAnsi="IBM Plex Sans Light"/>
          <w:color w:val="3D7FE0" w:themeColor="accent1"/>
        </w:rPr>
      </w:pPr>
      <w:r w:rsidRPr="00895810">
        <w:rPr>
          <w:rFonts w:ascii="IBM Plex Sans Light" w:hAnsi="IBM Plex Sans Light"/>
          <w:color w:val="3D7FE0" w:themeColor="accent1"/>
        </w:rPr>
        <w:t xml:space="preserve">B.  </w:t>
      </w:r>
      <w:r w:rsidR="00F050E8" w:rsidRPr="00895810">
        <w:rPr>
          <w:rFonts w:ascii="IBM Plex Sans Light" w:hAnsi="IBM Plex Sans Light"/>
          <w:color w:val="3D7FE0" w:themeColor="accent1"/>
        </w:rPr>
        <w:t>R</w:t>
      </w:r>
      <w:r w:rsidR="005F6D26" w:rsidRPr="00895810">
        <w:rPr>
          <w:rFonts w:ascii="IBM Plex Sans Light" w:hAnsi="IBM Plex Sans Light"/>
          <w:color w:val="3D7FE0" w:themeColor="accent1"/>
        </w:rPr>
        <w:t>ESULTS</w:t>
      </w:r>
    </w:p>
    <w:tbl>
      <w:tblPr>
        <w:tblW w:w="9921" w:type="dxa"/>
        <w:tblLayout w:type="fixed"/>
        <w:tblLook w:val="01E0" w:firstRow="1" w:lastRow="1" w:firstColumn="1" w:lastColumn="1" w:noHBand="0" w:noVBand="0"/>
      </w:tblPr>
      <w:tblGrid>
        <w:gridCol w:w="4253"/>
        <w:gridCol w:w="425"/>
        <w:gridCol w:w="873"/>
        <w:gridCol w:w="874"/>
        <w:gridCol w:w="874"/>
        <w:gridCol w:w="874"/>
        <w:gridCol w:w="874"/>
        <w:gridCol w:w="874"/>
      </w:tblGrid>
      <w:tr w:rsidR="00B820BB" w:rsidRPr="00895810" w14:paraId="4EB56634" w14:textId="77777777" w:rsidTr="00D91739">
        <w:trPr>
          <w:trHeight w:hRule="exact" w:val="170"/>
        </w:trPr>
        <w:tc>
          <w:tcPr>
            <w:tcW w:w="4253" w:type="dxa"/>
            <w:tcBorders>
              <w:bottom w:val="single" w:sz="4" w:space="0" w:color="3D7FE0" w:themeColor="accent1"/>
            </w:tcBorders>
            <w:tcMar>
              <w:left w:w="0" w:type="dxa"/>
              <w:bottom w:w="57" w:type="dxa"/>
              <w:right w:w="0" w:type="dxa"/>
            </w:tcMar>
            <w:vAlign w:val="bottom"/>
          </w:tcPr>
          <w:p w14:paraId="2C3AE4F1"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425" w:type="dxa"/>
            <w:tcBorders>
              <w:bottom w:val="single" w:sz="4" w:space="0" w:color="3D7FE0" w:themeColor="accent1"/>
            </w:tcBorders>
            <w:vAlign w:val="bottom"/>
          </w:tcPr>
          <w:p w14:paraId="1B8AAB06" w14:textId="7C859891"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3" w:type="dxa"/>
            <w:tcBorders>
              <w:bottom w:val="single" w:sz="4" w:space="0" w:color="3D7FE0" w:themeColor="accent1"/>
            </w:tcBorders>
            <w:vAlign w:val="bottom"/>
          </w:tcPr>
          <w:p w14:paraId="31CFB68F"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vAlign w:val="bottom"/>
          </w:tcPr>
          <w:p w14:paraId="089B5A54"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vAlign w:val="bottom"/>
          </w:tcPr>
          <w:p w14:paraId="2411457C" w14:textId="79B122A2"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vAlign w:val="bottom"/>
          </w:tcPr>
          <w:p w14:paraId="518ADB2E" w14:textId="1B910D9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tcMar>
              <w:left w:w="0" w:type="dxa"/>
              <w:bottom w:w="57" w:type="dxa"/>
              <w:right w:w="0" w:type="dxa"/>
            </w:tcMar>
            <w:vAlign w:val="bottom"/>
          </w:tcPr>
          <w:p w14:paraId="377FB617" w14:textId="11B2F4A4" w:rsidR="00B820BB" w:rsidRPr="00895810" w:rsidRDefault="00B820BB" w:rsidP="00843070">
            <w:pPr>
              <w:pStyle w:val="TableColHeadsBold"/>
              <w:spacing w:line="240" w:lineRule="auto"/>
              <w:rPr>
                <w:rFonts w:ascii="IBM Plex Sans Light" w:hAnsi="IBM Plex Sans Light"/>
                <w:b w:val="0"/>
              </w:rPr>
            </w:pPr>
          </w:p>
        </w:tc>
        <w:tc>
          <w:tcPr>
            <w:tcW w:w="874" w:type="dxa"/>
            <w:tcBorders>
              <w:bottom w:val="single" w:sz="4" w:space="0" w:color="3D7FE0" w:themeColor="accent1"/>
            </w:tcBorders>
            <w:vAlign w:val="bottom"/>
          </w:tcPr>
          <w:p w14:paraId="570750D9" w14:textId="7B3997BC" w:rsidR="00B820BB" w:rsidRPr="00895810" w:rsidRDefault="00785AC2" w:rsidP="00843070">
            <w:pPr>
              <w:pStyle w:val="TableColHeadsBold"/>
              <w:spacing w:line="240" w:lineRule="auto"/>
              <w:ind w:left="-106" w:right="0"/>
              <w:rPr>
                <w:rFonts w:ascii="IBM Plex Sans Light" w:hAnsi="IBM Plex Sans Light"/>
                <w:b w:val="0"/>
              </w:rPr>
            </w:pPr>
            <w:r>
              <w:rPr>
                <w:rFonts w:ascii="IBM Plex Sans Light" w:hAnsi="IBM Plex Sans Light"/>
                <w:color w:val="3D7FE0" w:themeColor="accent1"/>
              </w:rPr>
              <w:t>2023</w:t>
            </w:r>
          </w:p>
        </w:tc>
      </w:tr>
      <w:tr w:rsidR="00B820BB" w:rsidRPr="00895810" w14:paraId="7B86F972" w14:textId="77777777" w:rsidTr="00D91739">
        <w:trPr>
          <w:trHeight w:hRule="exact" w:val="170"/>
        </w:trPr>
        <w:tc>
          <w:tcPr>
            <w:tcW w:w="4253" w:type="dxa"/>
            <w:tcBorders>
              <w:top w:val="single" w:sz="4" w:space="0" w:color="3D7FE0" w:themeColor="accent1"/>
            </w:tcBorders>
            <w:tcMar>
              <w:left w:w="0" w:type="dxa"/>
              <w:bottom w:w="57" w:type="dxa"/>
              <w:right w:w="0" w:type="dxa"/>
            </w:tcMar>
            <w:vAlign w:val="bottom"/>
          </w:tcPr>
          <w:p w14:paraId="12C4945D"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425" w:type="dxa"/>
            <w:tcBorders>
              <w:top w:val="single" w:sz="4" w:space="0" w:color="3D7FE0" w:themeColor="accent1"/>
            </w:tcBorders>
            <w:vAlign w:val="bottom"/>
          </w:tcPr>
          <w:p w14:paraId="02099DCC" w14:textId="0DEB310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3" w:type="dxa"/>
            <w:tcBorders>
              <w:top w:val="single" w:sz="4" w:space="0" w:color="3D7FE0" w:themeColor="accent1"/>
              <w:bottom w:val="single" w:sz="4" w:space="0" w:color="3D7FE0" w:themeColor="accent1"/>
            </w:tcBorders>
            <w:vAlign w:val="bottom"/>
          </w:tcPr>
          <w:p w14:paraId="45F75D45"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3DC208D2"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57D92838"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40E8D492" w14:textId="77777777" w:rsidR="00B820BB" w:rsidRPr="00895810" w:rsidRDefault="00B820BB" w:rsidP="00843070">
            <w:pPr>
              <w:pStyle w:val="TableColHeadsBold"/>
              <w:spacing w:line="240" w:lineRule="auto"/>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tcMar>
              <w:left w:w="0" w:type="dxa"/>
              <w:bottom w:w="57" w:type="dxa"/>
              <w:right w:w="0" w:type="dxa"/>
            </w:tcMar>
            <w:vAlign w:val="bottom"/>
          </w:tcPr>
          <w:p w14:paraId="3F2FB1EA" w14:textId="77777777" w:rsidR="00B820BB" w:rsidRPr="00895810" w:rsidRDefault="00B820BB" w:rsidP="00843070">
            <w:pPr>
              <w:pStyle w:val="TableColHeadsBold"/>
              <w:spacing w:line="240" w:lineRule="auto"/>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23C945C9" w14:textId="4CCB94BC" w:rsidR="00B820BB" w:rsidRPr="00895810" w:rsidRDefault="00B820BB" w:rsidP="00843070">
            <w:pPr>
              <w:pStyle w:val="TableColHeadsBold"/>
              <w:spacing w:line="240" w:lineRule="auto"/>
              <w:ind w:left="-106" w:right="0"/>
              <w:rPr>
                <w:rFonts w:ascii="IBM Plex Sans Light" w:hAnsi="IBM Plex Sans Light"/>
                <w:color w:val="3D7FE0" w:themeColor="accent1"/>
              </w:rPr>
            </w:pPr>
            <w:r w:rsidRPr="00895810">
              <w:rPr>
                <w:rFonts w:ascii="IBM Plex Sans Light" w:hAnsi="IBM Plex Sans Light"/>
                <w:color w:val="3D7FE0" w:themeColor="accent1"/>
              </w:rPr>
              <w:t>100% share</w:t>
            </w:r>
          </w:p>
        </w:tc>
      </w:tr>
      <w:tr w:rsidR="00B820BB" w:rsidRPr="00895810" w14:paraId="5914EF6F" w14:textId="77777777" w:rsidTr="00D91739">
        <w:trPr>
          <w:trHeight w:hRule="exact" w:val="340"/>
        </w:trPr>
        <w:tc>
          <w:tcPr>
            <w:tcW w:w="4253" w:type="dxa"/>
            <w:tcMar>
              <w:left w:w="0" w:type="dxa"/>
              <w:bottom w:w="57" w:type="dxa"/>
              <w:right w:w="0" w:type="dxa"/>
            </w:tcMar>
            <w:vAlign w:val="bottom"/>
          </w:tcPr>
          <w:p w14:paraId="6378F46A" w14:textId="77777777" w:rsidR="00B820BB" w:rsidRPr="00895810" w:rsidRDefault="00B820BB" w:rsidP="00B5254E">
            <w:pPr>
              <w:pStyle w:val="TableColHeadsBold"/>
              <w:ind w:right="0"/>
              <w:rPr>
                <w:rFonts w:ascii="IBM Plex Sans Light" w:hAnsi="IBM Plex Sans Light"/>
                <w:color w:val="3D7FE0" w:themeColor="accent1"/>
              </w:rPr>
            </w:pPr>
          </w:p>
        </w:tc>
        <w:tc>
          <w:tcPr>
            <w:tcW w:w="425" w:type="dxa"/>
            <w:vAlign w:val="bottom"/>
          </w:tcPr>
          <w:p w14:paraId="30C6002D" w14:textId="2385EA44" w:rsidR="00B820BB" w:rsidRPr="00895810" w:rsidRDefault="00B820BB" w:rsidP="00B5254E">
            <w:pPr>
              <w:pStyle w:val="TableColHeadsBold"/>
              <w:ind w:right="0"/>
              <w:rPr>
                <w:rFonts w:ascii="IBM Plex Sans Light" w:hAnsi="IBM Plex Sans Light"/>
                <w:color w:val="3D7FE0" w:themeColor="accent1"/>
              </w:rPr>
            </w:pPr>
          </w:p>
        </w:tc>
        <w:tc>
          <w:tcPr>
            <w:tcW w:w="873" w:type="dxa"/>
            <w:tcBorders>
              <w:top w:val="single" w:sz="4" w:space="0" w:color="3D7FE0" w:themeColor="accent1"/>
            </w:tcBorders>
            <w:vAlign w:val="bottom"/>
          </w:tcPr>
          <w:p w14:paraId="37019D48" w14:textId="754894C8" w:rsidR="00B820BB" w:rsidRPr="00895810" w:rsidRDefault="00B820BB" w:rsidP="00B5254E">
            <w:pPr>
              <w:pStyle w:val="TableColHeadsBold"/>
              <w:ind w:right="0"/>
              <w:rPr>
                <w:rFonts w:ascii="IBM Plex Sans Light" w:hAnsi="IBM Plex Sans Light"/>
                <w:color w:val="3D7FE0" w:themeColor="accent1"/>
              </w:rPr>
            </w:pPr>
            <w:r w:rsidRPr="00895810">
              <w:rPr>
                <w:rFonts w:ascii="IBM Plex Sans Light" w:hAnsi="IBM Plex Sans Light"/>
                <w:color w:val="3D7FE0" w:themeColor="accent1"/>
              </w:rPr>
              <w:t>Brent Cross</w:t>
            </w:r>
          </w:p>
        </w:tc>
        <w:tc>
          <w:tcPr>
            <w:tcW w:w="874" w:type="dxa"/>
            <w:tcBorders>
              <w:top w:val="single" w:sz="4" w:space="0" w:color="3D7FE0" w:themeColor="accent1"/>
            </w:tcBorders>
            <w:vAlign w:val="bottom"/>
          </w:tcPr>
          <w:p w14:paraId="53FBB250" w14:textId="4DF9E698" w:rsidR="00B820BB" w:rsidRPr="00895810" w:rsidRDefault="00B820BB" w:rsidP="00B5254E">
            <w:pPr>
              <w:pStyle w:val="TableColHeadsBold"/>
              <w:ind w:right="0"/>
              <w:rPr>
                <w:rFonts w:ascii="IBM Plex Sans Light" w:hAnsi="IBM Plex Sans Light"/>
                <w:color w:val="3D7FE0" w:themeColor="accent1"/>
              </w:rPr>
            </w:pPr>
            <w:r w:rsidRPr="00895810">
              <w:rPr>
                <w:rFonts w:ascii="IBM Plex Sans Light" w:hAnsi="IBM Plex Sans Light"/>
                <w:color w:val="3D7FE0" w:themeColor="accent1"/>
              </w:rPr>
              <w:t>Cabot Circus</w:t>
            </w:r>
          </w:p>
        </w:tc>
        <w:tc>
          <w:tcPr>
            <w:tcW w:w="874" w:type="dxa"/>
            <w:tcBorders>
              <w:top w:val="single" w:sz="4" w:space="0" w:color="3D7FE0" w:themeColor="accent1"/>
            </w:tcBorders>
            <w:vAlign w:val="bottom"/>
          </w:tcPr>
          <w:p w14:paraId="79F49B20" w14:textId="672A378E" w:rsidR="00B820BB" w:rsidRPr="00895810" w:rsidRDefault="00B820BB" w:rsidP="00B5254E">
            <w:pPr>
              <w:pStyle w:val="TableColHeadsBold"/>
              <w:ind w:right="0"/>
              <w:rPr>
                <w:rFonts w:ascii="IBM Plex Sans Light" w:hAnsi="IBM Plex Sans Light"/>
                <w:color w:val="3D7FE0" w:themeColor="accent1"/>
              </w:rPr>
            </w:pPr>
            <w:r w:rsidRPr="00895810">
              <w:rPr>
                <w:rFonts w:ascii="IBM Plex Sans Light" w:hAnsi="IBM Plex Sans Light"/>
                <w:color w:val="3D7FE0" w:themeColor="accent1"/>
              </w:rPr>
              <w:t>Bullring</w:t>
            </w:r>
          </w:p>
        </w:tc>
        <w:tc>
          <w:tcPr>
            <w:tcW w:w="874" w:type="dxa"/>
            <w:tcBorders>
              <w:top w:val="single" w:sz="4" w:space="0" w:color="3D7FE0" w:themeColor="accent1"/>
            </w:tcBorders>
            <w:vAlign w:val="bottom"/>
          </w:tcPr>
          <w:p w14:paraId="37F00254" w14:textId="40847202" w:rsidR="00B820BB" w:rsidRPr="00895810" w:rsidRDefault="00B820BB" w:rsidP="00B5254E">
            <w:pPr>
              <w:pStyle w:val="TableColHeadsBold"/>
              <w:ind w:right="0"/>
              <w:rPr>
                <w:rFonts w:ascii="IBM Plex Sans Light" w:hAnsi="IBM Plex Sans Light"/>
                <w:color w:val="3D7FE0" w:themeColor="accent1"/>
              </w:rPr>
            </w:pPr>
            <w:r w:rsidRPr="00895810">
              <w:rPr>
                <w:rFonts w:ascii="IBM Plex Sans Light" w:hAnsi="IBM Plex Sans Light"/>
                <w:color w:val="3D7FE0" w:themeColor="accent1"/>
              </w:rPr>
              <w:t>Grand Central</w:t>
            </w:r>
          </w:p>
        </w:tc>
        <w:tc>
          <w:tcPr>
            <w:tcW w:w="874" w:type="dxa"/>
            <w:tcBorders>
              <w:top w:val="single" w:sz="4" w:space="0" w:color="3D7FE0" w:themeColor="accent1"/>
            </w:tcBorders>
            <w:tcMar>
              <w:left w:w="0" w:type="dxa"/>
              <w:bottom w:w="57" w:type="dxa"/>
              <w:right w:w="0" w:type="dxa"/>
            </w:tcMar>
            <w:vAlign w:val="bottom"/>
          </w:tcPr>
          <w:p w14:paraId="0D9612FB" w14:textId="4A2D6FAB" w:rsidR="00B820BB" w:rsidRPr="00895810" w:rsidRDefault="00B820BB" w:rsidP="00B5254E">
            <w:pPr>
              <w:pStyle w:val="TableColHeadsBold"/>
              <w:rPr>
                <w:rFonts w:ascii="IBM Plex Sans Light" w:hAnsi="IBM Plex Sans Light"/>
                <w:color w:val="3D7FE0" w:themeColor="accent1"/>
              </w:rPr>
            </w:pPr>
            <w:r w:rsidRPr="00895810">
              <w:rPr>
                <w:rFonts w:ascii="IBM Plex Sans Light" w:hAnsi="IBM Plex Sans Light"/>
                <w:color w:val="3D7FE0" w:themeColor="accent1"/>
              </w:rPr>
              <w:t>The Oracle</w:t>
            </w:r>
          </w:p>
        </w:tc>
        <w:tc>
          <w:tcPr>
            <w:tcW w:w="874" w:type="dxa"/>
            <w:tcBorders>
              <w:top w:val="single" w:sz="4" w:space="0" w:color="3D7FE0" w:themeColor="accent1"/>
            </w:tcBorders>
            <w:vAlign w:val="bottom"/>
          </w:tcPr>
          <w:p w14:paraId="5162DF14" w14:textId="2185F6C9" w:rsidR="00B820BB" w:rsidRPr="00895810" w:rsidRDefault="00B820BB" w:rsidP="00843070">
            <w:pPr>
              <w:pStyle w:val="TableColHeadsBold"/>
              <w:ind w:left="-106" w:right="0"/>
              <w:rPr>
                <w:rFonts w:ascii="IBM Plex Sans Light" w:hAnsi="IBM Plex Sans Light"/>
                <w:color w:val="3D7FE0" w:themeColor="accent1"/>
              </w:rPr>
            </w:pPr>
            <w:r w:rsidRPr="00895810">
              <w:rPr>
                <w:rFonts w:ascii="IBM Plex Sans Light" w:hAnsi="IBM Plex Sans Light"/>
                <w:color w:val="3D7FE0" w:themeColor="accent1"/>
              </w:rPr>
              <w:t>West Quay</w:t>
            </w:r>
          </w:p>
        </w:tc>
      </w:tr>
      <w:tr w:rsidR="00B820BB" w:rsidRPr="00895810" w14:paraId="2F10C465" w14:textId="77777777" w:rsidTr="00B820BB">
        <w:trPr>
          <w:trHeight w:val="58"/>
        </w:trPr>
        <w:tc>
          <w:tcPr>
            <w:tcW w:w="4253" w:type="dxa"/>
            <w:tcBorders>
              <w:bottom w:val="single" w:sz="2" w:space="0" w:color="3D7FE0" w:themeColor="accent1"/>
            </w:tcBorders>
            <w:tcMar>
              <w:left w:w="0" w:type="dxa"/>
              <w:bottom w:w="28" w:type="dxa"/>
              <w:right w:w="0" w:type="dxa"/>
            </w:tcMar>
            <w:vAlign w:val="bottom"/>
          </w:tcPr>
          <w:p w14:paraId="5C42CFA0" w14:textId="77777777" w:rsidR="00B820BB" w:rsidRPr="00895810" w:rsidRDefault="00B820BB" w:rsidP="00C82621">
            <w:pPr>
              <w:pStyle w:val="TableColHeadsBold"/>
              <w:rPr>
                <w:rFonts w:ascii="IBM Plex Sans Light" w:hAnsi="IBM Plex Sans Light"/>
                <w:color w:val="3D7FE0" w:themeColor="accent1"/>
              </w:rPr>
            </w:pPr>
          </w:p>
        </w:tc>
        <w:tc>
          <w:tcPr>
            <w:tcW w:w="425" w:type="dxa"/>
            <w:tcBorders>
              <w:bottom w:val="single" w:sz="2" w:space="0" w:color="3D7FE0" w:themeColor="accent1"/>
            </w:tcBorders>
            <w:vAlign w:val="bottom"/>
          </w:tcPr>
          <w:p w14:paraId="64084B7B" w14:textId="21A54488" w:rsidR="00B820BB" w:rsidRPr="00895810" w:rsidRDefault="00B820BB" w:rsidP="00C82621">
            <w:pPr>
              <w:pStyle w:val="TableColHeadsBold"/>
              <w:rPr>
                <w:rFonts w:ascii="IBM Plex Sans Light" w:hAnsi="IBM Plex Sans Light"/>
                <w:color w:val="3D7FE0" w:themeColor="accent1"/>
              </w:rPr>
            </w:pPr>
          </w:p>
        </w:tc>
        <w:tc>
          <w:tcPr>
            <w:tcW w:w="873" w:type="dxa"/>
            <w:tcBorders>
              <w:bottom w:val="single" w:sz="2" w:space="0" w:color="3D7FE0" w:themeColor="accent1"/>
            </w:tcBorders>
            <w:vAlign w:val="bottom"/>
          </w:tcPr>
          <w:p w14:paraId="2D44905E" w14:textId="4CEF3113" w:rsidR="00B820BB" w:rsidRPr="00895810" w:rsidRDefault="00B820BB" w:rsidP="00C82621">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vAlign w:val="bottom"/>
          </w:tcPr>
          <w:p w14:paraId="3A632217" w14:textId="63AE7541" w:rsidR="00B820BB" w:rsidRPr="00895810" w:rsidRDefault="00B820BB" w:rsidP="00C82621">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vAlign w:val="bottom"/>
          </w:tcPr>
          <w:p w14:paraId="1A82C45E" w14:textId="36D53646" w:rsidR="00B820BB" w:rsidRPr="00895810" w:rsidRDefault="00B820BB" w:rsidP="00C82621">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tcMar>
              <w:left w:w="0" w:type="dxa"/>
              <w:bottom w:w="28" w:type="dxa"/>
              <w:right w:w="0" w:type="dxa"/>
            </w:tcMar>
            <w:vAlign w:val="bottom"/>
          </w:tcPr>
          <w:p w14:paraId="07D03560" w14:textId="2C8FF858" w:rsidR="00B820BB" w:rsidRPr="00895810" w:rsidRDefault="00B820BB" w:rsidP="00C82621">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tcMar>
              <w:left w:w="0" w:type="dxa"/>
              <w:bottom w:w="28" w:type="dxa"/>
              <w:right w:w="0" w:type="dxa"/>
            </w:tcMar>
            <w:vAlign w:val="bottom"/>
          </w:tcPr>
          <w:p w14:paraId="599C52EE" w14:textId="3DCEBC81" w:rsidR="00B820BB" w:rsidRPr="00895810" w:rsidRDefault="00B820BB" w:rsidP="00C82621">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tcMar>
              <w:left w:w="0" w:type="dxa"/>
              <w:bottom w:w="28" w:type="dxa"/>
              <w:right w:w="0" w:type="dxa"/>
            </w:tcMar>
            <w:vAlign w:val="bottom"/>
          </w:tcPr>
          <w:p w14:paraId="21FE2CFE" w14:textId="3C605F54" w:rsidR="00B820BB" w:rsidRPr="00895810" w:rsidRDefault="00B820BB" w:rsidP="00C82621">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r>
      <w:tr w:rsidR="009601CE" w:rsidRPr="00895810" w14:paraId="504EFBC5" w14:textId="77777777" w:rsidTr="00B820BB">
        <w:trPr>
          <w:trHeight w:hRule="exact" w:val="255"/>
        </w:trPr>
        <w:tc>
          <w:tcPr>
            <w:tcW w:w="4253" w:type="dxa"/>
            <w:tcBorders>
              <w:top w:val="single" w:sz="2" w:space="0" w:color="3D7FE0" w:themeColor="accent1"/>
              <w:bottom w:val="single" w:sz="2" w:space="0" w:color="3D7FE0" w:themeColor="accent1"/>
            </w:tcBorders>
            <w:tcMar>
              <w:left w:w="0" w:type="dxa"/>
              <w:right w:w="0" w:type="dxa"/>
            </w:tcMar>
            <w:vAlign w:val="bottom"/>
          </w:tcPr>
          <w:p w14:paraId="06B94FA5"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Gross rental income</w:t>
            </w:r>
          </w:p>
        </w:tc>
        <w:tc>
          <w:tcPr>
            <w:tcW w:w="425" w:type="dxa"/>
            <w:tcBorders>
              <w:top w:val="single" w:sz="2" w:space="0" w:color="3D7FE0" w:themeColor="accent1"/>
              <w:bottom w:val="single" w:sz="2" w:space="0" w:color="3D7FE0" w:themeColor="accent1"/>
            </w:tcBorders>
            <w:vAlign w:val="bottom"/>
          </w:tcPr>
          <w:p w14:paraId="66B33258" w14:textId="21CE69B0"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p>
        </w:tc>
        <w:tc>
          <w:tcPr>
            <w:tcW w:w="873" w:type="dxa"/>
            <w:tcBorders>
              <w:top w:val="single" w:sz="2" w:space="0" w:color="3D7FE0" w:themeColor="accent1"/>
              <w:bottom w:val="single" w:sz="2" w:space="0" w:color="3D7FE0" w:themeColor="accent1"/>
            </w:tcBorders>
          </w:tcPr>
          <w:p w14:paraId="039F572E" w14:textId="238C168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28.6</w:t>
            </w:r>
          </w:p>
        </w:tc>
        <w:tc>
          <w:tcPr>
            <w:tcW w:w="874" w:type="dxa"/>
            <w:tcBorders>
              <w:top w:val="single" w:sz="2" w:space="0" w:color="3D7FE0" w:themeColor="accent1"/>
              <w:bottom w:val="single" w:sz="2" w:space="0" w:color="3D7FE0" w:themeColor="accent1"/>
            </w:tcBorders>
          </w:tcPr>
          <w:p w14:paraId="12E020D5" w14:textId="504A0A72"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29.4</w:t>
            </w:r>
          </w:p>
        </w:tc>
        <w:tc>
          <w:tcPr>
            <w:tcW w:w="874" w:type="dxa"/>
            <w:tcBorders>
              <w:top w:val="single" w:sz="2" w:space="0" w:color="3D7FE0" w:themeColor="accent1"/>
              <w:bottom w:val="single" w:sz="2" w:space="0" w:color="3D7FE0" w:themeColor="accent1"/>
            </w:tcBorders>
          </w:tcPr>
          <w:p w14:paraId="59F2ADF4" w14:textId="09F88E6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48.5</w:t>
            </w:r>
          </w:p>
        </w:tc>
        <w:tc>
          <w:tcPr>
            <w:tcW w:w="874" w:type="dxa"/>
            <w:tcBorders>
              <w:top w:val="single" w:sz="2" w:space="0" w:color="3D7FE0" w:themeColor="accent1"/>
              <w:bottom w:val="single" w:sz="2" w:space="0" w:color="3D7FE0" w:themeColor="accent1"/>
            </w:tcBorders>
            <w:tcMar>
              <w:left w:w="0" w:type="dxa"/>
              <w:right w:w="0" w:type="dxa"/>
            </w:tcMar>
          </w:tcPr>
          <w:p w14:paraId="2F480964" w14:textId="1F7AD4A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8.0</w:t>
            </w:r>
          </w:p>
        </w:tc>
        <w:tc>
          <w:tcPr>
            <w:tcW w:w="874" w:type="dxa"/>
            <w:tcBorders>
              <w:top w:val="single" w:sz="2" w:space="0" w:color="3D7FE0" w:themeColor="accent1"/>
              <w:bottom w:val="single" w:sz="2" w:space="0" w:color="3D7FE0" w:themeColor="accent1"/>
            </w:tcBorders>
            <w:tcMar>
              <w:left w:w="0" w:type="dxa"/>
              <w:right w:w="0" w:type="dxa"/>
            </w:tcMar>
          </w:tcPr>
          <w:p w14:paraId="799D03A3" w14:textId="463D44C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23.5</w:t>
            </w:r>
          </w:p>
        </w:tc>
        <w:tc>
          <w:tcPr>
            <w:tcW w:w="874" w:type="dxa"/>
            <w:tcBorders>
              <w:top w:val="single" w:sz="2" w:space="0" w:color="3D7FE0" w:themeColor="accent1"/>
              <w:bottom w:val="single" w:sz="2" w:space="0" w:color="3D7FE0" w:themeColor="accent1"/>
            </w:tcBorders>
            <w:tcMar>
              <w:left w:w="0" w:type="dxa"/>
              <w:right w:w="0" w:type="dxa"/>
            </w:tcMar>
          </w:tcPr>
          <w:p w14:paraId="28F4BEF8" w14:textId="3784DAB7"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28.9</w:t>
            </w:r>
          </w:p>
        </w:tc>
      </w:tr>
      <w:tr w:rsidR="009601CE" w:rsidRPr="00895810" w14:paraId="7702DFE7" w14:textId="77777777" w:rsidTr="00B820BB">
        <w:trPr>
          <w:trHeight w:hRule="exact" w:val="255"/>
        </w:trPr>
        <w:tc>
          <w:tcPr>
            <w:tcW w:w="4253" w:type="dxa"/>
            <w:tcBorders>
              <w:top w:val="single" w:sz="2" w:space="0" w:color="3D7FE0" w:themeColor="accent1"/>
            </w:tcBorders>
            <w:tcMar>
              <w:left w:w="0" w:type="dxa"/>
              <w:right w:w="0" w:type="dxa"/>
            </w:tcMar>
            <w:vAlign w:val="bottom"/>
          </w:tcPr>
          <w:p w14:paraId="31FCD25A"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Net rental income</w:t>
            </w:r>
          </w:p>
        </w:tc>
        <w:tc>
          <w:tcPr>
            <w:tcW w:w="425" w:type="dxa"/>
            <w:tcBorders>
              <w:top w:val="single" w:sz="2" w:space="0" w:color="3D7FE0" w:themeColor="accent1"/>
            </w:tcBorders>
            <w:vAlign w:val="bottom"/>
          </w:tcPr>
          <w:p w14:paraId="185471BB" w14:textId="74AD28A2"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p>
        </w:tc>
        <w:tc>
          <w:tcPr>
            <w:tcW w:w="873" w:type="dxa"/>
            <w:tcBorders>
              <w:top w:val="single" w:sz="2" w:space="0" w:color="3D7FE0" w:themeColor="accent1"/>
            </w:tcBorders>
          </w:tcPr>
          <w:p w14:paraId="7A9BBE9D" w14:textId="437F8E7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24.1</w:t>
            </w:r>
          </w:p>
        </w:tc>
        <w:tc>
          <w:tcPr>
            <w:tcW w:w="874" w:type="dxa"/>
            <w:tcBorders>
              <w:top w:val="single" w:sz="2" w:space="0" w:color="3D7FE0" w:themeColor="accent1"/>
            </w:tcBorders>
          </w:tcPr>
          <w:p w14:paraId="43EC8944" w14:textId="0F89E11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22.8</w:t>
            </w:r>
          </w:p>
        </w:tc>
        <w:tc>
          <w:tcPr>
            <w:tcW w:w="874" w:type="dxa"/>
            <w:tcBorders>
              <w:top w:val="single" w:sz="2" w:space="0" w:color="3D7FE0" w:themeColor="accent1"/>
            </w:tcBorders>
          </w:tcPr>
          <w:p w14:paraId="3F7E122A" w14:textId="7EC7767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39.7</w:t>
            </w:r>
          </w:p>
        </w:tc>
        <w:tc>
          <w:tcPr>
            <w:tcW w:w="874" w:type="dxa"/>
            <w:tcBorders>
              <w:top w:val="single" w:sz="2" w:space="0" w:color="3D7FE0" w:themeColor="accent1"/>
            </w:tcBorders>
            <w:tcMar>
              <w:left w:w="0" w:type="dxa"/>
              <w:right w:w="0" w:type="dxa"/>
            </w:tcMar>
          </w:tcPr>
          <w:p w14:paraId="21060392" w14:textId="4517D6B2"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4.4</w:t>
            </w:r>
          </w:p>
        </w:tc>
        <w:tc>
          <w:tcPr>
            <w:tcW w:w="874" w:type="dxa"/>
            <w:tcBorders>
              <w:top w:val="single" w:sz="2" w:space="0" w:color="3D7FE0" w:themeColor="accent1"/>
            </w:tcBorders>
            <w:tcMar>
              <w:left w:w="0" w:type="dxa"/>
              <w:right w:w="0" w:type="dxa"/>
            </w:tcMar>
          </w:tcPr>
          <w:p w14:paraId="7EC3BB65" w14:textId="3E94381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14.7</w:t>
            </w:r>
          </w:p>
        </w:tc>
        <w:tc>
          <w:tcPr>
            <w:tcW w:w="874" w:type="dxa"/>
            <w:tcBorders>
              <w:top w:val="single" w:sz="2" w:space="0" w:color="3D7FE0" w:themeColor="accent1"/>
            </w:tcBorders>
            <w:tcMar>
              <w:left w:w="0" w:type="dxa"/>
              <w:right w:w="0" w:type="dxa"/>
            </w:tcMar>
          </w:tcPr>
          <w:p w14:paraId="30E25C7C" w14:textId="5737B00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23.2</w:t>
            </w:r>
          </w:p>
        </w:tc>
      </w:tr>
      <w:tr w:rsidR="009601CE" w:rsidRPr="00895810" w14:paraId="48F47258" w14:textId="77777777" w:rsidTr="00B820BB">
        <w:trPr>
          <w:trHeight w:hRule="exact" w:val="255"/>
        </w:trPr>
        <w:tc>
          <w:tcPr>
            <w:tcW w:w="4253" w:type="dxa"/>
            <w:tcBorders>
              <w:bottom w:val="single" w:sz="2" w:space="0" w:color="3D7FE0" w:themeColor="accent1"/>
            </w:tcBorders>
            <w:tcMar>
              <w:left w:w="0" w:type="dxa"/>
              <w:right w:w="0" w:type="dxa"/>
            </w:tcMar>
            <w:vAlign w:val="bottom"/>
          </w:tcPr>
          <w:p w14:paraId="69028161"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Administration expenses</w:t>
            </w:r>
          </w:p>
        </w:tc>
        <w:tc>
          <w:tcPr>
            <w:tcW w:w="425" w:type="dxa"/>
            <w:tcBorders>
              <w:bottom w:val="single" w:sz="2" w:space="0" w:color="3D7FE0" w:themeColor="accent1"/>
            </w:tcBorders>
            <w:vAlign w:val="bottom"/>
          </w:tcPr>
          <w:p w14:paraId="2F8F2DAA" w14:textId="4EBAA2C0"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873" w:type="dxa"/>
            <w:tcBorders>
              <w:bottom w:val="single" w:sz="2" w:space="0" w:color="3D7FE0" w:themeColor="accent1"/>
            </w:tcBorders>
          </w:tcPr>
          <w:p w14:paraId="22D7B225" w14:textId="378C47F5"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Pr>
          <w:p w14:paraId="47D9F1AF" w14:textId="1BB1425F"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Pr>
          <w:p w14:paraId="03192018" w14:textId="0E67E950"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Mar>
              <w:left w:w="0" w:type="dxa"/>
              <w:right w:w="0" w:type="dxa"/>
            </w:tcMar>
          </w:tcPr>
          <w:p w14:paraId="38B8B3C9" w14:textId="436E5876"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Mar>
              <w:left w:w="0" w:type="dxa"/>
              <w:right w:w="0" w:type="dxa"/>
            </w:tcMar>
          </w:tcPr>
          <w:p w14:paraId="20D5F0E0" w14:textId="7B447BC2"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Mar>
              <w:left w:w="0" w:type="dxa"/>
              <w:right w:w="0" w:type="dxa"/>
            </w:tcMar>
          </w:tcPr>
          <w:p w14:paraId="25E1227A" w14:textId="0D4CB9F7"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r>
      <w:tr w:rsidR="009601CE" w:rsidRPr="00895810" w14:paraId="0D65E3B8" w14:textId="77777777" w:rsidTr="00B820BB">
        <w:trPr>
          <w:trHeight w:hRule="exact" w:val="259"/>
        </w:trPr>
        <w:tc>
          <w:tcPr>
            <w:tcW w:w="4253" w:type="dxa"/>
            <w:tcBorders>
              <w:top w:val="single" w:sz="2" w:space="0" w:color="3D7FE0" w:themeColor="accent1"/>
            </w:tcBorders>
            <w:tcMar>
              <w:left w:w="0" w:type="dxa"/>
              <w:right w:w="0" w:type="dxa"/>
            </w:tcMar>
            <w:vAlign w:val="bottom"/>
          </w:tcPr>
          <w:p w14:paraId="487833AB"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Profit from operating activities</w:t>
            </w:r>
          </w:p>
        </w:tc>
        <w:tc>
          <w:tcPr>
            <w:tcW w:w="425" w:type="dxa"/>
            <w:tcBorders>
              <w:top w:val="single" w:sz="2" w:space="0" w:color="3D7FE0" w:themeColor="accent1"/>
            </w:tcBorders>
            <w:vAlign w:val="bottom"/>
          </w:tcPr>
          <w:p w14:paraId="60C4EE5E" w14:textId="486792D1"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p>
        </w:tc>
        <w:tc>
          <w:tcPr>
            <w:tcW w:w="873" w:type="dxa"/>
            <w:tcBorders>
              <w:top w:val="single" w:sz="2" w:space="0" w:color="3D7FE0" w:themeColor="accent1"/>
            </w:tcBorders>
          </w:tcPr>
          <w:p w14:paraId="7DF96C34" w14:textId="7A4BEB1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24.0</w:t>
            </w:r>
          </w:p>
        </w:tc>
        <w:tc>
          <w:tcPr>
            <w:tcW w:w="874" w:type="dxa"/>
            <w:tcBorders>
              <w:top w:val="single" w:sz="2" w:space="0" w:color="3D7FE0" w:themeColor="accent1"/>
            </w:tcBorders>
          </w:tcPr>
          <w:p w14:paraId="64B901D9" w14:textId="4D877EA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22.7</w:t>
            </w:r>
          </w:p>
        </w:tc>
        <w:tc>
          <w:tcPr>
            <w:tcW w:w="874" w:type="dxa"/>
            <w:tcBorders>
              <w:top w:val="single" w:sz="2" w:space="0" w:color="3D7FE0" w:themeColor="accent1"/>
            </w:tcBorders>
          </w:tcPr>
          <w:p w14:paraId="336AC638" w14:textId="5386EF3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39.6</w:t>
            </w:r>
          </w:p>
        </w:tc>
        <w:tc>
          <w:tcPr>
            <w:tcW w:w="874" w:type="dxa"/>
            <w:tcBorders>
              <w:top w:val="single" w:sz="2" w:space="0" w:color="3D7FE0" w:themeColor="accent1"/>
            </w:tcBorders>
            <w:tcMar>
              <w:left w:w="0" w:type="dxa"/>
              <w:right w:w="0" w:type="dxa"/>
            </w:tcMar>
          </w:tcPr>
          <w:p w14:paraId="04C986D9" w14:textId="7A9379C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4.3</w:t>
            </w:r>
          </w:p>
        </w:tc>
        <w:tc>
          <w:tcPr>
            <w:tcW w:w="874" w:type="dxa"/>
            <w:tcBorders>
              <w:top w:val="single" w:sz="2" w:space="0" w:color="3D7FE0" w:themeColor="accent1"/>
            </w:tcBorders>
            <w:tcMar>
              <w:left w:w="0" w:type="dxa"/>
              <w:right w:w="0" w:type="dxa"/>
            </w:tcMar>
          </w:tcPr>
          <w:p w14:paraId="4246DAB2" w14:textId="06B2AF1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14.6</w:t>
            </w:r>
          </w:p>
        </w:tc>
        <w:tc>
          <w:tcPr>
            <w:tcW w:w="874" w:type="dxa"/>
            <w:tcBorders>
              <w:top w:val="single" w:sz="2" w:space="0" w:color="3D7FE0" w:themeColor="accent1"/>
            </w:tcBorders>
            <w:tcMar>
              <w:left w:w="0" w:type="dxa"/>
              <w:right w:w="0" w:type="dxa"/>
            </w:tcMar>
          </w:tcPr>
          <w:p w14:paraId="52D696D9" w14:textId="0FF4C8D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23.1</w:t>
            </w:r>
          </w:p>
        </w:tc>
      </w:tr>
      <w:tr w:rsidR="009601CE" w:rsidRPr="00895810" w14:paraId="31BD1809" w14:textId="77777777" w:rsidTr="00D91739">
        <w:trPr>
          <w:trHeight w:hRule="exact" w:val="255"/>
        </w:trPr>
        <w:tc>
          <w:tcPr>
            <w:tcW w:w="4253" w:type="dxa"/>
            <w:tcMar>
              <w:left w:w="0" w:type="dxa"/>
              <w:right w:w="0" w:type="dxa"/>
            </w:tcMar>
            <w:vAlign w:val="bottom"/>
          </w:tcPr>
          <w:p w14:paraId="01E6DBC1" w14:textId="347FB72E"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 xml:space="preserve">Revaluation </w:t>
            </w:r>
            <w:r w:rsidR="00FC6179">
              <w:rPr>
                <w:rFonts w:ascii="IBM Plex Sans Light" w:hAnsi="IBM Plex Sans Light"/>
                <w:bCs/>
                <w:sz w:val="18"/>
                <w:szCs w:val="18"/>
              </w:rPr>
              <w:t>(</w:t>
            </w:r>
            <w:r w:rsidRPr="00895810">
              <w:rPr>
                <w:rFonts w:ascii="IBM Plex Sans Light" w:hAnsi="IBM Plex Sans Light"/>
                <w:bCs/>
                <w:sz w:val="18"/>
                <w:szCs w:val="18"/>
              </w:rPr>
              <w:t>losses</w:t>
            </w:r>
            <w:r w:rsidR="00FC6179">
              <w:rPr>
                <w:rFonts w:ascii="IBM Plex Sans Light" w:hAnsi="IBM Plex Sans Light"/>
                <w:bCs/>
                <w:sz w:val="18"/>
                <w:szCs w:val="18"/>
              </w:rPr>
              <w:t>)/gains</w:t>
            </w:r>
            <w:r w:rsidRPr="00895810">
              <w:rPr>
                <w:rFonts w:ascii="IBM Plex Sans Light" w:hAnsi="IBM Plex Sans Light"/>
                <w:bCs/>
                <w:sz w:val="18"/>
                <w:szCs w:val="18"/>
              </w:rPr>
              <w:t xml:space="preserve"> on properties</w:t>
            </w:r>
          </w:p>
        </w:tc>
        <w:tc>
          <w:tcPr>
            <w:tcW w:w="425" w:type="dxa"/>
            <w:vAlign w:val="bottom"/>
          </w:tcPr>
          <w:p w14:paraId="73E40D1E" w14:textId="6E81BAC4"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873" w:type="dxa"/>
          </w:tcPr>
          <w:p w14:paraId="0ED83CAD" w14:textId="621241F4"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(9.6)</w:t>
            </w:r>
          </w:p>
        </w:tc>
        <w:tc>
          <w:tcPr>
            <w:tcW w:w="874" w:type="dxa"/>
          </w:tcPr>
          <w:p w14:paraId="189C673B" w14:textId="71790873"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(6.1)</w:t>
            </w:r>
          </w:p>
        </w:tc>
        <w:tc>
          <w:tcPr>
            <w:tcW w:w="874" w:type="dxa"/>
          </w:tcPr>
          <w:p w14:paraId="512C2172" w14:textId="3CC8FF99"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21.3</w:t>
            </w:r>
          </w:p>
        </w:tc>
        <w:tc>
          <w:tcPr>
            <w:tcW w:w="874" w:type="dxa"/>
            <w:tcMar>
              <w:left w:w="0" w:type="dxa"/>
              <w:right w:w="0" w:type="dxa"/>
            </w:tcMar>
          </w:tcPr>
          <w:p w14:paraId="5425DA49" w14:textId="06026C39"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(13.8)</w:t>
            </w:r>
          </w:p>
        </w:tc>
        <w:tc>
          <w:tcPr>
            <w:tcW w:w="874" w:type="dxa"/>
            <w:tcMar>
              <w:left w:w="0" w:type="dxa"/>
              <w:right w:w="0" w:type="dxa"/>
            </w:tcMar>
          </w:tcPr>
          <w:p w14:paraId="4B340D97" w14:textId="25FE7FCE"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(22.3)</w:t>
            </w:r>
          </w:p>
        </w:tc>
        <w:tc>
          <w:tcPr>
            <w:tcW w:w="874" w:type="dxa"/>
            <w:tcMar>
              <w:left w:w="0" w:type="dxa"/>
              <w:right w:w="0" w:type="dxa"/>
            </w:tcMar>
          </w:tcPr>
          <w:p w14:paraId="6ADCBFF5" w14:textId="2F79C50C"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(2.8)</w:t>
            </w:r>
          </w:p>
        </w:tc>
      </w:tr>
      <w:tr w:rsidR="009601CE" w:rsidRPr="00895810" w14:paraId="745A003D" w14:textId="77777777" w:rsidTr="00D91739">
        <w:trPr>
          <w:trHeight w:hRule="exact" w:val="255"/>
        </w:trPr>
        <w:tc>
          <w:tcPr>
            <w:tcW w:w="4253" w:type="dxa"/>
            <w:tcBorders>
              <w:top w:val="single" w:sz="2" w:space="0" w:color="3D7FE0" w:themeColor="accent1"/>
            </w:tcBorders>
            <w:tcMar>
              <w:left w:w="0" w:type="dxa"/>
              <w:right w:w="0" w:type="dxa"/>
            </w:tcMar>
            <w:vAlign w:val="bottom"/>
          </w:tcPr>
          <w:p w14:paraId="5B1E69F4" w14:textId="77777777" w:rsidR="009601CE" w:rsidRPr="00895810" w:rsidRDefault="009601CE" w:rsidP="009601CE">
            <w:pPr>
              <w:pStyle w:val="TableFiguresBrackets"/>
              <w:jc w:val="lef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Operating profit/(loss)</w:t>
            </w:r>
          </w:p>
        </w:tc>
        <w:tc>
          <w:tcPr>
            <w:tcW w:w="425" w:type="dxa"/>
            <w:tcBorders>
              <w:top w:val="single" w:sz="2" w:space="0" w:color="3D7FE0" w:themeColor="accent1"/>
            </w:tcBorders>
            <w:vAlign w:val="bottom"/>
          </w:tcPr>
          <w:p w14:paraId="38D8B31D" w14:textId="1B565C44" w:rsidR="009601CE" w:rsidRPr="00895810" w:rsidRDefault="009601CE" w:rsidP="009601CE">
            <w:pPr>
              <w:pStyle w:val="TableFiguresBrackets"/>
              <w:jc w:val="left"/>
              <w:rPr>
                <w:rFonts w:ascii="IBM Plex Sans Light" w:hAnsi="IBM Plex Sans Light"/>
                <w:b/>
                <w:bCs/>
                <w:color w:val="3D7FE0" w:themeColor="accent1"/>
                <w:spacing w:val="-4"/>
                <w:sz w:val="18"/>
                <w:szCs w:val="18"/>
              </w:rPr>
            </w:pPr>
          </w:p>
        </w:tc>
        <w:tc>
          <w:tcPr>
            <w:tcW w:w="873" w:type="dxa"/>
            <w:tcBorders>
              <w:top w:val="single" w:sz="2" w:space="0" w:color="3D7FE0" w:themeColor="accent1"/>
            </w:tcBorders>
          </w:tcPr>
          <w:p w14:paraId="6C5C2837" w14:textId="4B4629A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14.4</w:t>
            </w:r>
          </w:p>
        </w:tc>
        <w:tc>
          <w:tcPr>
            <w:tcW w:w="874" w:type="dxa"/>
            <w:tcBorders>
              <w:top w:val="single" w:sz="2" w:space="0" w:color="3D7FE0" w:themeColor="accent1"/>
            </w:tcBorders>
          </w:tcPr>
          <w:p w14:paraId="267FA72A" w14:textId="5DB99C1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16.6</w:t>
            </w:r>
          </w:p>
        </w:tc>
        <w:tc>
          <w:tcPr>
            <w:tcW w:w="874" w:type="dxa"/>
            <w:tcBorders>
              <w:top w:val="single" w:sz="2" w:space="0" w:color="3D7FE0" w:themeColor="accent1"/>
            </w:tcBorders>
          </w:tcPr>
          <w:p w14:paraId="7DFA5A55" w14:textId="6D89349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60.9</w:t>
            </w:r>
          </w:p>
        </w:tc>
        <w:tc>
          <w:tcPr>
            <w:tcW w:w="874" w:type="dxa"/>
            <w:tcBorders>
              <w:top w:val="single" w:sz="2" w:space="0" w:color="3D7FE0" w:themeColor="accent1"/>
            </w:tcBorders>
            <w:tcMar>
              <w:left w:w="0" w:type="dxa"/>
              <w:right w:w="0" w:type="dxa"/>
            </w:tcMar>
          </w:tcPr>
          <w:p w14:paraId="290D0F4B" w14:textId="43B2D5BA"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(9.5)</w:t>
            </w:r>
          </w:p>
        </w:tc>
        <w:tc>
          <w:tcPr>
            <w:tcW w:w="874" w:type="dxa"/>
            <w:tcBorders>
              <w:top w:val="single" w:sz="2" w:space="0" w:color="3D7FE0" w:themeColor="accent1"/>
            </w:tcBorders>
            <w:tcMar>
              <w:left w:w="0" w:type="dxa"/>
              <w:right w:w="0" w:type="dxa"/>
            </w:tcMar>
          </w:tcPr>
          <w:p w14:paraId="75106D62" w14:textId="3EBE10D2"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(7.7)</w:t>
            </w:r>
          </w:p>
        </w:tc>
        <w:tc>
          <w:tcPr>
            <w:tcW w:w="874" w:type="dxa"/>
            <w:tcBorders>
              <w:top w:val="single" w:sz="2" w:space="0" w:color="3D7FE0" w:themeColor="accent1"/>
            </w:tcBorders>
            <w:tcMar>
              <w:left w:w="0" w:type="dxa"/>
              <w:right w:w="0" w:type="dxa"/>
            </w:tcMar>
          </w:tcPr>
          <w:p w14:paraId="6ED4CA18" w14:textId="1C98105F"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20.3</w:t>
            </w:r>
          </w:p>
        </w:tc>
      </w:tr>
      <w:tr w:rsidR="009601CE" w:rsidRPr="00895810" w14:paraId="7B81ABEA" w14:textId="77777777" w:rsidTr="00D91739">
        <w:trPr>
          <w:trHeight w:hRule="exact" w:val="255"/>
        </w:trPr>
        <w:tc>
          <w:tcPr>
            <w:tcW w:w="4253" w:type="dxa"/>
            <w:tcMar>
              <w:left w:w="0" w:type="dxa"/>
              <w:right w:w="0" w:type="dxa"/>
            </w:tcMar>
            <w:vAlign w:val="bottom"/>
          </w:tcPr>
          <w:p w14:paraId="36D0ABF2" w14:textId="5DB3D998" w:rsidR="009601CE" w:rsidRPr="00895810" w:rsidRDefault="009601CE" w:rsidP="009601CE">
            <w:pPr>
              <w:pStyle w:val="TableFiguresBrackets"/>
              <w:jc w:val="left"/>
              <w:rPr>
                <w:rFonts w:ascii="IBM Plex Sans Light" w:hAnsi="IBM Plex Sans Light"/>
                <w:spacing w:val="-4"/>
                <w:sz w:val="18"/>
                <w:szCs w:val="18"/>
              </w:rPr>
            </w:pPr>
            <w:r w:rsidRPr="00895810">
              <w:rPr>
                <w:rFonts w:ascii="IBM Plex Sans Light" w:hAnsi="IBM Plex Sans Light"/>
                <w:spacing w:val="-4"/>
                <w:sz w:val="18"/>
                <w:szCs w:val="18"/>
              </w:rPr>
              <w:t>Finance income</w:t>
            </w:r>
          </w:p>
        </w:tc>
        <w:tc>
          <w:tcPr>
            <w:tcW w:w="425" w:type="dxa"/>
            <w:vAlign w:val="bottom"/>
          </w:tcPr>
          <w:p w14:paraId="7E614631"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873" w:type="dxa"/>
          </w:tcPr>
          <w:p w14:paraId="74CEB97D" w14:textId="34A66B8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0.4</w:t>
            </w:r>
          </w:p>
        </w:tc>
        <w:tc>
          <w:tcPr>
            <w:tcW w:w="874" w:type="dxa"/>
          </w:tcPr>
          <w:p w14:paraId="39AEDBA2" w14:textId="6F7740C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0.4</w:t>
            </w:r>
          </w:p>
        </w:tc>
        <w:tc>
          <w:tcPr>
            <w:tcW w:w="874" w:type="dxa"/>
          </w:tcPr>
          <w:p w14:paraId="042CACFF" w14:textId="10B8DC5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0.5</w:t>
            </w:r>
          </w:p>
        </w:tc>
        <w:tc>
          <w:tcPr>
            <w:tcW w:w="874" w:type="dxa"/>
            <w:tcMar>
              <w:left w:w="0" w:type="dxa"/>
              <w:right w:w="0" w:type="dxa"/>
            </w:tcMar>
          </w:tcPr>
          <w:p w14:paraId="40F56FA1" w14:textId="1EE8ADB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22C847C9" w14:textId="5F5C6E3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0.2</w:t>
            </w:r>
          </w:p>
        </w:tc>
        <w:tc>
          <w:tcPr>
            <w:tcW w:w="874" w:type="dxa"/>
            <w:tcMar>
              <w:left w:w="0" w:type="dxa"/>
              <w:right w:w="0" w:type="dxa"/>
            </w:tcMar>
          </w:tcPr>
          <w:p w14:paraId="7876AAC1" w14:textId="77FC102F"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0.7</w:t>
            </w:r>
          </w:p>
        </w:tc>
      </w:tr>
      <w:tr w:rsidR="009601CE" w:rsidRPr="00895810" w14:paraId="4F867722" w14:textId="77777777" w:rsidTr="00D91739">
        <w:trPr>
          <w:trHeight w:hRule="exact" w:val="255"/>
        </w:trPr>
        <w:tc>
          <w:tcPr>
            <w:tcW w:w="4253" w:type="dxa"/>
            <w:tcBorders>
              <w:bottom w:val="single" w:sz="2" w:space="0" w:color="3D7FE0" w:themeColor="accent1"/>
            </w:tcBorders>
            <w:tcMar>
              <w:left w:w="0" w:type="dxa"/>
              <w:right w:w="0" w:type="dxa"/>
            </w:tcMar>
            <w:vAlign w:val="bottom"/>
          </w:tcPr>
          <w:p w14:paraId="280C6E34" w14:textId="4635A46B"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Finance costs</w:t>
            </w:r>
          </w:p>
        </w:tc>
        <w:tc>
          <w:tcPr>
            <w:tcW w:w="425" w:type="dxa"/>
            <w:tcBorders>
              <w:bottom w:val="single" w:sz="2" w:space="0" w:color="3D7FE0" w:themeColor="accent1"/>
            </w:tcBorders>
            <w:vAlign w:val="bottom"/>
          </w:tcPr>
          <w:p w14:paraId="1584FC67" w14:textId="5777BFF8"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873" w:type="dxa"/>
            <w:tcBorders>
              <w:bottom w:val="single" w:sz="2" w:space="0" w:color="3D7FE0" w:themeColor="accent1"/>
            </w:tcBorders>
          </w:tcPr>
          <w:p w14:paraId="29D3BFD4" w14:textId="4CFDEBDD"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(0.4)</w:t>
            </w:r>
          </w:p>
        </w:tc>
        <w:tc>
          <w:tcPr>
            <w:tcW w:w="874" w:type="dxa"/>
            <w:tcBorders>
              <w:bottom w:val="single" w:sz="2" w:space="0" w:color="3D7FE0" w:themeColor="accent1"/>
            </w:tcBorders>
          </w:tcPr>
          <w:p w14:paraId="3B72FBA3" w14:textId="444E4CA2"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(0.7)</w:t>
            </w:r>
          </w:p>
        </w:tc>
        <w:tc>
          <w:tcPr>
            <w:tcW w:w="874" w:type="dxa"/>
            <w:tcBorders>
              <w:bottom w:val="single" w:sz="2" w:space="0" w:color="3D7FE0" w:themeColor="accent1"/>
            </w:tcBorders>
          </w:tcPr>
          <w:p w14:paraId="6BA74417" w14:textId="1C05D8B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Mar>
              <w:left w:w="0" w:type="dxa"/>
              <w:right w:w="0" w:type="dxa"/>
            </w:tcMar>
          </w:tcPr>
          <w:p w14:paraId="20848E37" w14:textId="275848F0"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Mar>
              <w:left w:w="0" w:type="dxa"/>
              <w:right w:w="0" w:type="dxa"/>
            </w:tcMar>
          </w:tcPr>
          <w:p w14:paraId="18509E76" w14:textId="00F2F236"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Mar>
              <w:left w:w="0" w:type="dxa"/>
              <w:right w:w="0" w:type="dxa"/>
            </w:tcMar>
          </w:tcPr>
          <w:p w14:paraId="78CC452B" w14:textId="0342BEFD"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(0.4)</w:t>
            </w:r>
          </w:p>
        </w:tc>
      </w:tr>
      <w:tr w:rsidR="009601CE" w:rsidRPr="00895810" w14:paraId="5B15ABD3" w14:textId="77777777" w:rsidTr="00B820BB">
        <w:trPr>
          <w:trHeight w:hRule="exact" w:val="255"/>
        </w:trPr>
        <w:tc>
          <w:tcPr>
            <w:tcW w:w="4253" w:type="dxa"/>
            <w:tcBorders>
              <w:top w:val="single" w:sz="2" w:space="0" w:color="3D7FE0" w:themeColor="accent1"/>
            </w:tcBorders>
            <w:tcMar>
              <w:left w:w="0" w:type="dxa"/>
              <w:right w:w="0" w:type="dxa"/>
            </w:tcMar>
            <w:vAlign w:val="bottom"/>
          </w:tcPr>
          <w:p w14:paraId="706F14EC" w14:textId="2DC3E449"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pacing w:val="-4"/>
                <w:sz w:val="18"/>
                <w:szCs w:val="18"/>
              </w:rPr>
              <w:t xml:space="preserve">Profit/(loss) before tax </w:t>
            </w:r>
          </w:p>
        </w:tc>
        <w:tc>
          <w:tcPr>
            <w:tcW w:w="425" w:type="dxa"/>
            <w:tcBorders>
              <w:top w:val="single" w:sz="2" w:space="0" w:color="3D7FE0" w:themeColor="accent1"/>
            </w:tcBorders>
            <w:vAlign w:val="bottom"/>
          </w:tcPr>
          <w:p w14:paraId="6657418C" w14:textId="4CABA894"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p>
        </w:tc>
        <w:tc>
          <w:tcPr>
            <w:tcW w:w="873" w:type="dxa"/>
            <w:tcBorders>
              <w:top w:val="single" w:sz="2" w:space="0" w:color="3D7FE0" w:themeColor="accent1"/>
            </w:tcBorders>
          </w:tcPr>
          <w:p w14:paraId="3C7A8794" w14:textId="0ADECA6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14.4</w:t>
            </w:r>
          </w:p>
        </w:tc>
        <w:tc>
          <w:tcPr>
            <w:tcW w:w="874" w:type="dxa"/>
            <w:tcBorders>
              <w:top w:val="single" w:sz="2" w:space="0" w:color="3D7FE0" w:themeColor="accent1"/>
            </w:tcBorders>
          </w:tcPr>
          <w:p w14:paraId="43B00BF0" w14:textId="2007AC4F"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16.3</w:t>
            </w:r>
          </w:p>
        </w:tc>
        <w:tc>
          <w:tcPr>
            <w:tcW w:w="874" w:type="dxa"/>
            <w:tcBorders>
              <w:top w:val="single" w:sz="2" w:space="0" w:color="3D7FE0" w:themeColor="accent1"/>
            </w:tcBorders>
          </w:tcPr>
          <w:p w14:paraId="083CEC18" w14:textId="32A59A52"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61.4</w:t>
            </w:r>
          </w:p>
        </w:tc>
        <w:tc>
          <w:tcPr>
            <w:tcW w:w="874" w:type="dxa"/>
            <w:tcBorders>
              <w:top w:val="single" w:sz="2" w:space="0" w:color="3D7FE0" w:themeColor="accent1"/>
            </w:tcBorders>
            <w:tcMar>
              <w:left w:w="0" w:type="dxa"/>
              <w:right w:w="0" w:type="dxa"/>
            </w:tcMar>
          </w:tcPr>
          <w:p w14:paraId="61A1149A" w14:textId="161E19CA"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(9.6)</w:t>
            </w:r>
          </w:p>
        </w:tc>
        <w:tc>
          <w:tcPr>
            <w:tcW w:w="874" w:type="dxa"/>
            <w:tcBorders>
              <w:top w:val="single" w:sz="2" w:space="0" w:color="3D7FE0" w:themeColor="accent1"/>
            </w:tcBorders>
            <w:tcMar>
              <w:left w:w="0" w:type="dxa"/>
              <w:right w:w="0" w:type="dxa"/>
            </w:tcMar>
          </w:tcPr>
          <w:p w14:paraId="7BA03D65" w14:textId="1BD004FB"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(7.5)</w:t>
            </w:r>
          </w:p>
        </w:tc>
        <w:tc>
          <w:tcPr>
            <w:tcW w:w="874" w:type="dxa"/>
            <w:tcBorders>
              <w:top w:val="single" w:sz="2" w:space="0" w:color="3D7FE0" w:themeColor="accent1"/>
            </w:tcBorders>
            <w:tcMar>
              <w:left w:w="0" w:type="dxa"/>
              <w:right w:w="0" w:type="dxa"/>
            </w:tcMar>
          </w:tcPr>
          <w:p w14:paraId="01F625D2" w14:textId="165BE1E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20.6</w:t>
            </w:r>
          </w:p>
        </w:tc>
      </w:tr>
      <w:tr w:rsidR="009601CE" w:rsidRPr="00895810" w14:paraId="24662A2C" w14:textId="77777777" w:rsidTr="00B820BB">
        <w:trPr>
          <w:trHeight w:hRule="exact" w:val="255"/>
        </w:trPr>
        <w:tc>
          <w:tcPr>
            <w:tcW w:w="4253" w:type="dxa"/>
            <w:tcBorders>
              <w:bottom w:val="single" w:sz="2" w:space="0" w:color="3D7FE0" w:themeColor="accent1"/>
            </w:tcBorders>
            <w:tcMar>
              <w:left w:w="0" w:type="dxa"/>
              <w:right w:w="0" w:type="dxa"/>
            </w:tcMar>
            <w:vAlign w:val="bottom"/>
          </w:tcPr>
          <w:p w14:paraId="694AD652" w14:textId="77777777" w:rsidR="009601CE" w:rsidRPr="00895810" w:rsidRDefault="009601CE" w:rsidP="009601CE">
            <w:pPr>
              <w:pStyle w:val="TableFiguresBrackets"/>
              <w:jc w:val="left"/>
              <w:rPr>
                <w:rFonts w:ascii="IBM Plex Sans Light" w:hAnsi="IBM Plex Sans Light"/>
                <w:bCs/>
                <w:color w:val="auto"/>
                <w:spacing w:val="-4"/>
                <w:sz w:val="18"/>
                <w:szCs w:val="18"/>
              </w:rPr>
            </w:pPr>
            <w:r w:rsidRPr="00895810">
              <w:rPr>
                <w:rFonts w:ascii="IBM Plex Sans Light" w:hAnsi="IBM Plex Sans Light"/>
                <w:spacing w:val="-4"/>
                <w:sz w:val="18"/>
                <w:szCs w:val="18"/>
              </w:rPr>
              <w:t>Tax charge</w:t>
            </w:r>
          </w:p>
        </w:tc>
        <w:tc>
          <w:tcPr>
            <w:tcW w:w="425" w:type="dxa"/>
            <w:tcBorders>
              <w:bottom w:val="single" w:sz="2" w:space="0" w:color="3D7FE0" w:themeColor="accent1"/>
            </w:tcBorders>
            <w:vAlign w:val="bottom"/>
          </w:tcPr>
          <w:p w14:paraId="4AB72924" w14:textId="7046DAF5" w:rsidR="009601CE" w:rsidRPr="00895810" w:rsidRDefault="009601CE" w:rsidP="009601CE">
            <w:pPr>
              <w:pStyle w:val="TableFiguresBrackets"/>
              <w:jc w:val="left"/>
              <w:rPr>
                <w:rFonts w:ascii="IBM Plex Sans Light" w:hAnsi="IBM Plex Sans Light"/>
                <w:bCs/>
                <w:color w:val="auto"/>
                <w:spacing w:val="-4"/>
                <w:sz w:val="18"/>
                <w:szCs w:val="18"/>
              </w:rPr>
            </w:pPr>
          </w:p>
        </w:tc>
        <w:tc>
          <w:tcPr>
            <w:tcW w:w="873" w:type="dxa"/>
            <w:tcBorders>
              <w:bottom w:val="single" w:sz="2" w:space="0" w:color="3D7FE0" w:themeColor="accent1"/>
            </w:tcBorders>
          </w:tcPr>
          <w:p w14:paraId="6FB22484" w14:textId="616A12D6"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Pr>
          <w:p w14:paraId="202FBF03" w14:textId="3D61882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Pr>
          <w:p w14:paraId="62BF8EA9" w14:textId="5DF6D69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Mar>
              <w:left w:w="0" w:type="dxa"/>
              <w:right w:w="0" w:type="dxa"/>
            </w:tcMar>
          </w:tcPr>
          <w:p w14:paraId="69D0C88D" w14:textId="619240D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Mar>
              <w:left w:w="0" w:type="dxa"/>
              <w:right w:w="0" w:type="dxa"/>
            </w:tcMar>
          </w:tcPr>
          <w:p w14:paraId="09AABD4A" w14:textId="42CF720B"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74" w:type="dxa"/>
            <w:tcBorders>
              <w:bottom w:val="single" w:sz="2" w:space="0" w:color="3D7FE0" w:themeColor="accent1"/>
            </w:tcBorders>
            <w:tcMar>
              <w:left w:w="0" w:type="dxa"/>
              <w:right w:w="0" w:type="dxa"/>
            </w:tcMar>
          </w:tcPr>
          <w:p w14:paraId="762C8138" w14:textId="2B56F15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r>
      <w:tr w:rsidR="009601CE" w:rsidRPr="00895810" w14:paraId="312921E5" w14:textId="77777777" w:rsidTr="00B820BB">
        <w:trPr>
          <w:trHeight w:hRule="exact" w:val="255"/>
        </w:trPr>
        <w:tc>
          <w:tcPr>
            <w:tcW w:w="4253" w:type="dxa"/>
            <w:tcBorders>
              <w:top w:val="single" w:sz="2" w:space="0" w:color="3D7FE0" w:themeColor="accent1"/>
            </w:tcBorders>
            <w:tcMar>
              <w:left w:w="0" w:type="dxa"/>
              <w:right w:w="0" w:type="dxa"/>
            </w:tcMar>
            <w:vAlign w:val="bottom"/>
          </w:tcPr>
          <w:p w14:paraId="0F5AD413" w14:textId="46CAEDE3" w:rsidR="009601CE" w:rsidRPr="00895810" w:rsidRDefault="009601CE" w:rsidP="009601CE">
            <w:pPr>
              <w:pStyle w:val="TableFiguresBrackets"/>
              <w:jc w:val="left"/>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 xml:space="preserve">Profit/(loss) for the year </w:t>
            </w:r>
          </w:p>
        </w:tc>
        <w:tc>
          <w:tcPr>
            <w:tcW w:w="425" w:type="dxa"/>
            <w:tcBorders>
              <w:top w:val="single" w:sz="2" w:space="0" w:color="3D7FE0" w:themeColor="accent1"/>
            </w:tcBorders>
            <w:vAlign w:val="bottom"/>
          </w:tcPr>
          <w:p w14:paraId="4A3241B7" w14:textId="4F1845AD" w:rsidR="009601CE" w:rsidRPr="009601CE" w:rsidRDefault="009601CE" w:rsidP="009601CE">
            <w:pPr>
              <w:pStyle w:val="TableFiguresBrackets"/>
              <w:ind w:right="0"/>
              <w:jc w:val="left"/>
              <w:rPr>
                <w:rFonts w:ascii="IBM Plex Sans Light" w:hAnsi="IBM Plex Sans Light" w:cs="MyriadPro-Light"/>
                <w:color w:val="auto"/>
                <w:spacing w:val="-4"/>
                <w:szCs w:val="16"/>
              </w:rPr>
            </w:pPr>
            <w:r w:rsidRPr="009601CE">
              <w:rPr>
                <w:rFonts w:ascii="IBM Plex Sans Light" w:hAnsi="IBM Plex Sans Light" w:cs="MyriadPro-Light"/>
                <w:color w:val="auto"/>
                <w:spacing w:val="-4"/>
                <w:szCs w:val="16"/>
              </w:rPr>
              <w:t>a</w:t>
            </w:r>
          </w:p>
        </w:tc>
        <w:tc>
          <w:tcPr>
            <w:tcW w:w="873" w:type="dxa"/>
            <w:tcBorders>
              <w:top w:val="single" w:sz="2" w:space="0" w:color="3D7FE0" w:themeColor="accent1"/>
            </w:tcBorders>
          </w:tcPr>
          <w:p w14:paraId="050FE68C" w14:textId="61B186B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14.4</w:t>
            </w:r>
          </w:p>
        </w:tc>
        <w:tc>
          <w:tcPr>
            <w:tcW w:w="874" w:type="dxa"/>
            <w:tcBorders>
              <w:top w:val="single" w:sz="2" w:space="0" w:color="3D7FE0" w:themeColor="accent1"/>
            </w:tcBorders>
          </w:tcPr>
          <w:p w14:paraId="4E0C2CE6" w14:textId="728A74B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16.3</w:t>
            </w:r>
          </w:p>
        </w:tc>
        <w:tc>
          <w:tcPr>
            <w:tcW w:w="874" w:type="dxa"/>
            <w:tcBorders>
              <w:top w:val="single" w:sz="2" w:space="0" w:color="3D7FE0" w:themeColor="accent1"/>
            </w:tcBorders>
          </w:tcPr>
          <w:p w14:paraId="44235B8E" w14:textId="4174FB7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61.4</w:t>
            </w:r>
          </w:p>
        </w:tc>
        <w:tc>
          <w:tcPr>
            <w:tcW w:w="874" w:type="dxa"/>
            <w:tcBorders>
              <w:top w:val="single" w:sz="2" w:space="0" w:color="3D7FE0" w:themeColor="accent1"/>
            </w:tcBorders>
            <w:tcMar>
              <w:left w:w="0" w:type="dxa"/>
              <w:right w:w="0" w:type="dxa"/>
            </w:tcMar>
          </w:tcPr>
          <w:p w14:paraId="1B7C34EC" w14:textId="3FE080F7"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(9.6)</w:t>
            </w:r>
          </w:p>
        </w:tc>
        <w:tc>
          <w:tcPr>
            <w:tcW w:w="874" w:type="dxa"/>
            <w:tcBorders>
              <w:top w:val="single" w:sz="2" w:space="0" w:color="3D7FE0" w:themeColor="accent1"/>
            </w:tcBorders>
            <w:tcMar>
              <w:left w:w="0" w:type="dxa"/>
              <w:right w:w="0" w:type="dxa"/>
            </w:tcMar>
          </w:tcPr>
          <w:p w14:paraId="07070F84" w14:textId="22C0510F"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(7.6)</w:t>
            </w:r>
          </w:p>
        </w:tc>
        <w:tc>
          <w:tcPr>
            <w:tcW w:w="874" w:type="dxa"/>
            <w:tcBorders>
              <w:top w:val="single" w:sz="2" w:space="0" w:color="3D7FE0" w:themeColor="accent1"/>
            </w:tcBorders>
            <w:tcMar>
              <w:left w:w="0" w:type="dxa"/>
              <w:right w:w="0" w:type="dxa"/>
            </w:tcMar>
          </w:tcPr>
          <w:p w14:paraId="34EADCE6" w14:textId="46F2714F"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20.6</w:t>
            </w:r>
          </w:p>
        </w:tc>
      </w:tr>
      <w:tr w:rsidR="009601CE" w:rsidRPr="00895810" w14:paraId="69EBBEDA" w14:textId="77777777" w:rsidTr="00D91739">
        <w:trPr>
          <w:trHeight w:hRule="exact" w:val="283"/>
        </w:trPr>
        <w:tc>
          <w:tcPr>
            <w:tcW w:w="4253" w:type="dxa"/>
            <w:tcBorders>
              <w:top w:val="single" w:sz="8" w:space="0" w:color="3D7FE0" w:themeColor="accent1"/>
              <w:bottom w:val="single" w:sz="8" w:space="0" w:color="3D7FE0" w:themeColor="accent1"/>
            </w:tcBorders>
            <w:tcMar>
              <w:left w:w="0" w:type="dxa"/>
              <w:right w:w="0" w:type="dxa"/>
            </w:tcMar>
            <w:vAlign w:val="bottom"/>
          </w:tcPr>
          <w:p w14:paraId="0B435375" w14:textId="518CBD8E" w:rsidR="009601CE" w:rsidRPr="00895810" w:rsidRDefault="009601CE" w:rsidP="009601CE">
            <w:pPr>
              <w:pStyle w:val="TableFiguresBrackets"/>
              <w:jc w:val="left"/>
              <w:rPr>
                <w:rFonts w:ascii="IBM Plex Sans Light" w:hAnsi="IBM Plex Sans Light"/>
                <w:b/>
                <w:color w:val="3D7FE0" w:themeColor="accent1"/>
                <w:sz w:val="18"/>
                <w:szCs w:val="18"/>
              </w:rPr>
            </w:pPr>
            <w:r w:rsidRPr="00895810">
              <w:rPr>
                <w:rFonts w:ascii="IBM Plex Sans Light" w:hAnsi="IBM Plex Sans Light"/>
                <w:b/>
                <w:color w:val="3D7FE0" w:themeColor="accent1"/>
                <w:sz w:val="18"/>
                <w:szCs w:val="18"/>
              </w:rPr>
              <w:t xml:space="preserve">Share of distributions received by the Group </w:t>
            </w:r>
          </w:p>
        </w:tc>
        <w:tc>
          <w:tcPr>
            <w:tcW w:w="425" w:type="dxa"/>
            <w:tcBorders>
              <w:top w:val="single" w:sz="8" w:space="0" w:color="3D7FE0" w:themeColor="accent1"/>
              <w:bottom w:val="single" w:sz="8" w:space="0" w:color="3D7FE0" w:themeColor="accent1"/>
            </w:tcBorders>
            <w:vAlign w:val="bottom"/>
          </w:tcPr>
          <w:p w14:paraId="30E55B1D" w14:textId="77777777"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p>
        </w:tc>
        <w:tc>
          <w:tcPr>
            <w:tcW w:w="873" w:type="dxa"/>
            <w:tcBorders>
              <w:top w:val="single" w:sz="8" w:space="0" w:color="3D7FE0" w:themeColor="accent1"/>
              <w:bottom w:val="single" w:sz="8" w:space="0" w:color="3D7FE0" w:themeColor="accent1"/>
            </w:tcBorders>
          </w:tcPr>
          <w:p w14:paraId="69E5366F" w14:textId="44ADA1C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9.8</w:t>
            </w:r>
          </w:p>
        </w:tc>
        <w:tc>
          <w:tcPr>
            <w:tcW w:w="874" w:type="dxa"/>
            <w:tcBorders>
              <w:top w:val="single" w:sz="8" w:space="0" w:color="3D7FE0" w:themeColor="accent1"/>
              <w:bottom w:val="single" w:sz="8" w:space="0" w:color="3D7FE0" w:themeColor="accent1"/>
            </w:tcBorders>
          </w:tcPr>
          <w:p w14:paraId="1966246E" w14:textId="5424E3D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7.5</w:t>
            </w:r>
          </w:p>
        </w:tc>
        <w:tc>
          <w:tcPr>
            <w:tcW w:w="874" w:type="dxa"/>
            <w:tcBorders>
              <w:top w:val="single" w:sz="8" w:space="0" w:color="3D7FE0" w:themeColor="accent1"/>
              <w:bottom w:val="single" w:sz="8" w:space="0" w:color="3D7FE0" w:themeColor="accent1"/>
            </w:tcBorders>
          </w:tcPr>
          <w:p w14:paraId="7E905D35" w14:textId="5DF1BAC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10.0</w:t>
            </w:r>
          </w:p>
        </w:tc>
        <w:tc>
          <w:tcPr>
            <w:tcW w:w="874" w:type="dxa"/>
            <w:tcBorders>
              <w:top w:val="single" w:sz="8" w:space="0" w:color="3D7FE0" w:themeColor="accent1"/>
              <w:bottom w:val="single" w:sz="8" w:space="0" w:color="3D7FE0" w:themeColor="accent1"/>
            </w:tcBorders>
            <w:tcMar>
              <w:left w:w="0" w:type="dxa"/>
              <w:right w:w="0" w:type="dxa"/>
            </w:tcMar>
          </w:tcPr>
          <w:p w14:paraId="0354C4E0" w14:textId="1D96CD9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14.9</w:t>
            </w:r>
          </w:p>
        </w:tc>
        <w:tc>
          <w:tcPr>
            <w:tcW w:w="874" w:type="dxa"/>
            <w:tcBorders>
              <w:top w:val="single" w:sz="8" w:space="0" w:color="3D7FE0" w:themeColor="accent1"/>
              <w:bottom w:val="single" w:sz="8" w:space="0" w:color="3D7FE0" w:themeColor="accent1"/>
            </w:tcBorders>
            <w:tcMar>
              <w:left w:w="0" w:type="dxa"/>
              <w:right w:w="0" w:type="dxa"/>
            </w:tcMar>
          </w:tcPr>
          <w:p w14:paraId="66117A59" w14:textId="3D59F245"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2.0</w:t>
            </w:r>
          </w:p>
        </w:tc>
        <w:tc>
          <w:tcPr>
            <w:tcW w:w="874" w:type="dxa"/>
            <w:tcBorders>
              <w:top w:val="single" w:sz="8" w:space="0" w:color="3D7FE0" w:themeColor="accent1"/>
              <w:bottom w:val="single" w:sz="8" w:space="0" w:color="3D7FE0" w:themeColor="accent1"/>
            </w:tcBorders>
            <w:tcMar>
              <w:left w:w="0" w:type="dxa"/>
              <w:right w:w="0" w:type="dxa"/>
            </w:tcMar>
          </w:tcPr>
          <w:p w14:paraId="478F9248" w14:textId="3EB027C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r>
    </w:tbl>
    <w:p w14:paraId="513B9A26" w14:textId="218BA82A" w:rsidR="00D94DE9" w:rsidRPr="00895810" w:rsidRDefault="00E92196">
      <w:pPr>
        <w:spacing w:after="0" w:line="240" w:lineRule="auto"/>
        <w:rPr>
          <w:rFonts w:ascii="IBM Plex Sans Light" w:hAnsi="IBM Plex Sans Light"/>
          <w:sz w:val="14"/>
          <w:szCs w:val="20"/>
        </w:rPr>
      </w:pPr>
      <w:r w:rsidRPr="00895810">
        <w:rPr>
          <w:rFonts w:ascii="IBM Plex Sans Light" w:hAnsi="IBM Plex Sans Light"/>
          <w:sz w:val="14"/>
          <w:szCs w:val="20"/>
        </w:rPr>
        <w:t xml:space="preserve"> </w:t>
      </w:r>
    </w:p>
    <w:p w14:paraId="0BF404A0" w14:textId="2F5FD4E8" w:rsidR="00CD4ABD" w:rsidRPr="00895810" w:rsidRDefault="00410997" w:rsidP="00410997">
      <w:pPr>
        <w:pStyle w:val="Heading2SpaceBefore"/>
        <w:tabs>
          <w:tab w:val="clear" w:pos="340"/>
          <w:tab w:val="left" w:pos="284"/>
        </w:tabs>
        <w:spacing w:before="0"/>
        <w:rPr>
          <w:rFonts w:ascii="IBM Plex Sans Light" w:hAnsi="IBM Plex Sans Light"/>
          <w:color w:val="3D7FE0" w:themeColor="accent1"/>
        </w:rPr>
      </w:pPr>
      <w:r w:rsidRPr="00895810">
        <w:rPr>
          <w:rFonts w:ascii="IBM Plex Sans Light" w:hAnsi="IBM Plex Sans Light"/>
          <w:color w:val="3D7FE0" w:themeColor="accent1"/>
        </w:rPr>
        <w:t xml:space="preserve">C.   </w:t>
      </w:r>
      <w:r w:rsidR="005F6D26" w:rsidRPr="00895810">
        <w:rPr>
          <w:rFonts w:ascii="IBM Plex Sans Light" w:hAnsi="IBM Plex Sans Light"/>
          <w:color w:val="3D7FE0" w:themeColor="accent1"/>
        </w:rPr>
        <w:t>ASSETS AND LIABILITIES</w:t>
      </w:r>
    </w:p>
    <w:tbl>
      <w:tblPr>
        <w:tblW w:w="9921" w:type="dxa"/>
        <w:tblLayout w:type="fixed"/>
        <w:tblLook w:val="01E0" w:firstRow="1" w:lastRow="1" w:firstColumn="1" w:lastColumn="1" w:noHBand="0" w:noVBand="0"/>
      </w:tblPr>
      <w:tblGrid>
        <w:gridCol w:w="4253"/>
        <w:gridCol w:w="425"/>
        <w:gridCol w:w="873"/>
        <w:gridCol w:w="874"/>
        <w:gridCol w:w="874"/>
        <w:gridCol w:w="874"/>
        <w:gridCol w:w="874"/>
        <w:gridCol w:w="874"/>
      </w:tblGrid>
      <w:tr w:rsidR="009342BD" w:rsidRPr="00895810" w14:paraId="379B3CAB" w14:textId="77777777" w:rsidTr="00D91739">
        <w:trPr>
          <w:trHeight w:hRule="exact" w:val="170"/>
        </w:trPr>
        <w:tc>
          <w:tcPr>
            <w:tcW w:w="4253" w:type="dxa"/>
            <w:tcBorders>
              <w:bottom w:val="single" w:sz="4" w:space="0" w:color="3D7FE0" w:themeColor="accent1"/>
            </w:tcBorders>
            <w:tcMar>
              <w:left w:w="0" w:type="dxa"/>
              <w:bottom w:w="57" w:type="dxa"/>
              <w:right w:w="0" w:type="dxa"/>
            </w:tcMar>
            <w:vAlign w:val="bottom"/>
          </w:tcPr>
          <w:p w14:paraId="1A243D70" w14:textId="77777777" w:rsidR="009342BD" w:rsidRPr="00895810" w:rsidRDefault="009342BD" w:rsidP="00D91739">
            <w:pPr>
              <w:pStyle w:val="TableColHeadsBold"/>
              <w:spacing w:line="240" w:lineRule="auto"/>
              <w:ind w:right="0"/>
              <w:rPr>
                <w:rFonts w:ascii="IBM Plex Sans Light" w:hAnsi="IBM Plex Sans Light"/>
                <w:color w:val="3D7FE0" w:themeColor="accent1"/>
              </w:rPr>
            </w:pPr>
          </w:p>
        </w:tc>
        <w:tc>
          <w:tcPr>
            <w:tcW w:w="425" w:type="dxa"/>
            <w:tcBorders>
              <w:bottom w:val="single" w:sz="4" w:space="0" w:color="3D7FE0" w:themeColor="accent1"/>
            </w:tcBorders>
            <w:vAlign w:val="bottom"/>
          </w:tcPr>
          <w:p w14:paraId="39485ABE" w14:textId="60B1A56D" w:rsidR="009342BD" w:rsidRPr="00895810" w:rsidRDefault="009342BD" w:rsidP="00D91739">
            <w:pPr>
              <w:pStyle w:val="TableColHeadsBold"/>
              <w:spacing w:line="240" w:lineRule="auto"/>
              <w:ind w:right="0"/>
              <w:rPr>
                <w:rFonts w:ascii="IBM Plex Sans Light" w:hAnsi="IBM Plex Sans Light"/>
                <w:color w:val="3D7FE0" w:themeColor="accent1"/>
                <w:sz w:val="16"/>
                <w:szCs w:val="16"/>
              </w:rPr>
            </w:pPr>
          </w:p>
        </w:tc>
        <w:tc>
          <w:tcPr>
            <w:tcW w:w="873" w:type="dxa"/>
            <w:tcBorders>
              <w:bottom w:val="single" w:sz="4" w:space="0" w:color="3D7FE0" w:themeColor="accent1"/>
            </w:tcBorders>
            <w:vAlign w:val="bottom"/>
          </w:tcPr>
          <w:p w14:paraId="27CDFA99" w14:textId="77777777" w:rsidR="009342BD" w:rsidRPr="00895810" w:rsidRDefault="009342BD" w:rsidP="00D91739">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vAlign w:val="bottom"/>
          </w:tcPr>
          <w:p w14:paraId="241395AD" w14:textId="77777777" w:rsidR="009342BD" w:rsidRPr="00895810" w:rsidRDefault="009342BD" w:rsidP="00D91739">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vAlign w:val="bottom"/>
          </w:tcPr>
          <w:p w14:paraId="1E61DC60" w14:textId="77777777" w:rsidR="009342BD" w:rsidRPr="00895810" w:rsidRDefault="009342BD" w:rsidP="00D91739">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vAlign w:val="bottom"/>
          </w:tcPr>
          <w:p w14:paraId="2B501024" w14:textId="77777777" w:rsidR="009342BD" w:rsidRPr="00895810" w:rsidRDefault="009342BD" w:rsidP="00D91739">
            <w:pPr>
              <w:pStyle w:val="TableColHeadsBold"/>
              <w:spacing w:line="240" w:lineRule="auto"/>
              <w:ind w:right="0"/>
              <w:rPr>
                <w:rFonts w:ascii="IBM Plex Sans Light" w:hAnsi="IBM Plex Sans Light"/>
                <w:color w:val="3D7FE0" w:themeColor="accent1"/>
              </w:rPr>
            </w:pPr>
          </w:p>
        </w:tc>
        <w:tc>
          <w:tcPr>
            <w:tcW w:w="874" w:type="dxa"/>
            <w:tcBorders>
              <w:bottom w:val="single" w:sz="4" w:space="0" w:color="3D7FE0" w:themeColor="accent1"/>
            </w:tcBorders>
            <w:tcMar>
              <w:left w:w="0" w:type="dxa"/>
              <w:bottom w:w="57" w:type="dxa"/>
              <w:right w:w="0" w:type="dxa"/>
            </w:tcMar>
            <w:vAlign w:val="bottom"/>
          </w:tcPr>
          <w:p w14:paraId="3987F092" w14:textId="77777777" w:rsidR="009342BD" w:rsidRPr="00895810" w:rsidRDefault="009342BD" w:rsidP="00D91739">
            <w:pPr>
              <w:pStyle w:val="TableColHeadsBold"/>
              <w:spacing w:line="240" w:lineRule="auto"/>
              <w:rPr>
                <w:rFonts w:ascii="IBM Plex Sans Light" w:hAnsi="IBM Plex Sans Light"/>
                <w:b w:val="0"/>
              </w:rPr>
            </w:pPr>
          </w:p>
        </w:tc>
        <w:tc>
          <w:tcPr>
            <w:tcW w:w="874" w:type="dxa"/>
            <w:tcBorders>
              <w:bottom w:val="single" w:sz="4" w:space="0" w:color="3D7FE0" w:themeColor="accent1"/>
            </w:tcBorders>
            <w:vAlign w:val="bottom"/>
          </w:tcPr>
          <w:p w14:paraId="2F24F36C" w14:textId="02979387" w:rsidR="009342BD" w:rsidRPr="00895810" w:rsidRDefault="00785AC2" w:rsidP="00D91739">
            <w:pPr>
              <w:pStyle w:val="TableColHeadsBold"/>
              <w:spacing w:line="240" w:lineRule="auto"/>
              <w:ind w:left="-106" w:right="0"/>
              <w:rPr>
                <w:rFonts w:ascii="IBM Plex Sans Light" w:hAnsi="IBM Plex Sans Light"/>
                <w:b w:val="0"/>
              </w:rPr>
            </w:pPr>
            <w:r>
              <w:rPr>
                <w:rFonts w:ascii="IBM Plex Sans Light" w:hAnsi="IBM Plex Sans Light"/>
                <w:color w:val="3D7FE0" w:themeColor="accent1"/>
              </w:rPr>
              <w:t>2023</w:t>
            </w:r>
          </w:p>
        </w:tc>
      </w:tr>
      <w:tr w:rsidR="00F65ED1" w:rsidRPr="00895810" w14:paraId="2016F134" w14:textId="77777777" w:rsidTr="00D91739">
        <w:trPr>
          <w:trHeight w:hRule="exact" w:val="142"/>
        </w:trPr>
        <w:tc>
          <w:tcPr>
            <w:tcW w:w="4253" w:type="dxa"/>
            <w:tcBorders>
              <w:top w:val="single" w:sz="4" w:space="0" w:color="3D7FE0" w:themeColor="accent1"/>
            </w:tcBorders>
            <w:tcMar>
              <w:left w:w="0" w:type="dxa"/>
              <w:bottom w:w="57" w:type="dxa"/>
              <w:right w:w="0" w:type="dxa"/>
            </w:tcMar>
            <w:vAlign w:val="bottom"/>
          </w:tcPr>
          <w:p w14:paraId="569323DE" w14:textId="77777777" w:rsidR="00F65ED1" w:rsidRPr="00895810" w:rsidRDefault="00F65ED1" w:rsidP="003F2C4C">
            <w:pPr>
              <w:pStyle w:val="TableColHeadsBold"/>
              <w:ind w:right="0"/>
              <w:rPr>
                <w:rFonts w:ascii="IBM Plex Sans Light" w:hAnsi="IBM Plex Sans Light"/>
                <w:color w:val="3D7FE0" w:themeColor="accent1"/>
              </w:rPr>
            </w:pPr>
          </w:p>
        </w:tc>
        <w:tc>
          <w:tcPr>
            <w:tcW w:w="425" w:type="dxa"/>
            <w:tcBorders>
              <w:top w:val="single" w:sz="4" w:space="0" w:color="3D7FE0" w:themeColor="accent1"/>
            </w:tcBorders>
            <w:vAlign w:val="bottom"/>
          </w:tcPr>
          <w:p w14:paraId="65D3E7C5" w14:textId="77777777" w:rsidR="00F65ED1" w:rsidRPr="00895810" w:rsidRDefault="00F65ED1" w:rsidP="003F2C4C">
            <w:pPr>
              <w:pStyle w:val="TableColHeadsBold"/>
              <w:ind w:right="0"/>
              <w:rPr>
                <w:rFonts w:ascii="IBM Plex Sans Light" w:hAnsi="IBM Plex Sans Light"/>
                <w:color w:val="3D7FE0" w:themeColor="accent1"/>
                <w:sz w:val="16"/>
                <w:szCs w:val="16"/>
              </w:rPr>
            </w:pPr>
          </w:p>
        </w:tc>
        <w:tc>
          <w:tcPr>
            <w:tcW w:w="873" w:type="dxa"/>
            <w:tcBorders>
              <w:top w:val="single" w:sz="4" w:space="0" w:color="3D7FE0" w:themeColor="accent1"/>
              <w:bottom w:val="single" w:sz="4" w:space="0" w:color="3D7FE0" w:themeColor="accent1"/>
            </w:tcBorders>
            <w:vAlign w:val="bottom"/>
          </w:tcPr>
          <w:p w14:paraId="0D6F4E88" w14:textId="77777777" w:rsidR="00F65ED1" w:rsidRPr="00895810" w:rsidRDefault="00F65ED1" w:rsidP="003F2C4C">
            <w:pPr>
              <w:pStyle w:val="TableColHeadsBold"/>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02246258" w14:textId="77777777" w:rsidR="00F65ED1" w:rsidRPr="00895810" w:rsidRDefault="00F65ED1" w:rsidP="003F2C4C">
            <w:pPr>
              <w:pStyle w:val="TableColHeadsBold"/>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48DD8084" w14:textId="77777777" w:rsidR="00F65ED1" w:rsidRPr="00895810" w:rsidRDefault="00F65ED1" w:rsidP="003F2C4C">
            <w:pPr>
              <w:pStyle w:val="TableColHeadsBold"/>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74982AC8" w14:textId="77777777" w:rsidR="00F65ED1" w:rsidRPr="00895810" w:rsidRDefault="00F65ED1" w:rsidP="003F2C4C">
            <w:pPr>
              <w:pStyle w:val="TableColHeadsBold"/>
              <w:ind w:right="0"/>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tcMar>
              <w:left w:w="0" w:type="dxa"/>
              <w:bottom w:w="57" w:type="dxa"/>
              <w:right w:w="0" w:type="dxa"/>
            </w:tcMar>
            <w:vAlign w:val="bottom"/>
          </w:tcPr>
          <w:p w14:paraId="0CAE41E8" w14:textId="77777777" w:rsidR="00F65ED1" w:rsidRPr="00895810" w:rsidRDefault="00F65ED1" w:rsidP="003F2C4C">
            <w:pPr>
              <w:pStyle w:val="TableColHeadsBold"/>
              <w:rPr>
                <w:rFonts w:ascii="IBM Plex Sans Light" w:hAnsi="IBM Plex Sans Light"/>
                <w:color w:val="3D7FE0" w:themeColor="accent1"/>
              </w:rPr>
            </w:pPr>
          </w:p>
        </w:tc>
        <w:tc>
          <w:tcPr>
            <w:tcW w:w="874" w:type="dxa"/>
            <w:tcBorders>
              <w:top w:val="single" w:sz="4" w:space="0" w:color="3D7FE0" w:themeColor="accent1"/>
              <w:bottom w:val="single" w:sz="4" w:space="0" w:color="3D7FE0" w:themeColor="accent1"/>
            </w:tcBorders>
            <w:vAlign w:val="bottom"/>
          </w:tcPr>
          <w:p w14:paraId="14230F84" w14:textId="4DB9A0BD" w:rsidR="00F65ED1" w:rsidRPr="00895810" w:rsidRDefault="00F65ED1" w:rsidP="00F65ED1">
            <w:pPr>
              <w:pStyle w:val="TableColHeadsBold"/>
              <w:ind w:left="-106" w:right="0"/>
              <w:rPr>
                <w:rFonts w:ascii="IBM Plex Sans Light" w:hAnsi="IBM Plex Sans Light"/>
                <w:color w:val="3D7FE0" w:themeColor="accent1"/>
              </w:rPr>
            </w:pPr>
            <w:r w:rsidRPr="00895810">
              <w:rPr>
                <w:rFonts w:ascii="IBM Plex Sans Light" w:hAnsi="IBM Plex Sans Light"/>
                <w:color w:val="3D7FE0" w:themeColor="accent1"/>
              </w:rPr>
              <w:t>100% share</w:t>
            </w:r>
          </w:p>
        </w:tc>
      </w:tr>
      <w:tr w:rsidR="007C695C" w:rsidRPr="00895810" w14:paraId="1E86DAA5" w14:textId="77777777" w:rsidTr="003E29BC">
        <w:trPr>
          <w:trHeight w:val="58"/>
        </w:trPr>
        <w:tc>
          <w:tcPr>
            <w:tcW w:w="4253" w:type="dxa"/>
            <w:tcMar>
              <w:left w:w="0" w:type="dxa"/>
              <w:bottom w:w="28" w:type="dxa"/>
              <w:right w:w="0" w:type="dxa"/>
            </w:tcMar>
            <w:vAlign w:val="bottom"/>
          </w:tcPr>
          <w:p w14:paraId="637D588D" w14:textId="77777777" w:rsidR="007C695C" w:rsidRPr="00895810" w:rsidRDefault="007C695C" w:rsidP="00D91739">
            <w:pPr>
              <w:pStyle w:val="TableColHeadsBold"/>
              <w:spacing w:line="240" w:lineRule="auto"/>
              <w:rPr>
                <w:rFonts w:ascii="IBM Plex Sans Light" w:hAnsi="IBM Plex Sans Light"/>
                <w:color w:val="3D7FE0" w:themeColor="accent1"/>
              </w:rPr>
            </w:pPr>
          </w:p>
        </w:tc>
        <w:tc>
          <w:tcPr>
            <w:tcW w:w="425" w:type="dxa"/>
            <w:vAlign w:val="bottom"/>
          </w:tcPr>
          <w:p w14:paraId="5ABAF708" w14:textId="77777777" w:rsidR="007C695C" w:rsidRPr="00895810" w:rsidRDefault="007C695C" w:rsidP="00D91739">
            <w:pPr>
              <w:pStyle w:val="TableColHeadsBold"/>
              <w:spacing w:line="240" w:lineRule="auto"/>
              <w:rPr>
                <w:rFonts w:ascii="IBM Plex Sans Light" w:hAnsi="IBM Plex Sans Light"/>
                <w:color w:val="3D7FE0" w:themeColor="accent1"/>
                <w:sz w:val="16"/>
                <w:szCs w:val="16"/>
              </w:rPr>
            </w:pPr>
          </w:p>
        </w:tc>
        <w:tc>
          <w:tcPr>
            <w:tcW w:w="873" w:type="dxa"/>
            <w:vAlign w:val="bottom"/>
          </w:tcPr>
          <w:p w14:paraId="51A3D7A1" w14:textId="13F587EA" w:rsidR="007C695C" w:rsidRPr="00895810" w:rsidRDefault="007C695C" w:rsidP="00D91739">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Brent Cross</w:t>
            </w:r>
          </w:p>
        </w:tc>
        <w:tc>
          <w:tcPr>
            <w:tcW w:w="874" w:type="dxa"/>
            <w:vAlign w:val="bottom"/>
          </w:tcPr>
          <w:p w14:paraId="159420A5" w14:textId="7EADE359" w:rsidR="007C695C" w:rsidRPr="00895810" w:rsidRDefault="007C695C" w:rsidP="00D91739">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Cabot Circus</w:t>
            </w:r>
          </w:p>
        </w:tc>
        <w:tc>
          <w:tcPr>
            <w:tcW w:w="874" w:type="dxa"/>
            <w:vAlign w:val="bottom"/>
          </w:tcPr>
          <w:p w14:paraId="6EB515A8" w14:textId="4BED15EF" w:rsidR="007C695C" w:rsidRPr="00895810" w:rsidRDefault="007C695C" w:rsidP="00D91739">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Bullring</w:t>
            </w:r>
          </w:p>
        </w:tc>
        <w:tc>
          <w:tcPr>
            <w:tcW w:w="874" w:type="dxa"/>
            <w:tcMar>
              <w:left w:w="0" w:type="dxa"/>
              <w:bottom w:w="28" w:type="dxa"/>
              <w:right w:w="0" w:type="dxa"/>
            </w:tcMar>
            <w:vAlign w:val="bottom"/>
          </w:tcPr>
          <w:p w14:paraId="340CC551" w14:textId="1223F5C1" w:rsidR="007C695C" w:rsidRPr="00895810" w:rsidRDefault="007C695C" w:rsidP="00D91739">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Grand Central</w:t>
            </w:r>
          </w:p>
        </w:tc>
        <w:tc>
          <w:tcPr>
            <w:tcW w:w="874" w:type="dxa"/>
            <w:tcMar>
              <w:left w:w="0" w:type="dxa"/>
              <w:bottom w:w="28" w:type="dxa"/>
              <w:right w:w="0" w:type="dxa"/>
            </w:tcMar>
            <w:vAlign w:val="bottom"/>
          </w:tcPr>
          <w:p w14:paraId="68FA94DB" w14:textId="68CF86BC" w:rsidR="007C695C" w:rsidRPr="00895810" w:rsidRDefault="007C695C" w:rsidP="00D91739">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The Oracle</w:t>
            </w:r>
          </w:p>
        </w:tc>
        <w:tc>
          <w:tcPr>
            <w:tcW w:w="874" w:type="dxa"/>
            <w:tcMar>
              <w:left w:w="0" w:type="dxa"/>
              <w:bottom w:w="28" w:type="dxa"/>
              <w:right w:w="0" w:type="dxa"/>
            </w:tcMar>
            <w:vAlign w:val="bottom"/>
          </w:tcPr>
          <w:p w14:paraId="702D8CFE" w14:textId="3F2371C4" w:rsidR="007C695C" w:rsidRPr="00895810" w:rsidRDefault="007C695C" w:rsidP="00D91739">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West Quay</w:t>
            </w:r>
          </w:p>
        </w:tc>
      </w:tr>
      <w:tr w:rsidR="009342BD" w:rsidRPr="00895810" w14:paraId="7BD4236A" w14:textId="77777777" w:rsidTr="003E29BC">
        <w:trPr>
          <w:trHeight w:val="58"/>
        </w:trPr>
        <w:tc>
          <w:tcPr>
            <w:tcW w:w="4253" w:type="dxa"/>
            <w:tcBorders>
              <w:bottom w:val="single" w:sz="2" w:space="0" w:color="3D7FE0" w:themeColor="accent1"/>
            </w:tcBorders>
            <w:tcMar>
              <w:left w:w="0" w:type="dxa"/>
              <w:bottom w:w="28" w:type="dxa"/>
              <w:right w:w="0" w:type="dxa"/>
            </w:tcMar>
            <w:vAlign w:val="bottom"/>
          </w:tcPr>
          <w:p w14:paraId="20505212" w14:textId="77777777" w:rsidR="009342BD" w:rsidRPr="00895810" w:rsidRDefault="009342BD" w:rsidP="003F2C4C">
            <w:pPr>
              <w:pStyle w:val="TableColHeadsBold"/>
              <w:rPr>
                <w:rFonts w:ascii="IBM Plex Sans Light" w:hAnsi="IBM Plex Sans Light"/>
                <w:color w:val="3D7FE0" w:themeColor="accent1"/>
              </w:rPr>
            </w:pPr>
          </w:p>
        </w:tc>
        <w:tc>
          <w:tcPr>
            <w:tcW w:w="425" w:type="dxa"/>
            <w:tcBorders>
              <w:bottom w:val="single" w:sz="2" w:space="0" w:color="3D7FE0" w:themeColor="accent1"/>
            </w:tcBorders>
            <w:vAlign w:val="bottom"/>
          </w:tcPr>
          <w:p w14:paraId="7F30EDE5" w14:textId="6C8AB50B" w:rsidR="009342BD" w:rsidRPr="00895810" w:rsidRDefault="009342BD" w:rsidP="003F2C4C">
            <w:pPr>
              <w:pStyle w:val="TableColHeadsBold"/>
              <w:rPr>
                <w:rFonts w:ascii="IBM Plex Sans Light" w:hAnsi="IBM Plex Sans Light"/>
                <w:color w:val="3D7FE0" w:themeColor="accent1"/>
                <w:sz w:val="16"/>
                <w:szCs w:val="16"/>
              </w:rPr>
            </w:pPr>
          </w:p>
        </w:tc>
        <w:tc>
          <w:tcPr>
            <w:tcW w:w="873" w:type="dxa"/>
            <w:tcBorders>
              <w:bottom w:val="single" w:sz="2" w:space="0" w:color="3D7FE0" w:themeColor="accent1"/>
            </w:tcBorders>
            <w:vAlign w:val="bottom"/>
          </w:tcPr>
          <w:p w14:paraId="13237749" w14:textId="77777777" w:rsidR="009342BD" w:rsidRPr="00895810" w:rsidRDefault="009342BD"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vAlign w:val="bottom"/>
          </w:tcPr>
          <w:p w14:paraId="52A3E031" w14:textId="77777777" w:rsidR="009342BD" w:rsidRPr="00895810" w:rsidRDefault="009342BD"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vAlign w:val="bottom"/>
          </w:tcPr>
          <w:p w14:paraId="73DCAC3D" w14:textId="77777777" w:rsidR="009342BD" w:rsidRPr="00895810" w:rsidRDefault="009342BD"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tcMar>
              <w:left w:w="0" w:type="dxa"/>
              <w:bottom w:w="28" w:type="dxa"/>
              <w:right w:w="0" w:type="dxa"/>
            </w:tcMar>
            <w:vAlign w:val="bottom"/>
          </w:tcPr>
          <w:p w14:paraId="73C88456" w14:textId="77777777" w:rsidR="009342BD" w:rsidRPr="00895810" w:rsidRDefault="009342BD"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tcMar>
              <w:left w:w="0" w:type="dxa"/>
              <w:bottom w:w="28" w:type="dxa"/>
              <w:right w:w="0" w:type="dxa"/>
            </w:tcMar>
            <w:vAlign w:val="bottom"/>
          </w:tcPr>
          <w:p w14:paraId="6E89D1E6" w14:textId="77777777" w:rsidR="009342BD" w:rsidRPr="00895810" w:rsidRDefault="009342BD" w:rsidP="003F2C4C">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c>
          <w:tcPr>
            <w:tcW w:w="874" w:type="dxa"/>
            <w:tcBorders>
              <w:bottom w:val="single" w:sz="2" w:space="0" w:color="3D7FE0" w:themeColor="accent1"/>
            </w:tcBorders>
            <w:tcMar>
              <w:left w:w="0" w:type="dxa"/>
              <w:bottom w:w="28" w:type="dxa"/>
              <w:right w:w="0" w:type="dxa"/>
            </w:tcMar>
            <w:vAlign w:val="bottom"/>
          </w:tcPr>
          <w:p w14:paraId="38464BBB" w14:textId="77777777" w:rsidR="009342BD" w:rsidRPr="00895810" w:rsidRDefault="009342BD" w:rsidP="003F2C4C">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r>
      <w:tr w:rsidR="009342BD" w:rsidRPr="00895810" w14:paraId="4D519C02" w14:textId="77777777" w:rsidTr="00D91739">
        <w:trPr>
          <w:trHeight w:hRule="exact" w:val="255"/>
        </w:trPr>
        <w:tc>
          <w:tcPr>
            <w:tcW w:w="4253" w:type="dxa"/>
            <w:tcBorders>
              <w:top w:val="single" w:sz="2" w:space="0" w:color="3D7FE0" w:themeColor="accent1"/>
            </w:tcBorders>
            <w:tcMar>
              <w:left w:w="0" w:type="dxa"/>
              <w:right w:w="0" w:type="dxa"/>
            </w:tcMar>
            <w:vAlign w:val="bottom"/>
          </w:tcPr>
          <w:p w14:paraId="0A577529" w14:textId="77777777" w:rsidR="009342BD" w:rsidRPr="00895810" w:rsidRDefault="009342BD" w:rsidP="00D94DE9">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Non-current assets</w:t>
            </w:r>
          </w:p>
        </w:tc>
        <w:tc>
          <w:tcPr>
            <w:tcW w:w="425" w:type="dxa"/>
            <w:tcBorders>
              <w:top w:val="single" w:sz="2" w:space="0" w:color="3D7FE0" w:themeColor="accent1"/>
            </w:tcBorders>
            <w:vAlign w:val="bottom"/>
          </w:tcPr>
          <w:p w14:paraId="145F9B96" w14:textId="3C259F27" w:rsidR="009342BD" w:rsidRPr="00895810" w:rsidRDefault="009342BD" w:rsidP="00D94DE9">
            <w:pPr>
              <w:pStyle w:val="TableFigures"/>
              <w:jc w:val="left"/>
              <w:rPr>
                <w:rFonts w:ascii="IBM Plex Sans Light" w:hAnsi="IBM Plex Sans Light" w:cs="MyriadPro-Light"/>
                <w:b/>
                <w:color w:val="3D7FE0" w:themeColor="accent1"/>
                <w:spacing w:val="-4"/>
                <w:szCs w:val="16"/>
              </w:rPr>
            </w:pPr>
          </w:p>
        </w:tc>
        <w:tc>
          <w:tcPr>
            <w:tcW w:w="873" w:type="dxa"/>
            <w:tcBorders>
              <w:top w:val="single" w:sz="2" w:space="0" w:color="3D7FE0" w:themeColor="accent1"/>
            </w:tcBorders>
            <w:vAlign w:val="bottom"/>
          </w:tcPr>
          <w:p w14:paraId="32E0898F" w14:textId="77777777" w:rsidR="009342BD" w:rsidRPr="00895810" w:rsidRDefault="009342BD" w:rsidP="00D94DE9">
            <w:pPr>
              <w:pStyle w:val="TableFigures"/>
              <w:jc w:val="left"/>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vAlign w:val="bottom"/>
          </w:tcPr>
          <w:p w14:paraId="6B09F209" w14:textId="77777777" w:rsidR="009342BD" w:rsidRPr="00895810" w:rsidRDefault="009342BD" w:rsidP="00D94DE9">
            <w:pPr>
              <w:pStyle w:val="TableFigures"/>
              <w:jc w:val="left"/>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vAlign w:val="bottom"/>
          </w:tcPr>
          <w:p w14:paraId="77974139" w14:textId="77777777" w:rsidR="009342BD" w:rsidRPr="00895810" w:rsidRDefault="009342BD" w:rsidP="00D94DE9">
            <w:pPr>
              <w:pStyle w:val="TableFigures"/>
              <w:jc w:val="left"/>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tcMar>
              <w:left w:w="0" w:type="dxa"/>
              <w:right w:w="0" w:type="dxa"/>
            </w:tcMar>
            <w:vAlign w:val="bottom"/>
          </w:tcPr>
          <w:p w14:paraId="00AE0E96" w14:textId="77777777" w:rsidR="009342BD" w:rsidRPr="00895810" w:rsidRDefault="009342BD" w:rsidP="00D94DE9">
            <w:pPr>
              <w:pStyle w:val="TableFigures"/>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tcMar>
              <w:left w:w="0" w:type="dxa"/>
              <w:right w:w="0" w:type="dxa"/>
            </w:tcMar>
            <w:vAlign w:val="bottom"/>
          </w:tcPr>
          <w:p w14:paraId="3072531B" w14:textId="77777777" w:rsidR="009342BD" w:rsidRPr="00895810" w:rsidRDefault="009342BD" w:rsidP="00D94DE9">
            <w:pPr>
              <w:pStyle w:val="TableFiguresBold"/>
              <w:rPr>
                <w:rFonts w:ascii="IBM Plex Sans Light" w:hAnsi="IBM Plex Sans Light"/>
                <w:color w:val="3D7FE0" w:themeColor="accent1"/>
                <w:spacing w:val="-4"/>
                <w:sz w:val="18"/>
                <w:szCs w:val="18"/>
              </w:rPr>
            </w:pPr>
          </w:p>
        </w:tc>
        <w:tc>
          <w:tcPr>
            <w:tcW w:w="874" w:type="dxa"/>
            <w:tcBorders>
              <w:top w:val="single" w:sz="2" w:space="0" w:color="3D7FE0" w:themeColor="accent1"/>
            </w:tcBorders>
            <w:tcMar>
              <w:left w:w="0" w:type="dxa"/>
              <w:right w:w="0" w:type="dxa"/>
            </w:tcMar>
          </w:tcPr>
          <w:p w14:paraId="2CEAF8A5" w14:textId="77777777" w:rsidR="009342BD" w:rsidRPr="00895810" w:rsidRDefault="009342BD" w:rsidP="00D94DE9">
            <w:pPr>
              <w:pStyle w:val="TableFigures"/>
              <w:rPr>
                <w:rFonts w:ascii="IBM Plex Sans Light" w:hAnsi="IBM Plex Sans Light"/>
                <w:color w:val="auto"/>
                <w:spacing w:val="-4"/>
                <w:sz w:val="18"/>
                <w:szCs w:val="18"/>
              </w:rPr>
            </w:pPr>
          </w:p>
        </w:tc>
      </w:tr>
      <w:tr w:rsidR="009601CE" w:rsidRPr="00895810" w14:paraId="21F338C3" w14:textId="77777777" w:rsidTr="00D65D59">
        <w:trPr>
          <w:trHeight w:hRule="exact" w:val="255"/>
        </w:trPr>
        <w:tc>
          <w:tcPr>
            <w:tcW w:w="4253" w:type="dxa"/>
            <w:tcMar>
              <w:left w:w="0" w:type="dxa"/>
              <w:right w:w="0" w:type="dxa"/>
            </w:tcMar>
            <w:vAlign w:val="bottom"/>
          </w:tcPr>
          <w:p w14:paraId="77553212"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spacing w:val="-4"/>
                <w:sz w:val="18"/>
                <w:szCs w:val="18"/>
              </w:rPr>
              <w:t>Investment properties</w:t>
            </w:r>
          </w:p>
        </w:tc>
        <w:tc>
          <w:tcPr>
            <w:tcW w:w="425" w:type="dxa"/>
            <w:vAlign w:val="bottom"/>
          </w:tcPr>
          <w:p w14:paraId="4EDAD48D" w14:textId="03F8B570" w:rsidR="009601CE" w:rsidRPr="00895810" w:rsidRDefault="009601CE" w:rsidP="009601CE">
            <w:pPr>
              <w:pStyle w:val="TableFigures"/>
              <w:ind w:right="0"/>
              <w:jc w:val="left"/>
              <w:rPr>
                <w:rFonts w:ascii="IBM Plex Sans Light" w:hAnsi="IBM Plex Sans Light" w:cs="MyriadPro-Light"/>
                <w:b/>
                <w:color w:val="3D7FE0" w:themeColor="accent1"/>
                <w:spacing w:val="-4"/>
                <w:szCs w:val="16"/>
              </w:rPr>
            </w:pPr>
          </w:p>
        </w:tc>
        <w:tc>
          <w:tcPr>
            <w:tcW w:w="873" w:type="dxa"/>
          </w:tcPr>
          <w:p w14:paraId="3C1902E2" w14:textId="7D3A08A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388.0</w:t>
            </w:r>
          </w:p>
        </w:tc>
        <w:tc>
          <w:tcPr>
            <w:tcW w:w="874" w:type="dxa"/>
          </w:tcPr>
          <w:p w14:paraId="269073E4" w14:textId="366BF93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234.9</w:t>
            </w:r>
          </w:p>
        </w:tc>
        <w:tc>
          <w:tcPr>
            <w:tcW w:w="874" w:type="dxa"/>
          </w:tcPr>
          <w:p w14:paraId="0EBAB8DD" w14:textId="763E379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575.0</w:t>
            </w:r>
          </w:p>
        </w:tc>
        <w:tc>
          <w:tcPr>
            <w:tcW w:w="874" w:type="dxa"/>
            <w:tcMar>
              <w:left w:w="0" w:type="dxa"/>
              <w:right w:w="0" w:type="dxa"/>
            </w:tcMar>
          </w:tcPr>
          <w:p w14:paraId="2C52B141" w14:textId="4BE7B5F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67.0</w:t>
            </w:r>
          </w:p>
        </w:tc>
        <w:tc>
          <w:tcPr>
            <w:tcW w:w="874" w:type="dxa"/>
            <w:tcMar>
              <w:left w:w="0" w:type="dxa"/>
              <w:right w:w="0" w:type="dxa"/>
            </w:tcMar>
          </w:tcPr>
          <w:p w14:paraId="7B66E293" w14:textId="133D507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184.1</w:t>
            </w:r>
          </w:p>
        </w:tc>
        <w:tc>
          <w:tcPr>
            <w:tcW w:w="874" w:type="dxa"/>
            <w:tcMar>
              <w:left w:w="0" w:type="dxa"/>
              <w:right w:w="0" w:type="dxa"/>
            </w:tcMar>
          </w:tcPr>
          <w:p w14:paraId="350F2B0C" w14:textId="324425B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283.5</w:t>
            </w:r>
          </w:p>
        </w:tc>
      </w:tr>
      <w:tr w:rsidR="009601CE" w:rsidRPr="00895810" w14:paraId="79ED2F00" w14:textId="77777777" w:rsidTr="00D65D59">
        <w:trPr>
          <w:trHeight w:hRule="exact" w:val="255"/>
        </w:trPr>
        <w:tc>
          <w:tcPr>
            <w:tcW w:w="4253" w:type="dxa"/>
            <w:tcBorders>
              <w:bottom w:val="single" w:sz="2" w:space="0" w:color="3D7FE0" w:themeColor="accent1"/>
            </w:tcBorders>
            <w:tcMar>
              <w:left w:w="0" w:type="dxa"/>
              <w:right w:w="0" w:type="dxa"/>
            </w:tcMar>
            <w:vAlign w:val="bottom"/>
          </w:tcPr>
          <w:p w14:paraId="7A57D601"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Other non-current assets</w:t>
            </w:r>
          </w:p>
        </w:tc>
        <w:tc>
          <w:tcPr>
            <w:tcW w:w="425" w:type="dxa"/>
            <w:tcBorders>
              <w:bottom w:val="single" w:sz="2" w:space="0" w:color="3D7FE0" w:themeColor="accent1"/>
            </w:tcBorders>
            <w:vAlign w:val="bottom"/>
          </w:tcPr>
          <w:p w14:paraId="0AD55CAC" w14:textId="7A3264F4"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Borders>
              <w:bottom w:val="single" w:sz="2" w:space="0" w:color="3D7FE0" w:themeColor="accent1"/>
            </w:tcBorders>
          </w:tcPr>
          <w:p w14:paraId="3650DF11" w14:textId="6745871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12.8</w:t>
            </w:r>
          </w:p>
        </w:tc>
        <w:tc>
          <w:tcPr>
            <w:tcW w:w="874" w:type="dxa"/>
            <w:tcBorders>
              <w:bottom w:val="single" w:sz="2" w:space="0" w:color="3D7FE0" w:themeColor="accent1"/>
            </w:tcBorders>
          </w:tcPr>
          <w:p w14:paraId="578A6BF0" w14:textId="715BF60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13.6</w:t>
            </w:r>
          </w:p>
        </w:tc>
        <w:tc>
          <w:tcPr>
            <w:tcW w:w="874" w:type="dxa"/>
            <w:tcBorders>
              <w:bottom w:val="single" w:sz="2" w:space="0" w:color="3D7FE0" w:themeColor="accent1"/>
            </w:tcBorders>
          </w:tcPr>
          <w:p w14:paraId="745BAB14" w14:textId="7B66CFF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0.3</w:t>
            </w:r>
          </w:p>
        </w:tc>
        <w:tc>
          <w:tcPr>
            <w:tcW w:w="874" w:type="dxa"/>
            <w:tcBorders>
              <w:bottom w:val="single" w:sz="2" w:space="0" w:color="3D7FE0" w:themeColor="accent1"/>
            </w:tcBorders>
            <w:tcMar>
              <w:left w:w="0" w:type="dxa"/>
              <w:right w:w="0" w:type="dxa"/>
            </w:tcMar>
          </w:tcPr>
          <w:p w14:paraId="7BBF16BF" w14:textId="324425D2"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2.6</w:t>
            </w:r>
          </w:p>
        </w:tc>
        <w:tc>
          <w:tcPr>
            <w:tcW w:w="874" w:type="dxa"/>
            <w:tcBorders>
              <w:bottom w:val="single" w:sz="2" w:space="0" w:color="3D7FE0" w:themeColor="accent1"/>
            </w:tcBorders>
            <w:tcMar>
              <w:left w:w="0" w:type="dxa"/>
              <w:right w:w="0" w:type="dxa"/>
            </w:tcMar>
          </w:tcPr>
          <w:p w14:paraId="6CD8A095" w14:textId="7B6BB809"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Borders>
              <w:bottom w:val="single" w:sz="2" w:space="0" w:color="3D7FE0" w:themeColor="accent1"/>
            </w:tcBorders>
            <w:tcMar>
              <w:left w:w="0" w:type="dxa"/>
              <w:right w:w="0" w:type="dxa"/>
            </w:tcMar>
          </w:tcPr>
          <w:p w14:paraId="4D95766E" w14:textId="6E802DC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4.2</w:t>
            </w:r>
          </w:p>
        </w:tc>
      </w:tr>
      <w:tr w:rsidR="009601CE" w:rsidRPr="00895810" w14:paraId="32935A08" w14:textId="77777777" w:rsidTr="00D65D59">
        <w:trPr>
          <w:trHeight w:hRule="exact" w:val="259"/>
        </w:trPr>
        <w:tc>
          <w:tcPr>
            <w:tcW w:w="4253" w:type="dxa"/>
            <w:tcBorders>
              <w:top w:val="single" w:sz="2" w:space="0" w:color="3D7FE0" w:themeColor="accent1"/>
            </w:tcBorders>
            <w:tcMar>
              <w:left w:w="0" w:type="dxa"/>
              <w:right w:w="0" w:type="dxa"/>
            </w:tcMar>
            <w:vAlign w:val="bottom"/>
          </w:tcPr>
          <w:p w14:paraId="716F9017"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p>
        </w:tc>
        <w:tc>
          <w:tcPr>
            <w:tcW w:w="425" w:type="dxa"/>
            <w:tcBorders>
              <w:top w:val="single" w:sz="2" w:space="0" w:color="3D7FE0" w:themeColor="accent1"/>
            </w:tcBorders>
            <w:vAlign w:val="bottom"/>
          </w:tcPr>
          <w:p w14:paraId="1B31196D" w14:textId="6269019B" w:rsidR="009601CE" w:rsidRPr="00895810" w:rsidRDefault="009601CE" w:rsidP="009601CE">
            <w:pPr>
              <w:pStyle w:val="TableFigures"/>
              <w:ind w:right="0"/>
              <w:jc w:val="left"/>
              <w:rPr>
                <w:rFonts w:ascii="IBM Plex Sans Light" w:hAnsi="IBM Plex Sans Light" w:cs="MyriadPro-Light"/>
                <w:b/>
                <w:color w:val="3D7FE0" w:themeColor="accent1"/>
                <w:spacing w:val="-4"/>
                <w:szCs w:val="16"/>
              </w:rPr>
            </w:pPr>
          </w:p>
        </w:tc>
        <w:tc>
          <w:tcPr>
            <w:tcW w:w="873" w:type="dxa"/>
            <w:tcBorders>
              <w:top w:val="single" w:sz="2" w:space="0" w:color="3D7FE0" w:themeColor="accent1"/>
            </w:tcBorders>
          </w:tcPr>
          <w:p w14:paraId="45A918FA" w14:textId="6FF9B292"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400.8</w:t>
            </w:r>
          </w:p>
        </w:tc>
        <w:tc>
          <w:tcPr>
            <w:tcW w:w="874" w:type="dxa"/>
            <w:tcBorders>
              <w:top w:val="single" w:sz="2" w:space="0" w:color="3D7FE0" w:themeColor="accent1"/>
            </w:tcBorders>
          </w:tcPr>
          <w:p w14:paraId="0330195F" w14:textId="59447104"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248.5</w:t>
            </w:r>
          </w:p>
        </w:tc>
        <w:tc>
          <w:tcPr>
            <w:tcW w:w="874" w:type="dxa"/>
            <w:tcBorders>
              <w:top w:val="single" w:sz="2" w:space="0" w:color="3D7FE0" w:themeColor="accent1"/>
            </w:tcBorders>
          </w:tcPr>
          <w:p w14:paraId="674A103A" w14:textId="4669E71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575.3</w:t>
            </w:r>
          </w:p>
        </w:tc>
        <w:tc>
          <w:tcPr>
            <w:tcW w:w="874" w:type="dxa"/>
            <w:tcBorders>
              <w:top w:val="single" w:sz="2" w:space="0" w:color="3D7FE0" w:themeColor="accent1"/>
            </w:tcBorders>
            <w:tcMar>
              <w:left w:w="0" w:type="dxa"/>
              <w:right w:w="0" w:type="dxa"/>
            </w:tcMar>
          </w:tcPr>
          <w:p w14:paraId="1F5D5C30" w14:textId="67D4350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69.6</w:t>
            </w:r>
          </w:p>
        </w:tc>
        <w:tc>
          <w:tcPr>
            <w:tcW w:w="874" w:type="dxa"/>
            <w:tcBorders>
              <w:top w:val="single" w:sz="2" w:space="0" w:color="3D7FE0" w:themeColor="accent1"/>
            </w:tcBorders>
            <w:tcMar>
              <w:left w:w="0" w:type="dxa"/>
              <w:right w:w="0" w:type="dxa"/>
            </w:tcMar>
          </w:tcPr>
          <w:p w14:paraId="5BA6631F" w14:textId="530414A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184.1</w:t>
            </w:r>
          </w:p>
        </w:tc>
        <w:tc>
          <w:tcPr>
            <w:tcW w:w="874" w:type="dxa"/>
            <w:tcBorders>
              <w:top w:val="single" w:sz="2" w:space="0" w:color="3D7FE0" w:themeColor="accent1"/>
            </w:tcBorders>
            <w:tcMar>
              <w:left w:w="0" w:type="dxa"/>
              <w:right w:w="0" w:type="dxa"/>
            </w:tcMar>
          </w:tcPr>
          <w:p w14:paraId="19357342" w14:textId="5E9A32B2"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287.7</w:t>
            </w:r>
          </w:p>
        </w:tc>
      </w:tr>
      <w:tr w:rsidR="009601CE" w:rsidRPr="00895810" w14:paraId="1605952D" w14:textId="77777777" w:rsidTr="00D65D59">
        <w:trPr>
          <w:trHeight w:hRule="exact" w:val="289"/>
        </w:trPr>
        <w:tc>
          <w:tcPr>
            <w:tcW w:w="4253" w:type="dxa"/>
            <w:tcMar>
              <w:left w:w="0" w:type="dxa"/>
              <w:right w:w="0" w:type="dxa"/>
            </w:tcMar>
            <w:vAlign w:val="bottom"/>
          </w:tcPr>
          <w:p w14:paraId="3D5EF8D9" w14:textId="77777777"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Current assets</w:t>
            </w:r>
          </w:p>
        </w:tc>
        <w:tc>
          <w:tcPr>
            <w:tcW w:w="425" w:type="dxa"/>
            <w:vAlign w:val="bottom"/>
          </w:tcPr>
          <w:p w14:paraId="727E5901" w14:textId="298A655A" w:rsidR="009601CE" w:rsidRPr="00895810" w:rsidRDefault="009601CE" w:rsidP="009601CE">
            <w:pPr>
              <w:pStyle w:val="TableFiguresBrackets"/>
              <w:ind w:right="0"/>
              <w:jc w:val="left"/>
              <w:rPr>
                <w:rFonts w:ascii="IBM Plex Sans Light" w:hAnsi="IBM Plex Sans Light" w:cs="MyriadPro-Light"/>
                <w:b/>
                <w:color w:val="3D7FE0" w:themeColor="accent1"/>
                <w:spacing w:val="-4"/>
                <w:szCs w:val="16"/>
              </w:rPr>
            </w:pPr>
          </w:p>
        </w:tc>
        <w:tc>
          <w:tcPr>
            <w:tcW w:w="873" w:type="dxa"/>
          </w:tcPr>
          <w:p w14:paraId="74295D24"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Pr>
          <w:p w14:paraId="71E72FED"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Pr>
          <w:p w14:paraId="4D268F0F"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5B4B04F2"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6809913A"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52154BB1" w14:textId="77777777" w:rsidR="009601CE" w:rsidRPr="009601CE" w:rsidRDefault="009601CE" w:rsidP="009601CE">
            <w:pPr>
              <w:pStyle w:val="TableFiguresBold"/>
              <w:rPr>
                <w:rFonts w:ascii="IBM Plex Sans Medium" w:hAnsi="IBM Plex Sans Medium"/>
                <w:color w:val="3D7FE0" w:themeColor="accent1"/>
                <w:sz w:val="18"/>
                <w:szCs w:val="22"/>
              </w:rPr>
            </w:pPr>
          </w:p>
        </w:tc>
      </w:tr>
      <w:tr w:rsidR="009601CE" w:rsidRPr="00895810" w14:paraId="5F9275B6" w14:textId="77777777" w:rsidTr="00C55BF9">
        <w:trPr>
          <w:trHeight w:hRule="exact" w:val="255"/>
        </w:trPr>
        <w:tc>
          <w:tcPr>
            <w:tcW w:w="4253" w:type="dxa"/>
            <w:tcMar>
              <w:left w:w="0" w:type="dxa"/>
              <w:right w:w="0" w:type="dxa"/>
            </w:tcMar>
            <w:vAlign w:val="bottom"/>
          </w:tcPr>
          <w:p w14:paraId="3008CF7C"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Cash and cash equivalents</w:t>
            </w:r>
          </w:p>
        </w:tc>
        <w:tc>
          <w:tcPr>
            <w:tcW w:w="425" w:type="dxa"/>
            <w:vAlign w:val="bottom"/>
          </w:tcPr>
          <w:p w14:paraId="5D0C8ACE" w14:textId="2FB23452"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Pr>
          <w:p w14:paraId="4535FAF8" w14:textId="31B08889"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16.9</w:t>
            </w:r>
          </w:p>
        </w:tc>
        <w:tc>
          <w:tcPr>
            <w:tcW w:w="874" w:type="dxa"/>
          </w:tcPr>
          <w:p w14:paraId="42E9D8C8" w14:textId="5C72C0B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18.8</w:t>
            </w:r>
          </w:p>
        </w:tc>
        <w:tc>
          <w:tcPr>
            <w:tcW w:w="874" w:type="dxa"/>
          </w:tcPr>
          <w:p w14:paraId="202E3E95" w14:textId="5C97CE8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28.8</w:t>
            </w:r>
          </w:p>
        </w:tc>
        <w:tc>
          <w:tcPr>
            <w:tcW w:w="874" w:type="dxa"/>
            <w:tcMar>
              <w:left w:w="0" w:type="dxa"/>
              <w:right w:w="0" w:type="dxa"/>
            </w:tcMar>
          </w:tcPr>
          <w:p w14:paraId="2923B060" w14:textId="46DBC2A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9.0</w:t>
            </w:r>
          </w:p>
        </w:tc>
        <w:tc>
          <w:tcPr>
            <w:tcW w:w="874" w:type="dxa"/>
            <w:tcMar>
              <w:left w:w="0" w:type="dxa"/>
              <w:right w:w="0" w:type="dxa"/>
            </w:tcMar>
          </w:tcPr>
          <w:p w14:paraId="593208F9" w14:textId="77C83D5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14.8</w:t>
            </w:r>
          </w:p>
        </w:tc>
        <w:tc>
          <w:tcPr>
            <w:tcW w:w="874" w:type="dxa"/>
            <w:tcMar>
              <w:left w:w="0" w:type="dxa"/>
              <w:right w:w="0" w:type="dxa"/>
            </w:tcMar>
          </w:tcPr>
          <w:p w14:paraId="6F8F17D7" w14:textId="57E5176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31.3</w:t>
            </w:r>
          </w:p>
        </w:tc>
      </w:tr>
      <w:tr w:rsidR="009601CE" w:rsidRPr="00895810" w14:paraId="7E51E2D7" w14:textId="77777777" w:rsidTr="00C55BF9">
        <w:trPr>
          <w:trHeight w:hRule="exact" w:val="289"/>
        </w:trPr>
        <w:tc>
          <w:tcPr>
            <w:tcW w:w="4253" w:type="dxa"/>
            <w:tcBorders>
              <w:bottom w:val="single" w:sz="2" w:space="0" w:color="3D7FE0" w:themeColor="accent1"/>
            </w:tcBorders>
            <w:tcMar>
              <w:left w:w="0" w:type="dxa"/>
              <w:right w:w="0" w:type="dxa"/>
            </w:tcMar>
            <w:vAlign w:val="bottom"/>
          </w:tcPr>
          <w:p w14:paraId="3FE067AD"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current assets</w:t>
            </w:r>
          </w:p>
        </w:tc>
        <w:tc>
          <w:tcPr>
            <w:tcW w:w="425" w:type="dxa"/>
            <w:tcBorders>
              <w:bottom w:val="single" w:sz="2" w:space="0" w:color="3D7FE0" w:themeColor="accent1"/>
            </w:tcBorders>
            <w:vAlign w:val="bottom"/>
          </w:tcPr>
          <w:p w14:paraId="40243F2A" w14:textId="628DFCE9"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Borders>
              <w:bottom w:val="single" w:sz="2" w:space="0" w:color="3D7FE0" w:themeColor="accent1"/>
            </w:tcBorders>
          </w:tcPr>
          <w:p w14:paraId="4998082C" w14:textId="395726B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5.4</w:t>
            </w:r>
          </w:p>
        </w:tc>
        <w:tc>
          <w:tcPr>
            <w:tcW w:w="874" w:type="dxa"/>
            <w:tcBorders>
              <w:bottom w:val="single" w:sz="2" w:space="0" w:color="3D7FE0" w:themeColor="accent1"/>
            </w:tcBorders>
          </w:tcPr>
          <w:p w14:paraId="687E589F" w14:textId="5F75CB5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6.0</w:t>
            </w:r>
          </w:p>
        </w:tc>
        <w:tc>
          <w:tcPr>
            <w:tcW w:w="874" w:type="dxa"/>
            <w:tcBorders>
              <w:bottom w:val="single" w:sz="2" w:space="0" w:color="3D7FE0" w:themeColor="accent1"/>
            </w:tcBorders>
          </w:tcPr>
          <w:p w14:paraId="521AC765" w14:textId="0AC0AA0F"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7.5</w:t>
            </w:r>
          </w:p>
        </w:tc>
        <w:tc>
          <w:tcPr>
            <w:tcW w:w="874" w:type="dxa"/>
            <w:tcBorders>
              <w:bottom w:val="single" w:sz="2" w:space="0" w:color="3D7FE0" w:themeColor="accent1"/>
            </w:tcBorders>
            <w:tcMar>
              <w:left w:w="0" w:type="dxa"/>
              <w:right w:w="0" w:type="dxa"/>
            </w:tcMar>
          </w:tcPr>
          <w:p w14:paraId="68603C4A" w14:textId="1C48C5C9"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9.9</w:t>
            </w:r>
          </w:p>
        </w:tc>
        <w:tc>
          <w:tcPr>
            <w:tcW w:w="874" w:type="dxa"/>
            <w:tcBorders>
              <w:bottom w:val="single" w:sz="2" w:space="0" w:color="3D7FE0" w:themeColor="accent1"/>
            </w:tcBorders>
            <w:tcMar>
              <w:left w:w="0" w:type="dxa"/>
              <w:right w:w="0" w:type="dxa"/>
            </w:tcMar>
          </w:tcPr>
          <w:p w14:paraId="4EF5D17A" w14:textId="2ED87CAC"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4.3</w:t>
            </w:r>
          </w:p>
        </w:tc>
        <w:tc>
          <w:tcPr>
            <w:tcW w:w="874" w:type="dxa"/>
            <w:tcBorders>
              <w:bottom w:val="single" w:sz="2" w:space="0" w:color="3D7FE0" w:themeColor="accent1"/>
            </w:tcBorders>
            <w:tcMar>
              <w:left w:w="0" w:type="dxa"/>
              <w:right w:w="0" w:type="dxa"/>
            </w:tcMar>
          </w:tcPr>
          <w:p w14:paraId="4772130E" w14:textId="4233A55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7.9</w:t>
            </w:r>
          </w:p>
        </w:tc>
      </w:tr>
      <w:tr w:rsidR="009601CE" w:rsidRPr="00895810" w14:paraId="02744F82" w14:textId="77777777" w:rsidTr="00C55BF9">
        <w:trPr>
          <w:trHeight w:hRule="exact" w:val="289"/>
        </w:trPr>
        <w:tc>
          <w:tcPr>
            <w:tcW w:w="4253" w:type="dxa"/>
            <w:tcBorders>
              <w:top w:val="single" w:sz="2" w:space="0" w:color="3D7FE0" w:themeColor="accent1"/>
            </w:tcBorders>
            <w:tcMar>
              <w:left w:w="0" w:type="dxa"/>
              <w:right w:w="0" w:type="dxa"/>
            </w:tcMar>
            <w:vAlign w:val="bottom"/>
          </w:tcPr>
          <w:p w14:paraId="45D5C9A1"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425" w:type="dxa"/>
            <w:tcBorders>
              <w:top w:val="single" w:sz="2" w:space="0" w:color="3D7FE0" w:themeColor="accent1"/>
            </w:tcBorders>
            <w:vAlign w:val="bottom"/>
          </w:tcPr>
          <w:p w14:paraId="7CD21351" w14:textId="143B6671"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Borders>
              <w:top w:val="single" w:sz="2" w:space="0" w:color="3D7FE0" w:themeColor="accent1"/>
            </w:tcBorders>
          </w:tcPr>
          <w:p w14:paraId="223C1100" w14:textId="4507C385"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22.3</w:t>
            </w:r>
          </w:p>
        </w:tc>
        <w:tc>
          <w:tcPr>
            <w:tcW w:w="874" w:type="dxa"/>
            <w:tcBorders>
              <w:top w:val="single" w:sz="2" w:space="0" w:color="3D7FE0" w:themeColor="accent1"/>
            </w:tcBorders>
          </w:tcPr>
          <w:p w14:paraId="7564E92A" w14:textId="55E48E25"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24.8</w:t>
            </w:r>
          </w:p>
        </w:tc>
        <w:tc>
          <w:tcPr>
            <w:tcW w:w="874" w:type="dxa"/>
            <w:tcBorders>
              <w:top w:val="single" w:sz="2" w:space="0" w:color="3D7FE0" w:themeColor="accent1"/>
            </w:tcBorders>
          </w:tcPr>
          <w:p w14:paraId="3B51EAFE" w14:textId="525B69DA"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36.3</w:t>
            </w:r>
          </w:p>
        </w:tc>
        <w:tc>
          <w:tcPr>
            <w:tcW w:w="874" w:type="dxa"/>
            <w:tcBorders>
              <w:top w:val="single" w:sz="2" w:space="0" w:color="3D7FE0" w:themeColor="accent1"/>
            </w:tcBorders>
            <w:tcMar>
              <w:left w:w="0" w:type="dxa"/>
              <w:right w:w="0" w:type="dxa"/>
            </w:tcMar>
          </w:tcPr>
          <w:p w14:paraId="50B0DA21" w14:textId="17F8A937"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18.9</w:t>
            </w:r>
          </w:p>
        </w:tc>
        <w:tc>
          <w:tcPr>
            <w:tcW w:w="874" w:type="dxa"/>
            <w:tcBorders>
              <w:top w:val="single" w:sz="2" w:space="0" w:color="3D7FE0" w:themeColor="accent1"/>
            </w:tcBorders>
            <w:tcMar>
              <w:left w:w="0" w:type="dxa"/>
              <w:right w:w="0" w:type="dxa"/>
            </w:tcMar>
          </w:tcPr>
          <w:p w14:paraId="2BAD053F" w14:textId="39804E5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19.1</w:t>
            </w:r>
          </w:p>
        </w:tc>
        <w:tc>
          <w:tcPr>
            <w:tcW w:w="874" w:type="dxa"/>
            <w:tcBorders>
              <w:top w:val="single" w:sz="2" w:space="0" w:color="3D7FE0" w:themeColor="accent1"/>
            </w:tcBorders>
            <w:tcMar>
              <w:left w:w="0" w:type="dxa"/>
              <w:right w:w="0" w:type="dxa"/>
            </w:tcMar>
          </w:tcPr>
          <w:p w14:paraId="27AF12E3" w14:textId="0A4B2626"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39.2</w:t>
            </w:r>
          </w:p>
        </w:tc>
      </w:tr>
      <w:tr w:rsidR="009601CE" w:rsidRPr="00895810" w14:paraId="3081DA24" w14:textId="77777777" w:rsidTr="00D65D59">
        <w:trPr>
          <w:trHeight w:hRule="exact" w:val="289"/>
        </w:trPr>
        <w:tc>
          <w:tcPr>
            <w:tcW w:w="4253" w:type="dxa"/>
            <w:tcMar>
              <w:left w:w="0" w:type="dxa"/>
              <w:right w:w="0" w:type="dxa"/>
            </w:tcMar>
            <w:vAlign w:val="bottom"/>
          </w:tcPr>
          <w:p w14:paraId="17F753E6" w14:textId="77777777"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Current liabilities</w:t>
            </w:r>
          </w:p>
        </w:tc>
        <w:tc>
          <w:tcPr>
            <w:tcW w:w="425" w:type="dxa"/>
            <w:vAlign w:val="bottom"/>
          </w:tcPr>
          <w:p w14:paraId="4CFEF812" w14:textId="36FCB6A3" w:rsidR="009601CE" w:rsidRPr="00895810" w:rsidRDefault="009601CE" w:rsidP="009601CE">
            <w:pPr>
              <w:pStyle w:val="TableFiguresBrackets"/>
              <w:ind w:right="0"/>
              <w:jc w:val="left"/>
              <w:rPr>
                <w:rFonts w:ascii="IBM Plex Sans Light" w:hAnsi="IBM Plex Sans Light" w:cs="MyriadPro-Light"/>
                <w:b/>
                <w:color w:val="3D7FE0" w:themeColor="accent1"/>
                <w:spacing w:val="-4"/>
                <w:szCs w:val="16"/>
              </w:rPr>
            </w:pPr>
          </w:p>
        </w:tc>
        <w:tc>
          <w:tcPr>
            <w:tcW w:w="873" w:type="dxa"/>
          </w:tcPr>
          <w:p w14:paraId="6C7FB5E9"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Pr>
          <w:p w14:paraId="7A7290A5"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Pr>
          <w:p w14:paraId="18240474"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38CB8905"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7354451A"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02EBF0CF" w14:textId="77777777" w:rsidR="009601CE" w:rsidRPr="009601CE" w:rsidRDefault="009601CE" w:rsidP="009601CE">
            <w:pPr>
              <w:pStyle w:val="TableFiguresBold"/>
              <w:rPr>
                <w:rFonts w:ascii="IBM Plex Sans Medium" w:hAnsi="IBM Plex Sans Medium"/>
                <w:color w:val="3D7FE0" w:themeColor="accent1"/>
                <w:sz w:val="18"/>
                <w:szCs w:val="22"/>
              </w:rPr>
            </w:pPr>
          </w:p>
        </w:tc>
      </w:tr>
      <w:tr w:rsidR="009601CE" w:rsidRPr="00895810" w14:paraId="575424CE" w14:textId="77777777" w:rsidTr="00C55BF9">
        <w:trPr>
          <w:trHeight w:hRule="exact" w:val="255"/>
        </w:trPr>
        <w:tc>
          <w:tcPr>
            <w:tcW w:w="4253" w:type="dxa"/>
            <w:tcMar>
              <w:left w:w="0" w:type="dxa"/>
              <w:right w:w="0" w:type="dxa"/>
            </w:tcMar>
            <w:vAlign w:val="bottom"/>
          </w:tcPr>
          <w:p w14:paraId="4C83461C"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Loans - secured</w:t>
            </w:r>
          </w:p>
        </w:tc>
        <w:tc>
          <w:tcPr>
            <w:tcW w:w="425" w:type="dxa"/>
            <w:vAlign w:val="bottom"/>
          </w:tcPr>
          <w:p w14:paraId="632582C7" w14:textId="77777777"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Pr>
          <w:p w14:paraId="3116E7A2" w14:textId="3C2E109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Pr>
          <w:p w14:paraId="56C0F570" w14:textId="4E3E2619"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Pr>
          <w:p w14:paraId="43949D62" w14:textId="0003238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37668E52" w14:textId="13777DF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746EB1D5" w14:textId="6A291B5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55A9349C" w14:textId="460BBF4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r>
      <w:tr w:rsidR="009601CE" w:rsidRPr="00895810" w14:paraId="7EB8FA34" w14:textId="77777777" w:rsidTr="00C55BF9">
        <w:trPr>
          <w:trHeight w:hRule="exact" w:val="255"/>
        </w:trPr>
        <w:tc>
          <w:tcPr>
            <w:tcW w:w="4253" w:type="dxa"/>
            <w:tcBorders>
              <w:bottom w:val="single" w:sz="2" w:space="0" w:color="3D7FE0" w:themeColor="accent1"/>
            </w:tcBorders>
            <w:tcMar>
              <w:left w:w="0" w:type="dxa"/>
              <w:right w:w="0" w:type="dxa"/>
            </w:tcMar>
            <w:vAlign w:val="bottom"/>
          </w:tcPr>
          <w:p w14:paraId="2E7E25F3"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w:t>
            </w:r>
          </w:p>
        </w:tc>
        <w:tc>
          <w:tcPr>
            <w:tcW w:w="425" w:type="dxa"/>
            <w:tcBorders>
              <w:bottom w:val="single" w:sz="2" w:space="0" w:color="3D7FE0" w:themeColor="accent1"/>
            </w:tcBorders>
            <w:vAlign w:val="bottom"/>
          </w:tcPr>
          <w:p w14:paraId="69C91AED" w14:textId="7DAE9B06"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Borders>
              <w:bottom w:val="single" w:sz="2" w:space="0" w:color="3D7FE0" w:themeColor="accent1"/>
            </w:tcBorders>
          </w:tcPr>
          <w:p w14:paraId="631AE12B" w14:textId="4148795B"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(14.9)</w:t>
            </w:r>
          </w:p>
        </w:tc>
        <w:tc>
          <w:tcPr>
            <w:tcW w:w="874" w:type="dxa"/>
            <w:tcBorders>
              <w:bottom w:val="single" w:sz="2" w:space="0" w:color="3D7FE0" w:themeColor="accent1"/>
            </w:tcBorders>
          </w:tcPr>
          <w:p w14:paraId="193D1E1E" w14:textId="14645D98"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(13.1)</w:t>
            </w:r>
          </w:p>
        </w:tc>
        <w:tc>
          <w:tcPr>
            <w:tcW w:w="874" w:type="dxa"/>
            <w:tcBorders>
              <w:bottom w:val="single" w:sz="2" w:space="0" w:color="3D7FE0" w:themeColor="accent1"/>
            </w:tcBorders>
          </w:tcPr>
          <w:p w14:paraId="58B9232A" w14:textId="4BB4D12B"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(22.0)</w:t>
            </w:r>
          </w:p>
        </w:tc>
        <w:tc>
          <w:tcPr>
            <w:tcW w:w="874" w:type="dxa"/>
            <w:tcBorders>
              <w:bottom w:val="single" w:sz="2" w:space="0" w:color="3D7FE0" w:themeColor="accent1"/>
            </w:tcBorders>
            <w:tcMar>
              <w:left w:w="0" w:type="dxa"/>
              <w:right w:w="0" w:type="dxa"/>
            </w:tcMar>
          </w:tcPr>
          <w:p w14:paraId="5186D9EC" w14:textId="72C92D11"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(10.8)</w:t>
            </w:r>
          </w:p>
        </w:tc>
        <w:tc>
          <w:tcPr>
            <w:tcW w:w="874" w:type="dxa"/>
            <w:tcBorders>
              <w:bottom w:val="single" w:sz="2" w:space="0" w:color="3D7FE0" w:themeColor="accent1"/>
            </w:tcBorders>
            <w:tcMar>
              <w:left w:w="0" w:type="dxa"/>
              <w:right w:w="0" w:type="dxa"/>
            </w:tcMar>
          </w:tcPr>
          <w:p w14:paraId="3D632081" w14:textId="2AD2EC33"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(8.9)</w:t>
            </w:r>
          </w:p>
        </w:tc>
        <w:tc>
          <w:tcPr>
            <w:tcW w:w="874" w:type="dxa"/>
            <w:tcBorders>
              <w:bottom w:val="single" w:sz="2" w:space="0" w:color="3D7FE0" w:themeColor="accent1"/>
            </w:tcBorders>
            <w:tcMar>
              <w:left w:w="0" w:type="dxa"/>
              <w:right w:w="0" w:type="dxa"/>
            </w:tcMar>
          </w:tcPr>
          <w:p w14:paraId="1EE2D2AD" w14:textId="78BC204A"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(17.0)</w:t>
            </w:r>
          </w:p>
        </w:tc>
      </w:tr>
      <w:tr w:rsidR="009601CE" w:rsidRPr="00895810" w14:paraId="59561561" w14:textId="77777777" w:rsidTr="00C55BF9">
        <w:trPr>
          <w:trHeight w:hRule="exact" w:val="289"/>
        </w:trPr>
        <w:tc>
          <w:tcPr>
            <w:tcW w:w="4253" w:type="dxa"/>
            <w:tcBorders>
              <w:top w:val="single" w:sz="2" w:space="0" w:color="3D7FE0" w:themeColor="accent1"/>
            </w:tcBorders>
            <w:tcMar>
              <w:left w:w="0" w:type="dxa"/>
              <w:right w:w="0" w:type="dxa"/>
            </w:tcMar>
            <w:vAlign w:val="bottom"/>
          </w:tcPr>
          <w:p w14:paraId="176C77B6"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425" w:type="dxa"/>
            <w:tcBorders>
              <w:top w:val="single" w:sz="2" w:space="0" w:color="3D7FE0" w:themeColor="accent1"/>
            </w:tcBorders>
            <w:vAlign w:val="bottom"/>
          </w:tcPr>
          <w:p w14:paraId="59F1C171" w14:textId="7CBA7020" w:rsidR="009601CE" w:rsidRPr="00895810" w:rsidRDefault="009601CE" w:rsidP="009601CE">
            <w:pPr>
              <w:pStyle w:val="TableFiguresBrackets"/>
              <w:ind w:right="0"/>
              <w:jc w:val="left"/>
              <w:rPr>
                <w:rFonts w:ascii="IBM Plex Sans Light" w:hAnsi="IBM Plex Sans Light" w:cs="MyriadPro-Light"/>
                <w:b/>
                <w:bCs/>
                <w:color w:val="3D7FE0" w:themeColor="accent1"/>
                <w:spacing w:val="-4"/>
                <w:szCs w:val="16"/>
              </w:rPr>
            </w:pPr>
          </w:p>
        </w:tc>
        <w:tc>
          <w:tcPr>
            <w:tcW w:w="873" w:type="dxa"/>
            <w:tcBorders>
              <w:top w:val="single" w:sz="2" w:space="0" w:color="3D7FE0" w:themeColor="accent1"/>
            </w:tcBorders>
          </w:tcPr>
          <w:p w14:paraId="2A96F268" w14:textId="69675946"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(14.9)</w:t>
            </w:r>
          </w:p>
        </w:tc>
        <w:tc>
          <w:tcPr>
            <w:tcW w:w="874" w:type="dxa"/>
            <w:tcBorders>
              <w:top w:val="single" w:sz="2" w:space="0" w:color="3D7FE0" w:themeColor="accent1"/>
            </w:tcBorders>
          </w:tcPr>
          <w:p w14:paraId="7BDE37E6" w14:textId="3CD8B017"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(13.1)</w:t>
            </w:r>
          </w:p>
        </w:tc>
        <w:tc>
          <w:tcPr>
            <w:tcW w:w="874" w:type="dxa"/>
            <w:tcBorders>
              <w:top w:val="single" w:sz="2" w:space="0" w:color="3D7FE0" w:themeColor="accent1"/>
            </w:tcBorders>
          </w:tcPr>
          <w:p w14:paraId="171374A2" w14:textId="642FA6D3"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(22.0)</w:t>
            </w:r>
          </w:p>
        </w:tc>
        <w:tc>
          <w:tcPr>
            <w:tcW w:w="874" w:type="dxa"/>
            <w:tcBorders>
              <w:top w:val="single" w:sz="2" w:space="0" w:color="3D7FE0" w:themeColor="accent1"/>
            </w:tcBorders>
            <w:tcMar>
              <w:left w:w="0" w:type="dxa"/>
              <w:right w:w="0" w:type="dxa"/>
            </w:tcMar>
          </w:tcPr>
          <w:p w14:paraId="606E2AEA" w14:textId="131FD4E1"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(10.8)</w:t>
            </w:r>
          </w:p>
        </w:tc>
        <w:tc>
          <w:tcPr>
            <w:tcW w:w="874" w:type="dxa"/>
            <w:tcBorders>
              <w:top w:val="single" w:sz="2" w:space="0" w:color="3D7FE0" w:themeColor="accent1"/>
            </w:tcBorders>
            <w:tcMar>
              <w:left w:w="0" w:type="dxa"/>
              <w:right w:w="0" w:type="dxa"/>
            </w:tcMar>
          </w:tcPr>
          <w:p w14:paraId="7D713875" w14:textId="4736889D"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(8.9)</w:t>
            </w:r>
          </w:p>
        </w:tc>
        <w:tc>
          <w:tcPr>
            <w:tcW w:w="874" w:type="dxa"/>
            <w:tcBorders>
              <w:top w:val="single" w:sz="2" w:space="0" w:color="3D7FE0" w:themeColor="accent1"/>
            </w:tcBorders>
            <w:tcMar>
              <w:left w:w="0" w:type="dxa"/>
              <w:right w:w="0" w:type="dxa"/>
            </w:tcMar>
          </w:tcPr>
          <w:p w14:paraId="7B8FDE74" w14:textId="1223D6D0"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(17.0)</w:t>
            </w:r>
          </w:p>
        </w:tc>
      </w:tr>
      <w:tr w:rsidR="009601CE" w:rsidRPr="00895810" w14:paraId="2394CF8F" w14:textId="77777777" w:rsidTr="00D65D59">
        <w:trPr>
          <w:trHeight w:hRule="exact" w:val="289"/>
        </w:trPr>
        <w:tc>
          <w:tcPr>
            <w:tcW w:w="4253" w:type="dxa"/>
            <w:tcMar>
              <w:left w:w="0" w:type="dxa"/>
              <w:right w:w="0" w:type="dxa"/>
            </w:tcMar>
            <w:vAlign w:val="bottom"/>
          </w:tcPr>
          <w:p w14:paraId="02E5DCF1" w14:textId="77777777" w:rsidR="009601CE" w:rsidRPr="00895810" w:rsidRDefault="009601CE" w:rsidP="009601CE">
            <w:pPr>
              <w:pStyle w:val="TableFiguresBrackets"/>
              <w:jc w:val="left"/>
              <w:rPr>
                <w:rFonts w:ascii="IBM Plex Sans Light" w:hAnsi="IBM Plex Sans Light"/>
                <w:b/>
                <w:sz w:val="18"/>
                <w:szCs w:val="18"/>
              </w:rPr>
            </w:pPr>
            <w:r w:rsidRPr="00895810">
              <w:rPr>
                <w:rFonts w:ascii="IBM Plex Sans Light" w:hAnsi="IBM Plex Sans Light"/>
                <w:b/>
                <w:color w:val="3D7FE0" w:themeColor="accent1"/>
                <w:sz w:val="18"/>
                <w:szCs w:val="18"/>
              </w:rPr>
              <w:t>Non-current liabilities</w:t>
            </w:r>
          </w:p>
        </w:tc>
        <w:tc>
          <w:tcPr>
            <w:tcW w:w="425" w:type="dxa"/>
            <w:vAlign w:val="bottom"/>
          </w:tcPr>
          <w:p w14:paraId="567F1336" w14:textId="671A9C2A" w:rsidR="009601CE" w:rsidRPr="00895810" w:rsidRDefault="009601CE" w:rsidP="009601CE">
            <w:pPr>
              <w:pStyle w:val="TableFiguresBrackets"/>
              <w:ind w:right="0"/>
              <w:jc w:val="left"/>
              <w:rPr>
                <w:rFonts w:ascii="IBM Plex Sans Light" w:hAnsi="IBM Plex Sans Light"/>
                <w:b/>
                <w:szCs w:val="16"/>
              </w:rPr>
            </w:pPr>
          </w:p>
        </w:tc>
        <w:tc>
          <w:tcPr>
            <w:tcW w:w="873" w:type="dxa"/>
          </w:tcPr>
          <w:p w14:paraId="6410EAD0"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Pr>
          <w:p w14:paraId="780D127D"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Pr>
          <w:p w14:paraId="288B38F4"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00149FB8"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323FF65D"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74" w:type="dxa"/>
            <w:tcMar>
              <w:left w:w="0" w:type="dxa"/>
              <w:right w:w="0" w:type="dxa"/>
            </w:tcMar>
          </w:tcPr>
          <w:p w14:paraId="5ADB212E" w14:textId="77777777" w:rsidR="009601CE" w:rsidRPr="009601CE" w:rsidRDefault="009601CE" w:rsidP="009601CE">
            <w:pPr>
              <w:pStyle w:val="TableFiguresBold"/>
              <w:rPr>
                <w:rFonts w:ascii="IBM Plex Sans Medium" w:hAnsi="IBM Plex Sans Medium"/>
                <w:color w:val="3D7FE0" w:themeColor="accent1"/>
                <w:sz w:val="18"/>
                <w:szCs w:val="22"/>
              </w:rPr>
            </w:pPr>
          </w:p>
        </w:tc>
      </w:tr>
      <w:tr w:rsidR="00C55BF9" w:rsidRPr="00895810" w14:paraId="6F5AB9C8" w14:textId="77777777" w:rsidTr="00D65D59">
        <w:trPr>
          <w:trHeight w:hRule="exact" w:val="261"/>
        </w:trPr>
        <w:tc>
          <w:tcPr>
            <w:tcW w:w="4253" w:type="dxa"/>
            <w:tcMar>
              <w:left w:w="0" w:type="dxa"/>
              <w:right w:w="0" w:type="dxa"/>
            </w:tcMar>
            <w:vAlign w:val="bottom"/>
          </w:tcPr>
          <w:p w14:paraId="049D92C3" w14:textId="77777777" w:rsidR="00C55BF9" w:rsidRPr="00895810" w:rsidRDefault="00C55BF9" w:rsidP="00C55BF9">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Obligations under head leases</w:t>
            </w:r>
          </w:p>
        </w:tc>
        <w:tc>
          <w:tcPr>
            <w:tcW w:w="425" w:type="dxa"/>
            <w:vAlign w:val="bottom"/>
          </w:tcPr>
          <w:p w14:paraId="55F8AD52" w14:textId="1ACB4EDF" w:rsidR="00C55BF9" w:rsidRPr="00895810" w:rsidRDefault="00C55BF9" w:rsidP="00C55BF9">
            <w:pPr>
              <w:pStyle w:val="TableFiguresBrackets"/>
              <w:ind w:right="0"/>
              <w:jc w:val="left"/>
              <w:rPr>
                <w:rFonts w:ascii="IBM Plex Sans Light" w:hAnsi="IBM Plex Sans Light" w:cs="MyriadPro-Light"/>
                <w:b/>
                <w:bCs/>
                <w:color w:val="3D7FE0" w:themeColor="accent1"/>
                <w:spacing w:val="-4"/>
                <w:szCs w:val="16"/>
              </w:rPr>
            </w:pPr>
          </w:p>
        </w:tc>
        <w:tc>
          <w:tcPr>
            <w:tcW w:w="873" w:type="dxa"/>
          </w:tcPr>
          <w:p w14:paraId="401DFDAD" w14:textId="3296FA39"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(12.8)</w:t>
            </w:r>
          </w:p>
        </w:tc>
        <w:tc>
          <w:tcPr>
            <w:tcW w:w="874" w:type="dxa"/>
          </w:tcPr>
          <w:p w14:paraId="5999BC59" w14:textId="4F9FBB49"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(14.1)</w:t>
            </w:r>
          </w:p>
        </w:tc>
        <w:tc>
          <w:tcPr>
            <w:tcW w:w="874" w:type="dxa"/>
          </w:tcPr>
          <w:p w14:paraId="79DB8EC0" w14:textId="73FF8FE4"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77005595" w14:textId="686EBD09" w:rsidR="00C55BF9" w:rsidRPr="00024B10" w:rsidRDefault="00C55BF9" w:rsidP="00024B10">
            <w:pPr>
              <w:pStyle w:val="TableFiguresBrackets"/>
              <w:rPr>
                <w:rFonts w:ascii="IBM Plex Sans Medium" w:hAnsi="IBM Plex Sans Medium"/>
                <w:color w:val="3D7FE0" w:themeColor="accent1"/>
                <w:spacing w:val="-4"/>
                <w:sz w:val="18"/>
                <w:szCs w:val="18"/>
              </w:rPr>
            </w:pPr>
            <w:r w:rsidRPr="00024B10">
              <w:rPr>
                <w:rFonts w:ascii="IBM Plex Sans Medium" w:hAnsi="IBM Plex Sans Medium"/>
                <w:b/>
                <w:bCs/>
                <w:color w:val="3D7FE0" w:themeColor="accent1"/>
                <w:spacing w:val="-4"/>
                <w:sz w:val="18"/>
                <w:szCs w:val="18"/>
              </w:rPr>
              <w:t>(2.8)</w:t>
            </w:r>
          </w:p>
        </w:tc>
        <w:tc>
          <w:tcPr>
            <w:tcW w:w="874" w:type="dxa"/>
            <w:tcMar>
              <w:left w:w="0" w:type="dxa"/>
              <w:right w:w="0" w:type="dxa"/>
            </w:tcMar>
          </w:tcPr>
          <w:p w14:paraId="62E01C74" w14:textId="4F1306A9"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4AB07A90" w14:textId="4016866A"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(4.2)</w:t>
            </w:r>
          </w:p>
        </w:tc>
      </w:tr>
      <w:tr w:rsidR="00C55BF9" w:rsidRPr="00895810" w14:paraId="7309F84A" w14:textId="77777777" w:rsidTr="00366E57">
        <w:trPr>
          <w:trHeight w:hRule="exact" w:val="255"/>
        </w:trPr>
        <w:tc>
          <w:tcPr>
            <w:tcW w:w="4253" w:type="dxa"/>
            <w:tcMar>
              <w:left w:w="0" w:type="dxa"/>
              <w:right w:w="0" w:type="dxa"/>
            </w:tcMar>
            <w:vAlign w:val="bottom"/>
          </w:tcPr>
          <w:p w14:paraId="0869473D" w14:textId="5DF47671" w:rsidR="00C55BF9" w:rsidRPr="00895810" w:rsidRDefault="00C55BF9" w:rsidP="00C55BF9">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 – due to Group companies</w:t>
            </w:r>
          </w:p>
        </w:tc>
        <w:tc>
          <w:tcPr>
            <w:tcW w:w="425" w:type="dxa"/>
            <w:vAlign w:val="bottom"/>
          </w:tcPr>
          <w:p w14:paraId="069614D6" w14:textId="7135ED7D" w:rsidR="00C55BF9" w:rsidRPr="005B0D3D" w:rsidRDefault="00C55BF9" w:rsidP="00C55BF9">
            <w:pPr>
              <w:pStyle w:val="TableFiguresBrackets"/>
              <w:ind w:right="0"/>
              <w:jc w:val="left"/>
              <w:rPr>
                <w:rFonts w:ascii="IBM Plex Sans Light" w:hAnsi="IBM Plex Sans Light" w:cs="MyriadPro-Light"/>
                <w:color w:val="auto"/>
                <w:spacing w:val="-4"/>
                <w:szCs w:val="16"/>
              </w:rPr>
            </w:pPr>
            <w:r w:rsidRPr="005B0D3D">
              <w:rPr>
                <w:rFonts w:ascii="IBM Plex Sans Light" w:hAnsi="IBM Plex Sans Light" w:cs="MyriadPro-Light"/>
                <w:color w:val="auto"/>
                <w:spacing w:val="-4"/>
                <w:szCs w:val="16"/>
              </w:rPr>
              <w:t>b</w:t>
            </w:r>
          </w:p>
        </w:tc>
        <w:tc>
          <w:tcPr>
            <w:tcW w:w="873" w:type="dxa"/>
          </w:tcPr>
          <w:p w14:paraId="46AA0DDD" w14:textId="251B297D"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Pr>
          <w:p w14:paraId="04E2B300" w14:textId="69BC1826"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Pr>
          <w:p w14:paraId="07F9C711" w14:textId="7D71D106"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14569645" w14:textId="7069D136"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58CF864B" w14:textId="654B567B"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74" w:type="dxa"/>
            <w:tcMar>
              <w:left w:w="0" w:type="dxa"/>
              <w:right w:w="0" w:type="dxa"/>
            </w:tcMar>
          </w:tcPr>
          <w:p w14:paraId="2C5FD20D" w14:textId="6AE6B372"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(348.2)</w:t>
            </w:r>
          </w:p>
        </w:tc>
      </w:tr>
      <w:tr w:rsidR="00C55BF9" w:rsidRPr="00895810" w14:paraId="7107D966" w14:textId="77777777" w:rsidTr="00366E57">
        <w:trPr>
          <w:trHeight w:hRule="exact" w:val="255"/>
        </w:trPr>
        <w:tc>
          <w:tcPr>
            <w:tcW w:w="4253" w:type="dxa"/>
            <w:tcBorders>
              <w:bottom w:val="single" w:sz="2" w:space="0" w:color="3D7FE0" w:themeColor="accent1"/>
            </w:tcBorders>
            <w:tcMar>
              <w:left w:w="0" w:type="dxa"/>
              <w:right w:w="0" w:type="dxa"/>
            </w:tcMar>
            <w:vAlign w:val="bottom"/>
          </w:tcPr>
          <w:p w14:paraId="15018910" w14:textId="5F92012A" w:rsidR="00C55BF9" w:rsidRPr="00895810" w:rsidRDefault="00C55BF9" w:rsidP="00C55BF9">
            <w:pPr>
              <w:pStyle w:val="TableFiguresBrackets"/>
              <w:jc w:val="left"/>
              <w:rPr>
                <w:rFonts w:ascii="IBM Plex Sans Light" w:hAnsi="IBM Plex Sans Light"/>
                <w:bCs/>
                <w:sz w:val="18"/>
                <w:szCs w:val="18"/>
              </w:rPr>
            </w:pPr>
            <w:r w:rsidRPr="00895810">
              <w:rPr>
                <w:rFonts w:ascii="IBM Plex Sans Light" w:hAnsi="IBM Plex Sans Light"/>
                <w:bCs/>
                <w:sz w:val="18"/>
                <w:szCs w:val="18"/>
              </w:rPr>
              <w:t xml:space="preserve">                     </w:t>
            </w:r>
            <w:r>
              <w:rPr>
                <w:rFonts w:ascii="IBM Plex Sans Light" w:hAnsi="IBM Plex Sans Light"/>
                <w:bCs/>
                <w:sz w:val="18"/>
                <w:szCs w:val="18"/>
              </w:rPr>
              <w:t xml:space="preserve">      </w:t>
            </w:r>
            <w:r w:rsidRPr="00895810">
              <w:rPr>
                <w:rFonts w:ascii="IBM Plex Sans Light" w:hAnsi="IBM Plex Sans Light"/>
                <w:bCs/>
                <w:sz w:val="18"/>
                <w:szCs w:val="18"/>
              </w:rPr>
              <w:t xml:space="preserve">  – other parties and deferred tax   </w:t>
            </w:r>
          </w:p>
        </w:tc>
        <w:tc>
          <w:tcPr>
            <w:tcW w:w="425" w:type="dxa"/>
            <w:tcBorders>
              <w:bottom w:val="single" w:sz="2" w:space="0" w:color="3D7FE0" w:themeColor="accent1"/>
            </w:tcBorders>
            <w:vAlign w:val="bottom"/>
          </w:tcPr>
          <w:p w14:paraId="76F3E63A" w14:textId="77777777" w:rsidR="00C55BF9" w:rsidRPr="00024B10" w:rsidRDefault="00C55BF9" w:rsidP="00C55BF9">
            <w:pPr>
              <w:pStyle w:val="TableFiguresBrackets"/>
              <w:ind w:right="0"/>
              <w:jc w:val="left"/>
              <w:rPr>
                <w:rFonts w:ascii="IBM Plex Sans Light" w:hAnsi="IBM Plex Sans Light" w:cs="MyriadPro-Light"/>
                <w:color w:val="auto"/>
                <w:spacing w:val="-4"/>
                <w:szCs w:val="16"/>
              </w:rPr>
            </w:pPr>
          </w:p>
        </w:tc>
        <w:tc>
          <w:tcPr>
            <w:tcW w:w="873" w:type="dxa"/>
            <w:tcBorders>
              <w:bottom w:val="single" w:sz="2" w:space="0" w:color="3D7FE0" w:themeColor="accent1"/>
            </w:tcBorders>
          </w:tcPr>
          <w:p w14:paraId="05D440DA" w14:textId="3615BDA3"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(0.9)</w:t>
            </w:r>
          </w:p>
        </w:tc>
        <w:tc>
          <w:tcPr>
            <w:tcW w:w="874" w:type="dxa"/>
            <w:tcBorders>
              <w:bottom w:val="single" w:sz="2" w:space="0" w:color="3D7FE0" w:themeColor="accent1"/>
            </w:tcBorders>
          </w:tcPr>
          <w:p w14:paraId="3AC88F63" w14:textId="06AFBB69"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(0.2)</w:t>
            </w:r>
          </w:p>
        </w:tc>
        <w:tc>
          <w:tcPr>
            <w:tcW w:w="874" w:type="dxa"/>
            <w:tcBorders>
              <w:bottom w:val="single" w:sz="2" w:space="0" w:color="3D7FE0" w:themeColor="accent1"/>
            </w:tcBorders>
          </w:tcPr>
          <w:p w14:paraId="3B31988A" w14:textId="2C442ABB"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(0.6)</w:t>
            </w:r>
          </w:p>
        </w:tc>
        <w:tc>
          <w:tcPr>
            <w:tcW w:w="874" w:type="dxa"/>
            <w:tcBorders>
              <w:bottom w:val="single" w:sz="2" w:space="0" w:color="3D7FE0" w:themeColor="accent1"/>
            </w:tcBorders>
            <w:tcMar>
              <w:left w:w="0" w:type="dxa"/>
              <w:right w:w="0" w:type="dxa"/>
            </w:tcMar>
          </w:tcPr>
          <w:p w14:paraId="78B5BC39" w14:textId="748D7BA2"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(0.4)</w:t>
            </w:r>
          </w:p>
        </w:tc>
        <w:tc>
          <w:tcPr>
            <w:tcW w:w="874" w:type="dxa"/>
            <w:tcBorders>
              <w:bottom w:val="single" w:sz="2" w:space="0" w:color="3D7FE0" w:themeColor="accent1"/>
            </w:tcBorders>
            <w:tcMar>
              <w:left w:w="0" w:type="dxa"/>
              <w:right w:w="0" w:type="dxa"/>
            </w:tcMar>
          </w:tcPr>
          <w:p w14:paraId="6F02CB98" w14:textId="3B2812EC"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(0.4)</w:t>
            </w:r>
          </w:p>
        </w:tc>
        <w:tc>
          <w:tcPr>
            <w:tcW w:w="874" w:type="dxa"/>
            <w:tcBorders>
              <w:bottom w:val="single" w:sz="2" w:space="0" w:color="3D7FE0" w:themeColor="accent1"/>
            </w:tcBorders>
            <w:tcMar>
              <w:left w:w="0" w:type="dxa"/>
              <w:right w:w="0" w:type="dxa"/>
            </w:tcMar>
          </w:tcPr>
          <w:p w14:paraId="59496DD8" w14:textId="16FBD3D2"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(348.9)</w:t>
            </w:r>
          </w:p>
        </w:tc>
      </w:tr>
      <w:tr w:rsidR="00C55BF9" w:rsidRPr="00895810" w14:paraId="262EA878" w14:textId="77777777" w:rsidTr="00366E57">
        <w:trPr>
          <w:trHeight w:hRule="exact" w:val="255"/>
        </w:trPr>
        <w:tc>
          <w:tcPr>
            <w:tcW w:w="4253" w:type="dxa"/>
            <w:tcBorders>
              <w:top w:val="single" w:sz="2" w:space="0" w:color="3D7FE0" w:themeColor="accent1"/>
            </w:tcBorders>
            <w:tcMar>
              <w:left w:w="0" w:type="dxa"/>
              <w:right w:w="0" w:type="dxa"/>
            </w:tcMar>
            <w:vAlign w:val="bottom"/>
          </w:tcPr>
          <w:p w14:paraId="23308E20" w14:textId="77777777" w:rsidR="00C55BF9" w:rsidRPr="00895810" w:rsidRDefault="00C55BF9" w:rsidP="00C55BF9">
            <w:pPr>
              <w:pStyle w:val="TableFiguresBrackets"/>
              <w:jc w:val="left"/>
              <w:rPr>
                <w:rFonts w:ascii="IBM Plex Sans Light" w:hAnsi="IBM Plex Sans Light"/>
                <w:bCs/>
                <w:color w:val="auto"/>
                <w:spacing w:val="-4"/>
                <w:sz w:val="18"/>
                <w:szCs w:val="18"/>
              </w:rPr>
            </w:pPr>
          </w:p>
        </w:tc>
        <w:tc>
          <w:tcPr>
            <w:tcW w:w="425" w:type="dxa"/>
            <w:tcBorders>
              <w:top w:val="single" w:sz="2" w:space="0" w:color="3D7FE0" w:themeColor="accent1"/>
            </w:tcBorders>
            <w:vAlign w:val="bottom"/>
          </w:tcPr>
          <w:p w14:paraId="3927ECA9" w14:textId="6A859EF8" w:rsidR="00C55BF9" w:rsidRPr="005B0D3D" w:rsidRDefault="00C55BF9" w:rsidP="00C55BF9">
            <w:pPr>
              <w:pStyle w:val="TableFiguresBrackets"/>
              <w:ind w:right="0"/>
              <w:jc w:val="left"/>
              <w:rPr>
                <w:rFonts w:ascii="IBM Plex Sans Light" w:hAnsi="IBM Plex Sans Light"/>
                <w:color w:val="auto"/>
                <w:spacing w:val="-4"/>
                <w:szCs w:val="16"/>
              </w:rPr>
            </w:pPr>
          </w:p>
        </w:tc>
        <w:tc>
          <w:tcPr>
            <w:tcW w:w="873" w:type="dxa"/>
            <w:tcBorders>
              <w:top w:val="single" w:sz="2" w:space="0" w:color="3D7FE0" w:themeColor="accent1"/>
            </w:tcBorders>
          </w:tcPr>
          <w:p w14:paraId="4BAEE137" w14:textId="7016CCD5"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(13.7)</w:t>
            </w:r>
          </w:p>
        </w:tc>
        <w:tc>
          <w:tcPr>
            <w:tcW w:w="874" w:type="dxa"/>
            <w:tcBorders>
              <w:top w:val="single" w:sz="2" w:space="0" w:color="3D7FE0" w:themeColor="accent1"/>
            </w:tcBorders>
          </w:tcPr>
          <w:p w14:paraId="0F02E24F" w14:textId="2E6301B0"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(14.3)</w:t>
            </w:r>
          </w:p>
        </w:tc>
        <w:tc>
          <w:tcPr>
            <w:tcW w:w="874" w:type="dxa"/>
            <w:tcBorders>
              <w:top w:val="single" w:sz="2" w:space="0" w:color="3D7FE0" w:themeColor="accent1"/>
            </w:tcBorders>
          </w:tcPr>
          <w:p w14:paraId="7CB0B6AE" w14:textId="0E1F790B"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(0.6)</w:t>
            </w:r>
          </w:p>
        </w:tc>
        <w:tc>
          <w:tcPr>
            <w:tcW w:w="874" w:type="dxa"/>
            <w:tcBorders>
              <w:top w:val="single" w:sz="2" w:space="0" w:color="3D7FE0" w:themeColor="accent1"/>
            </w:tcBorders>
            <w:tcMar>
              <w:left w:w="0" w:type="dxa"/>
              <w:right w:w="0" w:type="dxa"/>
            </w:tcMar>
          </w:tcPr>
          <w:p w14:paraId="225D2414" w14:textId="2DE6437B"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(3.2)</w:t>
            </w:r>
          </w:p>
        </w:tc>
        <w:tc>
          <w:tcPr>
            <w:tcW w:w="874" w:type="dxa"/>
            <w:tcBorders>
              <w:top w:val="single" w:sz="2" w:space="0" w:color="3D7FE0" w:themeColor="accent1"/>
            </w:tcBorders>
            <w:tcMar>
              <w:left w:w="0" w:type="dxa"/>
              <w:right w:w="0" w:type="dxa"/>
            </w:tcMar>
          </w:tcPr>
          <w:p w14:paraId="6A3DD846" w14:textId="1C67B7C8"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(0.4)</w:t>
            </w:r>
          </w:p>
        </w:tc>
        <w:tc>
          <w:tcPr>
            <w:tcW w:w="874" w:type="dxa"/>
            <w:tcBorders>
              <w:top w:val="single" w:sz="2" w:space="0" w:color="3D7FE0" w:themeColor="accent1"/>
            </w:tcBorders>
            <w:tcMar>
              <w:left w:w="0" w:type="dxa"/>
              <w:right w:w="0" w:type="dxa"/>
            </w:tcMar>
          </w:tcPr>
          <w:p w14:paraId="619EDA6E" w14:textId="3AD4704C"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(701.3)</w:t>
            </w:r>
          </w:p>
        </w:tc>
      </w:tr>
      <w:tr w:rsidR="00C55BF9" w:rsidRPr="00895810" w14:paraId="4EEE67AE" w14:textId="77777777" w:rsidTr="00D65D59">
        <w:trPr>
          <w:trHeight w:hRule="exact" w:val="283"/>
        </w:trPr>
        <w:tc>
          <w:tcPr>
            <w:tcW w:w="4253" w:type="dxa"/>
            <w:tcBorders>
              <w:top w:val="single" w:sz="2" w:space="0" w:color="3D7FE0" w:themeColor="accent1"/>
              <w:bottom w:val="single" w:sz="8" w:space="0" w:color="3D7FE0" w:themeColor="accent1"/>
            </w:tcBorders>
            <w:tcMar>
              <w:left w:w="0" w:type="dxa"/>
              <w:right w:w="0" w:type="dxa"/>
            </w:tcMar>
            <w:vAlign w:val="bottom"/>
          </w:tcPr>
          <w:p w14:paraId="55406BE0" w14:textId="0DD51F4F" w:rsidR="00C55BF9" w:rsidRPr="00895810" w:rsidRDefault="00C55BF9" w:rsidP="00C55BF9">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Net assets</w:t>
            </w:r>
            <w:r>
              <w:rPr>
                <w:rFonts w:ascii="IBM Plex Sans Light" w:hAnsi="IBM Plex Sans Light"/>
                <w:b/>
                <w:color w:val="3D7FE0" w:themeColor="accent1"/>
                <w:sz w:val="18"/>
                <w:szCs w:val="18"/>
              </w:rPr>
              <w:t>/(liabilities)</w:t>
            </w:r>
          </w:p>
        </w:tc>
        <w:tc>
          <w:tcPr>
            <w:tcW w:w="425" w:type="dxa"/>
            <w:tcBorders>
              <w:top w:val="single" w:sz="2" w:space="0" w:color="3D7FE0" w:themeColor="accent1"/>
              <w:bottom w:val="single" w:sz="8" w:space="0" w:color="3D7FE0" w:themeColor="accent1"/>
            </w:tcBorders>
            <w:vAlign w:val="bottom"/>
          </w:tcPr>
          <w:p w14:paraId="1E4A6DD7" w14:textId="3CE4C6FA" w:rsidR="00C55BF9" w:rsidRPr="00024B10" w:rsidRDefault="00C55BF9" w:rsidP="00C55BF9">
            <w:pPr>
              <w:pStyle w:val="TableFiguresBrackets"/>
              <w:jc w:val="left"/>
              <w:rPr>
                <w:rFonts w:ascii="IBM Plex Sans Light" w:hAnsi="IBM Plex Sans Light" w:cs="MyriadPro-Light"/>
                <w:color w:val="auto"/>
                <w:spacing w:val="-4"/>
                <w:szCs w:val="16"/>
              </w:rPr>
            </w:pPr>
            <w:r w:rsidRPr="00024B10">
              <w:rPr>
                <w:rFonts w:ascii="IBM Plex Sans Light" w:hAnsi="IBM Plex Sans Light" w:cs="MyriadPro-Light"/>
                <w:color w:val="auto"/>
                <w:spacing w:val="-4"/>
                <w:szCs w:val="16"/>
              </w:rPr>
              <w:t>b</w:t>
            </w:r>
          </w:p>
        </w:tc>
        <w:tc>
          <w:tcPr>
            <w:tcW w:w="873" w:type="dxa"/>
            <w:tcBorders>
              <w:top w:val="single" w:sz="2" w:space="0" w:color="3D7FE0" w:themeColor="accent1"/>
              <w:bottom w:val="single" w:sz="8" w:space="0" w:color="3D7FE0" w:themeColor="accent1"/>
            </w:tcBorders>
          </w:tcPr>
          <w:p w14:paraId="28649298" w14:textId="207988DA"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394.5</w:t>
            </w:r>
          </w:p>
        </w:tc>
        <w:tc>
          <w:tcPr>
            <w:tcW w:w="874" w:type="dxa"/>
            <w:tcBorders>
              <w:top w:val="single" w:sz="2" w:space="0" w:color="3D7FE0" w:themeColor="accent1"/>
              <w:bottom w:val="single" w:sz="8" w:space="0" w:color="3D7FE0" w:themeColor="accent1"/>
            </w:tcBorders>
          </w:tcPr>
          <w:p w14:paraId="3558A19E" w14:textId="6AA577E9"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245.9</w:t>
            </w:r>
          </w:p>
        </w:tc>
        <w:tc>
          <w:tcPr>
            <w:tcW w:w="874" w:type="dxa"/>
            <w:tcBorders>
              <w:top w:val="single" w:sz="2" w:space="0" w:color="3D7FE0" w:themeColor="accent1"/>
              <w:bottom w:val="single" w:sz="8" w:space="0" w:color="3D7FE0" w:themeColor="accent1"/>
            </w:tcBorders>
          </w:tcPr>
          <w:p w14:paraId="243D006B" w14:textId="450893A9"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589.0</w:t>
            </w:r>
          </w:p>
        </w:tc>
        <w:tc>
          <w:tcPr>
            <w:tcW w:w="874" w:type="dxa"/>
            <w:tcBorders>
              <w:top w:val="single" w:sz="2" w:space="0" w:color="3D7FE0" w:themeColor="accent1"/>
              <w:bottom w:val="single" w:sz="8" w:space="0" w:color="3D7FE0" w:themeColor="accent1"/>
            </w:tcBorders>
            <w:tcMar>
              <w:left w:w="0" w:type="dxa"/>
              <w:right w:w="0" w:type="dxa"/>
            </w:tcMar>
          </w:tcPr>
          <w:p w14:paraId="5345D06D" w14:textId="58630DC7"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74.5</w:t>
            </w:r>
          </w:p>
        </w:tc>
        <w:tc>
          <w:tcPr>
            <w:tcW w:w="874" w:type="dxa"/>
            <w:tcBorders>
              <w:top w:val="single" w:sz="2" w:space="0" w:color="3D7FE0" w:themeColor="accent1"/>
              <w:bottom w:val="single" w:sz="8" w:space="0" w:color="3D7FE0" w:themeColor="accent1"/>
            </w:tcBorders>
            <w:tcMar>
              <w:left w:w="0" w:type="dxa"/>
              <w:right w:w="0" w:type="dxa"/>
            </w:tcMar>
          </w:tcPr>
          <w:p w14:paraId="3859D158" w14:textId="09FF8970" w:rsidR="00C55BF9" w:rsidRPr="009601CE" w:rsidRDefault="00C55BF9" w:rsidP="00C55BF9">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193.9</w:t>
            </w:r>
          </w:p>
        </w:tc>
        <w:tc>
          <w:tcPr>
            <w:tcW w:w="874" w:type="dxa"/>
            <w:tcBorders>
              <w:top w:val="single" w:sz="2" w:space="0" w:color="3D7FE0" w:themeColor="accent1"/>
              <w:bottom w:val="single" w:sz="8" w:space="0" w:color="3D7FE0" w:themeColor="accent1"/>
            </w:tcBorders>
            <w:tcMar>
              <w:left w:w="0" w:type="dxa"/>
              <w:right w:w="0" w:type="dxa"/>
            </w:tcMar>
          </w:tcPr>
          <w:p w14:paraId="68C0FE73" w14:textId="102C2096" w:rsidR="00C55BF9" w:rsidRPr="00366E57" w:rsidRDefault="00C55BF9"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(391.4)</w:t>
            </w:r>
          </w:p>
        </w:tc>
      </w:tr>
    </w:tbl>
    <w:p w14:paraId="2621B8D2" w14:textId="77777777" w:rsidR="009601CE" w:rsidRDefault="009601CE">
      <w:pPr>
        <w:spacing w:after="0" w:line="240" w:lineRule="auto"/>
        <w:rPr>
          <w:rFonts w:ascii="IBM Plex Sans Light" w:hAnsi="IBM Plex Sans Light"/>
          <w:color w:val="3D7FE0" w:themeColor="accent1"/>
        </w:rPr>
      </w:pPr>
    </w:p>
    <w:p w14:paraId="0A9E67A8" w14:textId="77777777" w:rsidR="009601CE" w:rsidRPr="007C5135" w:rsidRDefault="009601CE" w:rsidP="009601CE">
      <w:pPr>
        <w:spacing w:after="0" w:line="240" w:lineRule="auto"/>
        <w:ind w:left="284" w:right="-255" w:hanging="284"/>
        <w:rPr>
          <w:rFonts w:ascii="IBM Plex Sans Light" w:hAnsi="IBM Plex Sans Light" w:cs="Arial"/>
          <w:bCs/>
          <w:sz w:val="16"/>
          <w:szCs w:val="16"/>
        </w:rPr>
      </w:pPr>
      <w:r w:rsidRPr="007C5135">
        <w:rPr>
          <w:rFonts w:ascii="IBM Plex Sans Light" w:hAnsi="IBM Plex Sans Light" w:cs="Arial"/>
          <w:bCs/>
          <w:sz w:val="16"/>
          <w:szCs w:val="16"/>
        </w:rPr>
        <w:t>a</w:t>
      </w:r>
      <w:r w:rsidRPr="007C5135">
        <w:rPr>
          <w:rFonts w:ascii="IBM Plex Sans Light" w:hAnsi="IBM Plex Sans Light" w:cs="Arial"/>
          <w:bCs/>
          <w:sz w:val="16"/>
          <w:szCs w:val="16"/>
        </w:rPr>
        <w:tab/>
        <w:t>Following the impairment of Highcross to £nil in 2021, the Group ceased to equity account for its investment in this joint venture such that although gross balance sheet items on a proportionally consolidated basis remain included in the Group’s figures, it was excluded from all income statement metrics including revaluation losses. The effect of this is that the Group’s share of results was £nil and the cumulative losses restricted shown on the balance sheet therefore represents the Group’s share of losses which exceed the Group’s investment of £nil.</w:t>
      </w:r>
    </w:p>
    <w:p w14:paraId="3B763C44" w14:textId="77777777" w:rsidR="00366E57" w:rsidRPr="007C5135" w:rsidRDefault="009601CE" w:rsidP="009601CE">
      <w:pPr>
        <w:spacing w:after="0" w:line="240" w:lineRule="auto"/>
        <w:ind w:left="284" w:right="-255" w:hanging="284"/>
        <w:rPr>
          <w:rFonts w:ascii="IBM Plex Sans Light" w:hAnsi="IBM Plex Sans Light"/>
          <w:color w:val="3D7FE0" w:themeColor="accent1"/>
          <w:sz w:val="16"/>
          <w:szCs w:val="16"/>
        </w:rPr>
      </w:pPr>
      <w:r w:rsidRPr="007C5135">
        <w:rPr>
          <w:rFonts w:ascii="IBM Plex Sans Light" w:hAnsi="IBM Plex Sans Light" w:cs="Arial"/>
          <w:bCs/>
          <w:sz w:val="16"/>
          <w:szCs w:val="16"/>
        </w:rPr>
        <w:t>b</w:t>
      </w:r>
      <w:r w:rsidRPr="007C5135">
        <w:rPr>
          <w:rFonts w:ascii="IBM Plex Sans Light" w:hAnsi="IBM Plex Sans Light" w:cs="Arial"/>
          <w:bCs/>
          <w:sz w:val="16"/>
          <w:szCs w:val="16"/>
        </w:rPr>
        <w:tab/>
        <w:t xml:space="preserve">The Group’s long term loan due from Westquay of £348.2m (2022: £348.2m) has been impaired by its share of the net liabilities of Westquay of £195.7m (2022: £201.1m). </w:t>
      </w:r>
      <w:r w:rsidRPr="007C5135">
        <w:rPr>
          <w:rFonts w:ascii="IBM Plex Sans Light" w:hAnsi="IBM Plex Sans Light"/>
          <w:color w:val="3D7FE0" w:themeColor="accent1"/>
          <w:sz w:val="16"/>
          <w:szCs w:val="16"/>
        </w:rPr>
        <w:t xml:space="preserve"> </w:t>
      </w:r>
    </w:p>
    <w:p w14:paraId="6DE5376A" w14:textId="77777777" w:rsidR="00366E57" w:rsidRPr="007C5135" w:rsidRDefault="00366E57" w:rsidP="00366E57">
      <w:pPr>
        <w:spacing w:after="0" w:line="240" w:lineRule="auto"/>
        <w:ind w:left="284" w:right="-255" w:hanging="284"/>
        <w:rPr>
          <w:rFonts w:ascii="IBM Plex Sans Light" w:hAnsi="IBM Plex Sans Light" w:cs="Arial"/>
          <w:bCs/>
          <w:sz w:val="16"/>
          <w:szCs w:val="16"/>
        </w:rPr>
      </w:pPr>
      <w:r w:rsidRPr="007C5135">
        <w:rPr>
          <w:rFonts w:ascii="IBM Plex Sans Light" w:hAnsi="IBM Plex Sans Light" w:cs="Arial"/>
          <w:bCs/>
          <w:sz w:val="16"/>
          <w:szCs w:val="16"/>
        </w:rPr>
        <w:t>c</w:t>
      </w:r>
      <w:r w:rsidRPr="007C5135">
        <w:rPr>
          <w:rFonts w:ascii="IBM Plex Sans Light" w:hAnsi="IBM Plex Sans Light" w:cs="Arial"/>
          <w:bCs/>
          <w:sz w:val="16"/>
          <w:szCs w:val="16"/>
        </w:rPr>
        <w:tab/>
        <w:t>Comprises income in respect of Silverburn as described in note 9A.</w:t>
      </w:r>
    </w:p>
    <w:p w14:paraId="0D8BDB9E" w14:textId="77777777" w:rsidR="00366E57" w:rsidRPr="007C5135" w:rsidRDefault="00366E57" w:rsidP="00366E57">
      <w:pPr>
        <w:spacing w:after="0" w:line="240" w:lineRule="auto"/>
        <w:ind w:left="284" w:right="-255" w:hanging="284"/>
        <w:rPr>
          <w:rFonts w:ascii="IBM Plex Sans Light" w:hAnsi="IBM Plex Sans Light" w:cs="Arial"/>
          <w:bCs/>
          <w:sz w:val="16"/>
          <w:szCs w:val="16"/>
        </w:rPr>
      </w:pPr>
      <w:r w:rsidRPr="007C5135">
        <w:rPr>
          <w:rFonts w:ascii="IBM Plex Sans Light" w:hAnsi="IBM Plex Sans Light" w:cs="Arial"/>
          <w:bCs/>
          <w:sz w:val="16"/>
          <w:szCs w:val="16"/>
        </w:rPr>
        <w:t>d</w:t>
      </w:r>
      <w:r w:rsidRPr="007C5135">
        <w:rPr>
          <w:rFonts w:ascii="IBM Plex Sans Light" w:hAnsi="IBM Plex Sans Light" w:cs="Arial"/>
          <w:bCs/>
          <w:sz w:val="16"/>
          <w:szCs w:val="16"/>
        </w:rPr>
        <w:tab/>
        <w:t xml:space="preserve">Other current assets in Croydon included restricted monetary assets of £41.8m relating to cash held in escrow for specified development costs. </w:t>
      </w:r>
    </w:p>
    <w:p w14:paraId="27A05960" w14:textId="2DD9760E" w:rsidR="00520608" w:rsidRDefault="00366E57" w:rsidP="00366E57">
      <w:pPr>
        <w:spacing w:after="0" w:line="240" w:lineRule="auto"/>
        <w:ind w:left="284" w:right="-255" w:hanging="284"/>
        <w:rPr>
          <w:rFonts w:ascii="IBM Plex Sans Light" w:hAnsi="IBM Plex Sans Light"/>
          <w:b/>
          <w:color w:val="3D7FE0" w:themeColor="accent1"/>
          <w:szCs w:val="16"/>
        </w:rPr>
      </w:pPr>
      <w:r w:rsidRPr="007C5135">
        <w:rPr>
          <w:rFonts w:ascii="IBM Plex Sans Light" w:hAnsi="IBM Plex Sans Light" w:cs="Arial"/>
          <w:bCs/>
          <w:sz w:val="16"/>
          <w:szCs w:val="16"/>
        </w:rPr>
        <w:t>e</w:t>
      </w:r>
      <w:r w:rsidRPr="007C5135">
        <w:rPr>
          <w:rFonts w:ascii="IBM Plex Sans Light" w:hAnsi="IBM Plex Sans Light" w:cs="Arial"/>
          <w:bCs/>
          <w:sz w:val="16"/>
          <w:szCs w:val="16"/>
        </w:rPr>
        <w:tab/>
        <w:t>Dundrum loans of £42.6m at 100%, previously included in ‘other payables’ were reclassified to equity.</w:t>
      </w:r>
    </w:p>
    <w:p w14:paraId="36BF83FC" w14:textId="1E01F2B0" w:rsidR="00F03778" w:rsidRDefault="00F03778" w:rsidP="00F03778">
      <w:pPr>
        <w:spacing w:after="0"/>
      </w:pPr>
    </w:p>
    <w:p w14:paraId="4BC81624" w14:textId="77777777" w:rsidR="00F03778" w:rsidRDefault="00F03778" w:rsidP="00F03778">
      <w:pPr>
        <w:spacing w:after="0"/>
      </w:pPr>
    </w:p>
    <w:tbl>
      <w:tblPr>
        <w:tblW w:w="9091" w:type="dxa"/>
        <w:tblLayout w:type="fixed"/>
        <w:tblLook w:val="01E0" w:firstRow="1" w:lastRow="1" w:firstColumn="1" w:lastColumn="1" w:noHBand="0" w:noVBand="0"/>
      </w:tblPr>
      <w:tblGrid>
        <w:gridCol w:w="4941"/>
        <w:gridCol w:w="830"/>
        <w:gridCol w:w="830"/>
        <w:gridCol w:w="830"/>
        <w:gridCol w:w="830"/>
        <w:gridCol w:w="830"/>
      </w:tblGrid>
      <w:tr w:rsidR="009601CE" w:rsidRPr="00895810" w14:paraId="40C844EC" w14:textId="77777777" w:rsidTr="009601CE">
        <w:trPr>
          <w:trHeight w:val="202"/>
        </w:trPr>
        <w:tc>
          <w:tcPr>
            <w:tcW w:w="4941" w:type="dxa"/>
            <w:tcBorders>
              <w:bottom w:val="single" w:sz="4" w:space="0" w:color="3D7FE0" w:themeColor="accent1"/>
            </w:tcBorders>
            <w:tcMar>
              <w:left w:w="0" w:type="dxa"/>
              <w:bottom w:w="57" w:type="dxa"/>
              <w:right w:w="0" w:type="dxa"/>
            </w:tcMar>
            <w:vAlign w:val="bottom"/>
          </w:tcPr>
          <w:p w14:paraId="41747A1B" w14:textId="4382084C" w:rsidR="009601CE" w:rsidRPr="00895810" w:rsidRDefault="009601CE" w:rsidP="003F2C4C">
            <w:pPr>
              <w:pStyle w:val="TableColHeadsBold"/>
              <w:spacing w:line="240" w:lineRule="auto"/>
              <w:ind w:right="0"/>
              <w:rPr>
                <w:rFonts w:ascii="IBM Plex Sans Light" w:hAnsi="IBM Plex Sans Light"/>
                <w:color w:val="3D7FE0" w:themeColor="accent1"/>
              </w:rPr>
            </w:pPr>
          </w:p>
        </w:tc>
        <w:tc>
          <w:tcPr>
            <w:tcW w:w="830" w:type="dxa"/>
            <w:tcBorders>
              <w:bottom w:val="single" w:sz="4" w:space="0" w:color="3D7FE0" w:themeColor="accent1"/>
            </w:tcBorders>
            <w:vAlign w:val="bottom"/>
          </w:tcPr>
          <w:p w14:paraId="2C7D2EA8" w14:textId="77777777" w:rsidR="009601CE" w:rsidRPr="00895810" w:rsidRDefault="009601CE" w:rsidP="003F2C4C">
            <w:pPr>
              <w:pStyle w:val="TableColHeadsBold"/>
              <w:spacing w:line="240" w:lineRule="auto"/>
              <w:ind w:right="0"/>
              <w:rPr>
                <w:rFonts w:ascii="IBM Plex Sans Light" w:hAnsi="IBM Plex Sans Light"/>
                <w:color w:val="3D7FE0" w:themeColor="accent1"/>
              </w:rPr>
            </w:pPr>
          </w:p>
        </w:tc>
        <w:tc>
          <w:tcPr>
            <w:tcW w:w="830" w:type="dxa"/>
            <w:tcBorders>
              <w:bottom w:val="single" w:sz="4" w:space="0" w:color="3D7FE0" w:themeColor="accent1"/>
            </w:tcBorders>
            <w:vAlign w:val="bottom"/>
          </w:tcPr>
          <w:p w14:paraId="48132954" w14:textId="77777777" w:rsidR="009601CE" w:rsidRPr="00895810" w:rsidRDefault="009601CE" w:rsidP="003F2C4C">
            <w:pPr>
              <w:pStyle w:val="TableColHeadsBold"/>
              <w:spacing w:line="240" w:lineRule="auto"/>
              <w:ind w:right="0"/>
              <w:rPr>
                <w:rFonts w:ascii="IBM Plex Sans Light" w:hAnsi="IBM Plex Sans Light"/>
                <w:color w:val="3D7FE0" w:themeColor="accent1"/>
              </w:rPr>
            </w:pPr>
          </w:p>
        </w:tc>
        <w:tc>
          <w:tcPr>
            <w:tcW w:w="830" w:type="dxa"/>
            <w:tcBorders>
              <w:bottom w:val="single" w:sz="4" w:space="0" w:color="3D7FE0" w:themeColor="accent1"/>
            </w:tcBorders>
            <w:vAlign w:val="bottom"/>
          </w:tcPr>
          <w:p w14:paraId="22256983" w14:textId="77777777" w:rsidR="009601CE" w:rsidRPr="00895810" w:rsidRDefault="009601CE" w:rsidP="003F2C4C">
            <w:pPr>
              <w:pStyle w:val="TableColHeadsBold"/>
              <w:spacing w:line="240" w:lineRule="auto"/>
              <w:ind w:right="0"/>
              <w:rPr>
                <w:rFonts w:ascii="IBM Plex Sans Light" w:hAnsi="IBM Plex Sans Light"/>
                <w:color w:val="3D7FE0" w:themeColor="accent1"/>
              </w:rPr>
            </w:pPr>
          </w:p>
        </w:tc>
        <w:tc>
          <w:tcPr>
            <w:tcW w:w="830" w:type="dxa"/>
            <w:tcBorders>
              <w:bottom w:val="single" w:sz="4" w:space="0" w:color="3D7FE0" w:themeColor="accent1"/>
            </w:tcBorders>
            <w:tcMar>
              <w:left w:w="0" w:type="dxa"/>
              <w:bottom w:w="57" w:type="dxa"/>
              <w:right w:w="0" w:type="dxa"/>
            </w:tcMar>
            <w:vAlign w:val="bottom"/>
          </w:tcPr>
          <w:p w14:paraId="104D92F2" w14:textId="77777777" w:rsidR="009601CE" w:rsidRPr="00895810" w:rsidRDefault="009601CE" w:rsidP="003F2C4C">
            <w:pPr>
              <w:pStyle w:val="TableColHeadsBold"/>
              <w:spacing w:line="240" w:lineRule="auto"/>
              <w:rPr>
                <w:rFonts w:ascii="IBM Plex Sans Light" w:hAnsi="IBM Plex Sans Light"/>
                <w:b w:val="0"/>
              </w:rPr>
            </w:pPr>
          </w:p>
        </w:tc>
        <w:tc>
          <w:tcPr>
            <w:tcW w:w="830" w:type="dxa"/>
            <w:tcBorders>
              <w:bottom w:val="single" w:sz="4" w:space="0" w:color="3D7FE0" w:themeColor="accent1"/>
            </w:tcBorders>
            <w:vAlign w:val="bottom"/>
          </w:tcPr>
          <w:p w14:paraId="0B0B04EA" w14:textId="77399DE2" w:rsidR="009601CE" w:rsidRPr="00895810" w:rsidRDefault="009601CE" w:rsidP="003F2C4C">
            <w:pPr>
              <w:pStyle w:val="TableColHeadsBold"/>
              <w:spacing w:line="240" w:lineRule="auto"/>
              <w:ind w:left="-106" w:right="0"/>
              <w:rPr>
                <w:rFonts w:ascii="IBM Plex Sans Light" w:hAnsi="IBM Plex Sans Light"/>
                <w:b w:val="0"/>
              </w:rPr>
            </w:pPr>
            <w:r>
              <w:rPr>
                <w:rFonts w:ascii="IBM Plex Sans Light" w:hAnsi="IBM Plex Sans Light"/>
                <w:color w:val="3D7FE0" w:themeColor="accent1"/>
              </w:rPr>
              <w:t>2023</w:t>
            </w:r>
          </w:p>
        </w:tc>
      </w:tr>
      <w:tr w:rsidR="009601CE" w:rsidRPr="00895810" w14:paraId="0EF7ECDA" w14:textId="77777777" w:rsidTr="009601CE">
        <w:trPr>
          <w:trHeight w:val="178"/>
        </w:trPr>
        <w:tc>
          <w:tcPr>
            <w:tcW w:w="4941" w:type="dxa"/>
            <w:tcBorders>
              <w:top w:val="single" w:sz="4" w:space="0" w:color="3D7FE0" w:themeColor="accent1"/>
            </w:tcBorders>
            <w:tcMar>
              <w:left w:w="0" w:type="dxa"/>
              <w:bottom w:w="57" w:type="dxa"/>
              <w:right w:w="0" w:type="dxa"/>
            </w:tcMar>
            <w:vAlign w:val="bottom"/>
          </w:tcPr>
          <w:p w14:paraId="5E08E940" w14:textId="249BE8F1" w:rsidR="009601CE" w:rsidRPr="00895810" w:rsidRDefault="009601CE" w:rsidP="00846CF0">
            <w:pPr>
              <w:pStyle w:val="TableColHeadsBold"/>
              <w:spacing w:line="240" w:lineRule="auto"/>
              <w:ind w:right="0"/>
              <w:rPr>
                <w:rFonts w:ascii="IBM Plex Sans Light" w:hAnsi="IBM Plex Sans Light"/>
                <w:color w:val="3D7FE0" w:themeColor="accent1"/>
              </w:rPr>
            </w:pPr>
          </w:p>
        </w:tc>
        <w:tc>
          <w:tcPr>
            <w:tcW w:w="830" w:type="dxa"/>
            <w:tcBorders>
              <w:top w:val="single" w:sz="4" w:space="0" w:color="3D7FE0" w:themeColor="accent1"/>
            </w:tcBorders>
            <w:vAlign w:val="bottom"/>
          </w:tcPr>
          <w:p w14:paraId="16E91C16" w14:textId="77777777" w:rsidR="009601CE" w:rsidRPr="00895810" w:rsidRDefault="009601CE" w:rsidP="00846CF0">
            <w:pPr>
              <w:pStyle w:val="TableColHeadsBold"/>
              <w:spacing w:line="240" w:lineRule="auto"/>
              <w:ind w:right="0"/>
              <w:rPr>
                <w:rFonts w:ascii="IBM Plex Sans Light" w:hAnsi="IBM Plex Sans Light"/>
                <w:color w:val="3D7FE0" w:themeColor="accent1"/>
              </w:rPr>
            </w:pPr>
          </w:p>
        </w:tc>
        <w:tc>
          <w:tcPr>
            <w:tcW w:w="830" w:type="dxa"/>
            <w:tcBorders>
              <w:top w:val="single" w:sz="4" w:space="0" w:color="3D7FE0" w:themeColor="accent1"/>
              <w:bottom w:val="single" w:sz="4" w:space="0" w:color="3D7FE0" w:themeColor="accent1"/>
            </w:tcBorders>
            <w:vAlign w:val="bottom"/>
          </w:tcPr>
          <w:p w14:paraId="4C4FF72F" w14:textId="77777777" w:rsidR="009601CE" w:rsidRPr="00895810" w:rsidRDefault="009601CE" w:rsidP="00846CF0">
            <w:pPr>
              <w:pStyle w:val="TableColHeadsBold"/>
              <w:spacing w:line="240" w:lineRule="auto"/>
              <w:ind w:right="0"/>
              <w:rPr>
                <w:rFonts w:ascii="IBM Plex Sans Light" w:hAnsi="IBM Plex Sans Light"/>
                <w:color w:val="3D7FE0" w:themeColor="accent1"/>
              </w:rPr>
            </w:pPr>
          </w:p>
        </w:tc>
        <w:tc>
          <w:tcPr>
            <w:tcW w:w="830" w:type="dxa"/>
            <w:tcBorders>
              <w:top w:val="single" w:sz="4" w:space="0" w:color="3D7FE0" w:themeColor="accent1"/>
              <w:bottom w:val="single" w:sz="4" w:space="0" w:color="3D7FE0" w:themeColor="accent1"/>
            </w:tcBorders>
            <w:vAlign w:val="bottom"/>
          </w:tcPr>
          <w:p w14:paraId="32CAB246" w14:textId="77777777" w:rsidR="009601CE" w:rsidRPr="00895810" w:rsidRDefault="009601CE" w:rsidP="00846CF0">
            <w:pPr>
              <w:pStyle w:val="TableColHeadsBold"/>
              <w:spacing w:line="240" w:lineRule="auto"/>
              <w:ind w:right="0"/>
              <w:rPr>
                <w:rFonts w:ascii="IBM Plex Sans Light" w:hAnsi="IBM Plex Sans Light"/>
                <w:color w:val="3D7FE0" w:themeColor="accent1"/>
              </w:rPr>
            </w:pPr>
          </w:p>
        </w:tc>
        <w:tc>
          <w:tcPr>
            <w:tcW w:w="830" w:type="dxa"/>
            <w:tcBorders>
              <w:top w:val="single" w:sz="4" w:space="0" w:color="3D7FE0" w:themeColor="accent1"/>
              <w:bottom w:val="single" w:sz="4" w:space="0" w:color="3D7FE0" w:themeColor="accent1"/>
            </w:tcBorders>
            <w:tcMar>
              <w:left w:w="0" w:type="dxa"/>
              <w:bottom w:w="57" w:type="dxa"/>
              <w:right w:w="0" w:type="dxa"/>
            </w:tcMar>
            <w:vAlign w:val="bottom"/>
          </w:tcPr>
          <w:p w14:paraId="2525E5FF" w14:textId="56063280" w:rsidR="009601CE" w:rsidRPr="00895810" w:rsidRDefault="009601CE" w:rsidP="00846CF0">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 xml:space="preserve">100% </w:t>
            </w:r>
          </w:p>
        </w:tc>
        <w:tc>
          <w:tcPr>
            <w:tcW w:w="830" w:type="dxa"/>
            <w:tcBorders>
              <w:top w:val="single" w:sz="4" w:space="0" w:color="3D7FE0" w:themeColor="accent1"/>
            </w:tcBorders>
            <w:vAlign w:val="bottom"/>
          </w:tcPr>
          <w:p w14:paraId="39F534D0" w14:textId="50CDC64E" w:rsidR="009601CE" w:rsidRPr="00895810" w:rsidRDefault="009601CE" w:rsidP="00846CF0">
            <w:pPr>
              <w:pStyle w:val="TableColHeadsBold"/>
              <w:spacing w:line="240" w:lineRule="auto"/>
              <w:ind w:left="-106" w:right="0"/>
              <w:rPr>
                <w:rFonts w:ascii="IBM Plex Sans Light" w:hAnsi="IBM Plex Sans Light"/>
                <w:color w:val="3D7FE0" w:themeColor="accent1"/>
              </w:rPr>
            </w:pPr>
          </w:p>
        </w:tc>
      </w:tr>
      <w:tr w:rsidR="009601CE" w:rsidRPr="00895810" w14:paraId="0363C0E8" w14:textId="77777777" w:rsidTr="009601CE">
        <w:trPr>
          <w:trHeight w:val="244"/>
        </w:trPr>
        <w:tc>
          <w:tcPr>
            <w:tcW w:w="4941" w:type="dxa"/>
            <w:tcMar>
              <w:left w:w="0" w:type="dxa"/>
              <w:bottom w:w="57" w:type="dxa"/>
              <w:right w:w="0" w:type="dxa"/>
            </w:tcMar>
            <w:vAlign w:val="bottom"/>
          </w:tcPr>
          <w:p w14:paraId="58462024" w14:textId="2BB5E740" w:rsidR="009601CE" w:rsidRPr="00895810" w:rsidRDefault="009601CE" w:rsidP="00422C18">
            <w:pPr>
              <w:pStyle w:val="TableColHeadsBold"/>
              <w:ind w:left="-105" w:right="0"/>
              <w:rPr>
                <w:rFonts w:ascii="IBM Plex Sans Light" w:hAnsi="IBM Plex Sans Light"/>
                <w:color w:val="3D7FE0" w:themeColor="accent1"/>
              </w:rPr>
            </w:pPr>
          </w:p>
        </w:tc>
        <w:tc>
          <w:tcPr>
            <w:tcW w:w="830" w:type="dxa"/>
            <w:vAlign w:val="bottom"/>
          </w:tcPr>
          <w:p w14:paraId="154BE0B8" w14:textId="59FF2186" w:rsidR="009601CE" w:rsidRPr="00895810" w:rsidRDefault="009601CE" w:rsidP="00422C18">
            <w:pPr>
              <w:pStyle w:val="TableColHeadsBold"/>
              <w:ind w:right="0"/>
              <w:rPr>
                <w:rFonts w:ascii="IBM Plex Sans Light" w:hAnsi="IBM Plex Sans Light"/>
                <w:color w:val="3D7FE0" w:themeColor="accent1"/>
              </w:rPr>
            </w:pPr>
          </w:p>
        </w:tc>
        <w:tc>
          <w:tcPr>
            <w:tcW w:w="830" w:type="dxa"/>
            <w:tcBorders>
              <w:top w:val="single" w:sz="4" w:space="0" w:color="3D7FE0" w:themeColor="accent1"/>
            </w:tcBorders>
            <w:vAlign w:val="bottom"/>
          </w:tcPr>
          <w:p w14:paraId="50E8FFC3" w14:textId="740B1972" w:rsidR="009601CE" w:rsidRPr="00895810" w:rsidRDefault="009601CE" w:rsidP="00422C18">
            <w:pPr>
              <w:pStyle w:val="TableColHeadsBold"/>
              <w:ind w:right="0"/>
              <w:rPr>
                <w:rFonts w:ascii="IBM Plex Sans Light" w:hAnsi="IBM Plex Sans Light"/>
                <w:color w:val="3D7FE0" w:themeColor="accent1"/>
              </w:rPr>
            </w:pPr>
            <w:r w:rsidRPr="00895810">
              <w:rPr>
                <w:rFonts w:ascii="IBM Plex Sans Light" w:hAnsi="IBM Plex Sans Light"/>
                <w:color w:val="3D7FE0" w:themeColor="accent1"/>
              </w:rPr>
              <w:t>Dundrum</w:t>
            </w:r>
          </w:p>
        </w:tc>
        <w:tc>
          <w:tcPr>
            <w:tcW w:w="830" w:type="dxa"/>
            <w:tcBorders>
              <w:top w:val="single" w:sz="4" w:space="0" w:color="3D7FE0" w:themeColor="accent1"/>
            </w:tcBorders>
            <w:vAlign w:val="bottom"/>
          </w:tcPr>
          <w:p w14:paraId="15A8B30F" w14:textId="5EC8DF8C" w:rsidR="009601CE" w:rsidRPr="00895810" w:rsidRDefault="009601CE" w:rsidP="00422C18">
            <w:pPr>
              <w:pStyle w:val="TableColHeadsBold"/>
              <w:ind w:right="0"/>
              <w:rPr>
                <w:rFonts w:ascii="IBM Plex Sans Light" w:hAnsi="IBM Plex Sans Light"/>
                <w:color w:val="3D7FE0" w:themeColor="accent1"/>
              </w:rPr>
            </w:pPr>
            <w:r w:rsidRPr="00895810">
              <w:rPr>
                <w:rFonts w:ascii="IBM Plex Sans Light" w:hAnsi="IBM Plex Sans Light"/>
                <w:color w:val="3D7FE0" w:themeColor="accent1"/>
              </w:rPr>
              <w:t>Other</w:t>
            </w:r>
          </w:p>
        </w:tc>
        <w:tc>
          <w:tcPr>
            <w:tcW w:w="830" w:type="dxa"/>
            <w:tcBorders>
              <w:top w:val="single" w:sz="4" w:space="0" w:color="3D7FE0" w:themeColor="accent1"/>
            </w:tcBorders>
            <w:tcMar>
              <w:left w:w="0" w:type="dxa"/>
              <w:bottom w:w="57" w:type="dxa"/>
              <w:right w:w="0" w:type="dxa"/>
            </w:tcMar>
            <w:vAlign w:val="bottom"/>
          </w:tcPr>
          <w:p w14:paraId="03EA0A6A" w14:textId="7B24AA65" w:rsidR="009601CE" w:rsidRPr="00895810" w:rsidRDefault="009601CE" w:rsidP="00422C18">
            <w:pPr>
              <w:pStyle w:val="TableColHeadsBold"/>
              <w:rPr>
                <w:rFonts w:ascii="IBM Plex Sans Light" w:hAnsi="IBM Plex Sans Light"/>
                <w:color w:val="3D7FE0" w:themeColor="accent1"/>
              </w:rPr>
            </w:pPr>
            <w:r w:rsidRPr="00895810">
              <w:rPr>
                <w:rFonts w:ascii="IBM Plex Sans Light" w:hAnsi="IBM Plex Sans Light"/>
                <w:color w:val="3D7FE0" w:themeColor="accent1"/>
              </w:rPr>
              <w:t>Total</w:t>
            </w:r>
          </w:p>
        </w:tc>
        <w:tc>
          <w:tcPr>
            <w:tcW w:w="830" w:type="dxa"/>
            <w:vAlign w:val="bottom"/>
          </w:tcPr>
          <w:p w14:paraId="449E2E51" w14:textId="257AE6D2" w:rsidR="009601CE" w:rsidRPr="00895810" w:rsidRDefault="009601CE" w:rsidP="00422C18">
            <w:pPr>
              <w:pStyle w:val="TableColHeadsBold"/>
              <w:ind w:left="-106" w:right="0"/>
              <w:rPr>
                <w:rFonts w:ascii="IBM Plex Sans Light" w:hAnsi="IBM Plex Sans Light"/>
                <w:color w:val="3D7FE0" w:themeColor="accent1"/>
              </w:rPr>
            </w:pPr>
            <w:r w:rsidRPr="00895810">
              <w:rPr>
                <w:rFonts w:ascii="IBM Plex Sans Light" w:hAnsi="IBM Plex Sans Light"/>
                <w:color w:val="3D7FE0" w:themeColor="accent1"/>
              </w:rPr>
              <w:t>Group Share</w:t>
            </w:r>
          </w:p>
        </w:tc>
      </w:tr>
      <w:tr w:rsidR="009601CE" w:rsidRPr="00895810" w14:paraId="0FAF4166" w14:textId="77777777" w:rsidTr="009601CE">
        <w:trPr>
          <w:trHeight w:val="58"/>
        </w:trPr>
        <w:tc>
          <w:tcPr>
            <w:tcW w:w="4941" w:type="dxa"/>
            <w:tcBorders>
              <w:bottom w:val="single" w:sz="2" w:space="0" w:color="3D7FE0" w:themeColor="accent1"/>
            </w:tcBorders>
            <w:tcMar>
              <w:left w:w="0" w:type="dxa"/>
              <w:bottom w:w="28" w:type="dxa"/>
              <w:right w:w="0" w:type="dxa"/>
            </w:tcMar>
            <w:vAlign w:val="bottom"/>
          </w:tcPr>
          <w:p w14:paraId="24EC31D7" w14:textId="3A191588" w:rsidR="009601CE" w:rsidRPr="00895810" w:rsidRDefault="009601CE" w:rsidP="00422C18">
            <w:pPr>
              <w:pStyle w:val="TableColHeadsBold"/>
              <w:rPr>
                <w:rFonts w:ascii="IBM Plex Sans Light" w:hAnsi="IBM Plex Sans Light"/>
                <w:color w:val="3D7FE0" w:themeColor="accent1"/>
              </w:rPr>
            </w:pPr>
          </w:p>
        </w:tc>
        <w:tc>
          <w:tcPr>
            <w:tcW w:w="830" w:type="dxa"/>
            <w:tcBorders>
              <w:bottom w:val="single" w:sz="2" w:space="0" w:color="3D7FE0" w:themeColor="accent1"/>
            </w:tcBorders>
            <w:vAlign w:val="bottom"/>
          </w:tcPr>
          <w:p w14:paraId="1440C95E" w14:textId="7C75465B" w:rsidR="009601CE" w:rsidRPr="00895810" w:rsidRDefault="009601CE" w:rsidP="00422C18">
            <w:pPr>
              <w:pStyle w:val="TableColHeadsBold"/>
              <w:rPr>
                <w:rFonts w:ascii="IBM Plex Sans Light" w:hAnsi="IBM Plex Sans Light"/>
                <w:color w:val="3D7FE0" w:themeColor="accent1"/>
              </w:rPr>
            </w:pPr>
          </w:p>
        </w:tc>
        <w:tc>
          <w:tcPr>
            <w:tcW w:w="830" w:type="dxa"/>
            <w:tcBorders>
              <w:bottom w:val="single" w:sz="2" w:space="0" w:color="3D7FE0" w:themeColor="accent1"/>
            </w:tcBorders>
            <w:vAlign w:val="bottom"/>
          </w:tcPr>
          <w:p w14:paraId="22B3225F" w14:textId="77777777" w:rsidR="009601CE" w:rsidRPr="00895810" w:rsidRDefault="009601CE" w:rsidP="00422C1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30" w:type="dxa"/>
            <w:tcBorders>
              <w:bottom w:val="single" w:sz="2" w:space="0" w:color="3D7FE0" w:themeColor="accent1"/>
            </w:tcBorders>
            <w:tcMar>
              <w:left w:w="0" w:type="dxa"/>
              <w:bottom w:w="28" w:type="dxa"/>
              <w:right w:w="0" w:type="dxa"/>
            </w:tcMar>
            <w:vAlign w:val="bottom"/>
          </w:tcPr>
          <w:p w14:paraId="4D3A6BEE" w14:textId="77777777" w:rsidR="009601CE" w:rsidRPr="00895810" w:rsidRDefault="009601CE" w:rsidP="00422C1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30" w:type="dxa"/>
            <w:tcBorders>
              <w:bottom w:val="single" w:sz="2" w:space="0" w:color="3D7FE0" w:themeColor="accent1"/>
            </w:tcBorders>
            <w:tcMar>
              <w:left w:w="0" w:type="dxa"/>
              <w:bottom w:w="28" w:type="dxa"/>
              <w:right w:w="0" w:type="dxa"/>
            </w:tcMar>
            <w:vAlign w:val="bottom"/>
          </w:tcPr>
          <w:p w14:paraId="554B65FF" w14:textId="77777777" w:rsidR="009601CE" w:rsidRPr="00895810" w:rsidRDefault="009601CE" w:rsidP="00422C18">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c>
          <w:tcPr>
            <w:tcW w:w="830" w:type="dxa"/>
            <w:tcBorders>
              <w:bottom w:val="single" w:sz="2" w:space="0" w:color="3D7FE0" w:themeColor="accent1"/>
            </w:tcBorders>
            <w:tcMar>
              <w:left w:w="0" w:type="dxa"/>
              <w:bottom w:w="28" w:type="dxa"/>
              <w:right w:w="0" w:type="dxa"/>
            </w:tcMar>
            <w:vAlign w:val="bottom"/>
          </w:tcPr>
          <w:p w14:paraId="4894CDFD" w14:textId="77777777" w:rsidR="009601CE" w:rsidRPr="00895810" w:rsidRDefault="009601CE" w:rsidP="00422C18">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r>
      <w:tr w:rsidR="00366E57" w:rsidRPr="00895810" w14:paraId="72806949" w14:textId="77777777" w:rsidTr="00AA6D1A">
        <w:trPr>
          <w:trHeight w:hRule="exact" w:val="255"/>
        </w:trPr>
        <w:tc>
          <w:tcPr>
            <w:tcW w:w="4941" w:type="dxa"/>
            <w:tcBorders>
              <w:top w:val="single" w:sz="2" w:space="0" w:color="3D7FE0" w:themeColor="accent1"/>
              <w:bottom w:val="single" w:sz="2" w:space="0" w:color="3D7FE0" w:themeColor="accent1"/>
            </w:tcBorders>
            <w:tcMar>
              <w:left w:w="0" w:type="dxa"/>
              <w:right w:w="0" w:type="dxa"/>
            </w:tcMar>
            <w:vAlign w:val="bottom"/>
          </w:tcPr>
          <w:p w14:paraId="516C9B67" w14:textId="53A78DC2"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b/>
                <w:color w:val="3D7FE0" w:themeColor="accent1"/>
                <w:sz w:val="18"/>
                <w:szCs w:val="18"/>
              </w:rPr>
              <w:t>Gross rental income</w:t>
            </w:r>
          </w:p>
        </w:tc>
        <w:tc>
          <w:tcPr>
            <w:tcW w:w="830" w:type="dxa"/>
            <w:tcBorders>
              <w:top w:val="single" w:sz="2" w:space="0" w:color="3D7FE0" w:themeColor="accent1"/>
              <w:bottom w:val="single" w:sz="2" w:space="0" w:color="3D7FE0" w:themeColor="accent1"/>
            </w:tcBorders>
            <w:vAlign w:val="bottom"/>
          </w:tcPr>
          <w:p w14:paraId="4E92A4D8"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top w:val="single" w:sz="2" w:space="0" w:color="3D7FE0" w:themeColor="accent1"/>
              <w:bottom w:val="single" w:sz="2" w:space="0" w:color="3D7FE0" w:themeColor="accent1"/>
            </w:tcBorders>
          </w:tcPr>
          <w:p w14:paraId="02CA5054" w14:textId="51A412F3"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59.2</w:t>
            </w:r>
          </w:p>
        </w:tc>
        <w:tc>
          <w:tcPr>
            <w:tcW w:w="830" w:type="dxa"/>
            <w:tcBorders>
              <w:top w:val="single" w:sz="2" w:space="0" w:color="3D7FE0" w:themeColor="accent1"/>
              <w:bottom w:val="single" w:sz="2" w:space="0" w:color="3D7FE0" w:themeColor="accent1"/>
            </w:tcBorders>
            <w:tcMar>
              <w:left w:w="0" w:type="dxa"/>
              <w:right w:w="0" w:type="dxa"/>
            </w:tcMar>
          </w:tcPr>
          <w:p w14:paraId="26786708" w14:textId="039B1728" w:rsidR="00366E57" w:rsidRPr="009601CE" w:rsidRDefault="00F51B0E" w:rsidP="00366E57">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17.5</w:t>
            </w:r>
          </w:p>
        </w:tc>
        <w:tc>
          <w:tcPr>
            <w:tcW w:w="830" w:type="dxa"/>
            <w:tcBorders>
              <w:top w:val="single" w:sz="2" w:space="0" w:color="3D7FE0" w:themeColor="accent1"/>
              <w:bottom w:val="single" w:sz="2" w:space="0" w:color="3D7FE0" w:themeColor="accent1"/>
            </w:tcBorders>
            <w:tcMar>
              <w:left w:w="0" w:type="dxa"/>
              <w:right w:w="0" w:type="dxa"/>
            </w:tcMar>
          </w:tcPr>
          <w:p w14:paraId="74156071" w14:textId="05590F0A"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w:t>
            </w:r>
            <w:r w:rsidR="00F51B0E">
              <w:rPr>
                <w:rFonts w:ascii="IBM Plex Sans Medium" w:hAnsi="IBM Plex Sans Medium"/>
                <w:color w:val="3D7FE0" w:themeColor="accent1"/>
                <w:sz w:val="18"/>
                <w:szCs w:val="22"/>
              </w:rPr>
              <w:t>43.6</w:t>
            </w:r>
          </w:p>
        </w:tc>
        <w:tc>
          <w:tcPr>
            <w:tcW w:w="830" w:type="dxa"/>
            <w:tcBorders>
              <w:top w:val="single" w:sz="2" w:space="0" w:color="3D7FE0" w:themeColor="accent1"/>
              <w:bottom w:val="single" w:sz="2" w:space="0" w:color="3D7FE0" w:themeColor="accent1"/>
            </w:tcBorders>
            <w:tcMar>
              <w:left w:w="0" w:type="dxa"/>
              <w:right w:w="0" w:type="dxa"/>
            </w:tcMar>
          </w:tcPr>
          <w:p w14:paraId="7321CB47" w14:textId="1FFF790B"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114.4</w:t>
            </w:r>
          </w:p>
        </w:tc>
      </w:tr>
      <w:tr w:rsidR="00366E57" w:rsidRPr="00895810" w14:paraId="57E3532B" w14:textId="77777777" w:rsidTr="00AA6D1A">
        <w:trPr>
          <w:trHeight w:hRule="exact" w:val="255"/>
        </w:trPr>
        <w:tc>
          <w:tcPr>
            <w:tcW w:w="4941" w:type="dxa"/>
            <w:tcBorders>
              <w:top w:val="single" w:sz="2" w:space="0" w:color="3D7FE0" w:themeColor="accent1"/>
            </w:tcBorders>
            <w:tcMar>
              <w:left w:w="0" w:type="dxa"/>
              <w:right w:w="0" w:type="dxa"/>
            </w:tcMar>
            <w:vAlign w:val="bottom"/>
          </w:tcPr>
          <w:p w14:paraId="43541785" w14:textId="4B90368D"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b/>
                <w:color w:val="3D7FE0" w:themeColor="accent1"/>
                <w:sz w:val="18"/>
                <w:szCs w:val="18"/>
              </w:rPr>
              <w:t>Net rental income</w:t>
            </w:r>
          </w:p>
        </w:tc>
        <w:tc>
          <w:tcPr>
            <w:tcW w:w="830" w:type="dxa"/>
            <w:tcBorders>
              <w:top w:val="single" w:sz="2" w:space="0" w:color="3D7FE0" w:themeColor="accent1"/>
            </w:tcBorders>
            <w:vAlign w:val="bottom"/>
          </w:tcPr>
          <w:p w14:paraId="0C1728DA"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top w:val="single" w:sz="2" w:space="0" w:color="3D7FE0" w:themeColor="accent1"/>
            </w:tcBorders>
          </w:tcPr>
          <w:p w14:paraId="28B31EF9" w14:textId="59DD6C70"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52.6</w:t>
            </w:r>
          </w:p>
        </w:tc>
        <w:tc>
          <w:tcPr>
            <w:tcW w:w="830" w:type="dxa"/>
            <w:tcBorders>
              <w:top w:val="single" w:sz="2" w:space="0" w:color="3D7FE0" w:themeColor="accent1"/>
            </w:tcBorders>
            <w:tcMar>
              <w:left w:w="0" w:type="dxa"/>
              <w:right w:w="0" w:type="dxa"/>
            </w:tcMar>
          </w:tcPr>
          <w:p w14:paraId="7AB7FADD" w14:textId="050F69D1" w:rsidR="00366E57" w:rsidRPr="009601CE" w:rsidRDefault="00F51B0E" w:rsidP="00366E57">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13.7</w:t>
            </w:r>
          </w:p>
        </w:tc>
        <w:tc>
          <w:tcPr>
            <w:tcW w:w="830" w:type="dxa"/>
            <w:tcBorders>
              <w:top w:val="single" w:sz="2" w:space="0" w:color="3D7FE0" w:themeColor="accent1"/>
            </w:tcBorders>
            <w:tcMar>
              <w:left w:w="0" w:type="dxa"/>
              <w:right w:w="0" w:type="dxa"/>
            </w:tcMar>
          </w:tcPr>
          <w:p w14:paraId="7F1FEA44" w14:textId="27F0783D"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w:t>
            </w:r>
            <w:r w:rsidR="00F51B0E">
              <w:rPr>
                <w:rFonts w:ascii="IBM Plex Sans Medium" w:hAnsi="IBM Plex Sans Medium"/>
                <w:color w:val="3D7FE0" w:themeColor="accent1"/>
                <w:sz w:val="18"/>
                <w:szCs w:val="22"/>
              </w:rPr>
              <w:t>95.2</w:t>
            </w:r>
          </w:p>
        </w:tc>
        <w:tc>
          <w:tcPr>
            <w:tcW w:w="830" w:type="dxa"/>
            <w:tcBorders>
              <w:top w:val="single" w:sz="2" w:space="0" w:color="3D7FE0" w:themeColor="accent1"/>
            </w:tcBorders>
            <w:tcMar>
              <w:left w:w="0" w:type="dxa"/>
              <w:right w:w="0" w:type="dxa"/>
            </w:tcMar>
          </w:tcPr>
          <w:p w14:paraId="066B27D2" w14:textId="171F5F79"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90.4</w:t>
            </w:r>
          </w:p>
        </w:tc>
      </w:tr>
      <w:tr w:rsidR="00366E57" w:rsidRPr="00895810" w14:paraId="59F29F65" w14:textId="77777777" w:rsidTr="00AA6D1A">
        <w:trPr>
          <w:trHeight w:hRule="exact" w:val="255"/>
        </w:trPr>
        <w:tc>
          <w:tcPr>
            <w:tcW w:w="4941" w:type="dxa"/>
            <w:tcBorders>
              <w:bottom w:val="single" w:sz="2" w:space="0" w:color="3D7FE0" w:themeColor="accent1"/>
            </w:tcBorders>
            <w:tcMar>
              <w:left w:w="0" w:type="dxa"/>
              <w:right w:w="0" w:type="dxa"/>
            </w:tcMar>
            <w:vAlign w:val="bottom"/>
          </w:tcPr>
          <w:p w14:paraId="46FA7515" w14:textId="70DEBC75"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spacing w:val="-4"/>
                <w:sz w:val="18"/>
                <w:szCs w:val="18"/>
              </w:rPr>
              <w:t>Administration expenses</w:t>
            </w:r>
          </w:p>
        </w:tc>
        <w:tc>
          <w:tcPr>
            <w:tcW w:w="830" w:type="dxa"/>
            <w:tcBorders>
              <w:bottom w:val="single" w:sz="2" w:space="0" w:color="3D7FE0" w:themeColor="accent1"/>
            </w:tcBorders>
            <w:vAlign w:val="bottom"/>
          </w:tcPr>
          <w:p w14:paraId="116A8604"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bottom w:val="single" w:sz="2" w:space="0" w:color="3D7FE0" w:themeColor="accent1"/>
            </w:tcBorders>
          </w:tcPr>
          <w:p w14:paraId="352E9F01" w14:textId="189120B8"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(0.3)</w:t>
            </w:r>
          </w:p>
        </w:tc>
        <w:tc>
          <w:tcPr>
            <w:tcW w:w="830" w:type="dxa"/>
            <w:tcBorders>
              <w:bottom w:val="single" w:sz="2" w:space="0" w:color="3D7FE0" w:themeColor="accent1"/>
            </w:tcBorders>
            <w:tcMar>
              <w:left w:w="0" w:type="dxa"/>
              <w:right w:w="0" w:type="dxa"/>
            </w:tcMar>
          </w:tcPr>
          <w:p w14:paraId="5896ACF3" w14:textId="12A100FF"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30" w:type="dxa"/>
            <w:tcBorders>
              <w:bottom w:val="single" w:sz="2" w:space="0" w:color="3D7FE0" w:themeColor="accent1"/>
            </w:tcBorders>
            <w:tcMar>
              <w:left w:w="0" w:type="dxa"/>
              <w:right w:w="0" w:type="dxa"/>
            </w:tcMar>
          </w:tcPr>
          <w:p w14:paraId="2775B9F9" w14:textId="45AFFB6C"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(0.9)</w:t>
            </w:r>
          </w:p>
        </w:tc>
        <w:tc>
          <w:tcPr>
            <w:tcW w:w="830" w:type="dxa"/>
            <w:tcBorders>
              <w:bottom w:val="single" w:sz="2" w:space="0" w:color="3D7FE0" w:themeColor="accent1"/>
            </w:tcBorders>
            <w:tcMar>
              <w:left w:w="0" w:type="dxa"/>
              <w:right w:w="0" w:type="dxa"/>
            </w:tcMar>
          </w:tcPr>
          <w:p w14:paraId="6A6C5B2C" w14:textId="3A856E11"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(0.4)</w:t>
            </w:r>
          </w:p>
        </w:tc>
      </w:tr>
      <w:tr w:rsidR="00366E57" w:rsidRPr="00895810" w14:paraId="2335E26C" w14:textId="77777777" w:rsidTr="00AA6D1A">
        <w:trPr>
          <w:trHeight w:hRule="exact" w:val="259"/>
        </w:trPr>
        <w:tc>
          <w:tcPr>
            <w:tcW w:w="4941" w:type="dxa"/>
            <w:tcBorders>
              <w:top w:val="single" w:sz="2" w:space="0" w:color="3D7FE0" w:themeColor="accent1"/>
            </w:tcBorders>
            <w:tcMar>
              <w:left w:w="0" w:type="dxa"/>
              <w:right w:w="0" w:type="dxa"/>
            </w:tcMar>
            <w:vAlign w:val="bottom"/>
          </w:tcPr>
          <w:p w14:paraId="4BD9BB8F" w14:textId="7E78579F"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b/>
                <w:color w:val="3D7FE0" w:themeColor="accent1"/>
                <w:sz w:val="18"/>
                <w:szCs w:val="18"/>
              </w:rPr>
              <w:t>Profit from operating activities</w:t>
            </w:r>
          </w:p>
        </w:tc>
        <w:tc>
          <w:tcPr>
            <w:tcW w:w="830" w:type="dxa"/>
            <w:tcBorders>
              <w:top w:val="single" w:sz="2" w:space="0" w:color="3D7FE0" w:themeColor="accent1"/>
            </w:tcBorders>
            <w:vAlign w:val="bottom"/>
          </w:tcPr>
          <w:p w14:paraId="7AFD3CEE"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top w:val="single" w:sz="2" w:space="0" w:color="3D7FE0" w:themeColor="accent1"/>
            </w:tcBorders>
          </w:tcPr>
          <w:p w14:paraId="7D5B9E82" w14:textId="0B4D2E56"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52.3</w:t>
            </w:r>
          </w:p>
        </w:tc>
        <w:tc>
          <w:tcPr>
            <w:tcW w:w="830" w:type="dxa"/>
            <w:tcBorders>
              <w:top w:val="single" w:sz="2" w:space="0" w:color="3D7FE0" w:themeColor="accent1"/>
            </w:tcBorders>
            <w:tcMar>
              <w:left w:w="0" w:type="dxa"/>
              <w:right w:w="0" w:type="dxa"/>
            </w:tcMar>
          </w:tcPr>
          <w:p w14:paraId="3EDCCE2C" w14:textId="02345AD7" w:rsidR="00366E57" w:rsidRPr="009601CE" w:rsidRDefault="00F51B0E" w:rsidP="00366E57">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13.7</w:t>
            </w:r>
          </w:p>
        </w:tc>
        <w:tc>
          <w:tcPr>
            <w:tcW w:w="830" w:type="dxa"/>
            <w:tcBorders>
              <w:top w:val="single" w:sz="2" w:space="0" w:color="3D7FE0" w:themeColor="accent1"/>
            </w:tcBorders>
            <w:tcMar>
              <w:left w:w="0" w:type="dxa"/>
              <w:right w:w="0" w:type="dxa"/>
            </w:tcMar>
          </w:tcPr>
          <w:p w14:paraId="37DE4C05" w14:textId="60B9F45E"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w:t>
            </w:r>
            <w:r w:rsidR="00F51B0E">
              <w:rPr>
                <w:rFonts w:ascii="IBM Plex Sans Medium" w:hAnsi="IBM Plex Sans Medium"/>
                <w:color w:val="3D7FE0" w:themeColor="accent1"/>
                <w:sz w:val="18"/>
                <w:szCs w:val="22"/>
              </w:rPr>
              <w:t>94.3</w:t>
            </w:r>
          </w:p>
        </w:tc>
        <w:tc>
          <w:tcPr>
            <w:tcW w:w="830" w:type="dxa"/>
            <w:tcBorders>
              <w:top w:val="single" w:sz="2" w:space="0" w:color="3D7FE0" w:themeColor="accent1"/>
            </w:tcBorders>
            <w:tcMar>
              <w:left w:w="0" w:type="dxa"/>
              <w:right w:w="0" w:type="dxa"/>
            </w:tcMar>
          </w:tcPr>
          <w:p w14:paraId="66173414" w14:textId="3E13AA86"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90.0</w:t>
            </w:r>
          </w:p>
        </w:tc>
      </w:tr>
      <w:tr w:rsidR="00366E57" w:rsidRPr="00895810" w14:paraId="527F81DF" w14:textId="77777777" w:rsidTr="00AA6D1A">
        <w:trPr>
          <w:trHeight w:hRule="exact" w:val="289"/>
        </w:trPr>
        <w:tc>
          <w:tcPr>
            <w:tcW w:w="4941" w:type="dxa"/>
            <w:tcMar>
              <w:left w:w="0" w:type="dxa"/>
              <w:right w:w="0" w:type="dxa"/>
            </w:tcMar>
            <w:vAlign w:val="bottom"/>
          </w:tcPr>
          <w:p w14:paraId="653C0613" w14:textId="702EDF43"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bCs/>
                <w:sz w:val="18"/>
                <w:szCs w:val="18"/>
              </w:rPr>
              <w:t xml:space="preserve">Revaluation </w:t>
            </w:r>
            <w:r w:rsidR="00FC6179">
              <w:rPr>
                <w:rFonts w:ascii="IBM Plex Sans Light" w:hAnsi="IBM Plex Sans Light"/>
                <w:bCs/>
                <w:sz w:val="18"/>
                <w:szCs w:val="18"/>
              </w:rPr>
              <w:t>(</w:t>
            </w:r>
            <w:r w:rsidRPr="00895810">
              <w:rPr>
                <w:rFonts w:ascii="IBM Plex Sans Light" w:hAnsi="IBM Plex Sans Light"/>
                <w:bCs/>
                <w:sz w:val="18"/>
                <w:szCs w:val="18"/>
              </w:rPr>
              <w:t>losses</w:t>
            </w:r>
            <w:r w:rsidR="00FC6179">
              <w:rPr>
                <w:rFonts w:ascii="IBM Plex Sans Light" w:hAnsi="IBM Plex Sans Light"/>
                <w:bCs/>
                <w:sz w:val="18"/>
                <w:szCs w:val="18"/>
              </w:rPr>
              <w:t>)/gains</w:t>
            </w:r>
            <w:r w:rsidRPr="00895810">
              <w:rPr>
                <w:rFonts w:ascii="IBM Plex Sans Light" w:hAnsi="IBM Plex Sans Light"/>
                <w:bCs/>
                <w:sz w:val="18"/>
                <w:szCs w:val="18"/>
              </w:rPr>
              <w:t xml:space="preserve"> on properties</w:t>
            </w:r>
          </w:p>
        </w:tc>
        <w:tc>
          <w:tcPr>
            <w:tcW w:w="830" w:type="dxa"/>
            <w:vAlign w:val="bottom"/>
          </w:tcPr>
          <w:p w14:paraId="4AC1F39F"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Pr>
          <w:p w14:paraId="1C0C8481" w14:textId="5166719C"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(74.4)</w:t>
            </w:r>
          </w:p>
        </w:tc>
        <w:tc>
          <w:tcPr>
            <w:tcW w:w="830" w:type="dxa"/>
            <w:tcMar>
              <w:left w:w="0" w:type="dxa"/>
              <w:right w:w="0" w:type="dxa"/>
            </w:tcMar>
          </w:tcPr>
          <w:p w14:paraId="27440269" w14:textId="62215D63"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(41.8)</w:t>
            </w:r>
          </w:p>
        </w:tc>
        <w:tc>
          <w:tcPr>
            <w:tcW w:w="830" w:type="dxa"/>
            <w:tcMar>
              <w:left w:w="0" w:type="dxa"/>
              <w:right w:w="0" w:type="dxa"/>
            </w:tcMar>
          </w:tcPr>
          <w:p w14:paraId="771D3CCD" w14:textId="35089880"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(149.5)</w:t>
            </w:r>
          </w:p>
        </w:tc>
        <w:tc>
          <w:tcPr>
            <w:tcW w:w="830" w:type="dxa"/>
            <w:tcMar>
              <w:left w:w="0" w:type="dxa"/>
              <w:right w:w="0" w:type="dxa"/>
            </w:tcMar>
          </w:tcPr>
          <w:p w14:paraId="37B26954" w14:textId="71F32943"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(73.9)</w:t>
            </w:r>
          </w:p>
        </w:tc>
      </w:tr>
      <w:tr w:rsidR="00366E57" w:rsidRPr="00895810" w14:paraId="626045B5" w14:textId="77777777" w:rsidTr="00AA6D1A">
        <w:trPr>
          <w:trHeight w:hRule="exact" w:val="316"/>
        </w:trPr>
        <w:tc>
          <w:tcPr>
            <w:tcW w:w="4941" w:type="dxa"/>
            <w:tcBorders>
              <w:top w:val="single" w:sz="2" w:space="0" w:color="3D7FE0" w:themeColor="accent1"/>
            </w:tcBorders>
            <w:tcMar>
              <w:left w:w="0" w:type="dxa"/>
              <w:right w:w="0" w:type="dxa"/>
            </w:tcMar>
            <w:vAlign w:val="bottom"/>
          </w:tcPr>
          <w:p w14:paraId="4338582E" w14:textId="17F4A5B3"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Operating</w:t>
            </w:r>
            <w:r>
              <w:rPr>
                <w:rFonts w:ascii="IBM Plex Sans Light" w:hAnsi="IBM Plex Sans Light"/>
                <w:b/>
                <w:bCs/>
                <w:color w:val="3D7FE0" w:themeColor="accent1"/>
                <w:spacing w:val="-4"/>
                <w:sz w:val="18"/>
                <w:szCs w:val="18"/>
              </w:rPr>
              <w:t xml:space="preserve"> (loss)/</w:t>
            </w:r>
            <w:r w:rsidRPr="00895810">
              <w:rPr>
                <w:rFonts w:ascii="IBM Plex Sans Light" w:hAnsi="IBM Plex Sans Light"/>
                <w:b/>
                <w:bCs/>
                <w:color w:val="3D7FE0" w:themeColor="accent1"/>
                <w:spacing w:val="-4"/>
                <w:sz w:val="18"/>
                <w:szCs w:val="18"/>
              </w:rPr>
              <w:t>profit</w:t>
            </w:r>
          </w:p>
        </w:tc>
        <w:tc>
          <w:tcPr>
            <w:tcW w:w="830" w:type="dxa"/>
            <w:tcBorders>
              <w:top w:val="single" w:sz="2" w:space="0" w:color="3D7FE0" w:themeColor="accent1"/>
            </w:tcBorders>
            <w:vAlign w:val="bottom"/>
          </w:tcPr>
          <w:p w14:paraId="639BB38D"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top w:val="single" w:sz="2" w:space="0" w:color="3D7FE0" w:themeColor="accent1"/>
            </w:tcBorders>
          </w:tcPr>
          <w:p w14:paraId="3A0F6EF4" w14:textId="25CF31CE"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(22.1)</w:t>
            </w:r>
          </w:p>
        </w:tc>
        <w:tc>
          <w:tcPr>
            <w:tcW w:w="830" w:type="dxa"/>
            <w:tcBorders>
              <w:top w:val="single" w:sz="2" w:space="0" w:color="3D7FE0" w:themeColor="accent1"/>
            </w:tcBorders>
            <w:tcMar>
              <w:left w:w="0" w:type="dxa"/>
              <w:right w:w="0" w:type="dxa"/>
            </w:tcMar>
          </w:tcPr>
          <w:p w14:paraId="7D206C3D" w14:textId="7B41008A"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w:t>
            </w:r>
            <w:r w:rsidR="00F90775">
              <w:rPr>
                <w:rFonts w:ascii="IBM Plex Sans Medium" w:hAnsi="IBM Plex Sans Medium"/>
                <w:b/>
                <w:bCs/>
                <w:color w:val="3D7FE0" w:themeColor="accent1"/>
                <w:spacing w:val="-4"/>
                <w:sz w:val="18"/>
                <w:szCs w:val="18"/>
              </w:rPr>
              <w:t>28.1</w:t>
            </w:r>
            <w:r w:rsidRPr="00366E57">
              <w:rPr>
                <w:rFonts w:ascii="IBM Plex Sans Medium" w:hAnsi="IBM Plex Sans Medium"/>
                <w:b/>
                <w:bCs/>
                <w:color w:val="3D7FE0" w:themeColor="accent1"/>
                <w:spacing w:val="-4"/>
                <w:sz w:val="18"/>
                <w:szCs w:val="18"/>
              </w:rPr>
              <w:t>)</w:t>
            </w:r>
          </w:p>
        </w:tc>
        <w:tc>
          <w:tcPr>
            <w:tcW w:w="830" w:type="dxa"/>
            <w:tcBorders>
              <w:top w:val="single" w:sz="2" w:space="0" w:color="3D7FE0" w:themeColor="accent1"/>
            </w:tcBorders>
            <w:tcMar>
              <w:left w:w="0" w:type="dxa"/>
              <w:right w:w="0" w:type="dxa"/>
            </w:tcMar>
          </w:tcPr>
          <w:p w14:paraId="5FE56C0D" w14:textId="3EE0BEA1" w:rsidR="00366E57" w:rsidRPr="009601CE" w:rsidRDefault="00F51B0E" w:rsidP="00366E57">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44.8</w:t>
            </w:r>
          </w:p>
        </w:tc>
        <w:tc>
          <w:tcPr>
            <w:tcW w:w="830" w:type="dxa"/>
            <w:tcBorders>
              <w:top w:val="single" w:sz="2" w:space="0" w:color="3D7FE0" w:themeColor="accent1"/>
            </w:tcBorders>
            <w:tcMar>
              <w:left w:w="0" w:type="dxa"/>
              <w:right w:w="0" w:type="dxa"/>
            </w:tcMar>
          </w:tcPr>
          <w:p w14:paraId="7F6F0D5B" w14:textId="6EBCE0D0"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16.1</w:t>
            </w:r>
          </w:p>
        </w:tc>
      </w:tr>
      <w:tr w:rsidR="00366E57" w:rsidRPr="00895810" w14:paraId="40CA0E14" w14:textId="77777777" w:rsidTr="00AA6D1A">
        <w:trPr>
          <w:trHeight w:hRule="exact" w:val="255"/>
        </w:trPr>
        <w:tc>
          <w:tcPr>
            <w:tcW w:w="4941" w:type="dxa"/>
            <w:tcMar>
              <w:left w:w="0" w:type="dxa"/>
              <w:right w:w="0" w:type="dxa"/>
            </w:tcMar>
            <w:vAlign w:val="bottom"/>
          </w:tcPr>
          <w:p w14:paraId="61A7DA5F" w14:textId="0752FB36"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spacing w:val="-4"/>
                <w:sz w:val="18"/>
                <w:szCs w:val="18"/>
              </w:rPr>
              <w:t>Finance income</w:t>
            </w:r>
          </w:p>
        </w:tc>
        <w:tc>
          <w:tcPr>
            <w:tcW w:w="830" w:type="dxa"/>
            <w:vAlign w:val="bottom"/>
          </w:tcPr>
          <w:p w14:paraId="7F715AEE"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Pr>
          <w:p w14:paraId="198D6293" w14:textId="195DADF7"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4.6</w:t>
            </w:r>
          </w:p>
        </w:tc>
        <w:tc>
          <w:tcPr>
            <w:tcW w:w="830" w:type="dxa"/>
            <w:tcMar>
              <w:left w:w="0" w:type="dxa"/>
              <w:right w:w="0" w:type="dxa"/>
            </w:tcMar>
          </w:tcPr>
          <w:p w14:paraId="600B6762" w14:textId="39E7A124"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2.9</w:t>
            </w:r>
          </w:p>
        </w:tc>
        <w:tc>
          <w:tcPr>
            <w:tcW w:w="830" w:type="dxa"/>
            <w:tcMar>
              <w:left w:w="0" w:type="dxa"/>
              <w:right w:w="0" w:type="dxa"/>
            </w:tcMar>
          </w:tcPr>
          <w:p w14:paraId="308A0D78" w14:textId="061DB5B4"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9.7</w:t>
            </w:r>
          </w:p>
        </w:tc>
        <w:tc>
          <w:tcPr>
            <w:tcW w:w="830" w:type="dxa"/>
            <w:tcMar>
              <w:left w:w="0" w:type="dxa"/>
              <w:right w:w="0" w:type="dxa"/>
            </w:tcMar>
          </w:tcPr>
          <w:p w14:paraId="3B337987" w14:textId="0C800D2A"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4.1</w:t>
            </w:r>
          </w:p>
        </w:tc>
      </w:tr>
      <w:tr w:rsidR="00366E57" w:rsidRPr="00895810" w14:paraId="521E0680" w14:textId="77777777" w:rsidTr="00AA6D1A">
        <w:trPr>
          <w:trHeight w:hRule="exact" w:val="255"/>
        </w:trPr>
        <w:tc>
          <w:tcPr>
            <w:tcW w:w="4941" w:type="dxa"/>
            <w:tcBorders>
              <w:bottom w:val="single" w:sz="2" w:space="0" w:color="3D7FE0" w:themeColor="accent1"/>
            </w:tcBorders>
            <w:tcMar>
              <w:left w:w="0" w:type="dxa"/>
              <w:right w:w="0" w:type="dxa"/>
            </w:tcMar>
            <w:vAlign w:val="bottom"/>
          </w:tcPr>
          <w:p w14:paraId="0EB2D56D" w14:textId="55E1C027"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spacing w:val="-4"/>
                <w:sz w:val="18"/>
                <w:szCs w:val="18"/>
              </w:rPr>
              <w:t>Finance costs</w:t>
            </w:r>
          </w:p>
        </w:tc>
        <w:tc>
          <w:tcPr>
            <w:tcW w:w="830" w:type="dxa"/>
            <w:tcBorders>
              <w:bottom w:val="single" w:sz="2" w:space="0" w:color="3D7FE0" w:themeColor="accent1"/>
            </w:tcBorders>
            <w:vAlign w:val="bottom"/>
          </w:tcPr>
          <w:p w14:paraId="7DB2772F"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bottom w:val="single" w:sz="2" w:space="0" w:color="3D7FE0" w:themeColor="accent1"/>
            </w:tcBorders>
          </w:tcPr>
          <w:p w14:paraId="24893FBC" w14:textId="3CD062C7"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(17.1)</w:t>
            </w:r>
          </w:p>
        </w:tc>
        <w:tc>
          <w:tcPr>
            <w:tcW w:w="830" w:type="dxa"/>
            <w:tcBorders>
              <w:bottom w:val="single" w:sz="2" w:space="0" w:color="3D7FE0" w:themeColor="accent1"/>
            </w:tcBorders>
            <w:tcMar>
              <w:left w:w="0" w:type="dxa"/>
              <w:right w:w="0" w:type="dxa"/>
            </w:tcMar>
          </w:tcPr>
          <w:p w14:paraId="405ED954" w14:textId="07BE98C2"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w:t>
            </w:r>
            <w:r w:rsidR="00F90775">
              <w:rPr>
                <w:rFonts w:ascii="IBM Plex Sans Medium" w:hAnsi="IBM Plex Sans Medium"/>
                <w:b/>
                <w:bCs/>
                <w:color w:val="3D7FE0" w:themeColor="accent1"/>
                <w:spacing w:val="-4"/>
                <w:sz w:val="18"/>
                <w:szCs w:val="18"/>
              </w:rPr>
              <w:t>7</w:t>
            </w:r>
            <w:r w:rsidRPr="00366E57">
              <w:rPr>
                <w:rFonts w:ascii="IBM Plex Sans Medium" w:hAnsi="IBM Plex Sans Medium"/>
                <w:b/>
                <w:bCs/>
                <w:color w:val="3D7FE0" w:themeColor="accent1"/>
                <w:spacing w:val="-4"/>
                <w:sz w:val="18"/>
                <w:szCs w:val="18"/>
              </w:rPr>
              <w:t>.4)</w:t>
            </w:r>
          </w:p>
        </w:tc>
        <w:tc>
          <w:tcPr>
            <w:tcW w:w="830" w:type="dxa"/>
            <w:tcBorders>
              <w:bottom w:val="single" w:sz="2" w:space="0" w:color="3D7FE0" w:themeColor="accent1"/>
            </w:tcBorders>
            <w:tcMar>
              <w:left w:w="0" w:type="dxa"/>
              <w:right w:w="0" w:type="dxa"/>
            </w:tcMar>
          </w:tcPr>
          <w:p w14:paraId="11C430AD" w14:textId="00821226"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w:t>
            </w:r>
            <w:r w:rsidR="00F51B0E">
              <w:rPr>
                <w:rFonts w:ascii="IBM Plex Sans Medium" w:hAnsi="IBM Plex Sans Medium"/>
                <w:b/>
                <w:bCs/>
                <w:color w:val="3D7FE0" w:themeColor="accent1"/>
                <w:spacing w:val="-4"/>
                <w:sz w:val="18"/>
                <w:szCs w:val="18"/>
              </w:rPr>
              <w:t>6</w:t>
            </w:r>
            <w:r w:rsidRPr="00366E57">
              <w:rPr>
                <w:rFonts w:ascii="IBM Plex Sans Medium" w:hAnsi="IBM Plex Sans Medium"/>
                <w:b/>
                <w:bCs/>
                <w:color w:val="3D7FE0" w:themeColor="accent1"/>
                <w:spacing w:val="-4"/>
                <w:sz w:val="18"/>
                <w:szCs w:val="18"/>
              </w:rPr>
              <w:t>.1)</w:t>
            </w:r>
          </w:p>
        </w:tc>
        <w:tc>
          <w:tcPr>
            <w:tcW w:w="830" w:type="dxa"/>
            <w:tcBorders>
              <w:bottom w:val="single" w:sz="2" w:space="0" w:color="3D7FE0" w:themeColor="accent1"/>
            </w:tcBorders>
            <w:tcMar>
              <w:left w:w="0" w:type="dxa"/>
              <w:right w:w="0" w:type="dxa"/>
            </w:tcMar>
          </w:tcPr>
          <w:p w14:paraId="2E8C296D" w14:textId="4E5CAAB0"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(10.7)</w:t>
            </w:r>
          </w:p>
        </w:tc>
      </w:tr>
      <w:tr w:rsidR="00366E57" w:rsidRPr="00895810" w14:paraId="6BA52877" w14:textId="77777777" w:rsidTr="00AA6D1A">
        <w:trPr>
          <w:trHeight w:hRule="exact" w:val="255"/>
        </w:trPr>
        <w:tc>
          <w:tcPr>
            <w:tcW w:w="4941" w:type="dxa"/>
            <w:tcBorders>
              <w:top w:val="single" w:sz="2" w:space="0" w:color="3D7FE0" w:themeColor="accent1"/>
            </w:tcBorders>
            <w:tcMar>
              <w:left w:w="0" w:type="dxa"/>
              <w:right w:w="0" w:type="dxa"/>
            </w:tcMar>
            <w:vAlign w:val="bottom"/>
          </w:tcPr>
          <w:p w14:paraId="64EC3669" w14:textId="35F7103C" w:rsidR="00366E57" w:rsidRPr="00895810" w:rsidRDefault="00FC6179" w:rsidP="00366E57">
            <w:pPr>
              <w:pStyle w:val="TableFigures"/>
              <w:jc w:val="left"/>
              <w:rPr>
                <w:rFonts w:ascii="IBM Plex Sans Light" w:hAnsi="IBM Plex Sans Light"/>
                <w:b/>
                <w:bCs/>
                <w:color w:val="3D7FE0" w:themeColor="accent1"/>
                <w:spacing w:val="-4"/>
                <w:sz w:val="18"/>
                <w:szCs w:val="18"/>
              </w:rPr>
            </w:pPr>
            <w:r>
              <w:rPr>
                <w:rFonts w:ascii="IBM Plex Sans Light" w:hAnsi="IBM Plex Sans Light"/>
                <w:b/>
                <w:color w:val="3D7FE0" w:themeColor="accent1"/>
                <w:spacing w:val="-4"/>
                <w:sz w:val="18"/>
                <w:szCs w:val="18"/>
              </w:rPr>
              <w:t>Profit/(l</w:t>
            </w:r>
            <w:r w:rsidR="00366E57">
              <w:rPr>
                <w:rFonts w:ascii="IBM Plex Sans Light" w:hAnsi="IBM Plex Sans Light"/>
                <w:b/>
                <w:color w:val="3D7FE0" w:themeColor="accent1"/>
                <w:spacing w:val="-4"/>
                <w:sz w:val="18"/>
                <w:szCs w:val="18"/>
              </w:rPr>
              <w:t>oss</w:t>
            </w:r>
            <w:r>
              <w:rPr>
                <w:rFonts w:ascii="IBM Plex Sans Light" w:hAnsi="IBM Plex Sans Light"/>
                <w:b/>
                <w:color w:val="3D7FE0" w:themeColor="accent1"/>
                <w:spacing w:val="-4"/>
                <w:sz w:val="18"/>
                <w:szCs w:val="18"/>
              </w:rPr>
              <w:t>)</w:t>
            </w:r>
            <w:r w:rsidR="00366E57">
              <w:rPr>
                <w:rFonts w:ascii="IBM Plex Sans Light" w:hAnsi="IBM Plex Sans Light"/>
                <w:b/>
                <w:color w:val="3D7FE0" w:themeColor="accent1"/>
                <w:spacing w:val="-4"/>
                <w:sz w:val="18"/>
                <w:szCs w:val="18"/>
              </w:rPr>
              <w:t xml:space="preserve"> </w:t>
            </w:r>
            <w:r w:rsidR="00366E57" w:rsidRPr="00895810">
              <w:rPr>
                <w:rFonts w:ascii="IBM Plex Sans Light" w:hAnsi="IBM Plex Sans Light"/>
                <w:b/>
                <w:color w:val="3D7FE0" w:themeColor="accent1"/>
                <w:spacing w:val="-4"/>
                <w:sz w:val="18"/>
                <w:szCs w:val="18"/>
              </w:rPr>
              <w:t xml:space="preserve">before tax </w:t>
            </w:r>
          </w:p>
        </w:tc>
        <w:tc>
          <w:tcPr>
            <w:tcW w:w="830" w:type="dxa"/>
            <w:tcBorders>
              <w:top w:val="single" w:sz="2" w:space="0" w:color="3D7FE0" w:themeColor="accent1"/>
            </w:tcBorders>
            <w:vAlign w:val="bottom"/>
          </w:tcPr>
          <w:p w14:paraId="54F05926"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top w:val="single" w:sz="2" w:space="0" w:color="3D7FE0" w:themeColor="accent1"/>
            </w:tcBorders>
          </w:tcPr>
          <w:p w14:paraId="3A3F9381" w14:textId="69F072ED"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(34.6)</w:t>
            </w:r>
          </w:p>
        </w:tc>
        <w:tc>
          <w:tcPr>
            <w:tcW w:w="830" w:type="dxa"/>
            <w:tcBorders>
              <w:top w:val="single" w:sz="2" w:space="0" w:color="3D7FE0" w:themeColor="accent1"/>
            </w:tcBorders>
            <w:tcMar>
              <w:left w:w="0" w:type="dxa"/>
              <w:right w:w="0" w:type="dxa"/>
            </w:tcMar>
          </w:tcPr>
          <w:p w14:paraId="340A8418" w14:textId="6236ABC1"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w:t>
            </w:r>
            <w:r w:rsidR="00F90775">
              <w:rPr>
                <w:rFonts w:ascii="IBM Plex Sans Medium" w:hAnsi="IBM Plex Sans Medium"/>
                <w:b/>
                <w:bCs/>
                <w:color w:val="3D7FE0" w:themeColor="accent1"/>
                <w:spacing w:val="-4"/>
                <w:sz w:val="18"/>
                <w:szCs w:val="18"/>
              </w:rPr>
              <w:t>2.6</w:t>
            </w:r>
            <w:r w:rsidRPr="00366E57">
              <w:rPr>
                <w:rFonts w:ascii="IBM Plex Sans Medium" w:hAnsi="IBM Plex Sans Medium"/>
                <w:b/>
                <w:bCs/>
                <w:color w:val="3D7FE0" w:themeColor="accent1"/>
                <w:spacing w:val="-4"/>
                <w:sz w:val="18"/>
                <w:szCs w:val="18"/>
              </w:rPr>
              <w:t>)</w:t>
            </w:r>
          </w:p>
        </w:tc>
        <w:tc>
          <w:tcPr>
            <w:tcW w:w="830" w:type="dxa"/>
            <w:tcBorders>
              <w:top w:val="single" w:sz="2" w:space="0" w:color="3D7FE0" w:themeColor="accent1"/>
            </w:tcBorders>
            <w:tcMar>
              <w:left w:w="0" w:type="dxa"/>
              <w:right w:w="0" w:type="dxa"/>
            </w:tcMar>
          </w:tcPr>
          <w:p w14:paraId="127A6A75" w14:textId="7B6CA446"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w:t>
            </w:r>
            <w:r w:rsidR="00F51B0E">
              <w:rPr>
                <w:rFonts w:ascii="IBM Plex Sans Medium" w:hAnsi="IBM Plex Sans Medium"/>
                <w:color w:val="3D7FE0" w:themeColor="accent1"/>
                <w:sz w:val="18"/>
                <w:szCs w:val="22"/>
              </w:rPr>
              <w:t>8.4</w:t>
            </w:r>
          </w:p>
        </w:tc>
        <w:tc>
          <w:tcPr>
            <w:tcW w:w="830" w:type="dxa"/>
            <w:tcBorders>
              <w:top w:val="single" w:sz="2" w:space="0" w:color="3D7FE0" w:themeColor="accent1"/>
            </w:tcBorders>
            <w:tcMar>
              <w:left w:w="0" w:type="dxa"/>
              <w:right w:w="0" w:type="dxa"/>
            </w:tcMar>
          </w:tcPr>
          <w:p w14:paraId="7D52C6E5" w14:textId="0F71C67F"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9.5</w:t>
            </w:r>
          </w:p>
        </w:tc>
      </w:tr>
      <w:tr w:rsidR="00366E57" w:rsidRPr="00895810" w14:paraId="391C9652" w14:textId="77777777" w:rsidTr="00AA6D1A">
        <w:trPr>
          <w:trHeight w:hRule="exact" w:val="255"/>
        </w:trPr>
        <w:tc>
          <w:tcPr>
            <w:tcW w:w="4941" w:type="dxa"/>
            <w:tcBorders>
              <w:bottom w:val="single" w:sz="2" w:space="0" w:color="3D7FE0" w:themeColor="accent1"/>
            </w:tcBorders>
            <w:tcMar>
              <w:left w:w="0" w:type="dxa"/>
              <w:right w:w="0" w:type="dxa"/>
            </w:tcMar>
            <w:vAlign w:val="bottom"/>
          </w:tcPr>
          <w:p w14:paraId="3A0E3F03" w14:textId="77A3D2AE"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spacing w:val="-4"/>
                <w:sz w:val="18"/>
                <w:szCs w:val="18"/>
              </w:rPr>
              <w:t>Tax charge</w:t>
            </w:r>
          </w:p>
        </w:tc>
        <w:tc>
          <w:tcPr>
            <w:tcW w:w="830" w:type="dxa"/>
            <w:tcBorders>
              <w:bottom w:val="single" w:sz="2" w:space="0" w:color="3D7FE0" w:themeColor="accent1"/>
            </w:tcBorders>
            <w:vAlign w:val="bottom"/>
          </w:tcPr>
          <w:p w14:paraId="4F943194"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bottom w:val="single" w:sz="2" w:space="0" w:color="3D7FE0" w:themeColor="accent1"/>
            </w:tcBorders>
          </w:tcPr>
          <w:p w14:paraId="1B2FFE57" w14:textId="49C90C11"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30" w:type="dxa"/>
            <w:tcBorders>
              <w:bottom w:val="single" w:sz="2" w:space="0" w:color="3D7FE0" w:themeColor="accent1"/>
            </w:tcBorders>
            <w:tcMar>
              <w:left w:w="0" w:type="dxa"/>
              <w:right w:w="0" w:type="dxa"/>
            </w:tcMar>
          </w:tcPr>
          <w:p w14:paraId="1B3CFFB7" w14:textId="40E0BA13"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30" w:type="dxa"/>
            <w:tcBorders>
              <w:bottom w:val="single" w:sz="2" w:space="0" w:color="3D7FE0" w:themeColor="accent1"/>
            </w:tcBorders>
            <w:tcMar>
              <w:left w:w="0" w:type="dxa"/>
              <w:right w:w="0" w:type="dxa"/>
            </w:tcMar>
          </w:tcPr>
          <w:p w14:paraId="0E2ACB20" w14:textId="084F32D6"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c>
          <w:tcPr>
            <w:tcW w:w="830" w:type="dxa"/>
            <w:tcBorders>
              <w:bottom w:val="single" w:sz="2" w:space="0" w:color="3D7FE0" w:themeColor="accent1"/>
            </w:tcBorders>
            <w:tcMar>
              <w:left w:w="0" w:type="dxa"/>
              <w:right w:w="0" w:type="dxa"/>
            </w:tcMar>
          </w:tcPr>
          <w:p w14:paraId="1ABF5495" w14:textId="06234FDF"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(0.1)</w:t>
            </w:r>
          </w:p>
        </w:tc>
      </w:tr>
      <w:tr w:rsidR="00366E57" w:rsidRPr="00895810" w14:paraId="78E46A78" w14:textId="77777777" w:rsidTr="00AA6D1A">
        <w:trPr>
          <w:trHeight w:hRule="exact" w:val="283"/>
        </w:trPr>
        <w:tc>
          <w:tcPr>
            <w:tcW w:w="4941" w:type="dxa"/>
            <w:tcBorders>
              <w:top w:val="single" w:sz="2" w:space="0" w:color="3D7FE0" w:themeColor="accent1"/>
              <w:bottom w:val="single" w:sz="8" w:space="0" w:color="3D7FE0" w:themeColor="accent1"/>
            </w:tcBorders>
            <w:tcMar>
              <w:left w:w="0" w:type="dxa"/>
              <w:right w:w="0" w:type="dxa"/>
            </w:tcMar>
            <w:vAlign w:val="bottom"/>
          </w:tcPr>
          <w:p w14:paraId="08E7E8DE" w14:textId="3F3F42D7" w:rsidR="00366E57" w:rsidRPr="00895810" w:rsidRDefault="00452848" w:rsidP="00366E57">
            <w:pPr>
              <w:pStyle w:val="TableFigures"/>
              <w:jc w:val="left"/>
              <w:rPr>
                <w:rFonts w:ascii="IBM Plex Sans Light" w:hAnsi="IBM Plex Sans Light"/>
                <w:b/>
                <w:bCs/>
                <w:color w:val="3D7FE0" w:themeColor="accent1"/>
                <w:spacing w:val="-4"/>
                <w:sz w:val="18"/>
                <w:szCs w:val="18"/>
              </w:rPr>
            </w:pPr>
            <w:r>
              <w:rPr>
                <w:rFonts w:ascii="IBM Plex Sans Light" w:hAnsi="IBM Plex Sans Light"/>
                <w:b/>
                <w:color w:val="3D7FE0" w:themeColor="accent1"/>
                <w:sz w:val="18"/>
                <w:szCs w:val="18"/>
              </w:rPr>
              <w:t>Profit/</w:t>
            </w:r>
            <w:r w:rsidR="00366E57">
              <w:rPr>
                <w:rFonts w:ascii="IBM Plex Sans Light" w:hAnsi="IBM Plex Sans Light"/>
                <w:b/>
                <w:color w:val="3D7FE0" w:themeColor="accent1"/>
                <w:sz w:val="18"/>
                <w:szCs w:val="18"/>
              </w:rPr>
              <w:t>(</w:t>
            </w:r>
            <w:r>
              <w:rPr>
                <w:rFonts w:ascii="IBM Plex Sans Light" w:hAnsi="IBM Plex Sans Light"/>
                <w:b/>
                <w:color w:val="3D7FE0" w:themeColor="accent1"/>
                <w:sz w:val="18"/>
                <w:szCs w:val="18"/>
              </w:rPr>
              <w:t>l</w:t>
            </w:r>
            <w:r w:rsidR="00366E57" w:rsidRPr="00895810">
              <w:rPr>
                <w:rFonts w:ascii="IBM Plex Sans Light" w:hAnsi="IBM Plex Sans Light"/>
                <w:b/>
                <w:color w:val="3D7FE0" w:themeColor="accent1"/>
                <w:sz w:val="18"/>
                <w:szCs w:val="18"/>
              </w:rPr>
              <w:t>oss) for the year</w:t>
            </w:r>
          </w:p>
        </w:tc>
        <w:tc>
          <w:tcPr>
            <w:tcW w:w="830" w:type="dxa"/>
            <w:tcBorders>
              <w:top w:val="single" w:sz="2" w:space="0" w:color="3D7FE0" w:themeColor="accent1"/>
              <w:bottom w:val="single" w:sz="8" w:space="0" w:color="3D7FE0" w:themeColor="accent1"/>
            </w:tcBorders>
            <w:vAlign w:val="bottom"/>
          </w:tcPr>
          <w:p w14:paraId="43DD302A" w14:textId="0803E023" w:rsidR="00366E57" w:rsidRPr="00366E57" w:rsidRDefault="00366E57" w:rsidP="00366E57">
            <w:pPr>
              <w:pStyle w:val="TableFigures"/>
              <w:rPr>
                <w:rFonts w:ascii="IBM Plex Sans Light" w:hAnsi="IBM Plex Sans Light" w:cs="MyriadPro-Light"/>
                <w:color w:val="auto"/>
                <w:spacing w:val="-4"/>
                <w:szCs w:val="16"/>
              </w:rPr>
            </w:pPr>
            <w:r w:rsidRPr="00366E57">
              <w:rPr>
                <w:rFonts w:ascii="IBM Plex Sans Light" w:hAnsi="IBM Plex Sans Light" w:cs="MyriadPro-Light"/>
                <w:color w:val="auto"/>
                <w:spacing w:val="-4"/>
                <w:szCs w:val="16"/>
              </w:rPr>
              <w:t>a</w:t>
            </w:r>
          </w:p>
        </w:tc>
        <w:tc>
          <w:tcPr>
            <w:tcW w:w="830" w:type="dxa"/>
            <w:tcBorders>
              <w:top w:val="single" w:sz="2" w:space="0" w:color="3D7FE0" w:themeColor="accent1"/>
              <w:bottom w:val="single" w:sz="8" w:space="0" w:color="3D7FE0" w:themeColor="accent1"/>
            </w:tcBorders>
          </w:tcPr>
          <w:p w14:paraId="2E2D6B4A" w14:textId="615DFD9A"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(34.6)</w:t>
            </w:r>
          </w:p>
        </w:tc>
        <w:tc>
          <w:tcPr>
            <w:tcW w:w="830" w:type="dxa"/>
            <w:tcBorders>
              <w:top w:val="single" w:sz="2" w:space="0" w:color="3D7FE0" w:themeColor="accent1"/>
              <w:bottom w:val="single" w:sz="8" w:space="0" w:color="3D7FE0" w:themeColor="accent1"/>
            </w:tcBorders>
            <w:tcMar>
              <w:left w:w="0" w:type="dxa"/>
              <w:right w:w="0" w:type="dxa"/>
            </w:tcMar>
          </w:tcPr>
          <w:p w14:paraId="1F79C10A" w14:textId="78F414EF"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w:t>
            </w:r>
            <w:r w:rsidR="00F90775">
              <w:rPr>
                <w:rFonts w:ascii="IBM Plex Sans Medium" w:hAnsi="IBM Plex Sans Medium"/>
                <w:b/>
                <w:bCs/>
                <w:color w:val="3D7FE0" w:themeColor="accent1"/>
                <w:spacing w:val="-4"/>
                <w:sz w:val="18"/>
                <w:szCs w:val="18"/>
              </w:rPr>
              <w:t>2.6</w:t>
            </w:r>
            <w:r w:rsidRPr="00366E57">
              <w:rPr>
                <w:rFonts w:ascii="IBM Plex Sans Medium" w:hAnsi="IBM Plex Sans Medium"/>
                <w:b/>
                <w:bCs/>
                <w:color w:val="3D7FE0" w:themeColor="accent1"/>
                <w:spacing w:val="-4"/>
                <w:sz w:val="18"/>
                <w:szCs w:val="18"/>
              </w:rPr>
              <w:t>)</w:t>
            </w:r>
          </w:p>
        </w:tc>
        <w:tc>
          <w:tcPr>
            <w:tcW w:w="830" w:type="dxa"/>
            <w:tcBorders>
              <w:top w:val="single" w:sz="2" w:space="0" w:color="3D7FE0" w:themeColor="accent1"/>
              <w:bottom w:val="single" w:sz="8" w:space="0" w:color="3D7FE0" w:themeColor="accent1"/>
            </w:tcBorders>
            <w:tcMar>
              <w:left w:w="0" w:type="dxa"/>
              <w:right w:w="0" w:type="dxa"/>
            </w:tcMar>
          </w:tcPr>
          <w:p w14:paraId="1CEF573B" w14:textId="02115A40"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w:t>
            </w:r>
            <w:r w:rsidR="00F51B0E">
              <w:rPr>
                <w:rFonts w:ascii="IBM Plex Sans Medium" w:hAnsi="IBM Plex Sans Medium"/>
                <w:color w:val="3D7FE0" w:themeColor="accent1"/>
                <w:sz w:val="18"/>
                <w:szCs w:val="22"/>
              </w:rPr>
              <w:t>8.3</w:t>
            </w:r>
          </w:p>
        </w:tc>
        <w:tc>
          <w:tcPr>
            <w:tcW w:w="830" w:type="dxa"/>
            <w:tcBorders>
              <w:top w:val="single" w:sz="2" w:space="0" w:color="3D7FE0" w:themeColor="accent1"/>
              <w:bottom w:val="single" w:sz="8" w:space="0" w:color="3D7FE0" w:themeColor="accent1"/>
            </w:tcBorders>
            <w:tcMar>
              <w:left w:w="0" w:type="dxa"/>
              <w:right w:w="0" w:type="dxa"/>
            </w:tcMar>
          </w:tcPr>
          <w:p w14:paraId="24F2278F" w14:textId="2A37B95D"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9.4</w:t>
            </w:r>
          </w:p>
        </w:tc>
      </w:tr>
      <w:tr w:rsidR="00366E57" w:rsidRPr="00895810" w14:paraId="57320683" w14:textId="77777777" w:rsidTr="00AA6D1A">
        <w:trPr>
          <w:trHeight w:hRule="exact" w:val="283"/>
        </w:trPr>
        <w:tc>
          <w:tcPr>
            <w:tcW w:w="4941" w:type="dxa"/>
            <w:tcBorders>
              <w:top w:val="single" w:sz="8" w:space="0" w:color="3D7FE0" w:themeColor="accent1"/>
              <w:bottom w:val="single" w:sz="8" w:space="0" w:color="3D7FE0" w:themeColor="accent1"/>
            </w:tcBorders>
            <w:tcMar>
              <w:left w:w="0" w:type="dxa"/>
              <w:right w:w="0" w:type="dxa"/>
            </w:tcMar>
            <w:vAlign w:val="bottom"/>
          </w:tcPr>
          <w:p w14:paraId="50009F3F" w14:textId="4383BBE3" w:rsidR="00366E57" w:rsidRPr="00895810" w:rsidRDefault="00366E57" w:rsidP="00366E57">
            <w:pPr>
              <w:pStyle w:val="TableFigures"/>
              <w:jc w:val="left"/>
              <w:rPr>
                <w:rFonts w:ascii="IBM Plex Sans Light" w:hAnsi="IBM Plex Sans Light"/>
                <w:b/>
                <w:bCs/>
                <w:color w:val="3D7FE0" w:themeColor="accent1"/>
                <w:spacing w:val="-4"/>
                <w:sz w:val="18"/>
                <w:szCs w:val="18"/>
              </w:rPr>
            </w:pPr>
            <w:r w:rsidRPr="00895810">
              <w:rPr>
                <w:rFonts w:ascii="IBM Plex Sans Light" w:hAnsi="IBM Plex Sans Light"/>
                <w:b/>
                <w:color w:val="3D7FE0" w:themeColor="accent1"/>
                <w:sz w:val="18"/>
                <w:szCs w:val="18"/>
              </w:rPr>
              <w:t>Share of distributions received by the Group</w:t>
            </w:r>
          </w:p>
        </w:tc>
        <w:tc>
          <w:tcPr>
            <w:tcW w:w="830" w:type="dxa"/>
            <w:tcBorders>
              <w:top w:val="single" w:sz="8" w:space="0" w:color="3D7FE0" w:themeColor="accent1"/>
              <w:bottom w:val="single" w:sz="8" w:space="0" w:color="3D7FE0" w:themeColor="accent1"/>
            </w:tcBorders>
            <w:vAlign w:val="bottom"/>
          </w:tcPr>
          <w:p w14:paraId="42EA112C"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30" w:type="dxa"/>
            <w:tcBorders>
              <w:top w:val="single" w:sz="8" w:space="0" w:color="3D7FE0" w:themeColor="accent1"/>
              <w:bottom w:val="single" w:sz="8" w:space="0" w:color="3D7FE0" w:themeColor="accent1"/>
            </w:tcBorders>
          </w:tcPr>
          <w:p w14:paraId="5C28ACE2" w14:textId="644ACEB3"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3.5</w:t>
            </w:r>
          </w:p>
        </w:tc>
        <w:tc>
          <w:tcPr>
            <w:tcW w:w="830" w:type="dxa"/>
            <w:tcBorders>
              <w:top w:val="single" w:sz="8" w:space="0" w:color="3D7FE0" w:themeColor="accent1"/>
              <w:bottom w:val="single" w:sz="8" w:space="0" w:color="3D7FE0" w:themeColor="accent1"/>
            </w:tcBorders>
            <w:tcMar>
              <w:left w:w="0" w:type="dxa"/>
              <w:right w:w="0" w:type="dxa"/>
            </w:tcMar>
          </w:tcPr>
          <w:p w14:paraId="1F7D3990" w14:textId="24E88A23"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30" w:type="dxa"/>
            <w:tcBorders>
              <w:top w:val="single" w:sz="8" w:space="0" w:color="3D7FE0" w:themeColor="accent1"/>
              <w:bottom w:val="single" w:sz="8" w:space="0" w:color="3D7FE0" w:themeColor="accent1"/>
            </w:tcBorders>
            <w:tcMar>
              <w:left w:w="0" w:type="dxa"/>
              <w:right w:w="0" w:type="dxa"/>
            </w:tcMar>
          </w:tcPr>
          <w:p w14:paraId="22160C86" w14:textId="080823C8"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47.7</w:t>
            </w:r>
          </w:p>
        </w:tc>
        <w:tc>
          <w:tcPr>
            <w:tcW w:w="830" w:type="dxa"/>
            <w:tcBorders>
              <w:top w:val="single" w:sz="8" w:space="0" w:color="3D7FE0" w:themeColor="accent1"/>
              <w:bottom w:val="single" w:sz="8" w:space="0" w:color="3D7FE0" w:themeColor="accent1"/>
            </w:tcBorders>
            <w:tcMar>
              <w:left w:w="0" w:type="dxa"/>
              <w:right w:w="0" w:type="dxa"/>
            </w:tcMar>
          </w:tcPr>
          <w:p w14:paraId="42EB47E5" w14:textId="3CF43E58"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47.7</w:t>
            </w:r>
          </w:p>
        </w:tc>
      </w:tr>
    </w:tbl>
    <w:p w14:paraId="6DD56F68" w14:textId="77777777" w:rsidR="00F65ED1" w:rsidRPr="00895810" w:rsidRDefault="00F65ED1" w:rsidP="00F65ED1">
      <w:pPr>
        <w:spacing w:after="0" w:line="240" w:lineRule="auto"/>
        <w:rPr>
          <w:rFonts w:ascii="IBM Plex Sans Light" w:hAnsi="IBM Plex Sans Light"/>
        </w:rPr>
      </w:pPr>
      <w:r w:rsidRPr="00895810">
        <w:rPr>
          <w:rFonts w:ascii="IBM Plex Sans Light" w:hAnsi="IBM Plex Sans Light"/>
        </w:rPr>
        <w:t xml:space="preserve"> </w:t>
      </w:r>
    </w:p>
    <w:p w14:paraId="301FE5B0" w14:textId="752B2AFB" w:rsidR="00F65ED1" w:rsidRPr="00895810" w:rsidRDefault="00F65ED1" w:rsidP="005D05CB">
      <w:pPr>
        <w:pStyle w:val="Heading2SpaceBefore"/>
        <w:tabs>
          <w:tab w:val="clear" w:pos="340"/>
          <w:tab w:val="left" w:pos="284"/>
        </w:tabs>
        <w:spacing w:before="0"/>
        <w:rPr>
          <w:rFonts w:ascii="IBM Plex Sans Light" w:hAnsi="IBM Plex Sans Light"/>
          <w:color w:val="3D7FE0" w:themeColor="accent1"/>
        </w:rPr>
      </w:pPr>
    </w:p>
    <w:tbl>
      <w:tblPr>
        <w:tblW w:w="9107" w:type="dxa"/>
        <w:tblCellMar>
          <w:left w:w="28" w:type="dxa"/>
          <w:right w:w="28" w:type="dxa"/>
        </w:tblCellMar>
        <w:tblLook w:val="01E0" w:firstRow="1" w:lastRow="1" w:firstColumn="1" w:lastColumn="1" w:noHBand="0" w:noVBand="0"/>
      </w:tblPr>
      <w:tblGrid>
        <w:gridCol w:w="3969"/>
        <w:gridCol w:w="241"/>
        <w:gridCol w:w="816"/>
        <w:gridCol w:w="816"/>
        <w:gridCol w:w="816"/>
        <w:gridCol w:w="816"/>
        <w:gridCol w:w="816"/>
        <w:gridCol w:w="817"/>
      </w:tblGrid>
      <w:tr w:rsidR="009601CE" w:rsidRPr="00895810" w14:paraId="32D8BB83" w14:textId="77777777" w:rsidTr="009601CE">
        <w:trPr>
          <w:trHeight w:val="97"/>
        </w:trPr>
        <w:tc>
          <w:tcPr>
            <w:tcW w:w="3969" w:type="dxa"/>
            <w:tcBorders>
              <w:bottom w:val="single" w:sz="4" w:space="0" w:color="3D7FE0" w:themeColor="accent1"/>
            </w:tcBorders>
            <w:tcMar>
              <w:left w:w="0" w:type="dxa"/>
              <w:bottom w:w="57" w:type="dxa"/>
              <w:right w:w="0" w:type="dxa"/>
            </w:tcMar>
            <w:vAlign w:val="bottom"/>
          </w:tcPr>
          <w:p w14:paraId="2016C813" w14:textId="77777777" w:rsidR="009601CE" w:rsidRPr="00895810" w:rsidRDefault="009601CE" w:rsidP="003F2C4C">
            <w:pPr>
              <w:pStyle w:val="TableColHeadsBold"/>
              <w:ind w:right="0"/>
              <w:rPr>
                <w:rFonts w:ascii="IBM Plex Sans Light" w:hAnsi="IBM Plex Sans Light"/>
                <w:color w:val="3D7FE0" w:themeColor="accent1"/>
              </w:rPr>
            </w:pPr>
          </w:p>
        </w:tc>
        <w:tc>
          <w:tcPr>
            <w:tcW w:w="241" w:type="dxa"/>
            <w:tcBorders>
              <w:bottom w:val="single" w:sz="4" w:space="0" w:color="3D7FE0" w:themeColor="accent1"/>
            </w:tcBorders>
            <w:vAlign w:val="bottom"/>
          </w:tcPr>
          <w:p w14:paraId="52BB62FC" w14:textId="24670AD1" w:rsidR="009601CE" w:rsidRPr="00895810" w:rsidRDefault="009601CE" w:rsidP="003F2C4C">
            <w:pPr>
              <w:pStyle w:val="TableColHeadsBold"/>
              <w:ind w:right="0"/>
              <w:rPr>
                <w:rFonts w:ascii="IBM Plex Sans Light" w:hAnsi="IBM Plex Sans Light"/>
                <w:color w:val="3D7FE0" w:themeColor="accent1"/>
              </w:rPr>
            </w:pPr>
          </w:p>
        </w:tc>
        <w:tc>
          <w:tcPr>
            <w:tcW w:w="816" w:type="dxa"/>
            <w:tcBorders>
              <w:bottom w:val="single" w:sz="4" w:space="0" w:color="3D7FE0" w:themeColor="accent1"/>
            </w:tcBorders>
            <w:vAlign w:val="bottom"/>
          </w:tcPr>
          <w:p w14:paraId="79D13369" w14:textId="77777777" w:rsidR="009601CE" w:rsidRPr="00895810" w:rsidRDefault="009601CE" w:rsidP="003F2C4C">
            <w:pPr>
              <w:pStyle w:val="TableColHeadsBold"/>
              <w:ind w:right="0"/>
              <w:rPr>
                <w:rFonts w:ascii="IBM Plex Sans Light" w:hAnsi="IBM Plex Sans Light"/>
                <w:color w:val="3D7FE0" w:themeColor="accent1"/>
                <w:sz w:val="16"/>
                <w:szCs w:val="16"/>
              </w:rPr>
            </w:pPr>
          </w:p>
        </w:tc>
        <w:tc>
          <w:tcPr>
            <w:tcW w:w="816" w:type="dxa"/>
            <w:tcBorders>
              <w:bottom w:val="single" w:sz="4" w:space="0" w:color="3D7FE0" w:themeColor="accent1"/>
            </w:tcBorders>
            <w:vAlign w:val="bottom"/>
          </w:tcPr>
          <w:p w14:paraId="69AE497D" w14:textId="77777777" w:rsidR="009601CE" w:rsidRPr="00895810" w:rsidRDefault="009601CE" w:rsidP="003F2C4C">
            <w:pPr>
              <w:pStyle w:val="TableColHeadsBold"/>
              <w:ind w:right="0"/>
              <w:rPr>
                <w:rFonts w:ascii="IBM Plex Sans Light" w:hAnsi="IBM Plex Sans Light"/>
                <w:color w:val="3D7FE0" w:themeColor="accent1"/>
              </w:rPr>
            </w:pPr>
          </w:p>
        </w:tc>
        <w:tc>
          <w:tcPr>
            <w:tcW w:w="816" w:type="dxa"/>
            <w:tcBorders>
              <w:bottom w:val="single" w:sz="4" w:space="0" w:color="3D7FE0" w:themeColor="accent1"/>
            </w:tcBorders>
            <w:vAlign w:val="bottom"/>
          </w:tcPr>
          <w:p w14:paraId="4657EDA8" w14:textId="77777777" w:rsidR="009601CE" w:rsidRPr="00895810" w:rsidRDefault="009601CE" w:rsidP="003F2C4C">
            <w:pPr>
              <w:pStyle w:val="TableColHeadsBold"/>
              <w:ind w:right="0"/>
              <w:rPr>
                <w:rFonts w:ascii="IBM Plex Sans Light" w:hAnsi="IBM Plex Sans Light"/>
                <w:color w:val="3D7FE0" w:themeColor="accent1"/>
              </w:rPr>
            </w:pPr>
          </w:p>
        </w:tc>
        <w:tc>
          <w:tcPr>
            <w:tcW w:w="816" w:type="dxa"/>
            <w:tcBorders>
              <w:bottom w:val="single" w:sz="4" w:space="0" w:color="3D7FE0" w:themeColor="accent1"/>
            </w:tcBorders>
            <w:vAlign w:val="bottom"/>
          </w:tcPr>
          <w:p w14:paraId="36452EDB" w14:textId="77777777" w:rsidR="009601CE" w:rsidRPr="00895810" w:rsidRDefault="009601CE" w:rsidP="003F2C4C">
            <w:pPr>
              <w:pStyle w:val="TableColHeadsBold"/>
              <w:ind w:right="0"/>
              <w:rPr>
                <w:rFonts w:ascii="IBM Plex Sans Light" w:hAnsi="IBM Plex Sans Light"/>
                <w:color w:val="3D7FE0" w:themeColor="accent1"/>
              </w:rPr>
            </w:pPr>
          </w:p>
        </w:tc>
        <w:tc>
          <w:tcPr>
            <w:tcW w:w="816" w:type="dxa"/>
            <w:tcBorders>
              <w:bottom w:val="single" w:sz="4" w:space="0" w:color="3D7FE0" w:themeColor="accent1"/>
            </w:tcBorders>
            <w:tcMar>
              <w:left w:w="0" w:type="dxa"/>
              <w:bottom w:w="57" w:type="dxa"/>
              <w:right w:w="0" w:type="dxa"/>
            </w:tcMar>
            <w:vAlign w:val="bottom"/>
          </w:tcPr>
          <w:p w14:paraId="172365D2" w14:textId="77777777" w:rsidR="009601CE" w:rsidRPr="00895810" w:rsidRDefault="009601CE" w:rsidP="003F2C4C">
            <w:pPr>
              <w:pStyle w:val="TableColHeadsBold"/>
              <w:rPr>
                <w:rFonts w:ascii="IBM Plex Sans Light" w:hAnsi="IBM Plex Sans Light"/>
                <w:b w:val="0"/>
              </w:rPr>
            </w:pPr>
          </w:p>
        </w:tc>
        <w:tc>
          <w:tcPr>
            <w:tcW w:w="817" w:type="dxa"/>
            <w:tcBorders>
              <w:bottom w:val="single" w:sz="4" w:space="0" w:color="3D7FE0" w:themeColor="accent1"/>
            </w:tcBorders>
            <w:vAlign w:val="bottom"/>
          </w:tcPr>
          <w:p w14:paraId="4405F019" w14:textId="38467080" w:rsidR="009601CE" w:rsidRPr="00895810" w:rsidRDefault="009601CE" w:rsidP="003F2C4C">
            <w:pPr>
              <w:pStyle w:val="TableColHeadsBold"/>
              <w:ind w:left="-106" w:right="0"/>
              <w:rPr>
                <w:rFonts w:ascii="IBM Plex Sans Light" w:hAnsi="IBM Plex Sans Light"/>
                <w:b w:val="0"/>
              </w:rPr>
            </w:pPr>
            <w:r>
              <w:rPr>
                <w:rFonts w:ascii="IBM Plex Sans Light" w:hAnsi="IBM Plex Sans Light"/>
                <w:color w:val="3D7FE0" w:themeColor="accent1"/>
              </w:rPr>
              <w:t>2023</w:t>
            </w:r>
          </w:p>
        </w:tc>
      </w:tr>
      <w:tr w:rsidR="009601CE" w:rsidRPr="00895810" w14:paraId="0ABE232B" w14:textId="77777777" w:rsidTr="009601CE">
        <w:trPr>
          <w:trHeight w:val="72"/>
        </w:trPr>
        <w:tc>
          <w:tcPr>
            <w:tcW w:w="3969" w:type="dxa"/>
            <w:tcBorders>
              <w:top w:val="single" w:sz="4" w:space="0" w:color="3D7FE0" w:themeColor="accent1"/>
            </w:tcBorders>
            <w:tcMar>
              <w:left w:w="0" w:type="dxa"/>
              <w:bottom w:w="57" w:type="dxa"/>
              <w:right w:w="0" w:type="dxa"/>
            </w:tcMar>
            <w:vAlign w:val="bottom"/>
          </w:tcPr>
          <w:p w14:paraId="60166E17" w14:textId="77777777" w:rsidR="009601CE" w:rsidRPr="00895810" w:rsidRDefault="009601CE" w:rsidP="00A14575">
            <w:pPr>
              <w:pStyle w:val="TableColHeadsBold"/>
              <w:ind w:right="0"/>
              <w:rPr>
                <w:rFonts w:ascii="IBM Plex Sans Light" w:hAnsi="IBM Plex Sans Light"/>
                <w:color w:val="3D7FE0" w:themeColor="accent1"/>
              </w:rPr>
            </w:pPr>
          </w:p>
        </w:tc>
        <w:tc>
          <w:tcPr>
            <w:tcW w:w="241" w:type="dxa"/>
            <w:tcBorders>
              <w:top w:val="single" w:sz="4" w:space="0" w:color="3D7FE0" w:themeColor="accent1"/>
            </w:tcBorders>
            <w:vAlign w:val="bottom"/>
          </w:tcPr>
          <w:p w14:paraId="3F9E4E8E" w14:textId="3A2CB487" w:rsidR="009601CE" w:rsidRPr="00895810" w:rsidRDefault="009601CE" w:rsidP="00A14575">
            <w:pPr>
              <w:pStyle w:val="TableColHeadsBold"/>
              <w:ind w:right="0"/>
              <w:rPr>
                <w:rFonts w:ascii="IBM Plex Sans Light" w:hAnsi="IBM Plex Sans Light"/>
                <w:color w:val="3D7FE0" w:themeColor="accent1"/>
              </w:rPr>
            </w:pPr>
          </w:p>
        </w:tc>
        <w:tc>
          <w:tcPr>
            <w:tcW w:w="816" w:type="dxa"/>
            <w:tcBorders>
              <w:top w:val="single" w:sz="4" w:space="0" w:color="3D7FE0" w:themeColor="accent1"/>
            </w:tcBorders>
            <w:vAlign w:val="bottom"/>
          </w:tcPr>
          <w:p w14:paraId="37387FBE" w14:textId="77777777" w:rsidR="009601CE" w:rsidRPr="00895810" w:rsidRDefault="009601CE" w:rsidP="00A14575">
            <w:pPr>
              <w:pStyle w:val="TableColHeadsBold"/>
              <w:ind w:right="0"/>
              <w:rPr>
                <w:rFonts w:ascii="IBM Plex Sans Light" w:hAnsi="IBM Plex Sans Light"/>
                <w:color w:val="3D7FE0" w:themeColor="accent1"/>
                <w:sz w:val="16"/>
                <w:szCs w:val="16"/>
              </w:rPr>
            </w:pPr>
          </w:p>
        </w:tc>
        <w:tc>
          <w:tcPr>
            <w:tcW w:w="816" w:type="dxa"/>
            <w:tcBorders>
              <w:top w:val="single" w:sz="4" w:space="0" w:color="3D7FE0" w:themeColor="accent1"/>
            </w:tcBorders>
            <w:vAlign w:val="bottom"/>
          </w:tcPr>
          <w:p w14:paraId="0D8973EB" w14:textId="77777777" w:rsidR="009601CE" w:rsidRPr="00895810" w:rsidRDefault="009601CE" w:rsidP="00A14575">
            <w:pPr>
              <w:pStyle w:val="TableColHeadsBold"/>
              <w:ind w:right="0"/>
              <w:rPr>
                <w:rFonts w:ascii="IBM Plex Sans Light" w:hAnsi="IBM Plex Sans Light"/>
                <w:color w:val="3D7FE0" w:themeColor="accent1"/>
              </w:rPr>
            </w:pPr>
          </w:p>
        </w:tc>
        <w:tc>
          <w:tcPr>
            <w:tcW w:w="816" w:type="dxa"/>
            <w:tcBorders>
              <w:top w:val="single" w:sz="4" w:space="0" w:color="3D7FE0" w:themeColor="accent1"/>
              <w:bottom w:val="single" w:sz="4" w:space="0" w:color="3D7FE0" w:themeColor="accent1"/>
            </w:tcBorders>
            <w:vAlign w:val="bottom"/>
          </w:tcPr>
          <w:p w14:paraId="00827F3E" w14:textId="77777777" w:rsidR="009601CE" w:rsidRPr="00895810" w:rsidRDefault="009601CE" w:rsidP="00A14575">
            <w:pPr>
              <w:pStyle w:val="TableColHeadsBold"/>
              <w:ind w:right="0"/>
              <w:rPr>
                <w:rFonts w:ascii="IBM Plex Sans Light" w:hAnsi="IBM Plex Sans Light"/>
                <w:color w:val="3D7FE0" w:themeColor="accent1"/>
              </w:rPr>
            </w:pPr>
          </w:p>
        </w:tc>
        <w:tc>
          <w:tcPr>
            <w:tcW w:w="816" w:type="dxa"/>
            <w:tcBorders>
              <w:top w:val="single" w:sz="4" w:space="0" w:color="3D7FE0" w:themeColor="accent1"/>
              <w:bottom w:val="single" w:sz="4" w:space="0" w:color="3D7FE0" w:themeColor="accent1"/>
            </w:tcBorders>
            <w:vAlign w:val="bottom"/>
          </w:tcPr>
          <w:p w14:paraId="29580BB9" w14:textId="77777777" w:rsidR="009601CE" w:rsidRPr="00895810" w:rsidRDefault="009601CE" w:rsidP="00A14575">
            <w:pPr>
              <w:pStyle w:val="TableColHeadsBold"/>
              <w:ind w:right="0"/>
              <w:rPr>
                <w:rFonts w:ascii="IBM Plex Sans Light" w:hAnsi="IBM Plex Sans Light"/>
                <w:color w:val="3D7FE0" w:themeColor="accent1"/>
              </w:rPr>
            </w:pPr>
          </w:p>
        </w:tc>
        <w:tc>
          <w:tcPr>
            <w:tcW w:w="816" w:type="dxa"/>
            <w:tcBorders>
              <w:top w:val="single" w:sz="4" w:space="0" w:color="3D7FE0" w:themeColor="accent1"/>
              <w:bottom w:val="single" w:sz="4" w:space="0" w:color="3D7FE0" w:themeColor="accent1"/>
            </w:tcBorders>
            <w:tcMar>
              <w:left w:w="0" w:type="dxa"/>
              <w:bottom w:w="57" w:type="dxa"/>
              <w:right w:w="0" w:type="dxa"/>
            </w:tcMar>
            <w:vAlign w:val="bottom"/>
          </w:tcPr>
          <w:p w14:paraId="31C67367" w14:textId="006E1F62" w:rsidR="009601CE" w:rsidRPr="00895810" w:rsidRDefault="009601CE" w:rsidP="000372F8">
            <w:pPr>
              <w:pStyle w:val="TableColHeadsBold"/>
              <w:ind w:left="-66"/>
              <w:rPr>
                <w:rFonts w:ascii="IBM Plex Sans Light" w:hAnsi="IBM Plex Sans Light"/>
                <w:color w:val="3D7FE0" w:themeColor="accent1"/>
              </w:rPr>
            </w:pPr>
            <w:r w:rsidRPr="00895810">
              <w:rPr>
                <w:rFonts w:ascii="IBM Plex Sans Light" w:hAnsi="IBM Plex Sans Light"/>
                <w:color w:val="3D7FE0" w:themeColor="accent1"/>
              </w:rPr>
              <w:t>100% share</w:t>
            </w:r>
          </w:p>
        </w:tc>
        <w:tc>
          <w:tcPr>
            <w:tcW w:w="817" w:type="dxa"/>
            <w:tcBorders>
              <w:top w:val="single" w:sz="4" w:space="0" w:color="3D7FE0" w:themeColor="accent1"/>
            </w:tcBorders>
            <w:vAlign w:val="bottom"/>
          </w:tcPr>
          <w:p w14:paraId="2546086E" w14:textId="1BB68FFA" w:rsidR="009601CE" w:rsidRPr="00895810" w:rsidRDefault="009601CE" w:rsidP="00A14575">
            <w:pPr>
              <w:pStyle w:val="TableColHeadsBold"/>
              <w:ind w:left="-106" w:right="0"/>
              <w:rPr>
                <w:rFonts w:ascii="IBM Plex Sans Light" w:hAnsi="IBM Plex Sans Light"/>
                <w:color w:val="3D7FE0" w:themeColor="accent1"/>
              </w:rPr>
            </w:pPr>
          </w:p>
        </w:tc>
      </w:tr>
      <w:tr w:rsidR="009601CE" w:rsidRPr="00895810" w14:paraId="3EFE66B0" w14:textId="77777777" w:rsidTr="009601CE">
        <w:trPr>
          <w:trHeight w:val="287"/>
        </w:trPr>
        <w:tc>
          <w:tcPr>
            <w:tcW w:w="3969" w:type="dxa"/>
            <w:tcMar>
              <w:left w:w="0" w:type="dxa"/>
              <w:bottom w:w="57" w:type="dxa"/>
              <w:right w:w="0" w:type="dxa"/>
            </w:tcMar>
            <w:vAlign w:val="bottom"/>
          </w:tcPr>
          <w:p w14:paraId="3143F0B3" w14:textId="6A3D8970" w:rsidR="009601CE" w:rsidRPr="00895810" w:rsidRDefault="009601CE" w:rsidP="00422C18">
            <w:pPr>
              <w:rPr>
                <w:rFonts w:ascii="IBM Plex Sans Light" w:hAnsi="IBM Plex Sans Light"/>
              </w:rPr>
            </w:pPr>
          </w:p>
        </w:tc>
        <w:tc>
          <w:tcPr>
            <w:tcW w:w="241" w:type="dxa"/>
            <w:vAlign w:val="bottom"/>
          </w:tcPr>
          <w:p w14:paraId="3B57D11F" w14:textId="50B45594" w:rsidR="009601CE" w:rsidRPr="00895810" w:rsidRDefault="009601CE" w:rsidP="00422C18">
            <w:pPr>
              <w:rPr>
                <w:rFonts w:ascii="IBM Plex Sans Light" w:hAnsi="IBM Plex Sans Light"/>
              </w:rPr>
            </w:pPr>
          </w:p>
        </w:tc>
        <w:tc>
          <w:tcPr>
            <w:tcW w:w="816" w:type="dxa"/>
            <w:vAlign w:val="bottom"/>
          </w:tcPr>
          <w:p w14:paraId="32FE5FB4" w14:textId="20CC0FC3" w:rsidR="009601CE" w:rsidRPr="00895810" w:rsidRDefault="009601CE" w:rsidP="00422C18">
            <w:pPr>
              <w:pStyle w:val="TableColHeadsBold"/>
              <w:spacing w:line="240" w:lineRule="auto"/>
              <w:rPr>
                <w:rFonts w:ascii="IBM Plex Sans Light" w:hAnsi="IBM Plex Sans Light"/>
                <w:color w:val="3D7FE0" w:themeColor="accent1"/>
              </w:rPr>
            </w:pPr>
          </w:p>
        </w:tc>
        <w:tc>
          <w:tcPr>
            <w:tcW w:w="816" w:type="dxa"/>
            <w:vAlign w:val="bottom"/>
          </w:tcPr>
          <w:p w14:paraId="63AA387B" w14:textId="0B5396C7" w:rsidR="009601CE" w:rsidRPr="00895810" w:rsidRDefault="009601CE" w:rsidP="00422C18">
            <w:pPr>
              <w:pStyle w:val="TableColHeadsBold"/>
              <w:spacing w:line="240" w:lineRule="auto"/>
              <w:rPr>
                <w:rFonts w:ascii="IBM Plex Sans Light" w:hAnsi="IBM Plex Sans Light"/>
                <w:color w:val="3D7FE0" w:themeColor="accent1"/>
              </w:rPr>
            </w:pPr>
          </w:p>
        </w:tc>
        <w:tc>
          <w:tcPr>
            <w:tcW w:w="816" w:type="dxa"/>
            <w:tcBorders>
              <w:top w:val="single" w:sz="4" w:space="0" w:color="3D7FE0" w:themeColor="accent1"/>
            </w:tcBorders>
            <w:vAlign w:val="bottom"/>
          </w:tcPr>
          <w:p w14:paraId="520E999B" w14:textId="19C2EA4A" w:rsidR="009601CE" w:rsidRPr="00895810" w:rsidRDefault="009601CE" w:rsidP="00422C18">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Dundrum</w:t>
            </w:r>
          </w:p>
        </w:tc>
        <w:tc>
          <w:tcPr>
            <w:tcW w:w="816" w:type="dxa"/>
            <w:tcBorders>
              <w:top w:val="single" w:sz="4" w:space="0" w:color="3D7FE0" w:themeColor="accent1"/>
            </w:tcBorders>
            <w:vAlign w:val="bottom"/>
          </w:tcPr>
          <w:p w14:paraId="1527A242" w14:textId="65A2D174" w:rsidR="009601CE" w:rsidRPr="00895810" w:rsidRDefault="009601CE" w:rsidP="00422C18">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Other</w:t>
            </w:r>
          </w:p>
        </w:tc>
        <w:tc>
          <w:tcPr>
            <w:tcW w:w="816" w:type="dxa"/>
            <w:tcBorders>
              <w:top w:val="single" w:sz="4" w:space="0" w:color="3D7FE0" w:themeColor="accent1"/>
            </w:tcBorders>
            <w:tcMar>
              <w:left w:w="0" w:type="dxa"/>
              <w:bottom w:w="57" w:type="dxa"/>
              <w:right w:w="0" w:type="dxa"/>
            </w:tcMar>
            <w:vAlign w:val="bottom"/>
          </w:tcPr>
          <w:p w14:paraId="2C887460" w14:textId="324A2E4D" w:rsidR="009601CE" w:rsidRPr="00895810" w:rsidRDefault="009601CE" w:rsidP="00422C18">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Total</w:t>
            </w:r>
          </w:p>
        </w:tc>
        <w:tc>
          <w:tcPr>
            <w:tcW w:w="817" w:type="dxa"/>
            <w:vAlign w:val="bottom"/>
          </w:tcPr>
          <w:p w14:paraId="5012F3B4" w14:textId="77777777" w:rsidR="009601CE" w:rsidRPr="00895810" w:rsidRDefault="009601CE" w:rsidP="00422C18">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Group</w:t>
            </w:r>
          </w:p>
          <w:p w14:paraId="09E55BC6" w14:textId="47C0F20F" w:rsidR="009601CE" w:rsidRPr="00895810" w:rsidRDefault="009601CE" w:rsidP="00422C18">
            <w:pPr>
              <w:pStyle w:val="TableColHeadsBold"/>
              <w:spacing w:line="240" w:lineRule="auto"/>
              <w:rPr>
                <w:rFonts w:ascii="IBM Plex Sans Light" w:hAnsi="IBM Plex Sans Light"/>
                <w:color w:val="3D7FE0" w:themeColor="accent1"/>
              </w:rPr>
            </w:pPr>
            <w:r w:rsidRPr="00895810">
              <w:rPr>
                <w:rFonts w:ascii="IBM Plex Sans Light" w:hAnsi="IBM Plex Sans Light"/>
                <w:color w:val="3D7FE0" w:themeColor="accent1"/>
              </w:rPr>
              <w:t xml:space="preserve"> Share</w:t>
            </w:r>
          </w:p>
        </w:tc>
      </w:tr>
      <w:tr w:rsidR="009601CE" w:rsidRPr="00895810" w14:paraId="0761B4ED" w14:textId="77777777" w:rsidTr="009601CE">
        <w:trPr>
          <w:trHeight w:val="58"/>
        </w:trPr>
        <w:tc>
          <w:tcPr>
            <w:tcW w:w="3969" w:type="dxa"/>
            <w:tcBorders>
              <w:bottom w:val="single" w:sz="2" w:space="0" w:color="3D7FE0" w:themeColor="accent1"/>
            </w:tcBorders>
            <w:tcMar>
              <w:left w:w="0" w:type="dxa"/>
              <w:bottom w:w="28" w:type="dxa"/>
              <w:right w:w="0" w:type="dxa"/>
            </w:tcMar>
            <w:vAlign w:val="bottom"/>
          </w:tcPr>
          <w:p w14:paraId="19E33AF9" w14:textId="77777777" w:rsidR="009601CE" w:rsidRPr="00895810" w:rsidRDefault="009601CE" w:rsidP="00422C18">
            <w:pPr>
              <w:pStyle w:val="TableColHeadsBold"/>
              <w:rPr>
                <w:rFonts w:ascii="IBM Plex Sans Light" w:hAnsi="IBM Plex Sans Light"/>
                <w:color w:val="3D7FE0" w:themeColor="accent1"/>
              </w:rPr>
            </w:pPr>
          </w:p>
        </w:tc>
        <w:tc>
          <w:tcPr>
            <w:tcW w:w="241" w:type="dxa"/>
            <w:tcBorders>
              <w:bottom w:val="single" w:sz="2" w:space="0" w:color="3D7FE0" w:themeColor="accent1"/>
            </w:tcBorders>
            <w:vAlign w:val="bottom"/>
          </w:tcPr>
          <w:p w14:paraId="40B64AC6" w14:textId="4945E807" w:rsidR="009601CE" w:rsidRPr="00895810" w:rsidRDefault="009601CE" w:rsidP="00422C18">
            <w:pPr>
              <w:pStyle w:val="TableColHeadsBold"/>
              <w:rPr>
                <w:rFonts w:ascii="IBM Plex Sans Light" w:hAnsi="IBM Plex Sans Light"/>
                <w:color w:val="3D7FE0" w:themeColor="accent1"/>
              </w:rPr>
            </w:pPr>
          </w:p>
        </w:tc>
        <w:tc>
          <w:tcPr>
            <w:tcW w:w="816" w:type="dxa"/>
            <w:tcBorders>
              <w:bottom w:val="single" w:sz="2" w:space="0" w:color="3D7FE0" w:themeColor="accent1"/>
            </w:tcBorders>
            <w:vAlign w:val="bottom"/>
          </w:tcPr>
          <w:p w14:paraId="2C5F69CB" w14:textId="4D3B3E61" w:rsidR="009601CE" w:rsidRPr="00895810" w:rsidRDefault="009601CE" w:rsidP="00422C18">
            <w:pPr>
              <w:pStyle w:val="TableColHeadsBold"/>
              <w:ind w:right="0"/>
              <w:rPr>
                <w:rFonts w:ascii="IBM Plex Sans Light" w:hAnsi="IBM Plex Sans Light"/>
                <w:color w:val="3D7FE0" w:themeColor="accent1"/>
              </w:rPr>
            </w:pPr>
          </w:p>
        </w:tc>
        <w:tc>
          <w:tcPr>
            <w:tcW w:w="816" w:type="dxa"/>
            <w:tcBorders>
              <w:bottom w:val="single" w:sz="2" w:space="0" w:color="3D7FE0" w:themeColor="accent1"/>
            </w:tcBorders>
            <w:vAlign w:val="bottom"/>
          </w:tcPr>
          <w:p w14:paraId="636A5EBF" w14:textId="4F85708A" w:rsidR="009601CE" w:rsidRPr="00895810" w:rsidRDefault="009601CE" w:rsidP="00422C18">
            <w:pPr>
              <w:pStyle w:val="TableColHeadsBold"/>
              <w:rPr>
                <w:rFonts w:ascii="IBM Plex Sans Light" w:hAnsi="IBM Plex Sans Light"/>
                <w:color w:val="3D7FE0" w:themeColor="accent1"/>
              </w:rPr>
            </w:pPr>
          </w:p>
        </w:tc>
        <w:tc>
          <w:tcPr>
            <w:tcW w:w="816" w:type="dxa"/>
            <w:tcBorders>
              <w:bottom w:val="single" w:sz="2" w:space="0" w:color="3D7FE0" w:themeColor="accent1"/>
            </w:tcBorders>
            <w:vAlign w:val="bottom"/>
          </w:tcPr>
          <w:p w14:paraId="59879FEC" w14:textId="5E840009" w:rsidR="009601CE" w:rsidRPr="00895810" w:rsidRDefault="009601CE" w:rsidP="00422C1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16" w:type="dxa"/>
            <w:tcBorders>
              <w:bottom w:val="single" w:sz="2" w:space="0" w:color="3D7FE0" w:themeColor="accent1"/>
            </w:tcBorders>
            <w:tcMar>
              <w:left w:w="0" w:type="dxa"/>
              <w:bottom w:w="28" w:type="dxa"/>
              <w:right w:w="0" w:type="dxa"/>
            </w:tcMar>
            <w:vAlign w:val="bottom"/>
          </w:tcPr>
          <w:p w14:paraId="430F007F" w14:textId="37E20324" w:rsidR="009601CE" w:rsidRPr="00895810" w:rsidRDefault="009601CE" w:rsidP="00422C1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16" w:type="dxa"/>
            <w:tcBorders>
              <w:bottom w:val="single" w:sz="2" w:space="0" w:color="3D7FE0" w:themeColor="accent1"/>
            </w:tcBorders>
            <w:tcMar>
              <w:left w:w="0" w:type="dxa"/>
              <w:bottom w:w="28" w:type="dxa"/>
              <w:right w:w="0" w:type="dxa"/>
            </w:tcMar>
            <w:vAlign w:val="bottom"/>
          </w:tcPr>
          <w:p w14:paraId="3192D7DD" w14:textId="1FBE4966" w:rsidR="009601CE" w:rsidRPr="00895810" w:rsidRDefault="009601CE" w:rsidP="00422C18">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c>
          <w:tcPr>
            <w:tcW w:w="817" w:type="dxa"/>
            <w:tcBorders>
              <w:bottom w:val="single" w:sz="2" w:space="0" w:color="3D7FE0" w:themeColor="accent1"/>
            </w:tcBorders>
            <w:tcMar>
              <w:left w:w="0" w:type="dxa"/>
              <w:bottom w:w="28" w:type="dxa"/>
              <w:right w:w="0" w:type="dxa"/>
            </w:tcMar>
            <w:vAlign w:val="bottom"/>
          </w:tcPr>
          <w:p w14:paraId="696FF6F3" w14:textId="7D9AF212" w:rsidR="009601CE" w:rsidRPr="00895810" w:rsidRDefault="009601CE" w:rsidP="00422C18">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r>
      <w:tr w:rsidR="009601CE" w:rsidRPr="00895810" w14:paraId="2557C8A7" w14:textId="77777777" w:rsidTr="009601CE">
        <w:trPr>
          <w:trHeight w:hRule="exact" w:val="255"/>
        </w:trPr>
        <w:tc>
          <w:tcPr>
            <w:tcW w:w="3969" w:type="dxa"/>
            <w:tcBorders>
              <w:top w:val="single" w:sz="2" w:space="0" w:color="3D7FE0" w:themeColor="accent1"/>
            </w:tcBorders>
            <w:tcMar>
              <w:left w:w="0" w:type="dxa"/>
              <w:right w:w="0" w:type="dxa"/>
            </w:tcMar>
            <w:vAlign w:val="bottom"/>
          </w:tcPr>
          <w:p w14:paraId="23AA213D" w14:textId="77777777" w:rsidR="009601CE" w:rsidRPr="00895810" w:rsidRDefault="009601CE" w:rsidP="003F2C4C">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Non-current assets</w:t>
            </w:r>
          </w:p>
        </w:tc>
        <w:tc>
          <w:tcPr>
            <w:tcW w:w="241" w:type="dxa"/>
            <w:tcBorders>
              <w:top w:val="single" w:sz="2" w:space="0" w:color="3D7FE0" w:themeColor="accent1"/>
            </w:tcBorders>
            <w:vAlign w:val="bottom"/>
          </w:tcPr>
          <w:p w14:paraId="4A66AA1C" w14:textId="187034E6" w:rsidR="009601CE" w:rsidRPr="00895810" w:rsidRDefault="009601CE" w:rsidP="00B82CD1">
            <w:pPr>
              <w:pStyle w:val="TableFigures"/>
              <w:spacing w:line="240" w:lineRule="auto"/>
              <w:ind w:right="170"/>
              <w:jc w:val="left"/>
              <w:rPr>
                <w:rFonts w:ascii="IBM Plex Sans Light" w:hAnsi="IBM Plex Sans Light" w:cs="MyriadPro-Light"/>
                <w:b/>
                <w:color w:val="3D7FE0" w:themeColor="accent1"/>
                <w:spacing w:val="-4"/>
                <w:sz w:val="18"/>
                <w:szCs w:val="18"/>
              </w:rPr>
            </w:pPr>
          </w:p>
        </w:tc>
        <w:tc>
          <w:tcPr>
            <w:tcW w:w="816" w:type="dxa"/>
            <w:tcBorders>
              <w:top w:val="single" w:sz="2" w:space="0" w:color="3D7FE0" w:themeColor="accent1"/>
            </w:tcBorders>
            <w:vAlign w:val="bottom"/>
          </w:tcPr>
          <w:p w14:paraId="5F98CEFC" w14:textId="77777777" w:rsidR="009601CE" w:rsidRPr="00895810" w:rsidRDefault="009601CE" w:rsidP="003F2C4C">
            <w:pPr>
              <w:pStyle w:val="TableFigures"/>
              <w:jc w:val="left"/>
              <w:rPr>
                <w:rFonts w:ascii="IBM Plex Sans Light" w:hAnsi="IBM Plex Sans Light" w:cs="MyriadPro-Light"/>
                <w:b/>
                <w:color w:val="3D7FE0" w:themeColor="accent1"/>
                <w:spacing w:val="-4"/>
                <w:szCs w:val="16"/>
              </w:rPr>
            </w:pPr>
          </w:p>
        </w:tc>
        <w:tc>
          <w:tcPr>
            <w:tcW w:w="816" w:type="dxa"/>
            <w:tcBorders>
              <w:top w:val="single" w:sz="2" w:space="0" w:color="3D7FE0" w:themeColor="accent1"/>
            </w:tcBorders>
            <w:vAlign w:val="bottom"/>
          </w:tcPr>
          <w:p w14:paraId="04497916" w14:textId="77777777" w:rsidR="009601CE" w:rsidRPr="00895810" w:rsidRDefault="009601CE" w:rsidP="003F2C4C">
            <w:pPr>
              <w:pStyle w:val="TableFigures"/>
              <w:jc w:val="left"/>
              <w:rPr>
                <w:rFonts w:ascii="IBM Plex Sans Light" w:hAnsi="IBM Plex Sans Light" w:cs="MyriadPro-Light"/>
                <w:b/>
                <w:color w:val="3D7FE0" w:themeColor="accent1"/>
                <w:spacing w:val="-4"/>
                <w:sz w:val="18"/>
                <w:szCs w:val="18"/>
              </w:rPr>
            </w:pPr>
          </w:p>
        </w:tc>
        <w:tc>
          <w:tcPr>
            <w:tcW w:w="816" w:type="dxa"/>
            <w:tcBorders>
              <w:top w:val="single" w:sz="2" w:space="0" w:color="3D7FE0" w:themeColor="accent1"/>
            </w:tcBorders>
            <w:vAlign w:val="bottom"/>
          </w:tcPr>
          <w:p w14:paraId="3074AC4C" w14:textId="77777777" w:rsidR="009601CE" w:rsidRPr="00895810" w:rsidRDefault="009601CE" w:rsidP="003F2C4C">
            <w:pPr>
              <w:pStyle w:val="TableFigures"/>
              <w:jc w:val="left"/>
              <w:rPr>
                <w:rFonts w:ascii="IBM Plex Sans Light" w:hAnsi="IBM Plex Sans Light" w:cs="MyriadPro-Light"/>
                <w:b/>
                <w:color w:val="3D7FE0" w:themeColor="accent1"/>
                <w:spacing w:val="-4"/>
                <w:sz w:val="18"/>
                <w:szCs w:val="18"/>
              </w:rPr>
            </w:pPr>
          </w:p>
        </w:tc>
        <w:tc>
          <w:tcPr>
            <w:tcW w:w="816" w:type="dxa"/>
            <w:tcBorders>
              <w:top w:val="single" w:sz="2" w:space="0" w:color="3D7FE0" w:themeColor="accent1"/>
            </w:tcBorders>
            <w:tcMar>
              <w:left w:w="0" w:type="dxa"/>
              <w:right w:w="0" w:type="dxa"/>
            </w:tcMar>
            <w:vAlign w:val="bottom"/>
          </w:tcPr>
          <w:p w14:paraId="0702A3F3" w14:textId="77777777" w:rsidR="009601CE" w:rsidRPr="00895810" w:rsidRDefault="009601CE" w:rsidP="003F2C4C">
            <w:pPr>
              <w:pStyle w:val="TableFigures"/>
              <w:rPr>
                <w:rFonts w:ascii="IBM Plex Sans Light" w:hAnsi="IBM Plex Sans Light" w:cs="MyriadPro-Light"/>
                <w:b/>
                <w:color w:val="3D7FE0" w:themeColor="accent1"/>
                <w:spacing w:val="-4"/>
                <w:sz w:val="18"/>
                <w:szCs w:val="18"/>
              </w:rPr>
            </w:pPr>
          </w:p>
        </w:tc>
        <w:tc>
          <w:tcPr>
            <w:tcW w:w="816" w:type="dxa"/>
            <w:tcBorders>
              <w:top w:val="single" w:sz="2" w:space="0" w:color="3D7FE0" w:themeColor="accent1"/>
            </w:tcBorders>
            <w:tcMar>
              <w:left w:w="0" w:type="dxa"/>
              <w:right w:w="0" w:type="dxa"/>
            </w:tcMar>
            <w:vAlign w:val="bottom"/>
          </w:tcPr>
          <w:p w14:paraId="0B584792" w14:textId="77777777" w:rsidR="009601CE" w:rsidRPr="00895810" w:rsidRDefault="009601CE" w:rsidP="003F2C4C">
            <w:pPr>
              <w:pStyle w:val="TableFiguresBold"/>
              <w:rPr>
                <w:rFonts w:ascii="IBM Plex Sans Light" w:hAnsi="IBM Plex Sans Light"/>
                <w:color w:val="3D7FE0" w:themeColor="accent1"/>
                <w:spacing w:val="-4"/>
                <w:sz w:val="18"/>
                <w:szCs w:val="18"/>
              </w:rPr>
            </w:pPr>
          </w:p>
        </w:tc>
        <w:tc>
          <w:tcPr>
            <w:tcW w:w="817" w:type="dxa"/>
            <w:tcBorders>
              <w:top w:val="single" w:sz="2" w:space="0" w:color="3D7FE0" w:themeColor="accent1"/>
            </w:tcBorders>
            <w:tcMar>
              <w:left w:w="0" w:type="dxa"/>
              <w:right w:w="0" w:type="dxa"/>
            </w:tcMar>
          </w:tcPr>
          <w:p w14:paraId="54BE588C" w14:textId="77777777" w:rsidR="009601CE" w:rsidRPr="00895810" w:rsidRDefault="009601CE" w:rsidP="003F2C4C">
            <w:pPr>
              <w:pStyle w:val="TableFigures"/>
              <w:rPr>
                <w:rFonts w:ascii="IBM Plex Sans Light" w:hAnsi="IBM Plex Sans Light"/>
                <w:color w:val="auto"/>
                <w:spacing w:val="-4"/>
                <w:sz w:val="18"/>
                <w:szCs w:val="18"/>
              </w:rPr>
            </w:pPr>
          </w:p>
        </w:tc>
      </w:tr>
      <w:tr w:rsidR="009601CE" w:rsidRPr="00895810" w14:paraId="38E7F438" w14:textId="77777777" w:rsidTr="00580DA5">
        <w:trPr>
          <w:trHeight w:hRule="exact" w:val="255"/>
        </w:trPr>
        <w:tc>
          <w:tcPr>
            <w:tcW w:w="3969" w:type="dxa"/>
            <w:tcMar>
              <w:left w:w="0" w:type="dxa"/>
              <w:right w:w="0" w:type="dxa"/>
            </w:tcMar>
            <w:vAlign w:val="bottom"/>
          </w:tcPr>
          <w:p w14:paraId="1A736A3A"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spacing w:val="-4"/>
                <w:sz w:val="18"/>
                <w:szCs w:val="18"/>
              </w:rPr>
              <w:t>Investment properties</w:t>
            </w:r>
          </w:p>
        </w:tc>
        <w:tc>
          <w:tcPr>
            <w:tcW w:w="241" w:type="dxa"/>
            <w:vAlign w:val="bottom"/>
          </w:tcPr>
          <w:p w14:paraId="33B987AF" w14:textId="7971B681" w:rsidR="009601CE" w:rsidRPr="00895810" w:rsidRDefault="009601CE" w:rsidP="009601CE">
            <w:pPr>
              <w:pStyle w:val="TableFigures"/>
              <w:spacing w:line="240" w:lineRule="auto"/>
              <w:ind w:right="170"/>
              <w:jc w:val="left"/>
              <w:rPr>
                <w:rFonts w:ascii="IBM Plex Sans Light" w:hAnsi="IBM Plex Sans Light" w:cs="MyriadPro-Light"/>
                <w:b/>
                <w:color w:val="3D7FE0" w:themeColor="accent1"/>
                <w:spacing w:val="-4"/>
                <w:sz w:val="18"/>
                <w:szCs w:val="18"/>
              </w:rPr>
            </w:pPr>
          </w:p>
        </w:tc>
        <w:tc>
          <w:tcPr>
            <w:tcW w:w="816" w:type="dxa"/>
            <w:vAlign w:val="bottom"/>
          </w:tcPr>
          <w:p w14:paraId="6F971652"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12402826"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Pr>
          <w:p w14:paraId="39158D84" w14:textId="293C13E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1,011.0</w:t>
            </w:r>
          </w:p>
        </w:tc>
        <w:tc>
          <w:tcPr>
            <w:tcW w:w="816" w:type="dxa"/>
            <w:tcMar>
              <w:left w:w="0" w:type="dxa"/>
              <w:right w:w="0" w:type="dxa"/>
            </w:tcMar>
          </w:tcPr>
          <w:p w14:paraId="0AE2C12C" w14:textId="00D52326"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89.0</w:t>
            </w:r>
          </w:p>
        </w:tc>
        <w:tc>
          <w:tcPr>
            <w:tcW w:w="816" w:type="dxa"/>
            <w:tcMar>
              <w:left w:w="0" w:type="dxa"/>
              <w:right w:w="0" w:type="dxa"/>
            </w:tcMar>
          </w:tcPr>
          <w:p w14:paraId="38195BA6" w14:textId="0BB2173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2,832.5</w:t>
            </w:r>
          </w:p>
        </w:tc>
        <w:tc>
          <w:tcPr>
            <w:tcW w:w="817" w:type="dxa"/>
            <w:tcMar>
              <w:left w:w="0" w:type="dxa"/>
              <w:right w:w="0" w:type="dxa"/>
            </w:tcMar>
          </w:tcPr>
          <w:p w14:paraId="3FDDBEA7" w14:textId="3C89FAD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1,379.9</w:t>
            </w:r>
          </w:p>
        </w:tc>
      </w:tr>
      <w:tr w:rsidR="009601CE" w:rsidRPr="00895810" w14:paraId="056F1D07" w14:textId="77777777" w:rsidTr="00580DA5">
        <w:trPr>
          <w:trHeight w:hRule="exact" w:val="255"/>
        </w:trPr>
        <w:tc>
          <w:tcPr>
            <w:tcW w:w="3969" w:type="dxa"/>
            <w:tcBorders>
              <w:bottom w:val="single" w:sz="2" w:space="0" w:color="3D7FE0" w:themeColor="accent1"/>
            </w:tcBorders>
            <w:tcMar>
              <w:left w:w="0" w:type="dxa"/>
              <w:right w:w="0" w:type="dxa"/>
            </w:tcMar>
            <w:vAlign w:val="bottom"/>
          </w:tcPr>
          <w:p w14:paraId="7B7BD938"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Other non-current assets</w:t>
            </w:r>
          </w:p>
        </w:tc>
        <w:tc>
          <w:tcPr>
            <w:tcW w:w="241" w:type="dxa"/>
            <w:tcBorders>
              <w:bottom w:val="single" w:sz="2" w:space="0" w:color="3D7FE0" w:themeColor="accent1"/>
            </w:tcBorders>
            <w:vAlign w:val="bottom"/>
          </w:tcPr>
          <w:p w14:paraId="3590E33C" w14:textId="72AD3FF7"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tcBorders>
              <w:bottom w:val="single" w:sz="2" w:space="0" w:color="3D7FE0" w:themeColor="accent1"/>
            </w:tcBorders>
            <w:vAlign w:val="bottom"/>
          </w:tcPr>
          <w:p w14:paraId="126A34F0"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bottom w:val="single" w:sz="2" w:space="0" w:color="3D7FE0" w:themeColor="accent1"/>
            </w:tcBorders>
            <w:vAlign w:val="bottom"/>
          </w:tcPr>
          <w:p w14:paraId="0F7DA140"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bottom w:val="single" w:sz="2" w:space="0" w:color="3D7FE0" w:themeColor="accent1"/>
            </w:tcBorders>
          </w:tcPr>
          <w:p w14:paraId="48C9A73C" w14:textId="4A3050A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2.2</w:t>
            </w:r>
          </w:p>
        </w:tc>
        <w:tc>
          <w:tcPr>
            <w:tcW w:w="816" w:type="dxa"/>
            <w:tcBorders>
              <w:bottom w:val="single" w:sz="2" w:space="0" w:color="3D7FE0" w:themeColor="accent1"/>
            </w:tcBorders>
            <w:tcMar>
              <w:left w:w="0" w:type="dxa"/>
              <w:right w:w="0" w:type="dxa"/>
            </w:tcMar>
          </w:tcPr>
          <w:p w14:paraId="7B218734" w14:textId="3A91D45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16" w:type="dxa"/>
            <w:tcBorders>
              <w:bottom w:val="single" w:sz="2" w:space="0" w:color="3D7FE0" w:themeColor="accent1"/>
            </w:tcBorders>
            <w:tcMar>
              <w:left w:w="0" w:type="dxa"/>
              <w:right w:w="0" w:type="dxa"/>
            </w:tcMar>
          </w:tcPr>
          <w:p w14:paraId="504CD0FF" w14:textId="078BF76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35.7</w:t>
            </w:r>
          </w:p>
        </w:tc>
        <w:tc>
          <w:tcPr>
            <w:tcW w:w="817" w:type="dxa"/>
            <w:tcBorders>
              <w:bottom w:val="single" w:sz="2" w:space="0" w:color="3D7FE0" w:themeColor="accent1"/>
            </w:tcBorders>
            <w:tcMar>
              <w:left w:w="0" w:type="dxa"/>
              <w:right w:w="0" w:type="dxa"/>
            </w:tcMar>
          </w:tcPr>
          <w:p w14:paraId="2DFAB143" w14:textId="1469079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16.7</w:t>
            </w:r>
          </w:p>
        </w:tc>
      </w:tr>
      <w:tr w:rsidR="009601CE" w:rsidRPr="00895810" w14:paraId="6A23AC1F" w14:textId="77777777" w:rsidTr="00580DA5">
        <w:trPr>
          <w:trHeight w:hRule="exact" w:val="259"/>
        </w:trPr>
        <w:tc>
          <w:tcPr>
            <w:tcW w:w="3969" w:type="dxa"/>
            <w:tcBorders>
              <w:top w:val="single" w:sz="2" w:space="0" w:color="3D7FE0" w:themeColor="accent1"/>
            </w:tcBorders>
            <w:tcMar>
              <w:left w:w="0" w:type="dxa"/>
              <w:right w:w="0" w:type="dxa"/>
            </w:tcMar>
            <w:vAlign w:val="bottom"/>
          </w:tcPr>
          <w:p w14:paraId="73D29D4C" w14:textId="77777777" w:rsidR="009601CE" w:rsidRPr="00895810" w:rsidRDefault="009601CE" w:rsidP="009601CE">
            <w:pPr>
              <w:pStyle w:val="TableFigures"/>
              <w:jc w:val="left"/>
              <w:rPr>
                <w:rFonts w:ascii="IBM Plex Sans Light" w:hAnsi="IBM Plex Sans Light" w:cs="MyriadPro-Light"/>
                <w:b/>
                <w:color w:val="3D7FE0" w:themeColor="accent1"/>
                <w:spacing w:val="-4"/>
                <w:sz w:val="18"/>
                <w:szCs w:val="18"/>
              </w:rPr>
            </w:pPr>
          </w:p>
        </w:tc>
        <w:tc>
          <w:tcPr>
            <w:tcW w:w="241" w:type="dxa"/>
            <w:tcBorders>
              <w:top w:val="single" w:sz="2" w:space="0" w:color="3D7FE0" w:themeColor="accent1"/>
            </w:tcBorders>
            <w:vAlign w:val="bottom"/>
          </w:tcPr>
          <w:p w14:paraId="12B9462D" w14:textId="42DB582D" w:rsidR="009601CE" w:rsidRPr="00895810" w:rsidRDefault="009601CE" w:rsidP="009601CE">
            <w:pPr>
              <w:pStyle w:val="TableFigures"/>
              <w:spacing w:line="240" w:lineRule="auto"/>
              <w:ind w:right="170"/>
              <w:jc w:val="left"/>
              <w:rPr>
                <w:rFonts w:ascii="IBM Plex Sans Light" w:hAnsi="IBM Plex Sans Light" w:cs="MyriadPro-Light"/>
                <w:b/>
                <w:color w:val="3D7FE0" w:themeColor="accent1"/>
                <w:spacing w:val="-4"/>
                <w:sz w:val="18"/>
                <w:szCs w:val="18"/>
              </w:rPr>
            </w:pPr>
          </w:p>
        </w:tc>
        <w:tc>
          <w:tcPr>
            <w:tcW w:w="816" w:type="dxa"/>
            <w:tcBorders>
              <w:top w:val="single" w:sz="2" w:space="0" w:color="3D7FE0" w:themeColor="accent1"/>
            </w:tcBorders>
            <w:vAlign w:val="bottom"/>
          </w:tcPr>
          <w:p w14:paraId="68C5DB67"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vAlign w:val="bottom"/>
          </w:tcPr>
          <w:p w14:paraId="097EDAF5"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tcPr>
          <w:p w14:paraId="1539F6C3" w14:textId="1F9F168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1,013.2</w:t>
            </w:r>
          </w:p>
        </w:tc>
        <w:tc>
          <w:tcPr>
            <w:tcW w:w="816" w:type="dxa"/>
            <w:tcBorders>
              <w:top w:val="single" w:sz="2" w:space="0" w:color="3D7FE0" w:themeColor="accent1"/>
            </w:tcBorders>
            <w:tcMar>
              <w:left w:w="0" w:type="dxa"/>
              <w:right w:w="0" w:type="dxa"/>
            </w:tcMar>
          </w:tcPr>
          <w:p w14:paraId="6BBC4C30" w14:textId="35308A18"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89.0</w:t>
            </w:r>
          </w:p>
        </w:tc>
        <w:tc>
          <w:tcPr>
            <w:tcW w:w="816" w:type="dxa"/>
            <w:tcBorders>
              <w:top w:val="single" w:sz="2" w:space="0" w:color="3D7FE0" w:themeColor="accent1"/>
            </w:tcBorders>
            <w:tcMar>
              <w:left w:w="0" w:type="dxa"/>
              <w:right w:w="0" w:type="dxa"/>
            </w:tcMar>
          </w:tcPr>
          <w:p w14:paraId="31C3B3DE" w14:textId="222E8C05"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2,868.2</w:t>
            </w:r>
          </w:p>
        </w:tc>
        <w:tc>
          <w:tcPr>
            <w:tcW w:w="817" w:type="dxa"/>
            <w:tcBorders>
              <w:top w:val="single" w:sz="2" w:space="0" w:color="3D7FE0" w:themeColor="accent1"/>
            </w:tcBorders>
            <w:tcMar>
              <w:left w:w="0" w:type="dxa"/>
              <w:right w:w="0" w:type="dxa"/>
            </w:tcMar>
          </w:tcPr>
          <w:p w14:paraId="3BD80AD0" w14:textId="1C55CF07"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1,396.6</w:t>
            </w:r>
          </w:p>
        </w:tc>
      </w:tr>
      <w:tr w:rsidR="009601CE" w:rsidRPr="00895810" w14:paraId="2DB08BEC" w14:textId="77777777" w:rsidTr="00580DA5">
        <w:trPr>
          <w:trHeight w:hRule="exact" w:val="289"/>
        </w:trPr>
        <w:tc>
          <w:tcPr>
            <w:tcW w:w="3969" w:type="dxa"/>
            <w:tcMar>
              <w:left w:w="0" w:type="dxa"/>
              <w:right w:w="0" w:type="dxa"/>
            </w:tcMar>
            <w:vAlign w:val="bottom"/>
          </w:tcPr>
          <w:p w14:paraId="4A81F3D2" w14:textId="77777777"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Current assets</w:t>
            </w:r>
          </w:p>
        </w:tc>
        <w:tc>
          <w:tcPr>
            <w:tcW w:w="241" w:type="dxa"/>
            <w:vAlign w:val="bottom"/>
          </w:tcPr>
          <w:p w14:paraId="758F03F0" w14:textId="05207DAC" w:rsidR="009601CE" w:rsidRPr="00895810" w:rsidRDefault="009601CE" w:rsidP="009601CE">
            <w:pPr>
              <w:pStyle w:val="TableFiguresBrackets"/>
              <w:spacing w:line="240" w:lineRule="auto"/>
              <w:ind w:right="170"/>
              <w:jc w:val="left"/>
              <w:rPr>
                <w:rFonts w:ascii="IBM Plex Sans Light" w:hAnsi="IBM Plex Sans Light" w:cs="MyriadPro-Light"/>
                <w:b/>
                <w:color w:val="3D7FE0" w:themeColor="accent1"/>
                <w:spacing w:val="-4"/>
                <w:sz w:val="18"/>
                <w:szCs w:val="18"/>
              </w:rPr>
            </w:pPr>
          </w:p>
        </w:tc>
        <w:tc>
          <w:tcPr>
            <w:tcW w:w="816" w:type="dxa"/>
            <w:vAlign w:val="bottom"/>
          </w:tcPr>
          <w:p w14:paraId="0A9716DC"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6154B562"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Pr>
          <w:p w14:paraId="0F7A0A78"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6" w:type="dxa"/>
            <w:tcMar>
              <w:left w:w="0" w:type="dxa"/>
              <w:right w:w="0" w:type="dxa"/>
            </w:tcMar>
          </w:tcPr>
          <w:p w14:paraId="57F05B09"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6" w:type="dxa"/>
            <w:tcMar>
              <w:left w:w="0" w:type="dxa"/>
              <w:right w:w="0" w:type="dxa"/>
            </w:tcMar>
          </w:tcPr>
          <w:p w14:paraId="3AE14003"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7" w:type="dxa"/>
            <w:tcMar>
              <w:left w:w="0" w:type="dxa"/>
              <w:right w:w="0" w:type="dxa"/>
            </w:tcMar>
          </w:tcPr>
          <w:p w14:paraId="6E618176" w14:textId="77777777" w:rsidR="009601CE" w:rsidRPr="009601CE" w:rsidRDefault="009601CE" w:rsidP="009601CE">
            <w:pPr>
              <w:pStyle w:val="TableFiguresBold"/>
              <w:rPr>
                <w:rFonts w:ascii="IBM Plex Sans Medium" w:hAnsi="IBM Plex Sans Medium"/>
                <w:color w:val="3D7FE0" w:themeColor="accent1"/>
                <w:sz w:val="18"/>
                <w:szCs w:val="22"/>
              </w:rPr>
            </w:pPr>
          </w:p>
        </w:tc>
      </w:tr>
      <w:tr w:rsidR="009601CE" w:rsidRPr="00895810" w14:paraId="4DC062AB" w14:textId="77777777" w:rsidTr="00580DA5">
        <w:trPr>
          <w:trHeight w:hRule="exact" w:val="255"/>
        </w:trPr>
        <w:tc>
          <w:tcPr>
            <w:tcW w:w="3969" w:type="dxa"/>
            <w:tcMar>
              <w:left w:w="0" w:type="dxa"/>
              <w:right w:w="0" w:type="dxa"/>
            </w:tcMar>
            <w:vAlign w:val="bottom"/>
          </w:tcPr>
          <w:p w14:paraId="4041CEE5" w14:textId="7E48BA6F"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Cash and cash equivalents</w:t>
            </w:r>
          </w:p>
        </w:tc>
        <w:tc>
          <w:tcPr>
            <w:tcW w:w="241" w:type="dxa"/>
            <w:vAlign w:val="bottom"/>
          </w:tcPr>
          <w:p w14:paraId="37AAF245" w14:textId="18637377"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vAlign w:val="bottom"/>
          </w:tcPr>
          <w:p w14:paraId="341D1B0E"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5BA3C7B1" w14:textId="18A401F0" w:rsidR="009601CE" w:rsidRPr="00366E57" w:rsidRDefault="009601CE" w:rsidP="009601CE">
            <w:pPr>
              <w:pStyle w:val="TableFigures"/>
              <w:rPr>
                <w:rFonts w:ascii="IBM Plex Sans Light" w:hAnsi="IBM Plex Sans Light" w:cs="MyriadPro-Light"/>
                <w:color w:val="auto"/>
                <w:spacing w:val="-4"/>
                <w:szCs w:val="16"/>
              </w:rPr>
            </w:pPr>
          </w:p>
        </w:tc>
        <w:tc>
          <w:tcPr>
            <w:tcW w:w="816" w:type="dxa"/>
          </w:tcPr>
          <w:p w14:paraId="2B94A28A" w14:textId="6EBE525D"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77.8</w:t>
            </w:r>
          </w:p>
        </w:tc>
        <w:tc>
          <w:tcPr>
            <w:tcW w:w="816" w:type="dxa"/>
            <w:tcMar>
              <w:left w:w="0" w:type="dxa"/>
              <w:right w:w="0" w:type="dxa"/>
            </w:tcMar>
          </w:tcPr>
          <w:p w14:paraId="002C4CD9" w14:textId="166A9C9E"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0.6</w:t>
            </w:r>
          </w:p>
        </w:tc>
        <w:tc>
          <w:tcPr>
            <w:tcW w:w="816" w:type="dxa"/>
            <w:tcMar>
              <w:left w:w="0" w:type="dxa"/>
              <w:right w:w="0" w:type="dxa"/>
            </w:tcMar>
          </w:tcPr>
          <w:p w14:paraId="3E8CC399" w14:textId="1307235B"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198.0</w:t>
            </w:r>
          </w:p>
        </w:tc>
        <w:tc>
          <w:tcPr>
            <w:tcW w:w="817" w:type="dxa"/>
            <w:tcMar>
              <w:left w:w="0" w:type="dxa"/>
              <w:right w:w="0" w:type="dxa"/>
            </w:tcMar>
          </w:tcPr>
          <w:p w14:paraId="3938A937" w14:textId="22F413D7"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97.3</w:t>
            </w:r>
          </w:p>
        </w:tc>
      </w:tr>
      <w:tr w:rsidR="009601CE" w:rsidRPr="00895810" w14:paraId="3568B650" w14:textId="77777777" w:rsidTr="00580DA5">
        <w:trPr>
          <w:trHeight w:hRule="exact" w:val="289"/>
        </w:trPr>
        <w:tc>
          <w:tcPr>
            <w:tcW w:w="3969" w:type="dxa"/>
            <w:tcMar>
              <w:left w:w="0" w:type="dxa"/>
              <w:right w:w="0" w:type="dxa"/>
            </w:tcMar>
            <w:vAlign w:val="bottom"/>
          </w:tcPr>
          <w:p w14:paraId="62DCF8DC"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current assets</w:t>
            </w:r>
          </w:p>
        </w:tc>
        <w:tc>
          <w:tcPr>
            <w:tcW w:w="241" w:type="dxa"/>
            <w:vAlign w:val="bottom"/>
          </w:tcPr>
          <w:p w14:paraId="68F4A08B" w14:textId="3A5162AA"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vAlign w:val="bottom"/>
          </w:tcPr>
          <w:p w14:paraId="0BBFDD19" w14:textId="78F0A7BB"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5A91D16F" w14:textId="66EB1706" w:rsidR="009601CE" w:rsidRPr="00366E57" w:rsidRDefault="009601CE" w:rsidP="009601CE">
            <w:pPr>
              <w:pStyle w:val="TableFigures"/>
              <w:rPr>
                <w:rFonts w:ascii="IBM Plex Sans Light" w:hAnsi="IBM Plex Sans Light" w:cs="MyriadPro-Light"/>
                <w:color w:val="auto"/>
                <w:spacing w:val="-4"/>
                <w:szCs w:val="16"/>
              </w:rPr>
            </w:pPr>
          </w:p>
        </w:tc>
        <w:tc>
          <w:tcPr>
            <w:tcW w:w="816" w:type="dxa"/>
          </w:tcPr>
          <w:p w14:paraId="0CBB2B3A" w14:textId="45D1BE2F" w:rsidR="009601CE" w:rsidRPr="009601CE" w:rsidRDefault="00820FFF" w:rsidP="009601CE">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8.0</w:t>
            </w:r>
          </w:p>
        </w:tc>
        <w:tc>
          <w:tcPr>
            <w:tcW w:w="816" w:type="dxa"/>
            <w:tcMar>
              <w:left w:w="0" w:type="dxa"/>
              <w:right w:w="0" w:type="dxa"/>
            </w:tcMar>
          </w:tcPr>
          <w:p w14:paraId="0376189B" w14:textId="30831FF3"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0.1</w:t>
            </w:r>
          </w:p>
        </w:tc>
        <w:tc>
          <w:tcPr>
            <w:tcW w:w="816" w:type="dxa"/>
            <w:tcMar>
              <w:left w:w="0" w:type="dxa"/>
              <w:right w:w="0" w:type="dxa"/>
            </w:tcMar>
          </w:tcPr>
          <w:p w14:paraId="649A9F30" w14:textId="1A79DFFA" w:rsidR="009601CE" w:rsidRPr="009601CE" w:rsidRDefault="00820FFF" w:rsidP="009601CE">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49.1</w:t>
            </w:r>
          </w:p>
        </w:tc>
        <w:tc>
          <w:tcPr>
            <w:tcW w:w="817" w:type="dxa"/>
            <w:tcMar>
              <w:left w:w="0" w:type="dxa"/>
              <w:right w:w="0" w:type="dxa"/>
            </w:tcMar>
          </w:tcPr>
          <w:p w14:paraId="1AD9ED13" w14:textId="46D40511"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2</w:t>
            </w:r>
            <w:r w:rsidR="00820FFF">
              <w:rPr>
                <w:rFonts w:ascii="IBM Plex Sans Medium" w:hAnsi="IBM Plex Sans Medium"/>
                <w:color w:val="3D7FE0" w:themeColor="accent1"/>
                <w:sz w:val="18"/>
                <w:szCs w:val="22"/>
              </w:rPr>
              <w:t>3.6</w:t>
            </w:r>
          </w:p>
        </w:tc>
      </w:tr>
      <w:tr w:rsidR="009601CE" w:rsidRPr="00895810" w14:paraId="4699C482" w14:textId="77777777" w:rsidTr="00580DA5">
        <w:trPr>
          <w:trHeight w:hRule="exact" w:val="289"/>
        </w:trPr>
        <w:tc>
          <w:tcPr>
            <w:tcW w:w="3969" w:type="dxa"/>
            <w:tcBorders>
              <w:top w:val="single" w:sz="2" w:space="0" w:color="3D7FE0" w:themeColor="accent1"/>
            </w:tcBorders>
            <w:tcMar>
              <w:left w:w="0" w:type="dxa"/>
              <w:right w:w="0" w:type="dxa"/>
            </w:tcMar>
            <w:vAlign w:val="bottom"/>
          </w:tcPr>
          <w:p w14:paraId="055BCA78"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241" w:type="dxa"/>
            <w:tcBorders>
              <w:top w:val="single" w:sz="2" w:space="0" w:color="3D7FE0" w:themeColor="accent1"/>
            </w:tcBorders>
            <w:vAlign w:val="bottom"/>
          </w:tcPr>
          <w:p w14:paraId="3D76C603" w14:textId="345393D9"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tcBorders>
              <w:top w:val="single" w:sz="2" w:space="0" w:color="3D7FE0" w:themeColor="accent1"/>
            </w:tcBorders>
            <w:vAlign w:val="bottom"/>
          </w:tcPr>
          <w:p w14:paraId="10972713"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vAlign w:val="bottom"/>
          </w:tcPr>
          <w:p w14:paraId="11C2D068"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tcPr>
          <w:p w14:paraId="1F564C85" w14:textId="146A5C91" w:rsidR="009601CE" w:rsidRPr="009601CE" w:rsidRDefault="00820FFF" w:rsidP="009601CE">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85.8</w:t>
            </w:r>
          </w:p>
        </w:tc>
        <w:tc>
          <w:tcPr>
            <w:tcW w:w="816" w:type="dxa"/>
            <w:tcBorders>
              <w:top w:val="single" w:sz="2" w:space="0" w:color="3D7FE0" w:themeColor="accent1"/>
            </w:tcBorders>
            <w:tcMar>
              <w:left w:w="0" w:type="dxa"/>
              <w:right w:w="0" w:type="dxa"/>
            </w:tcMar>
          </w:tcPr>
          <w:p w14:paraId="4CC23C4B" w14:textId="206DC850"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0.7</w:t>
            </w:r>
          </w:p>
        </w:tc>
        <w:tc>
          <w:tcPr>
            <w:tcW w:w="816" w:type="dxa"/>
            <w:tcBorders>
              <w:top w:val="single" w:sz="2" w:space="0" w:color="3D7FE0" w:themeColor="accent1"/>
            </w:tcBorders>
            <w:tcMar>
              <w:left w:w="0" w:type="dxa"/>
              <w:right w:w="0" w:type="dxa"/>
            </w:tcMar>
          </w:tcPr>
          <w:p w14:paraId="528FE901" w14:textId="4F6DE491" w:rsidR="009601CE" w:rsidRPr="009601CE" w:rsidRDefault="00820FFF" w:rsidP="009601CE">
            <w:pPr>
              <w:pStyle w:val="TableFiguresBold"/>
              <w:rPr>
                <w:rFonts w:ascii="IBM Plex Sans Medium" w:hAnsi="IBM Plex Sans Medium"/>
                <w:color w:val="3D7FE0" w:themeColor="accent1"/>
                <w:sz w:val="18"/>
                <w:szCs w:val="22"/>
              </w:rPr>
            </w:pPr>
            <w:r>
              <w:rPr>
                <w:rFonts w:ascii="IBM Plex Sans Medium" w:hAnsi="IBM Plex Sans Medium"/>
                <w:color w:val="3D7FE0" w:themeColor="accent1"/>
                <w:sz w:val="18"/>
                <w:szCs w:val="22"/>
              </w:rPr>
              <w:t>247.1</w:t>
            </w:r>
          </w:p>
        </w:tc>
        <w:tc>
          <w:tcPr>
            <w:tcW w:w="817" w:type="dxa"/>
            <w:tcBorders>
              <w:top w:val="single" w:sz="2" w:space="0" w:color="3D7FE0" w:themeColor="accent1"/>
            </w:tcBorders>
            <w:tcMar>
              <w:left w:w="0" w:type="dxa"/>
              <w:right w:w="0" w:type="dxa"/>
            </w:tcMar>
          </w:tcPr>
          <w:p w14:paraId="75EAAA72" w14:textId="4ED33AE9"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12</w:t>
            </w:r>
            <w:r w:rsidR="005F6D26">
              <w:rPr>
                <w:rFonts w:ascii="IBM Plex Sans Medium" w:hAnsi="IBM Plex Sans Medium"/>
                <w:color w:val="3D7FE0" w:themeColor="accent1"/>
                <w:sz w:val="18"/>
                <w:szCs w:val="22"/>
              </w:rPr>
              <w:t>0.9</w:t>
            </w:r>
          </w:p>
        </w:tc>
      </w:tr>
      <w:tr w:rsidR="009601CE" w:rsidRPr="00895810" w14:paraId="38020294" w14:textId="77777777" w:rsidTr="00580DA5">
        <w:trPr>
          <w:trHeight w:hRule="exact" w:val="289"/>
        </w:trPr>
        <w:tc>
          <w:tcPr>
            <w:tcW w:w="3969" w:type="dxa"/>
            <w:tcMar>
              <w:left w:w="0" w:type="dxa"/>
              <w:right w:w="0" w:type="dxa"/>
            </w:tcMar>
            <w:vAlign w:val="bottom"/>
          </w:tcPr>
          <w:p w14:paraId="42AC4550" w14:textId="77777777" w:rsidR="009601CE" w:rsidRPr="00895810" w:rsidRDefault="009601CE" w:rsidP="009601CE">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Current liabilities</w:t>
            </w:r>
          </w:p>
        </w:tc>
        <w:tc>
          <w:tcPr>
            <w:tcW w:w="241" w:type="dxa"/>
            <w:vAlign w:val="bottom"/>
          </w:tcPr>
          <w:p w14:paraId="14149B0D" w14:textId="172D5F43" w:rsidR="009601CE" w:rsidRPr="00895810" w:rsidRDefault="009601CE" w:rsidP="009601CE">
            <w:pPr>
              <w:pStyle w:val="TableFiguresBrackets"/>
              <w:spacing w:line="240" w:lineRule="auto"/>
              <w:ind w:right="170"/>
              <w:jc w:val="left"/>
              <w:rPr>
                <w:rFonts w:ascii="IBM Plex Sans Light" w:hAnsi="IBM Plex Sans Light" w:cs="MyriadPro-Light"/>
                <w:b/>
                <w:color w:val="3D7FE0" w:themeColor="accent1"/>
                <w:spacing w:val="-4"/>
                <w:sz w:val="18"/>
                <w:szCs w:val="18"/>
              </w:rPr>
            </w:pPr>
          </w:p>
        </w:tc>
        <w:tc>
          <w:tcPr>
            <w:tcW w:w="816" w:type="dxa"/>
            <w:vAlign w:val="bottom"/>
          </w:tcPr>
          <w:p w14:paraId="758D03CE"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3DD7FDFB"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Pr>
          <w:p w14:paraId="41AAD502"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6" w:type="dxa"/>
            <w:tcMar>
              <w:left w:w="0" w:type="dxa"/>
              <w:right w:w="0" w:type="dxa"/>
            </w:tcMar>
          </w:tcPr>
          <w:p w14:paraId="51BA792E"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6" w:type="dxa"/>
            <w:tcMar>
              <w:left w:w="0" w:type="dxa"/>
              <w:right w:w="0" w:type="dxa"/>
            </w:tcMar>
          </w:tcPr>
          <w:p w14:paraId="79C7B02D"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7" w:type="dxa"/>
            <w:tcMar>
              <w:left w:w="0" w:type="dxa"/>
              <w:right w:w="0" w:type="dxa"/>
            </w:tcMar>
          </w:tcPr>
          <w:p w14:paraId="7CBE9FB6" w14:textId="77777777" w:rsidR="009601CE" w:rsidRPr="009601CE" w:rsidRDefault="009601CE" w:rsidP="009601CE">
            <w:pPr>
              <w:pStyle w:val="TableFiguresBold"/>
              <w:rPr>
                <w:rFonts w:ascii="IBM Plex Sans Medium" w:hAnsi="IBM Plex Sans Medium"/>
                <w:color w:val="3D7FE0" w:themeColor="accent1"/>
                <w:sz w:val="18"/>
                <w:szCs w:val="22"/>
              </w:rPr>
            </w:pPr>
          </w:p>
        </w:tc>
      </w:tr>
      <w:tr w:rsidR="009601CE" w:rsidRPr="00895810" w14:paraId="5DD672AE" w14:textId="77777777" w:rsidTr="00580DA5">
        <w:trPr>
          <w:trHeight w:hRule="exact" w:val="289"/>
        </w:trPr>
        <w:tc>
          <w:tcPr>
            <w:tcW w:w="3969" w:type="dxa"/>
            <w:tcMar>
              <w:left w:w="0" w:type="dxa"/>
              <w:right w:w="0" w:type="dxa"/>
            </w:tcMar>
            <w:vAlign w:val="bottom"/>
          </w:tcPr>
          <w:p w14:paraId="7015A1B8"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Loans - secured</w:t>
            </w:r>
          </w:p>
        </w:tc>
        <w:tc>
          <w:tcPr>
            <w:tcW w:w="241" w:type="dxa"/>
            <w:vAlign w:val="bottom"/>
          </w:tcPr>
          <w:p w14:paraId="08E9F11B" w14:textId="77777777"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vAlign w:val="bottom"/>
          </w:tcPr>
          <w:p w14:paraId="11D34399"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70D4ED31"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Pr>
          <w:p w14:paraId="107D6995" w14:textId="5CDC00B6"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(520.0)</w:t>
            </w:r>
          </w:p>
        </w:tc>
        <w:tc>
          <w:tcPr>
            <w:tcW w:w="816" w:type="dxa"/>
            <w:tcMar>
              <w:left w:w="0" w:type="dxa"/>
              <w:right w:w="0" w:type="dxa"/>
            </w:tcMar>
          </w:tcPr>
          <w:p w14:paraId="36483E5D" w14:textId="7F1428A5" w:rsidR="009601CE" w:rsidRPr="009601CE" w:rsidRDefault="009601CE" w:rsidP="009601CE">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16" w:type="dxa"/>
            <w:tcMar>
              <w:left w:w="0" w:type="dxa"/>
              <w:right w:w="0" w:type="dxa"/>
            </w:tcMar>
          </w:tcPr>
          <w:p w14:paraId="0C8D4955" w14:textId="43683CAD"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(520.0)</w:t>
            </w:r>
          </w:p>
        </w:tc>
        <w:tc>
          <w:tcPr>
            <w:tcW w:w="817" w:type="dxa"/>
            <w:tcMar>
              <w:left w:w="0" w:type="dxa"/>
              <w:right w:w="0" w:type="dxa"/>
            </w:tcMar>
          </w:tcPr>
          <w:p w14:paraId="234309AA" w14:textId="487D1B82"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(260.0)</w:t>
            </w:r>
          </w:p>
        </w:tc>
      </w:tr>
      <w:tr w:rsidR="009601CE" w:rsidRPr="00895810" w14:paraId="5FC574AB" w14:textId="77777777" w:rsidTr="00580DA5">
        <w:trPr>
          <w:trHeight w:hRule="exact" w:val="289"/>
        </w:trPr>
        <w:tc>
          <w:tcPr>
            <w:tcW w:w="3969" w:type="dxa"/>
            <w:tcMar>
              <w:left w:w="0" w:type="dxa"/>
              <w:right w:w="0" w:type="dxa"/>
            </w:tcMar>
            <w:vAlign w:val="bottom"/>
          </w:tcPr>
          <w:p w14:paraId="14C108DC"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w:t>
            </w:r>
          </w:p>
        </w:tc>
        <w:tc>
          <w:tcPr>
            <w:tcW w:w="241" w:type="dxa"/>
            <w:vAlign w:val="bottom"/>
          </w:tcPr>
          <w:p w14:paraId="4029AC2D" w14:textId="057280BA"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vAlign w:val="bottom"/>
          </w:tcPr>
          <w:p w14:paraId="19BF0DF8"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5187B1D8"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Pr>
          <w:p w14:paraId="70801FB5" w14:textId="45E669DD"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w:t>
            </w:r>
            <w:r w:rsidR="00820FFF">
              <w:rPr>
                <w:rFonts w:ascii="IBM Plex Sans Medium" w:hAnsi="IBM Plex Sans Medium"/>
                <w:b/>
                <w:bCs/>
                <w:color w:val="3D7FE0" w:themeColor="accent1"/>
                <w:spacing w:val="-4"/>
                <w:sz w:val="18"/>
                <w:szCs w:val="18"/>
              </w:rPr>
              <w:t>9.1</w:t>
            </w:r>
            <w:r w:rsidRPr="00366E57">
              <w:rPr>
                <w:rFonts w:ascii="IBM Plex Sans Medium" w:hAnsi="IBM Plex Sans Medium"/>
                <w:b/>
                <w:bCs/>
                <w:color w:val="3D7FE0" w:themeColor="accent1"/>
                <w:spacing w:val="-4"/>
                <w:sz w:val="18"/>
                <w:szCs w:val="18"/>
              </w:rPr>
              <w:t>)</w:t>
            </w:r>
          </w:p>
        </w:tc>
        <w:tc>
          <w:tcPr>
            <w:tcW w:w="816" w:type="dxa"/>
            <w:tcMar>
              <w:left w:w="0" w:type="dxa"/>
              <w:right w:w="0" w:type="dxa"/>
            </w:tcMar>
          </w:tcPr>
          <w:p w14:paraId="7E4D4641" w14:textId="5C125AA5"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(0.5)</w:t>
            </w:r>
          </w:p>
        </w:tc>
        <w:tc>
          <w:tcPr>
            <w:tcW w:w="816" w:type="dxa"/>
            <w:tcMar>
              <w:left w:w="0" w:type="dxa"/>
              <w:right w:w="0" w:type="dxa"/>
            </w:tcMar>
          </w:tcPr>
          <w:p w14:paraId="758D3434" w14:textId="33781F4C"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w:t>
            </w:r>
            <w:r w:rsidR="00820FFF">
              <w:rPr>
                <w:rFonts w:ascii="IBM Plex Sans Medium" w:hAnsi="IBM Plex Sans Medium"/>
                <w:b/>
                <w:bCs/>
                <w:color w:val="3D7FE0" w:themeColor="accent1"/>
                <w:spacing w:val="-4"/>
                <w:sz w:val="18"/>
                <w:szCs w:val="18"/>
              </w:rPr>
              <w:t>96.3</w:t>
            </w:r>
            <w:r w:rsidRPr="00366E57">
              <w:rPr>
                <w:rFonts w:ascii="IBM Plex Sans Medium" w:hAnsi="IBM Plex Sans Medium"/>
                <w:b/>
                <w:bCs/>
                <w:color w:val="3D7FE0" w:themeColor="accent1"/>
                <w:spacing w:val="-4"/>
                <w:sz w:val="18"/>
                <w:szCs w:val="18"/>
              </w:rPr>
              <w:t>)</w:t>
            </w:r>
          </w:p>
        </w:tc>
        <w:tc>
          <w:tcPr>
            <w:tcW w:w="817" w:type="dxa"/>
            <w:tcMar>
              <w:left w:w="0" w:type="dxa"/>
              <w:right w:w="0" w:type="dxa"/>
            </w:tcMar>
          </w:tcPr>
          <w:p w14:paraId="4518B430" w14:textId="2255828C"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(4</w:t>
            </w:r>
            <w:r w:rsidR="00820FFF">
              <w:rPr>
                <w:rFonts w:ascii="IBM Plex Sans Medium" w:hAnsi="IBM Plex Sans Medium"/>
                <w:b/>
                <w:bCs/>
                <w:color w:val="3D7FE0" w:themeColor="accent1"/>
                <w:spacing w:val="-4"/>
                <w:sz w:val="18"/>
                <w:szCs w:val="18"/>
              </w:rPr>
              <w:t>6.0</w:t>
            </w:r>
            <w:r w:rsidRPr="00366E57">
              <w:rPr>
                <w:rFonts w:ascii="IBM Plex Sans Medium" w:hAnsi="IBM Plex Sans Medium"/>
                <w:b/>
                <w:bCs/>
                <w:color w:val="3D7FE0" w:themeColor="accent1"/>
                <w:spacing w:val="-4"/>
                <w:sz w:val="18"/>
                <w:szCs w:val="18"/>
              </w:rPr>
              <w:t>)</w:t>
            </w:r>
          </w:p>
        </w:tc>
      </w:tr>
      <w:tr w:rsidR="009601CE" w:rsidRPr="00895810" w14:paraId="4237273F" w14:textId="77777777" w:rsidTr="00580DA5">
        <w:trPr>
          <w:trHeight w:hRule="exact" w:val="289"/>
        </w:trPr>
        <w:tc>
          <w:tcPr>
            <w:tcW w:w="3969" w:type="dxa"/>
            <w:tcBorders>
              <w:top w:val="single" w:sz="2" w:space="0" w:color="3D7FE0" w:themeColor="accent1"/>
            </w:tcBorders>
            <w:tcMar>
              <w:left w:w="0" w:type="dxa"/>
              <w:right w:w="0" w:type="dxa"/>
            </w:tcMar>
            <w:vAlign w:val="bottom"/>
          </w:tcPr>
          <w:p w14:paraId="1E7B4135" w14:textId="77777777" w:rsidR="009601CE" w:rsidRPr="00895810" w:rsidRDefault="009601CE" w:rsidP="009601CE">
            <w:pPr>
              <w:pStyle w:val="TableFiguresBrackets"/>
              <w:jc w:val="left"/>
              <w:rPr>
                <w:rFonts w:ascii="IBM Plex Sans Light" w:hAnsi="IBM Plex Sans Light" w:cs="MyriadPro-Light"/>
                <w:b/>
                <w:bCs/>
                <w:color w:val="3D7FE0" w:themeColor="accent1"/>
                <w:spacing w:val="-4"/>
                <w:sz w:val="18"/>
                <w:szCs w:val="18"/>
              </w:rPr>
            </w:pPr>
          </w:p>
        </w:tc>
        <w:tc>
          <w:tcPr>
            <w:tcW w:w="241" w:type="dxa"/>
            <w:tcBorders>
              <w:top w:val="single" w:sz="2" w:space="0" w:color="3D7FE0" w:themeColor="accent1"/>
            </w:tcBorders>
            <w:vAlign w:val="bottom"/>
          </w:tcPr>
          <w:p w14:paraId="1D840933" w14:textId="7C9941B9" w:rsidR="009601CE" w:rsidRPr="00895810" w:rsidRDefault="009601CE" w:rsidP="009601CE">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tcBorders>
              <w:top w:val="single" w:sz="2" w:space="0" w:color="3D7FE0" w:themeColor="accent1"/>
            </w:tcBorders>
            <w:vAlign w:val="bottom"/>
          </w:tcPr>
          <w:p w14:paraId="6D61ACCF"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vAlign w:val="bottom"/>
          </w:tcPr>
          <w:p w14:paraId="572F85BF"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tcPr>
          <w:p w14:paraId="677A0F46" w14:textId="457E09D4"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(5</w:t>
            </w:r>
            <w:r w:rsidR="00820FFF">
              <w:rPr>
                <w:rFonts w:ascii="IBM Plex Sans Medium" w:hAnsi="IBM Plex Sans Medium"/>
                <w:b/>
                <w:bCs/>
                <w:color w:val="3D7FE0" w:themeColor="accent1"/>
                <w:spacing w:val="-4"/>
                <w:sz w:val="18"/>
                <w:szCs w:val="18"/>
              </w:rPr>
              <w:t>29.1</w:t>
            </w:r>
            <w:r w:rsidRPr="00366E57">
              <w:rPr>
                <w:rFonts w:ascii="IBM Plex Sans Medium" w:hAnsi="IBM Plex Sans Medium"/>
                <w:b/>
                <w:bCs/>
                <w:color w:val="3D7FE0" w:themeColor="accent1"/>
                <w:spacing w:val="-4"/>
                <w:sz w:val="18"/>
                <w:szCs w:val="18"/>
              </w:rPr>
              <w:t>)</w:t>
            </w:r>
          </w:p>
        </w:tc>
        <w:tc>
          <w:tcPr>
            <w:tcW w:w="816" w:type="dxa"/>
            <w:tcBorders>
              <w:top w:val="single" w:sz="2" w:space="0" w:color="3D7FE0" w:themeColor="accent1"/>
            </w:tcBorders>
            <w:tcMar>
              <w:left w:w="0" w:type="dxa"/>
              <w:right w:w="0" w:type="dxa"/>
            </w:tcMar>
          </w:tcPr>
          <w:p w14:paraId="50A8D043" w14:textId="17B2F7D4"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(0.5)</w:t>
            </w:r>
          </w:p>
        </w:tc>
        <w:tc>
          <w:tcPr>
            <w:tcW w:w="816" w:type="dxa"/>
            <w:tcBorders>
              <w:top w:val="single" w:sz="2" w:space="0" w:color="3D7FE0" w:themeColor="accent1"/>
            </w:tcBorders>
            <w:tcMar>
              <w:left w:w="0" w:type="dxa"/>
              <w:right w:w="0" w:type="dxa"/>
            </w:tcMar>
          </w:tcPr>
          <w:p w14:paraId="774A8064" w14:textId="0F4BE31C"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(6</w:t>
            </w:r>
            <w:r w:rsidR="00820FFF">
              <w:rPr>
                <w:rFonts w:ascii="IBM Plex Sans Medium" w:hAnsi="IBM Plex Sans Medium"/>
                <w:b/>
                <w:bCs/>
                <w:color w:val="3D7FE0" w:themeColor="accent1"/>
                <w:spacing w:val="-4"/>
                <w:sz w:val="18"/>
                <w:szCs w:val="18"/>
              </w:rPr>
              <w:t>16.3</w:t>
            </w:r>
            <w:r w:rsidRPr="00366E57">
              <w:rPr>
                <w:rFonts w:ascii="IBM Plex Sans Medium" w:hAnsi="IBM Plex Sans Medium"/>
                <w:b/>
                <w:bCs/>
                <w:color w:val="3D7FE0" w:themeColor="accent1"/>
                <w:spacing w:val="-4"/>
                <w:sz w:val="18"/>
                <w:szCs w:val="18"/>
              </w:rPr>
              <w:t>)</w:t>
            </w:r>
          </w:p>
        </w:tc>
        <w:tc>
          <w:tcPr>
            <w:tcW w:w="817" w:type="dxa"/>
            <w:tcBorders>
              <w:top w:val="single" w:sz="2" w:space="0" w:color="3D7FE0" w:themeColor="accent1"/>
            </w:tcBorders>
            <w:tcMar>
              <w:left w:w="0" w:type="dxa"/>
              <w:right w:w="0" w:type="dxa"/>
            </w:tcMar>
          </w:tcPr>
          <w:p w14:paraId="002C654F" w14:textId="1887DF67" w:rsidR="009601CE" w:rsidRPr="00366E57" w:rsidRDefault="009601CE"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(30</w:t>
            </w:r>
            <w:r w:rsidR="005F6D26">
              <w:rPr>
                <w:rFonts w:ascii="IBM Plex Sans Medium" w:hAnsi="IBM Plex Sans Medium"/>
                <w:b/>
                <w:bCs/>
                <w:color w:val="3D7FE0" w:themeColor="accent1"/>
                <w:spacing w:val="-4"/>
                <w:sz w:val="18"/>
                <w:szCs w:val="18"/>
              </w:rPr>
              <w:t>6.0</w:t>
            </w:r>
            <w:r w:rsidRPr="00366E57">
              <w:rPr>
                <w:rFonts w:ascii="IBM Plex Sans Medium" w:hAnsi="IBM Plex Sans Medium"/>
                <w:b/>
                <w:bCs/>
                <w:color w:val="3D7FE0" w:themeColor="accent1"/>
                <w:spacing w:val="-4"/>
                <w:sz w:val="18"/>
                <w:szCs w:val="18"/>
              </w:rPr>
              <w:t>)</w:t>
            </w:r>
          </w:p>
        </w:tc>
      </w:tr>
      <w:tr w:rsidR="009601CE" w:rsidRPr="00895810" w14:paraId="49472C80" w14:textId="77777777" w:rsidTr="00986E14">
        <w:trPr>
          <w:trHeight w:hRule="exact" w:val="289"/>
        </w:trPr>
        <w:tc>
          <w:tcPr>
            <w:tcW w:w="3969" w:type="dxa"/>
            <w:tcMar>
              <w:left w:w="0" w:type="dxa"/>
              <w:right w:w="0" w:type="dxa"/>
            </w:tcMar>
            <w:vAlign w:val="bottom"/>
          </w:tcPr>
          <w:p w14:paraId="4BF3339C" w14:textId="77777777" w:rsidR="009601CE" w:rsidRPr="00895810" w:rsidRDefault="009601CE" w:rsidP="009601CE">
            <w:pPr>
              <w:pStyle w:val="TableFiguresBrackets"/>
              <w:jc w:val="left"/>
              <w:rPr>
                <w:rFonts w:ascii="IBM Plex Sans Light" w:hAnsi="IBM Plex Sans Light"/>
                <w:b/>
                <w:sz w:val="18"/>
                <w:szCs w:val="18"/>
              </w:rPr>
            </w:pPr>
            <w:r w:rsidRPr="00895810">
              <w:rPr>
                <w:rFonts w:ascii="IBM Plex Sans Light" w:hAnsi="IBM Plex Sans Light"/>
                <w:b/>
                <w:color w:val="3D7FE0" w:themeColor="accent1"/>
                <w:sz w:val="18"/>
                <w:szCs w:val="18"/>
              </w:rPr>
              <w:t>Non-current liabilities</w:t>
            </w:r>
          </w:p>
        </w:tc>
        <w:tc>
          <w:tcPr>
            <w:tcW w:w="241" w:type="dxa"/>
            <w:vAlign w:val="bottom"/>
          </w:tcPr>
          <w:p w14:paraId="58E9616C" w14:textId="50FB18CC" w:rsidR="009601CE" w:rsidRPr="00895810" w:rsidRDefault="009601CE" w:rsidP="009601CE">
            <w:pPr>
              <w:pStyle w:val="TableFiguresBrackets"/>
              <w:spacing w:line="240" w:lineRule="auto"/>
              <w:ind w:right="170"/>
              <w:jc w:val="left"/>
              <w:rPr>
                <w:rFonts w:ascii="IBM Plex Sans Light" w:hAnsi="IBM Plex Sans Light"/>
                <w:b/>
                <w:sz w:val="18"/>
                <w:szCs w:val="18"/>
              </w:rPr>
            </w:pPr>
          </w:p>
        </w:tc>
        <w:tc>
          <w:tcPr>
            <w:tcW w:w="816" w:type="dxa"/>
            <w:vAlign w:val="bottom"/>
          </w:tcPr>
          <w:p w14:paraId="0C4B43AE"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vAlign w:val="bottom"/>
          </w:tcPr>
          <w:p w14:paraId="3E701CB7" w14:textId="77777777" w:rsidR="009601CE" w:rsidRPr="00895810" w:rsidRDefault="009601CE" w:rsidP="009601CE">
            <w:pPr>
              <w:pStyle w:val="TableFigures"/>
              <w:rPr>
                <w:rFonts w:ascii="IBM Plex Sans Light" w:hAnsi="IBM Plex Sans Light"/>
                <w:b/>
                <w:bCs/>
                <w:color w:val="3D7FE0" w:themeColor="accent1"/>
                <w:spacing w:val="-4"/>
                <w:sz w:val="18"/>
                <w:szCs w:val="18"/>
              </w:rPr>
            </w:pPr>
          </w:p>
        </w:tc>
        <w:tc>
          <w:tcPr>
            <w:tcW w:w="816" w:type="dxa"/>
          </w:tcPr>
          <w:p w14:paraId="1E836B7C"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6" w:type="dxa"/>
            <w:tcMar>
              <w:left w:w="0" w:type="dxa"/>
              <w:right w:w="0" w:type="dxa"/>
            </w:tcMar>
          </w:tcPr>
          <w:p w14:paraId="32BF3D67"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6" w:type="dxa"/>
            <w:tcMar>
              <w:left w:w="0" w:type="dxa"/>
              <w:right w:w="0" w:type="dxa"/>
            </w:tcMar>
          </w:tcPr>
          <w:p w14:paraId="6DA36B96" w14:textId="77777777" w:rsidR="009601CE" w:rsidRPr="009601CE" w:rsidRDefault="009601CE" w:rsidP="009601CE">
            <w:pPr>
              <w:pStyle w:val="TableFiguresBold"/>
              <w:rPr>
                <w:rFonts w:ascii="IBM Plex Sans Medium" w:hAnsi="IBM Plex Sans Medium"/>
                <w:color w:val="3D7FE0" w:themeColor="accent1"/>
                <w:sz w:val="18"/>
                <w:szCs w:val="22"/>
              </w:rPr>
            </w:pPr>
          </w:p>
        </w:tc>
        <w:tc>
          <w:tcPr>
            <w:tcW w:w="817" w:type="dxa"/>
            <w:tcMar>
              <w:left w:w="0" w:type="dxa"/>
              <w:right w:w="0" w:type="dxa"/>
            </w:tcMar>
          </w:tcPr>
          <w:p w14:paraId="31634B29" w14:textId="77777777" w:rsidR="009601CE" w:rsidRPr="009601CE" w:rsidRDefault="009601CE" w:rsidP="009601CE">
            <w:pPr>
              <w:pStyle w:val="TableFiguresBold"/>
              <w:rPr>
                <w:rFonts w:ascii="IBM Plex Sans Medium" w:hAnsi="IBM Plex Sans Medium"/>
                <w:color w:val="3D7FE0" w:themeColor="accent1"/>
                <w:sz w:val="18"/>
                <w:szCs w:val="22"/>
              </w:rPr>
            </w:pPr>
          </w:p>
        </w:tc>
      </w:tr>
      <w:tr w:rsidR="00366E57" w:rsidRPr="00895810" w14:paraId="384E4451" w14:textId="77777777" w:rsidTr="00580DA5">
        <w:trPr>
          <w:trHeight w:hRule="exact" w:val="261"/>
        </w:trPr>
        <w:tc>
          <w:tcPr>
            <w:tcW w:w="3969" w:type="dxa"/>
            <w:tcMar>
              <w:left w:w="0" w:type="dxa"/>
              <w:right w:w="0" w:type="dxa"/>
            </w:tcMar>
            <w:vAlign w:val="bottom"/>
          </w:tcPr>
          <w:p w14:paraId="607D0E67" w14:textId="77777777" w:rsidR="00366E57" w:rsidRPr="00895810" w:rsidRDefault="00366E57" w:rsidP="00366E57">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Obligations under head leases</w:t>
            </w:r>
          </w:p>
        </w:tc>
        <w:tc>
          <w:tcPr>
            <w:tcW w:w="241" w:type="dxa"/>
            <w:vAlign w:val="bottom"/>
          </w:tcPr>
          <w:p w14:paraId="15B7A743" w14:textId="7BA41315" w:rsidR="00366E57" w:rsidRPr="00895810" w:rsidRDefault="00366E57" w:rsidP="00366E57">
            <w:pPr>
              <w:pStyle w:val="TableFiguresBrackets"/>
              <w:spacing w:line="240" w:lineRule="auto"/>
              <w:ind w:right="170"/>
              <w:jc w:val="left"/>
              <w:rPr>
                <w:rFonts w:ascii="IBM Plex Sans Light" w:hAnsi="IBM Plex Sans Light" w:cs="MyriadPro-Light"/>
                <w:b/>
                <w:bCs/>
                <w:color w:val="3D7FE0" w:themeColor="accent1"/>
                <w:spacing w:val="-4"/>
                <w:sz w:val="18"/>
                <w:szCs w:val="18"/>
              </w:rPr>
            </w:pPr>
          </w:p>
        </w:tc>
        <w:tc>
          <w:tcPr>
            <w:tcW w:w="816" w:type="dxa"/>
            <w:vAlign w:val="bottom"/>
          </w:tcPr>
          <w:p w14:paraId="41986046"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16" w:type="dxa"/>
            <w:vAlign w:val="bottom"/>
          </w:tcPr>
          <w:p w14:paraId="0DB23A58"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16" w:type="dxa"/>
          </w:tcPr>
          <w:p w14:paraId="6851D891" w14:textId="388C8DD5"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16" w:type="dxa"/>
            <w:tcMar>
              <w:left w:w="0" w:type="dxa"/>
              <w:right w:w="0" w:type="dxa"/>
            </w:tcMar>
          </w:tcPr>
          <w:p w14:paraId="26EE1043" w14:textId="7972A566" w:rsidR="00366E57" w:rsidRPr="009601CE" w:rsidRDefault="00366E57" w:rsidP="00366E57">
            <w:pPr>
              <w:pStyle w:val="TableFiguresBold"/>
              <w:rPr>
                <w:rFonts w:ascii="IBM Plex Sans Medium" w:hAnsi="IBM Plex Sans Medium"/>
                <w:color w:val="3D7FE0" w:themeColor="accent1"/>
                <w:sz w:val="18"/>
                <w:szCs w:val="22"/>
              </w:rPr>
            </w:pPr>
            <w:r w:rsidRPr="009601CE">
              <w:rPr>
                <w:rFonts w:ascii="IBM Plex Sans Medium" w:hAnsi="IBM Plex Sans Medium"/>
                <w:color w:val="3D7FE0" w:themeColor="accent1"/>
                <w:sz w:val="18"/>
                <w:szCs w:val="22"/>
              </w:rPr>
              <w:t>–</w:t>
            </w:r>
          </w:p>
        </w:tc>
        <w:tc>
          <w:tcPr>
            <w:tcW w:w="816" w:type="dxa"/>
            <w:tcMar>
              <w:left w:w="0" w:type="dxa"/>
              <w:right w:w="0" w:type="dxa"/>
            </w:tcMar>
          </w:tcPr>
          <w:p w14:paraId="15F2AF29" w14:textId="3D5EC8D0"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(33.9)</w:t>
            </w:r>
          </w:p>
        </w:tc>
        <w:tc>
          <w:tcPr>
            <w:tcW w:w="817" w:type="dxa"/>
            <w:tcMar>
              <w:left w:w="0" w:type="dxa"/>
              <w:right w:w="0" w:type="dxa"/>
            </w:tcMar>
          </w:tcPr>
          <w:p w14:paraId="1A36830D" w14:textId="629AC938"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(15.8)</w:t>
            </w:r>
          </w:p>
        </w:tc>
      </w:tr>
      <w:tr w:rsidR="00366E57" w:rsidRPr="00895810" w14:paraId="51AA5FBE" w14:textId="77777777" w:rsidTr="00024B10">
        <w:trPr>
          <w:trHeight w:hRule="exact" w:val="255"/>
        </w:trPr>
        <w:tc>
          <w:tcPr>
            <w:tcW w:w="3969" w:type="dxa"/>
            <w:tcMar>
              <w:left w:w="0" w:type="dxa"/>
              <w:right w:w="0" w:type="dxa"/>
            </w:tcMar>
            <w:vAlign w:val="bottom"/>
          </w:tcPr>
          <w:p w14:paraId="130A5722" w14:textId="1325D573" w:rsidR="00366E57" w:rsidRPr="00895810" w:rsidRDefault="00366E57" w:rsidP="00366E57">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 – due to Group companies</w:t>
            </w:r>
          </w:p>
        </w:tc>
        <w:tc>
          <w:tcPr>
            <w:tcW w:w="241" w:type="dxa"/>
            <w:vAlign w:val="bottom"/>
          </w:tcPr>
          <w:p w14:paraId="2D9FB2EA" w14:textId="61F437FF" w:rsidR="00366E57" w:rsidRPr="00895810" w:rsidRDefault="00366E57" w:rsidP="00366E57">
            <w:pPr>
              <w:pStyle w:val="TableFiguresBrackets"/>
              <w:spacing w:line="240" w:lineRule="auto"/>
              <w:ind w:right="170"/>
              <w:jc w:val="left"/>
              <w:rPr>
                <w:rFonts w:ascii="IBM Plex Sans Light" w:hAnsi="IBM Plex Sans Light" w:cs="MyriadPro-Light"/>
                <w:color w:val="auto"/>
                <w:spacing w:val="-4"/>
                <w:sz w:val="18"/>
                <w:szCs w:val="18"/>
              </w:rPr>
            </w:pPr>
          </w:p>
        </w:tc>
        <w:tc>
          <w:tcPr>
            <w:tcW w:w="816" w:type="dxa"/>
            <w:vAlign w:val="bottom"/>
          </w:tcPr>
          <w:p w14:paraId="629F8C87"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16" w:type="dxa"/>
            <w:vAlign w:val="bottom"/>
          </w:tcPr>
          <w:p w14:paraId="1DDF08DD" w14:textId="777987A8" w:rsidR="00366E57" w:rsidRPr="00366E57" w:rsidRDefault="00366E57" w:rsidP="00366E57">
            <w:pPr>
              <w:pStyle w:val="TableFigures"/>
              <w:rPr>
                <w:rFonts w:ascii="IBM Plex Sans Light" w:hAnsi="IBM Plex Sans Light" w:cs="MyriadPro-Light"/>
                <w:color w:val="auto"/>
                <w:spacing w:val="-4"/>
                <w:szCs w:val="16"/>
              </w:rPr>
            </w:pPr>
            <w:r w:rsidRPr="00366E57">
              <w:rPr>
                <w:rFonts w:ascii="IBM Plex Sans Light" w:hAnsi="IBM Plex Sans Light" w:cs="MyriadPro-Light"/>
                <w:color w:val="auto"/>
                <w:spacing w:val="-4"/>
                <w:szCs w:val="16"/>
              </w:rPr>
              <w:t>b</w:t>
            </w:r>
          </w:p>
        </w:tc>
        <w:tc>
          <w:tcPr>
            <w:tcW w:w="816" w:type="dxa"/>
          </w:tcPr>
          <w:p w14:paraId="5C58E554" w14:textId="5E282E8F"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w:t>
            </w:r>
          </w:p>
        </w:tc>
        <w:tc>
          <w:tcPr>
            <w:tcW w:w="816" w:type="dxa"/>
            <w:tcMar>
              <w:left w:w="0" w:type="dxa"/>
              <w:right w:w="0" w:type="dxa"/>
            </w:tcMar>
          </w:tcPr>
          <w:p w14:paraId="5962C0E6" w14:textId="79FDD9C5"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(49.3)</w:t>
            </w:r>
          </w:p>
        </w:tc>
        <w:tc>
          <w:tcPr>
            <w:tcW w:w="816" w:type="dxa"/>
            <w:tcMar>
              <w:left w:w="0" w:type="dxa"/>
              <w:right w:w="0" w:type="dxa"/>
            </w:tcMar>
          </w:tcPr>
          <w:p w14:paraId="3C8F1B49" w14:textId="62F8BCA3"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(397.5)</w:t>
            </w:r>
          </w:p>
        </w:tc>
        <w:tc>
          <w:tcPr>
            <w:tcW w:w="817" w:type="dxa"/>
            <w:tcMar>
              <w:left w:w="0" w:type="dxa"/>
              <w:right w:w="0" w:type="dxa"/>
            </w:tcMar>
          </w:tcPr>
          <w:p w14:paraId="5916904B" w14:textId="43F071FF"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w:t>
            </w:r>
          </w:p>
        </w:tc>
      </w:tr>
      <w:tr w:rsidR="00366E57" w:rsidRPr="00895810" w14:paraId="5873F25D" w14:textId="77777777" w:rsidTr="00024B10">
        <w:trPr>
          <w:trHeight w:hRule="exact" w:val="255"/>
        </w:trPr>
        <w:tc>
          <w:tcPr>
            <w:tcW w:w="3969" w:type="dxa"/>
            <w:tcBorders>
              <w:bottom w:val="single" w:sz="2" w:space="0" w:color="3D7FE0" w:themeColor="accent1"/>
            </w:tcBorders>
            <w:tcMar>
              <w:left w:w="0" w:type="dxa"/>
              <w:right w:w="0" w:type="dxa"/>
            </w:tcMar>
            <w:vAlign w:val="bottom"/>
          </w:tcPr>
          <w:p w14:paraId="07937959" w14:textId="17606E6D" w:rsidR="00366E57" w:rsidRPr="00895810" w:rsidRDefault="00366E57" w:rsidP="00366E57">
            <w:pPr>
              <w:pStyle w:val="TableFiguresBrackets"/>
              <w:jc w:val="left"/>
              <w:rPr>
                <w:rFonts w:ascii="IBM Plex Sans Light" w:hAnsi="IBM Plex Sans Light"/>
                <w:bCs/>
                <w:sz w:val="18"/>
                <w:szCs w:val="18"/>
              </w:rPr>
            </w:pPr>
            <w:r w:rsidRPr="00895810">
              <w:rPr>
                <w:rFonts w:ascii="IBM Plex Sans Light" w:hAnsi="IBM Plex Sans Light"/>
                <w:bCs/>
                <w:sz w:val="18"/>
                <w:szCs w:val="18"/>
              </w:rPr>
              <w:t xml:space="preserve">                     </w:t>
            </w:r>
            <w:r>
              <w:rPr>
                <w:rFonts w:ascii="IBM Plex Sans Light" w:hAnsi="IBM Plex Sans Light"/>
                <w:bCs/>
                <w:sz w:val="18"/>
                <w:szCs w:val="18"/>
              </w:rPr>
              <w:t xml:space="preserve">      </w:t>
            </w:r>
            <w:r w:rsidRPr="00895810">
              <w:rPr>
                <w:rFonts w:ascii="IBM Plex Sans Light" w:hAnsi="IBM Plex Sans Light"/>
                <w:bCs/>
                <w:sz w:val="18"/>
                <w:szCs w:val="18"/>
              </w:rPr>
              <w:t xml:space="preserve">  – other parties and deferred tax   </w:t>
            </w:r>
          </w:p>
        </w:tc>
        <w:tc>
          <w:tcPr>
            <w:tcW w:w="241" w:type="dxa"/>
            <w:tcBorders>
              <w:bottom w:val="single" w:sz="2" w:space="0" w:color="3D7FE0" w:themeColor="accent1"/>
            </w:tcBorders>
            <w:vAlign w:val="bottom"/>
          </w:tcPr>
          <w:p w14:paraId="3FA30088" w14:textId="77777777" w:rsidR="00366E57" w:rsidRPr="00895810" w:rsidRDefault="00366E57" w:rsidP="00366E57">
            <w:pPr>
              <w:pStyle w:val="TableFiguresBrackets"/>
              <w:spacing w:line="240" w:lineRule="auto"/>
              <w:ind w:right="170"/>
              <w:jc w:val="left"/>
              <w:rPr>
                <w:rFonts w:ascii="IBM Plex Sans Light" w:hAnsi="IBM Plex Sans Light" w:cs="MyriadPro-Light"/>
                <w:color w:val="auto"/>
                <w:spacing w:val="-4"/>
                <w:sz w:val="18"/>
                <w:szCs w:val="18"/>
              </w:rPr>
            </w:pPr>
          </w:p>
        </w:tc>
        <w:tc>
          <w:tcPr>
            <w:tcW w:w="816" w:type="dxa"/>
            <w:tcBorders>
              <w:bottom w:val="single" w:sz="2" w:space="0" w:color="3D7FE0" w:themeColor="accent1"/>
            </w:tcBorders>
            <w:vAlign w:val="bottom"/>
          </w:tcPr>
          <w:p w14:paraId="6B5839E5"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16" w:type="dxa"/>
            <w:tcBorders>
              <w:bottom w:val="single" w:sz="2" w:space="0" w:color="3D7FE0" w:themeColor="accent1"/>
            </w:tcBorders>
            <w:vAlign w:val="bottom"/>
          </w:tcPr>
          <w:p w14:paraId="32B1F3E3" w14:textId="2F923555" w:rsidR="00366E57" w:rsidRPr="00366E57" w:rsidRDefault="00366E57" w:rsidP="00366E57">
            <w:pPr>
              <w:pStyle w:val="TableFigures"/>
              <w:rPr>
                <w:rFonts w:ascii="IBM Plex Sans Light" w:hAnsi="IBM Plex Sans Light" w:cs="MyriadPro-Light"/>
                <w:color w:val="auto"/>
                <w:spacing w:val="-4"/>
                <w:szCs w:val="16"/>
              </w:rPr>
            </w:pPr>
          </w:p>
        </w:tc>
        <w:tc>
          <w:tcPr>
            <w:tcW w:w="816" w:type="dxa"/>
            <w:tcBorders>
              <w:bottom w:val="single" w:sz="2" w:space="0" w:color="3D7FE0" w:themeColor="accent1"/>
            </w:tcBorders>
          </w:tcPr>
          <w:p w14:paraId="6ABEF82E" w14:textId="1FED0736"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(1.0)</w:t>
            </w:r>
          </w:p>
        </w:tc>
        <w:tc>
          <w:tcPr>
            <w:tcW w:w="816" w:type="dxa"/>
            <w:tcBorders>
              <w:bottom w:val="single" w:sz="2" w:space="0" w:color="3D7FE0" w:themeColor="accent1"/>
            </w:tcBorders>
            <w:tcMar>
              <w:left w:w="0" w:type="dxa"/>
              <w:right w:w="0" w:type="dxa"/>
            </w:tcMar>
          </w:tcPr>
          <w:p w14:paraId="3B43E1A4" w14:textId="53BFFD74"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(49.5)</w:t>
            </w:r>
          </w:p>
        </w:tc>
        <w:tc>
          <w:tcPr>
            <w:tcW w:w="816" w:type="dxa"/>
            <w:tcBorders>
              <w:bottom w:val="single" w:sz="2" w:space="0" w:color="3D7FE0" w:themeColor="accent1"/>
            </w:tcBorders>
            <w:tcMar>
              <w:left w:w="0" w:type="dxa"/>
              <w:right w:w="0" w:type="dxa"/>
            </w:tcMar>
          </w:tcPr>
          <w:p w14:paraId="36341DC1" w14:textId="3653AD63"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(401.9)</w:t>
            </w:r>
          </w:p>
        </w:tc>
        <w:tc>
          <w:tcPr>
            <w:tcW w:w="817" w:type="dxa"/>
            <w:tcBorders>
              <w:bottom w:val="single" w:sz="2" w:space="0" w:color="3D7FE0" w:themeColor="accent1"/>
            </w:tcBorders>
            <w:tcMar>
              <w:left w:w="0" w:type="dxa"/>
              <w:right w:w="0" w:type="dxa"/>
            </w:tcMar>
          </w:tcPr>
          <w:p w14:paraId="08665267" w14:textId="3CF68F56" w:rsidR="00366E57" w:rsidRPr="00366E57" w:rsidRDefault="00366E57" w:rsidP="00366E57">
            <w:pPr>
              <w:pStyle w:val="TableFiguresBrackets"/>
              <w:rPr>
                <w:rFonts w:ascii="IBM Plex Sans Medium" w:hAnsi="IBM Plex Sans Medium"/>
                <w:b/>
                <w:bCs/>
                <w:color w:val="3D7FE0" w:themeColor="accent1"/>
                <w:spacing w:val="-4"/>
                <w:sz w:val="18"/>
                <w:szCs w:val="18"/>
              </w:rPr>
            </w:pPr>
            <w:r w:rsidRPr="00366E57">
              <w:rPr>
                <w:rFonts w:ascii="IBM Plex Sans Medium" w:hAnsi="IBM Plex Sans Medium"/>
                <w:b/>
                <w:bCs/>
                <w:color w:val="3D7FE0" w:themeColor="accent1"/>
                <w:spacing w:val="-4"/>
                <w:sz w:val="18"/>
                <w:szCs w:val="18"/>
              </w:rPr>
              <w:t>(2.5)</w:t>
            </w:r>
          </w:p>
        </w:tc>
      </w:tr>
      <w:tr w:rsidR="005F6D26" w:rsidRPr="00895810" w14:paraId="0CF4A37B" w14:textId="77777777" w:rsidTr="00024B10">
        <w:trPr>
          <w:trHeight w:hRule="exact" w:val="255"/>
        </w:trPr>
        <w:tc>
          <w:tcPr>
            <w:tcW w:w="3969" w:type="dxa"/>
            <w:tcBorders>
              <w:top w:val="single" w:sz="2" w:space="0" w:color="3D7FE0" w:themeColor="accent1"/>
            </w:tcBorders>
            <w:tcMar>
              <w:left w:w="0" w:type="dxa"/>
              <w:right w:w="0" w:type="dxa"/>
            </w:tcMar>
            <w:vAlign w:val="bottom"/>
          </w:tcPr>
          <w:p w14:paraId="4BCED391" w14:textId="77777777" w:rsidR="005F6D26" w:rsidRPr="00895810" w:rsidRDefault="005F6D26" w:rsidP="00366E57">
            <w:pPr>
              <w:pStyle w:val="TableFiguresBrackets"/>
              <w:jc w:val="left"/>
              <w:rPr>
                <w:rFonts w:ascii="IBM Plex Sans Light" w:hAnsi="IBM Plex Sans Light"/>
                <w:bCs/>
                <w:sz w:val="18"/>
                <w:szCs w:val="18"/>
              </w:rPr>
            </w:pPr>
          </w:p>
        </w:tc>
        <w:tc>
          <w:tcPr>
            <w:tcW w:w="241" w:type="dxa"/>
            <w:tcBorders>
              <w:top w:val="single" w:sz="2" w:space="0" w:color="3D7FE0" w:themeColor="accent1"/>
            </w:tcBorders>
            <w:vAlign w:val="bottom"/>
          </w:tcPr>
          <w:p w14:paraId="589749D3" w14:textId="77777777" w:rsidR="005F6D26" w:rsidRPr="00895810" w:rsidRDefault="005F6D26" w:rsidP="00366E57">
            <w:pPr>
              <w:pStyle w:val="TableFiguresBrackets"/>
              <w:spacing w:line="240" w:lineRule="auto"/>
              <w:ind w:right="170"/>
              <w:jc w:val="left"/>
              <w:rPr>
                <w:rFonts w:ascii="IBM Plex Sans Light" w:hAnsi="IBM Plex Sans Light" w:cs="MyriadPro-Light"/>
                <w:color w:val="auto"/>
                <w:spacing w:val="-4"/>
                <w:sz w:val="18"/>
                <w:szCs w:val="18"/>
              </w:rPr>
            </w:pPr>
          </w:p>
        </w:tc>
        <w:tc>
          <w:tcPr>
            <w:tcW w:w="816" w:type="dxa"/>
            <w:tcBorders>
              <w:top w:val="single" w:sz="2" w:space="0" w:color="3D7FE0" w:themeColor="accent1"/>
            </w:tcBorders>
            <w:vAlign w:val="bottom"/>
          </w:tcPr>
          <w:p w14:paraId="3EF80FED" w14:textId="77777777" w:rsidR="005F6D26" w:rsidRPr="00895810" w:rsidRDefault="005F6D26" w:rsidP="00366E57">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tcBorders>
            <w:vAlign w:val="bottom"/>
          </w:tcPr>
          <w:p w14:paraId="4D87BCA1" w14:textId="77777777" w:rsidR="005F6D26" w:rsidRPr="00366E57" w:rsidDel="005F6D26" w:rsidRDefault="005F6D26" w:rsidP="00366E57">
            <w:pPr>
              <w:pStyle w:val="TableFigures"/>
              <w:rPr>
                <w:rFonts w:ascii="IBM Plex Sans Light" w:hAnsi="IBM Plex Sans Light" w:cs="MyriadPro-Light"/>
                <w:color w:val="auto"/>
                <w:spacing w:val="-4"/>
                <w:szCs w:val="16"/>
              </w:rPr>
            </w:pPr>
          </w:p>
        </w:tc>
        <w:tc>
          <w:tcPr>
            <w:tcW w:w="816" w:type="dxa"/>
            <w:tcBorders>
              <w:top w:val="single" w:sz="2" w:space="0" w:color="3D7FE0" w:themeColor="accent1"/>
            </w:tcBorders>
          </w:tcPr>
          <w:p w14:paraId="6B5C5BE8" w14:textId="6A347907" w:rsidR="005F6D26" w:rsidRPr="00366E57" w:rsidRDefault="005F6D26" w:rsidP="00366E57">
            <w:pPr>
              <w:pStyle w:val="TableFiguresBracket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(1.0)</w:t>
            </w:r>
          </w:p>
        </w:tc>
        <w:tc>
          <w:tcPr>
            <w:tcW w:w="816" w:type="dxa"/>
            <w:tcBorders>
              <w:top w:val="single" w:sz="2" w:space="0" w:color="3D7FE0" w:themeColor="accent1"/>
            </w:tcBorders>
            <w:tcMar>
              <w:left w:w="0" w:type="dxa"/>
              <w:right w:w="0" w:type="dxa"/>
            </w:tcMar>
          </w:tcPr>
          <w:p w14:paraId="513EB0F1" w14:textId="6F7685B2" w:rsidR="005F6D26" w:rsidRPr="00366E57" w:rsidRDefault="005F6D26" w:rsidP="00366E57">
            <w:pPr>
              <w:pStyle w:val="TableFiguresBracket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(98.8)</w:t>
            </w:r>
          </w:p>
        </w:tc>
        <w:tc>
          <w:tcPr>
            <w:tcW w:w="816" w:type="dxa"/>
            <w:tcBorders>
              <w:top w:val="single" w:sz="2" w:space="0" w:color="3D7FE0" w:themeColor="accent1"/>
            </w:tcBorders>
            <w:tcMar>
              <w:left w:w="0" w:type="dxa"/>
              <w:right w:w="0" w:type="dxa"/>
            </w:tcMar>
          </w:tcPr>
          <w:p w14:paraId="6D16E97C" w14:textId="12A6417C" w:rsidR="005F6D26" w:rsidRPr="00366E57" w:rsidRDefault="005F6D26" w:rsidP="00366E57">
            <w:pPr>
              <w:pStyle w:val="TableFiguresBracket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(833.3)</w:t>
            </w:r>
          </w:p>
        </w:tc>
        <w:tc>
          <w:tcPr>
            <w:tcW w:w="817" w:type="dxa"/>
            <w:tcBorders>
              <w:top w:val="single" w:sz="2" w:space="0" w:color="3D7FE0" w:themeColor="accent1"/>
            </w:tcBorders>
            <w:tcMar>
              <w:left w:w="0" w:type="dxa"/>
              <w:right w:w="0" w:type="dxa"/>
            </w:tcMar>
          </w:tcPr>
          <w:p w14:paraId="23083562" w14:textId="5FA89F01" w:rsidR="005F6D26" w:rsidRPr="00366E57" w:rsidRDefault="005F6D26" w:rsidP="00366E57">
            <w:pPr>
              <w:pStyle w:val="TableFiguresBrackets"/>
              <w:rPr>
                <w:rFonts w:ascii="IBM Plex Sans Medium" w:hAnsi="IBM Plex Sans Medium"/>
                <w:b/>
                <w:bCs/>
                <w:color w:val="3D7FE0" w:themeColor="accent1"/>
                <w:spacing w:val="-4"/>
                <w:sz w:val="18"/>
                <w:szCs w:val="18"/>
              </w:rPr>
            </w:pPr>
            <w:r>
              <w:rPr>
                <w:rFonts w:ascii="IBM Plex Sans Medium" w:hAnsi="IBM Plex Sans Medium"/>
                <w:b/>
                <w:bCs/>
                <w:color w:val="3D7FE0" w:themeColor="accent1"/>
                <w:spacing w:val="-4"/>
                <w:sz w:val="18"/>
                <w:szCs w:val="18"/>
              </w:rPr>
              <w:t>(18.3)</w:t>
            </w:r>
          </w:p>
        </w:tc>
      </w:tr>
      <w:tr w:rsidR="00366E57" w:rsidRPr="00895810" w14:paraId="1011F5B2" w14:textId="77777777" w:rsidTr="00580DA5">
        <w:trPr>
          <w:trHeight w:hRule="exact" w:val="283"/>
        </w:trPr>
        <w:tc>
          <w:tcPr>
            <w:tcW w:w="3969" w:type="dxa"/>
            <w:tcBorders>
              <w:top w:val="single" w:sz="2" w:space="0" w:color="3D7FE0" w:themeColor="accent1"/>
              <w:bottom w:val="single" w:sz="8" w:space="0" w:color="3D7FE0" w:themeColor="accent1"/>
            </w:tcBorders>
            <w:tcMar>
              <w:left w:w="0" w:type="dxa"/>
              <w:right w:w="0" w:type="dxa"/>
            </w:tcMar>
            <w:vAlign w:val="bottom"/>
          </w:tcPr>
          <w:p w14:paraId="139C814D" w14:textId="7D5CB870" w:rsidR="00366E57" w:rsidRPr="00895810" w:rsidRDefault="00366E57" w:rsidP="00366E57">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
                <w:color w:val="3D7FE0" w:themeColor="accent1"/>
                <w:sz w:val="18"/>
                <w:szCs w:val="18"/>
              </w:rPr>
              <w:t>Net assets</w:t>
            </w:r>
            <w:r w:rsidR="00452848">
              <w:rPr>
                <w:rFonts w:ascii="IBM Plex Sans Light" w:hAnsi="IBM Plex Sans Light"/>
                <w:b/>
                <w:color w:val="3D7FE0" w:themeColor="accent1"/>
                <w:sz w:val="18"/>
                <w:szCs w:val="18"/>
              </w:rPr>
              <w:t>/(liabilities)</w:t>
            </w:r>
          </w:p>
        </w:tc>
        <w:tc>
          <w:tcPr>
            <w:tcW w:w="241" w:type="dxa"/>
            <w:tcBorders>
              <w:top w:val="single" w:sz="2" w:space="0" w:color="3D7FE0" w:themeColor="accent1"/>
              <w:bottom w:val="single" w:sz="8" w:space="0" w:color="3D7FE0" w:themeColor="accent1"/>
            </w:tcBorders>
            <w:vAlign w:val="bottom"/>
          </w:tcPr>
          <w:p w14:paraId="7D4B3AAF" w14:textId="62F607F7" w:rsidR="00366E57" w:rsidRPr="00895810" w:rsidRDefault="00366E57" w:rsidP="00366E57">
            <w:pPr>
              <w:pStyle w:val="TableFiguresBrackets"/>
              <w:jc w:val="left"/>
              <w:rPr>
                <w:rFonts w:ascii="IBM Plex Sans Light" w:hAnsi="IBM Plex Sans Light" w:cs="MyriadPro-Light"/>
                <w:color w:val="auto"/>
                <w:spacing w:val="-4"/>
                <w:sz w:val="18"/>
                <w:szCs w:val="18"/>
              </w:rPr>
            </w:pPr>
          </w:p>
        </w:tc>
        <w:tc>
          <w:tcPr>
            <w:tcW w:w="816" w:type="dxa"/>
            <w:tcBorders>
              <w:top w:val="single" w:sz="2" w:space="0" w:color="3D7FE0" w:themeColor="accent1"/>
              <w:bottom w:val="single" w:sz="8" w:space="0" w:color="3D7FE0" w:themeColor="accent1"/>
            </w:tcBorders>
            <w:vAlign w:val="bottom"/>
          </w:tcPr>
          <w:p w14:paraId="4A173BF7" w14:textId="77777777" w:rsidR="00366E57" w:rsidRPr="00895810" w:rsidRDefault="00366E57" w:rsidP="00366E57">
            <w:pPr>
              <w:pStyle w:val="TableFigures"/>
              <w:rPr>
                <w:rFonts w:ascii="IBM Plex Sans Light" w:hAnsi="IBM Plex Sans Light"/>
                <w:b/>
                <w:bCs/>
                <w:color w:val="3D7FE0" w:themeColor="accent1"/>
                <w:spacing w:val="-4"/>
                <w:sz w:val="18"/>
                <w:szCs w:val="18"/>
              </w:rPr>
            </w:pPr>
          </w:p>
        </w:tc>
        <w:tc>
          <w:tcPr>
            <w:tcW w:w="816" w:type="dxa"/>
            <w:tcBorders>
              <w:top w:val="single" w:sz="2" w:space="0" w:color="3D7FE0" w:themeColor="accent1"/>
              <w:bottom w:val="single" w:sz="8" w:space="0" w:color="3D7FE0" w:themeColor="accent1"/>
            </w:tcBorders>
            <w:vAlign w:val="bottom"/>
          </w:tcPr>
          <w:p w14:paraId="78645E40" w14:textId="26C38E24" w:rsidR="00366E57" w:rsidRPr="00895810" w:rsidRDefault="005F6D26" w:rsidP="00366E57">
            <w:pPr>
              <w:pStyle w:val="TableFigures"/>
              <w:rPr>
                <w:rFonts w:ascii="IBM Plex Sans Light" w:hAnsi="IBM Plex Sans Light"/>
                <w:b/>
                <w:bCs/>
                <w:color w:val="3D7FE0" w:themeColor="accent1"/>
                <w:spacing w:val="-4"/>
                <w:sz w:val="18"/>
                <w:szCs w:val="18"/>
              </w:rPr>
            </w:pPr>
            <w:r w:rsidRPr="00366E57">
              <w:rPr>
                <w:rFonts w:ascii="IBM Plex Sans Light" w:hAnsi="IBM Plex Sans Light" w:cs="MyriadPro-Light"/>
                <w:color w:val="auto"/>
                <w:spacing w:val="-4"/>
                <w:szCs w:val="16"/>
              </w:rPr>
              <w:t>b</w:t>
            </w:r>
          </w:p>
        </w:tc>
        <w:tc>
          <w:tcPr>
            <w:tcW w:w="816" w:type="dxa"/>
            <w:tcBorders>
              <w:top w:val="single" w:sz="2" w:space="0" w:color="3D7FE0" w:themeColor="accent1"/>
              <w:bottom w:val="single" w:sz="8" w:space="0" w:color="3D7FE0" w:themeColor="accent1"/>
            </w:tcBorders>
          </w:tcPr>
          <w:p w14:paraId="0CF413DB" w14:textId="43B45879"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568.9</w:t>
            </w:r>
          </w:p>
        </w:tc>
        <w:tc>
          <w:tcPr>
            <w:tcW w:w="816" w:type="dxa"/>
            <w:tcBorders>
              <w:top w:val="single" w:sz="2" w:space="0" w:color="3D7FE0" w:themeColor="accent1"/>
              <w:bottom w:val="single" w:sz="8" w:space="0" w:color="3D7FE0" w:themeColor="accent1"/>
            </w:tcBorders>
            <w:tcMar>
              <w:left w:w="0" w:type="dxa"/>
              <w:right w:w="0" w:type="dxa"/>
            </w:tcMar>
          </w:tcPr>
          <w:p w14:paraId="0AAA7A0D" w14:textId="017C9610" w:rsidR="00366E57" w:rsidRPr="00024B10" w:rsidRDefault="00366E57" w:rsidP="00366E57">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(9.6)</w:t>
            </w:r>
          </w:p>
        </w:tc>
        <w:tc>
          <w:tcPr>
            <w:tcW w:w="816" w:type="dxa"/>
            <w:tcBorders>
              <w:top w:val="single" w:sz="2" w:space="0" w:color="3D7FE0" w:themeColor="accent1"/>
              <w:bottom w:val="single" w:sz="8" w:space="0" w:color="3D7FE0" w:themeColor="accent1"/>
            </w:tcBorders>
            <w:tcMar>
              <w:left w:w="0" w:type="dxa"/>
              <w:right w:w="0" w:type="dxa"/>
            </w:tcMar>
          </w:tcPr>
          <w:p w14:paraId="4918EEC2" w14:textId="3E0A75D9"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1,665.7</w:t>
            </w:r>
          </w:p>
        </w:tc>
        <w:tc>
          <w:tcPr>
            <w:tcW w:w="817" w:type="dxa"/>
            <w:tcBorders>
              <w:top w:val="single" w:sz="2" w:space="0" w:color="3D7FE0" w:themeColor="accent1"/>
              <w:bottom w:val="single" w:sz="8" w:space="0" w:color="3D7FE0" w:themeColor="accent1"/>
            </w:tcBorders>
            <w:tcMar>
              <w:left w:w="0" w:type="dxa"/>
              <w:right w:w="0" w:type="dxa"/>
            </w:tcMar>
          </w:tcPr>
          <w:p w14:paraId="5C8C5E7E" w14:textId="50EC58E8" w:rsidR="00366E57" w:rsidRPr="009601CE" w:rsidRDefault="00366E57" w:rsidP="00366E57">
            <w:pPr>
              <w:pStyle w:val="TableFiguresBold"/>
              <w:rPr>
                <w:rFonts w:ascii="IBM Plex Sans Medium" w:hAnsi="IBM Plex Sans Medium"/>
                <w:color w:val="3D7FE0" w:themeColor="accent1"/>
                <w:sz w:val="18"/>
                <w:szCs w:val="22"/>
              </w:rPr>
            </w:pPr>
            <w:r w:rsidRPr="00366E57">
              <w:rPr>
                <w:rFonts w:ascii="IBM Plex Sans Medium" w:hAnsi="IBM Plex Sans Medium"/>
                <w:color w:val="3D7FE0" w:themeColor="accent1"/>
                <w:sz w:val="18"/>
                <w:szCs w:val="22"/>
              </w:rPr>
              <w:t>1,193.2</w:t>
            </w:r>
          </w:p>
        </w:tc>
      </w:tr>
    </w:tbl>
    <w:p w14:paraId="440F2E25" w14:textId="4F7A3231" w:rsidR="0008424D" w:rsidRPr="00AB6B6E" w:rsidRDefault="0008424D" w:rsidP="00AB6B6E">
      <w:pPr>
        <w:spacing w:after="80" w:line="240" w:lineRule="auto"/>
        <w:jc w:val="both"/>
        <w:rPr>
          <w:rFonts w:ascii="IBM Plex Sans Medium" w:hAnsi="IBM Plex Sans Medium" w:cs="Arial"/>
          <w:b/>
          <w:color w:val="3D7FE0" w:themeColor="accent1"/>
          <w:szCs w:val="18"/>
        </w:rPr>
      </w:pPr>
    </w:p>
    <w:p w14:paraId="156A2D57" w14:textId="2089D61D" w:rsidR="0008424D" w:rsidRPr="00895810" w:rsidRDefault="00410997" w:rsidP="00410997">
      <w:pPr>
        <w:pStyle w:val="Heading2SpaceBefore"/>
        <w:tabs>
          <w:tab w:val="clear" w:pos="340"/>
          <w:tab w:val="left" w:pos="284"/>
        </w:tabs>
        <w:spacing w:before="0" w:line="240" w:lineRule="auto"/>
        <w:rPr>
          <w:rFonts w:ascii="IBM Plex Sans Light" w:hAnsi="IBM Plex Sans Light"/>
          <w:color w:val="3D7FE0" w:themeColor="accent1"/>
        </w:rPr>
      </w:pPr>
      <w:r w:rsidRPr="00895810">
        <w:rPr>
          <w:rFonts w:ascii="IBM Plex Sans Light" w:hAnsi="IBM Plex Sans Light"/>
          <w:color w:val="3D7FE0" w:themeColor="accent1"/>
        </w:rPr>
        <w:t xml:space="preserve">B.  </w:t>
      </w:r>
      <w:r w:rsidR="005F6D26" w:rsidRPr="00895810">
        <w:rPr>
          <w:rFonts w:ascii="IBM Plex Sans Light" w:hAnsi="IBM Plex Sans Light"/>
          <w:color w:val="3D7FE0" w:themeColor="accent1"/>
        </w:rPr>
        <w:t>RESULTS</w:t>
      </w:r>
    </w:p>
    <w:tbl>
      <w:tblPr>
        <w:tblW w:w="9921" w:type="dxa"/>
        <w:tblLayout w:type="fixed"/>
        <w:tblLook w:val="01E0" w:firstRow="1" w:lastRow="1" w:firstColumn="1" w:lastColumn="1" w:noHBand="0" w:noVBand="0"/>
      </w:tblPr>
      <w:tblGrid>
        <w:gridCol w:w="4111"/>
        <w:gridCol w:w="567"/>
        <w:gridCol w:w="873"/>
        <w:gridCol w:w="874"/>
        <w:gridCol w:w="874"/>
        <w:gridCol w:w="874"/>
        <w:gridCol w:w="874"/>
        <w:gridCol w:w="874"/>
      </w:tblGrid>
      <w:tr w:rsidR="003E29BC" w:rsidRPr="00895810" w14:paraId="104701FC" w14:textId="77777777" w:rsidTr="003E29BC">
        <w:trPr>
          <w:trHeight w:val="202"/>
        </w:trPr>
        <w:tc>
          <w:tcPr>
            <w:tcW w:w="4111" w:type="dxa"/>
            <w:tcBorders>
              <w:bottom w:val="single" w:sz="4" w:space="0" w:color="3D7FE0" w:themeColor="accent1"/>
            </w:tcBorders>
            <w:tcMar>
              <w:left w:w="0" w:type="dxa"/>
              <w:bottom w:w="57" w:type="dxa"/>
              <w:right w:w="0" w:type="dxa"/>
            </w:tcMar>
            <w:vAlign w:val="bottom"/>
          </w:tcPr>
          <w:p w14:paraId="1FAAFC78" w14:textId="77777777" w:rsidR="003E29BC" w:rsidRPr="00895810" w:rsidRDefault="003E29BC" w:rsidP="003F2C4C">
            <w:pPr>
              <w:pStyle w:val="TableColHeadsBold"/>
              <w:spacing w:line="240" w:lineRule="auto"/>
              <w:ind w:right="0"/>
              <w:rPr>
                <w:rFonts w:ascii="IBM Plex Sans Light" w:hAnsi="IBM Plex Sans Light"/>
                <w:color w:val="3D7FE0" w:themeColor="accent1"/>
              </w:rPr>
            </w:pPr>
          </w:p>
        </w:tc>
        <w:tc>
          <w:tcPr>
            <w:tcW w:w="567" w:type="dxa"/>
            <w:tcBorders>
              <w:bottom w:val="single" w:sz="4" w:space="0" w:color="3D7FE0" w:themeColor="accent1"/>
            </w:tcBorders>
            <w:vAlign w:val="bottom"/>
          </w:tcPr>
          <w:p w14:paraId="255A2BAA" w14:textId="22EAAAE6" w:rsidR="003E29BC" w:rsidRPr="00895810" w:rsidRDefault="003E29BC" w:rsidP="003F2C4C">
            <w:pPr>
              <w:pStyle w:val="TableColHeadsBold"/>
              <w:spacing w:line="240" w:lineRule="auto"/>
              <w:ind w:right="0"/>
              <w:rPr>
                <w:rFonts w:ascii="IBM Plex Sans Light" w:hAnsi="IBM Plex Sans Light"/>
                <w:color w:val="3D7FE0" w:themeColor="accent1"/>
              </w:rPr>
            </w:pPr>
          </w:p>
        </w:tc>
        <w:tc>
          <w:tcPr>
            <w:tcW w:w="873" w:type="dxa"/>
            <w:tcBorders>
              <w:bottom w:val="single" w:sz="4" w:space="0" w:color="3D7FE0" w:themeColor="accent1"/>
            </w:tcBorders>
            <w:vAlign w:val="bottom"/>
          </w:tcPr>
          <w:p w14:paraId="0F49D00F"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bottom w:val="single" w:sz="4" w:space="0" w:color="3D7FE0" w:themeColor="accent1"/>
            </w:tcBorders>
            <w:vAlign w:val="bottom"/>
          </w:tcPr>
          <w:p w14:paraId="1DBF84E0"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bottom w:val="single" w:sz="4" w:space="0" w:color="3D7FE0" w:themeColor="accent1"/>
            </w:tcBorders>
            <w:vAlign w:val="bottom"/>
          </w:tcPr>
          <w:p w14:paraId="57594C68"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bottom w:val="single" w:sz="4" w:space="0" w:color="3D7FE0" w:themeColor="accent1"/>
            </w:tcBorders>
            <w:vAlign w:val="bottom"/>
          </w:tcPr>
          <w:p w14:paraId="17D5131E"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bottom w:val="single" w:sz="4" w:space="0" w:color="3D7FE0" w:themeColor="accent1"/>
            </w:tcBorders>
            <w:tcMar>
              <w:left w:w="0" w:type="dxa"/>
              <w:bottom w:w="57" w:type="dxa"/>
              <w:right w:w="0" w:type="dxa"/>
            </w:tcMar>
            <w:vAlign w:val="bottom"/>
          </w:tcPr>
          <w:p w14:paraId="644B1780" w14:textId="77777777" w:rsidR="003E29BC" w:rsidRPr="00895810" w:rsidRDefault="003E29BC" w:rsidP="003F2C4C">
            <w:pPr>
              <w:pStyle w:val="TableColHeadsBold"/>
              <w:spacing w:line="240" w:lineRule="auto"/>
              <w:rPr>
                <w:rFonts w:ascii="IBM Plex Sans Light" w:hAnsi="IBM Plex Sans Light"/>
                <w:b w:val="0"/>
              </w:rPr>
            </w:pPr>
          </w:p>
        </w:tc>
        <w:tc>
          <w:tcPr>
            <w:tcW w:w="874" w:type="dxa"/>
            <w:tcBorders>
              <w:bottom w:val="single" w:sz="4" w:space="0" w:color="3D7FE0" w:themeColor="accent1"/>
            </w:tcBorders>
            <w:vAlign w:val="bottom"/>
          </w:tcPr>
          <w:p w14:paraId="2FD16CC8" w14:textId="54F0FDA0" w:rsidR="006433C1" w:rsidRPr="00895810" w:rsidRDefault="006E7EB0" w:rsidP="00785AC2">
            <w:pPr>
              <w:pStyle w:val="TableColHeadsBold"/>
              <w:spacing w:line="240" w:lineRule="auto"/>
              <w:ind w:left="-106" w:right="0"/>
              <w:rPr>
                <w:rFonts w:ascii="IBM Plex Sans Light" w:hAnsi="IBM Plex Sans Light"/>
                <w:b w:val="0"/>
              </w:rPr>
            </w:pPr>
            <w:r>
              <w:rPr>
                <w:rFonts w:ascii="IBM Plex Sans Light" w:hAnsi="IBM Plex Sans Light"/>
              </w:rPr>
              <w:t>2022</w:t>
            </w:r>
          </w:p>
        </w:tc>
      </w:tr>
      <w:tr w:rsidR="003E29BC" w:rsidRPr="00895810" w14:paraId="2F7049A2" w14:textId="77777777" w:rsidTr="003E29BC">
        <w:trPr>
          <w:trHeight w:val="178"/>
        </w:trPr>
        <w:tc>
          <w:tcPr>
            <w:tcW w:w="4111" w:type="dxa"/>
            <w:tcBorders>
              <w:top w:val="single" w:sz="4" w:space="0" w:color="3D7FE0" w:themeColor="accent1"/>
            </w:tcBorders>
            <w:tcMar>
              <w:left w:w="0" w:type="dxa"/>
              <w:bottom w:w="57" w:type="dxa"/>
              <w:right w:w="0" w:type="dxa"/>
            </w:tcMar>
            <w:vAlign w:val="bottom"/>
          </w:tcPr>
          <w:p w14:paraId="03712782" w14:textId="77777777" w:rsidR="003E29BC" w:rsidRPr="00895810" w:rsidRDefault="003E29BC" w:rsidP="003F2C4C">
            <w:pPr>
              <w:pStyle w:val="TableColHeadsBold"/>
              <w:spacing w:line="240" w:lineRule="auto"/>
              <w:ind w:right="0"/>
              <w:rPr>
                <w:rFonts w:ascii="IBM Plex Sans Light" w:hAnsi="IBM Plex Sans Light"/>
                <w:color w:val="3D7FE0" w:themeColor="accent1"/>
              </w:rPr>
            </w:pPr>
          </w:p>
        </w:tc>
        <w:tc>
          <w:tcPr>
            <w:tcW w:w="567" w:type="dxa"/>
            <w:tcBorders>
              <w:top w:val="single" w:sz="4" w:space="0" w:color="3D7FE0" w:themeColor="accent1"/>
            </w:tcBorders>
            <w:vAlign w:val="bottom"/>
          </w:tcPr>
          <w:p w14:paraId="0F23E569" w14:textId="10CF8014" w:rsidR="003E29BC" w:rsidRPr="00895810" w:rsidRDefault="003E29BC" w:rsidP="003F2C4C">
            <w:pPr>
              <w:pStyle w:val="TableColHeadsBold"/>
              <w:spacing w:line="240" w:lineRule="auto"/>
              <w:ind w:right="0"/>
              <w:rPr>
                <w:rFonts w:ascii="IBM Plex Sans Light" w:hAnsi="IBM Plex Sans Light"/>
                <w:color w:val="3D7FE0" w:themeColor="accent1"/>
              </w:rPr>
            </w:pPr>
          </w:p>
        </w:tc>
        <w:tc>
          <w:tcPr>
            <w:tcW w:w="873" w:type="dxa"/>
            <w:tcBorders>
              <w:top w:val="single" w:sz="4" w:space="0" w:color="3D7FE0" w:themeColor="accent1"/>
              <w:bottom w:val="single" w:sz="4" w:space="0" w:color="3D7FE0" w:themeColor="accent1"/>
            </w:tcBorders>
            <w:vAlign w:val="bottom"/>
          </w:tcPr>
          <w:p w14:paraId="6F249DD8"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6AC86A37"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259FBED6"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7C68DF25" w14:textId="77777777" w:rsidR="003E29BC" w:rsidRPr="00895810" w:rsidRDefault="003E29BC" w:rsidP="003F2C4C">
            <w:pPr>
              <w:pStyle w:val="TableColHeadsBold"/>
              <w:spacing w:line="240" w:lineRule="auto"/>
              <w:ind w:right="0"/>
              <w:rPr>
                <w:rFonts w:ascii="IBM Plex Sans Light" w:hAnsi="IBM Plex Sans Light"/>
              </w:rPr>
            </w:pPr>
          </w:p>
        </w:tc>
        <w:tc>
          <w:tcPr>
            <w:tcW w:w="874" w:type="dxa"/>
            <w:tcBorders>
              <w:top w:val="single" w:sz="4" w:space="0" w:color="3D7FE0" w:themeColor="accent1"/>
              <w:bottom w:val="single" w:sz="4" w:space="0" w:color="3D7FE0" w:themeColor="accent1"/>
            </w:tcBorders>
            <w:tcMar>
              <w:left w:w="0" w:type="dxa"/>
              <w:bottom w:w="57" w:type="dxa"/>
              <w:right w:w="0" w:type="dxa"/>
            </w:tcMar>
            <w:vAlign w:val="bottom"/>
          </w:tcPr>
          <w:p w14:paraId="5E45929D" w14:textId="77777777" w:rsidR="003E29BC" w:rsidRPr="00895810" w:rsidRDefault="003E29BC" w:rsidP="003F2C4C">
            <w:pPr>
              <w:pStyle w:val="TableColHeadsBold"/>
              <w:spacing w:line="240" w:lineRule="auto"/>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2E167AC3" w14:textId="77777777" w:rsidR="003E29BC" w:rsidRPr="00895810" w:rsidRDefault="003E29BC" w:rsidP="003F2C4C">
            <w:pPr>
              <w:pStyle w:val="TableColHeadsBold"/>
              <w:spacing w:line="240" w:lineRule="auto"/>
              <w:ind w:left="-106" w:right="0"/>
              <w:rPr>
                <w:rFonts w:ascii="IBM Plex Sans Light" w:hAnsi="IBM Plex Sans Light"/>
              </w:rPr>
            </w:pPr>
            <w:r w:rsidRPr="00895810">
              <w:rPr>
                <w:rFonts w:ascii="IBM Plex Sans Light" w:hAnsi="IBM Plex Sans Light"/>
              </w:rPr>
              <w:t>100% share</w:t>
            </w:r>
          </w:p>
        </w:tc>
      </w:tr>
      <w:tr w:rsidR="003E29BC" w:rsidRPr="00895810" w14:paraId="430D1F1F" w14:textId="77777777" w:rsidTr="003E29BC">
        <w:trPr>
          <w:trHeight w:val="244"/>
        </w:trPr>
        <w:tc>
          <w:tcPr>
            <w:tcW w:w="4111" w:type="dxa"/>
            <w:tcMar>
              <w:left w:w="0" w:type="dxa"/>
              <w:bottom w:w="57" w:type="dxa"/>
              <w:right w:w="0" w:type="dxa"/>
            </w:tcMar>
            <w:vAlign w:val="bottom"/>
          </w:tcPr>
          <w:p w14:paraId="7A1B78A1" w14:textId="77777777" w:rsidR="003E29BC" w:rsidRPr="00895810" w:rsidRDefault="003E29BC" w:rsidP="003F2C4C">
            <w:pPr>
              <w:pStyle w:val="TableColHeadsBold"/>
              <w:ind w:right="0"/>
              <w:rPr>
                <w:rFonts w:ascii="IBM Plex Sans Light" w:hAnsi="IBM Plex Sans Light"/>
                <w:color w:val="3D7FE0" w:themeColor="accent1"/>
              </w:rPr>
            </w:pPr>
          </w:p>
        </w:tc>
        <w:tc>
          <w:tcPr>
            <w:tcW w:w="567" w:type="dxa"/>
            <w:vAlign w:val="bottom"/>
          </w:tcPr>
          <w:p w14:paraId="01C58793" w14:textId="1B1E7281" w:rsidR="003E29BC" w:rsidRPr="00895810" w:rsidRDefault="003E29BC" w:rsidP="003F2C4C">
            <w:pPr>
              <w:pStyle w:val="TableColHeadsBold"/>
              <w:ind w:right="0"/>
              <w:rPr>
                <w:rFonts w:ascii="IBM Plex Sans Light" w:hAnsi="IBM Plex Sans Light"/>
                <w:color w:val="3D7FE0" w:themeColor="accent1"/>
              </w:rPr>
            </w:pPr>
          </w:p>
        </w:tc>
        <w:tc>
          <w:tcPr>
            <w:tcW w:w="873" w:type="dxa"/>
            <w:tcBorders>
              <w:top w:val="single" w:sz="4" w:space="0" w:color="3D7FE0" w:themeColor="accent1"/>
            </w:tcBorders>
            <w:vAlign w:val="bottom"/>
          </w:tcPr>
          <w:p w14:paraId="11EEBCF7" w14:textId="77777777" w:rsidR="003E29BC" w:rsidRPr="00895810" w:rsidRDefault="003E29BC" w:rsidP="003F2C4C">
            <w:pPr>
              <w:pStyle w:val="TableColHeadsBold"/>
              <w:ind w:right="0"/>
              <w:rPr>
                <w:rFonts w:ascii="IBM Plex Sans Light" w:hAnsi="IBM Plex Sans Light"/>
              </w:rPr>
            </w:pPr>
            <w:r w:rsidRPr="00895810">
              <w:rPr>
                <w:rFonts w:ascii="IBM Plex Sans Light" w:hAnsi="IBM Plex Sans Light"/>
              </w:rPr>
              <w:t>Brent Cross</w:t>
            </w:r>
          </w:p>
        </w:tc>
        <w:tc>
          <w:tcPr>
            <w:tcW w:w="874" w:type="dxa"/>
            <w:tcBorders>
              <w:top w:val="single" w:sz="4" w:space="0" w:color="3D7FE0" w:themeColor="accent1"/>
            </w:tcBorders>
            <w:vAlign w:val="bottom"/>
          </w:tcPr>
          <w:p w14:paraId="0ED409CE" w14:textId="77777777" w:rsidR="003E29BC" w:rsidRPr="00895810" w:rsidRDefault="003E29BC" w:rsidP="003F2C4C">
            <w:pPr>
              <w:pStyle w:val="TableColHeadsBold"/>
              <w:ind w:right="0"/>
              <w:rPr>
                <w:rFonts w:ascii="IBM Plex Sans Light" w:hAnsi="IBM Plex Sans Light"/>
              </w:rPr>
            </w:pPr>
            <w:r w:rsidRPr="00895810">
              <w:rPr>
                <w:rFonts w:ascii="IBM Plex Sans Light" w:hAnsi="IBM Plex Sans Light"/>
              </w:rPr>
              <w:t>Cabot Circus</w:t>
            </w:r>
          </w:p>
        </w:tc>
        <w:tc>
          <w:tcPr>
            <w:tcW w:w="874" w:type="dxa"/>
            <w:tcBorders>
              <w:top w:val="single" w:sz="4" w:space="0" w:color="3D7FE0" w:themeColor="accent1"/>
            </w:tcBorders>
            <w:vAlign w:val="bottom"/>
          </w:tcPr>
          <w:p w14:paraId="7788E58C" w14:textId="77777777" w:rsidR="003E29BC" w:rsidRPr="00895810" w:rsidRDefault="003E29BC" w:rsidP="003F2C4C">
            <w:pPr>
              <w:pStyle w:val="TableColHeadsBold"/>
              <w:ind w:right="0"/>
              <w:rPr>
                <w:rFonts w:ascii="IBM Plex Sans Light" w:hAnsi="IBM Plex Sans Light"/>
              </w:rPr>
            </w:pPr>
            <w:r w:rsidRPr="00895810">
              <w:rPr>
                <w:rFonts w:ascii="IBM Plex Sans Light" w:hAnsi="IBM Plex Sans Light"/>
              </w:rPr>
              <w:t>Bullring</w:t>
            </w:r>
          </w:p>
        </w:tc>
        <w:tc>
          <w:tcPr>
            <w:tcW w:w="874" w:type="dxa"/>
            <w:tcBorders>
              <w:top w:val="single" w:sz="4" w:space="0" w:color="3D7FE0" w:themeColor="accent1"/>
            </w:tcBorders>
            <w:vAlign w:val="bottom"/>
          </w:tcPr>
          <w:p w14:paraId="59DB1129" w14:textId="77777777" w:rsidR="003E29BC" w:rsidRPr="00895810" w:rsidRDefault="003E29BC" w:rsidP="003F2C4C">
            <w:pPr>
              <w:pStyle w:val="TableColHeadsBold"/>
              <w:ind w:right="0"/>
              <w:rPr>
                <w:rFonts w:ascii="IBM Plex Sans Light" w:hAnsi="IBM Plex Sans Light"/>
              </w:rPr>
            </w:pPr>
            <w:r w:rsidRPr="00895810">
              <w:rPr>
                <w:rFonts w:ascii="IBM Plex Sans Light" w:hAnsi="IBM Plex Sans Light"/>
              </w:rPr>
              <w:t>Grand Central</w:t>
            </w:r>
          </w:p>
        </w:tc>
        <w:tc>
          <w:tcPr>
            <w:tcW w:w="874" w:type="dxa"/>
            <w:tcBorders>
              <w:top w:val="single" w:sz="4" w:space="0" w:color="3D7FE0" w:themeColor="accent1"/>
            </w:tcBorders>
            <w:tcMar>
              <w:left w:w="0" w:type="dxa"/>
              <w:bottom w:w="57" w:type="dxa"/>
              <w:right w:w="0" w:type="dxa"/>
            </w:tcMar>
            <w:vAlign w:val="bottom"/>
          </w:tcPr>
          <w:p w14:paraId="442E41EA" w14:textId="77777777" w:rsidR="003E29BC" w:rsidRPr="00895810" w:rsidRDefault="003E29BC" w:rsidP="003F2C4C">
            <w:pPr>
              <w:pStyle w:val="TableColHeadsBold"/>
              <w:rPr>
                <w:rFonts w:ascii="IBM Plex Sans Light" w:hAnsi="IBM Plex Sans Light"/>
              </w:rPr>
            </w:pPr>
            <w:r w:rsidRPr="00895810">
              <w:rPr>
                <w:rFonts w:ascii="IBM Plex Sans Light" w:hAnsi="IBM Plex Sans Light"/>
              </w:rPr>
              <w:t>The Oracle</w:t>
            </w:r>
          </w:p>
        </w:tc>
        <w:tc>
          <w:tcPr>
            <w:tcW w:w="874" w:type="dxa"/>
            <w:tcBorders>
              <w:top w:val="single" w:sz="4" w:space="0" w:color="3D7FE0" w:themeColor="accent1"/>
            </w:tcBorders>
            <w:vAlign w:val="bottom"/>
          </w:tcPr>
          <w:p w14:paraId="3DA376B0" w14:textId="77777777" w:rsidR="003E29BC" w:rsidRPr="00895810" w:rsidRDefault="003E29BC" w:rsidP="003F2C4C">
            <w:pPr>
              <w:pStyle w:val="TableColHeadsBold"/>
              <w:ind w:left="-106" w:right="0"/>
              <w:rPr>
                <w:rFonts w:ascii="IBM Plex Sans Light" w:hAnsi="IBM Plex Sans Light"/>
              </w:rPr>
            </w:pPr>
            <w:r w:rsidRPr="00895810">
              <w:rPr>
                <w:rFonts w:ascii="IBM Plex Sans Light" w:hAnsi="IBM Plex Sans Light"/>
              </w:rPr>
              <w:t>West Quay</w:t>
            </w:r>
          </w:p>
        </w:tc>
      </w:tr>
      <w:tr w:rsidR="003E29BC" w:rsidRPr="00895810" w14:paraId="635A275F" w14:textId="77777777" w:rsidTr="003E29BC">
        <w:trPr>
          <w:trHeight w:val="58"/>
        </w:trPr>
        <w:tc>
          <w:tcPr>
            <w:tcW w:w="4111" w:type="dxa"/>
            <w:tcBorders>
              <w:bottom w:val="single" w:sz="2" w:space="0" w:color="3D7FE0" w:themeColor="accent1"/>
            </w:tcBorders>
            <w:tcMar>
              <w:left w:w="0" w:type="dxa"/>
              <w:bottom w:w="28" w:type="dxa"/>
              <w:right w:w="0" w:type="dxa"/>
            </w:tcMar>
            <w:vAlign w:val="bottom"/>
          </w:tcPr>
          <w:p w14:paraId="382F67F9" w14:textId="77777777" w:rsidR="003E29BC" w:rsidRPr="00895810" w:rsidRDefault="003E29BC" w:rsidP="003F2C4C">
            <w:pPr>
              <w:pStyle w:val="TableColHeadsBold"/>
              <w:rPr>
                <w:rFonts w:ascii="IBM Plex Sans Light" w:hAnsi="IBM Plex Sans Light"/>
                <w:color w:val="3D7FE0" w:themeColor="accent1"/>
              </w:rPr>
            </w:pPr>
          </w:p>
        </w:tc>
        <w:tc>
          <w:tcPr>
            <w:tcW w:w="567" w:type="dxa"/>
            <w:tcBorders>
              <w:bottom w:val="single" w:sz="2" w:space="0" w:color="3D7FE0" w:themeColor="accent1"/>
            </w:tcBorders>
            <w:vAlign w:val="bottom"/>
          </w:tcPr>
          <w:p w14:paraId="696FB24A" w14:textId="21C90772" w:rsidR="003E29BC" w:rsidRPr="00895810" w:rsidRDefault="003E29BC" w:rsidP="003F2C4C">
            <w:pPr>
              <w:pStyle w:val="TableColHeadsBold"/>
              <w:rPr>
                <w:rFonts w:ascii="IBM Plex Sans Light" w:hAnsi="IBM Plex Sans Light"/>
                <w:color w:val="3D7FE0" w:themeColor="accent1"/>
              </w:rPr>
            </w:pPr>
          </w:p>
        </w:tc>
        <w:tc>
          <w:tcPr>
            <w:tcW w:w="873" w:type="dxa"/>
            <w:tcBorders>
              <w:bottom w:val="single" w:sz="2" w:space="0" w:color="3D7FE0" w:themeColor="accent1"/>
            </w:tcBorders>
            <w:vAlign w:val="bottom"/>
          </w:tcPr>
          <w:p w14:paraId="7D17AC67" w14:textId="77777777" w:rsidR="003E29BC" w:rsidRPr="00895810" w:rsidRDefault="003E29BC" w:rsidP="003F2C4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vAlign w:val="bottom"/>
          </w:tcPr>
          <w:p w14:paraId="103DDE5C" w14:textId="77777777" w:rsidR="003E29BC" w:rsidRPr="00895810" w:rsidRDefault="003E29BC" w:rsidP="003F2C4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vAlign w:val="bottom"/>
          </w:tcPr>
          <w:p w14:paraId="30883B7A" w14:textId="77777777" w:rsidR="003E29BC" w:rsidRPr="00895810" w:rsidRDefault="003E29BC" w:rsidP="003F2C4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tcMar>
              <w:left w:w="0" w:type="dxa"/>
              <w:bottom w:w="28" w:type="dxa"/>
              <w:right w:w="0" w:type="dxa"/>
            </w:tcMar>
            <w:vAlign w:val="bottom"/>
          </w:tcPr>
          <w:p w14:paraId="755E78CE" w14:textId="77777777" w:rsidR="003E29BC" w:rsidRPr="00895810" w:rsidRDefault="003E29BC" w:rsidP="003F2C4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tcMar>
              <w:left w:w="0" w:type="dxa"/>
              <w:bottom w:w="28" w:type="dxa"/>
              <w:right w:w="0" w:type="dxa"/>
            </w:tcMar>
            <w:vAlign w:val="bottom"/>
          </w:tcPr>
          <w:p w14:paraId="444D6D99" w14:textId="77777777" w:rsidR="003E29BC" w:rsidRPr="00895810" w:rsidRDefault="003E29BC" w:rsidP="003F2C4C">
            <w:pPr>
              <w:pStyle w:val="TableColHeadsBold"/>
              <w:rPr>
                <w:rFonts w:ascii="IBM Plex Sans Light" w:hAnsi="IBM Plex Sans Light"/>
                <w:b w:val="0"/>
              </w:rPr>
            </w:pPr>
            <w:r w:rsidRPr="00895810">
              <w:rPr>
                <w:rFonts w:ascii="IBM Plex Sans Light" w:hAnsi="IBM Plex Sans Light"/>
              </w:rPr>
              <w:t xml:space="preserve">£m </w:t>
            </w:r>
          </w:p>
        </w:tc>
        <w:tc>
          <w:tcPr>
            <w:tcW w:w="874" w:type="dxa"/>
            <w:tcBorders>
              <w:bottom w:val="single" w:sz="2" w:space="0" w:color="3D7FE0" w:themeColor="accent1"/>
            </w:tcBorders>
            <w:tcMar>
              <w:left w:w="0" w:type="dxa"/>
              <w:bottom w:w="28" w:type="dxa"/>
              <w:right w:w="0" w:type="dxa"/>
            </w:tcMar>
            <w:vAlign w:val="bottom"/>
          </w:tcPr>
          <w:p w14:paraId="69725CAC" w14:textId="77777777" w:rsidR="003E29BC" w:rsidRPr="00895810" w:rsidRDefault="003E29BC" w:rsidP="003F2C4C">
            <w:pPr>
              <w:pStyle w:val="TableColHeadsBold"/>
              <w:rPr>
                <w:rFonts w:ascii="IBM Plex Sans Light" w:hAnsi="IBM Plex Sans Light"/>
                <w:b w:val="0"/>
              </w:rPr>
            </w:pPr>
            <w:r w:rsidRPr="00895810">
              <w:rPr>
                <w:rFonts w:ascii="IBM Plex Sans Light" w:hAnsi="IBM Plex Sans Light"/>
              </w:rPr>
              <w:t xml:space="preserve">£m </w:t>
            </w:r>
          </w:p>
        </w:tc>
      </w:tr>
      <w:tr w:rsidR="003E00A1" w:rsidRPr="00895810" w14:paraId="14ED99A5" w14:textId="77777777" w:rsidTr="003E29BC">
        <w:trPr>
          <w:trHeight w:hRule="exact" w:val="255"/>
        </w:trPr>
        <w:tc>
          <w:tcPr>
            <w:tcW w:w="4111" w:type="dxa"/>
            <w:tcBorders>
              <w:top w:val="single" w:sz="2" w:space="0" w:color="3D7FE0" w:themeColor="accent1"/>
              <w:bottom w:val="single" w:sz="2" w:space="0" w:color="3D7FE0" w:themeColor="accent1"/>
            </w:tcBorders>
            <w:tcMar>
              <w:left w:w="0" w:type="dxa"/>
              <w:right w:w="0" w:type="dxa"/>
            </w:tcMar>
            <w:vAlign w:val="bottom"/>
          </w:tcPr>
          <w:p w14:paraId="29946A72" w14:textId="77777777" w:rsidR="003E00A1" w:rsidRPr="00895810" w:rsidRDefault="003E00A1" w:rsidP="003E00A1">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Gross rental income</w:t>
            </w:r>
          </w:p>
        </w:tc>
        <w:tc>
          <w:tcPr>
            <w:tcW w:w="567" w:type="dxa"/>
            <w:tcBorders>
              <w:top w:val="single" w:sz="2" w:space="0" w:color="3D7FE0" w:themeColor="accent1"/>
              <w:bottom w:val="single" w:sz="2" w:space="0" w:color="3D7FE0" w:themeColor="accent1"/>
            </w:tcBorders>
            <w:vAlign w:val="bottom"/>
          </w:tcPr>
          <w:p w14:paraId="14A54F24" w14:textId="2E6AEC1F" w:rsidR="003E00A1" w:rsidRPr="00895810" w:rsidRDefault="003E00A1" w:rsidP="003E00A1">
            <w:pPr>
              <w:pStyle w:val="TableFigures"/>
              <w:jc w:val="left"/>
              <w:rPr>
                <w:rFonts w:ascii="IBM Plex Sans Light" w:hAnsi="IBM Plex Sans Light" w:cs="MyriadPro-Light"/>
                <w:color w:val="3D7FE0" w:themeColor="accent1"/>
                <w:spacing w:val="-4"/>
                <w:sz w:val="18"/>
                <w:szCs w:val="18"/>
              </w:rPr>
            </w:pPr>
          </w:p>
        </w:tc>
        <w:tc>
          <w:tcPr>
            <w:tcW w:w="873" w:type="dxa"/>
            <w:tcBorders>
              <w:top w:val="single" w:sz="2" w:space="0" w:color="3D7FE0" w:themeColor="accent1"/>
              <w:bottom w:val="single" w:sz="2" w:space="0" w:color="3D7FE0" w:themeColor="accent1"/>
            </w:tcBorders>
          </w:tcPr>
          <w:p w14:paraId="24D9D393" w14:textId="5C9CED55" w:rsidR="003E00A1" w:rsidRPr="00895810"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28.0</w:t>
            </w:r>
          </w:p>
        </w:tc>
        <w:tc>
          <w:tcPr>
            <w:tcW w:w="874" w:type="dxa"/>
            <w:tcBorders>
              <w:top w:val="single" w:sz="2" w:space="0" w:color="3D7FE0" w:themeColor="accent1"/>
              <w:bottom w:val="single" w:sz="2" w:space="0" w:color="3D7FE0" w:themeColor="accent1"/>
            </w:tcBorders>
          </w:tcPr>
          <w:p w14:paraId="53966A6B" w14:textId="40CE1522" w:rsidR="003E00A1" w:rsidRPr="00895810"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27.8</w:t>
            </w:r>
          </w:p>
        </w:tc>
        <w:tc>
          <w:tcPr>
            <w:tcW w:w="874" w:type="dxa"/>
            <w:tcBorders>
              <w:top w:val="single" w:sz="2" w:space="0" w:color="3D7FE0" w:themeColor="accent1"/>
              <w:bottom w:val="single" w:sz="2" w:space="0" w:color="3D7FE0" w:themeColor="accent1"/>
            </w:tcBorders>
          </w:tcPr>
          <w:p w14:paraId="4C7D77AB" w14:textId="588B9653"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45.2</w:t>
            </w:r>
          </w:p>
        </w:tc>
        <w:tc>
          <w:tcPr>
            <w:tcW w:w="874" w:type="dxa"/>
            <w:tcBorders>
              <w:top w:val="single" w:sz="2" w:space="0" w:color="3D7FE0" w:themeColor="accent1"/>
              <w:bottom w:val="single" w:sz="2" w:space="0" w:color="3D7FE0" w:themeColor="accent1"/>
            </w:tcBorders>
            <w:tcMar>
              <w:left w:w="0" w:type="dxa"/>
              <w:right w:w="0" w:type="dxa"/>
            </w:tcMar>
          </w:tcPr>
          <w:p w14:paraId="0464AB13" w14:textId="30B4B6C6"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9.9</w:t>
            </w:r>
          </w:p>
        </w:tc>
        <w:tc>
          <w:tcPr>
            <w:tcW w:w="874" w:type="dxa"/>
            <w:tcBorders>
              <w:top w:val="single" w:sz="2" w:space="0" w:color="3D7FE0" w:themeColor="accent1"/>
              <w:bottom w:val="single" w:sz="2" w:space="0" w:color="3D7FE0" w:themeColor="accent1"/>
            </w:tcBorders>
            <w:tcMar>
              <w:left w:w="0" w:type="dxa"/>
              <w:right w:w="0" w:type="dxa"/>
            </w:tcMar>
          </w:tcPr>
          <w:p w14:paraId="2503A41D" w14:textId="3C8183E5" w:rsidR="003E00A1" w:rsidRPr="00895810" w:rsidRDefault="003E00A1" w:rsidP="003E00A1">
            <w:pPr>
              <w:pStyle w:val="TableFiguresBold"/>
              <w:rPr>
                <w:rFonts w:ascii="IBM Plex Sans Light" w:hAnsi="IBM Plex Sans Light"/>
                <w:b w:val="0"/>
                <w:bCs w:val="0"/>
                <w:color w:val="auto"/>
                <w:spacing w:val="-4"/>
                <w:sz w:val="18"/>
                <w:szCs w:val="18"/>
              </w:rPr>
            </w:pPr>
            <w:r w:rsidRPr="003E00A1">
              <w:rPr>
                <w:rFonts w:ascii="IBM Plex Sans Light" w:hAnsi="IBM Plex Sans Light"/>
                <w:b w:val="0"/>
                <w:bCs w:val="0"/>
                <w:color w:val="auto"/>
                <w:spacing w:val="-4"/>
                <w:sz w:val="18"/>
                <w:szCs w:val="18"/>
              </w:rPr>
              <w:t>22.1</w:t>
            </w:r>
          </w:p>
        </w:tc>
        <w:tc>
          <w:tcPr>
            <w:tcW w:w="874" w:type="dxa"/>
            <w:tcBorders>
              <w:top w:val="single" w:sz="2" w:space="0" w:color="3D7FE0" w:themeColor="accent1"/>
              <w:bottom w:val="single" w:sz="2" w:space="0" w:color="3D7FE0" w:themeColor="accent1"/>
            </w:tcBorders>
            <w:tcMar>
              <w:left w:w="0" w:type="dxa"/>
              <w:right w:w="0" w:type="dxa"/>
            </w:tcMar>
          </w:tcPr>
          <w:p w14:paraId="17BBA675" w14:textId="547E66AB"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29.1</w:t>
            </w:r>
          </w:p>
        </w:tc>
      </w:tr>
      <w:tr w:rsidR="003E00A1" w:rsidRPr="00895810" w14:paraId="1432716D" w14:textId="77777777" w:rsidTr="003E29BC">
        <w:trPr>
          <w:trHeight w:hRule="exact" w:val="255"/>
        </w:trPr>
        <w:tc>
          <w:tcPr>
            <w:tcW w:w="4111" w:type="dxa"/>
            <w:tcBorders>
              <w:top w:val="single" w:sz="2" w:space="0" w:color="3D7FE0" w:themeColor="accent1"/>
            </w:tcBorders>
            <w:tcMar>
              <w:left w:w="0" w:type="dxa"/>
              <w:right w:w="0" w:type="dxa"/>
            </w:tcMar>
            <w:vAlign w:val="bottom"/>
          </w:tcPr>
          <w:p w14:paraId="4A02D65B" w14:textId="77777777" w:rsidR="003E00A1" w:rsidRPr="00895810" w:rsidRDefault="003E00A1" w:rsidP="003E00A1">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Net rental income</w:t>
            </w:r>
          </w:p>
        </w:tc>
        <w:tc>
          <w:tcPr>
            <w:tcW w:w="567" w:type="dxa"/>
            <w:tcBorders>
              <w:top w:val="single" w:sz="2" w:space="0" w:color="3D7FE0" w:themeColor="accent1"/>
            </w:tcBorders>
            <w:vAlign w:val="bottom"/>
          </w:tcPr>
          <w:p w14:paraId="7A2BF8D3" w14:textId="56F13003" w:rsidR="003E00A1" w:rsidRPr="00895810" w:rsidRDefault="003E00A1" w:rsidP="003E00A1">
            <w:pPr>
              <w:pStyle w:val="TableFigures"/>
              <w:jc w:val="left"/>
              <w:rPr>
                <w:rFonts w:ascii="IBM Plex Sans Light" w:hAnsi="IBM Plex Sans Light" w:cs="MyriadPro-Light"/>
                <w:color w:val="3D7FE0" w:themeColor="accent1"/>
                <w:spacing w:val="-4"/>
                <w:sz w:val="18"/>
                <w:szCs w:val="18"/>
              </w:rPr>
            </w:pPr>
          </w:p>
        </w:tc>
        <w:tc>
          <w:tcPr>
            <w:tcW w:w="873" w:type="dxa"/>
            <w:tcBorders>
              <w:top w:val="single" w:sz="2" w:space="0" w:color="3D7FE0" w:themeColor="accent1"/>
            </w:tcBorders>
          </w:tcPr>
          <w:p w14:paraId="03F5A51A" w14:textId="2722FDC8" w:rsidR="003E00A1" w:rsidRPr="00895810"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26.5</w:t>
            </w:r>
          </w:p>
        </w:tc>
        <w:tc>
          <w:tcPr>
            <w:tcW w:w="874" w:type="dxa"/>
            <w:tcBorders>
              <w:top w:val="single" w:sz="2" w:space="0" w:color="3D7FE0" w:themeColor="accent1"/>
            </w:tcBorders>
          </w:tcPr>
          <w:p w14:paraId="01CB8009" w14:textId="4F3E94AB" w:rsidR="003E00A1" w:rsidRPr="00895810"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23.9</w:t>
            </w:r>
          </w:p>
        </w:tc>
        <w:tc>
          <w:tcPr>
            <w:tcW w:w="874" w:type="dxa"/>
            <w:tcBorders>
              <w:top w:val="single" w:sz="2" w:space="0" w:color="3D7FE0" w:themeColor="accent1"/>
            </w:tcBorders>
          </w:tcPr>
          <w:p w14:paraId="76FB8579" w14:textId="725726E5"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37.2</w:t>
            </w:r>
          </w:p>
        </w:tc>
        <w:tc>
          <w:tcPr>
            <w:tcW w:w="874" w:type="dxa"/>
            <w:tcBorders>
              <w:top w:val="single" w:sz="2" w:space="0" w:color="3D7FE0" w:themeColor="accent1"/>
            </w:tcBorders>
            <w:tcMar>
              <w:left w:w="0" w:type="dxa"/>
              <w:right w:w="0" w:type="dxa"/>
            </w:tcMar>
          </w:tcPr>
          <w:p w14:paraId="2A3C799B" w14:textId="7951717C"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6.4</w:t>
            </w:r>
          </w:p>
        </w:tc>
        <w:tc>
          <w:tcPr>
            <w:tcW w:w="874" w:type="dxa"/>
            <w:tcBorders>
              <w:top w:val="single" w:sz="2" w:space="0" w:color="3D7FE0" w:themeColor="accent1"/>
            </w:tcBorders>
            <w:tcMar>
              <w:left w:w="0" w:type="dxa"/>
              <w:right w:w="0" w:type="dxa"/>
            </w:tcMar>
          </w:tcPr>
          <w:p w14:paraId="6D120972" w14:textId="575C93CA" w:rsidR="003E00A1" w:rsidRPr="00895810" w:rsidRDefault="003E00A1" w:rsidP="003E00A1">
            <w:pPr>
              <w:pStyle w:val="TableFiguresBold"/>
              <w:rPr>
                <w:rFonts w:ascii="IBM Plex Sans Light" w:hAnsi="IBM Plex Sans Light"/>
                <w:b w:val="0"/>
                <w:bCs w:val="0"/>
                <w:color w:val="auto"/>
                <w:spacing w:val="-4"/>
                <w:sz w:val="18"/>
                <w:szCs w:val="18"/>
              </w:rPr>
            </w:pPr>
            <w:r w:rsidRPr="003E00A1">
              <w:rPr>
                <w:rFonts w:ascii="IBM Plex Sans Light" w:hAnsi="IBM Plex Sans Light"/>
                <w:b w:val="0"/>
                <w:bCs w:val="0"/>
                <w:color w:val="auto"/>
                <w:spacing w:val="-4"/>
                <w:sz w:val="18"/>
                <w:szCs w:val="18"/>
              </w:rPr>
              <w:t>15.7</w:t>
            </w:r>
          </w:p>
        </w:tc>
        <w:tc>
          <w:tcPr>
            <w:tcW w:w="874" w:type="dxa"/>
            <w:tcBorders>
              <w:top w:val="single" w:sz="2" w:space="0" w:color="3D7FE0" w:themeColor="accent1"/>
            </w:tcBorders>
            <w:tcMar>
              <w:left w:w="0" w:type="dxa"/>
              <w:right w:w="0" w:type="dxa"/>
            </w:tcMar>
          </w:tcPr>
          <w:p w14:paraId="680147F5" w14:textId="7FFA0E92"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24.5</w:t>
            </w:r>
          </w:p>
        </w:tc>
      </w:tr>
      <w:tr w:rsidR="003E00A1" w:rsidRPr="00895810" w14:paraId="547BF9D7" w14:textId="77777777" w:rsidTr="003E29BC">
        <w:trPr>
          <w:trHeight w:hRule="exact" w:val="255"/>
        </w:trPr>
        <w:tc>
          <w:tcPr>
            <w:tcW w:w="4111" w:type="dxa"/>
            <w:tcBorders>
              <w:bottom w:val="single" w:sz="2" w:space="0" w:color="3D7FE0" w:themeColor="accent1"/>
            </w:tcBorders>
            <w:tcMar>
              <w:left w:w="0" w:type="dxa"/>
              <w:right w:w="0" w:type="dxa"/>
            </w:tcMar>
            <w:vAlign w:val="bottom"/>
          </w:tcPr>
          <w:p w14:paraId="330E9C0D" w14:textId="77777777" w:rsidR="003E00A1" w:rsidRPr="00895810" w:rsidRDefault="003E00A1" w:rsidP="003E00A1">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Administration expenses</w:t>
            </w:r>
          </w:p>
        </w:tc>
        <w:tc>
          <w:tcPr>
            <w:tcW w:w="567" w:type="dxa"/>
            <w:tcBorders>
              <w:bottom w:val="single" w:sz="2" w:space="0" w:color="3D7FE0" w:themeColor="accent1"/>
            </w:tcBorders>
            <w:vAlign w:val="bottom"/>
          </w:tcPr>
          <w:p w14:paraId="6E3619E4" w14:textId="1CD50431" w:rsidR="003E00A1" w:rsidRPr="00895810" w:rsidRDefault="003E00A1" w:rsidP="003E00A1">
            <w:pPr>
              <w:pStyle w:val="TableFiguresBrackets"/>
              <w:jc w:val="left"/>
              <w:rPr>
                <w:rFonts w:ascii="IBM Plex Sans Light" w:hAnsi="IBM Plex Sans Light" w:cs="MyriadPro-Light"/>
                <w:color w:val="3D7FE0" w:themeColor="accent1"/>
                <w:spacing w:val="-4"/>
                <w:sz w:val="18"/>
                <w:szCs w:val="18"/>
              </w:rPr>
            </w:pPr>
          </w:p>
        </w:tc>
        <w:tc>
          <w:tcPr>
            <w:tcW w:w="873" w:type="dxa"/>
            <w:tcBorders>
              <w:bottom w:val="single" w:sz="2" w:space="0" w:color="3D7FE0" w:themeColor="accent1"/>
            </w:tcBorders>
          </w:tcPr>
          <w:p w14:paraId="2C8C41FB" w14:textId="24DFC28C" w:rsidR="003E00A1" w:rsidRPr="008F4B21"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w:t>
            </w:r>
          </w:p>
        </w:tc>
        <w:tc>
          <w:tcPr>
            <w:tcW w:w="874" w:type="dxa"/>
            <w:tcBorders>
              <w:bottom w:val="single" w:sz="2" w:space="0" w:color="3D7FE0" w:themeColor="accent1"/>
            </w:tcBorders>
          </w:tcPr>
          <w:p w14:paraId="1BCC014B" w14:textId="04E9BF28" w:rsidR="003E00A1" w:rsidRPr="00895810"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w:t>
            </w:r>
          </w:p>
        </w:tc>
        <w:tc>
          <w:tcPr>
            <w:tcW w:w="874" w:type="dxa"/>
            <w:tcBorders>
              <w:bottom w:val="single" w:sz="2" w:space="0" w:color="3D7FE0" w:themeColor="accent1"/>
            </w:tcBorders>
          </w:tcPr>
          <w:p w14:paraId="7C5A5C2E" w14:textId="2D34BE4F"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0.1</w:t>
            </w:r>
          </w:p>
        </w:tc>
        <w:tc>
          <w:tcPr>
            <w:tcW w:w="874" w:type="dxa"/>
            <w:tcBorders>
              <w:bottom w:val="single" w:sz="2" w:space="0" w:color="3D7FE0" w:themeColor="accent1"/>
            </w:tcBorders>
            <w:tcMar>
              <w:left w:w="0" w:type="dxa"/>
              <w:right w:w="0" w:type="dxa"/>
            </w:tcMar>
          </w:tcPr>
          <w:p w14:paraId="318F4AEC" w14:textId="4D5044A9"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(0.1)</w:t>
            </w:r>
          </w:p>
        </w:tc>
        <w:tc>
          <w:tcPr>
            <w:tcW w:w="874" w:type="dxa"/>
            <w:tcBorders>
              <w:bottom w:val="single" w:sz="2" w:space="0" w:color="3D7FE0" w:themeColor="accent1"/>
            </w:tcBorders>
            <w:tcMar>
              <w:left w:w="0" w:type="dxa"/>
              <w:right w:w="0" w:type="dxa"/>
            </w:tcMar>
          </w:tcPr>
          <w:p w14:paraId="6139FD19" w14:textId="5307018C"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08AF9F39" w14:textId="1A0370B9"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r>
      <w:tr w:rsidR="003E00A1" w:rsidRPr="00895810" w14:paraId="77CE32CB" w14:textId="77777777" w:rsidTr="003E29BC">
        <w:trPr>
          <w:trHeight w:hRule="exact" w:val="259"/>
        </w:trPr>
        <w:tc>
          <w:tcPr>
            <w:tcW w:w="4111" w:type="dxa"/>
            <w:tcBorders>
              <w:top w:val="single" w:sz="2" w:space="0" w:color="3D7FE0" w:themeColor="accent1"/>
            </w:tcBorders>
            <w:tcMar>
              <w:left w:w="0" w:type="dxa"/>
              <w:right w:w="0" w:type="dxa"/>
            </w:tcMar>
            <w:vAlign w:val="bottom"/>
          </w:tcPr>
          <w:p w14:paraId="4015F1FB" w14:textId="77777777" w:rsidR="003E00A1" w:rsidRPr="00895810" w:rsidRDefault="003E00A1" w:rsidP="003E00A1">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Profit from operating activities</w:t>
            </w:r>
          </w:p>
        </w:tc>
        <w:tc>
          <w:tcPr>
            <w:tcW w:w="567" w:type="dxa"/>
            <w:tcBorders>
              <w:top w:val="single" w:sz="2" w:space="0" w:color="3D7FE0" w:themeColor="accent1"/>
            </w:tcBorders>
            <w:vAlign w:val="bottom"/>
          </w:tcPr>
          <w:p w14:paraId="332C866C" w14:textId="7DCBB941" w:rsidR="003E00A1" w:rsidRPr="00895810" w:rsidRDefault="003E00A1" w:rsidP="003E00A1">
            <w:pPr>
              <w:pStyle w:val="TableFigures"/>
              <w:jc w:val="left"/>
              <w:rPr>
                <w:rFonts w:ascii="IBM Plex Sans Light" w:hAnsi="IBM Plex Sans Light" w:cs="MyriadPro-Light"/>
                <w:color w:val="3D7FE0" w:themeColor="accent1"/>
                <w:spacing w:val="-4"/>
                <w:sz w:val="18"/>
                <w:szCs w:val="18"/>
              </w:rPr>
            </w:pPr>
          </w:p>
        </w:tc>
        <w:tc>
          <w:tcPr>
            <w:tcW w:w="873" w:type="dxa"/>
            <w:tcBorders>
              <w:top w:val="single" w:sz="2" w:space="0" w:color="3D7FE0" w:themeColor="accent1"/>
            </w:tcBorders>
          </w:tcPr>
          <w:p w14:paraId="4E2DA47E" w14:textId="5C2CC4BB" w:rsidR="003E00A1" w:rsidRPr="00895810"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26.5</w:t>
            </w:r>
          </w:p>
        </w:tc>
        <w:tc>
          <w:tcPr>
            <w:tcW w:w="874" w:type="dxa"/>
            <w:tcBorders>
              <w:top w:val="single" w:sz="2" w:space="0" w:color="3D7FE0" w:themeColor="accent1"/>
            </w:tcBorders>
          </w:tcPr>
          <w:p w14:paraId="480C45A6" w14:textId="25356641" w:rsidR="003E00A1" w:rsidRPr="00895810"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23.9</w:t>
            </w:r>
          </w:p>
        </w:tc>
        <w:tc>
          <w:tcPr>
            <w:tcW w:w="874" w:type="dxa"/>
            <w:tcBorders>
              <w:top w:val="single" w:sz="2" w:space="0" w:color="3D7FE0" w:themeColor="accent1"/>
            </w:tcBorders>
          </w:tcPr>
          <w:p w14:paraId="19D8BCE9" w14:textId="02ADEFCE"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37.3</w:t>
            </w:r>
          </w:p>
        </w:tc>
        <w:tc>
          <w:tcPr>
            <w:tcW w:w="874" w:type="dxa"/>
            <w:tcBorders>
              <w:top w:val="single" w:sz="2" w:space="0" w:color="3D7FE0" w:themeColor="accent1"/>
            </w:tcBorders>
            <w:tcMar>
              <w:left w:w="0" w:type="dxa"/>
              <w:right w:w="0" w:type="dxa"/>
            </w:tcMar>
          </w:tcPr>
          <w:p w14:paraId="2AD3F4B0" w14:textId="47E710DD"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6.3</w:t>
            </w:r>
          </w:p>
        </w:tc>
        <w:tc>
          <w:tcPr>
            <w:tcW w:w="874" w:type="dxa"/>
            <w:tcBorders>
              <w:top w:val="single" w:sz="2" w:space="0" w:color="3D7FE0" w:themeColor="accent1"/>
            </w:tcBorders>
            <w:tcMar>
              <w:left w:w="0" w:type="dxa"/>
              <w:right w:w="0" w:type="dxa"/>
            </w:tcMar>
          </w:tcPr>
          <w:p w14:paraId="205EC6B3" w14:textId="4A2935C7" w:rsidR="003E00A1" w:rsidRPr="00895810" w:rsidRDefault="003E00A1" w:rsidP="003E00A1">
            <w:pPr>
              <w:pStyle w:val="TableFiguresBold"/>
              <w:rPr>
                <w:rFonts w:ascii="IBM Plex Sans Light" w:hAnsi="IBM Plex Sans Light"/>
                <w:b w:val="0"/>
                <w:bCs w:val="0"/>
                <w:color w:val="auto"/>
                <w:spacing w:val="-4"/>
                <w:sz w:val="18"/>
                <w:szCs w:val="18"/>
              </w:rPr>
            </w:pPr>
            <w:r w:rsidRPr="003E00A1">
              <w:rPr>
                <w:rFonts w:ascii="IBM Plex Sans Light" w:hAnsi="IBM Plex Sans Light"/>
                <w:b w:val="0"/>
                <w:bCs w:val="0"/>
                <w:color w:val="auto"/>
                <w:spacing w:val="-4"/>
                <w:sz w:val="18"/>
                <w:szCs w:val="18"/>
              </w:rPr>
              <w:t>15.7</w:t>
            </w:r>
          </w:p>
        </w:tc>
        <w:tc>
          <w:tcPr>
            <w:tcW w:w="874" w:type="dxa"/>
            <w:tcBorders>
              <w:top w:val="single" w:sz="2" w:space="0" w:color="3D7FE0" w:themeColor="accent1"/>
            </w:tcBorders>
            <w:tcMar>
              <w:left w:w="0" w:type="dxa"/>
              <w:right w:w="0" w:type="dxa"/>
            </w:tcMar>
          </w:tcPr>
          <w:p w14:paraId="6EF994CB" w14:textId="0125BC90"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24.5</w:t>
            </w:r>
          </w:p>
        </w:tc>
      </w:tr>
      <w:tr w:rsidR="003E00A1" w:rsidRPr="00895810" w14:paraId="3B957DA5" w14:textId="77777777" w:rsidTr="003E29BC">
        <w:trPr>
          <w:trHeight w:hRule="exact" w:val="289"/>
        </w:trPr>
        <w:tc>
          <w:tcPr>
            <w:tcW w:w="4111" w:type="dxa"/>
            <w:tcMar>
              <w:left w:w="0" w:type="dxa"/>
              <w:right w:w="0" w:type="dxa"/>
            </w:tcMar>
            <w:vAlign w:val="bottom"/>
          </w:tcPr>
          <w:p w14:paraId="56BE9ABC" w14:textId="77777777" w:rsidR="003E00A1" w:rsidRPr="00895810" w:rsidRDefault="003E00A1" w:rsidP="003E00A1">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Revaluation losses on properties</w:t>
            </w:r>
          </w:p>
        </w:tc>
        <w:tc>
          <w:tcPr>
            <w:tcW w:w="567" w:type="dxa"/>
            <w:vAlign w:val="bottom"/>
          </w:tcPr>
          <w:p w14:paraId="3C7F8A1C" w14:textId="0B8EEE79" w:rsidR="003E00A1" w:rsidRPr="00895810" w:rsidRDefault="003E00A1" w:rsidP="003E00A1">
            <w:pPr>
              <w:pStyle w:val="TableFiguresBrackets"/>
              <w:jc w:val="left"/>
              <w:rPr>
                <w:rFonts w:ascii="IBM Plex Sans Light" w:hAnsi="IBM Plex Sans Light" w:cs="MyriadPro-Light"/>
                <w:color w:val="3D7FE0" w:themeColor="accent1"/>
                <w:spacing w:val="-4"/>
                <w:sz w:val="18"/>
                <w:szCs w:val="18"/>
              </w:rPr>
            </w:pPr>
          </w:p>
        </w:tc>
        <w:tc>
          <w:tcPr>
            <w:tcW w:w="873" w:type="dxa"/>
          </w:tcPr>
          <w:p w14:paraId="03E23176" w14:textId="3164CB33" w:rsidR="003E00A1" w:rsidRPr="008F4B21" w:rsidRDefault="003E00A1" w:rsidP="003E00A1">
            <w:pPr>
              <w:pStyle w:val="TableFiguresBracketsBold"/>
              <w:rPr>
                <w:rFonts w:ascii="IBM Plex Sans Light" w:hAnsi="IBM Plex Sans Light"/>
                <w:b w:val="0"/>
                <w:color w:val="auto"/>
                <w:spacing w:val="-4"/>
                <w:sz w:val="18"/>
                <w:szCs w:val="18"/>
              </w:rPr>
            </w:pPr>
            <w:r w:rsidRPr="008F4B21">
              <w:rPr>
                <w:rFonts w:ascii="IBM Plex Sans Light" w:hAnsi="IBM Plex Sans Light"/>
                <w:b w:val="0"/>
                <w:color w:val="auto"/>
                <w:spacing w:val="-4"/>
                <w:sz w:val="18"/>
                <w:szCs w:val="18"/>
              </w:rPr>
              <w:t>(35.8)</w:t>
            </w:r>
          </w:p>
        </w:tc>
        <w:tc>
          <w:tcPr>
            <w:tcW w:w="874" w:type="dxa"/>
          </w:tcPr>
          <w:p w14:paraId="179034D1" w14:textId="082399E5" w:rsidR="003E00A1" w:rsidRPr="0059561F" w:rsidRDefault="003E00A1" w:rsidP="003E00A1">
            <w:pPr>
              <w:pStyle w:val="TableFiguresBracketsBold"/>
              <w:rPr>
                <w:rFonts w:ascii="IBM Plex Sans Light" w:hAnsi="IBM Plex Sans Light"/>
                <w:b w:val="0"/>
                <w:color w:val="auto"/>
                <w:spacing w:val="-4"/>
                <w:sz w:val="18"/>
                <w:szCs w:val="18"/>
              </w:rPr>
            </w:pPr>
            <w:r w:rsidRPr="0059561F">
              <w:rPr>
                <w:rFonts w:ascii="IBM Plex Sans Light" w:hAnsi="IBM Plex Sans Light"/>
                <w:b w:val="0"/>
                <w:color w:val="auto"/>
                <w:spacing w:val="-4"/>
                <w:sz w:val="18"/>
                <w:szCs w:val="18"/>
              </w:rPr>
              <w:t>(30.0)</w:t>
            </w:r>
          </w:p>
        </w:tc>
        <w:tc>
          <w:tcPr>
            <w:tcW w:w="874" w:type="dxa"/>
          </w:tcPr>
          <w:p w14:paraId="1246EB34" w14:textId="11621768"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(35.0)</w:t>
            </w:r>
          </w:p>
        </w:tc>
        <w:tc>
          <w:tcPr>
            <w:tcW w:w="874" w:type="dxa"/>
            <w:tcMar>
              <w:left w:w="0" w:type="dxa"/>
              <w:right w:w="0" w:type="dxa"/>
            </w:tcMar>
          </w:tcPr>
          <w:p w14:paraId="45B9E2FC" w14:textId="632AC2F3"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(4.6)</w:t>
            </w:r>
          </w:p>
        </w:tc>
        <w:tc>
          <w:tcPr>
            <w:tcW w:w="874" w:type="dxa"/>
            <w:tcMar>
              <w:left w:w="0" w:type="dxa"/>
              <w:right w:w="0" w:type="dxa"/>
            </w:tcMar>
          </w:tcPr>
          <w:p w14:paraId="0745C720" w14:textId="7B846C68"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(44.1)</w:t>
            </w:r>
          </w:p>
        </w:tc>
        <w:tc>
          <w:tcPr>
            <w:tcW w:w="874" w:type="dxa"/>
            <w:tcMar>
              <w:left w:w="0" w:type="dxa"/>
              <w:right w:w="0" w:type="dxa"/>
            </w:tcMar>
          </w:tcPr>
          <w:p w14:paraId="1AF4C77B" w14:textId="0539845E"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(29.3)</w:t>
            </w:r>
          </w:p>
        </w:tc>
      </w:tr>
      <w:tr w:rsidR="003E00A1" w:rsidRPr="00895810" w14:paraId="2788E949" w14:textId="77777777" w:rsidTr="003E29BC">
        <w:trPr>
          <w:trHeight w:hRule="exact" w:val="289"/>
        </w:trPr>
        <w:tc>
          <w:tcPr>
            <w:tcW w:w="4111" w:type="dxa"/>
            <w:tcBorders>
              <w:bottom w:val="single" w:sz="2" w:space="0" w:color="3D7FE0" w:themeColor="accent1"/>
            </w:tcBorders>
            <w:shd w:val="clear" w:color="auto" w:fill="auto"/>
            <w:tcMar>
              <w:left w:w="0" w:type="dxa"/>
              <w:right w:w="0" w:type="dxa"/>
            </w:tcMar>
            <w:vAlign w:val="bottom"/>
          </w:tcPr>
          <w:p w14:paraId="3E282A24" w14:textId="77777777" w:rsidR="003E00A1" w:rsidRPr="00895810" w:rsidRDefault="003E00A1" w:rsidP="003E00A1">
            <w:pPr>
              <w:pStyle w:val="TableFiguresBrackets"/>
              <w:jc w:val="left"/>
              <w:rPr>
                <w:rFonts w:ascii="IBM Plex Sans Light" w:hAnsi="IBM Plex Sans Light"/>
                <w:bCs/>
                <w:sz w:val="18"/>
                <w:szCs w:val="18"/>
              </w:rPr>
            </w:pPr>
            <w:r w:rsidRPr="00895810">
              <w:rPr>
                <w:rFonts w:ascii="IBM Plex Sans Light" w:hAnsi="IBM Plex Sans Light"/>
                <w:bCs/>
                <w:sz w:val="18"/>
                <w:szCs w:val="18"/>
              </w:rPr>
              <w:t>Adjustment for income from assets held for sale</w:t>
            </w:r>
          </w:p>
        </w:tc>
        <w:tc>
          <w:tcPr>
            <w:tcW w:w="567" w:type="dxa"/>
            <w:tcBorders>
              <w:bottom w:val="single" w:sz="2" w:space="0" w:color="3D7FE0" w:themeColor="accent1"/>
            </w:tcBorders>
            <w:shd w:val="clear" w:color="auto" w:fill="auto"/>
            <w:vAlign w:val="bottom"/>
          </w:tcPr>
          <w:p w14:paraId="7101F31D" w14:textId="17B6AAC4" w:rsidR="003E00A1" w:rsidRPr="00895810" w:rsidRDefault="00366E57" w:rsidP="00024B10">
            <w:pPr>
              <w:pStyle w:val="TableFiguresBrackets"/>
              <w:jc w:val="left"/>
              <w:rPr>
                <w:rFonts w:ascii="IBM Plex Sans Light" w:hAnsi="IBM Plex Sans Light"/>
                <w:bCs/>
                <w:szCs w:val="16"/>
              </w:rPr>
            </w:pPr>
            <w:r>
              <w:rPr>
                <w:rFonts w:ascii="IBM Plex Sans Light" w:hAnsi="IBM Plex Sans Light"/>
                <w:bCs/>
                <w:szCs w:val="16"/>
              </w:rPr>
              <w:t>c</w:t>
            </w:r>
          </w:p>
        </w:tc>
        <w:tc>
          <w:tcPr>
            <w:tcW w:w="873" w:type="dxa"/>
            <w:tcBorders>
              <w:bottom w:val="single" w:sz="2" w:space="0" w:color="3D7FE0" w:themeColor="accent1"/>
            </w:tcBorders>
          </w:tcPr>
          <w:p w14:paraId="72D88702" w14:textId="20325421" w:rsidR="003E00A1" w:rsidRPr="008F4B21"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w:t>
            </w:r>
          </w:p>
        </w:tc>
        <w:tc>
          <w:tcPr>
            <w:tcW w:w="874" w:type="dxa"/>
            <w:tcBorders>
              <w:bottom w:val="single" w:sz="2" w:space="0" w:color="3D7FE0" w:themeColor="accent1"/>
            </w:tcBorders>
          </w:tcPr>
          <w:p w14:paraId="77C05215" w14:textId="4B9805D1" w:rsidR="003E00A1" w:rsidRPr="0059561F"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w:t>
            </w:r>
          </w:p>
        </w:tc>
        <w:tc>
          <w:tcPr>
            <w:tcW w:w="874" w:type="dxa"/>
            <w:tcBorders>
              <w:bottom w:val="single" w:sz="2" w:space="0" w:color="3D7FE0" w:themeColor="accent1"/>
            </w:tcBorders>
          </w:tcPr>
          <w:p w14:paraId="2819E14C" w14:textId="79AE9C2A"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03E4E938" w14:textId="262B142B"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7FD3BD31" w14:textId="7F131C76"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790DF550" w14:textId="45699AEA"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r>
      <w:tr w:rsidR="003E00A1" w:rsidRPr="00895810" w14:paraId="2F7819F6" w14:textId="77777777" w:rsidTr="00D91739">
        <w:trPr>
          <w:trHeight w:hRule="exact" w:val="316"/>
        </w:trPr>
        <w:tc>
          <w:tcPr>
            <w:tcW w:w="4111" w:type="dxa"/>
            <w:tcBorders>
              <w:top w:val="single" w:sz="2" w:space="0" w:color="3D7FE0" w:themeColor="accent1"/>
            </w:tcBorders>
            <w:tcMar>
              <w:left w:w="0" w:type="dxa"/>
              <w:right w:w="0" w:type="dxa"/>
            </w:tcMar>
            <w:vAlign w:val="bottom"/>
          </w:tcPr>
          <w:p w14:paraId="37828E6C" w14:textId="1714B93A" w:rsidR="003E00A1" w:rsidRPr="00895810" w:rsidRDefault="003E00A1" w:rsidP="003E00A1">
            <w:pPr>
              <w:pStyle w:val="TableFiguresBrackets"/>
              <w:jc w:val="left"/>
              <w:rPr>
                <w:rFonts w:ascii="IBM Plex Sans Light" w:hAnsi="IBM Plex Sans Light"/>
                <w:b/>
                <w:bCs/>
                <w:color w:val="auto"/>
                <w:spacing w:val="-4"/>
                <w:sz w:val="18"/>
                <w:szCs w:val="18"/>
              </w:rPr>
            </w:pPr>
            <w:r w:rsidRPr="00895810">
              <w:rPr>
                <w:rFonts w:ascii="IBM Plex Sans Light" w:hAnsi="IBM Plex Sans Light"/>
                <w:b/>
                <w:bCs/>
                <w:color w:val="auto"/>
                <w:spacing w:val="-4"/>
                <w:sz w:val="18"/>
                <w:szCs w:val="18"/>
              </w:rPr>
              <w:t xml:space="preserve">Operating </w:t>
            </w:r>
            <w:r w:rsidR="00452848">
              <w:rPr>
                <w:rFonts w:ascii="IBM Plex Sans Light" w:hAnsi="IBM Plex Sans Light"/>
                <w:b/>
                <w:bCs/>
                <w:color w:val="auto"/>
                <w:spacing w:val="-4"/>
                <w:sz w:val="18"/>
                <w:szCs w:val="18"/>
              </w:rPr>
              <w:t>(</w:t>
            </w:r>
            <w:r w:rsidRPr="00895810">
              <w:rPr>
                <w:rFonts w:ascii="IBM Plex Sans Light" w:hAnsi="IBM Plex Sans Light"/>
                <w:b/>
                <w:bCs/>
                <w:color w:val="auto"/>
                <w:spacing w:val="-4"/>
                <w:sz w:val="18"/>
                <w:szCs w:val="18"/>
              </w:rPr>
              <w:t>loss)</w:t>
            </w:r>
            <w:r w:rsidR="00452848">
              <w:rPr>
                <w:rFonts w:ascii="IBM Plex Sans Light" w:hAnsi="IBM Plex Sans Light"/>
                <w:b/>
                <w:bCs/>
                <w:color w:val="auto"/>
                <w:spacing w:val="-4"/>
                <w:sz w:val="18"/>
                <w:szCs w:val="18"/>
              </w:rPr>
              <w:t>/profit</w:t>
            </w:r>
          </w:p>
        </w:tc>
        <w:tc>
          <w:tcPr>
            <w:tcW w:w="567" w:type="dxa"/>
            <w:tcBorders>
              <w:top w:val="single" w:sz="2" w:space="0" w:color="3D7FE0" w:themeColor="accent1"/>
            </w:tcBorders>
            <w:vAlign w:val="bottom"/>
          </w:tcPr>
          <w:p w14:paraId="4A6A6CA9" w14:textId="404F2671" w:rsidR="003E00A1" w:rsidRPr="00895810" w:rsidRDefault="003E00A1" w:rsidP="003E00A1">
            <w:pPr>
              <w:pStyle w:val="TableFiguresBrackets"/>
              <w:jc w:val="left"/>
              <w:rPr>
                <w:rFonts w:ascii="IBM Plex Sans Light" w:hAnsi="IBM Plex Sans Light"/>
                <w:b/>
                <w:bCs/>
                <w:color w:val="3D7FE0" w:themeColor="accent1"/>
                <w:spacing w:val="-4"/>
                <w:sz w:val="18"/>
                <w:szCs w:val="18"/>
              </w:rPr>
            </w:pPr>
          </w:p>
        </w:tc>
        <w:tc>
          <w:tcPr>
            <w:tcW w:w="873" w:type="dxa"/>
            <w:tcBorders>
              <w:top w:val="single" w:sz="2" w:space="0" w:color="3D7FE0" w:themeColor="accent1"/>
            </w:tcBorders>
          </w:tcPr>
          <w:p w14:paraId="6FD772BF" w14:textId="2C5C6E16" w:rsidR="003E00A1" w:rsidRPr="008F4B21" w:rsidRDefault="003E00A1" w:rsidP="003E00A1">
            <w:pPr>
              <w:pStyle w:val="TableFiguresBracketsBold"/>
              <w:rPr>
                <w:rFonts w:ascii="IBM Plex Sans Light" w:hAnsi="IBM Plex Sans Light"/>
                <w:b w:val="0"/>
                <w:color w:val="auto"/>
                <w:spacing w:val="-4"/>
                <w:sz w:val="18"/>
                <w:szCs w:val="18"/>
              </w:rPr>
            </w:pPr>
            <w:r w:rsidRPr="008F4B21">
              <w:rPr>
                <w:rFonts w:ascii="IBM Plex Sans Light" w:hAnsi="IBM Plex Sans Light"/>
                <w:b w:val="0"/>
                <w:color w:val="auto"/>
                <w:spacing w:val="-4"/>
                <w:sz w:val="18"/>
                <w:szCs w:val="18"/>
              </w:rPr>
              <w:t>(9.3)</w:t>
            </w:r>
          </w:p>
        </w:tc>
        <w:tc>
          <w:tcPr>
            <w:tcW w:w="874" w:type="dxa"/>
            <w:tcBorders>
              <w:top w:val="single" w:sz="2" w:space="0" w:color="3D7FE0" w:themeColor="accent1"/>
            </w:tcBorders>
          </w:tcPr>
          <w:p w14:paraId="375A040C" w14:textId="5751B7A5" w:rsidR="003E00A1" w:rsidRPr="0059561F" w:rsidRDefault="003E00A1" w:rsidP="003E00A1">
            <w:pPr>
              <w:pStyle w:val="TableFiguresBracketsBold"/>
              <w:rPr>
                <w:rFonts w:ascii="IBM Plex Sans Light" w:hAnsi="IBM Plex Sans Light"/>
                <w:b w:val="0"/>
                <w:color w:val="auto"/>
                <w:spacing w:val="-4"/>
                <w:sz w:val="18"/>
                <w:szCs w:val="18"/>
              </w:rPr>
            </w:pPr>
            <w:r w:rsidRPr="0059561F">
              <w:rPr>
                <w:rFonts w:ascii="IBM Plex Sans Light" w:hAnsi="IBM Plex Sans Light"/>
                <w:b w:val="0"/>
                <w:color w:val="auto"/>
                <w:spacing w:val="-4"/>
                <w:sz w:val="18"/>
                <w:szCs w:val="18"/>
              </w:rPr>
              <w:t>(6.1)</w:t>
            </w:r>
          </w:p>
        </w:tc>
        <w:tc>
          <w:tcPr>
            <w:tcW w:w="874" w:type="dxa"/>
            <w:tcBorders>
              <w:top w:val="single" w:sz="2" w:space="0" w:color="3D7FE0" w:themeColor="accent1"/>
            </w:tcBorders>
          </w:tcPr>
          <w:p w14:paraId="135A012D" w14:textId="74BC64B3"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2.3</w:t>
            </w:r>
          </w:p>
        </w:tc>
        <w:tc>
          <w:tcPr>
            <w:tcW w:w="874" w:type="dxa"/>
            <w:tcBorders>
              <w:top w:val="single" w:sz="2" w:space="0" w:color="3D7FE0" w:themeColor="accent1"/>
            </w:tcBorders>
            <w:tcMar>
              <w:left w:w="0" w:type="dxa"/>
              <w:right w:w="0" w:type="dxa"/>
            </w:tcMar>
          </w:tcPr>
          <w:p w14:paraId="7EEBD364" w14:textId="3A8FA056"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1.7</w:t>
            </w:r>
          </w:p>
        </w:tc>
        <w:tc>
          <w:tcPr>
            <w:tcW w:w="874" w:type="dxa"/>
            <w:tcBorders>
              <w:top w:val="single" w:sz="2" w:space="0" w:color="3D7FE0" w:themeColor="accent1"/>
            </w:tcBorders>
            <w:tcMar>
              <w:left w:w="0" w:type="dxa"/>
              <w:right w:w="0" w:type="dxa"/>
            </w:tcMar>
          </w:tcPr>
          <w:p w14:paraId="38199E70" w14:textId="2AE8EE75"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(28.4)</w:t>
            </w:r>
          </w:p>
        </w:tc>
        <w:tc>
          <w:tcPr>
            <w:tcW w:w="874" w:type="dxa"/>
            <w:tcBorders>
              <w:top w:val="single" w:sz="2" w:space="0" w:color="3D7FE0" w:themeColor="accent1"/>
            </w:tcBorders>
            <w:tcMar>
              <w:left w:w="0" w:type="dxa"/>
              <w:right w:w="0" w:type="dxa"/>
            </w:tcMar>
          </w:tcPr>
          <w:p w14:paraId="49DFF2F2" w14:textId="2D7A30FE"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(4.8)</w:t>
            </w:r>
          </w:p>
        </w:tc>
      </w:tr>
      <w:tr w:rsidR="003E00A1" w:rsidRPr="00895810" w14:paraId="02836046" w14:textId="77777777" w:rsidTr="00D91739">
        <w:trPr>
          <w:trHeight w:hRule="exact" w:val="255"/>
        </w:trPr>
        <w:tc>
          <w:tcPr>
            <w:tcW w:w="4111" w:type="dxa"/>
            <w:tcMar>
              <w:left w:w="0" w:type="dxa"/>
              <w:right w:w="0" w:type="dxa"/>
            </w:tcMar>
            <w:vAlign w:val="bottom"/>
          </w:tcPr>
          <w:p w14:paraId="31164533" w14:textId="0E34B1D3" w:rsidR="003E00A1" w:rsidRPr="00895810" w:rsidRDefault="003E00A1" w:rsidP="003E00A1">
            <w:pPr>
              <w:pStyle w:val="TableFiguresBrackets"/>
              <w:jc w:val="left"/>
              <w:rPr>
                <w:rFonts w:ascii="IBM Plex Sans Light" w:hAnsi="IBM Plex Sans Light"/>
                <w:spacing w:val="-4"/>
                <w:sz w:val="18"/>
                <w:szCs w:val="18"/>
              </w:rPr>
            </w:pPr>
            <w:r w:rsidRPr="00895810">
              <w:rPr>
                <w:rFonts w:ascii="IBM Plex Sans Light" w:hAnsi="IBM Plex Sans Light"/>
                <w:spacing w:val="-4"/>
                <w:sz w:val="18"/>
                <w:szCs w:val="18"/>
              </w:rPr>
              <w:t>Finance income</w:t>
            </w:r>
          </w:p>
        </w:tc>
        <w:tc>
          <w:tcPr>
            <w:tcW w:w="567" w:type="dxa"/>
            <w:vAlign w:val="bottom"/>
          </w:tcPr>
          <w:p w14:paraId="3E699031" w14:textId="77777777" w:rsidR="003E00A1" w:rsidRPr="00895810" w:rsidRDefault="003E00A1" w:rsidP="003E00A1">
            <w:pPr>
              <w:pStyle w:val="TableFiguresBrackets"/>
              <w:jc w:val="left"/>
              <w:rPr>
                <w:rFonts w:ascii="IBM Plex Sans Light" w:hAnsi="IBM Plex Sans Light" w:cs="MyriadPro-Light"/>
                <w:b/>
                <w:bCs/>
                <w:color w:val="3D7FE0" w:themeColor="accent1"/>
                <w:spacing w:val="-4"/>
                <w:sz w:val="18"/>
                <w:szCs w:val="18"/>
              </w:rPr>
            </w:pPr>
          </w:p>
        </w:tc>
        <w:tc>
          <w:tcPr>
            <w:tcW w:w="873" w:type="dxa"/>
          </w:tcPr>
          <w:p w14:paraId="72CD7965" w14:textId="76317000" w:rsidR="003E00A1" w:rsidRPr="008F4B21"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w:t>
            </w:r>
          </w:p>
        </w:tc>
        <w:tc>
          <w:tcPr>
            <w:tcW w:w="874" w:type="dxa"/>
          </w:tcPr>
          <w:p w14:paraId="4FB7107A" w14:textId="79317174" w:rsidR="003E00A1" w:rsidRPr="0059561F"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w:t>
            </w:r>
          </w:p>
        </w:tc>
        <w:tc>
          <w:tcPr>
            <w:tcW w:w="874" w:type="dxa"/>
          </w:tcPr>
          <w:p w14:paraId="3CFFEAAB" w14:textId="45781E89"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0.3</w:t>
            </w:r>
          </w:p>
        </w:tc>
        <w:tc>
          <w:tcPr>
            <w:tcW w:w="874" w:type="dxa"/>
            <w:tcMar>
              <w:left w:w="0" w:type="dxa"/>
              <w:right w:w="0" w:type="dxa"/>
            </w:tcMar>
          </w:tcPr>
          <w:p w14:paraId="40DA6D80" w14:textId="05AD0285"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Mar>
              <w:left w:w="0" w:type="dxa"/>
              <w:right w:w="0" w:type="dxa"/>
            </w:tcMar>
          </w:tcPr>
          <w:p w14:paraId="16A79700" w14:textId="7CDFF988"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0.1</w:t>
            </w:r>
          </w:p>
        </w:tc>
        <w:tc>
          <w:tcPr>
            <w:tcW w:w="874" w:type="dxa"/>
            <w:tcMar>
              <w:left w:w="0" w:type="dxa"/>
              <w:right w:w="0" w:type="dxa"/>
            </w:tcMar>
          </w:tcPr>
          <w:p w14:paraId="3658AA20" w14:textId="1A1A5C3F"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r>
      <w:tr w:rsidR="003E00A1" w:rsidRPr="00895810" w14:paraId="7EEFAC74" w14:textId="77777777" w:rsidTr="00D91739">
        <w:trPr>
          <w:trHeight w:hRule="exact" w:val="255"/>
        </w:trPr>
        <w:tc>
          <w:tcPr>
            <w:tcW w:w="4111" w:type="dxa"/>
            <w:tcBorders>
              <w:bottom w:val="single" w:sz="2" w:space="0" w:color="3D7FE0" w:themeColor="accent1"/>
            </w:tcBorders>
            <w:tcMar>
              <w:left w:w="0" w:type="dxa"/>
              <w:right w:w="0" w:type="dxa"/>
            </w:tcMar>
            <w:vAlign w:val="bottom"/>
          </w:tcPr>
          <w:p w14:paraId="3E504C7F" w14:textId="13FE1FFA" w:rsidR="003E00A1" w:rsidRPr="00895810" w:rsidRDefault="003E00A1" w:rsidP="003E00A1">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lastRenderedPageBreak/>
              <w:t>Finance costs</w:t>
            </w:r>
          </w:p>
        </w:tc>
        <w:tc>
          <w:tcPr>
            <w:tcW w:w="567" w:type="dxa"/>
            <w:tcBorders>
              <w:bottom w:val="single" w:sz="2" w:space="0" w:color="3D7FE0" w:themeColor="accent1"/>
            </w:tcBorders>
            <w:vAlign w:val="bottom"/>
          </w:tcPr>
          <w:p w14:paraId="6FD6D3B3" w14:textId="46A4E0C9" w:rsidR="003E00A1" w:rsidRPr="00895810" w:rsidRDefault="003E00A1" w:rsidP="003E00A1">
            <w:pPr>
              <w:pStyle w:val="TableFiguresBrackets"/>
              <w:jc w:val="left"/>
              <w:rPr>
                <w:rFonts w:ascii="IBM Plex Sans Light" w:hAnsi="IBM Plex Sans Light" w:cs="MyriadPro-Light"/>
                <w:b/>
                <w:bCs/>
                <w:color w:val="3D7FE0" w:themeColor="accent1"/>
                <w:spacing w:val="-4"/>
                <w:sz w:val="18"/>
                <w:szCs w:val="18"/>
              </w:rPr>
            </w:pPr>
          </w:p>
        </w:tc>
        <w:tc>
          <w:tcPr>
            <w:tcW w:w="873" w:type="dxa"/>
            <w:tcBorders>
              <w:bottom w:val="single" w:sz="2" w:space="0" w:color="3D7FE0" w:themeColor="accent1"/>
            </w:tcBorders>
          </w:tcPr>
          <w:p w14:paraId="1F847AFB" w14:textId="38741678" w:rsidR="003E00A1" w:rsidRPr="008F4B21" w:rsidRDefault="003E00A1" w:rsidP="003E00A1">
            <w:pPr>
              <w:pStyle w:val="TableFiguresBracketsBold"/>
              <w:rPr>
                <w:rFonts w:ascii="IBM Plex Sans Light" w:hAnsi="IBM Plex Sans Light"/>
                <w:b w:val="0"/>
                <w:color w:val="auto"/>
                <w:spacing w:val="-4"/>
                <w:sz w:val="18"/>
                <w:szCs w:val="18"/>
              </w:rPr>
            </w:pPr>
            <w:r w:rsidRPr="008F4B21">
              <w:rPr>
                <w:rFonts w:ascii="IBM Plex Sans Light" w:hAnsi="IBM Plex Sans Light"/>
                <w:b w:val="0"/>
                <w:color w:val="auto"/>
                <w:spacing w:val="-4"/>
                <w:sz w:val="18"/>
                <w:szCs w:val="18"/>
              </w:rPr>
              <w:t>(0.3)</w:t>
            </w:r>
          </w:p>
        </w:tc>
        <w:tc>
          <w:tcPr>
            <w:tcW w:w="874" w:type="dxa"/>
            <w:tcBorders>
              <w:bottom w:val="single" w:sz="2" w:space="0" w:color="3D7FE0" w:themeColor="accent1"/>
            </w:tcBorders>
          </w:tcPr>
          <w:p w14:paraId="386EB9E3" w14:textId="6CD7ACC5" w:rsidR="003E00A1" w:rsidRPr="0059561F" w:rsidRDefault="003E00A1" w:rsidP="003E00A1">
            <w:pPr>
              <w:pStyle w:val="TableFiguresBracketsBold"/>
              <w:rPr>
                <w:rFonts w:ascii="IBM Plex Sans Light" w:hAnsi="IBM Plex Sans Light"/>
                <w:b w:val="0"/>
                <w:color w:val="auto"/>
                <w:spacing w:val="-4"/>
                <w:sz w:val="18"/>
                <w:szCs w:val="18"/>
              </w:rPr>
            </w:pPr>
            <w:r w:rsidRPr="0059561F">
              <w:rPr>
                <w:rFonts w:ascii="IBM Plex Sans Light" w:hAnsi="IBM Plex Sans Light"/>
                <w:b w:val="0"/>
                <w:color w:val="auto"/>
                <w:spacing w:val="-4"/>
                <w:sz w:val="18"/>
                <w:szCs w:val="18"/>
              </w:rPr>
              <w:t>(0.5)</w:t>
            </w:r>
          </w:p>
        </w:tc>
        <w:tc>
          <w:tcPr>
            <w:tcW w:w="874" w:type="dxa"/>
            <w:tcBorders>
              <w:bottom w:val="single" w:sz="2" w:space="0" w:color="3D7FE0" w:themeColor="accent1"/>
            </w:tcBorders>
          </w:tcPr>
          <w:p w14:paraId="0ADE16FB" w14:textId="567A962B"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052442AD" w14:textId="211ADE97"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(0.1)</w:t>
            </w:r>
          </w:p>
        </w:tc>
        <w:tc>
          <w:tcPr>
            <w:tcW w:w="874" w:type="dxa"/>
            <w:tcBorders>
              <w:bottom w:val="single" w:sz="2" w:space="0" w:color="3D7FE0" w:themeColor="accent1"/>
            </w:tcBorders>
            <w:tcMar>
              <w:left w:w="0" w:type="dxa"/>
              <w:right w:w="0" w:type="dxa"/>
            </w:tcMar>
          </w:tcPr>
          <w:p w14:paraId="5B1E8FC2" w14:textId="2C31775F"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3E7DE60F" w14:textId="763AC5A7" w:rsidR="003E00A1" w:rsidRPr="003E00A1" w:rsidRDefault="003E00A1" w:rsidP="003E00A1">
            <w:pPr>
              <w:pStyle w:val="TableFiguresBracketsBold"/>
              <w:rPr>
                <w:rFonts w:ascii="IBM Plex Sans Light" w:hAnsi="IBM Plex Sans Light"/>
                <w:b w:val="0"/>
                <w:bCs w:val="0"/>
                <w:color w:val="auto"/>
                <w:spacing w:val="-4"/>
                <w:sz w:val="18"/>
                <w:szCs w:val="18"/>
              </w:rPr>
            </w:pPr>
            <w:r w:rsidRPr="003E00A1">
              <w:rPr>
                <w:rFonts w:ascii="IBM Plex Sans Light" w:hAnsi="IBM Plex Sans Light"/>
                <w:b w:val="0"/>
                <w:bCs w:val="0"/>
                <w:color w:val="auto"/>
                <w:spacing w:val="-4"/>
                <w:sz w:val="18"/>
                <w:szCs w:val="18"/>
              </w:rPr>
              <w:t>(0.2)</w:t>
            </w:r>
          </w:p>
        </w:tc>
      </w:tr>
      <w:tr w:rsidR="003E00A1" w:rsidRPr="00895810" w14:paraId="22C21A2C" w14:textId="77777777" w:rsidTr="003E29BC">
        <w:trPr>
          <w:trHeight w:hRule="exact" w:val="255"/>
        </w:trPr>
        <w:tc>
          <w:tcPr>
            <w:tcW w:w="4111" w:type="dxa"/>
            <w:tcBorders>
              <w:top w:val="single" w:sz="2" w:space="0" w:color="3D7FE0" w:themeColor="accent1"/>
            </w:tcBorders>
            <w:tcMar>
              <w:left w:w="0" w:type="dxa"/>
              <w:right w:w="0" w:type="dxa"/>
            </w:tcMar>
            <w:vAlign w:val="bottom"/>
          </w:tcPr>
          <w:p w14:paraId="4F9B36FA" w14:textId="11129428" w:rsidR="003E00A1" w:rsidRPr="00895810" w:rsidRDefault="00452848" w:rsidP="003E00A1">
            <w:pPr>
              <w:pStyle w:val="TableFiguresBrackets"/>
              <w:jc w:val="left"/>
              <w:rPr>
                <w:rFonts w:ascii="IBM Plex Sans Light" w:hAnsi="IBM Plex Sans Light" w:cs="MyriadPro-Light"/>
                <w:b/>
                <w:color w:val="auto"/>
                <w:spacing w:val="-4"/>
                <w:sz w:val="18"/>
                <w:szCs w:val="18"/>
              </w:rPr>
            </w:pPr>
            <w:r>
              <w:rPr>
                <w:rFonts w:ascii="IBM Plex Sans Light" w:hAnsi="IBM Plex Sans Light"/>
                <w:b/>
                <w:color w:val="auto"/>
                <w:spacing w:val="-4"/>
                <w:sz w:val="18"/>
                <w:szCs w:val="18"/>
              </w:rPr>
              <w:t>(Loss)/profit</w:t>
            </w:r>
            <w:r w:rsidR="003E00A1" w:rsidRPr="00895810">
              <w:rPr>
                <w:rFonts w:ascii="IBM Plex Sans Light" w:hAnsi="IBM Plex Sans Light"/>
                <w:b/>
                <w:color w:val="auto"/>
                <w:spacing w:val="-4"/>
                <w:sz w:val="18"/>
                <w:szCs w:val="18"/>
              </w:rPr>
              <w:t xml:space="preserve"> before tax </w:t>
            </w:r>
          </w:p>
        </w:tc>
        <w:tc>
          <w:tcPr>
            <w:tcW w:w="567" w:type="dxa"/>
            <w:tcBorders>
              <w:top w:val="single" w:sz="2" w:space="0" w:color="3D7FE0" w:themeColor="accent1"/>
            </w:tcBorders>
            <w:vAlign w:val="bottom"/>
          </w:tcPr>
          <w:p w14:paraId="4BB7EAA1" w14:textId="19F10D62" w:rsidR="003E00A1" w:rsidRPr="00895810" w:rsidRDefault="003E00A1" w:rsidP="003E00A1">
            <w:pPr>
              <w:pStyle w:val="TableFiguresBrackets"/>
              <w:jc w:val="left"/>
              <w:rPr>
                <w:rFonts w:ascii="IBM Plex Sans Light" w:hAnsi="IBM Plex Sans Light" w:cs="MyriadPro-Light"/>
                <w:b/>
                <w:color w:val="3D7FE0" w:themeColor="accent1"/>
                <w:spacing w:val="-4"/>
                <w:sz w:val="18"/>
                <w:szCs w:val="18"/>
              </w:rPr>
            </w:pPr>
          </w:p>
        </w:tc>
        <w:tc>
          <w:tcPr>
            <w:tcW w:w="873" w:type="dxa"/>
            <w:tcBorders>
              <w:top w:val="single" w:sz="2" w:space="0" w:color="3D7FE0" w:themeColor="accent1"/>
            </w:tcBorders>
          </w:tcPr>
          <w:p w14:paraId="69B11281" w14:textId="767DE718" w:rsidR="003E00A1" w:rsidRPr="008F4B21" w:rsidRDefault="003E00A1" w:rsidP="003E00A1">
            <w:pPr>
              <w:pStyle w:val="TableFiguresBracketsBold"/>
              <w:rPr>
                <w:rFonts w:ascii="IBM Plex Sans Light" w:hAnsi="IBM Plex Sans Light"/>
                <w:b w:val="0"/>
                <w:color w:val="auto"/>
                <w:spacing w:val="-4"/>
                <w:sz w:val="18"/>
                <w:szCs w:val="18"/>
              </w:rPr>
            </w:pPr>
            <w:r w:rsidRPr="008F4B21">
              <w:rPr>
                <w:rFonts w:ascii="IBM Plex Sans Light" w:hAnsi="IBM Plex Sans Light"/>
                <w:b w:val="0"/>
                <w:color w:val="auto"/>
                <w:spacing w:val="-4"/>
                <w:sz w:val="18"/>
                <w:szCs w:val="18"/>
              </w:rPr>
              <w:t>(9.6)</w:t>
            </w:r>
          </w:p>
        </w:tc>
        <w:tc>
          <w:tcPr>
            <w:tcW w:w="874" w:type="dxa"/>
            <w:tcBorders>
              <w:top w:val="single" w:sz="2" w:space="0" w:color="3D7FE0" w:themeColor="accent1"/>
            </w:tcBorders>
          </w:tcPr>
          <w:p w14:paraId="491FCDE8" w14:textId="47CD2C71" w:rsidR="003E00A1" w:rsidRPr="0059561F" w:rsidRDefault="003E00A1" w:rsidP="003E00A1">
            <w:pPr>
              <w:pStyle w:val="TableFiguresBracketsBold"/>
              <w:rPr>
                <w:rFonts w:ascii="IBM Plex Sans Light" w:hAnsi="IBM Plex Sans Light"/>
                <w:b w:val="0"/>
                <w:color w:val="auto"/>
                <w:spacing w:val="-4"/>
                <w:sz w:val="18"/>
                <w:szCs w:val="18"/>
              </w:rPr>
            </w:pPr>
            <w:r w:rsidRPr="0059561F">
              <w:rPr>
                <w:rFonts w:ascii="IBM Plex Sans Light" w:hAnsi="IBM Plex Sans Light"/>
                <w:b w:val="0"/>
                <w:color w:val="auto"/>
                <w:spacing w:val="-4"/>
                <w:sz w:val="18"/>
                <w:szCs w:val="18"/>
              </w:rPr>
              <w:t>(6.6)</w:t>
            </w:r>
          </w:p>
        </w:tc>
        <w:tc>
          <w:tcPr>
            <w:tcW w:w="874" w:type="dxa"/>
            <w:tcBorders>
              <w:top w:val="single" w:sz="2" w:space="0" w:color="3D7FE0" w:themeColor="accent1"/>
            </w:tcBorders>
          </w:tcPr>
          <w:p w14:paraId="642B1E76" w14:textId="5021BB97"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2.6</w:t>
            </w:r>
          </w:p>
        </w:tc>
        <w:tc>
          <w:tcPr>
            <w:tcW w:w="874" w:type="dxa"/>
            <w:tcBorders>
              <w:top w:val="single" w:sz="2" w:space="0" w:color="3D7FE0" w:themeColor="accent1"/>
            </w:tcBorders>
            <w:tcMar>
              <w:left w:w="0" w:type="dxa"/>
              <w:right w:w="0" w:type="dxa"/>
            </w:tcMar>
          </w:tcPr>
          <w:p w14:paraId="653C8542" w14:textId="15469A15"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1.6</w:t>
            </w:r>
          </w:p>
        </w:tc>
        <w:tc>
          <w:tcPr>
            <w:tcW w:w="874" w:type="dxa"/>
            <w:tcBorders>
              <w:top w:val="single" w:sz="2" w:space="0" w:color="3D7FE0" w:themeColor="accent1"/>
            </w:tcBorders>
            <w:tcMar>
              <w:left w:w="0" w:type="dxa"/>
              <w:right w:w="0" w:type="dxa"/>
            </w:tcMar>
          </w:tcPr>
          <w:p w14:paraId="5DD1207F" w14:textId="084E4CC3"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(28.3)</w:t>
            </w:r>
          </w:p>
        </w:tc>
        <w:tc>
          <w:tcPr>
            <w:tcW w:w="874" w:type="dxa"/>
            <w:tcBorders>
              <w:top w:val="single" w:sz="2" w:space="0" w:color="3D7FE0" w:themeColor="accent1"/>
            </w:tcBorders>
            <w:tcMar>
              <w:left w:w="0" w:type="dxa"/>
              <w:right w:w="0" w:type="dxa"/>
            </w:tcMar>
          </w:tcPr>
          <w:p w14:paraId="3AD89B14" w14:textId="3BF3E5F3"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(5.0)</w:t>
            </w:r>
          </w:p>
        </w:tc>
      </w:tr>
      <w:tr w:rsidR="003E00A1" w:rsidRPr="00895810" w14:paraId="1EE0CF03" w14:textId="77777777" w:rsidTr="003E29BC">
        <w:trPr>
          <w:trHeight w:hRule="exact" w:val="255"/>
        </w:trPr>
        <w:tc>
          <w:tcPr>
            <w:tcW w:w="4111" w:type="dxa"/>
            <w:tcBorders>
              <w:bottom w:val="single" w:sz="2" w:space="0" w:color="3D7FE0" w:themeColor="accent1"/>
            </w:tcBorders>
            <w:tcMar>
              <w:left w:w="0" w:type="dxa"/>
              <w:right w:w="0" w:type="dxa"/>
            </w:tcMar>
            <w:vAlign w:val="bottom"/>
          </w:tcPr>
          <w:p w14:paraId="5AFB812F" w14:textId="77777777" w:rsidR="003E00A1" w:rsidRPr="00895810" w:rsidRDefault="003E00A1" w:rsidP="003E00A1">
            <w:pPr>
              <w:pStyle w:val="TableFiguresBrackets"/>
              <w:jc w:val="left"/>
              <w:rPr>
                <w:rFonts w:ascii="IBM Plex Sans Light" w:hAnsi="IBM Plex Sans Light"/>
                <w:bCs/>
                <w:color w:val="auto"/>
                <w:spacing w:val="-4"/>
                <w:sz w:val="18"/>
                <w:szCs w:val="18"/>
              </w:rPr>
            </w:pPr>
            <w:r w:rsidRPr="00895810">
              <w:rPr>
                <w:rFonts w:ascii="IBM Plex Sans Light" w:hAnsi="IBM Plex Sans Light"/>
                <w:spacing w:val="-4"/>
                <w:sz w:val="18"/>
                <w:szCs w:val="18"/>
              </w:rPr>
              <w:t>Tax charge</w:t>
            </w:r>
          </w:p>
        </w:tc>
        <w:tc>
          <w:tcPr>
            <w:tcW w:w="567" w:type="dxa"/>
            <w:tcBorders>
              <w:bottom w:val="single" w:sz="2" w:space="0" w:color="3D7FE0" w:themeColor="accent1"/>
            </w:tcBorders>
            <w:vAlign w:val="bottom"/>
          </w:tcPr>
          <w:p w14:paraId="0B72BD8A" w14:textId="5E96D1CD" w:rsidR="003E00A1" w:rsidRPr="00895810" w:rsidRDefault="003E00A1" w:rsidP="003E00A1">
            <w:pPr>
              <w:pStyle w:val="TableFiguresBrackets"/>
              <w:jc w:val="left"/>
              <w:rPr>
                <w:rFonts w:ascii="IBM Plex Sans Light" w:hAnsi="IBM Plex Sans Light"/>
                <w:bCs/>
                <w:color w:val="auto"/>
                <w:spacing w:val="-4"/>
                <w:sz w:val="18"/>
                <w:szCs w:val="18"/>
              </w:rPr>
            </w:pPr>
          </w:p>
        </w:tc>
        <w:tc>
          <w:tcPr>
            <w:tcW w:w="873" w:type="dxa"/>
            <w:tcBorders>
              <w:bottom w:val="single" w:sz="2" w:space="0" w:color="3D7FE0" w:themeColor="accent1"/>
            </w:tcBorders>
          </w:tcPr>
          <w:p w14:paraId="4BDE0969" w14:textId="39FC3FA0" w:rsidR="003E00A1" w:rsidRPr="00895810"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w:t>
            </w:r>
          </w:p>
        </w:tc>
        <w:tc>
          <w:tcPr>
            <w:tcW w:w="874" w:type="dxa"/>
            <w:tcBorders>
              <w:bottom w:val="single" w:sz="2" w:space="0" w:color="3D7FE0" w:themeColor="accent1"/>
            </w:tcBorders>
          </w:tcPr>
          <w:p w14:paraId="201BD66A" w14:textId="0D109E57" w:rsidR="003E00A1" w:rsidRPr="00895810"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w:t>
            </w:r>
          </w:p>
        </w:tc>
        <w:tc>
          <w:tcPr>
            <w:tcW w:w="874" w:type="dxa"/>
            <w:tcBorders>
              <w:bottom w:val="single" w:sz="2" w:space="0" w:color="3D7FE0" w:themeColor="accent1"/>
            </w:tcBorders>
          </w:tcPr>
          <w:p w14:paraId="66FD6F1B" w14:textId="483D417A"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239C4D68" w14:textId="05AB6C40"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3E524627" w14:textId="57242428"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755A28EC" w14:textId="335F4587"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r>
      <w:tr w:rsidR="003E00A1" w:rsidRPr="00895810" w14:paraId="47F2DF26" w14:textId="77777777" w:rsidTr="003E29BC">
        <w:trPr>
          <w:trHeight w:hRule="exact" w:val="255"/>
        </w:trPr>
        <w:tc>
          <w:tcPr>
            <w:tcW w:w="4111" w:type="dxa"/>
            <w:tcBorders>
              <w:top w:val="single" w:sz="2" w:space="0" w:color="3D7FE0" w:themeColor="accent1"/>
            </w:tcBorders>
            <w:tcMar>
              <w:left w:w="0" w:type="dxa"/>
              <w:right w:w="0" w:type="dxa"/>
            </w:tcMar>
            <w:vAlign w:val="bottom"/>
          </w:tcPr>
          <w:p w14:paraId="393D21C0" w14:textId="4071AFAB" w:rsidR="003E00A1" w:rsidRPr="00895810" w:rsidRDefault="00452848" w:rsidP="003E00A1">
            <w:pPr>
              <w:pStyle w:val="TableFiguresBrackets"/>
              <w:jc w:val="left"/>
              <w:rPr>
                <w:rFonts w:ascii="IBM Plex Sans Light" w:hAnsi="IBM Plex Sans Light"/>
                <w:b/>
                <w:color w:val="auto"/>
                <w:spacing w:val="-4"/>
                <w:sz w:val="18"/>
                <w:szCs w:val="18"/>
              </w:rPr>
            </w:pPr>
            <w:r>
              <w:rPr>
                <w:rFonts w:ascii="IBM Plex Sans Light" w:hAnsi="IBM Plex Sans Light"/>
                <w:b/>
                <w:color w:val="auto"/>
                <w:spacing w:val="-4"/>
                <w:sz w:val="18"/>
                <w:szCs w:val="18"/>
              </w:rPr>
              <w:t>(Loss)/p</w:t>
            </w:r>
            <w:r w:rsidR="003E00A1" w:rsidRPr="00895810">
              <w:rPr>
                <w:rFonts w:ascii="IBM Plex Sans Light" w:hAnsi="IBM Plex Sans Light"/>
                <w:b/>
                <w:color w:val="auto"/>
                <w:spacing w:val="-4"/>
                <w:sz w:val="18"/>
                <w:szCs w:val="18"/>
              </w:rPr>
              <w:t xml:space="preserve">rofit for the year </w:t>
            </w:r>
          </w:p>
        </w:tc>
        <w:tc>
          <w:tcPr>
            <w:tcW w:w="567" w:type="dxa"/>
            <w:tcBorders>
              <w:top w:val="single" w:sz="2" w:space="0" w:color="3D7FE0" w:themeColor="accent1"/>
            </w:tcBorders>
            <w:vAlign w:val="bottom"/>
          </w:tcPr>
          <w:p w14:paraId="31726182" w14:textId="1D008D65" w:rsidR="003E00A1" w:rsidRPr="00895810" w:rsidRDefault="003E00A1" w:rsidP="003E00A1">
            <w:pPr>
              <w:pStyle w:val="TableFiguresBrackets"/>
              <w:jc w:val="left"/>
              <w:rPr>
                <w:rFonts w:ascii="IBM Plex Sans Light" w:hAnsi="IBM Plex Sans Light"/>
                <w:b/>
                <w:color w:val="3D7FE0" w:themeColor="accent1"/>
                <w:spacing w:val="-4"/>
                <w:sz w:val="18"/>
                <w:szCs w:val="18"/>
              </w:rPr>
            </w:pPr>
          </w:p>
        </w:tc>
        <w:tc>
          <w:tcPr>
            <w:tcW w:w="873" w:type="dxa"/>
            <w:tcBorders>
              <w:top w:val="single" w:sz="2" w:space="0" w:color="3D7FE0" w:themeColor="accent1"/>
            </w:tcBorders>
          </w:tcPr>
          <w:p w14:paraId="0C1393A4" w14:textId="311617AC" w:rsidR="003E00A1" w:rsidRPr="008F4B21" w:rsidRDefault="003E00A1" w:rsidP="003E00A1">
            <w:pPr>
              <w:pStyle w:val="TableFiguresBracketsBold"/>
              <w:rPr>
                <w:rFonts w:ascii="IBM Plex Sans Light" w:hAnsi="IBM Plex Sans Light"/>
                <w:b w:val="0"/>
                <w:color w:val="auto"/>
                <w:spacing w:val="-4"/>
                <w:sz w:val="18"/>
                <w:szCs w:val="18"/>
              </w:rPr>
            </w:pPr>
            <w:r w:rsidRPr="008F4B21">
              <w:rPr>
                <w:rFonts w:ascii="IBM Plex Sans Light" w:hAnsi="IBM Plex Sans Light"/>
                <w:b w:val="0"/>
                <w:color w:val="auto"/>
                <w:spacing w:val="-4"/>
                <w:sz w:val="18"/>
                <w:szCs w:val="18"/>
              </w:rPr>
              <w:t>(9.6)</w:t>
            </w:r>
          </w:p>
        </w:tc>
        <w:tc>
          <w:tcPr>
            <w:tcW w:w="874" w:type="dxa"/>
            <w:tcBorders>
              <w:top w:val="single" w:sz="2" w:space="0" w:color="3D7FE0" w:themeColor="accent1"/>
            </w:tcBorders>
          </w:tcPr>
          <w:p w14:paraId="6613C521" w14:textId="30EFAE5C" w:rsidR="003E00A1" w:rsidRPr="0059561F" w:rsidRDefault="003E00A1" w:rsidP="003E00A1">
            <w:pPr>
              <w:pStyle w:val="TableFiguresBracketsBold"/>
              <w:rPr>
                <w:rFonts w:ascii="IBM Plex Sans Light" w:hAnsi="IBM Plex Sans Light"/>
                <w:b w:val="0"/>
                <w:color w:val="auto"/>
                <w:spacing w:val="-4"/>
                <w:sz w:val="18"/>
                <w:szCs w:val="18"/>
              </w:rPr>
            </w:pPr>
            <w:r w:rsidRPr="0059561F">
              <w:rPr>
                <w:rFonts w:ascii="IBM Plex Sans Light" w:hAnsi="IBM Plex Sans Light"/>
                <w:b w:val="0"/>
                <w:color w:val="auto"/>
                <w:spacing w:val="-4"/>
                <w:sz w:val="18"/>
                <w:szCs w:val="18"/>
              </w:rPr>
              <w:t>(6.6)</w:t>
            </w:r>
          </w:p>
        </w:tc>
        <w:tc>
          <w:tcPr>
            <w:tcW w:w="874" w:type="dxa"/>
            <w:tcBorders>
              <w:top w:val="single" w:sz="2" w:space="0" w:color="3D7FE0" w:themeColor="accent1"/>
            </w:tcBorders>
          </w:tcPr>
          <w:p w14:paraId="1F7E78ED" w14:textId="069B58C2"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2.6</w:t>
            </w:r>
          </w:p>
        </w:tc>
        <w:tc>
          <w:tcPr>
            <w:tcW w:w="874" w:type="dxa"/>
            <w:tcBorders>
              <w:top w:val="single" w:sz="2" w:space="0" w:color="3D7FE0" w:themeColor="accent1"/>
            </w:tcBorders>
            <w:tcMar>
              <w:left w:w="0" w:type="dxa"/>
              <w:right w:w="0" w:type="dxa"/>
            </w:tcMar>
          </w:tcPr>
          <w:p w14:paraId="51F1F231" w14:textId="366EF596" w:rsidR="003E00A1" w:rsidRPr="003E00A1"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1.6</w:t>
            </w:r>
          </w:p>
        </w:tc>
        <w:tc>
          <w:tcPr>
            <w:tcW w:w="874" w:type="dxa"/>
            <w:tcBorders>
              <w:top w:val="single" w:sz="2" w:space="0" w:color="3D7FE0" w:themeColor="accent1"/>
            </w:tcBorders>
            <w:tcMar>
              <w:left w:w="0" w:type="dxa"/>
              <w:right w:w="0" w:type="dxa"/>
            </w:tcMar>
          </w:tcPr>
          <w:p w14:paraId="49E51053" w14:textId="2810336F"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(28.3)</w:t>
            </w:r>
          </w:p>
        </w:tc>
        <w:tc>
          <w:tcPr>
            <w:tcW w:w="874" w:type="dxa"/>
            <w:tcBorders>
              <w:top w:val="single" w:sz="2" w:space="0" w:color="3D7FE0" w:themeColor="accent1"/>
            </w:tcBorders>
            <w:tcMar>
              <w:left w:w="0" w:type="dxa"/>
              <w:right w:w="0" w:type="dxa"/>
            </w:tcMar>
          </w:tcPr>
          <w:p w14:paraId="73B027C6" w14:textId="4806E82D" w:rsidR="003E00A1" w:rsidRPr="003E00A1" w:rsidRDefault="003E00A1" w:rsidP="003E00A1">
            <w:pPr>
              <w:pStyle w:val="TableFiguresBracketsBold"/>
              <w:rPr>
                <w:rFonts w:ascii="IBM Plex Sans Light" w:hAnsi="IBM Plex Sans Light"/>
                <w:b w:val="0"/>
                <w:color w:val="auto"/>
                <w:spacing w:val="-4"/>
                <w:sz w:val="18"/>
                <w:szCs w:val="18"/>
              </w:rPr>
            </w:pPr>
            <w:r w:rsidRPr="003E00A1">
              <w:rPr>
                <w:rFonts w:ascii="IBM Plex Sans Light" w:hAnsi="IBM Plex Sans Light"/>
                <w:b w:val="0"/>
                <w:color w:val="auto"/>
                <w:spacing w:val="-4"/>
                <w:sz w:val="18"/>
                <w:szCs w:val="18"/>
              </w:rPr>
              <w:t>(5.0)</w:t>
            </w:r>
          </w:p>
        </w:tc>
      </w:tr>
      <w:tr w:rsidR="003E00A1" w:rsidRPr="00895810" w14:paraId="6A7FE924" w14:textId="77777777" w:rsidTr="00D91739">
        <w:trPr>
          <w:trHeight w:hRule="exact" w:val="283"/>
        </w:trPr>
        <w:tc>
          <w:tcPr>
            <w:tcW w:w="4111" w:type="dxa"/>
            <w:tcBorders>
              <w:top w:val="single" w:sz="8" w:space="0" w:color="3D7FE0" w:themeColor="accent1"/>
              <w:bottom w:val="single" w:sz="8" w:space="0" w:color="3D7FE0" w:themeColor="accent1"/>
            </w:tcBorders>
            <w:tcMar>
              <w:left w:w="0" w:type="dxa"/>
              <w:right w:w="0" w:type="dxa"/>
            </w:tcMar>
            <w:vAlign w:val="bottom"/>
          </w:tcPr>
          <w:p w14:paraId="1F82E95A" w14:textId="08E963CE" w:rsidR="003E00A1" w:rsidRPr="00895810" w:rsidRDefault="003E00A1" w:rsidP="003E00A1">
            <w:pPr>
              <w:pStyle w:val="TableFiguresBrackets"/>
              <w:jc w:val="left"/>
              <w:rPr>
                <w:rFonts w:ascii="IBM Plex Sans Light" w:hAnsi="IBM Plex Sans Light"/>
                <w:b/>
                <w:color w:val="auto"/>
                <w:sz w:val="18"/>
                <w:szCs w:val="18"/>
              </w:rPr>
            </w:pPr>
            <w:r w:rsidRPr="00895810">
              <w:rPr>
                <w:rFonts w:ascii="IBM Plex Sans Light" w:hAnsi="IBM Plex Sans Light"/>
                <w:b/>
                <w:color w:val="auto"/>
                <w:sz w:val="18"/>
                <w:szCs w:val="18"/>
              </w:rPr>
              <w:t>Share of distributions received by the Group</w:t>
            </w:r>
          </w:p>
        </w:tc>
        <w:tc>
          <w:tcPr>
            <w:tcW w:w="567" w:type="dxa"/>
            <w:tcBorders>
              <w:top w:val="single" w:sz="8" w:space="0" w:color="3D7FE0" w:themeColor="accent1"/>
              <w:bottom w:val="single" w:sz="8" w:space="0" w:color="3D7FE0" w:themeColor="accent1"/>
            </w:tcBorders>
            <w:vAlign w:val="bottom"/>
          </w:tcPr>
          <w:p w14:paraId="7C3EE581" w14:textId="77777777" w:rsidR="003E00A1" w:rsidRPr="00895810" w:rsidRDefault="003E00A1" w:rsidP="003E00A1">
            <w:pPr>
              <w:pStyle w:val="TableFiguresBrackets"/>
              <w:jc w:val="left"/>
              <w:rPr>
                <w:rFonts w:ascii="IBM Plex Sans Light" w:hAnsi="IBM Plex Sans Light" w:cs="MyriadPro-Light"/>
                <w:b/>
                <w:color w:val="3D7FE0" w:themeColor="accent1"/>
                <w:spacing w:val="-4"/>
                <w:sz w:val="18"/>
                <w:szCs w:val="18"/>
              </w:rPr>
            </w:pPr>
          </w:p>
        </w:tc>
        <w:tc>
          <w:tcPr>
            <w:tcW w:w="873" w:type="dxa"/>
            <w:tcBorders>
              <w:top w:val="single" w:sz="8" w:space="0" w:color="3D7FE0" w:themeColor="accent1"/>
              <w:bottom w:val="single" w:sz="8" w:space="0" w:color="3D7FE0" w:themeColor="accent1"/>
            </w:tcBorders>
          </w:tcPr>
          <w:p w14:paraId="13F76E77" w14:textId="33856FBC" w:rsidR="003E00A1" w:rsidRPr="00895810" w:rsidRDefault="003E00A1" w:rsidP="003E00A1">
            <w:pPr>
              <w:pStyle w:val="TableFigures"/>
              <w:rPr>
                <w:rFonts w:ascii="IBM Plex Sans Light" w:hAnsi="IBM Plex Sans Light"/>
                <w:color w:val="auto"/>
                <w:spacing w:val="-4"/>
                <w:sz w:val="18"/>
                <w:szCs w:val="18"/>
              </w:rPr>
            </w:pPr>
            <w:r w:rsidRPr="008F4B21">
              <w:rPr>
                <w:rFonts w:ascii="IBM Plex Sans Light" w:hAnsi="IBM Plex Sans Light"/>
                <w:color w:val="auto"/>
                <w:spacing w:val="-4"/>
                <w:sz w:val="18"/>
                <w:szCs w:val="18"/>
              </w:rPr>
              <w:t>11.8</w:t>
            </w:r>
          </w:p>
        </w:tc>
        <w:tc>
          <w:tcPr>
            <w:tcW w:w="874" w:type="dxa"/>
            <w:tcBorders>
              <w:top w:val="single" w:sz="8" w:space="0" w:color="3D7FE0" w:themeColor="accent1"/>
              <w:bottom w:val="single" w:sz="8" w:space="0" w:color="3D7FE0" w:themeColor="accent1"/>
            </w:tcBorders>
          </w:tcPr>
          <w:p w14:paraId="16559497" w14:textId="1679B519" w:rsidR="003E00A1" w:rsidRPr="00895810" w:rsidRDefault="003E00A1" w:rsidP="003E00A1">
            <w:pPr>
              <w:pStyle w:val="TableFigures"/>
              <w:rPr>
                <w:rFonts w:ascii="IBM Plex Sans Light" w:hAnsi="IBM Plex Sans Light"/>
                <w:color w:val="auto"/>
                <w:spacing w:val="-4"/>
                <w:sz w:val="18"/>
                <w:szCs w:val="18"/>
              </w:rPr>
            </w:pPr>
            <w:r w:rsidRPr="0059561F">
              <w:rPr>
                <w:rFonts w:ascii="IBM Plex Sans Light" w:hAnsi="IBM Plex Sans Light"/>
                <w:color w:val="auto"/>
                <w:spacing w:val="-4"/>
                <w:sz w:val="18"/>
                <w:szCs w:val="18"/>
              </w:rPr>
              <w:t>15.8</w:t>
            </w:r>
          </w:p>
        </w:tc>
        <w:tc>
          <w:tcPr>
            <w:tcW w:w="874" w:type="dxa"/>
            <w:tcBorders>
              <w:top w:val="single" w:sz="8" w:space="0" w:color="3D7FE0" w:themeColor="accent1"/>
              <w:bottom w:val="single" w:sz="8" w:space="0" w:color="3D7FE0" w:themeColor="accent1"/>
            </w:tcBorders>
          </w:tcPr>
          <w:p w14:paraId="6C3211A9" w14:textId="1AAF8981"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23.9</w:t>
            </w:r>
          </w:p>
        </w:tc>
        <w:tc>
          <w:tcPr>
            <w:tcW w:w="874" w:type="dxa"/>
            <w:tcBorders>
              <w:top w:val="single" w:sz="8" w:space="0" w:color="3D7FE0" w:themeColor="accent1"/>
              <w:bottom w:val="single" w:sz="8" w:space="0" w:color="3D7FE0" w:themeColor="accent1"/>
            </w:tcBorders>
            <w:tcMar>
              <w:left w:w="0" w:type="dxa"/>
              <w:right w:w="0" w:type="dxa"/>
            </w:tcMar>
          </w:tcPr>
          <w:p w14:paraId="57DC720F" w14:textId="7E0624AF"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c>
          <w:tcPr>
            <w:tcW w:w="874" w:type="dxa"/>
            <w:tcBorders>
              <w:top w:val="single" w:sz="8" w:space="0" w:color="3D7FE0" w:themeColor="accent1"/>
              <w:bottom w:val="single" w:sz="8" w:space="0" w:color="3D7FE0" w:themeColor="accent1"/>
            </w:tcBorders>
            <w:tcMar>
              <w:left w:w="0" w:type="dxa"/>
              <w:right w:w="0" w:type="dxa"/>
            </w:tcMar>
          </w:tcPr>
          <w:p w14:paraId="3F10986B" w14:textId="1F2780FF" w:rsidR="003E00A1" w:rsidRPr="00895810" w:rsidRDefault="003E00A1" w:rsidP="003E00A1">
            <w:pPr>
              <w:pStyle w:val="TableFiguresBold"/>
              <w:rPr>
                <w:rFonts w:ascii="IBM Plex Sans Light" w:hAnsi="IBM Plex Sans Light"/>
                <w:b w:val="0"/>
                <w:bCs w:val="0"/>
                <w:color w:val="auto"/>
                <w:spacing w:val="-4"/>
                <w:sz w:val="18"/>
                <w:szCs w:val="18"/>
              </w:rPr>
            </w:pPr>
            <w:r w:rsidRPr="003E00A1">
              <w:rPr>
                <w:rFonts w:ascii="IBM Plex Sans Light" w:hAnsi="IBM Plex Sans Light"/>
                <w:b w:val="0"/>
                <w:bCs w:val="0"/>
                <w:color w:val="auto"/>
                <w:spacing w:val="-4"/>
                <w:sz w:val="18"/>
                <w:szCs w:val="18"/>
              </w:rPr>
              <w:t>9.3</w:t>
            </w:r>
          </w:p>
        </w:tc>
        <w:tc>
          <w:tcPr>
            <w:tcW w:w="874" w:type="dxa"/>
            <w:tcBorders>
              <w:top w:val="single" w:sz="8" w:space="0" w:color="3D7FE0" w:themeColor="accent1"/>
              <w:bottom w:val="single" w:sz="8" w:space="0" w:color="3D7FE0" w:themeColor="accent1"/>
            </w:tcBorders>
            <w:tcMar>
              <w:left w:w="0" w:type="dxa"/>
              <w:right w:w="0" w:type="dxa"/>
            </w:tcMar>
          </w:tcPr>
          <w:p w14:paraId="7AB41B15" w14:textId="2B008A03" w:rsidR="003E00A1" w:rsidRPr="00895810" w:rsidRDefault="003E00A1" w:rsidP="003E00A1">
            <w:pPr>
              <w:pStyle w:val="TableFigures"/>
              <w:rPr>
                <w:rFonts w:ascii="IBM Plex Sans Light" w:hAnsi="IBM Plex Sans Light"/>
                <w:color w:val="auto"/>
                <w:spacing w:val="-4"/>
                <w:sz w:val="18"/>
                <w:szCs w:val="18"/>
              </w:rPr>
            </w:pPr>
            <w:r w:rsidRPr="003E00A1">
              <w:rPr>
                <w:rFonts w:ascii="IBM Plex Sans Light" w:hAnsi="IBM Plex Sans Light"/>
                <w:color w:val="auto"/>
                <w:spacing w:val="-4"/>
                <w:sz w:val="18"/>
                <w:szCs w:val="18"/>
              </w:rPr>
              <w:t>–</w:t>
            </w:r>
          </w:p>
        </w:tc>
      </w:tr>
    </w:tbl>
    <w:p w14:paraId="54B709F7" w14:textId="77777777" w:rsidR="0008424D" w:rsidRPr="00895810" w:rsidRDefault="0008424D" w:rsidP="0008424D">
      <w:pPr>
        <w:spacing w:after="0" w:line="240" w:lineRule="auto"/>
        <w:rPr>
          <w:rFonts w:ascii="IBM Plex Sans Light" w:hAnsi="IBM Plex Sans Light"/>
        </w:rPr>
      </w:pPr>
      <w:r w:rsidRPr="00895810">
        <w:rPr>
          <w:rFonts w:ascii="IBM Plex Sans Light" w:hAnsi="IBM Plex Sans Light"/>
        </w:rPr>
        <w:t xml:space="preserve"> </w:t>
      </w:r>
    </w:p>
    <w:p w14:paraId="0D0619CE" w14:textId="535BA5C3" w:rsidR="0008424D" w:rsidRPr="00895810" w:rsidRDefault="00410997" w:rsidP="00410997">
      <w:pPr>
        <w:pStyle w:val="Heading2SpaceBefore"/>
        <w:tabs>
          <w:tab w:val="clear" w:pos="340"/>
          <w:tab w:val="left" w:pos="284"/>
        </w:tabs>
        <w:spacing w:before="0"/>
        <w:rPr>
          <w:rFonts w:ascii="IBM Plex Sans Light" w:hAnsi="IBM Plex Sans Light"/>
          <w:color w:val="3D7FE0" w:themeColor="accent1"/>
        </w:rPr>
      </w:pPr>
      <w:r w:rsidRPr="00895810">
        <w:rPr>
          <w:rFonts w:ascii="IBM Plex Sans Light" w:hAnsi="IBM Plex Sans Light"/>
          <w:color w:val="3D7FE0" w:themeColor="accent1"/>
        </w:rPr>
        <w:t xml:space="preserve">C.   </w:t>
      </w:r>
      <w:r w:rsidR="005F6D26" w:rsidRPr="00895810">
        <w:rPr>
          <w:rFonts w:ascii="IBM Plex Sans Light" w:hAnsi="IBM Plex Sans Light"/>
          <w:color w:val="3D7FE0" w:themeColor="accent1"/>
        </w:rPr>
        <w:t>ASSETS AND LIABILITIES</w:t>
      </w:r>
    </w:p>
    <w:tbl>
      <w:tblPr>
        <w:tblW w:w="9921" w:type="dxa"/>
        <w:tblLayout w:type="fixed"/>
        <w:tblLook w:val="01E0" w:firstRow="1" w:lastRow="1" w:firstColumn="1" w:lastColumn="1" w:noHBand="0" w:noVBand="0"/>
      </w:tblPr>
      <w:tblGrid>
        <w:gridCol w:w="4111"/>
        <w:gridCol w:w="567"/>
        <w:gridCol w:w="873"/>
        <w:gridCol w:w="874"/>
        <w:gridCol w:w="874"/>
        <w:gridCol w:w="874"/>
        <w:gridCol w:w="874"/>
        <w:gridCol w:w="874"/>
      </w:tblGrid>
      <w:tr w:rsidR="0008424D" w:rsidRPr="00895810" w14:paraId="3A41C28C" w14:textId="77777777" w:rsidTr="003F2C4C">
        <w:trPr>
          <w:trHeight w:val="97"/>
        </w:trPr>
        <w:tc>
          <w:tcPr>
            <w:tcW w:w="4111" w:type="dxa"/>
            <w:tcBorders>
              <w:bottom w:val="single" w:sz="4" w:space="0" w:color="3D7FE0" w:themeColor="accent1"/>
            </w:tcBorders>
            <w:tcMar>
              <w:left w:w="0" w:type="dxa"/>
              <w:bottom w:w="57" w:type="dxa"/>
              <w:right w:w="0" w:type="dxa"/>
            </w:tcMar>
            <w:vAlign w:val="bottom"/>
          </w:tcPr>
          <w:p w14:paraId="3E18BBD8" w14:textId="77777777" w:rsidR="0008424D" w:rsidRPr="00895810" w:rsidRDefault="0008424D" w:rsidP="003F2C4C">
            <w:pPr>
              <w:pStyle w:val="TableColHeadsBold"/>
              <w:ind w:right="0"/>
              <w:rPr>
                <w:rFonts w:ascii="IBM Plex Sans Light" w:hAnsi="IBM Plex Sans Light"/>
                <w:color w:val="3D7FE0" w:themeColor="accent1"/>
              </w:rPr>
            </w:pPr>
          </w:p>
        </w:tc>
        <w:tc>
          <w:tcPr>
            <w:tcW w:w="567" w:type="dxa"/>
            <w:tcBorders>
              <w:bottom w:val="single" w:sz="4" w:space="0" w:color="3D7FE0" w:themeColor="accent1"/>
            </w:tcBorders>
            <w:vAlign w:val="bottom"/>
          </w:tcPr>
          <w:p w14:paraId="55EB164C" w14:textId="77777777" w:rsidR="0008424D" w:rsidRPr="00895810" w:rsidRDefault="0008424D" w:rsidP="003F2C4C">
            <w:pPr>
              <w:pStyle w:val="TableColHeadsBold"/>
              <w:ind w:right="0"/>
              <w:rPr>
                <w:rFonts w:ascii="IBM Plex Sans Light" w:hAnsi="IBM Plex Sans Light"/>
                <w:color w:val="3D7FE0" w:themeColor="accent1"/>
                <w:sz w:val="16"/>
                <w:szCs w:val="16"/>
              </w:rPr>
            </w:pPr>
          </w:p>
        </w:tc>
        <w:tc>
          <w:tcPr>
            <w:tcW w:w="873" w:type="dxa"/>
            <w:tcBorders>
              <w:bottom w:val="single" w:sz="4" w:space="0" w:color="3D7FE0" w:themeColor="accent1"/>
            </w:tcBorders>
            <w:vAlign w:val="bottom"/>
          </w:tcPr>
          <w:p w14:paraId="36C350BB" w14:textId="77777777" w:rsidR="0008424D" w:rsidRPr="00895810" w:rsidRDefault="0008424D" w:rsidP="003F2C4C">
            <w:pPr>
              <w:pStyle w:val="TableColHeadsBold"/>
              <w:ind w:right="0"/>
              <w:rPr>
                <w:rFonts w:ascii="IBM Plex Sans Light" w:hAnsi="IBM Plex Sans Light"/>
              </w:rPr>
            </w:pPr>
          </w:p>
        </w:tc>
        <w:tc>
          <w:tcPr>
            <w:tcW w:w="874" w:type="dxa"/>
            <w:tcBorders>
              <w:bottom w:val="single" w:sz="4" w:space="0" w:color="3D7FE0" w:themeColor="accent1"/>
            </w:tcBorders>
            <w:vAlign w:val="bottom"/>
          </w:tcPr>
          <w:p w14:paraId="7DFCD7B8" w14:textId="77777777" w:rsidR="0008424D" w:rsidRPr="00895810" w:rsidRDefault="0008424D" w:rsidP="003F2C4C">
            <w:pPr>
              <w:pStyle w:val="TableColHeadsBold"/>
              <w:ind w:right="0"/>
              <w:rPr>
                <w:rFonts w:ascii="IBM Plex Sans Light" w:hAnsi="IBM Plex Sans Light"/>
              </w:rPr>
            </w:pPr>
          </w:p>
        </w:tc>
        <w:tc>
          <w:tcPr>
            <w:tcW w:w="874" w:type="dxa"/>
            <w:tcBorders>
              <w:bottom w:val="single" w:sz="4" w:space="0" w:color="3D7FE0" w:themeColor="accent1"/>
            </w:tcBorders>
            <w:vAlign w:val="bottom"/>
          </w:tcPr>
          <w:p w14:paraId="67EC9A1D" w14:textId="77777777" w:rsidR="0008424D" w:rsidRPr="00895810" w:rsidRDefault="0008424D" w:rsidP="003F2C4C">
            <w:pPr>
              <w:pStyle w:val="TableColHeadsBold"/>
              <w:ind w:right="0"/>
              <w:rPr>
                <w:rFonts w:ascii="IBM Plex Sans Light" w:hAnsi="IBM Plex Sans Light"/>
              </w:rPr>
            </w:pPr>
          </w:p>
        </w:tc>
        <w:tc>
          <w:tcPr>
            <w:tcW w:w="874" w:type="dxa"/>
            <w:tcBorders>
              <w:bottom w:val="single" w:sz="4" w:space="0" w:color="3D7FE0" w:themeColor="accent1"/>
            </w:tcBorders>
            <w:vAlign w:val="bottom"/>
          </w:tcPr>
          <w:p w14:paraId="7AE13681" w14:textId="77777777" w:rsidR="0008424D" w:rsidRPr="00895810" w:rsidRDefault="0008424D" w:rsidP="003F2C4C">
            <w:pPr>
              <w:pStyle w:val="TableColHeadsBold"/>
              <w:ind w:right="0"/>
              <w:rPr>
                <w:rFonts w:ascii="IBM Plex Sans Light" w:hAnsi="IBM Plex Sans Light"/>
              </w:rPr>
            </w:pPr>
          </w:p>
        </w:tc>
        <w:tc>
          <w:tcPr>
            <w:tcW w:w="874" w:type="dxa"/>
            <w:tcBorders>
              <w:bottom w:val="single" w:sz="4" w:space="0" w:color="3D7FE0" w:themeColor="accent1"/>
            </w:tcBorders>
            <w:tcMar>
              <w:left w:w="0" w:type="dxa"/>
              <w:bottom w:w="57" w:type="dxa"/>
              <w:right w:w="0" w:type="dxa"/>
            </w:tcMar>
            <w:vAlign w:val="bottom"/>
          </w:tcPr>
          <w:p w14:paraId="2CF4E940" w14:textId="77777777" w:rsidR="0008424D" w:rsidRPr="00895810" w:rsidRDefault="0008424D" w:rsidP="003F2C4C">
            <w:pPr>
              <w:pStyle w:val="TableColHeadsBold"/>
              <w:rPr>
                <w:rFonts w:ascii="IBM Plex Sans Light" w:hAnsi="IBM Plex Sans Light"/>
                <w:b w:val="0"/>
              </w:rPr>
            </w:pPr>
          </w:p>
        </w:tc>
        <w:tc>
          <w:tcPr>
            <w:tcW w:w="874" w:type="dxa"/>
            <w:tcBorders>
              <w:bottom w:val="single" w:sz="4" w:space="0" w:color="3D7FE0" w:themeColor="accent1"/>
            </w:tcBorders>
            <w:vAlign w:val="bottom"/>
          </w:tcPr>
          <w:p w14:paraId="4AA515CA" w14:textId="4CB08F3D" w:rsidR="0008424D" w:rsidRPr="00895810" w:rsidRDefault="006E7EB0" w:rsidP="003F2C4C">
            <w:pPr>
              <w:pStyle w:val="TableColHeadsBold"/>
              <w:ind w:left="-106" w:right="0"/>
              <w:rPr>
                <w:rFonts w:ascii="IBM Plex Sans Light" w:hAnsi="IBM Plex Sans Light"/>
                <w:b w:val="0"/>
              </w:rPr>
            </w:pPr>
            <w:r>
              <w:rPr>
                <w:rFonts w:ascii="IBM Plex Sans Light" w:hAnsi="IBM Plex Sans Light"/>
              </w:rPr>
              <w:t>2022</w:t>
            </w:r>
          </w:p>
        </w:tc>
      </w:tr>
      <w:tr w:rsidR="0008424D" w:rsidRPr="00895810" w14:paraId="0B2E6CDF" w14:textId="77777777" w:rsidTr="003F2C4C">
        <w:trPr>
          <w:trHeight w:val="72"/>
        </w:trPr>
        <w:tc>
          <w:tcPr>
            <w:tcW w:w="4111" w:type="dxa"/>
            <w:tcBorders>
              <w:top w:val="single" w:sz="4" w:space="0" w:color="3D7FE0" w:themeColor="accent1"/>
            </w:tcBorders>
            <w:tcMar>
              <w:left w:w="0" w:type="dxa"/>
              <w:bottom w:w="57" w:type="dxa"/>
              <w:right w:w="0" w:type="dxa"/>
            </w:tcMar>
            <w:vAlign w:val="bottom"/>
          </w:tcPr>
          <w:p w14:paraId="07D13860" w14:textId="77777777" w:rsidR="0008424D" w:rsidRPr="00895810" w:rsidRDefault="0008424D" w:rsidP="003F2C4C">
            <w:pPr>
              <w:pStyle w:val="TableColHeadsBold"/>
              <w:ind w:right="0"/>
              <w:rPr>
                <w:rFonts w:ascii="IBM Plex Sans Light" w:hAnsi="IBM Plex Sans Light"/>
                <w:color w:val="3D7FE0" w:themeColor="accent1"/>
              </w:rPr>
            </w:pPr>
          </w:p>
        </w:tc>
        <w:tc>
          <w:tcPr>
            <w:tcW w:w="567" w:type="dxa"/>
            <w:tcBorders>
              <w:top w:val="single" w:sz="4" w:space="0" w:color="3D7FE0" w:themeColor="accent1"/>
            </w:tcBorders>
            <w:vAlign w:val="bottom"/>
          </w:tcPr>
          <w:p w14:paraId="006C613E" w14:textId="77777777" w:rsidR="0008424D" w:rsidRPr="00895810" w:rsidRDefault="0008424D" w:rsidP="003F2C4C">
            <w:pPr>
              <w:pStyle w:val="TableColHeadsBold"/>
              <w:ind w:right="0"/>
              <w:rPr>
                <w:rFonts w:ascii="IBM Plex Sans Light" w:hAnsi="IBM Plex Sans Light"/>
                <w:color w:val="3D7FE0" w:themeColor="accent1"/>
                <w:sz w:val="16"/>
                <w:szCs w:val="16"/>
              </w:rPr>
            </w:pPr>
          </w:p>
        </w:tc>
        <w:tc>
          <w:tcPr>
            <w:tcW w:w="873" w:type="dxa"/>
            <w:tcBorders>
              <w:top w:val="single" w:sz="4" w:space="0" w:color="3D7FE0" w:themeColor="accent1"/>
              <w:bottom w:val="single" w:sz="4" w:space="0" w:color="3D7FE0" w:themeColor="accent1"/>
            </w:tcBorders>
            <w:vAlign w:val="bottom"/>
          </w:tcPr>
          <w:p w14:paraId="58DB3AFF" w14:textId="77777777" w:rsidR="0008424D" w:rsidRPr="00895810" w:rsidRDefault="0008424D" w:rsidP="003F2C4C">
            <w:pPr>
              <w:pStyle w:val="TableColHeadsBold"/>
              <w:ind w:right="0"/>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6D7340AC" w14:textId="77777777" w:rsidR="0008424D" w:rsidRPr="00895810" w:rsidRDefault="0008424D" w:rsidP="003F2C4C">
            <w:pPr>
              <w:pStyle w:val="TableColHeadsBold"/>
              <w:ind w:right="0"/>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7984EB56" w14:textId="77777777" w:rsidR="0008424D" w:rsidRPr="00895810" w:rsidRDefault="0008424D" w:rsidP="003F2C4C">
            <w:pPr>
              <w:pStyle w:val="TableColHeadsBold"/>
              <w:ind w:right="0"/>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7B452EF6" w14:textId="77777777" w:rsidR="0008424D" w:rsidRPr="00895810" w:rsidRDefault="0008424D" w:rsidP="003F2C4C">
            <w:pPr>
              <w:pStyle w:val="TableColHeadsBold"/>
              <w:ind w:right="0"/>
              <w:rPr>
                <w:rFonts w:ascii="IBM Plex Sans Light" w:hAnsi="IBM Plex Sans Light"/>
              </w:rPr>
            </w:pPr>
          </w:p>
        </w:tc>
        <w:tc>
          <w:tcPr>
            <w:tcW w:w="874" w:type="dxa"/>
            <w:tcBorders>
              <w:top w:val="single" w:sz="4" w:space="0" w:color="3D7FE0" w:themeColor="accent1"/>
              <w:bottom w:val="single" w:sz="4" w:space="0" w:color="3D7FE0" w:themeColor="accent1"/>
            </w:tcBorders>
            <w:tcMar>
              <w:left w:w="0" w:type="dxa"/>
              <w:bottom w:w="57" w:type="dxa"/>
              <w:right w:w="0" w:type="dxa"/>
            </w:tcMar>
            <w:vAlign w:val="bottom"/>
          </w:tcPr>
          <w:p w14:paraId="282782CA" w14:textId="77777777" w:rsidR="0008424D" w:rsidRPr="00895810" w:rsidRDefault="0008424D" w:rsidP="003F2C4C">
            <w:pPr>
              <w:pStyle w:val="TableColHeadsBold"/>
              <w:rPr>
                <w:rFonts w:ascii="IBM Plex Sans Light" w:hAnsi="IBM Plex Sans Light"/>
              </w:rPr>
            </w:pPr>
          </w:p>
        </w:tc>
        <w:tc>
          <w:tcPr>
            <w:tcW w:w="874" w:type="dxa"/>
            <w:tcBorders>
              <w:top w:val="single" w:sz="4" w:space="0" w:color="3D7FE0" w:themeColor="accent1"/>
              <w:bottom w:val="single" w:sz="4" w:space="0" w:color="3D7FE0" w:themeColor="accent1"/>
            </w:tcBorders>
            <w:vAlign w:val="bottom"/>
          </w:tcPr>
          <w:p w14:paraId="0ED136C2" w14:textId="77777777" w:rsidR="0008424D" w:rsidRPr="00895810" w:rsidRDefault="0008424D" w:rsidP="003F2C4C">
            <w:pPr>
              <w:pStyle w:val="TableColHeadsBold"/>
              <w:ind w:left="-106" w:right="0"/>
              <w:rPr>
                <w:rFonts w:ascii="IBM Plex Sans Light" w:hAnsi="IBM Plex Sans Light"/>
              </w:rPr>
            </w:pPr>
            <w:r w:rsidRPr="00895810">
              <w:rPr>
                <w:rFonts w:ascii="IBM Plex Sans Light" w:hAnsi="IBM Plex Sans Light"/>
              </w:rPr>
              <w:t>100% share</w:t>
            </w:r>
          </w:p>
        </w:tc>
      </w:tr>
      <w:tr w:rsidR="0008424D" w:rsidRPr="00895810" w14:paraId="392C524C" w14:textId="77777777" w:rsidTr="003E29BC">
        <w:trPr>
          <w:trHeight w:val="50"/>
        </w:trPr>
        <w:tc>
          <w:tcPr>
            <w:tcW w:w="4111" w:type="dxa"/>
            <w:tcMar>
              <w:left w:w="0" w:type="dxa"/>
              <w:bottom w:w="57" w:type="dxa"/>
              <w:right w:w="0" w:type="dxa"/>
            </w:tcMar>
            <w:vAlign w:val="bottom"/>
          </w:tcPr>
          <w:p w14:paraId="0F1369ED" w14:textId="77777777" w:rsidR="0008424D" w:rsidRPr="00895810" w:rsidRDefault="0008424D" w:rsidP="003F2C4C">
            <w:pPr>
              <w:pStyle w:val="TableColHeadsBold"/>
              <w:ind w:right="0"/>
              <w:rPr>
                <w:rFonts w:ascii="IBM Plex Sans Light" w:hAnsi="IBM Plex Sans Light"/>
                <w:color w:val="3D7FE0" w:themeColor="accent1"/>
              </w:rPr>
            </w:pPr>
          </w:p>
        </w:tc>
        <w:tc>
          <w:tcPr>
            <w:tcW w:w="567" w:type="dxa"/>
            <w:vAlign w:val="bottom"/>
          </w:tcPr>
          <w:p w14:paraId="76D36470" w14:textId="77777777" w:rsidR="0008424D" w:rsidRPr="00895810" w:rsidRDefault="0008424D" w:rsidP="003F2C4C">
            <w:pPr>
              <w:pStyle w:val="TableColHeadsBold"/>
              <w:ind w:right="0"/>
              <w:rPr>
                <w:rFonts w:ascii="IBM Plex Sans Light" w:hAnsi="IBM Plex Sans Light"/>
                <w:color w:val="3D7FE0" w:themeColor="accent1"/>
                <w:sz w:val="16"/>
                <w:szCs w:val="16"/>
              </w:rPr>
            </w:pPr>
          </w:p>
        </w:tc>
        <w:tc>
          <w:tcPr>
            <w:tcW w:w="873" w:type="dxa"/>
            <w:tcBorders>
              <w:top w:val="single" w:sz="4" w:space="0" w:color="3D7FE0" w:themeColor="accent1"/>
            </w:tcBorders>
            <w:vAlign w:val="bottom"/>
          </w:tcPr>
          <w:p w14:paraId="26C1177F" w14:textId="77777777" w:rsidR="0008424D" w:rsidRPr="00895810" w:rsidRDefault="0008424D" w:rsidP="003F2C4C">
            <w:pPr>
              <w:pStyle w:val="TableColHeadsBold"/>
              <w:ind w:right="0"/>
              <w:rPr>
                <w:rFonts w:ascii="IBM Plex Sans Light" w:hAnsi="IBM Plex Sans Light"/>
              </w:rPr>
            </w:pPr>
            <w:r w:rsidRPr="00895810">
              <w:rPr>
                <w:rFonts w:ascii="IBM Plex Sans Light" w:hAnsi="IBM Plex Sans Light"/>
              </w:rPr>
              <w:t>Brent Cross</w:t>
            </w:r>
          </w:p>
        </w:tc>
        <w:tc>
          <w:tcPr>
            <w:tcW w:w="874" w:type="dxa"/>
            <w:tcBorders>
              <w:top w:val="single" w:sz="4" w:space="0" w:color="3D7FE0" w:themeColor="accent1"/>
            </w:tcBorders>
            <w:vAlign w:val="bottom"/>
          </w:tcPr>
          <w:p w14:paraId="58AF31E3" w14:textId="77777777" w:rsidR="0008424D" w:rsidRPr="00895810" w:rsidRDefault="0008424D" w:rsidP="003F2C4C">
            <w:pPr>
              <w:pStyle w:val="TableColHeadsBold"/>
              <w:ind w:right="0"/>
              <w:rPr>
                <w:rFonts w:ascii="IBM Plex Sans Light" w:hAnsi="IBM Plex Sans Light"/>
              </w:rPr>
            </w:pPr>
            <w:r w:rsidRPr="00895810">
              <w:rPr>
                <w:rFonts w:ascii="IBM Plex Sans Light" w:hAnsi="IBM Plex Sans Light"/>
              </w:rPr>
              <w:t>Cabot Circus</w:t>
            </w:r>
          </w:p>
        </w:tc>
        <w:tc>
          <w:tcPr>
            <w:tcW w:w="874" w:type="dxa"/>
            <w:tcBorders>
              <w:top w:val="single" w:sz="4" w:space="0" w:color="3D7FE0" w:themeColor="accent1"/>
            </w:tcBorders>
            <w:vAlign w:val="bottom"/>
          </w:tcPr>
          <w:p w14:paraId="5419A7A2" w14:textId="77777777" w:rsidR="0008424D" w:rsidRPr="00895810" w:rsidRDefault="0008424D" w:rsidP="003F2C4C">
            <w:pPr>
              <w:pStyle w:val="TableColHeadsBold"/>
              <w:ind w:right="0"/>
              <w:rPr>
                <w:rFonts w:ascii="IBM Plex Sans Light" w:hAnsi="IBM Plex Sans Light"/>
              </w:rPr>
            </w:pPr>
            <w:r w:rsidRPr="00895810">
              <w:rPr>
                <w:rFonts w:ascii="IBM Plex Sans Light" w:hAnsi="IBM Plex Sans Light"/>
              </w:rPr>
              <w:t>Bullring</w:t>
            </w:r>
          </w:p>
        </w:tc>
        <w:tc>
          <w:tcPr>
            <w:tcW w:w="874" w:type="dxa"/>
            <w:tcBorders>
              <w:top w:val="single" w:sz="4" w:space="0" w:color="3D7FE0" w:themeColor="accent1"/>
            </w:tcBorders>
            <w:vAlign w:val="bottom"/>
          </w:tcPr>
          <w:p w14:paraId="7740C757" w14:textId="77777777" w:rsidR="0008424D" w:rsidRPr="00895810" w:rsidRDefault="0008424D" w:rsidP="003F2C4C">
            <w:pPr>
              <w:pStyle w:val="TableColHeadsBold"/>
              <w:ind w:right="0"/>
              <w:rPr>
                <w:rFonts w:ascii="IBM Plex Sans Light" w:hAnsi="IBM Plex Sans Light"/>
              </w:rPr>
            </w:pPr>
            <w:r w:rsidRPr="00895810">
              <w:rPr>
                <w:rFonts w:ascii="IBM Plex Sans Light" w:hAnsi="IBM Plex Sans Light"/>
              </w:rPr>
              <w:t>Grand Central</w:t>
            </w:r>
          </w:p>
        </w:tc>
        <w:tc>
          <w:tcPr>
            <w:tcW w:w="874" w:type="dxa"/>
            <w:tcBorders>
              <w:top w:val="single" w:sz="4" w:space="0" w:color="3D7FE0" w:themeColor="accent1"/>
            </w:tcBorders>
            <w:tcMar>
              <w:left w:w="0" w:type="dxa"/>
              <w:bottom w:w="57" w:type="dxa"/>
              <w:right w:w="0" w:type="dxa"/>
            </w:tcMar>
            <w:vAlign w:val="bottom"/>
          </w:tcPr>
          <w:p w14:paraId="0B2C5E7A" w14:textId="77777777" w:rsidR="0008424D" w:rsidRPr="00895810" w:rsidRDefault="0008424D" w:rsidP="003F2C4C">
            <w:pPr>
              <w:pStyle w:val="TableColHeadsBold"/>
              <w:rPr>
                <w:rFonts w:ascii="IBM Plex Sans Light" w:hAnsi="IBM Plex Sans Light"/>
              </w:rPr>
            </w:pPr>
            <w:r w:rsidRPr="00895810">
              <w:rPr>
                <w:rFonts w:ascii="IBM Plex Sans Light" w:hAnsi="IBM Plex Sans Light"/>
              </w:rPr>
              <w:t>The Oracle</w:t>
            </w:r>
          </w:p>
        </w:tc>
        <w:tc>
          <w:tcPr>
            <w:tcW w:w="874" w:type="dxa"/>
            <w:tcBorders>
              <w:top w:val="single" w:sz="4" w:space="0" w:color="3D7FE0" w:themeColor="accent1"/>
            </w:tcBorders>
            <w:vAlign w:val="bottom"/>
          </w:tcPr>
          <w:p w14:paraId="40312A30" w14:textId="77777777" w:rsidR="0008424D" w:rsidRPr="00895810" w:rsidRDefault="0008424D" w:rsidP="003F2C4C">
            <w:pPr>
              <w:pStyle w:val="TableColHeadsBold"/>
              <w:ind w:left="-106" w:right="0"/>
              <w:rPr>
                <w:rFonts w:ascii="IBM Plex Sans Light" w:hAnsi="IBM Plex Sans Light"/>
              </w:rPr>
            </w:pPr>
            <w:r w:rsidRPr="00895810">
              <w:rPr>
                <w:rFonts w:ascii="IBM Plex Sans Light" w:hAnsi="IBM Plex Sans Light"/>
              </w:rPr>
              <w:t>West Quay</w:t>
            </w:r>
          </w:p>
        </w:tc>
      </w:tr>
      <w:tr w:rsidR="003E29BC" w:rsidRPr="00895810" w14:paraId="7CBEE335" w14:textId="77777777" w:rsidTr="003E29BC">
        <w:trPr>
          <w:trHeight w:val="58"/>
        </w:trPr>
        <w:tc>
          <w:tcPr>
            <w:tcW w:w="4111" w:type="dxa"/>
            <w:tcMar>
              <w:left w:w="0" w:type="dxa"/>
              <w:bottom w:w="28" w:type="dxa"/>
              <w:right w:w="0" w:type="dxa"/>
            </w:tcMar>
            <w:vAlign w:val="bottom"/>
          </w:tcPr>
          <w:p w14:paraId="392441D2" w14:textId="77777777" w:rsidR="003E29BC" w:rsidRPr="00895810" w:rsidRDefault="003E29BC" w:rsidP="003E29BC">
            <w:pPr>
              <w:pStyle w:val="TableColHeadsBold"/>
              <w:rPr>
                <w:rFonts w:ascii="IBM Plex Sans Light" w:hAnsi="IBM Plex Sans Light"/>
                <w:color w:val="3D7FE0" w:themeColor="accent1"/>
              </w:rPr>
            </w:pPr>
          </w:p>
        </w:tc>
        <w:tc>
          <w:tcPr>
            <w:tcW w:w="567" w:type="dxa"/>
            <w:vAlign w:val="bottom"/>
          </w:tcPr>
          <w:p w14:paraId="3EFDE144" w14:textId="77777777" w:rsidR="003E29BC" w:rsidRPr="00895810" w:rsidRDefault="003E29BC" w:rsidP="003E29BC">
            <w:pPr>
              <w:pStyle w:val="TableColHeadsBold"/>
              <w:rPr>
                <w:rFonts w:ascii="IBM Plex Sans Light" w:hAnsi="IBM Plex Sans Light"/>
                <w:color w:val="3D7FE0" w:themeColor="accent1"/>
                <w:sz w:val="16"/>
                <w:szCs w:val="16"/>
              </w:rPr>
            </w:pPr>
          </w:p>
        </w:tc>
        <w:tc>
          <w:tcPr>
            <w:tcW w:w="873" w:type="dxa"/>
            <w:vAlign w:val="bottom"/>
          </w:tcPr>
          <w:p w14:paraId="2CB7CE96" w14:textId="77777777" w:rsidR="003E29BC" w:rsidRPr="00895810" w:rsidRDefault="003E29BC" w:rsidP="003E29BC">
            <w:pPr>
              <w:pStyle w:val="TableColHeadsBold"/>
              <w:rPr>
                <w:rFonts w:ascii="IBM Plex Sans Light" w:hAnsi="IBM Plex Sans Light"/>
              </w:rPr>
            </w:pPr>
          </w:p>
        </w:tc>
        <w:tc>
          <w:tcPr>
            <w:tcW w:w="874" w:type="dxa"/>
            <w:vAlign w:val="bottom"/>
          </w:tcPr>
          <w:p w14:paraId="227D2503" w14:textId="77777777" w:rsidR="003E29BC" w:rsidRPr="00895810" w:rsidRDefault="003E29BC" w:rsidP="003E29BC">
            <w:pPr>
              <w:pStyle w:val="TableColHeadsBold"/>
              <w:rPr>
                <w:rFonts w:ascii="IBM Plex Sans Light" w:hAnsi="IBM Plex Sans Light"/>
              </w:rPr>
            </w:pPr>
          </w:p>
        </w:tc>
        <w:tc>
          <w:tcPr>
            <w:tcW w:w="874" w:type="dxa"/>
            <w:vAlign w:val="bottom"/>
          </w:tcPr>
          <w:p w14:paraId="3601B9BC" w14:textId="77777777" w:rsidR="003E29BC" w:rsidRPr="00895810" w:rsidRDefault="003E29BC" w:rsidP="003E29BC">
            <w:pPr>
              <w:pStyle w:val="TableColHeadsBold"/>
              <w:rPr>
                <w:rFonts w:ascii="IBM Plex Sans Light" w:hAnsi="IBM Plex Sans Light"/>
              </w:rPr>
            </w:pPr>
          </w:p>
        </w:tc>
        <w:tc>
          <w:tcPr>
            <w:tcW w:w="874" w:type="dxa"/>
            <w:tcMar>
              <w:left w:w="0" w:type="dxa"/>
              <w:bottom w:w="28" w:type="dxa"/>
              <w:right w:w="0" w:type="dxa"/>
            </w:tcMar>
            <w:vAlign w:val="bottom"/>
          </w:tcPr>
          <w:p w14:paraId="7B3F2C5F" w14:textId="77777777" w:rsidR="003E29BC" w:rsidRPr="00895810" w:rsidRDefault="003E29BC" w:rsidP="003E29BC">
            <w:pPr>
              <w:pStyle w:val="TableColHeadsBold"/>
              <w:rPr>
                <w:rFonts w:ascii="IBM Plex Sans Light" w:hAnsi="IBM Plex Sans Light"/>
              </w:rPr>
            </w:pPr>
          </w:p>
        </w:tc>
        <w:tc>
          <w:tcPr>
            <w:tcW w:w="874" w:type="dxa"/>
            <w:tcMar>
              <w:left w:w="0" w:type="dxa"/>
              <w:bottom w:w="28" w:type="dxa"/>
              <w:right w:w="0" w:type="dxa"/>
            </w:tcMar>
            <w:vAlign w:val="bottom"/>
          </w:tcPr>
          <w:p w14:paraId="419638DD" w14:textId="77777777" w:rsidR="003E29BC" w:rsidRPr="00895810" w:rsidRDefault="003E29BC" w:rsidP="003E29BC">
            <w:pPr>
              <w:pStyle w:val="TableColHeadsBold"/>
              <w:rPr>
                <w:rFonts w:ascii="IBM Plex Sans Light" w:hAnsi="IBM Plex Sans Light"/>
              </w:rPr>
            </w:pPr>
          </w:p>
        </w:tc>
        <w:tc>
          <w:tcPr>
            <w:tcW w:w="874" w:type="dxa"/>
            <w:tcMar>
              <w:left w:w="0" w:type="dxa"/>
              <w:bottom w:w="28" w:type="dxa"/>
              <w:right w:w="0" w:type="dxa"/>
            </w:tcMar>
            <w:vAlign w:val="bottom"/>
          </w:tcPr>
          <w:p w14:paraId="3B1055F8" w14:textId="5852F261" w:rsidR="003E29BC" w:rsidRPr="00895810" w:rsidRDefault="003E29BC" w:rsidP="003E29BC">
            <w:pPr>
              <w:pStyle w:val="TableColHeadsBold"/>
              <w:rPr>
                <w:rFonts w:ascii="IBM Plex Sans Light" w:hAnsi="IBM Plex Sans Light"/>
              </w:rPr>
            </w:pPr>
            <w:r w:rsidRPr="00895810">
              <w:rPr>
                <w:rFonts w:ascii="IBM Plex Sans Light" w:hAnsi="IBM Plex Sans Light"/>
                <w:b w:val="0"/>
                <w:bCs w:val="0"/>
                <w:sz w:val="16"/>
                <w:szCs w:val="22"/>
              </w:rPr>
              <w:t>e</w:t>
            </w:r>
          </w:p>
        </w:tc>
      </w:tr>
      <w:tr w:rsidR="003E29BC" w:rsidRPr="00895810" w14:paraId="6CB76AEF" w14:textId="77777777" w:rsidTr="00024B10">
        <w:trPr>
          <w:trHeight w:val="58"/>
        </w:trPr>
        <w:tc>
          <w:tcPr>
            <w:tcW w:w="4111" w:type="dxa"/>
            <w:tcBorders>
              <w:bottom w:val="single" w:sz="2" w:space="0" w:color="3D7FE0" w:themeColor="accent1"/>
            </w:tcBorders>
            <w:tcMar>
              <w:left w:w="0" w:type="dxa"/>
              <w:bottom w:w="28" w:type="dxa"/>
              <w:right w:w="0" w:type="dxa"/>
            </w:tcMar>
            <w:vAlign w:val="bottom"/>
          </w:tcPr>
          <w:p w14:paraId="745E05CC" w14:textId="77777777" w:rsidR="003E29BC" w:rsidRPr="00895810" w:rsidRDefault="003E29BC" w:rsidP="003E29BC">
            <w:pPr>
              <w:pStyle w:val="TableColHeadsBold"/>
              <w:rPr>
                <w:rFonts w:ascii="IBM Plex Sans Light" w:hAnsi="IBM Plex Sans Light"/>
                <w:color w:val="3D7FE0" w:themeColor="accent1"/>
              </w:rPr>
            </w:pPr>
          </w:p>
        </w:tc>
        <w:tc>
          <w:tcPr>
            <w:tcW w:w="567" w:type="dxa"/>
            <w:tcBorders>
              <w:bottom w:val="single" w:sz="2" w:space="0" w:color="3D7FE0" w:themeColor="accent1"/>
            </w:tcBorders>
            <w:vAlign w:val="bottom"/>
          </w:tcPr>
          <w:p w14:paraId="56115B4B" w14:textId="77777777" w:rsidR="003E29BC" w:rsidRPr="00895810" w:rsidRDefault="003E29BC" w:rsidP="003E29BC">
            <w:pPr>
              <w:pStyle w:val="TableColHeadsBold"/>
              <w:rPr>
                <w:rFonts w:ascii="IBM Plex Sans Light" w:hAnsi="IBM Plex Sans Light"/>
                <w:color w:val="3D7FE0" w:themeColor="accent1"/>
                <w:sz w:val="16"/>
                <w:szCs w:val="16"/>
              </w:rPr>
            </w:pPr>
          </w:p>
        </w:tc>
        <w:tc>
          <w:tcPr>
            <w:tcW w:w="873" w:type="dxa"/>
            <w:tcBorders>
              <w:bottom w:val="single" w:sz="2" w:space="0" w:color="3D7FE0" w:themeColor="accent1"/>
            </w:tcBorders>
            <w:vAlign w:val="bottom"/>
          </w:tcPr>
          <w:p w14:paraId="72E83392" w14:textId="77777777" w:rsidR="003E29BC" w:rsidRPr="00895810" w:rsidRDefault="003E29BC" w:rsidP="003E29B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vAlign w:val="bottom"/>
          </w:tcPr>
          <w:p w14:paraId="510F5462" w14:textId="77777777" w:rsidR="003E29BC" w:rsidRPr="00895810" w:rsidRDefault="003E29BC" w:rsidP="003E29B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vAlign w:val="bottom"/>
          </w:tcPr>
          <w:p w14:paraId="5425269E" w14:textId="77777777" w:rsidR="003E29BC" w:rsidRPr="00895810" w:rsidRDefault="003E29BC" w:rsidP="003E29B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tcMar>
              <w:left w:w="0" w:type="dxa"/>
              <w:bottom w:w="28" w:type="dxa"/>
              <w:right w:w="0" w:type="dxa"/>
            </w:tcMar>
            <w:vAlign w:val="bottom"/>
          </w:tcPr>
          <w:p w14:paraId="30474E45" w14:textId="77777777" w:rsidR="003E29BC" w:rsidRPr="00895810" w:rsidRDefault="003E29BC" w:rsidP="003E29BC">
            <w:pPr>
              <w:pStyle w:val="TableColHeadsBold"/>
              <w:rPr>
                <w:rFonts w:ascii="IBM Plex Sans Light" w:hAnsi="IBM Plex Sans Light"/>
              </w:rPr>
            </w:pPr>
            <w:r w:rsidRPr="00895810">
              <w:rPr>
                <w:rFonts w:ascii="IBM Plex Sans Light" w:hAnsi="IBM Plex Sans Light"/>
              </w:rPr>
              <w:t xml:space="preserve">£m </w:t>
            </w:r>
          </w:p>
        </w:tc>
        <w:tc>
          <w:tcPr>
            <w:tcW w:w="874" w:type="dxa"/>
            <w:tcBorders>
              <w:bottom w:val="single" w:sz="2" w:space="0" w:color="3D7FE0" w:themeColor="accent1"/>
            </w:tcBorders>
            <w:tcMar>
              <w:left w:w="0" w:type="dxa"/>
              <w:bottom w:w="28" w:type="dxa"/>
              <w:right w:w="0" w:type="dxa"/>
            </w:tcMar>
            <w:vAlign w:val="bottom"/>
          </w:tcPr>
          <w:p w14:paraId="3A9282DC" w14:textId="77777777" w:rsidR="003E29BC" w:rsidRPr="00895810" w:rsidRDefault="003E29BC" w:rsidP="003E29BC">
            <w:pPr>
              <w:pStyle w:val="TableColHeadsBold"/>
              <w:rPr>
                <w:rFonts w:ascii="IBM Plex Sans Light" w:hAnsi="IBM Plex Sans Light"/>
                <w:b w:val="0"/>
              </w:rPr>
            </w:pPr>
            <w:r w:rsidRPr="00895810">
              <w:rPr>
                <w:rFonts w:ascii="IBM Plex Sans Light" w:hAnsi="IBM Plex Sans Light"/>
              </w:rPr>
              <w:t xml:space="preserve">£m </w:t>
            </w:r>
          </w:p>
        </w:tc>
        <w:tc>
          <w:tcPr>
            <w:tcW w:w="874" w:type="dxa"/>
            <w:tcBorders>
              <w:bottom w:val="single" w:sz="2" w:space="0" w:color="3D7FE0" w:themeColor="accent1"/>
            </w:tcBorders>
            <w:tcMar>
              <w:left w:w="0" w:type="dxa"/>
              <w:bottom w:w="28" w:type="dxa"/>
              <w:right w:w="0" w:type="dxa"/>
            </w:tcMar>
            <w:vAlign w:val="bottom"/>
          </w:tcPr>
          <w:p w14:paraId="21B30AF0" w14:textId="77777777" w:rsidR="003E29BC" w:rsidRPr="00895810" w:rsidRDefault="003E29BC" w:rsidP="003E29BC">
            <w:pPr>
              <w:pStyle w:val="TableColHeadsBold"/>
              <w:rPr>
                <w:rFonts w:ascii="IBM Plex Sans Light" w:hAnsi="IBM Plex Sans Light"/>
                <w:b w:val="0"/>
              </w:rPr>
            </w:pPr>
            <w:r w:rsidRPr="00895810">
              <w:rPr>
                <w:rFonts w:ascii="IBM Plex Sans Light" w:hAnsi="IBM Plex Sans Light"/>
              </w:rPr>
              <w:t xml:space="preserve">£m </w:t>
            </w:r>
          </w:p>
        </w:tc>
      </w:tr>
      <w:tr w:rsidR="003E29BC" w:rsidRPr="00895810" w14:paraId="6AEFBD98" w14:textId="77777777" w:rsidTr="00024B10">
        <w:trPr>
          <w:trHeight w:hRule="exact" w:val="255"/>
        </w:trPr>
        <w:tc>
          <w:tcPr>
            <w:tcW w:w="4111" w:type="dxa"/>
            <w:tcBorders>
              <w:top w:val="single" w:sz="2" w:space="0" w:color="3D7FE0" w:themeColor="accent1"/>
            </w:tcBorders>
            <w:tcMar>
              <w:left w:w="0" w:type="dxa"/>
              <w:right w:w="0" w:type="dxa"/>
            </w:tcMar>
            <w:vAlign w:val="bottom"/>
          </w:tcPr>
          <w:p w14:paraId="538E332E" w14:textId="77777777" w:rsidR="003E29BC" w:rsidRPr="00895810" w:rsidRDefault="003E29BC" w:rsidP="003E29BC">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Non-current assets</w:t>
            </w:r>
          </w:p>
        </w:tc>
        <w:tc>
          <w:tcPr>
            <w:tcW w:w="567" w:type="dxa"/>
            <w:tcBorders>
              <w:top w:val="single" w:sz="2" w:space="0" w:color="3D7FE0" w:themeColor="accent1"/>
            </w:tcBorders>
            <w:vAlign w:val="bottom"/>
          </w:tcPr>
          <w:p w14:paraId="114E5C55" w14:textId="77777777" w:rsidR="003E29BC" w:rsidRPr="00895810" w:rsidRDefault="003E29BC" w:rsidP="003E29BC">
            <w:pPr>
              <w:pStyle w:val="TableFigures"/>
              <w:jc w:val="left"/>
              <w:rPr>
                <w:rFonts w:ascii="IBM Plex Sans Light" w:hAnsi="IBM Plex Sans Light" w:cs="MyriadPro-Light"/>
                <w:b/>
                <w:color w:val="3D7FE0" w:themeColor="accent1"/>
                <w:spacing w:val="-4"/>
                <w:szCs w:val="16"/>
              </w:rPr>
            </w:pPr>
          </w:p>
        </w:tc>
        <w:tc>
          <w:tcPr>
            <w:tcW w:w="873" w:type="dxa"/>
            <w:tcBorders>
              <w:top w:val="single" w:sz="2" w:space="0" w:color="3D7FE0" w:themeColor="accent1"/>
            </w:tcBorders>
            <w:vAlign w:val="bottom"/>
          </w:tcPr>
          <w:p w14:paraId="0638DC95" w14:textId="77777777" w:rsidR="003E29BC" w:rsidRPr="00895810" w:rsidRDefault="003E29BC" w:rsidP="003E29BC">
            <w:pPr>
              <w:pStyle w:val="TableFigures"/>
              <w:jc w:val="left"/>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vAlign w:val="bottom"/>
          </w:tcPr>
          <w:p w14:paraId="4E730058" w14:textId="77777777" w:rsidR="003E29BC" w:rsidRPr="00895810" w:rsidRDefault="003E29BC" w:rsidP="003E29BC">
            <w:pPr>
              <w:pStyle w:val="TableFigures"/>
              <w:jc w:val="left"/>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vAlign w:val="bottom"/>
          </w:tcPr>
          <w:p w14:paraId="2CE0FCFF" w14:textId="77777777" w:rsidR="003E29BC" w:rsidRPr="00895810" w:rsidRDefault="003E29BC" w:rsidP="003E29BC">
            <w:pPr>
              <w:pStyle w:val="TableFigures"/>
              <w:jc w:val="left"/>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tcMar>
              <w:left w:w="0" w:type="dxa"/>
              <w:right w:w="0" w:type="dxa"/>
            </w:tcMar>
            <w:vAlign w:val="bottom"/>
          </w:tcPr>
          <w:p w14:paraId="4E5691FC" w14:textId="77777777" w:rsidR="003E29BC" w:rsidRPr="00895810" w:rsidRDefault="003E29BC" w:rsidP="003E29BC">
            <w:pPr>
              <w:pStyle w:val="TableFigures"/>
              <w:rPr>
                <w:rFonts w:ascii="IBM Plex Sans Light" w:hAnsi="IBM Plex Sans Light" w:cs="MyriadPro-Light"/>
                <w:b/>
                <w:color w:val="3D7FE0" w:themeColor="accent1"/>
                <w:spacing w:val="-4"/>
                <w:sz w:val="18"/>
                <w:szCs w:val="18"/>
              </w:rPr>
            </w:pPr>
          </w:p>
        </w:tc>
        <w:tc>
          <w:tcPr>
            <w:tcW w:w="874" w:type="dxa"/>
            <w:tcBorders>
              <w:top w:val="single" w:sz="2" w:space="0" w:color="3D7FE0" w:themeColor="accent1"/>
            </w:tcBorders>
            <w:tcMar>
              <w:left w:w="0" w:type="dxa"/>
              <w:right w:w="0" w:type="dxa"/>
            </w:tcMar>
            <w:vAlign w:val="bottom"/>
          </w:tcPr>
          <w:p w14:paraId="6A2B5818" w14:textId="77777777" w:rsidR="003E29BC" w:rsidRPr="00895810" w:rsidRDefault="003E29BC" w:rsidP="003E29BC">
            <w:pPr>
              <w:pStyle w:val="TableFiguresBold"/>
              <w:rPr>
                <w:rFonts w:ascii="IBM Plex Sans Light" w:hAnsi="IBM Plex Sans Light"/>
                <w:color w:val="3D7FE0" w:themeColor="accent1"/>
                <w:spacing w:val="-4"/>
                <w:sz w:val="18"/>
                <w:szCs w:val="18"/>
              </w:rPr>
            </w:pPr>
          </w:p>
        </w:tc>
        <w:tc>
          <w:tcPr>
            <w:tcW w:w="874" w:type="dxa"/>
            <w:tcBorders>
              <w:top w:val="single" w:sz="2" w:space="0" w:color="3D7FE0" w:themeColor="accent1"/>
            </w:tcBorders>
            <w:tcMar>
              <w:left w:w="0" w:type="dxa"/>
              <w:right w:w="0" w:type="dxa"/>
            </w:tcMar>
          </w:tcPr>
          <w:p w14:paraId="1BDF91F9" w14:textId="77777777" w:rsidR="003E29BC" w:rsidRPr="00895810" w:rsidRDefault="003E29BC" w:rsidP="003E29BC">
            <w:pPr>
              <w:pStyle w:val="TableFigures"/>
              <w:rPr>
                <w:rFonts w:ascii="IBM Plex Sans Light" w:hAnsi="IBM Plex Sans Light"/>
                <w:color w:val="auto"/>
                <w:spacing w:val="-4"/>
                <w:sz w:val="18"/>
                <w:szCs w:val="18"/>
              </w:rPr>
            </w:pPr>
          </w:p>
        </w:tc>
      </w:tr>
      <w:tr w:rsidR="00AF6A5C" w:rsidRPr="00895810" w14:paraId="31E44AA5" w14:textId="77777777" w:rsidTr="00024B10">
        <w:trPr>
          <w:trHeight w:hRule="exact" w:val="255"/>
        </w:trPr>
        <w:tc>
          <w:tcPr>
            <w:tcW w:w="4111" w:type="dxa"/>
            <w:tcMar>
              <w:left w:w="0" w:type="dxa"/>
              <w:right w:w="0" w:type="dxa"/>
            </w:tcMar>
            <w:vAlign w:val="bottom"/>
          </w:tcPr>
          <w:p w14:paraId="0A495CA5" w14:textId="77777777" w:rsidR="00AF6A5C" w:rsidRPr="00895810" w:rsidRDefault="00AF6A5C" w:rsidP="00AF6A5C">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spacing w:val="-4"/>
                <w:sz w:val="18"/>
                <w:szCs w:val="18"/>
              </w:rPr>
              <w:t>Investment properties</w:t>
            </w:r>
          </w:p>
        </w:tc>
        <w:tc>
          <w:tcPr>
            <w:tcW w:w="567" w:type="dxa"/>
            <w:vAlign w:val="bottom"/>
          </w:tcPr>
          <w:p w14:paraId="3B73D320" w14:textId="77777777" w:rsidR="00AF6A5C" w:rsidRPr="00895810" w:rsidRDefault="00AF6A5C" w:rsidP="00AF6A5C">
            <w:pPr>
              <w:pStyle w:val="TableFigures"/>
              <w:jc w:val="left"/>
              <w:rPr>
                <w:rFonts w:ascii="IBM Plex Sans Light" w:hAnsi="IBM Plex Sans Light" w:cs="MyriadPro-Light"/>
                <w:b/>
                <w:color w:val="3D7FE0" w:themeColor="accent1"/>
                <w:spacing w:val="-4"/>
                <w:szCs w:val="16"/>
              </w:rPr>
            </w:pPr>
          </w:p>
        </w:tc>
        <w:tc>
          <w:tcPr>
            <w:tcW w:w="873" w:type="dxa"/>
          </w:tcPr>
          <w:p w14:paraId="65773A68" w14:textId="51B4A09E" w:rsidR="00AF6A5C" w:rsidRPr="00895810" w:rsidRDefault="00AF6A5C" w:rsidP="00AF6A5C">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396.6</w:t>
            </w:r>
          </w:p>
        </w:tc>
        <w:tc>
          <w:tcPr>
            <w:tcW w:w="874" w:type="dxa"/>
          </w:tcPr>
          <w:p w14:paraId="2A088212" w14:textId="1FB385B7" w:rsidR="00AF6A5C" w:rsidRPr="00895810" w:rsidRDefault="00AF6A5C" w:rsidP="00AF6A5C">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237.3</w:t>
            </w:r>
          </w:p>
        </w:tc>
        <w:tc>
          <w:tcPr>
            <w:tcW w:w="874" w:type="dxa"/>
          </w:tcPr>
          <w:p w14:paraId="2372C1A9" w14:textId="44433ABA"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540.5</w:t>
            </w:r>
          </w:p>
        </w:tc>
        <w:tc>
          <w:tcPr>
            <w:tcW w:w="874" w:type="dxa"/>
            <w:tcMar>
              <w:left w:w="0" w:type="dxa"/>
              <w:right w:w="0" w:type="dxa"/>
            </w:tcMar>
          </w:tcPr>
          <w:p w14:paraId="047C3110" w14:textId="027469CA"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78.5</w:t>
            </w:r>
          </w:p>
        </w:tc>
        <w:tc>
          <w:tcPr>
            <w:tcW w:w="874" w:type="dxa"/>
            <w:tcMar>
              <w:left w:w="0" w:type="dxa"/>
              <w:right w:w="0" w:type="dxa"/>
            </w:tcMar>
          </w:tcPr>
          <w:p w14:paraId="2B72DCEC" w14:textId="10D00F3D" w:rsidR="00AF6A5C" w:rsidRPr="00895810" w:rsidRDefault="00AF6A5C" w:rsidP="00AF6A5C">
            <w:pPr>
              <w:pStyle w:val="TableFiguresBold"/>
              <w:rPr>
                <w:rFonts w:ascii="IBM Plex Sans Light" w:hAnsi="IBM Plex Sans Light"/>
                <w:b w:val="0"/>
                <w:bCs w:val="0"/>
                <w:color w:val="auto"/>
                <w:spacing w:val="-4"/>
                <w:sz w:val="18"/>
                <w:szCs w:val="18"/>
              </w:rPr>
            </w:pPr>
            <w:r w:rsidRPr="00887AA1">
              <w:rPr>
                <w:rFonts w:ascii="IBM Plex Sans Light" w:hAnsi="IBM Plex Sans Light"/>
                <w:b w:val="0"/>
                <w:bCs w:val="0"/>
                <w:color w:val="auto"/>
                <w:spacing w:val="-4"/>
                <w:sz w:val="18"/>
                <w:szCs w:val="18"/>
              </w:rPr>
              <w:t>201.1</w:t>
            </w:r>
          </w:p>
        </w:tc>
        <w:tc>
          <w:tcPr>
            <w:tcW w:w="874" w:type="dxa"/>
            <w:tcMar>
              <w:left w:w="0" w:type="dxa"/>
              <w:right w:w="0" w:type="dxa"/>
            </w:tcMar>
          </w:tcPr>
          <w:p w14:paraId="709226B8" w14:textId="2E3F4E78"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285.3</w:t>
            </w:r>
          </w:p>
        </w:tc>
      </w:tr>
      <w:tr w:rsidR="00AF6A5C" w:rsidRPr="00895810" w14:paraId="32141FAA" w14:textId="77777777" w:rsidTr="003F2C4C">
        <w:trPr>
          <w:trHeight w:hRule="exact" w:val="255"/>
        </w:trPr>
        <w:tc>
          <w:tcPr>
            <w:tcW w:w="4111" w:type="dxa"/>
            <w:tcBorders>
              <w:bottom w:val="single" w:sz="2" w:space="0" w:color="3D7FE0" w:themeColor="accent1"/>
            </w:tcBorders>
            <w:tcMar>
              <w:left w:w="0" w:type="dxa"/>
              <w:right w:w="0" w:type="dxa"/>
            </w:tcMar>
            <w:vAlign w:val="bottom"/>
          </w:tcPr>
          <w:p w14:paraId="1E1061B4" w14:textId="77777777" w:rsidR="00AF6A5C" w:rsidRPr="00895810" w:rsidRDefault="00AF6A5C" w:rsidP="00AF6A5C">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Other non-current assets</w:t>
            </w:r>
          </w:p>
        </w:tc>
        <w:tc>
          <w:tcPr>
            <w:tcW w:w="567" w:type="dxa"/>
            <w:tcBorders>
              <w:bottom w:val="single" w:sz="2" w:space="0" w:color="3D7FE0" w:themeColor="accent1"/>
            </w:tcBorders>
            <w:vAlign w:val="bottom"/>
          </w:tcPr>
          <w:p w14:paraId="7580EDFC" w14:textId="77777777" w:rsidR="00AF6A5C" w:rsidRPr="00895810" w:rsidRDefault="00AF6A5C" w:rsidP="00AF6A5C">
            <w:pPr>
              <w:pStyle w:val="TableFiguresBrackets"/>
              <w:jc w:val="left"/>
              <w:rPr>
                <w:rFonts w:ascii="IBM Plex Sans Light" w:hAnsi="IBM Plex Sans Light" w:cs="MyriadPro-Light"/>
                <w:b/>
                <w:bCs/>
                <w:color w:val="3D7FE0" w:themeColor="accent1"/>
                <w:spacing w:val="-4"/>
                <w:szCs w:val="16"/>
              </w:rPr>
            </w:pPr>
          </w:p>
        </w:tc>
        <w:tc>
          <w:tcPr>
            <w:tcW w:w="873" w:type="dxa"/>
            <w:tcBorders>
              <w:bottom w:val="single" w:sz="2" w:space="0" w:color="3D7FE0" w:themeColor="accent1"/>
            </w:tcBorders>
          </w:tcPr>
          <w:p w14:paraId="6E36D434" w14:textId="455C3510" w:rsidR="00AF6A5C" w:rsidRPr="00895810" w:rsidRDefault="00AF6A5C" w:rsidP="00AF6A5C">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12.8</w:t>
            </w:r>
          </w:p>
        </w:tc>
        <w:tc>
          <w:tcPr>
            <w:tcW w:w="874" w:type="dxa"/>
            <w:tcBorders>
              <w:bottom w:val="single" w:sz="2" w:space="0" w:color="3D7FE0" w:themeColor="accent1"/>
            </w:tcBorders>
          </w:tcPr>
          <w:p w14:paraId="4877D23D" w14:textId="162CD10C" w:rsidR="00AF6A5C" w:rsidRPr="00895810" w:rsidRDefault="00AF6A5C" w:rsidP="00AF6A5C">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13.5</w:t>
            </w:r>
          </w:p>
        </w:tc>
        <w:tc>
          <w:tcPr>
            <w:tcW w:w="874" w:type="dxa"/>
            <w:tcBorders>
              <w:bottom w:val="single" w:sz="2" w:space="0" w:color="3D7FE0" w:themeColor="accent1"/>
            </w:tcBorders>
          </w:tcPr>
          <w:p w14:paraId="37C95809" w14:textId="4303237E"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2.7</w:t>
            </w:r>
          </w:p>
        </w:tc>
        <w:tc>
          <w:tcPr>
            <w:tcW w:w="874" w:type="dxa"/>
            <w:tcBorders>
              <w:bottom w:val="single" w:sz="2" w:space="0" w:color="3D7FE0" w:themeColor="accent1"/>
            </w:tcBorders>
            <w:tcMar>
              <w:left w:w="0" w:type="dxa"/>
              <w:right w:w="0" w:type="dxa"/>
            </w:tcMar>
          </w:tcPr>
          <w:p w14:paraId="42431DFF" w14:textId="384A50BB"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2.6</w:t>
            </w:r>
          </w:p>
        </w:tc>
        <w:tc>
          <w:tcPr>
            <w:tcW w:w="874" w:type="dxa"/>
            <w:tcBorders>
              <w:bottom w:val="single" w:sz="2" w:space="0" w:color="3D7FE0" w:themeColor="accent1"/>
            </w:tcBorders>
            <w:tcMar>
              <w:left w:w="0" w:type="dxa"/>
              <w:right w:w="0" w:type="dxa"/>
            </w:tcMar>
          </w:tcPr>
          <w:p w14:paraId="23E2997A" w14:textId="49D9ACDA"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4726AEFE" w14:textId="3F7EB059"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4.2</w:t>
            </w:r>
          </w:p>
        </w:tc>
      </w:tr>
      <w:tr w:rsidR="00AF6A5C" w:rsidRPr="00895810" w14:paraId="28EE5FB0" w14:textId="77777777" w:rsidTr="003F2C4C">
        <w:trPr>
          <w:trHeight w:hRule="exact" w:val="259"/>
        </w:trPr>
        <w:tc>
          <w:tcPr>
            <w:tcW w:w="4111" w:type="dxa"/>
            <w:tcBorders>
              <w:top w:val="single" w:sz="2" w:space="0" w:color="3D7FE0" w:themeColor="accent1"/>
            </w:tcBorders>
            <w:tcMar>
              <w:left w:w="0" w:type="dxa"/>
              <w:right w:w="0" w:type="dxa"/>
            </w:tcMar>
            <w:vAlign w:val="bottom"/>
          </w:tcPr>
          <w:p w14:paraId="490F8AFC" w14:textId="77777777" w:rsidR="00AF6A5C" w:rsidRPr="00895810" w:rsidRDefault="00AF6A5C" w:rsidP="00AF6A5C">
            <w:pPr>
              <w:pStyle w:val="TableFigures"/>
              <w:jc w:val="left"/>
              <w:rPr>
                <w:rFonts w:ascii="IBM Plex Sans Light" w:hAnsi="IBM Plex Sans Light" w:cs="MyriadPro-Light"/>
                <w:b/>
                <w:color w:val="3D7FE0" w:themeColor="accent1"/>
                <w:spacing w:val="-4"/>
                <w:sz w:val="18"/>
                <w:szCs w:val="18"/>
              </w:rPr>
            </w:pPr>
          </w:p>
        </w:tc>
        <w:tc>
          <w:tcPr>
            <w:tcW w:w="567" w:type="dxa"/>
            <w:tcBorders>
              <w:top w:val="single" w:sz="2" w:space="0" w:color="3D7FE0" w:themeColor="accent1"/>
            </w:tcBorders>
            <w:vAlign w:val="bottom"/>
          </w:tcPr>
          <w:p w14:paraId="7453B14C" w14:textId="77777777" w:rsidR="00AF6A5C" w:rsidRPr="00895810" w:rsidRDefault="00AF6A5C" w:rsidP="00AF6A5C">
            <w:pPr>
              <w:pStyle w:val="TableFigures"/>
              <w:jc w:val="left"/>
              <w:rPr>
                <w:rFonts w:ascii="IBM Plex Sans Light" w:hAnsi="IBM Plex Sans Light" w:cs="MyriadPro-Light"/>
                <w:b/>
                <w:color w:val="3D7FE0" w:themeColor="accent1"/>
                <w:spacing w:val="-4"/>
                <w:szCs w:val="16"/>
              </w:rPr>
            </w:pPr>
          </w:p>
        </w:tc>
        <w:tc>
          <w:tcPr>
            <w:tcW w:w="873" w:type="dxa"/>
            <w:tcBorders>
              <w:top w:val="single" w:sz="2" w:space="0" w:color="3D7FE0" w:themeColor="accent1"/>
            </w:tcBorders>
          </w:tcPr>
          <w:p w14:paraId="49C5A2F3" w14:textId="47C9AA3E" w:rsidR="00AF6A5C" w:rsidRPr="00895810" w:rsidRDefault="00AF6A5C" w:rsidP="00AF6A5C">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409.4</w:t>
            </w:r>
          </w:p>
        </w:tc>
        <w:tc>
          <w:tcPr>
            <w:tcW w:w="874" w:type="dxa"/>
            <w:tcBorders>
              <w:top w:val="single" w:sz="2" w:space="0" w:color="3D7FE0" w:themeColor="accent1"/>
            </w:tcBorders>
          </w:tcPr>
          <w:p w14:paraId="3E09254F" w14:textId="0885545A" w:rsidR="00AF6A5C" w:rsidRPr="00895810" w:rsidRDefault="00AF6A5C" w:rsidP="00AF6A5C">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250.8</w:t>
            </w:r>
          </w:p>
        </w:tc>
        <w:tc>
          <w:tcPr>
            <w:tcW w:w="874" w:type="dxa"/>
            <w:tcBorders>
              <w:top w:val="single" w:sz="2" w:space="0" w:color="3D7FE0" w:themeColor="accent1"/>
            </w:tcBorders>
          </w:tcPr>
          <w:p w14:paraId="7FE92A27" w14:textId="08F3EB9A"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543.2</w:t>
            </w:r>
          </w:p>
        </w:tc>
        <w:tc>
          <w:tcPr>
            <w:tcW w:w="874" w:type="dxa"/>
            <w:tcBorders>
              <w:top w:val="single" w:sz="2" w:space="0" w:color="3D7FE0" w:themeColor="accent1"/>
            </w:tcBorders>
            <w:tcMar>
              <w:left w:w="0" w:type="dxa"/>
              <w:right w:w="0" w:type="dxa"/>
            </w:tcMar>
          </w:tcPr>
          <w:p w14:paraId="2F030DEF" w14:textId="355E694A"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81.1</w:t>
            </w:r>
          </w:p>
        </w:tc>
        <w:tc>
          <w:tcPr>
            <w:tcW w:w="874" w:type="dxa"/>
            <w:tcBorders>
              <w:top w:val="single" w:sz="2" w:space="0" w:color="3D7FE0" w:themeColor="accent1"/>
            </w:tcBorders>
            <w:tcMar>
              <w:left w:w="0" w:type="dxa"/>
              <w:right w:w="0" w:type="dxa"/>
            </w:tcMar>
          </w:tcPr>
          <w:p w14:paraId="233A55BB" w14:textId="71907258" w:rsidR="00AF6A5C" w:rsidRPr="00895810" w:rsidRDefault="00AF6A5C" w:rsidP="00AF6A5C">
            <w:pPr>
              <w:pStyle w:val="TableFiguresBold"/>
              <w:rPr>
                <w:rFonts w:ascii="IBM Plex Sans Light" w:hAnsi="IBM Plex Sans Light"/>
                <w:b w:val="0"/>
                <w:bCs w:val="0"/>
                <w:color w:val="auto"/>
                <w:spacing w:val="-4"/>
                <w:sz w:val="18"/>
                <w:szCs w:val="18"/>
              </w:rPr>
            </w:pPr>
            <w:r w:rsidRPr="00887AA1">
              <w:rPr>
                <w:rFonts w:ascii="IBM Plex Sans Light" w:hAnsi="IBM Plex Sans Light"/>
                <w:b w:val="0"/>
                <w:bCs w:val="0"/>
                <w:color w:val="auto"/>
                <w:spacing w:val="-4"/>
                <w:sz w:val="18"/>
                <w:szCs w:val="18"/>
              </w:rPr>
              <w:t>201.1</w:t>
            </w:r>
          </w:p>
        </w:tc>
        <w:tc>
          <w:tcPr>
            <w:tcW w:w="874" w:type="dxa"/>
            <w:tcBorders>
              <w:top w:val="single" w:sz="2" w:space="0" w:color="3D7FE0" w:themeColor="accent1"/>
            </w:tcBorders>
            <w:tcMar>
              <w:left w:w="0" w:type="dxa"/>
              <w:right w:w="0" w:type="dxa"/>
            </w:tcMar>
          </w:tcPr>
          <w:p w14:paraId="0FF79A7D" w14:textId="2F9B9D14" w:rsidR="00AF6A5C" w:rsidRPr="00895810" w:rsidRDefault="00AF6A5C" w:rsidP="00AF6A5C">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289.5</w:t>
            </w:r>
          </w:p>
        </w:tc>
      </w:tr>
      <w:tr w:rsidR="00AF6A5C" w:rsidRPr="00895810" w14:paraId="554EA3E8" w14:textId="77777777" w:rsidTr="00D91739">
        <w:trPr>
          <w:trHeight w:hRule="exact" w:val="289"/>
        </w:trPr>
        <w:tc>
          <w:tcPr>
            <w:tcW w:w="4111" w:type="dxa"/>
            <w:tcMar>
              <w:left w:w="0" w:type="dxa"/>
              <w:right w:w="0" w:type="dxa"/>
            </w:tcMar>
            <w:vAlign w:val="bottom"/>
          </w:tcPr>
          <w:p w14:paraId="5BD9B834" w14:textId="77777777" w:rsidR="00AF6A5C" w:rsidRPr="00895810" w:rsidRDefault="00AF6A5C" w:rsidP="00AF6A5C">
            <w:pPr>
              <w:pStyle w:val="TableFiguresBracket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Current assets</w:t>
            </w:r>
          </w:p>
        </w:tc>
        <w:tc>
          <w:tcPr>
            <w:tcW w:w="567" w:type="dxa"/>
            <w:vAlign w:val="bottom"/>
          </w:tcPr>
          <w:p w14:paraId="4A7C97DA" w14:textId="77777777" w:rsidR="00AF6A5C" w:rsidRPr="00895810" w:rsidRDefault="00AF6A5C" w:rsidP="00AF6A5C">
            <w:pPr>
              <w:pStyle w:val="TableFiguresBrackets"/>
              <w:jc w:val="left"/>
              <w:rPr>
                <w:rFonts w:ascii="IBM Plex Sans Light" w:hAnsi="IBM Plex Sans Light" w:cs="MyriadPro-Light"/>
                <w:b/>
                <w:color w:val="3D7FE0" w:themeColor="accent1"/>
                <w:spacing w:val="-4"/>
                <w:szCs w:val="16"/>
              </w:rPr>
            </w:pPr>
          </w:p>
        </w:tc>
        <w:tc>
          <w:tcPr>
            <w:tcW w:w="873" w:type="dxa"/>
          </w:tcPr>
          <w:p w14:paraId="28DA74CB" w14:textId="77777777" w:rsidR="00AF6A5C" w:rsidRPr="00895810" w:rsidRDefault="00AF6A5C" w:rsidP="00AF6A5C">
            <w:pPr>
              <w:pStyle w:val="TableFigures"/>
              <w:rPr>
                <w:rFonts w:ascii="IBM Plex Sans Light" w:hAnsi="IBM Plex Sans Light"/>
                <w:color w:val="auto"/>
                <w:spacing w:val="-4"/>
                <w:sz w:val="18"/>
                <w:szCs w:val="18"/>
              </w:rPr>
            </w:pPr>
          </w:p>
        </w:tc>
        <w:tc>
          <w:tcPr>
            <w:tcW w:w="874" w:type="dxa"/>
          </w:tcPr>
          <w:p w14:paraId="5FBF471E" w14:textId="77777777" w:rsidR="00AF6A5C" w:rsidRPr="00895810" w:rsidRDefault="00AF6A5C" w:rsidP="00AF6A5C">
            <w:pPr>
              <w:pStyle w:val="TableFigures"/>
              <w:rPr>
                <w:rFonts w:ascii="IBM Plex Sans Light" w:hAnsi="IBM Plex Sans Light"/>
                <w:color w:val="auto"/>
                <w:spacing w:val="-4"/>
                <w:sz w:val="18"/>
                <w:szCs w:val="18"/>
              </w:rPr>
            </w:pPr>
          </w:p>
        </w:tc>
        <w:tc>
          <w:tcPr>
            <w:tcW w:w="874" w:type="dxa"/>
          </w:tcPr>
          <w:p w14:paraId="48182CA7" w14:textId="1D3B97BD"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6275EBF1" w14:textId="5BE5E2D3"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60E95E41" w14:textId="791CAB55"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73D1DE6B" w14:textId="50376B50" w:rsidR="00AF6A5C" w:rsidRPr="00895810" w:rsidRDefault="00AF6A5C" w:rsidP="00AF6A5C">
            <w:pPr>
              <w:pStyle w:val="TableFigures"/>
              <w:rPr>
                <w:rFonts w:ascii="IBM Plex Sans Light" w:hAnsi="IBM Plex Sans Light"/>
                <w:color w:val="auto"/>
                <w:spacing w:val="-4"/>
                <w:sz w:val="18"/>
                <w:szCs w:val="18"/>
              </w:rPr>
            </w:pPr>
          </w:p>
        </w:tc>
      </w:tr>
      <w:tr w:rsidR="00894C92" w:rsidRPr="00895810" w14:paraId="1D9D0A46" w14:textId="77777777" w:rsidTr="004406E3">
        <w:trPr>
          <w:trHeight w:hRule="exact" w:val="289"/>
        </w:trPr>
        <w:tc>
          <w:tcPr>
            <w:tcW w:w="4111" w:type="dxa"/>
            <w:tcMar>
              <w:left w:w="0" w:type="dxa"/>
              <w:right w:w="0" w:type="dxa"/>
            </w:tcMar>
            <w:vAlign w:val="bottom"/>
          </w:tcPr>
          <w:p w14:paraId="4E921705" w14:textId="77777777" w:rsidR="00894C92" w:rsidRPr="00895810" w:rsidRDefault="00894C92" w:rsidP="00894C92">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Cash and cash equivalents</w:t>
            </w:r>
          </w:p>
        </w:tc>
        <w:tc>
          <w:tcPr>
            <w:tcW w:w="567" w:type="dxa"/>
            <w:vAlign w:val="bottom"/>
          </w:tcPr>
          <w:p w14:paraId="558A0810" w14:textId="55C1D367" w:rsidR="00894C92" w:rsidRPr="00895810" w:rsidRDefault="00894C92" w:rsidP="00894C92">
            <w:pPr>
              <w:pStyle w:val="TableFiguresBrackets"/>
              <w:jc w:val="left"/>
              <w:rPr>
                <w:rFonts w:ascii="IBM Plex Sans Light" w:hAnsi="IBM Plex Sans Light" w:cs="MyriadPro-Light"/>
                <w:b/>
                <w:bCs/>
                <w:color w:val="3D7FE0" w:themeColor="accent1"/>
                <w:spacing w:val="-4"/>
                <w:szCs w:val="16"/>
              </w:rPr>
            </w:pPr>
          </w:p>
        </w:tc>
        <w:tc>
          <w:tcPr>
            <w:tcW w:w="873" w:type="dxa"/>
          </w:tcPr>
          <w:p w14:paraId="2B642136" w14:textId="52F43CD5" w:rsidR="00894C92" w:rsidRPr="00895810" w:rsidRDefault="00894C92" w:rsidP="00894C92">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13.0</w:t>
            </w:r>
          </w:p>
        </w:tc>
        <w:tc>
          <w:tcPr>
            <w:tcW w:w="874" w:type="dxa"/>
          </w:tcPr>
          <w:p w14:paraId="3B5ACE76" w14:textId="23A8DF4E" w:rsidR="00894C92" w:rsidRPr="00895810" w:rsidRDefault="00894C92" w:rsidP="00894C92">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24.1</w:t>
            </w:r>
          </w:p>
        </w:tc>
        <w:tc>
          <w:tcPr>
            <w:tcW w:w="874" w:type="dxa"/>
          </w:tcPr>
          <w:p w14:paraId="25AF6766" w14:textId="18D0213C" w:rsidR="00894C92" w:rsidRPr="00895810" w:rsidRDefault="00894C92" w:rsidP="00894C92">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18.0</w:t>
            </w:r>
          </w:p>
        </w:tc>
        <w:tc>
          <w:tcPr>
            <w:tcW w:w="874" w:type="dxa"/>
            <w:tcMar>
              <w:left w:w="0" w:type="dxa"/>
              <w:right w:w="0" w:type="dxa"/>
            </w:tcMar>
          </w:tcPr>
          <w:p w14:paraId="551E886C" w14:textId="709D5BB7" w:rsidR="00894C92" w:rsidRPr="00895810" w:rsidRDefault="00894C92" w:rsidP="00894C92">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24.7</w:t>
            </w:r>
          </w:p>
        </w:tc>
        <w:tc>
          <w:tcPr>
            <w:tcW w:w="874" w:type="dxa"/>
            <w:tcMar>
              <w:left w:w="0" w:type="dxa"/>
              <w:right w:w="0" w:type="dxa"/>
            </w:tcMar>
          </w:tcPr>
          <w:p w14:paraId="0F64854F" w14:textId="736093ED" w:rsidR="00894C92" w:rsidRPr="00895810" w:rsidRDefault="00894C92" w:rsidP="00894C92">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11.6</w:t>
            </w:r>
          </w:p>
        </w:tc>
        <w:tc>
          <w:tcPr>
            <w:tcW w:w="874" w:type="dxa"/>
            <w:tcMar>
              <w:left w:w="0" w:type="dxa"/>
              <w:right w:w="0" w:type="dxa"/>
            </w:tcMar>
          </w:tcPr>
          <w:p w14:paraId="1E5AD4A9" w14:textId="3C71BFC3" w:rsidR="00894C92" w:rsidRPr="00895810" w:rsidRDefault="00894C92" w:rsidP="00894C92">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16.5</w:t>
            </w:r>
          </w:p>
        </w:tc>
      </w:tr>
      <w:tr w:rsidR="0057155F" w:rsidRPr="00895810" w14:paraId="6E5CC1A8" w14:textId="77777777" w:rsidTr="004406E3">
        <w:trPr>
          <w:trHeight w:hRule="exact" w:val="289"/>
        </w:trPr>
        <w:tc>
          <w:tcPr>
            <w:tcW w:w="4111" w:type="dxa"/>
            <w:tcBorders>
              <w:bottom w:val="single" w:sz="2" w:space="0" w:color="3D7FE0" w:themeColor="accent1"/>
            </w:tcBorders>
            <w:tcMar>
              <w:left w:w="0" w:type="dxa"/>
              <w:right w:w="0" w:type="dxa"/>
            </w:tcMar>
            <w:vAlign w:val="bottom"/>
          </w:tcPr>
          <w:p w14:paraId="44F2F0FE" w14:textId="77777777" w:rsidR="0057155F" w:rsidRPr="00895810" w:rsidRDefault="0057155F" w:rsidP="0057155F">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current assets</w:t>
            </w:r>
          </w:p>
        </w:tc>
        <w:tc>
          <w:tcPr>
            <w:tcW w:w="567" w:type="dxa"/>
            <w:tcBorders>
              <w:bottom w:val="single" w:sz="2" w:space="0" w:color="3D7FE0" w:themeColor="accent1"/>
            </w:tcBorders>
            <w:vAlign w:val="bottom"/>
          </w:tcPr>
          <w:p w14:paraId="371427D3" w14:textId="062DF75B" w:rsidR="0057155F" w:rsidRPr="00895810" w:rsidRDefault="00366E57" w:rsidP="0057155F">
            <w:pPr>
              <w:pStyle w:val="TableFiguresBrackets"/>
              <w:jc w:val="left"/>
              <w:rPr>
                <w:rFonts w:ascii="IBM Plex Sans Light" w:hAnsi="IBM Plex Sans Light" w:cs="MyriadPro-Light"/>
                <w:b/>
                <w:bCs/>
                <w:color w:val="3D7FE0" w:themeColor="accent1"/>
                <w:spacing w:val="-4"/>
                <w:szCs w:val="16"/>
              </w:rPr>
            </w:pPr>
            <w:r>
              <w:rPr>
                <w:rFonts w:ascii="IBM Plex Sans Light" w:hAnsi="IBM Plex Sans Light" w:cs="MyriadPro-Light"/>
                <w:color w:val="auto"/>
                <w:spacing w:val="-4"/>
                <w:szCs w:val="16"/>
              </w:rPr>
              <w:t>d</w:t>
            </w:r>
          </w:p>
        </w:tc>
        <w:tc>
          <w:tcPr>
            <w:tcW w:w="873" w:type="dxa"/>
            <w:tcBorders>
              <w:bottom w:val="single" w:sz="2" w:space="0" w:color="3D7FE0" w:themeColor="accent1"/>
            </w:tcBorders>
          </w:tcPr>
          <w:p w14:paraId="1B48A48B" w14:textId="58A2809D" w:rsidR="0057155F" w:rsidRPr="00895810" w:rsidRDefault="0057155F" w:rsidP="0057155F">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4.2</w:t>
            </w:r>
          </w:p>
        </w:tc>
        <w:tc>
          <w:tcPr>
            <w:tcW w:w="874" w:type="dxa"/>
            <w:tcBorders>
              <w:bottom w:val="single" w:sz="2" w:space="0" w:color="3D7FE0" w:themeColor="accent1"/>
            </w:tcBorders>
          </w:tcPr>
          <w:p w14:paraId="4CDD28A2" w14:textId="1F55C6D7" w:rsidR="0057155F" w:rsidRPr="00895810" w:rsidRDefault="0057155F" w:rsidP="0057155F">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7.1</w:t>
            </w:r>
          </w:p>
        </w:tc>
        <w:tc>
          <w:tcPr>
            <w:tcW w:w="874" w:type="dxa"/>
            <w:tcBorders>
              <w:bottom w:val="single" w:sz="2" w:space="0" w:color="3D7FE0" w:themeColor="accent1"/>
            </w:tcBorders>
          </w:tcPr>
          <w:p w14:paraId="5B6CBB45" w14:textId="7EA4B53C"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9.8</w:t>
            </w:r>
          </w:p>
        </w:tc>
        <w:tc>
          <w:tcPr>
            <w:tcW w:w="874" w:type="dxa"/>
            <w:tcBorders>
              <w:bottom w:val="single" w:sz="2" w:space="0" w:color="3D7FE0" w:themeColor="accent1"/>
            </w:tcBorders>
            <w:tcMar>
              <w:left w:w="0" w:type="dxa"/>
              <w:right w:w="0" w:type="dxa"/>
            </w:tcMar>
          </w:tcPr>
          <w:p w14:paraId="75593FE6" w14:textId="4B07456E"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19.0</w:t>
            </w:r>
          </w:p>
        </w:tc>
        <w:tc>
          <w:tcPr>
            <w:tcW w:w="874" w:type="dxa"/>
            <w:tcBorders>
              <w:bottom w:val="single" w:sz="2" w:space="0" w:color="3D7FE0" w:themeColor="accent1"/>
            </w:tcBorders>
            <w:tcMar>
              <w:left w:w="0" w:type="dxa"/>
              <w:right w:w="0" w:type="dxa"/>
            </w:tcMar>
          </w:tcPr>
          <w:p w14:paraId="7BF541BA" w14:textId="145C1283"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3.6</w:t>
            </w:r>
          </w:p>
        </w:tc>
        <w:tc>
          <w:tcPr>
            <w:tcW w:w="874" w:type="dxa"/>
            <w:tcBorders>
              <w:bottom w:val="single" w:sz="2" w:space="0" w:color="3D7FE0" w:themeColor="accent1"/>
            </w:tcBorders>
            <w:tcMar>
              <w:left w:w="0" w:type="dxa"/>
              <w:right w:w="0" w:type="dxa"/>
            </w:tcMar>
          </w:tcPr>
          <w:p w14:paraId="0AE7816C" w14:textId="2A33707B"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3.9</w:t>
            </w:r>
          </w:p>
        </w:tc>
      </w:tr>
      <w:tr w:rsidR="0057155F" w:rsidRPr="00895810" w14:paraId="6B1728E8" w14:textId="77777777" w:rsidTr="004406E3">
        <w:trPr>
          <w:trHeight w:hRule="exact" w:val="289"/>
        </w:trPr>
        <w:tc>
          <w:tcPr>
            <w:tcW w:w="4111" w:type="dxa"/>
            <w:tcBorders>
              <w:top w:val="single" w:sz="2" w:space="0" w:color="3D7FE0" w:themeColor="accent1"/>
            </w:tcBorders>
            <w:tcMar>
              <w:left w:w="0" w:type="dxa"/>
              <w:right w:w="0" w:type="dxa"/>
            </w:tcMar>
            <w:vAlign w:val="bottom"/>
          </w:tcPr>
          <w:p w14:paraId="4D44CF75" w14:textId="77777777" w:rsidR="0057155F" w:rsidRPr="00895810" w:rsidRDefault="0057155F" w:rsidP="0057155F">
            <w:pPr>
              <w:pStyle w:val="TableFiguresBrackets"/>
              <w:jc w:val="left"/>
              <w:rPr>
                <w:rFonts w:ascii="IBM Plex Sans Light" w:hAnsi="IBM Plex Sans Light" w:cs="MyriadPro-Light"/>
                <w:b/>
                <w:bCs/>
                <w:color w:val="3D7FE0" w:themeColor="accent1"/>
                <w:spacing w:val="-4"/>
                <w:sz w:val="18"/>
                <w:szCs w:val="18"/>
              </w:rPr>
            </w:pPr>
          </w:p>
        </w:tc>
        <w:tc>
          <w:tcPr>
            <w:tcW w:w="567" w:type="dxa"/>
            <w:tcBorders>
              <w:top w:val="single" w:sz="2" w:space="0" w:color="3D7FE0" w:themeColor="accent1"/>
            </w:tcBorders>
            <w:vAlign w:val="bottom"/>
          </w:tcPr>
          <w:p w14:paraId="63D7A2E7" w14:textId="77777777" w:rsidR="0057155F" w:rsidRPr="00895810" w:rsidRDefault="0057155F" w:rsidP="0057155F">
            <w:pPr>
              <w:pStyle w:val="TableFiguresBrackets"/>
              <w:jc w:val="left"/>
              <w:rPr>
                <w:rFonts w:ascii="IBM Plex Sans Light" w:hAnsi="IBM Plex Sans Light" w:cs="MyriadPro-Light"/>
                <w:b/>
                <w:bCs/>
                <w:color w:val="3D7FE0" w:themeColor="accent1"/>
                <w:spacing w:val="-4"/>
                <w:szCs w:val="16"/>
              </w:rPr>
            </w:pPr>
          </w:p>
        </w:tc>
        <w:tc>
          <w:tcPr>
            <w:tcW w:w="873" w:type="dxa"/>
            <w:tcBorders>
              <w:top w:val="single" w:sz="2" w:space="0" w:color="3D7FE0" w:themeColor="accent1"/>
            </w:tcBorders>
          </w:tcPr>
          <w:p w14:paraId="62916B3B" w14:textId="701D27A1" w:rsidR="0057155F" w:rsidRPr="00895810" w:rsidRDefault="0057155F" w:rsidP="0057155F">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17.2</w:t>
            </w:r>
          </w:p>
        </w:tc>
        <w:tc>
          <w:tcPr>
            <w:tcW w:w="874" w:type="dxa"/>
            <w:tcBorders>
              <w:top w:val="single" w:sz="2" w:space="0" w:color="3D7FE0" w:themeColor="accent1"/>
            </w:tcBorders>
          </w:tcPr>
          <w:p w14:paraId="7FCBA52D" w14:textId="4ECB648E" w:rsidR="0057155F" w:rsidRPr="00895810" w:rsidRDefault="0057155F" w:rsidP="0057155F">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31.2</w:t>
            </w:r>
          </w:p>
        </w:tc>
        <w:tc>
          <w:tcPr>
            <w:tcW w:w="874" w:type="dxa"/>
            <w:tcBorders>
              <w:top w:val="single" w:sz="2" w:space="0" w:color="3D7FE0" w:themeColor="accent1"/>
            </w:tcBorders>
          </w:tcPr>
          <w:p w14:paraId="428C9B05" w14:textId="452D0AC4"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27.8</w:t>
            </w:r>
          </w:p>
        </w:tc>
        <w:tc>
          <w:tcPr>
            <w:tcW w:w="874" w:type="dxa"/>
            <w:tcBorders>
              <w:top w:val="single" w:sz="2" w:space="0" w:color="3D7FE0" w:themeColor="accent1"/>
            </w:tcBorders>
            <w:tcMar>
              <w:left w:w="0" w:type="dxa"/>
              <w:right w:w="0" w:type="dxa"/>
            </w:tcMar>
          </w:tcPr>
          <w:p w14:paraId="2723E968" w14:textId="4654B2C0"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43.7</w:t>
            </w:r>
          </w:p>
        </w:tc>
        <w:tc>
          <w:tcPr>
            <w:tcW w:w="874" w:type="dxa"/>
            <w:tcBorders>
              <w:top w:val="single" w:sz="2" w:space="0" w:color="3D7FE0" w:themeColor="accent1"/>
            </w:tcBorders>
            <w:tcMar>
              <w:left w:w="0" w:type="dxa"/>
              <w:right w:w="0" w:type="dxa"/>
            </w:tcMar>
          </w:tcPr>
          <w:p w14:paraId="27BE0569" w14:textId="37555A0B"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15.2</w:t>
            </w:r>
          </w:p>
        </w:tc>
        <w:tc>
          <w:tcPr>
            <w:tcW w:w="874" w:type="dxa"/>
            <w:tcBorders>
              <w:top w:val="single" w:sz="2" w:space="0" w:color="3D7FE0" w:themeColor="accent1"/>
            </w:tcBorders>
            <w:tcMar>
              <w:left w:w="0" w:type="dxa"/>
              <w:right w:w="0" w:type="dxa"/>
            </w:tcMar>
          </w:tcPr>
          <w:p w14:paraId="3FE263B0" w14:textId="2EDB11C8" w:rsidR="0057155F" w:rsidRPr="00895810" w:rsidRDefault="0057155F" w:rsidP="0057155F">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20.4</w:t>
            </w:r>
          </w:p>
        </w:tc>
      </w:tr>
      <w:tr w:rsidR="00AF6A5C" w:rsidRPr="00895810" w14:paraId="27C190A8" w14:textId="77777777" w:rsidTr="00D91739">
        <w:trPr>
          <w:trHeight w:hRule="exact" w:val="289"/>
        </w:trPr>
        <w:tc>
          <w:tcPr>
            <w:tcW w:w="4111" w:type="dxa"/>
            <w:tcMar>
              <w:left w:w="0" w:type="dxa"/>
              <w:right w:w="0" w:type="dxa"/>
            </w:tcMar>
            <w:vAlign w:val="bottom"/>
          </w:tcPr>
          <w:p w14:paraId="7289418B" w14:textId="77777777" w:rsidR="00AF6A5C" w:rsidRPr="00895810" w:rsidRDefault="00AF6A5C" w:rsidP="00AF6A5C">
            <w:pPr>
              <w:pStyle w:val="TableFiguresBracket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Current liabilities</w:t>
            </w:r>
          </w:p>
        </w:tc>
        <w:tc>
          <w:tcPr>
            <w:tcW w:w="567" w:type="dxa"/>
            <w:vAlign w:val="bottom"/>
          </w:tcPr>
          <w:p w14:paraId="16A455AE" w14:textId="77777777" w:rsidR="00AF6A5C" w:rsidRPr="00895810" w:rsidRDefault="00AF6A5C" w:rsidP="00AF6A5C">
            <w:pPr>
              <w:pStyle w:val="TableFiguresBrackets"/>
              <w:jc w:val="left"/>
              <w:rPr>
                <w:rFonts w:ascii="IBM Plex Sans Light" w:hAnsi="IBM Plex Sans Light" w:cs="MyriadPro-Light"/>
                <w:b/>
                <w:color w:val="3D7FE0" w:themeColor="accent1"/>
                <w:spacing w:val="-4"/>
                <w:szCs w:val="16"/>
              </w:rPr>
            </w:pPr>
          </w:p>
        </w:tc>
        <w:tc>
          <w:tcPr>
            <w:tcW w:w="873" w:type="dxa"/>
          </w:tcPr>
          <w:p w14:paraId="3977A225" w14:textId="77777777" w:rsidR="00AF6A5C" w:rsidRPr="00895810" w:rsidRDefault="00AF6A5C" w:rsidP="00AF6A5C">
            <w:pPr>
              <w:pStyle w:val="TableFigures"/>
              <w:rPr>
                <w:rFonts w:ascii="IBM Plex Sans Light" w:hAnsi="IBM Plex Sans Light"/>
                <w:color w:val="auto"/>
                <w:spacing w:val="-4"/>
                <w:sz w:val="18"/>
                <w:szCs w:val="18"/>
              </w:rPr>
            </w:pPr>
          </w:p>
        </w:tc>
        <w:tc>
          <w:tcPr>
            <w:tcW w:w="874" w:type="dxa"/>
          </w:tcPr>
          <w:p w14:paraId="3D94262E" w14:textId="77777777" w:rsidR="00AF6A5C" w:rsidRPr="00895810" w:rsidRDefault="00AF6A5C" w:rsidP="00AF6A5C">
            <w:pPr>
              <w:pStyle w:val="TableFigures"/>
              <w:rPr>
                <w:rFonts w:ascii="IBM Plex Sans Light" w:hAnsi="IBM Plex Sans Light"/>
                <w:color w:val="auto"/>
                <w:spacing w:val="-4"/>
                <w:sz w:val="18"/>
                <w:szCs w:val="18"/>
              </w:rPr>
            </w:pPr>
          </w:p>
        </w:tc>
        <w:tc>
          <w:tcPr>
            <w:tcW w:w="874" w:type="dxa"/>
          </w:tcPr>
          <w:p w14:paraId="77898A26" w14:textId="372673C0"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7285D308" w14:textId="12969D8A"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12FDC43C" w14:textId="45135AFE"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2C5DDBAF" w14:textId="12F7BCD1" w:rsidR="00AF6A5C" w:rsidRPr="00895810" w:rsidRDefault="00AF6A5C" w:rsidP="00AF6A5C">
            <w:pPr>
              <w:pStyle w:val="TableFigures"/>
              <w:rPr>
                <w:rFonts w:ascii="IBM Plex Sans Light" w:hAnsi="IBM Plex Sans Light"/>
                <w:color w:val="auto"/>
                <w:spacing w:val="-4"/>
                <w:sz w:val="18"/>
                <w:szCs w:val="18"/>
              </w:rPr>
            </w:pPr>
          </w:p>
        </w:tc>
      </w:tr>
      <w:tr w:rsidR="000C0315" w:rsidRPr="00895810" w14:paraId="5FB8022D" w14:textId="77777777" w:rsidTr="004406E3">
        <w:trPr>
          <w:trHeight w:hRule="exact" w:val="289"/>
        </w:trPr>
        <w:tc>
          <w:tcPr>
            <w:tcW w:w="4111" w:type="dxa"/>
            <w:tcMar>
              <w:left w:w="0" w:type="dxa"/>
              <w:right w:w="0" w:type="dxa"/>
            </w:tcMar>
            <w:vAlign w:val="bottom"/>
          </w:tcPr>
          <w:p w14:paraId="6E65A8BA" w14:textId="77777777" w:rsidR="000C0315" w:rsidRPr="00895810" w:rsidRDefault="000C0315" w:rsidP="000C0315">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Loans – secured</w:t>
            </w:r>
          </w:p>
        </w:tc>
        <w:tc>
          <w:tcPr>
            <w:tcW w:w="567" w:type="dxa"/>
            <w:vAlign w:val="bottom"/>
          </w:tcPr>
          <w:p w14:paraId="4D06CB26" w14:textId="77777777" w:rsidR="000C0315" w:rsidRPr="00895810" w:rsidRDefault="000C0315" w:rsidP="000C0315">
            <w:pPr>
              <w:pStyle w:val="TableFiguresBrackets"/>
              <w:jc w:val="left"/>
              <w:rPr>
                <w:rFonts w:ascii="IBM Plex Sans Light" w:hAnsi="IBM Plex Sans Light" w:cs="MyriadPro-Light"/>
                <w:b/>
                <w:bCs/>
                <w:color w:val="3D7FE0" w:themeColor="accent1"/>
                <w:spacing w:val="-4"/>
                <w:szCs w:val="16"/>
              </w:rPr>
            </w:pPr>
          </w:p>
        </w:tc>
        <w:tc>
          <w:tcPr>
            <w:tcW w:w="873" w:type="dxa"/>
          </w:tcPr>
          <w:p w14:paraId="18AC5A15" w14:textId="1B94CAC8" w:rsidR="000C0315" w:rsidRPr="00F66DA6" w:rsidRDefault="000C0315" w:rsidP="000C0315">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w:t>
            </w:r>
          </w:p>
        </w:tc>
        <w:tc>
          <w:tcPr>
            <w:tcW w:w="874" w:type="dxa"/>
          </w:tcPr>
          <w:p w14:paraId="270892F9" w14:textId="2CDFC663" w:rsidR="000C0315" w:rsidRPr="00DF1EF0" w:rsidRDefault="000C0315" w:rsidP="000C0315">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w:t>
            </w:r>
          </w:p>
        </w:tc>
        <w:tc>
          <w:tcPr>
            <w:tcW w:w="874" w:type="dxa"/>
          </w:tcPr>
          <w:p w14:paraId="0EFB2EE8" w14:textId="4CE07095" w:rsidR="000C0315" w:rsidRPr="00887AA1" w:rsidRDefault="000C0315" w:rsidP="00887AA1">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w:t>
            </w:r>
          </w:p>
        </w:tc>
        <w:tc>
          <w:tcPr>
            <w:tcW w:w="874" w:type="dxa"/>
            <w:tcMar>
              <w:left w:w="0" w:type="dxa"/>
              <w:right w:w="0" w:type="dxa"/>
            </w:tcMar>
          </w:tcPr>
          <w:p w14:paraId="55432297" w14:textId="4CEB97A6" w:rsidR="000C0315" w:rsidRPr="00887AA1" w:rsidRDefault="000C0315" w:rsidP="00887AA1">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w:t>
            </w:r>
          </w:p>
        </w:tc>
        <w:tc>
          <w:tcPr>
            <w:tcW w:w="874" w:type="dxa"/>
            <w:tcMar>
              <w:left w:w="0" w:type="dxa"/>
              <w:right w:w="0" w:type="dxa"/>
            </w:tcMar>
          </w:tcPr>
          <w:p w14:paraId="0B92F06C" w14:textId="0BF493D8" w:rsidR="000C0315" w:rsidRPr="00887AA1" w:rsidRDefault="000C0315" w:rsidP="00887AA1">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w:t>
            </w:r>
          </w:p>
        </w:tc>
        <w:tc>
          <w:tcPr>
            <w:tcW w:w="874" w:type="dxa"/>
            <w:tcMar>
              <w:left w:w="0" w:type="dxa"/>
              <w:right w:w="0" w:type="dxa"/>
            </w:tcMar>
          </w:tcPr>
          <w:p w14:paraId="1F1E127D" w14:textId="4BD86B42" w:rsidR="000C0315" w:rsidRPr="00887AA1" w:rsidRDefault="000C0315" w:rsidP="00887AA1">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w:t>
            </w:r>
          </w:p>
        </w:tc>
      </w:tr>
      <w:tr w:rsidR="000C0315" w:rsidRPr="00895810" w14:paraId="41AB45C3" w14:textId="77777777" w:rsidTr="004406E3">
        <w:trPr>
          <w:trHeight w:hRule="exact" w:val="289"/>
        </w:trPr>
        <w:tc>
          <w:tcPr>
            <w:tcW w:w="4111" w:type="dxa"/>
            <w:tcBorders>
              <w:bottom w:val="single" w:sz="2" w:space="0" w:color="3D7FE0" w:themeColor="accent1"/>
            </w:tcBorders>
            <w:tcMar>
              <w:left w:w="0" w:type="dxa"/>
              <w:right w:w="0" w:type="dxa"/>
            </w:tcMar>
            <w:vAlign w:val="bottom"/>
          </w:tcPr>
          <w:p w14:paraId="47D74CD4" w14:textId="77777777" w:rsidR="000C0315" w:rsidRPr="00895810" w:rsidRDefault="000C0315" w:rsidP="000C0315">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w:t>
            </w:r>
          </w:p>
        </w:tc>
        <w:tc>
          <w:tcPr>
            <w:tcW w:w="567" w:type="dxa"/>
            <w:tcBorders>
              <w:bottom w:val="single" w:sz="2" w:space="0" w:color="3D7FE0" w:themeColor="accent1"/>
            </w:tcBorders>
            <w:vAlign w:val="bottom"/>
          </w:tcPr>
          <w:p w14:paraId="29AB4C04" w14:textId="77777777" w:rsidR="000C0315" w:rsidRPr="00895810" w:rsidRDefault="000C0315" w:rsidP="000C0315">
            <w:pPr>
              <w:pStyle w:val="TableFiguresBrackets"/>
              <w:jc w:val="left"/>
              <w:rPr>
                <w:rFonts w:ascii="IBM Plex Sans Light" w:hAnsi="IBM Plex Sans Light" w:cs="MyriadPro-Light"/>
                <w:b/>
                <w:bCs/>
                <w:color w:val="3D7FE0" w:themeColor="accent1"/>
                <w:spacing w:val="-4"/>
                <w:szCs w:val="16"/>
              </w:rPr>
            </w:pPr>
          </w:p>
        </w:tc>
        <w:tc>
          <w:tcPr>
            <w:tcW w:w="873" w:type="dxa"/>
            <w:tcBorders>
              <w:bottom w:val="single" w:sz="2" w:space="0" w:color="3D7FE0" w:themeColor="accent1"/>
            </w:tcBorders>
          </w:tcPr>
          <w:p w14:paraId="2B8FF79E" w14:textId="06DB16D8" w:rsidR="000C0315" w:rsidRPr="00F66DA6" w:rsidRDefault="000C0315" w:rsidP="000C0315">
            <w:pPr>
              <w:pStyle w:val="TableFiguresBracketsBold"/>
              <w:rPr>
                <w:rFonts w:ascii="IBM Plex Sans Light" w:hAnsi="IBM Plex Sans Light"/>
                <w:b w:val="0"/>
                <w:color w:val="auto"/>
                <w:spacing w:val="-4"/>
                <w:sz w:val="18"/>
                <w:szCs w:val="18"/>
              </w:rPr>
            </w:pPr>
            <w:r w:rsidRPr="00F66DA6">
              <w:rPr>
                <w:rFonts w:ascii="IBM Plex Sans Light" w:hAnsi="IBM Plex Sans Light"/>
                <w:b w:val="0"/>
                <w:color w:val="auto"/>
                <w:spacing w:val="-4"/>
                <w:sz w:val="18"/>
                <w:szCs w:val="18"/>
              </w:rPr>
              <w:t>(13.6)</w:t>
            </w:r>
          </w:p>
        </w:tc>
        <w:tc>
          <w:tcPr>
            <w:tcW w:w="874" w:type="dxa"/>
            <w:tcBorders>
              <w:bottom w:val="single" w:sz="2" w:space="0" w:color="3D7FE0" w:themeColor="accent1"/>
            </w:tcBorders>
          </w:tcPr>
          <w:p w14:paraId="4D1B2AC9" w14:textId="3A2EC3DB" w:rsidR="000C0315" w:rsidRPr="00DF1EF0" w:rsidRDefault="000C0315" w:rsidP="000C0315">
            <w:pPr>
              <w:pStyle w:val="TableFiguresBracketsBold"/>
              <w:rPr>
                <w:rFonts w:ascii="IBM Plex Sans Light" w:hAnsi="IBM Plex Sans Light"/>
                <w:b w:val="0"/>
                <w:color w:val="auto"/>
                <w:spacing w:val="-4"/>
                <w:sz w:val="18"/>
                <w:szCs w:val="18"/>
              </w:rPr>
            </w:pPr>
            <w:r w:rsidRPr="00DF1EF0">
              <w:rPr>
                <w:rFonts w:ascii="IBM Plex Sans Light" w:hAnsi="IBM Plex Sans Light"/>
                <w:b w:val="0"/>
                <w:color w:val="auto"/>
                <w:spacing w:val="-4"/>
                <w:sz w:val="18"/>
                <w:szCs w:val="18"/>
              </w:rPr>
              <w:t>(21.3)</w:t>
            </w:r>
          </w:p>
        </w:tc>
        <w:tc>
          <w:tcPr>
            <w:tcW w:w="874" w:type="dxa"/>
            <w:tcBorders>
              <w:bottom w:val="single" w:sz="2" w:space="0" w:color="3D7FE0" w:themeColor="accent1"/>
            </w:tcBorders>
          </w:tcPr>
          <w:p w14:paraId="26453850" w14:textId="28514BB5"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(20.9)</w:t>
            </w:r>
          </w:p>
        </w:tc>
        <w:tc>
          <w:tcPr>
            <w:tcW w:w="874" w:type="dxa"/>
            <w:tcBorders>
              <w:bottom w:val="single" w:sz="2" w:space="0" w:color="3D7FE0" w:themeColor="accent1"/>
            </w:tcBorders>
            <w:tcMar>
              <w:left w:w="0" w:type="dxa"/>
              <w:right w:w="0" w:type="dxa"/>
            </w:tcMar>
          </w:tcPr>
          <w:p w14:paraId="488E1FFE" w14:textId="06484E1F"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(7.3)</w:t>
            </w:r>
          </w:p>
        </w:tc>
        <w:tc>
          <w:tcPr>
            <w:tcW w:w="874" w:type="dxa"/>
            <w:tcBorders>
              <w:bottom w:val="single" w:sz="2" w:space="0" w:color="3D7FE0" w:themeColor="accent1"/>
            </w:tcBorders>
            <w:tcMar>
              <w:left w:w="0" w:type="dxa"/>
              <w:right w:w="0" w:type="dxa"/>
            </w:tcMar>
          </w:tcPr>
          <w:p w14:paraId="0F6E1F54" w14:textId="076848BF"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(9.7)</w:t>
            </w:r>
          </w:p>
        </w:tc>
        <w:tc>
          <w:tcPr>
            <w:tcW w:w="874" w:type="dxa"/>
            <w:tcBorders>
              <w:bottom w:val="single" w:sz="2" w:space="0" w:color="3D7FE0" w:themeColor="accent1"/>
            </w:tcBorders>
            <w:tcMar>
              <w:left w:w="0" w:type="dxa"/>
              <w:right w:w="0" w:type="dxa"/>
            </w:tcMar>
          </w:tcPr>
          <w:p w14:paraId="0EB49B02" w14:textId="2392E8DF"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(10.9)</w:t>
            </w:r>
          </w:p>
        </w:tc>
      </w:tr>
      <w:tr w:rsidR="000C0315" w:rsidRPr="00895810" w14:paraId="24A8B15F" w14:textId="77777777" w:rsidTr="004406E3">
        <w:trPr>
          <w:trHeight w:hRule="exact" w:val="289"/>
        </w:trPr>
        <w:tc>
          <w:tcPr>
            <w:tcW w:w="4111" w:type="dxa"/>
            <w:tcBorders>
              <w:top w:val="single" w:sz="2" w:space="0" w:color="3D7FE0" w:themeColor="accent1"/>
            </w:tcBorders>
            <w:tcMar>
              <w:left w:w="0" w:type="dxa"/>
              <w:right w:w="0" w:type="dxa"/>
            </w:tcMar>
            <w:vAlign w:val="bottom"/>
          </w:tcPr>
          <w:p w14:paraId="4FAF5464" w14:textId="77777777" w:rsidR="000C0315" w:rsidRPr="00895810" w:rsidRDefault="000C0315" w:rsidP="000C0315">
            <w:pPr>
              <w:pStyle w:val="TableFiguresBrackets"/>
              <w:jc w:val="left"/>
              <w:rPr>
                <w:rFonts w:ascii="IBM Plex Sans Light" w:hAnsi="IBM Plex Sans Light" w:cs="MyriadPro-Light"/>
                <w:b/>
                <w:bCs/>
                <w:color w:val="3D7FE0" w:themeColor="accent1"/>
                <w:spacing w:val="-4"/>
                <w:sz w:val="18"/>
                <w:szCs w:val="18"/>
              </w:rPr>
            </w:pPr>
          </w:p>
        </w:tc>
        <w:tc>
          <w:tcPr>
            <w:tcW w:w="567" w:type="dxa"/>
            <w:tcBorders>
              <w:top w:val="single" w:sz="2" w:space="0" w:color="3D7FE0" w:themeColor="accent1"/>
            </w:tcBorders>
            <w:vAlign w:val="bottom"/>
          </w:tcPr>
          <w:p w14:paraId="14455BE5" w14:textId="77777777" w:rsidR="000C0315" w:rsidRPr="00895810" w:rsidRDefault="000C0315" w:rsidP="000C0315">
            <w:pPr>
              <w:pStyle w:val="TableFiguresBrackets"/>
              <w:jc w:val="left"/>
              <w:rPr>
                <w:rFonts w:ascii="IBM Plex Sans Light" w:hAnsi="IBM Plex Sans Light" w:cs="MyriadPro-Light"/>
                <w:b/>
                <w:bCs/>
                <w:color w:val="3D7FE0" w:themeColor="accent1"/>
                <w:spacing w:val="-4"/>
                <w:szCs w:val="16"/>
              </w:rPr>
            </w:pPr>
          </w:p>
        </w:tc>
        <w:tc>
          <w:tcPr>
            <w:tcW w:w="873" w:type="dxa"/>
            <w:tcBorders>
              <w:top w:val="single" w:sz="2" w:space="0" w:color="3D7FE0" w:themeColor="accent1"/>
            </w:tcBorders>
          </w:tcPr>
          <w:p w14:paraId="43E31252" w14:textId="386C50A9" w:rsidR="000C0315" w:rsidRPr="00F66DA6" w:rsidRDefault="000C0315" w:rsidP="000C0315">
            <w:pPr>
              <w:pStyle w:val="TableFiguresBracketsBold"/>
              <w:rPr>
                <w:rFonts w:ascii="IBM Plex Sans Light" w:hAnsi="IBM Plex Sans Light"/>
                <w:b w:val="0"/>
                <w:color w:val="auto"/>
                <w:spacing w:val="-4"/>
                <w:sz w:val="18"/>
                <w:szCs w:val="18"/>
              </w:rPr>
            </w:pPr>
            <w:r w:rsidRPr="00F66DA6">
              <w:rPr>
                <w:rFonts w:ascii="IBM Plex Sans Light" w:hAnsi="IBM Plex Sans Light"/>
                <w:b w:val="0"/>
                <w:color w:val="auto"/>
                <w:spacing w:val="-4"/>
                <w:sz w:val="18"/>
                <w:szCs w:val="18"/>
              </w:rPr>
              <w:t>(13.6)</w:t>
            </w:r>
          </w:p>
        </w:tc>
        <w:tc>
          <w:tcPr>
            <w:tcW w:w="874" w:type="dxa"/>
            <w:tcBorders>
              <w:top w:val="single" w:sz="2" w:space="0" w:color="3D7FE0" w:themeColor="accent1"/>
            </w:tcBorders>
          </w:tcPr>
          <w:p w14:paraId="79429B1E" w14:textId="715C3066" w:rsidR="000C0315" w:rsidRPr="00DF1EF0" w:rsidRDefault="000C0315" w:rsidP="000C0315">
            <w:pPr>
              <w:pStyle w:val="TableFiguresBracketsBold"/>
              <w:rPr>
                <w:rFonts w:ascii="IBM Plex Sans Light" w:hAnsi="IBM Plex Sans Light"/>
                <w:b w:val="0"/>
                <w:color w:val="auto"/>
                <w:spacing w:val="-4"/>
                <w:sz w:val="18"/>
                <w:szCs w:val="18"/>
              </w:rPr>
            </w:pPr>
            <w:r w:rsidRPr="00DF1EF0">
              <w:rPr>
                <w:rFonts w:ascii="IBM Plex Sans Light" w:hAnsi="IBM Plex Sans Light"/>
                <w:b w:val="0"/>
                <w:color w:val="auto"/>
                <w:spacing w:val="-4"/>
                <w:sz w:val="18"/>
                <w:szCs w:val="18"/>
              </w:rPr>
              <w:t>(21.3)</w:t>
            </w:r>
          </w:p>
        </w:tc>
        <w:tc>
          <w:tcPr>
            <w:tcW w:w="874" w:type="dxa"/>
            <w:tcBorders>
              <w:top w:val="single" w:sz="2" w:space="0" w:color="3D7FE0" w:themeColor="accent1"/>
            </w:tcBorders>
          </w:tcPr>
          <w:p w14:paraId="0B45CB1B" w14:textId="5FF656DF"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(20.9)</w:t>
            </w:r>
          </w:p>
        </w:tc>
        <w:tc>
          <w:tcPr>
            <w:tcW w:w="874" w:type="dxa"/>
            <w:tcBorders>
              <w:top w:val="single" w:sz="2" w:space="0" w:color="3D7FE0" w:themeColor="accent1"/>
            </w:tcBorders>
            <w:tcMar>
              <w:left w:w="0" w:type="dxa"/>
              <w:right w:w="0" w:type="dxa"/>
            </w:tcMar>
          </w:tcPr>
          <w:p w14:paraId="0F8D925E" w14:textId="3C293245"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(7.3)</w:t>
            </w:r>
          </w:p>
        </w:tc>
        <w:tc>
          <w:tcPr>
            <w:tcW w:w="874" w:type="dxa"/>
            <w:tcBorders>
              <w:top w:val="single" w:sz="2" w:space="0" w:color="3D7FE0" w:themeColor="accent1"/>
            </w:tcBorders>
            <w:tcMar>
              <w:left w:w="0" w:type="dxa"/>
              <w:right w:w="0" w:type="dxa"/>
            </w:tcMar>
          </w:tcPr>
          <w:p w14:paraId="4534E588" w14:textId="559FC33D"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(9.7)</w:t>
            </w:r>
          </w:p>
        </w:tc>
        <w:tc>
          <w:tcPr>
            <w:tcW w:w="874" w:type="dxa"/>
            <w:tcBorders>
              <w:top w:val="single" w:sz="2" w:space="0" w:color="3D7FE0" w:themeColor="accent1"/>
            </w:tcBorders>
            <w:tcMar>
              <w:left w:w="0" w:type="dxa"/>
              <w:right w:w="0" w:type="dxa"/>
            </w:tcMar>
          </w:tcPr>
          <w:p w14:paraId="195673E4" w14:textId="63E82759" w:rsidR="000C0315" w:rsidRPr="00887AA1" w:rsidRDefault="000C0315"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(10.9)</w:t>
            </w:r>
          </w:p>
        </w:tc>
      </w:tr>
      <w:tr w:rsidR="00AF6A5C" w:rsidRPr="00895810" w14:paraId="2CDC749D" w14:textId="77777777" w:rsidTr="00AF70AE">
        <w:trPr>
          <w:trHeight w:hRule="exact" w:val="289"/>
        </w:trPr>
        <w:tc>
          <w:tcPr>
            <w:tcW w:w="4111" w:type="dxa"/>
            <w:tcMar>
              <w:left w:w="0" w:type="dxa"/>
              <w:right w:w="0" w:type="dxa"/>
            </w:tcMar>
            <w:vAlign w:val="bottom"/>
          </w:tcPr>
          <w:p w14:paraId="76A93E2F" w14:textId="77777777" w:rsidR="00AF6A5C" w:rsidRPr="00895810" w:rsidRDefault="00AF6A5C" w:rsidP="00AF6A5C">
            <w:pPr>
              <w:pStyle w:val="TableFiguresBrackets"/>
              <w:jc w:val="left"/>
              <w:rPr>
                <w:rFonts w:ascii="IBM Plex Sans Light" w:hAnsi="IBM Plex Sans Light"/>
                <w:b/>
                <w:color w:val="auto"/>
                <w:sz w:val="18"/>
                <w:szCs w:val="18"/>
              </w:rPr>
            </w:pPr>
            <w:r w:rsidRPr="00895810">
              <w:rPr>
                <w:rFonts w:ascii="IBM Plex Sans Light" w:hAnsi="IBM Plex Sans Light"/>
                <w:b/>
                <w:color w:val="auto"/>
                <w:sz w:val="18"/>
                <w:szCs w:val="18"/>
              </w:rPr>
              <w:t>Non-current liabilities</w:t>
            </w:r>
          </w:p>
        </w:tc>
        <w:tc>
          <w:tcPr>
            <w:tcW w:w="567" w:type="dxa"/>
            <w:vAlign w:val="bottom"/>
          </w:tcPr>
          <w:p w14:paraId="55C38583" w14:textId="77777777" w:rsidR="00AF6A5C" w:rsidRPr="00895810" w:rsidRDefault="00AF6A5C" w:rsidP="00AF6A5C">
            <w:pPr>
              <w:pStyle w:val="TableFiguresBrackets"/>
              <w:jc w:val="left"/>
              <w:rPr>
                <w:rFonts w:ascii="IBM Plex Sans Light" w:hAnsi="IBM Plex Sans Light"/>
                <w:b/>
                <w:szCs w:val="16"/>
              </w:rPr>
            </w:pPr>
          </w:p>
        </w:tc>
        <w:tc>
          <w:tcPr>
            <w:tcW w:w="873" w:type="dxa"/>
          </w:tcPr>
          <w:p w14:paraId="48E5D6EB" w14:textId="77777777" w:rsidR="00AF6A5C" w:rsidRPr="00895810" w:rsidRDefault="00AF6A5C" w:rsidP="00AF6A5C">
            <w:pPr>
              <w:pStyle w:val="TableFigures"/>
              <w:rPr>
                <w:rFonts w:ascii="IBM Plex Sans Light" w:hAnsi="IBM Plex Sans Light"/>
                <w:color w:val="auto"/>
                <w:spacing w:val="-4"/>
                <w:sz w:val="18"/>
                <w:szCs w:val="18"/>
              </w:rPr>
            </w:pPr>
          </w:p>
        </w:tc>
        <w:tc>
          <w:tcPr>
            <w:tcW w:w="874" w:type="dxa"/>
          </w:tcPr>
          <w:p w14:paraId="3472D787" w14:textId="77777777" w:rsidR="00AF6A5C" w:rsidRPr="00895810" w:rsidRDefault="00AF6A5C" w:rsidP="00AF6A5C">
            <w:pPr>
              <w:pStyle w:val="TableFigures"/>
              <w:rPr>
                <w:rFonts w:ascii="IBM Plex Sans Light" w:hAnsi="IBM Plex Sans Light"/>
                <w:color w:val="auto"/>
                <w:spacing w:val="-4"/>
                <w:sz w:val="18"/>
                <w:szCs w:val="18"/>
              </w:rPr>
            </w:pPr>
          </w:p>
        </w:tc>
        <w:tc>
          <w:tcPr>
            <w:tcW w:w="874" w:type="dxa"/>
          </w:tcPr>
          <w:p w14:paraId="34C32DEF" w14:textId="5ADE2DB6"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3EC60623" w14:textId="24DD5A4E"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4DE63E29" w14:textId="57459E79" w:rsidR="00AF6A5C" w:rsidRPr="00895810" w:rsidRDefault="00AF6A5C" w:rsidP="00AF6A5C">
            <w:pPr>
              <w:pStyle w:val="TableFigures"/>
              <w:rPr>
                <w:rFonts w:ascii="IBM Plex Sans Light" w:hAnsi="IBM Plex Sans Light"/>
                <w:color w:val="auto"/>
                <w:spacing w:val="-4"/>
                <w:sz w:val="18"/>
                <w:szCs w:val="18"/>
              </w:rPr>
            </w:pPr>
          </w:p>
        </w:tc>
        <w:tc>
          <w:tcPr>
            <w:tcW w:w="874" w:type="dxa"/>
            <w:tcMar>
              <w:left w:w="0" w:type="dxa"/>
              <w:right w:w="0" w:type="dxa"/>
            </w:tcMar>
          </w:tcPr>
          <w:p w14:paraId="14EB95BF" w14:textId="38EF8171" w:rsidR="00AF6A5C" w:rsidRPr="00895810" w:rsidRDefault="00AF6A5C" w:rsidP="00AF6A5C">
            <w:pPr>
              <w:pStyle w:val="TableFigures"/>
              <w:rPr>
                <w:rFonts w:ascii="IBM Plex Sans Light" w:hAnsi="IBM Plex Sans Light"/>
                <w:color w:val="auto"/>
                <w:spacing w:val="-4"/>
                <w:sz w:val="18"/>
                <w:szCs w:val="18"/>
              </w:rPr>
            </w:pPr>
          </w:p>
        </w:tc>
      </w:tr>
      <w:tr w:rsidR="00887AA1" w:rsidRPr="00895810" w14:paraId="7D03F3B5" w14:textId="77777777" w:rsidTr="00AF70AE">
        <w:trPr>
          <w:trHeight w:hRule="exact" w:val="255"/>
        </w:trPr>
        <w:tc>
          <w:tcPr>
            <w:tcW w:w="4111" w:type="dxa"/>
            <w:tcMar>
              <w:left w:w="0" w:type="dxa"/>
              <w:right w:w="0" w:type="dxa"/>
            </w:tcMar>
            <w:vAlign w:val="bottom"/>
          </w:tcPr>
          <w:p w14:paraId="207275AA" w14:textId="77777777" w:rsidR="00887AA1" w:rsidRPr="00895810" w:rsidRDefault="00887AA1" w:rsidP="00887AA1">
            <w:pPr>
              <w:pStyle w:val="TableFiguresBrackets"/>
              <w:jc w:val="left"/>
              <w:rPr>
                <w:rFonts w:ascii="IBM Plex Sans Light" w:hAnsi="IBM Plex Sans Light"/>
                <w:b/>
                <w:bCs/>
                <w:color w:val="3D7FE0" w:themeColor="accent1"/>
                <w:spacing w:val="-4"/>
                <w:sz w:val="18"/>
                <w:szCs w:val="18"/>
              </w:rPr>
            </w:pPr>
            <w:r w:rsidRPr="00895810">
              <w:rPr>
                <w:rFonts w:ascii="IBM Plex Sans Light" w:hAnsi="IBM Plex Sans Light"/>
                <w:bCs/>
                <w:sz w:val="18"/>
                <w:szCs w:val="18"/>
              </w:rPr>
              <w:t>Loans – secured</w:t>
            </w:r>
          </w:p>
        </w:tc>
        <w:tc>
          <w:tcPr>
            <w:tcW w:w="567" w:type="dxa"/>
            <w:vAlign w:val="bottom"/>
          </w:tcPr>
          <w:p w14:paraId="6218D14C" w14:textId="77777777" w:rsidR="00887AA1" w:rsidRPr="00895810" w:rsidRDefault="00887AA1" w:rsidP="00887AA1">
            <w:pPr>
              <w:pStyle w:val="TableFiguresBrackets"/>
              <w:jc w:val="left"/>
              <w:rPr>
                <w:rFonts w:ascii="IBM Plex Sans Light" w:hAnsi="IBM Plex Sans Light"/>
                <w:b/>
                <w:bCs/>
                <w:color w:val="3D7FE0" w:themeColor="accent1"/>
                <w:spacing w:val="-4"/>
                <w:szCs w:val="16"/>
              </w:rPr>
            </w:pPr>
          </w:p>
        </w:tc>
        <w:tc>
          <w:tcPr>
            <w:tcW w:w="873" w:type="dxa"/>
          </w:tcPr>
          <w:p w14:paraId="6D2248F1" w14:textId="20BC1218" w:rsidR="00887AA1" w:rsidRPr="00895810" w:rsidRDefault="00887AA1" w:rsidP="00887AA1">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w:t>
            </w:r>
          </w:p>
        </w:tc>
        <w:tc>
          <w:tcPr>
            <w:tcW w:w="874" w:type="dxa"/>
          </w:tcPr>
          <w:p w14:paraId="57553AD0" w14:textId="07E26C47" w:rsidR="00887AA1" w:rsidRPr="00895810" w:rsidRDefault="00887AA1" w:rsidP="00887AA1">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w:t>
            </w:r>
          </w:p>
        </w:tc>
        <w:tc>
          <w:tcPr>
            <w:tcW w:w="874" w:type="dxa"/>
          </w:tcPr>
          <w:p w14:paraId="7BBE21BD" w14:textId="5B9292A4"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48214A3E" w14:textId="0F159D4E"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402A0CA8" w14:textId="04195C87"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28346498" w14:textId="6F0F68AD"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r>
      <w:tr w:rsidR="00887AA1" w:rsidRPr="00895810" w14:paraId="131C5BF2" w14:textId="77777777" w:rsidTr="00AF70AE">
        <w:trPr>
          <w:trHeight w:hRule="exact" w:val="261"/>
        </w:trPr>
        <w:tc>
          <w:tcPr>
            <w:tcW w:w="4111" w:type="dxa"/>
            <w:tcMar>
              <w:left w:w="0" w:type="dxa"/>
              <w:right w:w="0" w:type="dxa"/>
            </w:tcMar>
            <w:vAlign w:val="bottom"/>
          </w:tcPr>
          <w:p w14:paraId="5D2EA8BF" w14:textId="77777777" w:rsidR="00887AA1" w:rsidRPr="00895810" w:rsidRDefault="00887AA1" w:rsidP="00887AA1">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Obligations under head leases</w:t>
            </w:r>
          </w:p>
        </w:tc>
        <w:tc>
          <w:tcPr>
            <w:tcW w:w="567" w:type="dxa"/>
            <w:vAlign w:val="bottom"/>
          </w:tcPr>
          <w:p w14:paraId="620C9DB2" w14:textId="77777777" w:rsidR="00887AA1" w:rsidRPr="00895810" w:rsidRDefault="00887AA1" w:rsidP="00887AA1">
            <w:pPr>
              <w:pStyle w:val="TableFiguresBrackets"/>
              <w:jc w:val="left"/>
              <w:rPr>
                <w:rFonts w:ascii="IBM Plex Sans Light" w:hAnsi="IBM Plex Sans Light" w:cs="MyriadPro-Light"/>
                <w:b/>
                <w:bCs/>
                <w:color w:val="3D7FE0" w:themeColor="accent1"/>
                <w:spacing w:val="-4"/>
                <w:szCs w:val="16"/>
              </w:rPr>
            </w:pPr>
          </w:p>
        </w:tc>
        <w:tc>
          <w:tcPr>
            <w:tcW w:w="873" w:type="dxa"/>
          </w:tcPr>
          <w:p w14:paraId="190AAE9A" w14:textId="59CB44D7" w:rsidR="00887AA1" w:rsidRPr="00F66DA6" w:rsidRDefault="00887AA1" w:rsidP="00887AA1">
            <w:pPr>
              <w:pStyle w:val="TableFiguresBracketsBold"/>
              <w:rPr>
                <w:rFonts w:ascii="IBM Plex Sans Light" w:hAnsi="IBM Plex Sans Light"/>
                <w:b w:val="0"/>
                <w:color w:val="auto"/>
                <w:spacing w:val="-4"/>
                <w:sz w:val="18"/>
                <w:szCs w:val="18"/>
              </w:rPr>
            </w:pPr>
            <w:r w:rsidRPr="00F66DA6">
              <w:rPr>
                <w:rFonts w:ascii="IBM Plex Sans Light" w:hAnsi="IBM Plex Sans Light"/>
                <w:b w:val="0"/>
                <w:color w:val="auto"/>
                <w:spacing w:val="-4"/>
                <w:sz w:val="18"/>
                <w:szCs w:val="18"/>
              </w:rPr>
              <w:t>(12.8)</w:t>
            </w:r>
          </w:p>
        </w:tc>
        <w:tc>
          <w:tcPr>
            <w:tcW w:w="874" w:type="dxa"/>
          </w:tcPr>
          <w:p w14:paraId="49D903DD" w14:textId="5AA4F137" w:rsidR="00887AA1" w:rsidRPr="00DF1EF0" w:rsidRDefault="00887AA1" w:rsidP="00887AA1">
            <w:pPr>
              <w:pStyle w:val="TableFiguresBracketsBold"/>
              <w:rPr>
                <w:rFonts w:ascii="IBM Plex Sans Light" w:hAnsi="IBM Plex Sans Light"/>
                <w:b w:val="0"/>
                <w:color w:val="auto"/>
                <w:spacing w:val="-4"/>
                <w:sz w:val="18"/>
                <w:szCs w:val="18"/>
              </w:rPr>
            </w:pPr>
            <w:r w:rsidRPr="00DF1EF0">
              <w:rPr>
                <w:rFonts w:ascii="IBM Plex Sans Light" w:hAnsi="IBM Plex Sans Light"/>
                <w:b w:val="0"/>
                <w:color w:val="auto"/>
                <w:spacing w:val="-4"/>
                <w:sz w:val="18"/>
                <w:szCs w:val="18"/>
              </w:rPr>
              <w:t>(14.1)</w:t>
            </w:r>
          </w:p>
        </w:tc>
        <w:tc>
          <w:tcPr>
            <w:tcW w:w="874" w:type="dxa"/>
          </w:tcPr>
          <w:p w14:paraId="25761EC9" w14:textId="65F776DF"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3F87D545" w14:textId="25ABA94A"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(2.8)</w:t>
            </w:r>
          </w:p>
        </w:tc>
        <w:tc>
          <w:tcPr>
            <w:tcW w:w="874" w:type="dxa"/>
            <w:tcMar>
              <w:left w:w="0" w:type="dxa"/>
              <w:right w:w="0" w:type="dxa"/>
            </w:tcMar>
          </w:tcPr>
          <w:p w14:paraId="590D8025" w14:textId="655B1F25"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75FA019A" w14:textId="2CE9C201"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(4.2)</w:t>
            </w:r>
          </w:p>
        </w:tc>
      </w:tr>
      <w:tr w:rsidR="00887AA1" w:rsidRPr="00895810" w14:paraId="4DE3ED78" w14:textId="77777777" w:rsidTr="004406E3">
        <w:trPr>
          <w:trHeight w:hRule="exact" w:val="255"/>
        </w:trPr>
        <w:tc>
          <w:tcPr>
            <w:tcW w:w="4111" w:type="dxa"/>
            <w:tcMar>
              <w:left w:w="0" w:type="dxa"/>
              <w:right w:w="0" w:type="dxa"/>
            </w:tcMar>
            <w:vAlign w:val="bottom"/>
          </w:tcPr>
          <w:p w14:paraId="42001513" w14:textId="1F4C32EA" w:rsidR="00887AA1" w:rsidRPr="00895810" w:rsidRDefault="00887AA1" w:rsidP="00887AA1">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 – due to Group companies</w:t>
            </w:r>
          </w:p>
        </w:tc>
        <w:tc>
          <w:tcPr>
            <w:tcW w:w="567" w:type="dxa"/>
            <w:vAlign w:val="bottom"/>
          </w:tcPr>
          <w:p w14:paraId="183562A8" w14:textId="29B850C3" w:rsidR="00887AA1" w:rsidRPr="00895810" w:rsidRDefault="00366E57" w:rsidP="00887AA1">
            <w:pPr>
              <w:pStyle w:val="TableFiguresBrackets"/>
              <w:jc w:val="left"/>
              <w:rPr>
                <w:rFonts w:ascii="IBM Plex Sans Light" w:hAnsi="IBM Plex Sans Light" w:cs="MyriadPro-Light"/>
                <w:color w:val="auto"/>
                <w:spacing w:val="-4"/>
                <w:szCs w:val="16"/>
              </w:rPr>
            </w:pPr>
            <w:proofErr w:type="spellStart"/>
            <w:r>
              <w:rPr>
                <w:rFonts w:ascii="IBM Plex Sans Light" w:hAnsi="IBM Plex Sans Light" w:cs="MyriadPro-Light"/>
                <w:color w:val="auto"/>
                <w:spacing w:val="-4"/>
                <w:szCs w:val="16"/>
              </w:rPr>
              <w:t>b,e</w:t>
            </w:r>
            <w:proofErr w:type="spellEnd"/>
          </w:p>
        </w:tc>
        <w:tc>
          <w:tcPr>
            <w:tcW w:w="873" w:type="dxa"/>
          </w:tcPr>
          <w:p w14:paraId="531677F5" w14:textId="57DE9B10" w:rsidR="00887AA1" w:rsidRPr="00F66DA6" w:rsidRDefault="00887AA1" w:rsidP="00887AA1">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w:t>
            </w:r>
          </w:p>
        </w:tc>
        <w:tc>
          <w:tcPr>
            <w:tcW w:w="874" w:type="dxa"/>
          </w:tcPr>
          <w:p w14:paraId="2004E34C" w14:textId="29BD4ACE" w:rsidR="00887AA1" w:rsidRPr="00DF1EF0" w:rsidRDefault="00887AA1" w:rsidP="00887AA1">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p>
        </w:tc>
        <w:tc>
          <w:tcPr>
            <w:tcW w:w="874" w:type="dxa"/>
          </w:tcPr>
          <w:p w14:paraId="7690A6A9" w14:textId="6E9D1C15" w:rsidR="00887AA1" w:rsidRPr="00887AA1"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2656893F" w14:textId="0F69F752"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60DC066F" w14:textId="4801B1F8"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Mar>
              <w:left w:w="0" w:type="dxa"/>
              <w:right w:w="0" w:type="dxa"/>
            </w:tcMar>
          </w:tcPr>
          <w:p w14:paraId="73EFB447" w14:textId="40DA31FB"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(348.2)</w:t>
            </w:r>
          </w:p>
        </w:tc>
      </w:tr>
      <w:tr w:rsidR="00887AA1" w:rsidRPr="00895810" w14:paraId="713CA535" w14:textId="77777777" w:rsidTr="004406E3">
        <w:trPr>
          <w:trHeight w:hRule="exact" w:val="255"/>
        </w:trPr>
        <w:tc>
          <w:tcPr>
            <w:tcW w:w="4111" w:type="dxa"/>
            <w:tcBorders>
              <w:bottom w:val="single" w:sz="2" w:space="0" w:color="3D7FE0" w:themeColor="accent1"/>
            </w:tcBorders>
            <w:tcMar>
              <w:left w:w="0" w:type="dxa"/>
              <w:right w:w="0" w:type="dxa"/>
            </w:tcMar>
            <w:vAlign w:val="bottom"/>
          </w:tcPr>
          <w:p w14:paraId="53F3211D" w14:textId="2AB71ED1" w:rsidR="00887AA1" w:rsidRPr="00895810" w:rsidRDefault="00887AA1" w:rsidP="00887AA1">
            <w:pPr>
              <w:pStyle w:val="TableFiguresBrackets"/>
              <w:jc w:val="left"/>
              <w:rPr>
                <w:rFonts w:ascii="IBM Plex Sans Light" w:hAnsi="IBM Plex Sans Light"/>
                <w:bCs/>
                <w:sz w:val="18"/>
                <w:szCs w:val="18"/>
              </w:rPr>
            </w:pPr>
            <w:r w:rsidRPr="00895810">
              <w:rPr>
                <w:rFonts w:ascii="IBM Plex Sans Light" w:hAnsi="IBM Plex Sans Light"/>
                <w:bCs/>
                <w:sz w:val="18"/>
                <w:szCs w:val="18"/>
              </w:rPr>
              <w:t xml:space="preserve">                    </w:t>
            </w:r>
            <w:r>
              <w:rPr>
                <w:rFonts w:ascii="IBM Plex Sans Light" w:hAnsi="IBM Plex Sans Light"/>
                <w:bCs/>
                <w:sz w:val="18"/>
                <w:szCs w:val="18"/>
              </w:rPr>
              <w:t xml:space="preserve">       </w:t>
            </w:r>
            <w:r w:rsidRPr="00895810">
              <w:rPr>
                <w:rFonts w:ascii="IBM Plex Sans Light" w:hAnsi="IBM Plex Sans Light"/>
                <w:bCs/>
                <w:sz w:val="18"/>
                <w:szCs w:val="18"/>
              </w:rPr>
              <w:t xml:space="preserve">  – other parties and deferred tax   </w:t>
            </w:r>
          </w:p>
        </w:tc>
        <w:tc>
          <w:tcPr>
            <w:tcW w:w="567" w:type="dxa"/>
            <w:tcBorders>
              <w:bottom w:val="single" w:sz="2" w:space="0" w:color="3D7FE0" w:themeColor="accent1"/>
            </w:tcBorders>
            <w:vAlign w:val="bottom"/>
          </w:tcPr>
          <w:p w14:paraId="314A4002" w14:textId="1EFF16C5" w:rsidR="00887AA1" w:rsidRPr="00895810" w:rsidRDefault="00366E57" w:rsidP="00887AA1">
            <w:pPr>
              <w:pStyle w:val="TableFiguresBrackets"/>
              <w:jc w:val="left"/>
              <w:rPr>
                <w:rFonts w:ascii="IBM Plex Sans Light" w:hAnsi="IBM Plex Sans Light" w:cs="MyriadPro-Light"/>
                <w:color w:val="auto"/>
                <w:spacing w:val="-4"/>
                <w:szCs w:val="16"/>
              </w:rPr>
            </w:pPr>
            <w:r>
              <w:rPr>
                <w:rFonts w:ascii="IBM Plex Sans Light" w:hAnsi="IBM Plex Sans Light" w:cs="MyriadPro-Light"/>
                <w:color w:val="auto"/>
                <w:spacing w:val="-4"/>
                <w:szCs w:val="16"/>
              </w:rPr>
              <w:t>e</w:t>
            </w:r>
          </w:p>
        </w:tc>
        <w:tc>
          <w:tcPr>
            <w:tcW w:w="873" w:type="dxa"/>
            <w:tcBorders>
              <w:bottom w:val="single" w:sz="2" w:space="0" w:color="3D7FE0" w:themeColor="accent1"/>
            </w:tcBorders>
          </w:tcPr>
          <w:p w14:paraId="08866AD7" w14:textId="1A664159" w:rsidR="00887AA1" w:rsidRPr="00F66DA6" w:rsidRDefault="00887AA1" w:rsidP="00887AA1">
            <w:pPr>
              <w:pStyle w:val="TableFiguresBracketsBold"/>
              <w:rPr>
                <w:rFonts w:ascii="IBM Plex Sans Light" w:hAnsi="IBM Plex Sans Light"/>
                <w:b w:val="0"/>
                <w:color w:val="auto"/>
                <w:spacing w:val="-4"/>
                <w:sz w:val="18"/>
                <w:szCs w:val="18"/>
              </w:rPr>
            </w:pPr>
            <w:r w:rsidRPr="00F66DA6">
              <w:rPr>
                <w:rFonts w:ascii="IBM Plex Sans Light" w:hAnsi="IBM Plex Sans Light"/>
                <w:b w:val="0"/>
                <w:color w:val="auto"/>
                <w:spacing w:val="-4"/>
                <w:sz w:val="18"/>
                <w:szCs w:val="18"/>
              </w:rPr>
              <w:t>(0.8)</w:t>
            </w:r>
          </w:p>
        </w:tc>
        <w:tc>
          <w:tcPr>
            <w:tcW w:w="874" w:type="dxa"/>
            <w:tcBorders>
              <w:bottom w:val="single" w:sz="2" w:space="0" w:color="3D7FE0" w:themeColor="accent1"/>
            </w:tcBorders>
          </w:tcPr>
          <w:p w14:paraId="27BD72FA" w14:textId="175C4D4D" w:rsidR="00887AA1" w:rsidRPr="00DF1EF0" w:rsidRDefault="00887AA1" w:rsidP="00887AA1">
            <w:pPr>
              <w:pStyle w:val="TableFiguresBracketsBold"/>
              <w:rPr>
                <w:rFonts w:ascii="IBM Plex Sans Light" w:hAnsi="IBM Plex Sans Light"/>
                <w:b w:val="0"/>
                <w:color w:val="auto"/>
                <w:spacing w:val="-4"/>
                <w:sz w:val="18"/>
                <w:szCs w:val="18"/>
              </w:rPr>
            </w:pPr>
            <w:r w:rsidRPr="00895810">
              <w:rPr>
                <w:rFonts w:ascii="IBM Plex Sans Light" w:hAnsi="IBM Plex Sans Light"/>
                <w:b w:val="0"/>
                <w:color w:val="auto"/>
                <w:spacing w:val="-4"/>
                <w:sz w:val="18"/>
                <w:szCs w:val="18"/>
              </w:rPr>
              <w:t>(0.6)</w:t>
            </w:r>
          </w:p>
        </w:tc>
        <w:tc>
          <w:tcPr>
            <w:tcW w:w="874" w:type="dxa"/>
            <w:tcBorders>
              <w:bottom w:val="single" w:sz="2" w:space="0" w:color="3D7FE0" w:themeColor="accent1"/>
            </w:tcBorders>
          </w:tcPr>
          <w:p w14:paraId="29F0B57E" w14:textId="0800C915"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(1.0)</w:t>
            </w:r>
          </w:p>
        </w:tc>
        <w:tc>
          <w:tcPr>
            <w:tcW w:w="874" w:type="dxa"/>
            <w:tcBorders>
              <w:bottom w:val="single" w:sz="2" w:space="0" w:color="3D7FE0" w:themeColor="accent1"/>
            </w:tcBorders>
            <w:tcMar>
              <w:left w:w="0" w:type="dxa"/>
              <w:right w:w="0" w:type="dxa"/>
            </w:tcMar>
          </w:tcPr>
          <w:p w14:paraId="126F5FFE" w14:textId="1F9271E5"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(0.6)</w:t>
            </w:r>
          </w:p>
        </w:tc>
        <w:tc>
          <w:tcPr>
            <w:tcW w:w="874" w:type="dxa"/>
            <w:tcBorders>
              <w:bottom w:val="single" w:sz="2" w:space="0" w:color="3D7FE0" w:themeColor="accent1"/>
            </w:tcBorders>
            <w:tcMar>
              <w:left w:w="0" w:type="dxa"/>
              <w:right w:w="0" w:type="dxa"/>
            </w:tcMar>
          </w:tcPr>
          <w:p w14:paraId="55C2561C" w14:textId="2E6845B5"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(0.7)</w:t>
            </w:r>
          </w:p>
        </w:tc>
        <w:tc>
          <w:tcPr>
            <w:tcW w:w="874" w:type="dxa"/>
            <w:tcBorders>
              <w:bottom w:val="single" w:sz="2" w:space="0" w:color="3D7FE0" w:themeColor="accent1"/>
            </w:tcBorders>
            <w:tcMar>
              <w:left w:w="0" w:type="dxa"/>
              <w:right w:w="0" w:type="dxa"/>
            </w:tcMar>
          </w:tcPr>
          <w:p w14:paraId="1B6E4AEA" w14:textId="4888F347"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(348.8)</w:t>
            </w:r>
          </w:p>
        </w:tc>
      </w:tr>
      <w:tr w:rsidR="00887AA1" w:rsidRPr="00895810" w14:paraId="67AAA5B3" w14:textId="77777777" w:rsidTr="004406E3">
        <w:trPr>
          <w:trHeight w:hRule="exact" w:val="255"/>
        </w:trPr>
        <w:tc>
          <w:tcPr>
            <w:tcW w:w="4111" w:type="dxa"/>
            <w:tcBorders>
              <w:top w:val="single" w:sz="2" w:space="0" w:color="3D7FE0" w:themeColor="accent1"/>
            </w:tcBorders>
            <w:tcMar>
              <w:left w:w="0" w:type="dxa"/>
              <w:right w:w="0" w:type="dxa"/>
            </w:tcMar>
            <w:vAlign w:val="bottom"/>
          </w:tcPr>
          <w:p w14:paraId="391A274D" w14:textId="77777777" w:rsidR="00887AA1" w:rsidRPr="00895810" w:rsidRDefault="00887AA1" w:rsidP="00887AA1">
            <w:pPr>
              <w:pStyle w:val="TableFiguresBrackets"/>
              <w:tabs>
                <w:tab w:val="left" w:pos="926"/>
              </w:tabs>
              <w:jc w:val="left"/>
              <w:rPr>
                <w:rFonts w:ascii="IBM Plex Sans Light" w:hAnsi="IBM Plex Sans Light"/>
                <w:bCs/>
                <w:color w:val="auto"/>
                <w:spacing w:val="-4"/>
                <w:sz w:val="18"/>
                <w:szCs w:val="18"/>
              </w:rPr>
            </w:pPr>
          </w:p>
        </w:tc>
        <w:tc>
          <w:tcPr>
            <w:tcW w:w="567" w:type="dxa"/>
            <w:tcBorders>
              <w:top w:val="single" w:sz="2" w:space="0" w:color="3D7FE0" w:themeColor="accent1"/>
            </w:tcBorders>
            <w:vAlign w:val="bottom"/>
          </w:tcPr>
          <w:p w14:paraId="3B62994D" w14:textId="77777777" w:rsidR="00887AA1" w:rsidRPr="00895810" w:rsidRDefault="00887AA1" w:rsidP="00887AA1">
            <w:pPr>
              <w:pStyle w:val="TableFiguresBrackets"/>
              <w:jc w:val="left"/>
              <w:rPr>
                <w:rFonts w:ascii="IBM Plex Sans Light" w:hAnsi="IBM Plex Sans Light"/>
                <w:bCs/>
                <w:color w:val="auto"/>
                <w:spacing w:val="-4"/>
                <w:szCs w:val="16"/>
              </w:rPr>
            </w:pPr>
          </w:p>
        </w:tc>
        <w:tc>
          <w:tcPr>
            <w:tcW w:w="873" w:type="dxa"/>
            <w:tcBorders>
              <w:top w:val="single" w:sz="2" w:space="0" w:color="3D7FE0" w:themeColor="accent1"/>
            </w:tcBorders>
          </w:tcPr>
          <w:p w14:paraId="50A00121" w14:textId="72CA3D18" w:rsidR="00887AA1" w:rsidRPr="00F66DA6" w:rsidRDefault="00887AA1" w:rsidP="00887AA1">
            <w:pPr>
              <w:pStyle w:val="TableFiguresBracketsBold"/>
              <w:rPr>
                <w:rFonts w:ascii="IBM Plex Sans Light" w:hAnsi="IBM Plex Sans Light"/>
                <w:b w:val="0"/>
                <w:color w:val="auto"/>
                <w:spacing w:val="-4"/>
                <w:sz w:val="18"/>
                <w:szCs w:val="18"/>
              </w:rPr>
            </w:pPr>
            <w:r w:rsidRPr="00F66DA6">
              <w:rPr>
                <w:rFonts w:ascii="IBM Plex Sans Light" w:hAnsi="IBM Plex Sans Light"/>
                <w:b w:val="0"/>
                <w:color w:val="auto"/>
                <w:spacing w:val="-4"/>
                <w:sz w:val="18"/>
                <w:szCs w:val="18"/>
              </w:rPr>
              <w:t>(13.6)</w:t>
            </w:r>
          </w:p>
        </w:tc>
        <w:tc>
          <w:tcPr>
            <w:tcW w:w="874" w:type="dxa"/>
            <w:tcBorders>
              <w:top w:val="single" w:sz="2" w:space="0" w:color="3D7FE0" w:themeColor="accent1"/>
            </w:tcBorders>
          </w:tcPr>
          <w:p w14:paraId="255826E2" w14:textId="4C949AF3" w:rsidR="00887AA1" w:rsidRPr="00DF1EF0" w:rsidRDefault="00887AA1" w:rsidP="00887AA1">
            <w:pPr>
              <w:pStyle w:val="TableFiguresBracketsBold"/>
              <w:rPr>
                <w:rFonts w:ascii="IBM Plex Sans Light" w:hAnsi="IBM Plex Sans Light"/>
                <w:b w:val="0"/>
                <w:color w:val="auto"/>
                <w:spacing w:val="-4"/>
                <w:sz w:val="18"/>
                <w:szCs w:val="18"/>
              </w:rPr>
            </w:pPr>
            <w:r w:rsidRPr="00DF1EF0">
              <w:rPr>
                <w:rFonts w:ascii="IBM Plex Sans Light" w:hAnsi="IBM Plex Sans Light"/>
                <w:b w:val="0"/>
                <w:color w:val="auto"/>
                <w:spacing w:val="-4"/>
                <w:sz w:val="18"/>
                <w:szCs w:val="18"/>
              </w:rPr>
              <w:t>(14.7)</w:t>
            </w:r>
          </w:p>
        </w:tc>
        <w:tc>
          <w:tcPr>
            <w:tcW w:w="874" w:type="dxa"/>
            <w:tcBorders>
              <w:top w:val="single" w:sz="2" w:space="0" w:color="3D7FE0" w:themeColor="accent1"/>
            </w:tcBorders>
          </w:tcPr>
          <w:p w14:paraId="41D8620D" w14:textId="4A2C57E7"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(1.0)</w:t>
            </w:r>
          </w:p>
        </w:tc>
        <w:tc>
          <w:tcPr>
            <w:tcW w:w="874" w:type="dxa"/>
            <w:tcBorders>
              <w:top w:val="single" w:sz="2" w:space="0" w:color="3D7FE0" w:themeColor="accent1"/>
            </w:tcBorders>
            <w:tcMar>
              <w:left w:w="0" w:type="dxa"/>
              <w:right w:w="0" w:type="dxa"/>
            </w:tcMar>
          </w:tcPr>
          <w:p w14:paraId="25365E2C" w14:textId="6BA710EB"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(3.4)</w:t>
            </w:r>
          </w:p>
        </w:tc>
        <w:tc>
          <w:tcPr>
            <w:tcW w:w="874" w:type="dxa"/>
            <w:tcBorders>
              <w:top w:val="single" w:sz="2" w:space="0" w:color="3D7FE0" w:themeColor="accent1"/>
            </w:tcBorders>
            <w:tcMar>
              <w:left w:w="0" w:type="dxa"/>
              <w:right w:w="0" w:type="dxa"/>
            </w:tcMar>
          </w:tcPr>
          <w:p w14:paraId="31C78278" w14:textId="6F22F749"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(0.7)</w:t>
            </w:r>
          </w:p>
        </w:tc>
        <w:tc>
          <w:tcPr>
            <w:tcW w:w="874" w:type="dxa"/>
            <w:tcBorders>
              <w:top w:val="single" w:sz="2" w:space="0" w:color="3D7FE0" w:themeColor="accent1"/>
            </w:tcBorders>
            <w:tcMar>
              <w:left w:w="0" w:type="dxa"/>
              <w:right w:w="0" w:type="dxa"/>
            </w:tcMar>
          </w:tcPr>
          <w:p w14:paraId="4DE5102E" w14:textId="5CAE5C6E" w:rsidR="00887AA1" w:rsidRPr="00887AA1" w:rsidRDefault="00887AA1" w:rsidP="00887AA1">
            <w:pPr>
              <w:pStyle w:val="TableFiguresBracketsBold"/>
              <w:rPr>
                <w:rFonts w:ascii="IBM Plex Sans Light" w:hAnsi="IBM Plex Sans Light"/>
                <w:b w:val="0"/>
                <w:color w:val="auto"/>
                <w:spacing w:val="-4"/>
                <w:sz w:val="18"/>
                <w:szCs w:val="18"/>
              </w:rPr>
            </w:pPr>
            <w:r w:rsidRPr="00887AA1">
              <w:rPr>
                <w:rFonts w:ascii="IBM Plex Sans Light" w:hAnsi="IBM Plex Sans Light"/>
                <w:b w:val="0"/>
                <w:color w:val="auto"/>
                <w:spacing w:val="-4"/>
                <w:sz w:val="18"/>
                <w:szCs w:val="18"/>
              </w:rPr>
              <w:t>(701.2)</w:t>
            </w:r>
          </w:p>
        </w:tc>
      </w:tr>
      <w:tr w:rsidR="00887AA1" w:rsidRPr="00895810" w14:paraId="233E3660" w14:textId="77777777" w:rsidTr="00624EE3">
        <w:trPr>
          <w:trHeight w:hRule="exact" w:val="255"/>
        </w:trPr>
        <w:tc>
          <w:tcPr>
            <w:tcW w:w="4111" w:type="dxa"/>
            <w:tcBorders>
              <w:bottom w:val="single" w:sz="2" w:space="0" w:color="3D7FE0" w:themeColor="accent1"/>
            </w:tcBorders>
            <w:tcMar>
              <w:left w:w="0" w:type="dxa"/>
              <w:right w:w="0" w:type="dxa"/>
            </w:tcMar>
            <w:vAlign w:val="bottom"/>
          </w:tcPr>
          <w:p w14:paraId="069A0892" w14:textId="77777777" w:rsidR="00887AA1" w:rsidRPr="00895810" w:rsidRDefault="00887AA1" w:rsidP="00887AA1">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Cs/>
                <w:sz w:val="18"/>
                <w:szCs w:val="18"/>
              </w:rPr>
              <w:t>Cumulative losses restricted</w:t>
            </w:r>
          </w:p>
        </w:tc>
        <w:tc>
          <w:tcPr>
            <w:tcW w:w="567" w:type="dxa"/>
            <w:tcBorders>
              <w:bottom w:val="single" w:sz="2" w:space="0" w:color="3D7FE0" w:themeColor="accent1"/>
            </w:tcBorders>
            <w:vAlign w:val="bottom"/>
          </w:tcPr>
          <w:p w14:paraId="5E477BC4" w14:textId="50D778E0" w:rsidR="00887AA1" w:rsidRPr="00895810" w:rsidRDefault="00366E57" w:rsidP="00887AA1">
            <w:pPr>
              <w:pStyle w:val="TableFiguresBrackets"/>
              <w:jc w:val="left"/>
              <w:rPr>
                <w:rFonts w:ascii="IBM Plex Sans Light" w:hAnsi="IBM Plex Sans Light"/>
                <w:bCs/>
                <w:szCs w:val="16"/>
              </w:rPr>
            </w:pPr>
            <w:r>
              <w:rPr>
                <w:rFonts w:ascii="IBM Plex Sans Light" w:hAnsi="IBM Plex Sans Light"/>
                <w:bCs/>
                <w:szCs w:val="16"/>
              </w:rPr>
              <w:t>a</w:t>
            </w:r>
          </w:p>
        </w:tc>
        <w:tc>
          <w:tcPr>
            <w:tcW w:w="873" w:type="dxa"/>
            <w:tcBorders>
              <w:bottom w:val="single" w:sz="2" w:space="0" w:color="3D7FE0" w:themeColor="accent1"/>
            </w:tcBorders>
          </w:tcPr>
          <w:p w14:paraId="7763E6EA" w14:textId="090A9494" w:rsidR="00887AA1" w:rsidRPr="00895810" w:rsidRDefault="00887AA1" w:rsidP="00887AA1">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w:t>
            </w:r>
          </w:p>
        </w:tc>
        <w:tc>
          <w:tcPr>
            <w:tcW w:w="874" w:type="dxa"/>
            <w:tcBorders>
              <w:bottom w:val="single" w:sz="2" w:space="0" w:color="3D7FE0" w:themeColor="accent1"/>
            </w:tcBorders>
          </w:tcPr>
          <w:p w14:paraId="4E9EA19B" w14:textId="098D61A4" w:rsidR="00887AA1" w:rsidRPr="00895810" w:rsidRDefault="00887AA1" w:rsidP="00887AA1">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w:t>
            </w:r>
          </w:p>
        </w:tc>
        <w:tc>
          <w:tcPr>
            <w:tcW w:w="874" w:type="dxa"/>
            <w:tcBorders>
              <w:bottom w:val="single" w:sz="2" w:space="0" w:color="3D7FE0" w:themeColor="accent1"/>
            </w:tcBorders>
          </w:tcPr>
          <w:p w14:paraId="36AAA83A" w14:textId="73437BA2"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4C0488A5" w14:textId="13A40ECE"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64FAF808" w14:textId="6CC0E21D"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c>
          <w:tcPr>
            <w:tcW w:w="874" w:type="dxa"/>
            <w:tcBorders>
              <w:bottom w:val="single" w:sz="2" w:space="0" w:color="3D7FE0" w:themeColor="accent1"/>
            </w:tcBorders>
            <w:tcMar>
              <w:left w:w="0" w:type="dxa"/>
              <w:right w:w="0" w:type="dxa"/>
            </w:tcMar>
          </w:tcPr>
          <w:p w14:paraId="0B0A3FCC" w14:textId="689B7364"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w:t>
            </w:r>
          </w:p>
        </w:tc>
      </w:tr>
      <w:tr w:rsidR="00887AA1" w:rsidRPr="00895810" w14:paraId="2D1F04C4" w14:textId="77777777" w:rsidTr="009545E3">
        <w:trPr>
          <w:trHeight w:hRule="exact" w:val="283"/>
        </w:trPr>
        <w:tc>
          <w:tcPr>
            <w:tcW w:w="4111" w:type="dxa"/>
            <w:tcBorders>
              <w:top w:val="single" w:sz="2" w:space="0" w:color="3D7FE0" w:themeColor="accent1"/>
              <w:bottom w:val="single" w:sz="8" w:space="0" w:color="3D7FE0" w:themeColor="accent1"/>
            </w:tcBorders>
            <w:tcMar>
              <w:left w:w="0" w:type="dxa"/>
              <w:right w:w="0" w:type="dxa"/>
            </w:tcMar>
            <w:vAlign w:val="bottom"/>
          </w:tcPr>
          <w:p w14:paraId="24B8BC5F" w14:textId="0A50DFA0" w:rsidR="00887AA1" w:rsidRPr="00895810" w:rsidRDefault="00887AA1" w:rsidP="00887AA1">
            <w:pPr>
              <w:pStyle w:val="TableFiguresBracket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Net assets</w:t>
            </w:r>
            <w:r w:rsidR="00452848">
              <w:rPr>
                <w:rFonts w:ascii="IBM Plex Sans Light" w:hAnsi="IBM Plex Sans Light"/>
                <w:b/>
                <w:color w:val="auto"/>
                <w:sz w:val="18"/>
                <w:szCs w:val="18"/>
              </w:rPr>
              <w:t>/(liabilities)</w:t>
            </w:r>
          </w:p>
        </w:tc>
        <w:tc>
          <w:tcPr>
            <w:tcW w:w="567" w:type="dxa"/>
            <w:tcBorders>
              <w:top w:val="single" w:sz="2" w:space="0" w:color="3D7FE0" w:themeColor="accent1"/>
              <w:bottom w:val="single" w:sz="8" w:space="0" w:color="3D7FE0" w:themeColor="accent1"/>
            </w:tcBorders>
            <w:vAlign w:val="bottom"/>
          </w:tcPr>
          <w:p w14:paraId="5E1F4487" w14:textId="754508C1" w:rsidR="00887AA1" w:rsidRPr="00366E57" w:rsidRDefault="00366E57" w:rsidP="00887AA1">
            <w:pPr>
              <w:pStyle w:val="TableFiguresBrackets"/>
              <w:jc w:val="left"/>
              <w:rPr>
                <w:rFonts w:ascii="IBM Plex Sans Light" w:hAnsi="IBM Plex Sans Light"/>
                <w:bCs/>
                <w:szCs w:val="16"/>
              </w:rPr>
            </w:pPr>
            <w:r w:rsidRPr="00366E57">
              <w:rPr>
                <w:rFonts w:ascii="IBM Plex Sans Light" w:hAnsi="IBM Plex Sans Light"/>
                <w:bCs/>
                <w:szCs w:val="16"/>
              </w:rPr>
              <w:t>b</w:t>
            </w:r>
          </w:p>
        </w:tc>
        <w:tc>
          <w:tcPr>
            <w:tcW w:w="873" w:type="dxa"/>
            <w:tcBorders>
              <w:top w:val="single" w:sz="2" w:space="0" w:color="3D7FE0" w:themeColor="accent1"/>
              <w:bottom w:val="single" w:sz="8" w:space="0" w:color="3D7FE0" w:themeColor="accent1"/>
            </w:tcBorders>
          </w:tcPr>
          <w:p w14:paraId="7094DBD6" w14:textId="7838B303" w:rsidR="00887AA1" w:rsidRPr="00895810" w:rsidRDefault="00887AA1" w:rsidP="00887AA1">
            <w:pPr>
              <w:pStyle w:val="TableFigures"/>
              <w:rPr>
                <w:rFonts w:ascii="IBM Plex Sans Light" w:hAnsi="IBM Plex Sans Light"/>
                <w:color w:val="auto"/>
                <w:spacing w:val="-4"/>
                <w:sz w:val="18"/>
                <w:szCs w:val="18"/>
              </w:rPr>
            </w:pPr>
            <w:r w:rsidRPr="00F66DA6">
              <w:rPr>
                <w:rFonts w:ascii="IBM Plex Sans Light" w:hAnsi="IBM Plex Sans Light"/>
                <w:color w:val="auto"/>
                <w:spacing w:val="-4"/>
                <w:sz w:val="18"/>
                <w:szCs w:val="18"/>
              </w:rPr>
              <w:t>399.4</w:t>
            </w:r>
          </w:p>
        </w:tc>
        <w:tc>
          <w:tcPr>
            <w:tcW w:w="874" w:type="dxa"/>
            <w:tcBorders>
              <w:top w:val="single" w:sz="2" w:space="0" w:color="3D7FE0" w:themeColor="accent1"/>
              <w:bottom w:val="single" w:sz="8" w:space="0" w:color="3D7FE0" w:themeColor="accent1"/>
            </w:tcBorders>
          </w:tcPr>
          <w:p w14:paraId="19C2970E" w14:textId="4131CE34" w:rsidR="00887AA1" w:rsidRPr="00895810" w:rsidRDefault="00887AA1" w:rsidP="00887AA1">
            <w:pPr>
              <w:pStyle w:val="TableFigures"/>
              <w:rPr>
                <w:rFonts w:ascii="IBM Plex Sans Light" w:hAnsi="IBM Plex Sans Light"/>
                <w:color w:val="auto"/>
                <w:spacing w:val="-4"/>
                <w:sz w:val="18"/>
                <w:szCs w:val="18"/>
              </w:rPr>
            </w:pPr>
            <w:r w:rsidRPr="00DF1EF0">
              <w:rPr>
                <w:rFonts w:ascii="IBM Plex Sans Light" w:hAnsi="IBM Plex Sans Light"/>
                <w:color w:val="auto"/>
                <w:spacing w:val="-4"/>
                <w:sz w:val="18"/>
                <w:szCs w:val="18"/>
              </w:rPr>
              <w:t>246.0</w:t>
            </w:r>
          </w:p>
        </w:tc>
        <w:tc>
          <w:tcPr>
            <w:tcW w:w="874" w:type="dxa"/>
            <w:tcBorders>
              <w:top w:val="single" w:sz="2" w:space="0" w:color="3D7FE0" w:themeColor="accent1"/>
              <w:bottom w:val="single" w:sz="8" w:space="0" w:color="3D7FE0" w:themeColor="accent1"/>
            </w:tcBorders>
          </w:tcPr>
          <w:p w14:paraId="5929C6BB" w14:textId="4E09F131"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549.1</w:t>
            </w:r>
          </w:p>
        </w:tc>
        <w:tc>
          <w:tcPr>
            <w:tcW w:w="874" w:type="dxa"/>
            <w:tcBorders>
              <w:top w:val="single" w:sz="2" w:space="0" w:color="3D7FE0" w:themeColor="accent1"/>
              <w:bottom w:val="single" w:sz="8" w:space="0" w:color="3D7FE0" w:themeColor="accent1"/>
            </w:tcBorders>
            <w:tcMar>
              <w:left w:w="0" w:type="dxa"/>
              <w:right w:w="0" w:type="dxa"/>
            </w:tcMar>
          </w:tcPr>
          <w:p w14:paraId="32B9DB30" w14:textId="5BE4121A"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114.1</w:t>
            </w:r>
          </w:p>
        </w:tc>
        <w:tc>
          <w:tcPr>
            <w:tcW w:w="874" w:type="dxa"/>
            <w:tcBorders>
              <w:top w:val="single" w:sz="2" w:space="0" w:color="3D7FE0" w:themeColor="accent1"/>
              <w:bottom w:val="single" w:sz="8" w:space="0" w:color="3D7FE0" w:themeColor="accent1"/>
            </w:tcBorders>
            <w:tcMar>
              <w:left w:w="0" w:type="dxa"/>
              <w:right w:w="0" w:type="dxa"/>
            </w:tcMar>
          </w:tcPr>
          <w:p w14:paraId="1F1A7F74" w14:textId="65D159ED" w:rsidR="00887AA1" w:rsidRPr="00895810" w:rsidRDefault="00887AA1" w:rsidP="00887AA1">
            <w:pPr>
              <w:pStyle w:val="TableFigures"/>
              <w:rPr>
                <w:rFonts w:ascii="IBM Plex Sans Light" w:hAnsi="IBM Plex Sans Light"/>
                <w:color w:val="auto"/>
                <w:spacing w:val="-4"/>
                <w:sz w:val="18"/>
                <w:szCs w:val="18"/>
              </w:rPr>
            </w:pPr>
            <w:r w:rsidRPr="00887AA1">
              <w:rPr>
                <w:rFonts w:ascii="IBM Plex Sans Light" w:hAnsi="IBM Plex Sans Light"/>
                <w:color w:val="auto"/>
                <w:spacing w:val="-4"/>
                <w:sz w:val="18"/>
                <w:szCs w:val="18"/>
              </w:rPr>
              <w:t>205.9</w:t>
            </w:r>
          </w:p>
        </w:tc>
        <w:tc>
          <w:tcPr>
            <w:tcW w:w="874" w:type="dxa"/>
            <w:tcBorders>
              <w:top w:val="single" w:sz="2" w:space="0" w:color="3D7FE0" w:themeColor="accent1"/>
              <w:bottom w:val="single" w:sz="8" w:space="0" w:color="3D7FE0" w:themeColor="accent1"/>
            </w:tcBorders>
            <w:tcMar>
              <w:left w:w="0" w:type="dxa"/>
              <w:right w:w="0" w:type="dxa"/>
            </w:tcMar>
          </w:tcPr>
          <w:p w14:paraId="569855C3" w14:textId="12E358FF" w:rsidR="00887AA1" w:rsidRPr="00887AA1" w:rsidRDefault="00887AA1" w:rsidP="00887AA1">
            <w:pPr>
              <w:pStyle w:val="TableFiguresBracketsBold"/>
              <w:rPr>
                <w:rFonts w:ascii="IBM Plex Sans Light" w:hAnsi="IBM Plex Sans Light"/>
                <w:b w:val="0"/>
                <w:bCs w:val="0"/>
                <w:color w:val="auto"/>
                <w:spacing w:val="-4"/>
                <w:sz w:val="18"/>
                <w:szCs w:val="18"/>
              </w:rPr>
            </w:pPr>
            <w:r w:rsidRPr="00887AA1">
              <w:rPr>
                <w:rFonts w:ascii="IBM Plex Sans Light" w:hAnsi="IBM Plex Sans Light"/>
                <w:b w:val="0"/>
                <w:bCs w:val="0"/>
                <w:color w:val="auto"/>
                <w:spacing w:val="-4"/>
                <w:sz w:val="18"/>
                <w:szCs w:val="18"/>
              </w:rPr>
              <w:t>(402.2)</w:t>
            </w:r>
          </w:p>
        </w:tc>
      </w:tr>
    </w:tbl>
    <w:p w14:paraId="3068CE1E" w14:textId="65D9484B" w:rsidR="0008424D" w:rsidRPr="00895810" w:rsidRDefault="0008424D" w:rsidP="00E7163E">
      <w:pPr>
        <w:pStyle w:val="Heading2SpaceBefore"/>
        <w:tabs>
          <w:tab w:val="clear" w:pos="340"/>
          <w:tab w:val="left" w:pos="284"/>
        </w:tabs>
        <w:spacing w:before="0" w:line="240" w:lineRule="auto"/>
        <w:rPr>
          <w:rFonts w:ascii="IBM Plex Sans Light" w:hAnsi="IBM Plex Sans Light"/>
          <w:color w:val="3D7FE0" w:themeColor="accent1"/>
        </w:rPr>
      </w:pPr>
    </w:p>
    <w:p w14:paraId="5BB75FD4" w14:textId="77777777" w:rsidR="00E7163E" w:rsidRPr="00895810" w:rsidRDefault="00E7163E" w:rsidP="00E7163E">
      <w:pPr>
        <w:pStyle w:val="Heading2SpaceBefore"/>
        <w:tabs>
          <w:tab w:val="clear" w:pos="340"/>
          <w:tab w:val="left" w:pos="284"/>
        </w:tabs>
        <w:spacing w:before="0" w:line="240" w:lineRule="auto"/>
        <w:rPr>
          <w:rFonts w:ascii="IBM Plex Sans Light" w:hAnsi="IBM Plex Sans Light"/>
          <w:color w:val="3D7FE0" w:themeColor="accent1"/>
        </w:rPr>
      </w:pPr>
    </w:p>
    <w:tbl>
      <w:tblPr>
        <w:tblW w:w="9912" w:type="dxa"/>
        <w:tblLayout w:type="fixed"/>
        <w:tblLook w:val="01E0" w:firstRow="1" w:lastRow="1" w:firstColumn="1" w:lastColumn="1" w:noHBand="0" w:noVBand="0"/>
      </w:tblPr>
      <w:tblGrid>
        <w:gridCol w:w="4195"/>
        <w:gridCol w:w="477"/>
        <w:gridCol w:w="851"/>
        <w:gridCol w:w="992"/>
        <w:gridCol w:w="907"/>
        <w:gridCol w:w="830"/>
        <w:gridCol w:w="830"/>
        <w:gridCol w:w="830"/>
      </w:tblGrid>
      <w:tr w:rsidR="00452848" w:rsidRPr="00895810" w14:paraId="224B4C7D" w14:textId="77777777" w:rsidTr="00024B10">
        <w:trPr>
          <w:trHeight w:val="202"/>
        </w:trPr>
        <w:tc>
          <w:tcPr>
            <w:tcW w:w="4195" w:type="dxa"/>
            <w:tcBorders>
              <w:bottom w:val="single" w:sz="4" w:space="0" w:color="3D7FE0" w:themeColor="accent1"/>
            </w:tcBorders>
            <w:tcMar>
              <w:left w:w="0" w:type="dxa"/>
              <w:bottom w:w="57" w:type="dxa"/>
              <w:right w:w="0" w:type="dxa"/>
            </w:tcMar>
            <w:vAlign w:val="bottom"/>
          </w:tcPr>
          <w:p w14:paraId="3E460D96" w14:textId="77777777" w:rsidR="00452848" w:rsidRPr="00895810" w:rsidRDefault="00452848" w:rsidP="003F2C4C">
            <w:pPr>
              <w:pStyle w:val="TableColHeadsBold"/>
              <w:spacing w:line="240" w:lineRule="auto"/>
              <w:ind w:right="0"/>
              <w:rPr>
                <w:rFonts w:ascii="IBM Plex Sans Light" w:hAnsi="IBM Plex Sans Light"/>
                <w:color w:val="3D7FE0" w:themeColor="accent1"/>
              </w:rPr>
            </w:pPr>
          </w:p>
        </w:tc>
        <w:tc>
          <w:tcPr>
            <w:tcW w:w="477" w:type="dxa"/>
            <w:tcBorders>
              <w:bottom w:val="single" w:sz="4" w:space="0" w:color="3D7FE0" w:themeColor="accent1"/>
            </w:tcBorders>
            <w:vAlign w:val="bottom"/>
          </w:tcPr>
          <w:p w14:paraId="274EEBC3" w14:textId="5FAFCA7D" w:rsidR="00452848" w:rsidRPr="00895810" w:rsidRDefault="00452848" w:rsidP="001B3A6A">
            <w:pPr>
              <w:pStyle w:val="TableColHeadsBold"/>
              <w:spacing w:line="240" w:lineRule="auto"/>
              <w:ind w:left="-105" w:right="0"/>
              <w:rPr>
                <w:rFonts w:ascii="IBM Plex Sans Light" w:hAnsi="IBM Plex Sans Light"/>
                <w:color w:val="3D7FE0" w:themeColor="accent1"/>
              </w:rPr>
            </w:pPr>
          </w:p>
        </w:tc>
        <w:tc>
          <w:tcPr>
            <w:tcW w:w="851" w:type="dxa"/>
            <w:tcBorders>
              <w:bottom w:val="single" w:sz="4" w:space="0" w:color="3D7FE0" w:themeColor="accent1"/>
            </w:tcBorders>
            <w:vAlign w:val="bottom"/>
          </w:tcPr>
          <w:p w14:paraId="19B7579B" w14:textId="77777777" w:rsidR="00452848" w:rsidRPr="00895810" w:rsidRDefault="00452848" w:rsidP="003F2C4C">
            <w:pPr>
              <w:pStyle w:val="TableColHeadsBold"/>
              <w:spacing w:line="240" w:lineRule="auto"/>
              <w:ind w:right="0"/>
              <w:rPr>
                <w:rFonts w:ascii="IBM Plex Sans Light" w:hAnsi="IBM Plex Sans Light"/>
              </w:rPr>
            </w:pPr>
          </w:p>
        </w:tc>
        <w:tc>
          <w:tcPr>
            <w:tcW w:w="992" w:type="dxa"/>
            <w:tcBorders>
              <w:bottom w:val="single" w:sz="4" w:space="0" w:color="3D7FE0" w:themeColor="accent1"/>
            </w:tcBorders>
            <w:vAlign w:val="bottom"/>
          </w:tcPr>
          <w:p w14:paraId="29A89EE4" w14:textId="77777777" w:rsidR="00452848" w:rsidRPr="00895810" w:rsidRDefault="00452848" w:rsidP="003F2C4C">
            <w:pPr>
              <w:pStyle w:val="TableColHeadsBold"/>
              <w:spacing w:line="240" w:lineRule="auto"/>
              <w:ind w:right="0"/>
              <w:rPr>
                <w:rFonts w:ascii="IBM Plex Sans Light" w:hAnsi="IBM Plex Sans Light"/>
              </w:rPr>
            </w:pPr>
          </w:p>
        </w:tc>
        <w:tc>
          <w:tcPr>
            <w:tcW w:w="907" w:type="dxa"/>
            <w:tcBorders>
              <w:bottom w:val="single" w:sz="4" w:space="0" w:color="3D7FE0" w:themeColor="accent1"/>
            </w:tcBorders>
            <w:vAlign w:val="bottom"/>
          </w:tcPr>
          <w:p w14:paraId="44E4528A" w14:textId="77777777" w:rsidR="00452848" w:rsidRPr="00895810" w:rsidRDefault="00452848" w:rsidP="003F2C4C">
            <w:pPr>
              <w:pStyle w:val="TableColHeadsBold"/>
              <w:spacing w:line="240" w:lineRule="auto"/>
              <w:ind w:right="0"/>
              <w:rPr>
                <w:rFonts w:ascii="IBM Plex Sans Light" w:hAnsi="IBM Plex Sans Light"/>
              </w:rPr>
            </w:pPr>
          </w:p>
        </w:tc>
        <w:tc>
          <w:tcPr>
            <w:tcW w:w="830" w:type="dxa"/>
            <w:tcBorders>
              <w:bottom w:val="single" w:sz="4" w:space="0" w:color="3D7FE0" w:themeColor="accent1"/>
            </w:tcBorders>
            <w:vAlign w:val="bottom"/>
          </w:tcPr>
          <w:p w14:paraId="063F5D71" w14:textId="77777777" w:rsidR="00452848" w:rsidRPr="00895810" w:rsidRDefault="00452848" w:rsidP="003F2C4C">
            <w:pPr>
              <w:pStyle w:val="TableColHeadsBold"/>
              <w:spacing w:line="240" w:lineRule="auto"/>
              <w:ind w:right="0"/>
              <w:rPr>
                <w:rFonts w:ascii="IBM Plex Sans Light" w:hAnsi="IBM Plex Sans Light"/>
              </w:rPr>
            </w:pPr>
          </w:p>
        </w:tc>
        <w:tc>
          <w:tcPr>
            <w:tcW w:w="830" w:type="dxa"/>
            <w:tcBorders>
              <w:bottom w:val="single" w:sz="4" w:space="0" w:color="3D7FE0" w:themeColor="accent1"/>
            </w:tcBorders>
            <w:tcMar>
              <w:left w:w="0" w:type="dxa"/>
              <w:bottom w:w="57" w:type="dxa"/>
              <w:right w:w="0" w:type="dxa"/>
            </w:tcMar>
            <w:vAlign w:val="bottom"/>
          </w:tcPr>
          <w:p w14:paraId="47F05B58" w14:textId="77777777" w:rsidR="00452848" w:rsidRPr="00895810" w:rsidRDefault="00452848" w:rsidP="003F2C4C">
            <w:pPr>
              <w:pStyle w:val="TableColHeadsBold"/>
              <w:spacing w:line="240" w:lineRule="auto"/>
              <w:rPr>
                <w:rFonts w:ascii="IBM Plex Sans Light" w:hAnsi="IBM Plex Sans Light"/>
                <w:b w:val="0"/>
              </w:rPr>
            </w:pPr>
          </w:p>
        </w:tc>
        <w:tc>
          <w:tcPr>
            <w:tcW w:w="830" w:type="dxa"/>
            <w:tcBorders>
              <w:bottom w:val="single" w:sz="4" w:space="0" w:color="3D7FE0" w:themeColor="accent1"/>
            </w:tcBorders>
            <w:vAlign w:val="bottom"/>
          </w:tcPr>
          <w:p w14:paraId="6AED07A6" w14:textId="79B75EBA" w:rsidR="00452848" w:rsidRPr="00895810" w:rsidRDefault="00452848" w:rsidP="00785AC2">
            <w:pPr>
              <w:pStyle w:val="TableColHeadsBold"/>
              <w:spacing w:line="240" w:lineRule="auto"/>
              <w:ind w:left="-106" w:right="0"/>
              <w:rPr>
                <w:rFonts w:ascii="IBM Plex Sans Light" w:hAnsi="IBM Plex Sans Light"/>
              </w:rPr>
            </w:pPr>
            <w:r>
              <w:rPr>
                <w:rFonts w:ascii="IBM Plex Sans Light" w:hAnsi="IBM Plex Sans Light"/>
              </w:rPr>
              <w:t>2022</w:t>
            </w:r>
          </w:p>
        </w:tc>
      </w:tr>
      <w:tr w:rsidR="00452848" w:rsidRPr="00895810" w14:paraId="25351DE2" w14:textId="77777777" w:rsidTr="00024B10">
        <w:trPr>
          <w:trHeight w:val="178"/>
        </w:trPr>
        <w:tc>
          <w:tcPr>
            <w:tcW w:w="4195" w:type="dxa"/>
            <w:tcBorders>
              <w:top w:val="single" w:sz="4" w:space="0" w:color="3D7FE0" w:themeColor="accent1"/>
            </w:tcBorders>
            <w:tcMar>
              <w:left w:w="0" w:type="dxa"/>
              <w:bottom w:w="57" w:type="dxa"/>
              <w:right w:w="0" w:type="dxa"/>
            </w:tcMar>
            <w:vAlign w:val="bottom"/>
          </w:tcPr>
          <w:p w14:paraId="01578F71" w14:textId="77777777" w:rsidR="00452848" w:rsidRPr="00895810" w:rsidRDefault="00452848" w:rsidP="003F2C4C">
            <w:pPr>
              <w:pStyle w:val="TableColHeadsBold"/>
              <w:spacing w:line="240" w:lineRule="auto"/>
              <w:ind w:right="0"/>
              <w:rPr>
                <w:rFonts w:ascii="IBM Plex Sans Light" w:hAnsi="IBM Plex Sans Light"/>
                <w:color w:val="3D7FE0" w:themeColor="accent1"/>
              </w:rPr>
            </w:pPr>
          </w:p>
        </w:tc>
        <w:tc>
          <w:tcPr>
            <w:tcW w:w="477" w:type="dxa"/>
            <w:tcBorders>
              <w:top w:val="single" w:sz="4" w:space="0" w:color="3D7FE0" w:themeColor="accent1"/>
              <w:bottom w:val="single" w:sz="4" w:space="0" w:color="3D7FE0" w:themeColor="accent1"/>
            </w:tcBorders>
            <w:vAlign w:val="bottom"/>
          </w:tcPr>
          <w:p w14:paraId="3DC22184" w14:textId="3C5C6F46" w:rsidR="00452848" w:rsidRPr="00895810" w:rsidRDefault="00452848" w:rsidP="001B3A6A">
            <w:pPr>
              <w:pStyle w:val="TableColHeadsBold"/>
              <w:spacing w:line="240" w:lineRule="auto"/>
              <w:ind w:left="-105" w:right="0"/>
              <w:rPr>
                <w:rFonts w:ascii="IBM Plex Sans Light" w:hAnsi="IBM Plex Sans Light"/>
                <w:color w:val="3D7FE0" w:themeColor="accent1"/>
              </w:rPr>
            </w:pPr>
          </w:p>
        </w:tc>
        <w:tc>
          <w:tcPr>
            <w:tcW w:w="851" w:type="dxa"/>
            <w:tcBorders>
              <w:top w:val="single" w:sz="4" w:space="0" w:color="3D7FE0" w:themeColor="accent1"/>
              <w:bottom w:val="single" w:sz="4" w:space="0" w:color="3D7FE0" w:themeColor="accent1"/>
            </w:tcBorders>
            <w:vAlign w:val="bottom"/>
          </w:tcPr>
          <w:p w14:paraId="5B8C9114" w14:textId="77777777" w:rsidR="00452848" w:rsidRPr="00895810" w:rsidRDefault="00452848" w:rsidP="003F2C4C">
            <w:pPr>
              <w:pStyle w:val="TableColHeadsBold"/>
              <w:spacing w:line="240" w:lineRule="auto"/>
              <w:ind w:right="0"/>
              <w:rPr>
                <w:rFonts w:ascii="IBM Plex Sans Light" w:hAnsi="IBM Plex Sans Light"/>
              </w:rPr>
            </w:pPr>
          </w:p>
        </w:tc>
        <w:tc>
          <w:tcPr>
            <w:tcW w:w="992" w:type="dxa"/>
            <w:tcBorders>
              <w:top w:val="single" w:sz="4" w:space="0" w:color="3D7FE0" w:themeColor="accent1"/>
              <w:bottom w:val="single" w:sz="4" w:space="0" w:color="3D7FE0" w:themeColor="accent1"/>
            </w:tcBorders>
            <w:vAlign w:val="bottom"/>
          </w:tcPr>
          <w:p w14:paraId="3AA69B16" w14:textId="77777777" w:rsidR="00452848" w:rsidRPr="00895810" w:rsidRDefault="00452848" w:rsidP="003F2C4C">
            <w:pPr>
              <w:pStyle w:val="TableColHeadsBold"/>
              <w:spacing w:line="240" w:lineRule="auto"/>
              <w:ind w:right="0"/>
              <w:rPr>
                <w:rFonts w:ascii="IBM Plex Sans Light" w:hAnsi="IBM Plex Sans Light"/>
              </w:rPr>
            </w:pPr>
          </w:p>
        </w:tc>
        <w:tc>
          <w:tcPr>
            <w:tcW w:w="907" w:type="dxa"/>
            <w:tcBorders>
              <w:top w:val="single" w:sz="4" w:space="0" w:color="3D7FE0" w:themeColor="accent1"/>
              <w:bottom w:val="single" w:sz="4" w:space="0" w:color="3D7FE0" w:themeColor="accent1"/>
            </w:tcBorders>
            <w:vAlign w:val="bottom"/>
          </w:tcPr>
          <w:p w14:paraId="24986745" w14:textId="77777777" w:rsidR="00452848" w:rsidRPr="00895810" w:rsidRDefault="00452848" w:rsidP="003F2C4C">
            <w:pPr>
              <w:pStyle w:val="TableColHeadsBold"/>
              <w:spacing w:line="240" w:lineRule="auto"/>
              <w:ind w:right="0"/>
              <w:rPr>
                <w:rFonts w:ascii="IBM Plex Sans Light" w:hAnsi="IBM Plex Sans Light"/>
              </w:rPr>
            </w:pPr>
          </w:p>
        </w:tc>
        <w:tc>
          <w:tcPr>
            <w:tcW w:w="830" w:type="dxa"/>
            <w:tcBorders>
              <w:top w:val="single" w:sz="4" w:space="0" w:color="3D7FE0" w:themeColor="accent1"/>
              <w:bottom w:val="single" w:sz="4" w:space="0" w:color="3D7FE0" w:themeColor="accent1"/>
            </w:tcBorders>
            <w:vAlign w:val="bottom"/>
          </w:tcPr>
          <w:p w14:paraId="05BE9876" w14:textId="77777777" w:rsidR="00452848" w:rsidRPr="00895810" w:rsidRDefault="00452848" w:rsidP="003F2C4C">
            <w:pPr>
              <w:pStyle w:val="TableColHeadsBold"/>
              <w:spacing w:line="240" w:lineRule="auto"/>
              <w:ind w:right="0"/>
              <w:rPr>
                <w:rFonts w:ascii="IBM Plex Sans Light" w:hAnsi="IBM Plex Sans Light"/>
              </w:rPr>
            </w:pPr>
          </w:p>
        </w:tc>
        <w:tc>
          <w:tcPr>
            <w:tcW w:w="830" w:type="dxa"/>
            <w:tcBorders>
              <w:top w:val="single" w:sz="4" w:space="0" w:color="3D7FE0" w:themeColor="accent1"/>
              <w:bottom w:val="single" w:sz="4" w:space="0" w:color="3D7FE0" w:themeColor="accent1"/>
            </w:tcBorders>
            <w:tcMar>
              <w:left w:w="0" w:type="dxa"/>
              <w:bottom w:w="57" w:type="dxa"/>
              <w:right w:w="0" w:type="dxa"/>
            </w:tcMar>
            <w:vAlign w:val="bottom"/>
          </w:tcPr>
          <w:p w14:paraId="7BEBAAE6" w14:textId="77777777" w:rsidR="00452848" w:rsidRPr="00895810" w:rsidRDefault="00452848" w:rsidP="003F2C4C">
            <w:pPr>
              <w:pStyle w:val="TableColHeadsBold"/>
              <w:spacing w:line="240" w:lineRule="auto"/>
              <w:rPr>
                <w:rFonts w:ascii="IBM Plex Sans Light" w:hAnsi="IBM Plex Sans Light"/>
              </w:rPr>
            </w:pPr>
            <w:r w:rsidRPr="00895810">
              <w:rPr>
                <w:rFonts w:ascii="IBM Plex Sans Light" w:hAnsi="IBM Plex Sans Light"/>
              </w:rPr>
              <w:t>100% share</w:t>
            </w:r>
          </w:p>
        </w:tc>
        <w:tc>
          <w:tcPr>
            <w:tcW w:w="830" w:type="dxa"/>
            <w:tcBorders>
              <w:top w:val="single" w:sz="4" w:space="0" w:color="3D7FE0" w:themeColor="accent1"/>
            </w:tcBorders>
            <w:vAlign w:val="bottom"/>
          </w:tcPr>
          <w:p w14:paraId="1B083710" w14:textId="77777777" w:rsidR="00452848" w:rsidRPr="00895810" w:rsidRDefault="00452848" w:rsidP="003F2C4C">
            <w:pPr>
              <w:pStyle w:val="TableColHeadsBold"/>
              <w:spacing w:line="240" w:lineRule="auto"/>
              <w:ind w:left="-106" w:right="0"/>
              <w:rPr>
                <w:rFonts w:ascii="IBM Plex Sans Light" w:hAnsi="IBM Plex Sans Light"/>
              </w:rPr>
            </w:pPr>
          </w:p>
        </w:tc>
      </w:tr>
      <w:tr w:rsidR="00452848" w:rsidRPr="00895810" w14:paraId="493AFABC" w14:textId="77777777" w:rsidTr="00024B10">
        <w:trPr>
          <w:trHeight w:val="244"/>
        </w:trPr>
        <w:tc>
          <w:tcPr>
            <w:tcW w:w="4195" w:type="dxa"/>
            <w:tcMar>
              <w:left w:w="0" w:type="dxa"/>
              <w:bottom w:w="57" w:type="dxa"/>
              <w:right w:w="0" w:type="dxa"/>
            </w:tcMar>
            <w:vAlign w:val="bottom"/>
          </w:tcPr>
          <w:p w14:paraId="66932A1C" w14:textId="77777777" w:rsidR="00452848" w:rsidRPr="00895810" w:rsidRDefault="00452848" w:rsidP="003F2C4C">
            <w:pPr>
              <w:pStyle w:val="TableColHeadsBold"/>
              <w:ind w:right="0"/>
              <w:rPr>
                <w:rFonts w:ascii="IBM Plex Sans Light" w:hAnsi="IBM Plex Sans Light"/>
                <w:color w:val="3D7FE0" w:themeColor="accent1"/>
              </w:rPr>
            </w:pPr>
          </w:p>
        </w:tc>
        <w:tc>
          <w:tcPr>
            <w:tcW w:w="477" w:type="dxa"/>
            <w:tcBorders>
              <w:top w:val="single" w:sz="4" w:space="0" w:color="3D7FE0" w:themeColor="accent1"/>
            </w:tcBorders>
            <w:vAlign w:val="bottom"/>
          </w:tcPr>
          <w:p w14:paraId="01C81C01" w14:textId="4663D064" w:rsidR="00452848" w:rsidRPr="00895810" w:rsidRDefault="00452848" w:rsidP="001B3A6A">
            <w:pPr>
              <w:pStyle w:val="TableColHeadsBold"/>
              <w:ind w:left="-105" w:right="0"/>
              <w:rPr>
                <w:rFonts w:ascii="IBM Plex Sans Light" w:hAnsi="IBM Plex Sans Light"/>
              </w:rPr>
            </w:pPr>
          </w:p>
        </w:tc>
        <w:tc>
          <w:tcPr>
            <w:tcW w:w="851" w:type="dxa"/>
            <w:tcBorders>
              <w:top w:val="single" w:sz="4" w:space="0" w:color="3D7FE0" w:themeColor="accent1"/>
            </w:tcBorders>
            <w:vAlign w:val="bottom"/>
          </w:tcPr>
          <w:p w14:paraId="74E70EFA" w14:textId="77777777" w:rsidR="00452848" w:rsidRPr="00895810" w:rsidRDefault="00452848" w:rsidP="003F2C4C">
            <w:pPr>
              <w:pStyle w:val="TableColHeadsBold"/>
              <w:ind w:right="0"/>
              <w:rPr>
                <w:rFonts w:ascii="IBM Plex Sans Light" w:hAnsi="IBM Plex Sans Light"/>
              </w:rPr>
            </w:pPr>
            <w:r w:rsidRPr="00895810">
              <w:rPr>
                <w:rFonts w:ascii="IBM Plex Sans Light" w:hAnsi="IBM Plex Sans Light"/>
              </w:rPr>
              <w:t>Croydon</w:t>
            </w:r>
          </w:p>
        </w:tc>
        <w:tc>
          <w:tcPr>
            <w:tcW w:w="992" w:type="dxa"/>
            <w:tcBorders>
              <w:top w:val="single" w:sz="4" w:space="0" w:color="3D7FE0" w:themeColor="accent1"/>
            </w:tcBorders>
            <w:vAlign w:val="bottom"/>
          </w:tcPr>
          <w:p w14:paraId="5F368B00" w14:textId="77777777" w:rsidR="00452848" w:rsidRPr="00895810" w:rsidRDefault="00452848" w:rsidP="003F2C4C">
            <w:pPr>
              <w:pStyle w:val="TableColHeadsBold"/>
              <w:ind w:right="0"/>
              <w:rPr>
                <w:rFonts w:ascii="IBM Plex Sans Light" w:hAnsi="IBM Plex Sans Light"/>
              </w:rPr>
            </w:pPr>
            <w:r w:rsidRPr="00895810">
              <w:rPr>
                <w:rFonts w:ascii="IBM Plex Sans Light" w:hAnsi="IBM Plex Sans Light"/>
              </w:rPr>
              <w:t>Highcross</w:t>
            </w:r>
          </w:p>
        </w:tc>
        <w:tc>
          <w:tcPr>
            <w:tcW w:w="907" w:type="dxa"/>
            <w:tcBorders>
              <w:top w:val="single" w:sz="4" w:space="0" w:color="3D7FE0" w:themeColor="accent1"/>
            </w:tcBorders>
            <w:vAlign w:val="bottom"/>
          </w:tcPr>
          <w:p w14:paraId="4A7F6B6C" w14:textId="77777777" w:rsidR="00452848" w:rsidRPr="00895810" w:rsidRDefault="00452848" w:rsidP="003F2C4C">
            <w:pPr>
              <w:pStyle w:val="TableColHeadsBold"/>
              <w:ind w:right="0"/>
              <w:rPr>
                <w:rFonts w:ascii="IBM Plex Sans Light" w:hAnsi="IBM Plex Sans Light"/>
              </w:rPr>
            </w:pPr>
            <w:r w:rsidRPr="00895810">
              <w:rPr>
                <w:rFonts w:ascii="IBM Plex Sans Light" w:hAnsi="IBM Plex Sans Light"/>
              </w:rPr>
              <w:t>Dundrum</w:t>
            </w:r>
          </w:p>
        </w:tc>
        <w:tc>
          <w:tcPr>
            <w:tcW w:w="830" w:type="dxa"/>
            <w:tcBorders>
              <w:top w:val="single" w:sz="4" w:space="0" w:color="3D7FE0" w:themeColor="accent1"/>
            </w:tcBorders>
            <w:vAlign w:val="bottom"/>
          </w:tcPr>
          <w:p w14:paraId="1548E1B5" w14:textId="77777777" w:rsidR="00452848" w:rsidRPr="00895810" w:rsidRDefault="00452848" w:rsidP="003F2C4C">
            <w:pPr>
              <w:pStyle w:val="TableColHeadsBold"/>
              <w:ind w:right="0"/>
              <w:rPr>
                <w:rFonts w:ascii="IBM Plex Sans Light" w:hAnsi="IBM Plex Sans Light"/>
              </w:rPr>
            </w:pPr>
            <w:r w:rsidRPr="00895810">
              <w:rPr>
                <w:rFonts w:ascii="IBM Plex Sans Light" w:hAnsi="IBM Plex Sans Light"/>
              </w:rPr>
              <w:t>Other</w:t>
            </w:r>
          </w:p>
        </w:tc>
        <w:tc>
          <w:tcPr>
            <w:tcW w:w="830" w:type="dxa"/>
            <w:tcBorders>
              <w:top w:val="single" w:sz="4" w:space="0" w:color="3D7FE0" w:themeColor="accent1"/>
            </w:tcBorders>
            <w:tcMar>
              <w:left w:w="0" w:type="dxa"/>
              <w:bottom w:w="57" w:type="dxa"/>
              <w:right w:w="0" w:type="dxa"/>
            </w:tcMar>
            <w:vAlign w:val="bottom"/>
          </w:tcPr>
          <w:p w14:paraId="28079D92" w14:textId="77777777" w:rsidR="00452848" w:rsidRPr="00895810" w:rsidRDefault="00452848" w:rsidP="003F2C4C">
            <w:pPr>
              <w:pStyle w:val="TableColHeadsBold"/>
              <w:rPr>
                <w:rFonts w:ascii="IBM Plex Sans Light" w:hAnsi="IBM Plex Sans Light"/>
              </w:rPr>
            </w:pPr>
            <w:r w:rsidRPr="00895810">
              <w:rPr>
                <w:rFonts w:ascii="IBM Plex Sans Light" w:hAnsi="IBM Plex Sans Light"/>
              </w:rPr>
              <w:t>Total</w:t>
            </w:r>
          </w:p>
        </w:tc>
        <w:tc>
          <w:tcPr>
            <w:tcW w:w="830" w:type="dxa"/>
            <w:vAlign w:val="bottom"/>
          </w:tcPr>
          <w:p w14:paraId="4734A216" w14:textId="77777777" w:rsidR="00452848" w:rsidRPr="00895810" w:rsidRDefault="00452848" w:rsidP="003F2C4C">
            <w:pPr>
              <w:pStyle w:val="TableColHeadsBold"/>
              <w:ind w:left="-106" w:right="0"/>
              <w:rPr>
                <w:rFonts w:ascii="IBM Plex Sans Light" w:hAnsi="IBM Plex Sans Light"/>
              </w:rPr>
            </w:pPr>
            <w:r w:rsidRPr="00895810">
              <w:rPr>
                <w:rFonts w:ascii="IBM Plex Sans Light" w:hAnsi="IBM Plex Sans Light"/>
              </w:rPr>
              <w:t>Group Share</w:t>
            </w:r>
          </w:p>
        </w:tc>
      </w:tr>
      <w:tr w:rsidR="00452848" w:rsidRPr="00895810" w14:paraId="4FC79A09" w14:textId="77777777" w:rsidTr="00024B10">
        <w:trPr>
          <w:trHeight w:val="58"/>
        </w:trPr>
        <w:tc>
          <w:tcPr>
            <w:tcW w:w="4195" w:type="dxa"/>
            <w:tcBorders>
              <w:bottom w:val="single" w:sz="2" w:space="0" w:color="3D7FE0" w:themeColor="accent1"/>
            </w:tcBorders>
            <w:tcMar>
              <w:left w:w="0" w:type="dxa"/>
              <w:bottom w:w="28" w:type="dxa"/>
              <w:right w:w="0" w:type="dxa"/>
            </w:tcMar>
            <w:vAlign w:val="bottom"/>
          </w:tcPr>
          <w:p w14:paraId="6DB065AB" w14:textId="77777777" w:rsidR="00452848" w:rsidRPr="00895810" w:rsidRDefault="00452848" w:rsidP="003F2C4C">
            <w:pPr>
              <w:pStyle w:val="TableColHeadsBold"/>
              <w:rPr>
                <w:rFonts w:ascii="IBM Plex Sans Light" w:hAnsi="IBM Plex Sans Light"/>
                <w:color w:val="3D7FE0" w:themeColor="accent1"/>
              </w:rPr>
            </w:pPr>
          </w:p>
        </w:tc>
        <w:tc>
          <w:tcPr>
            <w:tcW w:w="477" w:type="dxa"/>
            <w:tcBorders>
              <w:bottom w:val="single" w:sz="2" w:space="0" w:color="3D7FE0" w:themeColor="accent1"/>
            </w:tcBorders>
            <w:vAlign w:val="bottom"/>
          </w:tcPr>
          <w:p w14:paraId="76B1E8D8" w14:textId="7E3E5980" w:rsidR="00452848" w:rsidRPr="00895810" w:rsidRDefault="00452848" w:rsidP="001B3A6A">
            <w:pPr>
              <w:pStyle w:val="TableColHeadsBold"/>
              <w:ind w:left="-105"/>
              <w:rPr>
                <w:rFonts w:ascii="IBM Plex Sans Light" w:hAnsi="IBM Plex Sans Light"/>
              </w:rPr>
            </w:pPr>
          </w:p>
        </w:tc>
        <w:tc>
          <w:tcPr>
            <w:tcW w:w="851" w:type="dxa"/>
            <w:tcBorders>
              <w:bottom w:val="single" w:sz="2" w:space="0" w:color="3D7FE0" w:themeColor="accent1"/>
            </w:tcBorders>
            <w:vAlign w:val="bottom"/>
          </w:tcPr>
          <w:p w14:paraId="223E8B8D" w14:textId="77777777" w:rsidR="00452848" w:rsidRPr="00895810" w:rsidRDefault="00452848" w:rsidP="003F2C4C">
            <w:pPr>
              <w:pStyle w:val="TableColHeadsBold"/>
              <w:rPr>
                <w:rFonts w:ascii="IBM Plex Sans Light" w:hAnsi="IBM Plex Sans Light"/>
              </w:rPr>
            </w:pPr>
            <w:r w:rsidRPr="00895810">
              <w:rPr>
                <w:rFonts w:ascii="IBM Plex Sans Light" w:hAnsi="IBM Plex Sans Light"/>
              </w:rPr>
              <w:t xml:space="preserve">£m </w:t>
            </w:r>
          </w:p>
        </w:tc>
        <w:tc>
          <w:tcPr>
            <w:tcW w:w="992" w:type="dxa"/>
            <w:tcBorders>
              <w:bottom w:val="single" w:sz="2" w:space="0" w:color="3D7FE0" w:themeColor="accent1"/>
            </w:tcBorders>
            <w:vAlign w:val="bottom"/>
          </w:tcPr>
          <w:p w14:paraId="547C550C" w14:textId="77777777" w:rsidR="00452848" w:rsidRPr="00895810" w:rsidRDefault="00452848" w:rsidP="003F2C4C">
            <w:pPr>
              <w:pStyle w:val="TableColHeadsBold"/>
              <w:rPr>
                <w:rFonts w:ascii="IBM Plex Sans Light" w:hAnsi="IBM Plex Sans Light"/>
              </w:rPr>
            </w:pPr>
            <w:r w:rsidRPr="00895810">
              <w:rPr>
                <w:rFonts w:ascii="IBM Plex Sans Light" w:hAnsi="IBM Plex Sans Light"/>
              </w:rPr>
              <w:t xml:space="preserve">£m </w:t>
            </w:r>
          </w:p>
        </w:tc>
        <w:tc>
          <w:tcPr>
            <w:tcW w:w="907" w:type="dxa"/>
            <w:tcBorders>
              <w:bottom w:val="single" w:sz="2" w:space="0" w:color="3D7FE0" w:themeColor="accent1"/>
            </w:tcBorders>
            <w:vAlign w:val="bottom"/>
          </w:tcPr>
          <w:p w14:paraId="40D7895F" w14:textId="77777777" w:rsidR="00452848" w:rsidRPr="00895810" w:rsidRDefault="00452848" w:rsidP="003F2C4C">
            <w:pPr>
              <w:pStyle w:val="TableColHeadsBold"/>
              <w:rPr>
                <w:rFonts w:ascii="IBM Plex Sans Light" w:hAnsi="IBM Plex Sans Light"/>
              </w:rPr>
            </w:pPr>
            <w:r w:rsidRPr="00895810">
              <w:rPr>
                <w:rFonts w:ascii="IBM Plex Sans Light" w:hAnsi="IBM Plex Sans Light"/>
              </w:rPr>
              <w:t xml:space="preserve">£m </w:t>
            </w:r>
          </w:p>
        </w:tc>
        <w:tc>
          <w:tcPr>
            <w:tcW w:w="830" w:type="dxa"/>
            <w:tcBorders>
              <w:bottom w:val="single" w:sz="2" w:space="0" w:color="3D7FE0" w:themeColor="accent1"/>
            </w:tcBorders>
            <w:tcMar>
              <w:left w:w="0" w:type="dxa"/>
              <w:bottom w:w="28" w:type="dxa"/>
              <w:right w:w="0" w:type="dxa"/>
            </w:tcMar>
            <w:vAlign w:val="bottom"/>
          </w:tcPr>
          <w:p w14:paraId="27BDDD73" w14:textId="77777777" w:rsidR="00452848" w:rsidRPr="00895810" w:rsidRDefault="00452848" w:rsidP="003F2C4C">
            <w:pPr>
              <w:pStyle w:val="TableColHeadsBold"/>
              <w:rPr>
                <w:rFonts w:ascii="IBM Plex Sans Light" w:hAnsi="IBM Plex Sans Light"/>
              </w:rPr>
            </w:pPr>
            <w:r w:rsidRPr="00895810">
              <w:rPr>
                <w:rFonts w:ascii="IBM Plex Sans Light" w:hAnsi="IBM Plex Sans Light"/>
              </w:rPr>
              <w:t xml:space="preserve">£m </w:t>
            </w:r>
          </w:p>
        </w:tc>
        <w:tc>
          <w:tcPr>
            <w:tcW w:w="830" w:type="dxa"/>
            <w:tcBorders>
              <w:bottom w:val="single" w:sz="2" w:space="0" w:color="3D7FE0" w:themeColor="accent1"/>
            </w:tcBorders>
            <w:tcMar>
              <w:left w:w="0" w:type="dxa"/>
              <w:bottom w:w="28" w:type="dxa"/>
              <w:right w:w="0" w:type="dxa"/>
            </w:tcMar>
            <w:vAlign w:val="bottom"/>
          </w:tcPr>
          <w:p w14:paraId="39E559BF" w14:textId="77777777" w:rsidR="00452848" w:rsidRPr="00895810" w:rsidRDefault="00452848" w:rsidP="003F2C4C">
            <w:pPr>
              <w:pStyle w:val="TableColHeadsBold"/>
              <w:rPr>
                <w:rFonts w:ascii="IBM Plex Sans Light" w:hAnsi="IBM Plex Sans Light"/>
                <w:b w:val="0"/>
              </w:rPr>
            </w:pPr>
            <w:r w:rsidRPr="00895810">
              <w:rPr>
                <w:rFonts w:ascii="IBM Plex Sans Light" w:hAnsi="IBM Plex Sans Light"/>
              </w:rPr>
              <w:t xml:space="preserve">£m </w:t>
            </w:r>
          </w:p>
        </w:tc>
        <w:tc>
          <w:tcPr>
            <w:tcW w:w="830" w:type="dxa"/>
            <w:tcBorders>
              <w:bottom w:val="single" w:sz="2" w:space="0" w:color="3D7FE0" w:themeColor="accent1"/>
            </w:tcBorders>
            <w:tcMar>
              <w:left w:w="0" w:type="dxa"/>
              <w:bottom w:w="28" w:type="dxa"/>
              <w:right w:w="0" w:type="dxa"/>
            </w:tcMar>
            <w:vAlign w:val="bottom"/>
          </w:tcPr>
          <w:p w14:paraId="2EB0CD7A" w14:textId="77777777" w:rsidR="00452848" w:rsidRPr="00895810" w:rsidRDefault="00452848" w:rsidP="003F2C4C">
            <w:pPr>
              <w:pStyle w:val="TableColHeadsBold"/>
              <w:rPr>
                <w:rFonts w:ascii="IBM Plex Sans Light" w:hAnsi="IBM Plex Sans Light"/>
                <w:b w:val="0"/>
              </w:rPr>
            </w:pPr>
            <w:r w:rsidRPr="00895810">
              <w:rPr>
                <w:rFonts w:ascii="IBM Plex Sans Light" w:hAnsi="IBM Plex Sans Light"/>
              </w:rPr>
              <w:t xml:space="preserve">£m </w:t>
            </w:r>
          </w:p>
        </w:tc>
      </w:tr>
      <w:tr w:rsidR="00452848" w:rsidRPr="00895810" w14:paraId="7883EB92" w14:textId="77777777" w:rsidTr="00024B10">
        <w:trPr>
          <w:trHeight w:hRule="exact" w:val="255"/>
        </w:trPr>
        <w:tc>
          <w:tcPr>
            <w:tcW w:w="4195" w:type="dxa"/>
            <w:tcBorders>
              <w:top w:val="single" w:sz="2" w:space="0" w:color="3D7FE0" w:themeColor="accent1"/>
              <w:bottom w:val="single" w:sz="2" w:space="0" w:color="3D7FE0" w:themeColor="accent1"/>
            </w:tcBorders>
            <w:tcMar>
              <w:left w:w="0" w:type="dxa"/>
              <w:right w:w="0" w:type="dxa"/>
            </w:tcMar>
            <w:vAlign w:val="bottom"/>
          </w:tcPr>
          <w:p w14:paraId="35B6968F" w14:textId="77777777" w:rsidR="00452848" w:rsidRPr="00895810" w:rsidRDefault="00452848" w:rsidP="001710E5">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Gross rental income</w:t>
            </w:r>
          </w:p>
        </w:tc>
        <w:tc>
          <w:tcPr>
            <w:tcW w:w="477" w:type="dxa"/>
            <w:tcBorders>
              <w:top w:val="single" w:sz="2" w:space="0" w:color="3D7FE0" w:themeColor="accent1"/>
              <w:bottom w:val="single" w:sz="2" w:space="0" w:color="3D7FE0" w:themeColor="accent1"/>
            </w:tcBorders>
            <w:vAlign w:val="bottom"/>
          </w:tcPr>
          <w:p w14:paraId="376D2782" w14:textId="38FC8726" w:rsidR="00452848" w:rsidRPr="00895810" w:rsidRDefault="00452848" w:rsidP="001710E5">
            <w:pPr>
              <w:pStyle w:val="TableFigures"/>
              <w:rPr>
                <w:rFonts w:ascii="IBM Plex Sans Light" w:hAnsi="IBM Plex Sans Light"/>
                <w:color w:val="auto"/>
                <w:spacing w:val="-4"/>
                <w:sz w:val="18"/>
                <w:szCs w:val="18"/>
              </w:rPr>
            </w:pPr>
          </w:p>
        </w:tc>
        <w:tc>
          <w:tcPr>
            <w:tcW w:w="851" w:type="dxa"/>
            <w:tcBorders>
              <w:top w:val="single" w:sz="2" w:space="0" w:color="3D7FE0" w:themeColor="accent1"/>
              <w:bottom w:val="single" w:sz="2" w:space="0" w:color="3D7FE0" w:themeColor="accent1"/>
            </w:tcBorders>
          </w:tcPr>
          <w:p w14:paraId="719170B4" w14:textId="131543FC"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14.3</w:t>
            </w:r>
          </w:p>
        </w:tc>
        <w:tc>
          <w:tcPr>
            <w:tcW w:w="992" w:type="dxa"/>
            <w:tcBorders>
              <w:top w:val="single" w:sz="2" w:space="0" w:color="3D7FE0" w:themeColor="accent1"/>
              <w:bottom w:val="single" w:sz="2" w:space="0" w:color="3D7FE0" w:themeColor="accent1"/>
            </w:tcBorders>
          </w:tcPr>
          <w:p w14:paraId="739D985B" w14:textId="26328279"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20.6</w:t>
            </w:r>
          </w:p>
        </w:tc>
        <w:tc>
          <w:tcPr>
            <w:tcW w:w="907" w:type="dxa"/>
            <w:tcBorders>
              <w:top w:val="single" w:sz="2" w:space="0" w:color="3D7FE0" w:themeColor="accent1"/>
              <w:bottom w:val="single" w:sz="2" w:space="0" w:color="3D7FE0" w:themeColor="accent1"/>
            </w:tcBorders>
          </w:tcPr>
          <w:p w14:paraId="7FEADBB5" w14:textId="51A4838F"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55.0</w:t>
            </w:r>
          </w:p>
        </w:tc>
        <w:tc>
          <w:tcPr>
            <w:tcW w:w="830" w:type="dxa"/>
            <w:tcBorders>
              <w:top w:val="single" w:sz="2" w:space="0" w:color="3D7FE0" w:themeColor="accent1"/>
              <w:bottom w:val="single" w:sz="2" w:space="0" w:color="3D7FE0" w:themeColor="accent1"/>
            </w:tcBorders>
            <w:tcMar>
              <w:left w:w="0" w:type="dxa"/>
              <w:right w:w="0" w:type="dxa"/>
            </w:tcMar>
          </w:tcPr>
          <w:p w14:paraId="6FFBAA4F" w14:textId="5C3B1853"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21.4</w:t>
            </w:r>
          </w:p>
        </w:tc>
        <w:tc>
          <w:tcPr>
            <w:tcW w:w="830" w:type="dxa"/>
            <w:tcBorders>
              <w:top w:val="single" w:sz="2" w:space="0" w:color="3D7FE0" w:themeColor="accent1"/>
              <w:bottom w:val="single" w:sz="2" w:space="0" w:color="3D7FE0" w:themeColor="accent1"/>
            </w:tcBorders>
            <w:tcMar>
              <w:left w:w="0" w:type="dxa"/>
              <w:right w:w="0" w:type="dxa"/>
            </w:tcMar>
          </w:tcPr>
          <w:p w14:paraId="24C186C5" w14:textId="2A195F22" w:rsidR="00452848" w:rsidRPr="00895810" w:rsidRDefault="00452848" w:rsidP="001710E5">
            <w:pPr>
              <w:pStyle w:val="TableFiguresBold"/>
              <w:rPr>
                <w:rFonts w:ascii="IBM Plex Sans Light" w:hAnsi="IBM Plex Sans Light"/>
                <w:b w:val="0"/>
                <w:bCs w:val="0"/>
                <w:color w:val="auto"/>
                <w:spacing w:val="-4"/>
                <w:sz w:val="18"/>
                <w:szCs w:val="18"/>
              </w:rPr>
            </w:pPr>
            <w:r w:rsidRPr="001710E5">
              <w:rPr>
                <w:rFonts w:ascii="IBM Plex Sans Light" w:hAnsi="IBM Plex Sans Light"/>
                <w:b w:val="0"/>
                <w:bCs w:val="0"/>
                <w:color w:val="auto"/>
                <w:spacing w:val="-4"/>
                <w:sz w:val="18"/>
                <w:szCs w:val="18"/>
              </w:rPr>
              <w:t>273.4</w:t>
            </w:r>
          </w:p>
        </w:tc>
        <w:tc>
          <w:tcPr>
            <w:tcW w:w="830" w:type="dxa"/>
            <w:tcBorders>
              <w:top w:val="single" w:sz="2" w:space="0" w:color="3D7FE0" w:themeColor="accent1"/>
              <w:bottom w:val="single" w:sz="2" w:space="0" w:color="3D7FE0" w:themeColor="accent1"/>
            </w:tcBorders>
            <w:tcMar>
              <w:left w:w="0" w:type="dxa"/>
              <w:right w:w="0" w:type="dxa"/>
            </w:tcMar>
          </w:tcPr>
          <w:p w14:paraId="2F5C06F7" w14:textId="33AC7DD1"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ab/>
              <w:t xml:space="preserve">119.4 </w:t>
            </w:r>
          </w:p>
        </w:tc>
      </w:tr>
      <w:tr w:rsidR="00452848" w:rsidRPr="00895810" w14:paraId="5A509DC8" w14:textId="77777777" w:rsidTr="00024B10">
        <w:trPr>
          <w:trHeight w:hRule="exact" w:val="255"/>
        </w:trPr>
        <w:tc>
          <w:tcPr>
            <w:tcW w:w="4195" w:type="dxa"/>
            <w:tcBorders>
              <w:top w:val="single" w:sz="2" w:space="0" w:color="3D7FE0" w:themeColor="accent1"/>
            </w:tcBorders>
            <w:tcMar>
              <w:left w:w="0" w:type="dxa"/>
              <w:right w:w="0" w:type="dxa"/>
            </w:tcMar>
            <w:vAlign w:val="bottom"/>
          </w:tcPr>
          <w:p w14:paraId="2AC3038A" w14:textId="77777777" w:rsidR="00452848" w:rsidRPr="00895810" w:rsidRDefault="00452848" w:rsidP="001710E5">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Net rental income</w:t>
            </w:r>
          </w:p>
        </w:tc>
        <w:tc>
          <w:tcPr>
            <w:tcW w:w="477" w:type="dxa"/>
            <w:tcBorders>
              <w:top w:val="single" w:sz="2" w:space="0" w:color="3D7FE0" w:themeColor="accent1"/>
            </w:tcBorders>
            <w:vAlign w:val="bottom"/>
          </w:tcPr>
          <w:p w14:paraId="77F148EE" w14:textId="4AD99C30" w:rsidR="00452848" w:rsidRPr="00895810" w:rsidRDefault="00452848" w:rsidP="001710E5">
            <w:pPr>
              <w:pStyle w:val="TableFigures"/>
              <w:rPr>
                <w:rFonts w:ascii="IBM Plex Sans Light" w:hAnsi="IBM Plex Sans Light"/>
                <w:color w:val="auto"/>
                <w:spacing w:val="-4"/>
                <w:sz w:val="18"/>
                <w:szCs w:val="18"/>
              </w:rPr>
            </w:pPr>
          </w:p>
        </w:tc>
        <w:tc>
          <w:tcPr>
            <w:tcW w:w="851" w:type="dxa"/>
            <w:tcBorders>
              <w:top w:val="single" w:sz="2" w:space="0" w:color="3D7FE0" w:themeColor="accent1"/>
            </w:tcBorders>
          </w:tcPr>
          <w:p w14:paraId="7E87CD44" w14:textId="420FC771"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0.5</w:t>
            </w:r>
          </w:p>
        </w:tc>
        <w:tc>
          <w:tcPr>
            <w:tcW w:w="992" w:type="dxa"/>
            <w:tcBorders>
              <w:top w:val="single" w:sz="2" w:space="0" w:color="3D7FE0" w:themeColor="accent1"/>
            </w:tcBorders>
          </w:tcPr>
          <w:p w14:paraId="3ADA9ED1" w14:textId="5E49A023"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14.3</w:t>
            </w:r>
          </w:p>
        </w:tc>
        <w:tc>
          <w:tcPr>
            <w:tcW w:w="907" w:type="dxa"/>
            <w:tcBorders>
              <w:top w:val="single" w:sz="2" w:space="0" w:color="3D7FE0" w:themeColor="accent1"/>
            </w:tcBorders>
          </w:tcPr>
          <w:p w14:paraId="700B8E2A" w14:textId="6452E453"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48.1</w:t>
            </w:r>
          </w:p>
        </w:tc>
        <w:tc>
          <w:tcPr>
            <w:tcW w:w="830" w:type="dxa"/>
            <w:tcBorders>
              <w:top w:val="single" w:sz="2" w:space="0" w:color="3D7FE0" w:themeColor="accent1"/>
            </w:tcBorders>
            <w:tcMar>
              <w:left w:w="0" w:type="dxa"/>
              <w:right w:w="0" w:type="dxa"/>
            </w:tcMar>
          </w:tcPr>
          <w:p w14:paraId="0659E416" w14:textId="490B9AA6"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22.6</w:t>
            </w:r>
          </w:p>
        </w:tc>
        <w:tc>
          <w:tcPr>
            <w:tcW w:w="830" w:type="dxa"/>
            <w:tcBorders>
              <w:top w:val="single" w:sz="2" w:space="0" w:color="3D7FE0" w:themeColor="accent1"/>
            </w:tcBorders>
            <w:tcMar>
              <w:left w:w="0" w:type="dxa"/>
              <w:right w:w="0" w:type="dxa"/>
            </w:tcMar>
          </w:tcPr>
          <w:p w14:paraId="418FD92A" w14:textId="64CBBB1C" w:rsidR="00452848" w:rsidRPr="00895810" w:rsidRDefault="00452848" w:rsidP="001710E5">
            <w:pPr>
              <w:pStyle w:val="TableFiguresBold"/>
              <w:rPr>
                <w:rFonts w:ascii="IBM Plex Sans Light" w:hAnsi="IBM Plex Sans Light"/>
                <w:b w:val="0"/>
                <w:bCs w:val="0"/>
                <w:color w:val="auto"/>
                <w:spacing w:val="-4"/>
                <w:sz w:val="18"/>
                <w:szCs w:val="18"/>
              </w:rPr>
            </w:pPr>
            <w:r w:rsidRPr="001710E5">
              <w:rPr>
                <w:rFonts w:ascii="IBM Plex Sans Light" w:hAnsi="IBM Plex Sans Light"/>
                <w:b w:val="0"/>
                <w:bCs w:val="0"/>
                <w:color w:val="auto"/>
                <w:spacing w:val="-4"/>
                <w:sz w:val="18"/>
                <w:szCs w:val="18"/>
              </w:rPr>
              <w:t>219.7</w:t>
            </w:r>
          </w:p>
        </w:tc>
        <w:tc>
          <w:tcPr>
            <w:tcW w:w="830" w:type="dxa"/>
            <w:tcBorders>
              <w:top w:val="single" w:sz="2" w:space="0" w:color="3D7FE0" w:themeColor="accent1"/>
            </w:tcBorders>
            <w:tcMar>
              <w:left w:w="0" w:type="dxa"/>
              <w:right w:w="0" w:type="dxa"/>
            </w:tcMar>
          </w:tcPr>
          <w:p w14:paraId="468AEA70" w14:textId="36F88D3F"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95.5</w:t>
            </w:r>
          </w:p>
        </w:tc>
      </w:tr>
      <w:tr w:rsidR="00452848" w:rsidRPr="00895810" w14:paraId="40DA5B86" w14:textId="77777777" w:rsidTr="00024B10">
        <w:trPr>
          <w:trHeight w:hRule="exact" w:val="255"/>
        </w:trPr>
        <w:tc>
          <w:tcPr>
            <w:tcW w:w="4195" w:type="dxa"/>
            <w:tcBorders>
              <w:bottom w:val="single" w:sz="2" w:space="0" w:color="3D7FE0" w:themeColor="accent1"/>
            </w:tcBorders>
            <w:tcMar>
              <w:left w:w="0" w:type="dxa"/>
              <w:right w:w="0" w:type="dxa"/>
            </w:tcMar>
            <w:vAlign w:val="bottom"/>
          </w:tcPr>
          <w:p w14:paraId="3E0A1422" w14:textId="77777777" w:rsidR="00452848" w:rsidRPr="00895810" w:rsidRDefault="00452848" w:rsidP="001710E5">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Administration expenses</w:t>
            </w:r>
          </w:p>
        </w:tc>
        <w:tc>
          <w:tcPr>
            <w:tcW w:w="477" w:type="dxa"/>
            <w:tcBorders>
              <w:bottom w:val="single" w:sz="2" w:space="0" w:color="3D7FE0" w:themeColor="accent1"/>
            </w:tcBorders>
            <w:vAlign w:val="bottom"/>
          </w:tcPr>
          <w:p w14:paraId="61C1EC5A" w14:textId="1949C00C" w:rsidR="00452848" w:rsidRPr="00895810" w:rsidRDefault="00452848" w:rsidP="001710E5">
            <w:pPr>
              <w:pStyle w:val="TableFiguresBracketsBold"/>
              <w:rPr>
                <w:rFonts w:ascii="IBM Plex Sans Light" w:hAnsi="IBM Plex Sans Light"/>
                <w:b w:val="0"/>
                <w:color w:val="auto"/>
                <w:spacing w:val="-4"/>
                <w:sz w:val="18"/>
                <w:szCs w:val="18"/>
              </w:rPr>
            </w:pPr>
          </w:p>
        </w:tc>
        <w:tc>
          <w:tcPr>
            <w:tcW w:w="851" w:type="dxa"/>
            <w:tcBorders>
              <w:bottom w:val="single" w:sz="2" w:space="0" w:color="3D7FE0" w:themeColor="accent1"/>
            </w:tcBorders>
          </w:tcPr>
          <w:p w14:paraId="67952BB5" w14:textId="0A6D2F5E"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(0.2)</w:t>
            </w:r>
          </w:p>
        </w:tc>
        <w:tc>
          <w:tcPr>
            <w:tcW w:w="992" w:type="dxa"/>
            <w:tcBorders>
              <w:bottom w:val="single" w:sz="2" w:space="0" w:color="3D7FE0" w:themeColor="accent1"/>
            </w:tcBorders>
          </w:tcPr>
          <w:p w14:paraId="60BAB7FC" w14:textId="4C11218D"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(0.3)</w:t>
            </w:r>
          </w:p>
        </w:tc>
        <w:tc>
          <w:tcPr>
            <w:tcW w:w="907" w:type="dxa"/>
            <w:tcBorders>
              <w:bottom w:val="single" w:sz="2" w:space="0" w:color="3D7FE0" w:themeColor="accent1"/>
            </w:tcBorders>
          </w:tcPr>
          <w:p w14:paraId="76313AB3" w14:textId="026A6D9B"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(0.4)</w:t>
            </w:r>
          </w:p>
        </w:tc>
        <w:tc>
          <w:tcPr>
            <w:tcW w:w="830" w:type="dxa"/>
            <w:tcBorders>
              <w:bottom w:val="single" w:sz="2" w:space="0" w:color="3D7FE0" w:themeColor="accent1"/>
            </w:tcBorders>
            <w:tcMar>
              <w:left w:w="0" w:type="dxa"/>
              <w:right w:w="0" w:type="dxa"/>
            </w:tcMar>
          </w:tcPr>
          <w:p w14:paraId="59A5E467" w14:textId="1688A90B"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(0.1)</w:t>
            </w:r>
          </w:p>
        </w:tc>
        <w:tc>
          <w:tcPr>
            <w:tcW w:w="830" w:type="dxa"/>
            <w:tcBorders>
              <w:bottom w:val="single" w:sz="2" w:space="0" w:color="3D7FE0" w:themeColor="accent1"/>
            </w:tcBorders>
            <w:tcMar>
              <w:left w:w="0" w:type="dxa"/>
              <w:right w:w="0" w:type="dxa"/>
            </w:tcMar>
          </w:tcPr>
          <w:p w14:paraId="4C383B87" w14:textId="3EA84D9A"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(1.0)</w:t>
            </w:r>
          </w:p>
        </w:tc>
        <w:tc>
          <w:tcPr>
            <w:tcW w:w="830" w:type="dxa"/>
            <w:tcBorders>
              <w:bottom w:val="single" w:sz="2" w:space="0" w:color="3D7FE0" w:themeColor="accent1"/>
            </w:tcBorders>
            <w:tcMar>
              <w:left w:w="0" w:type="dxa"/>
              <w:right w:w="0" w:type="dxa"/>
            </w:tcMar>
          </w:tcPr>
          <w:p w14:paraId="24508A67" w14:textId="1B7D9F44"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ab/>
              <w:t>(0.3)</w:t>
            </w:r>
          </w:p>
        </w:tc>
      </w:tr>
      <w:tr w:rsidR="00452848" w:rsidRPr="00895810" w14:paraId="4DA56763" w14:textId="77777777" w:rsidTr="00024B10">
        <w:trPr>
          <w:trHeight w:hRule="exact" w:val="259"/>
        </w:trPr>
        <w:tc>
          <w:tcPr>
            <w:tcW w:w="4195" w:type="dxa"/>
            <w:tcBorders>
              <w:top w:val="single" w:sz="2" w:space="0" w:color="3D7FE0" w:themeColor="accent1"/>
            </w:tcBorders>
            <w:tcMar>
              <w:left w:w="0" w:type="dxa"/>
              <w:right w:w="0" w:type="dxa"/>
            </w:tcMar>
            <w:vAlign w:val="bottom"/>
          </w:tcPr>
          <w:p w14:paraId="3C95838F" w14:textId="77777777" w:rsidR="00452848" w:rsidRPr="00895810" w:rsidRDefault="00452848" w:rsidP="001710E5">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Profit from operating activities</w:t>
            </w:r>
          </w:p>
        </w:tc>
        <w:tc>
          <w:tcPr>
            <w:tcW w:w="477" w:type="dxa"/>
            <w:tcBorders>
              <w:top w:val="single" w:sz="2" w:space="0" w:color="3D7FE0" w:themeColor="accent1"/>
            </w:tcBorders>
            <w:vAlign w:val="bottom"/>
          </w:tcPr>
          <w:p w14:paraId="13F5EFCF" w14:textId="3D594156" w:rsidR="00452848" w:rsidRPr="00895810" w:rsidRDefault="00452848" w:rsidP="001710E5">
            <w:pPr>
              <w:pStyle w:val="TableFigures"/>
              <w:rPr>
                <w:rFonts w:ascii="IBM Plex Sans Light" w:hAnsi="IBM Plex Sans Light"/>
                <w:color w:val="auto"/>
                <w:spacing w:val="-4"/>
                <w:sz w:val="18"/>
                <w:szCs w:val="18"/>
              </w:rPr>
            </w:pPr>
          </w:p>
        </w:tc>
        <w:tc>
          <w:tcPr>
            <w:tcW w:w="851" w:type="dxa"/>
            <w:tcBorders>
              <w:top w:val="single" w:sz="2" w:space="0" w:color="3D7FE0" w:themeColor="accent1"/>
            </w:tcBorders>
          </w:tcPr>
          <w:p w14:paraId="5CFDA0A7" w14:textId="32609ED2"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0.3</w:t>
            </w:r>
          </w:p>
        </w:tc>
        <w:tc>
          <w:tcPr>
            <w:tcW w:w="992" w:type="dxa"/>
            <w:tcBorders>
              <w:top w:val="single" w:sz="2" w:space="0" w:color="3D7FE0" w:themeColor="accent1"/>
            </w:tcBorders>
          </w:tcPr>
          <w:p w14:paraId="09091950" w14:textId="53667553"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14.0</w:t>
            </w:r>
          </w:p>
        </w:tc>
        <w:tc>
          <w:tcPr>
            <w:tcW w:w="907" w:type="dxa"/>
            <w:tcBorders>
              <w:top w:val="single" w:sz="2" w:space="0" w:color="3D7FE0" w:themeColor="accent1"/>
            </w:tcBorders>
          </w:tcPr>
          <w:p w14:paraId="3D1CC218" w14:textId="1D75F62F"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47.7</w:t>
            </w:r>
          </w:p>
        </w:tc>
        <w:tc>
          <w:tcPr>
            <w:tcW w:w="830" w:type="dxa"/>
            <w:tcBorders>
              <w:top w:val="single" w:sz="2" w:space="0" w:color="3D7FE0" w:themeColor="accent1"/>
            </w:tcBorders>
            <w:tcMar>
              <w:left w:w="0" w:type="dxa"/>
              <w:right w:w="0" w:type="dxa"/>
            </w:tcMar>
          </w:tcPr>
          <w:p w14:paraId="134ED6C2" w14:textId="228475F9"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22.5</w:t>
            </w:r>
          </w:p>
        </w:tc>
        <w:tc>
          <w:tcPr>
            <w:tcW w:w="830" w:type="dxa"/>
            <w:tcBorders>
              <w:top w:val="single" w:sz="2" w:space="0" w:color="3D7FE0" w:themeColor="accent1"/>
            </w:tcBorders>
            <w:tcMar>
              <w:left w:w="0" w:type="dxa"/>
              <w:right w:w="0" w:type="dxa"/>
            </w:tcMar>
          </w:tcPr>
          <w:p w14:paraId="52918141" w14:textId="1B7E9059" w:rsidR="00452848" w:rsidRPr="00895810" w:rsidRDefault="00452848" w:rsidP="001710E5">
            <w:pPr>
              <w:pStyle w:val="TableFiguresBold"/>
              <w:rPr>
                <w:rFonts w:ascii="IBM Plex Sans Light" w:hAnsi="IBM Plex Sans Light"/>
                <w:b w:val="0"/>
                <w:bCs w:val="0"/>
                <w:color w:val="auto"/>
                <w:spacing w:val="-4"/>
                <w:sz w:val="18"/>
                <w:szCs w:val="18"/>
              </w:rPr>
            </w:pPr>
            <w:r w:rsidRPr="001710E5">
              <w:rPr>
                <w:rFonts w:ascii="IBM Plex Sans Light" w:hAnsi="IBM Plex Sans Light"/>
                <w:b w:val="0"/>
                <w:bCs w:val="0"/>
                <w:color w:val="auto"/>
                <w:spacing w:val="-4"/>
                <w:sz w:val="18"/>
                <w:szCs w:val="18"/>
              </w:rPr>
              <w:t>218.7</w:t>
            </w:r>
          </w:p>
        </w:tc>
        <w:tc>
          <w:tcPr>
            <w:tcW w:w="830" w:type="dxa"/>
            <w:tcBorders>
              <w:top w:val="single" w:sz="2" w:space="0" w:color="3D7FE0" w:themeColor="accent1"/>
            </w:tcBorders>
            <w:tcMar>
              <w:left w:w="0" w:type="dxa"/>
              <w:right w:w="0" w:type="dxa"/>
            </w:tcMar>
          </w:tcPr>
          <w:p w14:paraId="33187DF8" w14:textId="4DE25A24"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95.2</w:t>
            </w:r>
          </w:p>
        </w:tc>
      </w:tr>
      <w:tr w:rsidR="00452848" w:rsidRPr="00895810" w14:paraId="297C306F" w14:textId="77777777" w:rsidTr="00024B10">
        <w:trPr>
          <w:trHeight w:hRule="exact" w:val="289"/>
        </w:trPr>
        <w:tc>
          <w:tcPr>
            <w:tcW w:w="4195" w:type="dxa"/>
            <w:tcMar>
              <w:left w:w="0" w:type="dxa"/>
              <w:right w:w="0" w:type="dxa"/>
            </w:tcMar>
            <w:vAlign w:val="bottom"/>
          </w:tcPr>
          <w:p w14:paraId="627FB42B" w14:textId="77777777" w:rsidR="00452848" w:rsidRPr="00895810" w:rsidRDefault="00452848" w:rsidP="001710E5">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Revaluation losses on properties</w:t>
            </w:r>
          </w:p>
        </w:tc>
        <w:tc>
          <w:tcPr>
            <w:tcW w:w="477" w:type="dxa"/>
            <w:vAlign w:val="bottom"/>
          </w:tcPr>
          <w:p w14:paraId="5D7C2811" w14:textId="242C43D4" w:rsidR="00452848" w:rsidRPr="00895810" w:rsidRDefault="00452848" w:rsidP="001710E5">
            <w:pPr>
              <w:pStyle w:val="TableFiguresBracketsBold"/>
              <w:rPr>
                <w:rFonts w:ascii="IBM Plex Sans Light" w:hAnsi="IBM Plex Sans Light"/>
                <w:b w:val="0"/>
                <w:color w:val="auto"/>
                <w:spacing w:val="-4"/>
                <w:sz w:val="18"/>
                <w:szCs w:val="18"/>
              </w:rPr>
            </w:pPr>
          </w:p>
        </w:tc>
        <w:tc>
          <w:tcPr>
            <w:tcW w:w="851" w:type="dxa"/>
          </w:tcPr>
          <w:p w14:paraId="7F19EB9D" w14:textId="495DF815"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(54.2)</w:t>
            </w:r>
          </w:p>
        </w:tc>
        <w:tc>
          <w:tcPr>
            <w:tcW w:w="992" w:type="dxa"/>
          </w:tcPr>
          <w:p w14:paraId="2070E544" w14:textId="55D5A3AA"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(52.1)</w:t>
            </w:r>
          </w:p>
        </w:tc>
        <w:tc>
          <w:tcPr>
            <w:tcW w:w="907" w:type="dxa"/>
          </w:tcPr>
          <w:p w14:paraId="261825AA" w14:textId="66D71A53"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(34.2)</w:t>
            </w:r>
          </w:p>
        </w:tc>
        <w:tc>
          <w:tcPr>
            <w:tcW w:w="830" w:type="dxa"/>
            <w:tcMar>
              <w:left w:w="0" w:type="dxa"/>
              <w:right w:w="0" w:type="dxa"/>
            </w:tcMar>
          </w:tcPr>
          <w:p w14:paraId="0769BAEF" w14:textId="2B13A57E"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(12.5)</w:t>
            </w:r>
          </w:p>
        </w:tc>
        <w:tc>
          <w:tcPr>
            <w:tcW w:w="830" w:type="dxa"/>
            <w:tcMar>
              <w:left w:w="0" w:type="dxa"/>
              <w:right w:w="0" w:type="dxa"/>
            </w:tcMar>
          </w:tcPr>
          <w:p w14:paraId="7E3523EF" w14:textId="190F9BB1"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(331.8)</w:t>
            </w:r>
          </w:p>
        </w:tc>
        <w:tc>
          <w:tcPr>
            <w:tcW w:w="830" w:type="dxa"/>
            <w:tcMar>
              <w:left w:w="0" w:type="dxa"/>
              <w:right w:w="0" w:type="dxa"/>
            </w:tcMar>
          </w:tcPr>
          <w:p w14:paraId="57B0821B" w14:textId="0F06FADB"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(132.1)</w:t>
            </w:r>
          </w:p>
        </w:tc>
      </w:tr>
      <w:tr w:rsidR="00452848" w:rsidRPr="00895810" w14:paraId="2BD0AE7C" w14:textId="77777777" w:rsidTr="00024B10">
        <w:trPr>
          <w:trHeight w:hRule="exact" w:val="289"/>
        </w:trPr>
        <w:tc>
          <w:tcPr>
            <w:tcW w:w="4195" w:type="dxa"/>
            <w:tcBorders>
              <w:bottom w:val="single" w:sz="2" w:space="0" w:color="3D7FE0" w:themeColor="accent1"/>
            </w:tcBorders>
            <w:tcMar>
              <w:left w:w="0" w:type="dxa"/>
              <w:right w:w="0" w:type="dxa"/>
            </w:tcMar>
            <w:vAlign w:val="bottom"/>
          </w:tcPr>
          <w:p w14:paraId="2C495F63" w14:textId="77777777" w:rsidR="00452848" w:rsidRPr="00895810" w:rsidRDefault="00452848" w:rsidP="00543AD4">
            <w:pPr>
              <w:pStyle w:val="TableFiguresBrackets"/>
              <w:jc w:val="left"/>
              <w:rPr>
                <w:rFonts w:ascii="IBM Plex Sans Light" w:hAnsi="IBM Plex Sans Light"/>
                <w:bCs/>
                <w:sz w:val="18"/>
                <w:szCs w:val="18"/>
              </w:rPr>
            </w:pPr>
            <w:r w:rsidRPr="00895810">
              <w:rPr>
                <w:rFonts w:ascii="IBM Plex Sans Light" w:hAnsi="IBM Plex Sans Light"/>
                <w:bCs/>
                <w:sz w:val="18"/>
                <w:szCs w:val="18"/>
              </w:rPr>
              <w:t>Adjustment for income from assets held for sale</w:t>
            </w:r>
          </w:p>
        </w:tc>
        <w:tc>
          <w:tcPr>
            <w:tcW w:w="477" w:type="dxa"/>
            <w:tcBorders>
              <w:bottom w:val="single" w:sz="2" w:space="0" w:color="3D7FE0" w:themeColor="accent1"/>
            </w:tcBorders>
            <w:vAlign w:val="bottom"/>
          </w:tcPr>
          <w:p w14:paraId="1C5AD803" w14:textId="038819B0" w:rsidR="00452848" w:rsidRPr="00895810" w:rsidRDefault="005F6D26" w:rsidP="00543AD4">
            <w:pPr>
              <w:pStyle w:val="TableFigures"/>
              <w:rPr>
                <w:rFonts w:ascii="IBM Plex Sans Light" w:hAnsi="IBM Plex Sans Light"/>
                <w:color w:val="auto"/>
                <w:spacing w:val="-4"/>
                <w:sz w:val="18"/>
                <w:szCs w:val="18"/>
              </w:rPr>
            </w:pPr>
            <w:r w:rsidRPr="00024B10">
              <w:rPr>
                <w:rFonts w:ascii="IBM Plex Sans Light" w:hAnsi="IBM Plex Sans Light"/>
                <w:color w:val="auto"/>
                <w:spacing w:val="-4"/>
                <w:szCs w:val="16"/>
              </w:rPr>
              <w:t>c</w:t>
            </w:r>
          </w:p>
        </w:tc>
        <w:tc>
          <w:tcPr>
            <w:tcW w:w="851" w:type="dxa"/>
            <w:tcBorders>
              <w:bottom w:val="single" w:sz="2" w:space="0" w:color="3D7FE0" w:themeColor="accent1"/>
            </w:tcBorders>
          </w:tcPr>
          <w:p w14:paraId="641D9BB7" w14:textId="271957B8" w:rsidR="00452848" w:rsidRPr="00895810" w:rsidRDefault="00452848" w:rsidP="00543AD4">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92" w:type="dxa"/>
            <w:tcBorders>
              <w:bottom w:val="single" w:sz="2" w:space="0" w:color="3D7FE0" w:themeColor="accent1"/>
            </w:tcBorders>
          </w:tcPr>
          <w:p w14:paraId="5EEBB743" w14:textId="1D1F30D4" w:rsidR="00452848" w:rsidRPr="00895810" w:rsidRDefault="00452848" w:rsidP="00543AD4">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07" w:type="dxa"/>
            <w:tcBorders>
              <w:bottom w:val="single" w:sz="2" w:space="0" w:color="3D7FE0" w:themeColor="accent1"/>
            </w:tcBorders>
          </w:tcPr>
          <w:p w14:paraId="13E261E1" w14:textId="04344F71" w:rsidR="00452848" w:rsidRPr="00895810" w:rsidRDefault="00452848" w:rsidP="00543AD4">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830" w:type="dxa"/>
            <w:tcBorders>
              <w:bottom w:val="single" w:sz="2" w:space="0" w:color="3D7FE0" w:themeColor="accent1"/>
            </w:tcBorders>
            <w:tcMar>
              <w:left w:w="0" w:type="dxa"/>
              <w:right w:w="0" w:type="dxa"/>
            </w:tcMar>
          </w:tcPr>
          <w:p w14:paraId="6ED1B4B9" w14:textId="36D1B3AA" w:rsidR="00452848" w:rsidRPr="001710E5" w:rsidRDefault="00452848" w:rsidP="00543AD4">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(3.2)</w:t>
            </w:r>
          </w:p>
        </w:tc>
        <w:tc>
          <w:tcPr>
            <w:tcW w:w="830" w:type="dxa"/>
            <w:tcBorders>
              <w:bottom w:val="single" w:sz="2" w:space="0" w:color="3D7FE0" w:themeColor="accent1"/>
            </w:tcBorders>
            <w:tcMar>
              <w:left w:w="0" w:type="dxa"/>
              <w:right w:w="0" w:type="dxa"/>
            </w:tcMar>
          </w:tcPr>
          <w:p w14:paraId="7E0F220D" w14:textId="10C6F5EA" w:rsidR="00452848" w:rsidRPr="001710E5" w:rsidRDefault="00452848" w:rsidP="00543AD4">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(3.2)</w:t>
            </w:r>
          </w:p>
        </w:tc>
        <w:tc>
          <w:tcPr>
            <w:tcW w:w="830" w:type="dxa"/>
            <w:tcBorders>
              <w:bottom w:val="single" w:sz="2" w:space="0" w:color="3D7FE0" w:themeColor="accent1"/>
            </w:tcBorders>
            <w:tcMar>
              <w:left w:w="0" w:type="dxa"/>
              <w:right w:w="0" w:type="dxa"/>
            </w:tcMar>
          </w:tcPr>
          <w:p w14:paraId="259A4EE0" w14:textId="3836255A" w:rsidR="00452848" w:rsidRPr="001710E5" w:rsidRDefault="00452848" w:rsidP="00543AD4">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ab/>
              <w:t>(1.6)</w:t>
            </w:r>
          </w:p>
        </w:tc>
      </w:tr>
      <w:tr w:rsidR="00452848" w:rsidRPr="00895810" w14:paraId="72278976" w14:textId="77777777" w:rsidTr="00024B10">
        <w:trPr>
          <w:trHeight w:hRule="exact" w:val="316"/>
        </w:trPr>
        <w:tc>
          <w:tcPr>
            <w:tcW w:w="4195" w:type="dxa"/>
            <w:tcBorders>
              <w:top w:val="single" w:sz="2" w:space="0" w:color="3D7FE0" w:themeColor="accent1"/>
            </w:tcBorders>
            <w:tcMar>
              <w:left w:w="0" w:type="dxa"/>
              <w:right w:w="0" w:type="dxa"/>
            </w:tcMar>
            <w:vAlign w:val="bottom"/>
          </w:tcPr>
          <w:p w14:paraId="34EAFE23" w14:textId="646D0CBC" w:rsidR="00452848" w:rsidRPr="00895810" w:rsidRDefault="00452848" w:rsidP="001710E5">
            <w:pPr>
              <w:pStyle w:val="TableFiguresBrackets"/>
              <w:jc w:val="left"/>
              <w:rPr>
                <w:rFonts w:ascii="IBM Plex Sans Light" w:hAnsi="IBM Plex Sans Light"/>
                <w:b/>
                <w:bCs/>
                <w:color w:val="auto"/>
                <w:spacing w:val="-4"/>
                <w:sz w:val="18"/>
                <w:szCs w:val="18"/>
              </w:rPr>
            </w:pPr>
            <w:r w:rsidRPr="00895810">
              <w:rPr>
                <w:rFonts w:ascii="IBM Plex Sans Light" w:hAnsi="IBM Plex Sans Light"/>
                <w:b/>
                <w:bCs/>
                <w:color w:val="auto"/>
                <w:spacing w:val="-4"/>
                <w:sz w:val="18"/>
                <w:szCs w:val="18"/>
              </w:rPr>
              <w:t>Operating (loss)</w:t>
            </w:r>
            <w:r>
              <w:rPr>
                <w:rFonts w:ascii="IBM Plex Sans Light" w:hAnsi="IBM Plex Sans Light"/>
                <w:b/>
                <w:bCs/>
                <w:color w:val="auto"/>
                <w:spacing w:val="-4"/>
                <w:sz w:val="18"/>
                <w:szCs w:val="18"/>
              </w:rPr>
              <w:t>/profit</w:t>
            </w:r>
          </w:p>
        </w:tc>
        <w:tc>
          <w:tcPr>
            <w:tcW w:w="477" w:type="dxa"/>
            <w:tcBorders>
              <w:top w:val="single" w:sz="2" w:space="0" w:color="3D7FE0" w:themeColor="accent1"/>
            </w:tcBorders>
            <w:vAlign w:val="bottom"/>
          </w:tcPr>
          <w:p w14:paraId="7FC28CFB" w14:textId="2A22EED6" w:rsidR="00452848" w:rsidRPr="00895810" w:rsidRDefault="00452848" w:rsidP="001710E5">
            <w:pPr>
              <w:pStyle w:val="TableFiguresBracketsBold"/>
              <w:rPr>
                <w:rFonts w:ascii="IBM Plex Sans Light" w:hAnsi="IBM Plex Sans Light"/>
                <w:b w:val="0"/>
                <w:color w:val="auto"/>
                <w:spacing w:val="-4"/>
                <w:sz w:val="18"/>
                <w:szCs w:val="18"/>
              </w:rPr>
            </w:pPr>
          </w:p>
        </w:tc>
        <w:tc>
          <w:tcPr>
            <w:tcW w:w="851" w:type="dxa"/>
            <w:tcBorders>
              <w:top w:val="single" w:sz="2" w:space="0" w:color="3D7FE0" w:themeColor="accent1"/>
            </w:tcBorders>
          </w:tcPr>
          <w:p w14:paraId="65A77364" w14:textId="6BD44149"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(53.9)</w:t>
            </w:r>
          </w:p>
        </w:tc>
        <w:tc>
          <w:tcPr>
            <w:tcW w:w="992" w:type="dxa"/>
            <w:tcBorders>
              <w:top w:val="single" w:sz="2" w:space="0" w:color="3D7FE0" w:themeColor="accent1"/>
            </w:tcBorders>
          </w:tcPr>
          <w:p w14:paraId="6402A70E" w14:textId="5CC2C817"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(38.1)</w:t>
            </w:r>
          </w:p>
        </w:tc>
        <w:tc>
          <w:tcPr>
            <w:tcW w:w="907" w:type="dxa"/>
            <w:tcBorders>
              <w:top w:val="single" w:sz="2" w:space="0" w:color="3D7FE0" w:themeColor="accent1"/>
            </w:tcBorders>
          </w:tcPr>
          <w:p w14:paraId="54CFBB39" w14:textId="395CEB9E" w:rsidR="00452848" w:rsidRPr="00E13B6A"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13.5</w:t>
            </w:r>
          </w:p>
        </w:tc>
        <w:tc>
          <w:tcPr>
            <w:tcW w:w="830" w:type="dxa"/>
            <w:tcBorders>
              <w:top w:val="single" w:sz="2" w:space="0" w:color="3D7FE0" w:themeColor="accent1"/>
            </w:tcBorders>
            <w:tcMar>
              <w:left w:w="0" w:type="dxa"/>
              <w:right w:w="0" w:type="dxa"/>
            </w:tcMar>
          </w:tcPr>
          <w:p w14:paraId="404E4C34" w14:textId="596E7FA3"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6.8</w:t>
            </w:r>
          </w:p>
        </w:tc>
        <w:tc>
          <w:tcPr>
            <w:tcW w:w="830" w:type="dxa"/>
            <w:tcBorders>
              <w:top w:val="single" w:sz="2" w:space="0" w:color="3D7FE0" w:themeColor="accent1"/>
            </w:tcBorders>
            <w:tcMar>
              <w:left w:w="0" w:type="dxa"/>
              <w:right w:w="0" w:type="dxa"/>
            </w:tcMar>
          </w:tcPr>
          <w:p w14:paraId="16CE4035" w14:textId="0D240733"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(116.3)</w:t>
            </w:r>
          </w:p>
        </w:tc>
        <w:tc>
          <w:tcPr>
            <w:tcW w:w="830" w:type="dxa"/>
            <w:tcBorders>
              <w:top w:val="single" w:sz="2" w:space="0" w:color="3D7FE0" w:themeColor="accent1"/>
            </w:tcBorders>
            <w:tcMar>
              <w:left w:w="0" w:type="dxa"/>
              <w:right w:w="0" w:type="dxa"/>
            </w:tcMar>
          </w:tcPr>
          <w:p w14:paraId="0181F884" w14:textId="12D1E9E0"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(38.5)</w:t>
            </w:r>
          </w:p>
        </w:tc>
      </w:tr>
      <w:tr w:rsidR="00452848" w:rsidRPr="00895810" w14:paraId="7ECCDE99" w14:textId="77777777" w:rsidTr="00024B10">
        <w:trPr>
          <w:trHeight w:hRule="exact" w:val="255"/>
        </w:trPr>
        <w:tc>
          <w:tcPr>
            <w:tcW w:w="4195" w:type="dxa"/>
            <w:tcMar>
              <w:left w:w="0" w:type="dxa"/>
              <w:right w:w="0" w:type="dxa"/>
            </w:tcMar>
            <w:vAlign w:val="bottom"/>
          </w:tcPr>
          <w:p w14:paraId="63B665CB" w14:textId="77777777" w:rsidR="00452848" w:rsidRPr="00895810" w:rsidRDefault="00452848" w:rsidP="001710E5">
            <w:pPr>
              <w:pStyle w:val="TableFiguresBrackets"/>
              <w:jc w:val="left"/>
              <w:rPr>
                <w:rFonts w:ascii="IBM Plex Sans Light" w:hAnsi="IBM Plex Sans Light"/>
                <w:spacing w:val="-4"/>
                <w:sz w:val="18"/>
                <w:szCs w:val="18"/>
              </w:rPr>
            </w:pPr>
            <w:r w:rsidRPr="00895810">
              <w:rPr>
                <w:rFonts w:ascii="IBM Plex Sans Light" w:hAnsi="IBM Plex Sans Light"/>
                <w:spacing w:val="-4"/>
                <w:sz w:val="18"/>
                <w:szCs w:val="18"/>
              </w:rPr>
              <w:t>Finance income</w:t>
            </w:r>
          </w:p>
        </w:tc>
        <w:tc>
          <w:tcPr>
            <w:tcW w:w="477" w:type="dxa"/>
          </w:tcPr>
          <w:p w14:paraId="004CF391" w14:textId="193159CB" w:rsidR="00452848" w:rsidRPr="00895810" w:rsidRDefault="00452848" w:rsidP="001710E5">
            <w:pPr>
              <w:pStyle w:val="TableFigures"/>
              <w:rPr>
                <w:rFonts w:ascii="IBM Plex Sans Light" w:hAnsi="IBM Plex Sans Light"/>
                <w:color w:val="auto"/>
                <w:spacing w:val="-4"/>
                <w:sz w:val="18"/>
                <w:szCs w:val="18"/>
              </w:rPr>
            </w:pPr>
          </w:p>
        </w:tc>
        <w:tc>
          <w:tcPr>
            <w:tcW w:w="851" w:type="dxa"/>
          </w:tcPr>
          <w:p w14:paraId="2328ACC3" w14:textId="1C179677"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0.2</w:t>
            </w:r>
          </w:p>
        </w:tc>
        <w:tc>
          <w:tcPr>
            <w:tcW w:w="992" w:type="dxa"/>
          </w:tcPr>
          <w:p w14:paraId="6A787953" w14:textId="6304F925"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7.4</w:t>
            </w:r>
          </w:p>
        </w:tc>
        <w:tc>
          <w:tcPr>
            <w:tcW w:w="907" w:type="dxa"/>
          </w:tcPr>
          <w:p w14:paraId="2AD34E21" w14:textId="5E9A8127"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830" w:type="dxa"/>
            <w:tcMar>
              <w:left w:w="0" w:type="dxa"/>
              <w:right w:w="0" w:type="dxa"/>
            </w:tcMar>
          </w:tcPr>
          <w:p w14:paraId="07690DD3" w14:textId="517672E0"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830" w:type="dxa"/>
            <w:tcMar>
              <w:left w:w="0" w:type="dxa"/>
              <w:right w:w="0" w:type="dxa"/>
            </w:tcMar>
          </w:tcPr>
          <w:p w14:paraId="64441637" w14:textId="58A6867E"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8.0</w:t>
            </w:r>
          </w:p>
        </w:tc>
        <w:tc>
          <w:tcPr>
            <w:tcW w:w="830" w:type="dxa"/>
            <w:tcMar>
              <w:left w:w="0" w:type="dxa"/>
              <w:right w:w="0" w:type="dxa"/>
            </w:tcMar>
          </w:tcPr>
          <w:p w14:paraId="23152F86" w14:textId="72C900C2"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0.3</w:t>
            </w:r>
          </w:p>
        </w:tc>
      </w:tr>
      <w:tr w:rsidR="00452848" w:rsidRPr="00895810" w14:paraId="46B6C583" w14:textId="77777777" w:rsidTr="00024B10">
        <w:trPr>
          <w:trHeight w:hRule="exact" w:val="255"/>
        </w:trPr>
        <w:tc>
          <w:tcPr>
            <w:tcW w:w="4195" w:type="dxa"/>
            <w:tcBorders>
              <w:bottom w:val="single" w:sz="2" w:space="0" w:color="3D7FE0" w:themeColor="accent1"/>
            </w:tcBorders>
            <w:tcMar>
              <w:left w:w="0" w:type="dxa"/>
              <w:right w:w="0" w:type="dxa"/>
            </w:tcMar>
            <w:vAlign w:val="bottom"/>
          </w:tcPr>
          <w:p w14:paraId="75DD44AE" w14:textId="77777777" w:rsidR="00452848" w:rsidRPr="00895810" w:rsidRDefault="00452848" w:rsidP="001710E5">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Finance costs</w:t>
            </w:r>
          </w:p>
        </w:tc>
        <w:tc>
          <w:tcPr>
            <w:tcW w:w="477" w:type="dxa"/>
            <w:tcBorders>
              <w:bottom w:val="single" w:sz="2" w:space="0" w:color="3D7FE0" w:themeColor="accent1"/>
            </w:tcBorders>
          </w:tcPr>
          <w:p w14:paraId="65407BA6" w14:textId="154E7041" w:rsidR="00452848" w:rsidRPr="00895810" w:rsidRDefault="00452848" w:rsidP="001710E5">
            <w:pPr>
              <w:pStyle w:val="TableFigures"/>
              <w:rPr>
                <w:rFonts w:ascii="IBM Plex Sans Light" w:hAnsi="IBM Plex Sans Light"/>
                <w:color w:val="auto"/>
                <w:spacing w:val="-4"/>
                <w:sz w:val="18"/>
                <w:szCs w:val="18"/>
              </w:rPr>
            </w:pPr>
          </w:p>
        </w:tc>
        <w:tc>
          <w:tcPr>
            <w:tcW w:w="851" w:type="dxa"/>
            <w:tcBorders>
              <w:bottom w:val="single" w:sz="2" w:space="0" w:color="3D7FE0" w:themeColor="accent1"/>
            </w:tcBorders>
          </w:tcPr>
          <w:p w14:paraId="75D469AA" w14:textId="30EC7FC7"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92" w:type="dxa"/>
            <w:tcBorders>
              <w:bottom w:val="single" w:sz="2" w:space="0" w:color="3D7FE0" w:themeColor="accent1"/>
            </w:tcBorders>
          </w:tcPr>
          <w:p w14:paraId="70E6A135" w14:textId="11DDF06D"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(5.0)</w:t>
            </w:r>
          </w:p>
        </w:tc>
        <w:tc>
          <w:tcPr>
            <w:tcW w:w="907" w:type="dxa"/>
            <w:tcBorders>
              <w:bottom w:val="single" w:sz="2" w:space="0" w:color="3D7FE0" w:themeColor="accent1"/>
            </w:tcBorders>
          </w:tcPr>
          <w:p w14:paraId="5AC3513C" w14:textId="35F8D8DA"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(1.9)</w:t>
            </w:r>
          </w:p>
        </w:tc>
        <w:tc>
          <w:tcPr>
            <w:tcW w:w="830" w:type="dxa"/>
            <w:tcBorders>
              <w:bottom w:val="single" w:sz="2" w:space="0" w:color="3D7FE0" w:themeColor="accent1"/>
            </w:tcBorders>
            <w:tcMar>
              <w:left w:w="0" w:type="dxa"/>
              <w:right w:w="0" w:type="dxa"/>
            </w:tcMar>
          </w:tcPr>
          <w:p w14:paraId="121042B1" w14:textId="78BF7B83"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(5.7)</w:t>
            </w:r>
          </w:p>
        </w:tc>
        <w:tc>
          <w:tcPr>
            <w:tcW w:w="830" w:type="dxa"/>
            <w:tcBorders>
              <w:bottom w:val="single" w:sz="2" w:space="0" w:color="3D7FE0" w:themeColor="accent1"/>
            </w:tcBorders>
            <w:tcMar>
              <w:left w:w="0" w:type="dxa"/>
              <w:right w:w="0" w:type="dxa"/>
            </w:tcMar>
          </w:tcPr>
          <w:p w14:paraId="14DB3641" w14:textId="3E4356CE"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(13.7)</w:t>
            </w:r>
          </w:p>
        </w:tc>
        <w:tc>
          <w:tcPr>
            <w:tcW w:w="830" w:type="dxa"/>
            <w:tcBorders>
              <w:bottom w:val="single" w:sz="2" w:space="0" w:color="3D7FE0" w:themeColor="accent1"/>
            </w:tcBorders>
            <w:tcMar>
              <w:left w:w="0" w:type="dxa"/>
              <w:right w:w="0" w:type="dxa"/>
            </w:tcMar>
          </w:tcPr>
          <w:p w14:paraId="38BD06B3" w14:textId="39FB50D7"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ab/>
              <w:t>(3.0)</w:t>
            </w:r>
          </w:p>
        </w:tc>
      </w:tr>
      <w:tr w:rsidR="00452848" w:rsidRPr="00895810" w14:paraId="0977E5AA" w14:textId="77777777" w:rsidTr="00024B10">
        <w:trPr>
          <w:trHeight w:hRule="exact" w:val="255"/>
        </w:trPr>
        <w:tc>
          <w:tcPr>
            <w:tcW w:w="4195" w:type="dxa"/>
            <w:tcBorders>
              <w:top w:val="single" w:sz="2" w:space="0" w:color="3D7FE0" w:themeColor="accent1"/>
            </w:tcBorders>
            <w:tcMar>
              <w:left w:w="0" w:type="dxa"/>
              <w:right w:w="0" w:type="dxa"/>
            </w:tcMar>
            <w:vAlign w:val="bottom"/>
          </w:tcPr>
          <w:p w14:paraId="21FBAFCC" w14:textId="60BC1A59" w:rsidR="00452848" w:rsidRPr="00895810" w:rsidRDefault="00452848" w:rsidP="001710E5">
            <w:pPr>
              <w:pStyle w:val="TableFiguresBrackets"/>
              <w:jc w:val="left"/>
              <w:rPr>
                <w:rFonts w:ascii="IBM Plex Sans Light" w:hAnsi="IBM Plex Sans Light" w:cs="MyriadPro-Light"/>
                <w:b/>
                <w:color w:val="auto"/>
                <w:spacing w:val="-4"/>
                <w:sz w:val="18"/>
                <w:szCs w:val="18"/>
              </w:rPr>
            </w:pPr>
            <w:r>
              <w:rPr>
                <w:rFonts w:ascii="IBM Plex Sans Light" w:hAnsi="IBM Plex Sans Light"/>
                <w:b/>
                <w:color w:val="auto"/>
                <w:spacing w:val="-4"/>
                <w:sz w:val="18"/>
                <w:szCs w:val="18"/>
              </w:rPr>
              <w:t>(Loss)/p</w:t>
            </w:r>
            <w:r w:rsidRPr="00895810">
              <w:rPr>
                <w:rFonts w:ascii="IBM Plex Sans Light" w:hAnsi="IBM Plex Sans Light"/>
                <w:b/>
                <w:color w:val="auto"/>
                <w:spacing w:val="-4"/>
                <w:sz w:val="18"/>
                <w:szCs w:val="18"/>
              </w:rPr>
              <w:t xml:space="preserve">rofit before tax </w:t>
            </w:r>
          </w:p>
        </w:tc>
        <w:tc>
          <w:tcPr>
            <w:tcW w:w="477" w:type="dxa"/>
            <w:tcBorders>
              <w:top w:val="single" w:sz="2" w:space="0" w:color="3D7FE0" w:themeColor="accent1"/>
            </w:tcBorders>
            <w:vAlign w:val="bottom"/>
          </w:tcPr>
          <w:p w14:paraId="6CC40D2D" w14:textId="7D35273B" w:rsidR="00452848" w:rsidRPr="00895810" w:rsidRDefault="00452848" w:rsidP="001710E5">
            <w:pPr>
              <w:pStyle w:val="TableFiguresBracketsBold"/>
              <w:rPr>
                <w:rFonts w:ascii="IBM Plex Sans Light" w:hAnsi="IBM Plex Sans Light"/>
                <w:b w:val="0"/>
                <w:color w:val="auto"/>
                <w:spacing w:val="-4"/>
                <w:sz w:val="18"/>
                <w:szCs w:val="18"/>
              </w:rPr>
            </w:pPr>
          </w:p>
        </w:tc>
        <w:tc>
          <w:tcPr>
            <w:tcW w:w="851" w:type="dxa"/>
            <w:tcBorders>
              <w:top w:val="single" w:sz="2" w:space="0" w:color="3D7FE0" w:themeColor="accent1"/>
            </w:tcBorders>
          </w:tcPr>
          <w:p w14:paraId="383A6857" w14:textId="3A2842DB"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(53.7)</w:t>
            </w:r>
          </w:p>
        </w:tc>
        <w:tc>
          <w:tcPr>
            <w:tcW w:w="992" w:type="dxa"/>
            <w:tcBorders>
              <w:top w:val="single" w:sz="2" w:space="0" w:color="3D7FE0" w:themeColor="accent1"/>
            </w:tcBorders>
          </w:tcPr>
          <w:p w14:paraId="33C1A826" w14:textId="63DDDB0B"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(35.7)</w:t>
            </w:r>
          </w:p>
        </w:tc>
        <w:tc>
          <w:tcPr>
            <w:tcW w:w="907" w:type="dxa"/>
            <w:tcBorders>
              <w:top w:val="single" w:sz="2" w:space="0" w:color="3D7FE0" w:themeColor="accent1"/>
            </w:tcBorders>
          </w:tcPr>
          <w:p w14:paraId="275C8BC7" w14:textId="2FEB90C0"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11.6</w:t>
            </w:r>
          </w:p>
        </w:tc>
        <w:tc>
          <w:tcPr>
            <w:tcW w:w="830" w:type="dxa"/>
            <w:tcBorders>
              <w:top w:val="single" w:sz="2" w:space="0" w:color="3D7FE0" w:themeColor="accent1"/>
            </w:tcBorders>
            <w:tcMar>
              <w:left w:w="0" w:type="dxa"/>
              <w:right w:w="0" w:type="dxa"/>
            </w:tcMar>
          </w:tcPr>
          <w:p w14:paraId="246B2032" w14:textId="1EECB35E"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1.1</w:t>
            </w:r>
          </w:p>
        </w:tc>
        <w:tc>
          <w:tcPr>
            <w:tcW w:w="830" w:type="dxa"/>
            <w:tcBorders>
              <w:top w:val="single" w:sz="2" w:space="0" w:color="3D7FE0" w:themeColor="accent1"/>
            </w:tcBorders>
            <w:tcMar>
              <w:left w:w="0" w:type="dxa"/>
              <w:right w:w="0" w:type="dxa"/>
            </w:tcMar>
          </w:tcPr>
          <w:p w14:paraId="3CBEDBE8" w14:textId="057E3BBA"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(122.0)</w:t>
            </w:r>
          </w:p>
        </w:tc>
        <w:tc>
          <w:tcPr>
            <w:tcW w:w="830" w:type="dxa"/>
            <w:tcBorders>
              <w:top w:val="single" w:sz="2" w:space="0" w:color="3D7FE0" w:themeColor="accent1"/>
            </w:tcBorders>
            <w:tcMar>
              <w:left w:w="0" w:type="dxa"/>
              <w:right w:w="0" w:type="dxa"/>
            </w:tcMar>
          </w:tcPr>
          <w:p w14:paraId="01072089" w14:textId="6D46DDC3"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(41.2)</w:t>
            </w:r>
          </w:p>
        </w:tc>
      </w:tr>
      <w:tr w:rsidR="00452848" w:rsidRPr="00895810" w14:paraId="4DC339E2" w14:textId="77777777" w:rsidTr="00024B10">
        <w:trPr>
          <w:trHeight w:hRule="exact" w:val="255"/>
        </w:trPr>
        <w:tc>
          <w:tcPr>
            <w:tcW w:w="4195" w:type="dxa"/>
            <w:tcBorders>
              <w:bottom w:val="single" w:sz="2" w:space="0" w:color="3D7FE0" w:themeColor="accent1"/>
            </w:tcBorders>
            <w:tcMar>
              <w:left w:w="0" w:type="dxa"/>
              <w:right w:w="0" w:type="dxa"/>
            </w:tcMar>
            <w:vAlign w:val="bottom"/>
          </w:tcPr>
          <w:p w14:paraId="2E4695D1" w14:textId="77777777" w:rsidR="00452848" w:rsidRPr="00895810" w:rsidRDefault="00452848" w:rsidP="00543AD4">
            <w:pPr>
              <w:pStyle w:val="TableFiguresBrackets"/>
              <w:jc w:val="left"/>
              <w:rPr>
                <w:rFonts w:ascii="IBM Plex Sans Light" w:hAnsi="IBM Plex Sans Light"/>
                <w:bCs/>
                <w:color w:val="auto"/>
                <w:spacing w:val="-4"/>
                <w:sz w:val="18"/>
                <w:szCs w:val="18"/>
              </w:rPr>
            </w:pPr>
            <w:r w:rsidRPr="00895810">
              <w:rPr>
                <w:rFonts w:ascii="IBM Plex Sans Light" w:hAnsi="IBM Plex Sans Light"/>
                <w:spacing w:val="-4"/>
                <w:sz w:val="18"/>
                <w:szCs w:val="18"/>
              </w:rPr>
              <w:t>Tax charge</w:t>
            </w:r>
          </w:p>
        </w:tc>
        <w:tc>
          <w:tcPr>
            <w:tcW w:w="477" w:type="dxa"/>
            <w:tcBorders>
              <w:bottom w:val="single" w:sz="2" w:space="0" w:color="3D7FE0" w:themeColor="accent1"/>
            </w:tcBorders>
          </w:tcPr>
          <w:p w14:paraId="57B25F95" w14:textId="7B2EF66B" w:rsidR="00452848" w:rsidRPr="00895810" w:rsidRDefault="00452848" w:rsidP="00543AD4">
            <w:pPr>
              <w:pStyle w:val="TableFigures"/>
              <w:rPr>
                <w:rFonts w:ascii="IBM Plex Sans Light" w:hAnsi="IBM Plex Sans Light"/>
                <w:color w:val="auto"/>
                <w:spacing w:val="-4"/>
                <w:sz w:val="18"/>
                <w:szCs w:val="18"/>
              </w:rPr>
            </w:pPr>
          </w:p>
        </w:tc>
        <w:tc>
          <w:tcPr>
            <w:tcW w:w="851" w:type="dxa"/>
            <w:tcBorders>
              <w:bottom w:val="single" w:sz="2" w:space="0" w:color="3D7FE0" w:themeColor="accent1"/>
            </w:tcBorders>
          </w:tcPr>
          <w:p w14:paraId="7109BEA4" w14:textId="074EC0C2" w:rsidR="00452848" w:rsidRPr="001710E5" w:rsidRDefault="00452848" w:rsidP="00543AD4">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(0.5)</w:t>
            </w:r>
          </w:p>
        </w:tc>
        <w:tc>
          <w:tcPr>
            <w:tcW w:w="992" w:type="dxa"/>
            <w:tcBorders>
              <w:bottom w:val="single" w:sz="2" w:space="0" w:color="3D7FE0" w:themeColor="accent1"/>
            </w:tcBorders>
          </w:tcPr>
          <w:p w14:paraId="1DE38421" w14:textId="1D1CFB70" w:rsidR="00452848" w:rsidRPr="00895810" w:rsidRDefault="00452848" w:rsidP="00543AD4">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07" w:type="dxa"/>
            <w:tcBorders>
              <w:bottom w:val="single" w:sz="2" w:space="0" w:color="3D7FE0" w:themeColor="accent1"/>
            </w:tcBorders>
          </w:tcPr>
          <w:p w14:paraId="3C50A4DB" w14:textId="743BB545" w:rsidR="00452848" w:rsidRPr="00895810" w:rsidRDefault="00452848" w:rsidP="00543AD4">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830" w:type="dxa"/>
            <w:tcBorders>
              <w:bottom w:val="single" w:sz="2" w:space="0" w:color="3D7FE0" w:themeColor="accent1"/>
            </w:tcBorders>
            <w:tcMar>
              <w:left w:w="0" w:type="dxa"/>
              <w:right w:w="0" w:type="dxa"/>
            </w:tcMar>
          </w:tcPr>
          <w:p w14:paraId="7CD1283E" w14:textId="4BD5A2A0" w:rsidR="00452848" w:rsidRPr="00895810" w:rsidRDefault="00452848" w:rsidP="00543AD4">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830" w:type="dxa"/>
            <w:tcBorders>
              <w:bottom w:val="single" w:sz="2" w:space="0" w:color="3D7FE0" w:themeColor="accent1"/>
            </w:tcBorders>
            <w:tcMar>
              <w:left w:w="0" w:type="dxa"/>
              <w:right w:w="0" w:type="dxa"/>
            </w:tcMar>
          </w:tcPr>
          <w:p w14:paraId="7F01C5AF" w14:textId="0E5AA401" w:rsidR="00452848" w:rsidRPr="001710E5" w:rsidRDefault="00452848" w:rsidP="00543AD4">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(0.5)</w:t>
            </w:r>
          </w:p>
        </w:tc>
        <w:tc>
          <w:tcPr>
            <w:tcW w:w="830" w:type="dxa"/>
            <w:tcBorders>
              <w:bottom w:val="single" w:sz="2" w:space="0" w:color="3D7FE0" w:themeColor="accent1"/>
            </w:tcBorders>
            <w:tcMar>
              <w:left w:w="0" w:type="dxa"/>
              <w:right w:w="0" w:type="dxa"/>
            </w:tcMar>
          </w:tcPr>
          <w:p w14:paraId="0209D1D3" w14:textId="3CE745EB" w:rsidR="00452848" w:rsidRPr="001710E5" w:rsidRDefault="00452848" w:rsidP="00543AD4">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ab/>
              <w:t>(0.3)</w:t>
            </w:r>
          </w:p>
        </w:tc>
      </w:tr>
      <w:tr w:rsidR="00452848" w:rsidRPr="00895810" w14:paraId="5AB7D79B" w14:textId="77777777" w:rsidTr="00024B10">
        <w:trPr>
          <w:trHeight w:hRule="exact" w:val="283"/>
        </w:trPr>
        <w:tc>
          <w:tcPr>
            <w:tcW w:w="4195" w:type="dxa"/>
            <w:tcBorders>
              <w:top w:val="single" w:sz="2" w:space="0" w:color="3D7FE0" w:themeColor="accent1"/>
              <w:bottom w:val="single" w:sz="8" w:space="0" w:color="3D7FE0" w:themeColor="accent1"/>
            </w:tcBorders>
            <w:tcMar>
              <w:left w:w="0" w:type="dxa"/>
              <w:right w:w="0" w:type="dxa"/>
            </w:tcMar>
            <w:vAlign w:val="bottom"/>
          </w:tcPr>
          <w:p w14:paraId="073E6273" w14:textId="1370576E" w:rsidR="00452848" w:rsidRPr="00895810" w:rsidRDefault="00452848" w:rsidP="001710E5">
            <w:pPr>
              <w:pStyle w:val="TableFiguresBrackets"/>
              <w:jc w:val="left"/>
              <w:rPr>
                <w:rFonts w:ascii="IBM Plex Sans Light" w:hAnsi="IBM Plex Sans Light" w:cs="MyriadPro-Light"/>
                <w:b/>
                <w:color w:val="auto"/>
                <w:spacing w:val="-4"/>
                <w:sz w:val="18"/>
                <w:szCs w:val="18"/>
              </w:rPr>
            </w:pPr>
            <w:r>
              <w:rPr>
                <w:rFonts w:ascii="IBM Plex Sans Light" w:hAnsi="IBM Plex Sans Light"/>
                <w:b/>
                <w:color w:val="auto"/>
                <w:sz w:val="18"/>
                <w:szCs w:val="18"/>
              </w:rPr>
              <w:t>(Loss)/p</w:t>
            </w:r>
            <w:r w:rsidRPr="00895810">
              <w:rPr>
                <w:rFonts w:ascii="IBM Plex Sans Light" w:hAnsi="IBM Plex Sans Light"/>
                <w:b/>
                <w:color w:val="auto"/>
                <w:sz w:val="18"/>
                <w:szCs w:val="18"/>
              </w:rPr>
              <w:t>rofit for the year</w:t>
            </w:r>
          </w:p>
        </w:tc>
        <w:tc>
          <w:tcPr>
            <w:tcW w:w="477" w:type="dxa"/>
            <w:tcBorders>
              <w:top w:val="single" w:sz="2" w:space="0" w:color="3D7FE0" w:themeColor="accent1"/>
              <w:bottom w:val="single" w:sz="8" w:space="0" w:color="3D7FE0" w:themeColor="accent1"/>
            </w:tcBorders>
            <w:vAlign w:val="bottom"/>
          </w:tcPr>
          <w:p w14:paraId="37710BF0" w14:textId="2EEC6F9B" w:rsidR="00452848" w:rsidRPr="00895810" w:rsidRDefault="00452848" w:rsidP="001710E5">
            <w:pPr>
              <w:pStyle w:val="TableFiguresBracketsBold"/>
              <w:rPr>
                <w:rFonts w:ascii="IBM Plex Sans Light" w:hAnsi="IBM Plex Sans Light"/>
                <w:b w:val="0"/>
                <w:color w:val="auto"/>
                <w:spacing w:val="-4"/>
                <w:sz w:val="18"/>
                <w:szCs w:val="18"/>
              </w:rPr>
            </w:pPr>
          </w:p>
        </w:tc>
        <w:tc>
          <w:tcPr>
            <w:tcW w:w="851" w:type="dxa"/>
            <w:tcBorders>
              <w:top w:val="single" w:sz="2" w:space="0" w:color="3D7FE0" w:themeColor="accent1"/>
              <w:bottom w:val="single" w:sz="8" w:space="0" w:color="3D7FE0" w:themeColor="accent1"/>
            </w:tcBorders>
          </w:tcPr>
          <w:p w14:paraId="06E3D307" w14:textId="62E24790"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(54.2)</w:t>
            </w:r>
          </w:p>
        </w:tc>
        <w:tc>
          <w:tcPr>
            <w:tcW w:w="992" w:type="dxa"/>
            <w:tcBorders>
              <w:top w:val="single" w:sz="2" w:space="0" w:color="3D7FE0" w:themeColor="accent1"/>
              <w:bottom w:val="single" w:sz="8" w:space="0" w:color="3D7FE0" w:themeColor="accent1"/>
            </w:tcBorders>
          </w:tcPr>
          <w:p w14:paraId="6D23690A" w14:textId="3DC6C14C"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(35.7)</w:t>
            </w:r>
          </w:p>
        </w:tc>
        <w:tc>
          <w:tcPr>
            <w:tcW w:w="907" w:type="dxa"/>
            <w:tcBorders>
              <w:top w:val="single" w:sz="2" w:space="0" w:color="3D7FE0" w:themeColor="accent1"/>
              <w:bottom w:val="single" w:sz="8" w:space="0" w:color="3D7FE0" w:themeColor="accent1"/>
            </w:tcBorders>
          </w:tcPr>
          <w:p w14:paraId="02819900" w14:textId="48AFDD82" w:rsidR="00452848" w:rsidRPr="001710E5"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11.6</w:t>
            </w:r>
          </w:p>
        </w:tc>
        <w:tc>
          <w:tcPr>
            <w:tcW w:w="830" w:type="dxa"/>
            <w:tcBorders>
              <w:top w:val="single" w:sz="2" w:space="0" w:color="3D7FE0" w:themeColor="accent1"/>
              <w:bottom w:val="single" w:sz="8" w:space="0" w:color="3D7FE0" w:themeColor="accent1"/>
            </w:tcBorders>
            <w:tcMar>
              <w:left w:w="0" w:type="dxa"/>
              <w:right w:w="0" w:type="dxa"/>
            </w:tcMar>
          </w:tcPr>
          <w:p w14:paraId="40D74BEC" w14:textId="0FD48AE4"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1.1</w:t>
            </w:r>
          </w:p>
        </w:tc>
        <w:tc>
          <w:tcPr>
            <w:tcW w:w="830" w:type="dxa"/>
            <w:tcBorders>
              <w:top w:val="single" w:sz="2" w:space="0" w:color="3D7FE0" w:themeColor="accent1"/>
              <w:bottom w:val="single" w:sz="8" w:space="0" w:color="3D7FE0" w:themeColor="accent1"/>
            </w:tcBorders>
            <w:tcMar>
              <w:left w:w="0" w:type="dxa"/>
              <w:right w:w="0" w:type="dxa"/>
            </w:tcMar>
          </w:tcPr>
          <w:p w14:paraId="1E887C0C" w14:textId="3F4E1111"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(122.5)</w:t>
            </w:r>
          </w:p>
        </w:tc>
        <w:tc>
          <w:tcPr>
            <w:tcW w:w="830" w:type="dxa"/>
            <w:tcBorders>
              <w:top w:val="single" w:sz="2" w:space="0" w:color="3D7FE0" w:themeColor="accent1"/>
              <w:bottom w:val="single" w:sz="8" w:space="0" w:color="3D7FE0" w:themeColor="accent1"/>
            </w:tcBorders>
            <w:tcMar>
              <w:left w:w="0" w:type="dxa"/>
              <w:right w:w="0" w:type="dxa"/>
            </w:tcMar>
          </w:tcPr>
          <w:p w14:paraId="750BA4A2" w14:textId="282CE813" w:rsidR="00452848" w:rsidRPr="001710E5" w:rsidRDefault="00452848" w:rsidP="001710E5">
            <w:pPr>
              <w:pStyle w:val="TableFiguresBracketsBold"/>
              <w:rPr>
                <w:rFonts w:ascii="IBM Plex Sans Light" w:hAnsi="IBM Plex Sans Light"/>
                <w:b w:val="0"/>
                <w:color w:val="auto"/>
                <w:spacing w:val="-4"/>
                <w:sz w:val="18"/>
                <w:szCs w:val="18"/>
              </w:rPr>
            </w:pPr>
            <w:r w:rsidRPr="001710E5">
              <w:rPr>
                <w:rFonts w:ascii="IBM Plex Sans Light" w:hAnsi="IBM Plex Sans Light"/>
                <w:b w:val="0"/>
                <w:color w:val="auto"/>
                <w:spacing w:val="-4"/>
                <w:sz w:val="18"/>
                <w:szCs w:val="18"/>
              </w:rPr>
              <w:t>(41.5)</w:t>
            </w:r>
          </w:p>
        </w:tc>
      </w:tr>
      <w:tr w:rsidR="00452848" w:rsidRPr="00895810" w14:paraId="792232BA" w14:textId="77777777" w:rsidTr="00024B10">
        <w:trPr>
          <w:trHeight w:hRule="exact" w:val="283"/>
        </w:trPr>
        <w:tc>
          <w:tcPr>
            <w:tcW w:w="4195" w:type="dxa"/>
            <w:tcBorders>
              <w:top w:val="single" w:sz="8" w:space="0" w:color="3D7FE0" w:themeColor="accent1"/>
              <w:bottom w:val="single" w:sz="8" w:space="0" w:color="3D7FE0" w:themeColor="accent1"/>
            </w:tcBorders>
            <w:tcMar>
              <w:left w:w="0" w:type="dxa"/>
              <w:right w:w="0" w:type="dxa"/>
            </w:tcMar>
            <w:vAlign w:val="bottom"/>
          </w:tcPr>
          <w:p w14:paraId="773D63AC" w14:textId="77777777" w:rsidR="00452848" w:rsidRPr="00895810" w:rsidRDefault="00452848" w:rsidP="001710E5">
            <w:pPr>
              <w:pStyle w:val="TableFiguresBrackets"/>
              <w:jc w:val="left"/>
              <w:rPr>
                <w:rFonts w:ascii="IBM Plex Sans Light" w:hAnsi="IBM Plex Sans Light"/>
                <w:b/>
                <w:color w:val="auto"/>
                <w:sz w:val="18"/>
                <w:szCs w:val="18"/>
              </w:rPr>
            </w:pPr>
            <w:r w:rsidRPr="00895810">
              <w:rPr>
                <w:rFonts w:ascii="IBM Plex Sans Light" w:hAnsi="IBM Plex Sans Light"/>
                <w:b/>
                <w:color w:val="auto"/>
                <w:sz w:val="18"/>
                <w:szCs w:val="18"/>
              </w:rPr>
              <w:t>Share of distributions received by the Group</w:t>
            </w:r>
          </w:p>
        </w:tc>
        <w:tc>
          <w:tcPr>
            <w:tcW w:w="477" w:type="dxa"/>
            <w:tcBorders>
              <w:top w:val="single" w:sz="8" w:space="0" w:color="3D7FE0" w:themeColor="accent1"/>
              <w:bottom w:val="single" w:sz="8" w:space="0" w:color="3D7FE0" w:themeColor="accent1"/>
            </w:tcBorders>
            <w:vAlign w:val="bottom"/>
          </w:tcPr>
          <w:p w14:paraId="313DD423" w14:textId="3F825384" w:rsidR="00452848" w:rsidRPr="00895810" w:rsidRDefault="00452848" w:rsidP="001710E5">
            <w:pPr>
              <w:pStyle w:val="TableFigures"/>
              <w:rPr>
                <w:rFonts w:ascii="IBM Plex Sans Light" w:hAnsi="IBM Plex Sans Light"/>
                <w:color w:val="auto"/>
                <w:spacing w:val="-4"/>
                <w:sz w:val="18"/>
                <w:szCs w:val="18"/>
              </w:rPr>
            </w:pPr>
          </w:p>
        </w:tc>
        <w:tc>
          <w:tcPr>
            <w:tcW w:w="851" w:type="dxa"/>
            <w:tcBorders>
              <w:top w:val="single" w:sz="8" w:space="0" w:color="3D7FE0" w:themeColor="accent1"/>
              <w:bottom w:val="single" w:sz="8" w:space="0" w:color="3D7FE0" w:themeColor="accent1"/>
            </w:tcBorders>
          </w:tcPr>
          <w:p w14:paraId="2C001CDB" w14:textId="3E2637B0"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92" w:type="dxa"/>
            <w:tcBorders>
              <w:top w:val="single" w:sz="8" w:space="0" w:color="3D7FE0" w:themeColor="accent1"/>
              <w:bottom w:val="single" w:sz="8" w:space="0" w:color="3D7FE0" w:themeColor="accent1"/>
            </w:tcBorders>
          </w:tcPr>
          <w:p w14:paraId="1B5FC4BE" w14:textId="543AC1F5"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07" w:type="dxa"/>
            <w:tcBorders>
              <w:top w:val="single" w:sz="8" w:space="0" w:color="3D7FE0" w:themeColor="accent1"/>
              <w:bottom w:val="single" w:sz="8" w:space="0" w:color="3D7FE0" w:themeColor="accent1"/>
            </w:tcBorders>
          </w:tcPr>
          <w:p w14:paraId="440B75EE" w14:textId="5C82C2BB"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2.6</w:t>
            </w:r>
          </w:p>
        </w:tc>
        <w:tc>
          <w:tcPr>
            <w:tcW w:w="830" w:type="dxa"/>
            <w:tcBorders>
              <w:top w:val="single" w:sz="8" w:space="0" w:color="3D7FE0" w:themeColor="accent1"/>
              <w:bottom w:val="single" w:sz="8" w:space="0" w:color="3D7FE0" w:themeColor="accent1"/>
            </w:tcBorders>
            <w:tcMar>
              <w:left w:w="0" w:type="dxa"/>
              <w:right w:w="0" w:type="dxa"/>
            </w:tcMar>
          </w:tcPr>
          <w:p w14:paraId="06B7FB30" w14:textId="74804CE9"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830" w:type="dxa"/>
            <w:tcBorders>
              <w:top w:val="single" w:sz="8" w:space="0" w:color="3D7FE0" w:themeColor="accent1"/>
              <w:bottom w:val="single" w:sz="8" w:space="0" w:color="3D7FE0" w:themeColor="accent1"/>
            </w:tcBorders>
            <w:tcMar>
              <w:left w:w="0" w:type="dxa"/>
              <w:right w:w="0" w:type="dxa"/>
            </w:tcMar>
          </w:tcPr>
          <w:p w14:paraId="5B2C1E1A" w14:textId="78EA7576"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63.4</w:t>
            </w:r>
          </w:p>
        </w:tc>
        <w:tc>
          <w:tcPr>
            <w:tcW w:w="830" w:type="dxa"/>
            <w:tcBorders>
              <w:top w:val="single" w:sz="8" w:space="0" w:color="3D7FE0" w:themeColor="accent1"/>
              <w:bottom w:val="single" w:sz="8" w:space="0" w:color="3D7FE0" w:themeColor="accent1"/>
            </w:tcBorders>
            <w:tcMar>
              <w:left w:w="0" w:type="dxa"/>
              <w:right w:w="0" w:type="dxa"/>
            </w:tcMar>
          </w:tcPr>
          <w:p w14:paraId="468BB817" w14:textId="0E9C7F28" w:rsidR="00452848" w:rsidRPr="00895810" w:rsidRDefault="00452848" w:rsidP="001710E5">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63.4</w:t>
            </w:r>
          </w:p>
        </w:tc>
      </w:tr>
    </w:tbl>
    <w:p w14:paraId="59D73FC8" w14:textId="77777777" w:rsidR="0008424D" w:rsidRPr="00895810" w:rsidRDefault="0008424D" w:rsidP="0008424D">
      <w:pPr>
        <w:spacing w:after="0" w:line="240" w:lineRule="auto"/>
        <w:rPr>
          <w:rFonts w:ascii="IBM Plex Sans Light" w:hAnsi="IBM Plex Sans Light"/>
        </w:rPr>
      </w:pPr>
      <w:r w:rsidRPr="00895810">
        <w:rPr>
          <w:rFonts w:ascii="IBM Plex Sans Light" w:hAnsi="IBM Plex Sans Light"/>
        </w:rPr>
        <w:t xml:space="preserve"> </w:t>
      </w:r>
    </w:p>
    <w:p w14:paraId="31B6B9C4" w14:textId="77777777" w:rsidR="0008424D" w:rsidRPr="00895810" w:rsidRDefault="0008424D" w:rsidP="0008424D">
      <w:pPr>
        <w:pStyle w:val="Heading2SpaceBefore"/>
        <w:tabs>
          <w:tab w:val="clear" w:pos="340"/>
          <w:tab w:val="left" w:pos="284"/>
        </w:tabs>
        <w:spacing w:before="0"/>
        <w:rPr>
          <w:rFonts w:ascii="IBM Plex Sans Light" w:hAnsi="IBM Plex Sans Light"/>
          <w:color w:val="3D7FE0" w:themeColor="accent1"/>
        </w:rPr>
      </w:pPr>
    </w:p>
    <w:tbl>
      <w:tblPr>
        <w:tblW w:w="9923" w:type="dxa"/>
        <w:tblLayout w:type="fixed"/>
        <w:tblLook w:val="01E0" w:firstRow="1" w:lastRow="1" w:firstColumn="1" w:lastColumn="1" w:noHBand="0" w:noVBand="0"/>
      </w:tblPr>
      <w:tblGrid>
        <w:gridCol w:w="4253"/>
        <w:gridCol w:w="425"/>
        <w:gridCol w:w="851"/>
        <w:gridCol w:w="992"/>
        <w:gridCol w:w="850"/>
        <w:gridCol w:w="851"/>
        <w:gridCol w:w="850"/>
        <w:gridCol w:w="851"/>
      </w:tblGrid>
      <w:tr w:rsidR="005B0D3D" w:rsidRPr="00895810" w14:paraId="1EBDE2CA" w14:textId="77777777" w:rsidTr="00024B10">
        <w:trPr>
          <w:trHeight w:val="97"/>
        </w:trPr>
        <w:tc>
          <w:tcPr>
            <w:tcW w:w="4253" w:type="dxa"/>
            <w:tcBorders>
              <w:bottom w:val="single" w:sz="4" w:space="0" w:color="3D7FE0" w:themeColor="accent1"/>
            </w:tcBorders>
            <w:tcMar>
              <w:left w:w="0" w:type="dxa"/>
              <w:bottom w:w="57" w:type="dxa"/>
              <w:right w:w="0" w:type="dxa"/>
            </w:tcMar>
            <w:vAlign w:val="bottom"/>
          </w:tcPr>
          <w:p w14:paraId="4FEF26CA" w14:textId="77777777" w:rsidR="005B0D3D" w:rsidRPr="00895810" w:rsidRDefault="005B0D3D" w:rsidP="003F2C4C">
            <w:pPr>
              <w:pStyle w:val="TableColHeadsBold"/>
              <w:ind w:right="0"/>
              <w:rPr>
                <w:rFonts w:ascii="IBM Plex Sans Light" w:hAnsi="IBM Plex Sans Light"/>
                <w:color w:val="3D7FE0" w:themeColor="accent1"/>
              </w:rPr>
            </w:pPr>
          </w:p>
        </w:tc>
        <w:tc>
          <w:tcPr>
            <w:tcW w:w="425" w:type="dxa"/>
            <w:tcBorders>
              <w:bottom w:val="single" w:sz="4" w:space="0" w:color="3D7FE0" w:themeColor="accent1"/>
            </w:tcBorders>
            <w:vAlign w:val="bottom"/>
          </w:tcPr>
          <w:p w14:paraId="34B6645C" w14:textId="77777777" w:rsidR="005B0D3D" w:rsidRPr="00895810" w:rsidRDefault="005B0D3D" w:rsidP="001B3A6A">
            <w:pPr>
              <w:pStyle w:val="TableColHeadsBold"/>
              <w:ind w:left="-105" w:right="0"/>
              <w:rPr>
                <w:rFonts w:ascii="IBM Plex Sans Light" w:hAnsi="IBM Plex Sans Light"/>
                <w:color w:val="3D7FE0" w:themeColor="accent1"/>
                <w:sz w:val="16"/>
                <w:szCs w:val="16"/>
              </w:rPr>
            </w:pPr>
          </w:p>
        </w:tc>
        <w:tc>
          <w:tcPr>
            <w:tcW w:w="851" w:type="dxa"/>
            <w:tcBorders>
              <w:bottom w:val="single" w:sz="4" w:space="0" w:color="3D7FE0" w:themeColor="accent1"/>
            </w:tcBorders>
            <w:vAlign w:val="bottom"/>
          </w:tcPr>
          <w:p w14:paraId="5434DAA3" w14:textId="77777777" w:rsidR="005B0D3D" w:rsidRPr="00895810" w:rsidRDefault="005B0D3D" w:rsidP="003F2C4C">
            <w:pPr>
              <w:pStyle w:val="TableColHeadsBold"/>
              <w:ind w:right="0"/>
              <w:rPr>
                <w:rFonts w:ascii="IBM Plex Sans Light" w:hAnsi="IBM Plex Sans Light"/>
                <w:color w:val="3D7FE0" w:themeColor="accent1"/>
              </w:rPr>
            </w:pPr>
          </w:p>
        </w:tc>
        <w:tc>
          <w:tcPr>
            <w:tcW w:w="992" w:type="dxa"/>
            <w:tcBorders>
              <w:bottom w:val="single" w:sz="4" w:space="0" w:color="3D7FE0" w:themeColor="accent1"/>
            </w:tcBorders>
            <w:vAlign w:val="bottom"/>
          </w:tcPr>
          <w:p w14:paraId="0AB4886B" w14:textId="77777777" w:rsidR="005B0D3D" w:rsidRPr="00895810" w:rsidRDefault="005B0D3D" w:rsidP="003F2C4C">
            <w:pPr>
              <w:pStyle w:val="TableColHeadsBold"/>
              <w:ind w:right="0"/>
              <w:rPr>
                <w:rFonts w:ascii="IBM Plex Sans Light" w:hAnsi="IBM Plex Sans Light"/>
                <w:color w:val="3D7FE0" w:themeColor="accent1"/>
              </w:rPr>
            </w:pPr>
          </w:p>
        </w:tc>
        <w:tc>
          <w:tcPr>
            <w:tcW w:w="850" w:type="dxa"/>
            <w:tcBorders>
              <w:bottom w:val="single" w:sz="4" w:space="0" w:color="3D7FE0" w:themeColor="accent1"/>
            </w:tcBorders>
            <w:vAlign w:val="bottom"/>
          </w:tcPr>
          <w:p w14:paraId="4AE2253F" w14:textId="77777777" w:rsidR="005B0D3D" w:rsidRPr="00895810" w:rsidRDefault="005B0D3D" w:rsidP="003F2C4C">
            <w:pPr>
              <w:pStyle w:val="TableColHeadsBold"/>
              <w:ind w:right="0"/>
              <w:rPr>
                <w:rFonts w:ascii="IBM Plex Sans Light" w:hAnsi="IBM Plex Sans Light"/>
                <w:color w:val="3D7FE0" w:themeColor="accent1"/>
              </w:rPr>
            </w:pPr>
          </w:p>
        </w:tc>
        <w:tc>
          <w:tcPr>
            <w:tcW w:w="851" w:type="dxa"/>
            <w:tcBorders>
              <w:bottom w:val="single" w:sz="4" w:space="0" w:color="3D7FE0" w:themeColor="accent1"/>
            </w:tcBorders>
            <w:vAlign w:val="bottom"/>
          </w:tcPr>
          <w:p w14:paraId="60BBBA73" w14:textId="77777777" w:rsidR="005B0D3D" w:rsidRPr="00895810" w:rsidRDefault="005B0D3D" w:rsidP="003F2C4C">
            <w:pPr>
              <w:pStyle w:val="TableColHeadsBold"/>
              <w:ind w:right="0"/>
              <w:rPr>
                <w:rFonts w:ascii="IBM Plex Sans Light" w:hAnsi="IBM Plex Sans Light"/>
                <w:color w:val="3D7FE0" w:themeColor="accent1"/>
              </w:rPr>
            </w:pPr>
          </w:p>
        </w:tc>
        <w:tc>
          <w:tcPr>
            <w:tcW w:w="850" w:type="dxa"/>
            <w:tcBorders>
              <w:bottom w:val="single" w:sz="4" w:space="0" w:color="3D7FE0" w:themeColor="accent1"/>
            </w:tcBorders>
            <w:tcMar>
              <w:left w:w="0" w:type="dxa"/>
              <w:bottom w:w="57" w:type="dxa"/>
              <w:right w:w="0" w:type="dxa"/>
            </w:tcMar>
            <w:vAlign w:val="bottom"/>
          </w:tcPr>
          <w:p w14:paraId="1CECC271" w14:textId="77777777" w:rsidR="005B0D3D" w:rsidRPr="00895810" w:rsidRDefault="005B0D3D" w:rsidP="003F2C4C">
            <w:pPr>
              <w:pStyle w:val="TableColHeadsBold"/>
              <w:rPr>
                <w:rFonts w:ascii="IBM Plex Sans Light" w:hAnsi="IBM Plex Sans Light"/>
                <w:b w:val="0"/>
              </w:rPr>
            </w:pPr>
          </w:p>
        </w:tc>
        <w:tc>
          <w:tcPr>
            <w:tcW w:w="851" w:type="dxa"/>
            <w:tcBorders>
              <w:bottom w:val="single" w:sz="4" w:space="0" w:color="3D7FE0" w:themeColor="accent1"/>
            </w:tcBorders>
            <w:vAlign w:val="bottom"/>
          </w:tcPr>
          <w:p w14:paraId="41EC3BC6" w14:textId="1A5A52B0" w:rsidR="005B0D3D" w:rsidRPr="00895810" w:rsidRDefault="005B0D3D" w:rsidP="003F2C4C">
            <w:pPr>
              <w:pStyle w:val="TableColHeadsBold"/>
              <w:ind w:left="-106" w:right="0"/>
              <w:rPr>
                <w:rFonts w:ascii="IBM Plex Sans Light" w:hAnsi="IBM Plex Sans Light"/>
                <w:b w:val="0"/>
              </w:rPr>
            </w:pPr>
            <w:r>
              <w:rPr>
                <w:rFonts w:ascii="IBM Plex Sans Light" w:hAnsi="IBM Plex Sans Light"/>
              </w:rPr>
              <w:t>2022</w:t>
            </w:r>
          </w:p>
        </w:tc>
      </w:tr>
      <w:tr w:rsidR="005B0D3D" w:rsidRPr="00895810" w14:paraId="4C6FDEEC" w14:textId="77777777" w:rsidTr="00024B10">
        <w:trPr>
          <w:trHeight w:val="72"/>
        </w:trPr>
        <w:tc>
          <w:tcPr>
            <w:tcW w:w="4253" w:type="dxa"/>
            <w:tcBorders>
              <w:top w:val="single" w:sz="4" w:space="0" w:color="3D7FE0" w:themeColor="accent1"/>
            </w:tcBorders>
            <w:tcMar>
              <w:left w:w="0" w:type="dxa"/>
              <w:bottom w:w="57" w:type="dxa"/>
              <w:right w:w="0" w:type="dxa"/>
            </w:tcMar>
            <w:vAlign w:val="bottom"/>
          </w:tcPr>
          <w:p w14:paraId="1A67B0F6" w14:textId="77777777" w:rsidR="005B0D3D" w:rsidRPr="00895810" w:rsidRDefault="005B0D3D" w:rsidP="003F2C4C">
            <w:pPr>
              <w:pStyle w:val="TableColHeadsBold"/>
              <w:ind w:right="0"/>
              <w:rPr>
                <w:rFonts w:ascii="IBM Plex Sans Light" w:hAnsi="IBM Plex Sans Light"/>
                <w:color w:val="3D7FE0" w:themeColor="accent1"/>
              </w:rPr>
            </w:pPr>
          </w:p>
        </w:tc>
        <w:tc>
          <w:tcPr>
            <w:tcW w:w="425" w:type="dxa"/>
            <w:tcBorders>
              <w:top w:val="single" w:sz="4" w:space="0" w:color="3D7FE0" w:themeColor="accent1"/>
              <w:bottom w:val="single" w:sz="4" w:space="0" w:color="3D7FE0" w:themeColor="accent1"/>
            </w:tcBorders>
            <w:vAlign w:val="bottom"/>
          </w:tcPr>
          <w:p w14:paraId="4CA6E6CA" w14:textId="77777777" w:rsidR="005B0D3D" w:rsidRPr="00895810" w:rsidRDefault="005B0D3D" w:rsidP="001B3A6A">
            <w:pPr>
              <w:pStyle w:val="TableColHeadsBold"/>
              <w:ind w:left="-105" w:right="0"/>
              <w:rPr>
                <w:rFonts w:ascii="IBM Plex Sans Light" w:hAnsi="IBM Plex Sans Light"/>
                <w:color w:val="3D7FE0" w:themeColor="accent1"/>
                <w:sz w:val="16"/>
                <w:szCs w:val="16"/>
              </w:rPr>
            </w:pPr>
          </w:p>
        </w:tc>
        <w:tc>
          <w:tcPr>
            <w:tcW w:w="851" w:type="dxa"/>
            <w:tcBorders>
              <w:top w:val="single" w:sz="4" w:space="0" w:color="3D7FE0" w:themeColor="accent1"/>
              <w:bottom w:val="single" w:sz="4" w:space="0" w:color="3D7FE0" w:themeColor="accent1"/>
            </w:tcBorders>
            <w:vAlign w:val="bottom"/>
          </w:tcPr>
          <w:p w14:paraId="39F0BADC" w14:textId="77777777" w:rsidR="005B0D3D" w:rsidRPr="00895810" w:rsidRDefault="005B0D3D" w:rsidP="003F2C4C">
            <w:pPr>
              <w:pStyle w:val="TableColHeadsBold"/>
              <w:ind w:right="0"/>
              <w:rPr>
                <w:rFonts w:ascii="IBM Plex Sans Light" w:hAnsi="IBM Plex Sans Light"/>
              </w:rPr>
            </w:pPr>
          </w:p>
        </w:tc>
        <w:tc>
          <w:tcPr>
            <w:tcW w:w="992" w:type="dxa"/>
            <w:tcBorders>
              <w:top w:val="single" w:sz="4" w:space="0" w:color="3D7FE0" w:themeColor="accent1"/>
              <w:bottom w:val="single" w:sz="4" w:space="0" w:color="3D7FE0" w:themeColor="accent1"/>
            </w:tcBorders>
            <w:vAlign w:val="bottom"/>
          </w:tcPr>
          <w:p w14:paraId="633D5DD7" w14:textId="77777777" w:rsidR="005B0D3D" w:rsidRPr="00895810" w:rsidRDefault="005B0D3D" w:rsidP="003F2C4C">
            <w:pPr>
              <w:pStyle w:val="TableColHeadsBold"/>
              <w:ind w:right="0"/>
              <w:rPr>
                <w:rFonts w:ascii="IBM Plex Sans Light" w:hAnsi="IBM Plex Sans Light"/>
              </w:rPr>
            </w:pPr>
          </w:p>
        </w:tc>
        <w:tc>
          <w:tcPr>
            <w:tcW w:w="850" w:type="dxa"/>
            <w:tcBorders>
              <w:top w:val="single" w:sz="4" w:space="0" w:color="3D7FE0" w:themeColor="accent1"/>
              <w:bottom w:val="single" w:sz="4" w:space="0" w:color="3D7FE0" w:themeColor="accent1"/>
            </w:tcBorders>
            <w:vAlign w:val="bottom"/>
          </w:tcPr>
          <w:p w14:paraId="4445EBBA" w14:textId="77777777" w:rsidR="005B0D3D" w:rsidRPr="00895810" w:rsidRDefault="005B0D3D" w:rsidP="003F2C4C">
            <w:pPr>
              <w:pStyle w:val="TableColHeadsBold"/>
              <w:ind w:right="0"/>
              <w:rPr>
                <w:rFonts w:ascii="IBM Plex Sans Light" w:hAnsi="IBM Plex Sans Light"/>
              </w:rPr>
            </w:pPr>
          </w:p>
        </w:tc>
        <w:tc>
          <w:tcPr>
            <w:tcW w:w="851" w:type="dxa"/>
            <w:tcBorders>
              <w:top w:val="single" w:sz="4" w:space="0" w:color="3D7FE0" w:themeColor="accent1"/>
              <w:bottom w:val="single" w:sz="4" w:space="0" w:color="3D7FE0" w:themeColor="accent1"/>
            </w:tcBorders>
            <w:vAlign w:val="bottom"/>
          </w:tcPr>
          <w:p w14:paraId="49712A9E" w14:textId="77777777" w:rsidR="005B0D3D" w:rsidRPr="00895810" w:rsidRDefault="005B0D3D" w:rsidP="003F2C4C">
            <w:pPr>
              <w:pStyle w:val="TableColHeadsBold"/>
              <w:ind w:right="0"/>
              <w:rPr>
                <w:rFonts w:ascii="IBM Plex Sans Light" w:hAnsi="IBM Plex Sans Light"/>
              </w:rPr>
            </w:pPr>
          </w:p>
        </w:tc>
        <w:tc>
          <w:tcPr>
            <w:tcW w:w="850" w:type="dxa"/>
            <w:tcBorders>
              <w:top w:val="single" w:sz="4" w:space="0" w:color="3D7FE0" w:themeColor="accent1"/>
              <w:bottom w:val="single" w:sz="4" w:space="0" w:color="3D7FE0" w:themeColor="accent1"/>
            </w:tcBorders>
            <w:tcMar>
              <w:left w:w="0" w:type="dxa"/>
              <w:bottom w:w="57" w:type="dxa"/>
              <w:right w:w="0" w:type="dxa"/>
            </w:tcMar>
            <w:vAlign w:val="bottom"/>
          </w:tcPr>
          <w:p w14:paraId="157CC665" w14:textId="77777777" w:rsidR="005B0D3D" w:rsidRPr="00895810" w:rsidRDefault="005B0D3D" w:rsidP="003F2C4C">
            <w:pPr>
              <w:pStyle w:val="TableColHeadsBold"/>
              <w:rPr>
                <w:rFonts w:ascii="IBM Plex Sans Light" w:hAnsi="IBM Plex Sans Light"/>
              </w:rPr>
            </w:pPr>
            <w:r w:rsidRPr="00895810">
              <w:rPr>
                <w:rFonts w:ascii="IBM Plex Sans Light" w:hAnsi="IBM Plex Sans Light"/>
              </w:rPr>
              <w:t>100% share</w:t>
            </w:r>
          </w:p>
        </w:tc>
        <w:tc>
          <w:tcPr>
            <w:tcW w:w="851" w:type="dxa"/>
            <w:tcBorders>
              <w:top w:val="single" w:sz="4" w:space="0" w:color="3D7FE0" w:themeColor="accent1"/>
            </w:tcBorders>
            <w:vAlign w:val="bottom"/>
          </w:tcPr>
          <w:p w14:paraId="6ED3BFBE" w14:textId="77777777" w:rsidR="005B0D3D" w:rsidRPr="00895810" w:rsidRDefault="005B0D3D" w:rsidP="003F2C4C">
            <w:pPr>
              <w:pStyle w:val="TableColHeadsBold"/>
              <w:ind w:left="-106" w:right="0"/>
              <w:rPr>
                <w:rFonts w:ascii="IBM Plex Sans Light" w:hAnsi="IBM Plex Sans Light"/>
              </w:rPr>
            </w:pPr>
          </w:p>
        </w:tc>
      </w:tr>
      <w:tr w:rsidR="005B0D3D" w:rsidRPr="00895810" w14:paraId="10EC7439" w14:textId="77777777" w:rsidTr="00024B10">
        <w:trPr>
          <w:trHeight w:hRule="exact" w:val="340"/>
        </w:trPr>
        <w:tc>
          <w:tcPr>
            <w:tcW w:w="4253" w:type="dxa"/>
            <w:tcMar>
              <w:left w:w="0" w:type="dxa"/>
              <w:bottom w:w="57" w:type="dxa"/>
              <w:right w:w="0" w:type="dxa"/>
            </w:tcMar>
            <w:vAlign w:val="bottom"/>
          </w:tcPr>
          <w:p w14:paraId="3A819BDC" w14:textId="77777777" w:rsidR="005B0D3D" w:rsidRPr="00895810" w:rsidRDefault="005B0D3D" w:rsidP="009B0DC9">
            <w:pPr>
              <w:pStyle w:val="TableColHeadsBold"/>
              <w:spacing w:line="240" w:lineRule="auto"/>
              <w:ind w:right="0"/>
              <w:rPr>
                <w:rFonts w:ascii="IBM Plex Sans Light" w:hAnsi="IBM Plex Sans Light"/>
                <w:color w:val="3D7FE0" w:themeColor="accent1"/>
              </w:rPr>
            </w:pPr>
          </w:p>
        </w:tc>
        <w:tc>
          <w:tcPr>
            <w:tcW w:w="425" w:type="dxa"/>
            <w:tcBorders>
              <w:top w:val="single" w:sz="4" w:space="0" w:color="3D7FE0" w:themeColor="accent1"/>
            </w:tcBorders>
            <w:vAlign w:val="bottom"/>
          </w:tcPr>
          <w:p w14:paraId="626F0C58" w14:textId="6086DA37" w:rsidR="005B0D3D" w:rsidRPr="00895810" w:rsidRDefault="005B0D3D" w:rsidP="009B0DC9">
            <w:pPr>
              <w:pStyle w:val="TableColHeadsBold"/>
              <w:spacing w:line="240" w:lineRule="auto"/>
              <w:ind w:left="-105" w:right="0"/>
              <w:rPr>
                <w:rFonts w:ascii="IBM Plex Sans Light" w:hAnsi="IBM Plex Sans Light"/>
                <w:color w:val="3D7FE0" w:themeColor="accent1"/>
                <w:sz w:val="16"/>
                <w:szCs w:val="16"/>
              </w:rPr>
            </w:pPr>
          </w:p>
        </w:tc>
        <w:tc>
          <w:tcPr>
            <w:tcW w:w="851" w:type="dxa"/>
            <w:tcBorders>
              <w:top w:val="single" w:sz="4" w:space="0" w:color="3D7FE0" w:themeColor="accent1"/>
            </w:tcBorders>
            <w:vAlign w:val="bottom"/>
          </w:tcPr>
          <w:p w14:paraId="59398A12" w14:textId="77777777" w:rsidR="005B0D3D" w:rsidRPr="00895810" w:rsidRDefault="005B0D3D" w:rsidP="009B0DC9">
            <w:pPr>
              <w:pStyle w:val="TableColHeadsBold"/>
              <w:spacing w:line="240" w:lineRule="auto"/>
              <w:ind w:right="0"/>
              <w:rPr>
                <w:rFonts w:ascii="IBM Plex Sans Light" w:hAnsi="IBM Plex Sans Light"/>
              </w:rPr>
            </w:pPr>
            <w:r w:rsidRPr="00895810">
              <w:rPr>
                <w:rFonts w:ascii="IBM Plex Sans Light" w:hAnsi="IBM Plex Sans Light"/>
              </w:rPr>
              <w:t>Croydon</w:t>
            </w:r>
          </w:p>
        </w:tc>
        <w:tc>
          <w:tcPr>
            <w:tcW w:w="992" w:type="dxa"/>
            <w:tcBorders>
              <w:top w:val="single" w:sz="4" w:space="0" w:color="3D7FE0" w:themeColor="accent1"/>
            </w:tcBorders>
            <w:vAlign w:val="bottom"/>
          </w:tcPr>
          <w:p w14:paraId="0F72C948" w14:textId="77777777" w:rsidR="005B0D3D" w:rsidRPr="00895810" w:rsidRDefault="005B0D3D" w:rsidP="009B0DC9">
            <w:pPr>
              <w:pStyle w:val="TableColHeadsBold"/>
              <w:spacing w:line="240" w:lineRule="auto"/>
              <w:ind w:right="0"/>
              <w:rPr>
                <w:rFonts w:ascii="IBM Plex Sans Light" w:hAnsi="IBM Plex Sans Light"/>
              </w:rPr>
            </w:pPr>
            <w:r w:rsidRPr="00895810">
              <w:rPr>
                <w:rFonts w:ascii="IBM Plex Sans Light" w:hAnsi="IBM Plex Sans Light"/>
              </w:rPr>
              <w:t>Highcross</w:t>
            </w:r>
          </w:p>
        </w:tc>
        <w:tc>
          <w:tcPr>
            <w:tcW w:w="850" w:type="dxa"/>
            <w:tcBorders>
              <w:top w:val="single" w:sz="4" w:space="0" w:color="3D7FE0" w:themeColor="accent1"/>
            </w:tcBorders>
            <w:vAlign w:val="bottom"/>
          </w:tcPr>
          <w:p w14:paraId="41A0827B" w14:textId="77777777" w:rsidR="005B0D3D" w:rsidRPr="00895810" w:rsidRDefault="005B0D3D" w:rsidP="009B0DC9">
            <w:pPr>
              <w:pStyle w:val="TableColHeadsBold"/>
              <w:spacing w:line="240" w:lineRule="auto"/>
              <w:ind w:right="0"/>
              <w:rPr>
                <w:rFonts w:ascii="IBM Plex Sans Light" w:hAnsi="IBM Plex Sans Light"/>
              </w:rPr>
            </w:pPr>
            <w:r w:rsidRPr="00895810">
              <w:rPr>
                <w:rFonts w:ascii="IBM Plex Sans Light" w:hAnsi="IBM Plex Sans Light"/>
              </w:rPr>
              <w:t>Dundrum</w:t>
            </w:r>
          </w:p>
        </w:tc>
        <w:tc>
          <w:tcPr>
            <w:tcW w:w="851" w:type="dxa"/>
            <w:tcBorders>
              <w:top w:val="single" w:sz="4" w:space="0" w:color="3D7FE0" w:themeColor="accent1"/>
            </w:tcBorders>
            <w:vAlign w:val="bottom"/>
          </w:tcPr>
          <w:p w14:paraId="45BA92C8" w14:textId="77777777" w:rsidR="005B0D3D" w:rsidRPr="00895810" w:rsidRDefault="005B0D3D" w:rsidP="009B0DC9">
            <w:pPr>
              <w:pStyle w:val="TableColHeadsBold"/>
              <w:spacing w:line="240" w:lineRule="auto"/>
              <w:ind w:right="0"/>
              <w:rPr>
                <w:rFonts w:ascii="IBM Plex Sans Light" w:hAnsi="IBM Plex Sans Light"/>
              </w:rPr>
            </w:pPr>
            <w:r w:rsidRPr="00895810">
              <w:rPr>
                <w:rFonts w:ascii="IBM Plex Sans Light" w:hAnsi="IBM Plex Sans Light"/>
              </w:rPr>
              <w:t>Other</w:t>
            </w:r>
          </w:p>
        </w:tc>
        <w:tc>
          <w:tcPr>
            <w:tcW w:w="850" w:type="dxa"/>
            <w:tcBorders>
              <w:top w:val="single" w:sz="4" w:space="0" w:color="3D7FE0" w:themeColor="accent1"/>
            </w:tcBorders>
            <w:tcMar>
              <w:left w:w="0" w:type="dxa"/>
              <w:bottom w:w="57" w:type="dxa"/>
              <w:right w:w="0" w:type="dxa"/>
            </w:tcMar>
            <w:vAlign w:val="bottom"/>
          </w:tcPr>
          <w:p w14:paraId="219DE44A" w14:textId="77777777" w:rsidR="005B0D3D" w:rsidRPr="00895810" w:rsidRDefault="005B0D3D" w:rsidP="009B0DC9">
            <w:pPr>
              <w:pStyle w:val="TableColHeadsBold"/>
              <w:spacing w:line="240" w:lineRule="auto"/>
              <w:rPr>
                <w:rFonts w:ascii="IBM Plex Sans Light" w:hAnsi="IBM Plex Sans Light"/>
              </w:rPr>
            </w:pPr>
            <w:r w:rsidRPr="00895810">
              <w:rPr>
                <w:rFonts w:ascii="IBM Plex Sans Light" w:hAnsi="IBM Plex Sans Light"/>
              </w:rPr>
              <w:t>Total</w:t>
            </w:r>
          </w:p>
        </w:tc>
        <w:tc>
          <w:tcPr>
            <w:tcW w:w="851" w:type="dxa"/>
            <w:vAlign w:val="bottom"/>
          </w:tcPr>
          <w:p w14:paraId="414BB85C" w14:textId="77777777" w:rsidR="005B0D3D" w:rsidRPr="00895810" w:rsidRDefault="005B0D3D" w:rsidP="009B0DC9">
            <w:pPr>
              <w:pStyle w:val="TableColHeadsBold"/>
              <w:spacing w:line="240" w:lineRule="auto"/>
              <w:ind w:left="-106" w:right="0"/>
              <w:rPr>
                <w:rFonts w:ascii="IBM Plex Sans Light" w:hAnsi="IBM Plex Sans Light"/>
              </w:rPr>
            </w:pPr>
            <w:r w:rsidRPr="00895810">
              <w:rPr>
                <w:rFonts w:ascii="IBM Plex Sans Light" w:hAnsi="IBM Plex Sans Light"/>
              </w:rPr>
              <w:t>Group Share</w:t>
            </w:r>
          </w:p>
        </w:tc>
      </w:tr>
      <w:tr w:rsidR="005B0D3D" w:rsidRPr="00895810" w14:paraId="55298F05" w14:textId="77777777" w:rsidTr="00024B10">
        <w:trPr>
          <w:trHeight w:val="58"/>
        </w:trPr>
        <w:tc>
          <w:tcPr>
            <w:tcW w:w="4253" w:type="dxa"/>
            <w:tcBorders>
              <w:bottom w:val="single" w:sz="2" w:space="0" w:color="3D7FE0" w:themeColor="accent1"/>
            </w:tcBorders>
            <w:tcMar>
              <w:left w:w="0" w:type="dxa"/>
              <w:bottom w:w="28" w:type="dxa"/>
              <w:right w:w="0" w:type="dxa"/>
            </w:tcMar>
            <w:vAlign w:val="bottom"/>
          </w:tcPr>
          <w:p w14:paraId="56335565" w14:textId="77777777" w:rsidR="005B0D3D" w:rsidRPr="00895810" w:rsidRDefault="005B0D3D" w:rsidP="00DD6686">
            <w:pPr>
              <w:pStyle w:val="TableColHeadsBold"/>
              <w:rPr>
                <w:rFonts w:ascii="IBM Plex Sans Light" w:hAnsi="IBM Plex Sans Light"/>
                <w:color w:val="3D7FE0" w:themeColor="accent1"/>
              </w:rPr>
            </w:pPr>
          </w:p>
        </w:tc>
        <w:tc>
          <w:tcPr>
            <w:tcW w:w="425" w:type="dxa"/>
            <w:tcBorders>
              <w:bottom w:val="single" w:sz="2" w:space="0" w:color="3D7FE0" w:themeColor="accent1"/>
            </w:tcBorders>
            <w:vAlign w:val="bottom"/>
          </w:tcPr>
          <w:p w14:paraId="1D887C23" w14:textId="77777777" w:rsidR="005B0D3D" w:rsidRPr="00895810" w:rsidRDefault="005B0D3D" w:rsidP="001B3A6A">
            <w:pPr>
              <w:pStyle w:val="TableColHeadsBold"/>
              <w:ind w:left="-105"/>
              <w:rPr>
                <w:rFonts w:ascii="IBM Plex Sans Light" w:hAnsi="IBM Plex Sans Light"/>
              </w:rPr>
            </w:pPr>
          </w:p>
        </w:tc>
        <w:tc>
          <w:tcPr>
            <w:tcW w:w="851" w:type="dxa"/>
            <w:tcBorders>
              <w:bottom w:val="single" w:sz="2" w:space="0" w:color="3D7FE0" w:themeColor="accent1"/>
            </w:tcBorders>
            <w:vAlign w:val="bottom"/>
          </w:tcPr>
          <w:p w14:paraId="180F0FA7" w14:textId="77777777" w:rsidR="005B0D3D" w:rsidRPr="00895810" w:rsidRDefault="005B0D3D" w:rsidP="00DD6686">
            <w:pPr>
              <w:pStyle w:val="TableColHeadsBold"/>
              <w:rPr>
                <w:rFonts w:ascii="IBM Plex Sans Light" w:hAnsi="IBM Plex Sans Light"/>
              </w:rPr>
            </w:pPr>
          </w:p>
        </w:tc>
        <w:tc>
          <w:tcPr>
            <w:tcW w:w="992" w:type="dxa"/>
            <w:tcBorders>
              <w:bottom w:val="single" w:sz="2" w:space="0" w:color="3D7FE0" w:themeColor="accent1"/>
            </w:tcBorders>
            <w:vAlign w:val="bottom"/>
          </w:tcPr>
          <w:p w14:paraId="14D83158" w14:textId="77777777" w:rsidR="005B0D3D" w:rsidRPr="00895810" w:rsidRDefault="005B0D3D" w:rsidP="00DD6686">
            <w:pPr>
              <w:pStyle w:val="TableColHeadsBold"/>
              <w:rPr>
                <w:rFonts w:ascii="IBM Plex Sans Light" w:hAnsi="IBM Plex Sans Light"/>
              </w:rPr>
            </w:pPr>
          </w:p>
        </w:tc>
        <w:tc>
          <w:tcPr>
            <w:tcW w:w="850" w:type="dxa"/>
            <w:tcBorders>
              <w:bottom w:val="single" w:sz="2" w:space="0" w:color="3D7FE0" w:themeColor="accent1"/>
            </w:tcBorders>
            <w:vAlign w:val="bottom"/>
          </w:tcPr>
          <w:p w14:paraId="44E9AEDF" w14:textId="77777777" w:rsidR="005B0D3D" w:rsidRPr="00895810" w:rsidRDefault="005B0D3D" w:rsidP="00DD6686">
            <w:pPr>
              <w:pStyle w:val="TableColHeadsBold"/>
              <w:rPr>
                <w:rFonts w:ascii="IBM Plex Sans Light" w:hAnsi="IBM Plex Sans Light"/>
              </w:rPr>
            </w:pPr>
          </w:p>
        </w:tc>
        <w:tc>
          <w:tcPr>
            <w:tcW w:w="851" w:type="dxa"/>
            <w:tcBorders>
              <w:bottom w:val="single" w:sz="2" w:space="0" w:color="3D7FE0" w:themeColor="accent1"/>
            </w:tcBorders>
            <w:tcMar>
              <w:left w:w="0" w:type="dxa"/>
              <w:bottom w:w="28" w:type="dxa"/>
              <w:right w:w="0" w:type="dxa"/>
            </w:tcMar>
            <w:vAlign w:val="bottom"/>
          </w:tcPr>
          <w:p w14:paraId="53E679CD" w14:textId="77777777" w:rsidR="005B0D3D" w:rsidRPr="00895810" w:rsidRDefault="005B0D3D" w:rsidP="00DD6686">
            <w:pPr>
              <w:pStyle w:val="TableColHeadsBold"/>
              <w:rPr>
                <w:rFonts w:ascii="IBM Plex Sans Light" w:hAnsi="IBM Plex Sans Light"/>
              </w:rPr>
            </w:pPr>
          </w:p>
        </w:tc>
        <w:tc>
          <w:tcPr>
            <w:tcW w:w="850" w:type="dxa"/>
            <w:tcBorders>
              <w:bottom w:val="single" w:sz="2" w:space="0" w:color="3D7FE0" w:themeColor="accent1"/>
            </w:tcBorders>
            <w:tcMar>
              <w:left w:w="0" w:type="dxa"/>
              <w:bottom w:w="28" w:type="dxa"/>
              <w:right w:w="0" w:type="dxa"/>
            </w:tcMar>
            <w:vAlign w:val="bottom"/>
          </w:tcPr>
          <w:p w14:paraId="4BDB90AD" w14:textId="77777777" w:rsidR="005B0D3D" w:rsidRPr="00895810" w:rsidRDefault="005B0D3D" w:rsidP="00DD6686">
            <w:pPr>
              <w:pStyle w:val="TableColHeadsBold"/>
              <w:rPr>
                <w:rFonts w:ascii="IBM Plex Sans Light" w:hAnsi="IBM Plex Sans Light"/>
              </w:rPr>
            </w:pPr>
          </w:p>
        </w:tc>
        <w:tc>
          <w:tcPr>
            <w:tcW w:w="851" w:type="dxa"/>
            <w:tcBorders>
              <w:bottom w:val="single" w:sz="2" w:space="0" w:color="3D7FE0" w:themeColor="accent1"/>
            </w:tcBorders>
            <w:tcMar>
              <w:left w:w="0" w:type="dxa"/>
              <w:bottom w:w="28" w:type="dxa"/>
              <w:right w:w="0" w:type="dxa"/>
            </w:tcMar>
            <w:vAlign w:val="bottom"/>
          </w:tcPr>
          <w:p w14:paraId="414A2992" w14:textId="77777777" w:rsidR="005B0D3D" w:rsidRPr="00895810" w:rsidRDefault="005B0D3D" w:rsidP="00DD6686">
            <w:pPr>
              <w:pStyle w:val="TableColHeadsBold"/>
              <w:rPr>
                <w:rFonts w:ascii="IBM Plex Sans Light" w:hAnsi="IBM Plex Sans Light"/>
              </w:rPr>
            </w:pPr>
          </w:p>
        </w:tc>
      </w:tr>
      <w:tr w:rsidR="005B0D3D" w:rsidRPr="00895810" w14:paraId="73EBE529" w14:textId="77777777" w:rsidTr="00024B10">
        <w:trPr>
          <w:trHeight w:val="58"/>
        </w:trPr>
        <w:tc>
          <w:tcPr>
            <w:tcW w:w="4253" w:type="dxa"/>
            <w:tcBorders>
              <w:bottom w:val="single" w:sz="2" w:space="0" w:color="3D7FE0" w:themeColor="accent1"/>
            </w:tcBorders>
            <w:tcMar>
              <w:left w:w="0" w:type="dxa"/>
              <w:bottom w:w="28" w:type="dxa"/>
              <w:right w:w="0" w:type="dxa"/>
            </w:tcMar>
            <w:vAlign w:val="bottom"/>
          </w:tcPr>
          <w:p w14:paraId="204AB434" w14:textId="77777777" w:rsidR="005B0D3D" w:rsidRPr="00895810" w:rsidRDefault="005B0D3D" w:rsidP="00DD6686">
            <w:pPr>
              <w:pStyle w:val="TableColHeadsBold"/>
              <w:rPr>
                <w:rFonts w:ascii="IBM Plex Sans Light" w:hAnsi="IBM Plex Sans Light"/>
                <w:color w:val="3D7FE0" w:themeColor="accent1"/>
              </w:rPr>
            </w:pPr>
          </w:p>
        </w:tc>
        <w:tc>
          <w:tcPr>
            <w:tcW w:w="425" w:type="dxa"/>
            <w:tcBorders>
              <w:bottom w:val="single" w:sz="2" w:space="0" w:color="3D7FE0" w:themeColor="accent1"/>
            </w:tcBorders>
            <w:vAlign w:val="bottom"/>
          </w:tcPr>
          <w:p w14:paraId="7EA3E9C1" w14:textId="306E640C" w:rsidR="005B0D3D" w:rsidRPr="00895810" w:rsidRDefault="005B0D3D" w:rsidP="001B3A6A">
            <w:pPr>
              <w:pStyle w:val="TableColHeadsBold"/>
              <w:ind w:left="-105"/>
              <w:rPr>
                <w:rFonts w:ascii="IBM Plex Sans Light" w:hAnsi="IBM Plex Sans Light"/>
                <w:color w:val="3D7FE0" w:themeColor="accent1"/>
                <w:sz w:val="16"/>
                <w:szCs w:val="16"/>
              </w:rPr>
            </w:pPr>
          </w:p>
        </w:tc>
        <w:tc>
          <w:tcPr>
            <w:tcW w:w="851" w:type="dxa"/>
            <w:tcBorders>
              <w:bottom w:val="single" w:sz="2" w:space="0" w:color="3D7FE0" w:themeColor="accent1"/>
            </w:tcBorders>
            <w:vAlign w:val="bottom"/>
          </w:tcPr>
          <w:p w14:paraId="714B88D9" w14:textId="77777777" w:rsidR="005B0D3D" w:rsidRPr="00895810" w:rsidRDefault="005B0D3D" w:rsidP="00DD6686">
            <w:pPr>
              <w:pStyle w:val="TableColHeadsBold"/>
              <w:rPr>
                <w:rFonts w:ascii="IBM Plex Sans Light" w:hAnsi="IBM Plex Sans Light"/>
              </w:rPr>
            </w:pPr>
            <w:r w:rsidRPr="00895810">
              <w:rPr>
                <w:rFonts w:ascii="IBM Plex Sans Light" w:hAnsi="IBM Plex Sans Light"/>
              </w:rPr>
              <w:t xml:space="preserve">£m </w:t>
            </w:r>
          </w:p>
        </w:tc>
        <w:tc>
          <w:tcPr>
            <w:tcW w:w="992" w:type="dxa"/>
            <w:tcBorders>
              <w:bottom w:val="single" w:sz="2" w:space="0" w:color="3D7FE0" w:themeColor="accent1"/>
            </w:tcBorders>
            <w:vAlign w:val="bottom"/>
          </w:tcPr>
          <w:p w14:paraId="79CDD0DC" w14:textId="77777777" w:rsidR="005B0D3D" w:rsidRPr="00895810" w:rsidRDefault="005B0D3D" w:rsidP="00DD6686">
            <w:pPr>
              <w:pStyle w:val="TableColHeadsBold"/>
              <w:rPr>
                <w:rFonts w:ascii="IBM Plex Sans Light" w:hAnsi="IBM Plex Sans Light"/>
              </w:rPr>
            </w:pPr>
            <w:r w:rsidRPr="00895810">
              <w:rPr>
                <w:rFonts w:ascii="IBM Plex Sans Light" w:hAnsi="IBM Plex Sans Light"/>
              </w:rPr>
              <w:t xml:space="preserve">£m </w:t>
            </w:r>
          </w:p>
        </w:tc>
        <w:tc>
          <w:tcPr>
            <w:tcW w:w="850" w:type="dxa"/>
            <w:tcBorders>
              <w:bottom w:val="single" w:sz="2" w:space="0" w:color="3D7FE0" w:themeColor="accent1"/>
            </w:tcBorders>
            <w:vAlign w:val="bottom"/>
          </w:tcPr>
          <w:p w14:paraId="67D274A4" w14:textId="77777777" w:rsidR="005B0D3D" w:rsidRPr="00895810" w:rsidRDefault="005B0D3D" w:rsidP="00DD6686">
            <w:pPr>
              <w:pStyle w:val="TableColHeadsBold"/>
              <w:rPr>
                <w:rFonts w:ascii="IBM Plex Sans Light" w:hAnsi="IBM Plex Sans Light"/>
              </w:rPr>
            </w:pPr>
            <w:r w:rsidRPr="00895810">
              <w:rPr>
                <w:rFonts w:ascii="IBM Plex Sans Light" w:hAnsi="IBM Plex Sans Light"/>
              </w:rPr>
              <w:t xml:space="preserve">£m </w:t>
            </w:r>
          </w:p>
        </w:tc>
        <w:tc>
          <w:tcPr>
            <w:tcW w:w="851" w:type="dxa"/>
            <w:tcBorders>
              <w:bottom w:val="single" w:sz="2" w:space="0" w:color="3D7FE0" w:themeColor="accent1"/>
            </w:tcBorders>
            <w:tcMar>
              <w:left w:w="0" w:type="dxa"/>
              <w:bottom w:w="28" w:type="dxa"/>
              <w:right w:w="0" w:type="dxa"/>
            </w:tcMar>
            <w:vAlign w:val="bottom"/>
          </w:tcPr>
          <w:p w14:paraId="0FD1A700" w14:textId="77777777" w:rsidR="005B0D3D" w:rsidRPr="00895810" w:rsidRDefault="005B0D3D" w:rsidP="00DD6686">
            <w:pPr>
              <w:pStyle w:val="TableColHeadsBold"/>
              <w:rPr>
                <w:rFonts w:ascii="IBM Plex Sans Light" w:hAnsi="IBM Plex Sans Light"/>
              </w:rPr>
            </w:pPr>
            <w:r w:rsidRPr="00895810">
              <w:rPr>
                <w:rFonts w:ascii="IBM Plex Sans Light" w:hAnsi="IBM Plex Sans Light"/>
              </w:rPr>
              <w:t xml:space="preserve">£m </w:t>
            </w:r>
          </w:p>
        </w:tc>
        <w:tc>
          <w:tcPr>
            <w:tcW w:w="850" w:type="dxa"/>
            <w:tcBorders>
              <w:bottom w:val="single" w:sz="2" w:space="0" w:color="3D7FE0" w:themeColor="accent1"/>
            </w:tcBorders>
            <w:tcMar>
              <w:left w:w="0" w:type="dxa"/>
              <w:bottom w:w="28" w:type="dxa"/>
              <w:right w:w="0" w:type="dxa"/>
            </w:tcMar>
            <w:vAlign w:val="bottom"/>
          </w:tcPr>
          <w:p w14:paraId="7900624B" w14:textId="77777777" w:rsidR="005B0D3D" w:rsidRPr="00895810" w:rsidRDefault="005B0D3D" w:rsidP="00DD6686">
            <w:pPr>
              <w:pStyle w:val="TableColHeadsBold"/>
              <w:rPr>
                <w:rFonts w:ascii="IBM Plex Sans Light" w:hAnsi="IBM Plex Sans Light"/>
                <w:b w:val="0"/>
              </w:rPr>
            </w:pPr>
            <w:r w:rsidRPr="00895810">
              <w:rPr>
                <w:rFonts w:ascii="IBM Plex Sans Light" w:hAnsi="IBM Plex Sans Light"/>
              </w:rPr>
              <w:t xml:space="preserve">£m </w:t>
            </w:r>
          </w:p>
        </w:tc>
        <w:tc>
          <w:tcPr>
            <w:tcW w:w="851" w:type="dxa"/>
            <w:tcBorders>
              <w:bottom w:val="single" w:sz="2" w:space="0" w:color="3D7FE0" w:themeColor="accent1"/>
            </w:tcBorders>
            <w:tcMar>
              <w:left w:w="0" w:type="dxa"/>
              <w:bottom w:w="28" w:type="dxa"/>
              <w:right w:w="0" w:type="dxa"/>
            </w:tcMar>
            <w:vAlign w:val="bottom"/>
          </w:tcPr>
          <w:p w14:paraId="1EC7D966" w14:textId="77777777" w:rsidR="005B0D3D" w:rsidRPr="00895810" w:rsidRDefault="005B0D3D" w:rsidP="00DD6686">
            <w:pPr>
              <w:pStyle w:val="TableColHeadsBold"/>
              <w:rPr>
                <w:rFonts w:ascii="IBM Plex Sans Light" w:hAnsi="IBM Plex Sans Light"/>
                <w:b w:val="0"/>
              </w:rPr>
            </w:pPr>
            <w:r w:rsidRPr="00895810">
              <w:rPr>
                <w:rFonts w:ascii="IBM Plex Sans Light" w:hAnsi="IBM Plex Sans Light"/>
              </w:rPr>
              <w:t xml:space="preserve">£m </w:t>
            </w:r>
          </w:p>
        </w:tc>
      </w:tr>
      <w:tr w:rsidR="005B0D3D" w:rsidRPr="00895810" w14:paraId="6E77A8B6" w14:textId="77777777" w:rsidTr="00024B10">
        <w:trPr>
          <w:trHeight w:hRule="exact" w:val="255"/>
        </w:trPr>
        <w:tc>
          <w:tcPr>
            <w:tcW w:w="4253" w:type="dxa"/>
            <w:tcBorders>
              <w:top w:val="single" w:sz="2" w:space="0" w:color="3D7FE0" w:themeColor="accent1"/>
            </w:tcBorders>
            <w:tcMar>
              <w:left w:w="0" w:type="dxa"/>
              <w:right w:w="0" w:type="dxa"/>
            </w:tcMar>
            <w:vAlign w:val="bottom"/>
          </w:tcPr>
          <w:p w14:paraId="004DBB4A" w14:textId="77777777" w:rsidR="005B0D3D" w:rsidRPr="00895810" w:rsidRDefault="005B0D3D" w:rsidP="003F2C4C">
            <w:pPr>
              <w:pStyle w:val="TableFigure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Non-current assets</w:t>
            </w:r>
          </w:p>
        </w:tc>
        <w:tc>
          <w:tcPr>
            <w:tcW w:w="425" w:type="dxa"/>
            <w:tcBorders>
              <w:top w:val="single" w:sz="2" w:space="0" w:color="3D7FE0" w:themeColor="accent1"/>
            </w:tcBorders>
            <w:vAlign w:val="bottom"/>
          </w:tcPr>
          <w:p w14:paraId="4C35D802" w14:textId="77777777" w:rsidR="005B0D3D" w:rsidRPr="00895810" w:rsidRDefault="005B0D3D" w:rsidP="001B3A6A">
            <w:pPr>
              <w:pStyle w:val="TableFigures"/>
              <w:ind w:left="-105"/>
              <w:jc w:val="left"/>
              <w:rPr>
                <w:rFonts w:ascii="IBM Plex Sans Light" w:hAnsi="IBM Plex Sans Light" w:cs="MyriadPro-Light"/>
                <w:b/>
                <w:color w:val="3D7FE0" w:themeColor="accent1"/>
                <w:spacing w:val="-4"/>
                <w:szCs w:val="16"/>
              </w:rPr>
            </w:pPr>
          </w:p>
        </w:tc>
        <w:tc>
          <w:tcPr>
            <w:tcW w:w="851" w:type="dxa"/>
            <w:tcBorders>
              <w:top w:val="single" w:sz="2" w:space="0" w:color="3D7FE0" w:themeColor="accent1"/>
            </w:tcBorders>
            <w:vAlign w:val="bottom"/>
          </w:tcPr>
          <w:p w14:paraId="48ACA862" w14:textId="77777777" w:rsidR="005B0D3D" w:rsidRPr="00895810" w:rsidRDefault="005B0D3D" w:rsidP="003F2C4C">
            <w:pPr>
              <w:pStyle w:val="TableFigures"/>
              <w:jc w:val="left"/>
              <w:rPr>
                <w:rFonts w:ascii="IBM Plex Sans Light" w:hAnsi="IBM Plex Sans Light" w:cs="MyriadPro-Light"/>
                <w:b/>
                <w:color w:val="3D7FE0" w:themeColor="accent1"/>
                <w:spacing w:val="-4"/>
                <w:sz w:val="18"/>
                <w:szCs w:val="18"/>
              </w:rPr>
            </w:pPr>
          </w:p>
        </w:tc>
        <w:tc>
          <w:tcPr>
            <w:tcW w:w="992" w:type="dxa"/>
            <w:tcBorders>
              <w:top w:val="single" w:sz="2" w:space="0" w:color="3D7FE0" w:themeColor="accent1"/>
            </w:tcBorders>
            <w:vAlign w:val="bottom"/>
          </w:tcPr>
          <w:p w14:paraId="22C48168" w14:textId="77777777" w:rsidR="005B0D3D" w:rsidRPr="00895810" w:rsidRDefault="005B0D3D" w:rsidP="003F2C4C">
            <w:pPr>
              <w:pStyle w:val="TableFigures"/>
              <w:jc w:val="left"/>
              <w:rPr>
                <w:rFonts w:ascii="IBM Plex Sans Light" w:hAnsi="IBM Plex Sans Light" w:cs="MyriadPro-Light"/>
                <w:b/>
                <w:color w:val="3D7FE0" w:themeColor="accent1"/>
                <w:spacing w:val="-4"/>
                <w:sz w:val="18"/>
                <w:szCs w:val="18"/>
              </w:rPr>
            </w:pPr>
          </w:p>
        </w:tc>
        <w:tc>
          <w:tcPr>
            <w:tcW w:w="850" w:type="dxa"/>
            <w:tcBorders>
              <w:top w:val="single" w:sz="2" w:space="0" w:color="3D7FE0" w:themeColor="accent1"/>
            </w:tcBorders>
            <w:vAlign w:val="bottom"/>
          </w:tcPr>
          <w:p w14:paraId="67A54965" w14:textId="77777777" w:rsidR="005B0D3D" w:rsidRPr="00895810" w:rsidRDefault="005B0D3D" w:rsidP="00F65472">
            <w:pPr>
              <w:pStyle w:val="TableFigures"/>
              <w:ind w:left="-188" w:right="-54" w:firstLine="188"/>
              <w:jc w:val="left"/>
              <w:rPr>
                <w:rFonts w:ascii="IBM Plex Sans Light" w:hAnsi="IBM Plex Sans Light" w:cs="MyriadPro-Light"/>
                <w:b/>
                <w:color w:val="3D7FE0" w:themeColor="accent1"/>
                <w:spacing w:val="-4"/>
                <w:sz w:val="18"/>
                <w:szCs w:val="18"/>
              </w:rPr>
            </w:pPr>
          </w:p>
        </w:tc>
        <w:tc>
          <w:tcPr>
            <w:tcW w:w="851" w:type="dxa"/>
            <w:tcBorders>
              <w:top w:val="single" w:sz="2" w:space="0" w:color="3D7FE0" w:themeColor="accent1"/>
            </w:tcBorders>
            <w:tcMar>
              <w:left w:w="0" w:type="dxa"/>
              <w:right w:w="0" w:type="dxa"/>
            </w:tcMar>
            <w:vAlign w:val="bottom"/>
          </w:tcPr>
          <w:p w14:paraId="4AFDA6FF" w14:textId="77777777" w:rsidR="005B0D3D" w:rsidRPr="00895810" w:rsidRDefault="005B0D3D" w:rsidP="003F2C4C">
            <w:pPr>
              <w:pStyle w:val="TableFigures"/>
              <w:rPr>
                <w:rFonts w:ascii="IBM Plex Sans Light" w:hAnsi="IBM Plex Sans Light" w:cs="MyriadPro-Light"/>
                <w:b/>
                <w:color w:val="3D7FE0" w:themeColor="accent1"/>
                <w:spacing w:val="-4"/>
                <w:sz w:val="18"/>
                <w:szCs w:val="18"/>
              </w:rPr>
            </w:pPr>
          </w:p>
        </w:tc>
        <w:tc>
          <w:tcPr>
            <w:tcW w:w="850" w:type="dxa"/>
            <w:tcBorders>
              <w:top w:val="single" w:sz="2" w:space="0" w:color="3D7FE0" w:themeColor="accent1"/>
            </w:tcBorders>
            <w:tcMar>
              <w:left w:w="0" w:type="dxa"/>
              <w:right w:w="0" w:type="dxa"/>
            </w:tcMar>
            <w:vAlign w:val="bottom"/>
          </w:tcPr>
          <w:p w14:paraId="7FFC4F69" w14:textId="77777777" w:rsidR="005B0D3D" w:rsidRPr="00895810" w:rsidRDefault="005B0D3D" w:rsidP="003F2C4C">
            <w:pPr>
              <w:pStyle w:val="TableFiguresBold"/>
              <w:rPr>
                <w:rFonts w:ascii="IBM Plex Sans Light" w:hAnsi="IBM Plex Sans Light"/>
                <w:color w:val="3D7FE0" w:themeColor="accent1"/>
                <w:spacing w:val="-4"/>
                <w:sz w:val="18"/>
                <w:szCs w:val="18"/>
              </w:rPr>
            </w:pPr>
          </w:p>
        </w:tc>
        <w:tc>
          <w:tcPr>
            <w:tcW w:w="851" w:type="dxa"/>
            <w:tcBorders>
              <w:top w:val="single" w:sz="2" w:space="0" w:color="3D7FE0" w:themeColor="accent1"/>
            </w:tcBorders>
            <w:tcMar>
              <w:left w:w="0" w:type="dxa"/>
              <w:right w:w="0" w:type="dxa"/>
            </w:tcMar>
          </w:tcPr>
          <w:p w14:paraId="0D7F79FD" w14:textId="77777777" w:rsidR="005B0D3D" w:rsidRPr="00895810" w:rsidRDefault="005B0D3D" w:rsidP="003F2C4C">
            <w:pPr>
              <w:pStyle w:val="TableFigures"/>
              <w:rPr>
                <w:rFonts w:ascii="IBM Plex Sans Light" w:hAnsi="IBM Plex Sans Light"/>
                <w:color w:val="auto"/>
                <w:spacing w:val="-4"/>
                <w:sz w:val="18"/>
                <w:szCs w:val="18"/>
              </w:rPr>
            </w:pPr>
          </w:p>
        </w:tc>
      </w:tr>
      <w:tr w:rsidR="005B0D3D" w:rsidRPr="00895810" w14:paraId="75DD5CD7" w14:textId="77777777" w:rsidTr="00024B10">
        <w:trPr>
          <w:trHeight w:hRule="exact" w:val="255"/>
        </w:trPr>
        <w:tc>
          <w:tcPr>
            <w:tcW w:w="4253" w:type="dxa"/>
            <w:tcMar>
              <w:left w:w="0" w:type="dxa"/>
              <w:right w:w="0" w:type="dxa"/>
            </w:tcMar>
            <w:vAlign w:val="bottom"/>
          </w:tcPr>
          <w:p w14:paraId="6E15962C" w14:textId="77777777" w:rsidR="005B0D3D" w:rsidRPr="00895810" w:rsidRDefault="005B0D3D" w:rsidP="00940DED">
            <w:pPr>
              <w:pStyle w:val="TableFigures"/>
              <w:jc w:val="left"/>
              <w:rPr>
                <w:rFonts w:ascii="IBM Plex Sans Light" w:hAnsi="IBM Plex Sans Light" w:cs="MyriadPro-Light"/>
                <w:b/>
                <w:color w:val="3D7FE0" w:themeColor="accent1"/>
                <w:spacing w:val="-4"/>
                <w:sz w:val="18"/>
                <w:szCs w:val="18"/>
              </w:rPr>
            </w:pPr>
            <w:r w:rsidRPr="00895810">
              <w:rPr>
                <w:rFonts w:ascii="IBM Plex Sans Light" w:hAnsi="IBM Plex Sans Light"/>
                <w:spacing w:val="-4"/>
                <w:sz w:val="18"/>
                <w:szCs w:val="18"/>
              </w:rPr>
              <w:t>Investment properties</w:t>
            </w:r>
          </w:p>
        </w:tc>
        <w:tc>
          <w:tcPr>
            <w:tcW w:w="425" w:type="dxa"/>
          </w:tcPr>
          <w:p w14:paraId="5D9DD705" w14:textId="1600E1B3" w:rsidR="005B0D3D" w:rsidRPr="00895810" w:rsidRDefault="005B0D3D" w:rsidP="00940DED">
            <w:pPr>
              <w:pStyle w:val="TableFigures"/>
              <w:rPr>
                <w:rFonts w:ascii="IBM Plex Sans Light" w:hAnsi="IBM Plex Sans Light"/>
                <w:color w:val="auto"/>
                <w:spacing w:val="-4"/>
                <w:sz w:val="18"/>
                <w:szCs w:val="18"/>
              </w:rPr>
            </w:pPr>
          </w:p>
        </w:tc>
        <w:tc>
          <w:tcPr>
            <w:tcW w:w="851" w:type="dxa"/>
          </w:tcPr>
          <w:p w14:paraId="0B4ECC09" w14:textId="76CCF3D1"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108.9</w:t>
            </w:r>
          </w:p>
        </w:tc>
        <w:tc>
          <w:tcPr>
            <w:tcW w:w="992" w:type="dxa"/>
          </w:tcPr>
          <w:p w14:paraId="68F63A5A" w14:textId="719259C4"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125.7</w:t>
            </w:r>
          </w:p>
        </w:tc>
        <w:tc>
          <w:tcPr>
            <w:tcW w:w="850" w:type="dxa"/>
          </w:tcPr>
          <w:p w14:paraId="49297AAB" w14:textId="6262E9A9" w:rsidR="005B0D3D" w:rsidRPr="009D38AD" w:rsidRDefault="005B0D3D" w:rsidP="00F65472">
            <w:pPr>
              <w:pStyle w:val="TableFigures"/>
              <w:ind w:left="-188" w:right="-54" w:firstLine="188"/>
              <w:rPr>
                <w:rFonts w:ascii="IBM Plex Sans Light" w:hAnsi="IBM Plex Sans Light"/>
                <w:color w:val="auto"/>
                <w:spacing w:val="-4"/>
                <w:sz w:val="18"/>
                <w:szCs w:val="18"/>
              </w:rPr>
            </w:pPr>
            <w:r w:rsidRPr="009D38AD">
              <w:rPr>
                <w:rFonts w:ascii="IBM Plex Sans Light" w:hAnsi="IBM Plex Sans Light"/>
                <w:color w:val="auto"/>
                <w:spacing w:val="-4"/>
                <w:sz w:val="18"/>
                <w:szCs w:val="18"/>
              </w:rPr>
              <w:t>1,088.9</w:t>
            </w:r>
          </w:p>
        </w:tc>
        <w:tc>
          <w:tcPr>
            <w:tcW w:w="851" w:type="dxa"/>
            <w:tcMar>
              <w:left w:w="0" w:type="dxa"/>
              <w:right w:w="0" w:type="dxa"/>
            </w:tcMar>
          </w:tcPr>
          <w:p w14:paraId="5753C225" w14:textId="43918874"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379.3</w:t>
            </w:r>
          </w:p>
        </w:tc>
        <w:tc>
          <w:tcPr>
            <w:tcW w:w="850" w:type="dxa"/>
            <w:tcMar>
              <w:left w:w="0" w:type="dxa"/>
              <w:right w:w="0" w:type="dxa"/>
            </w:tcMar>
          </w:tcPr>
          <w:p w14:paraId="434BDEFB" w14:textId="6A30F39E" w:rsidR="005B0D3D" w:rsidRPr="00895810" w:rsidRDefault="005B0D3D" w:rsidP="00940DED">
            <w:pPr>
              <w:pStyle w:val="TableFiguresBold"/>
              <w:rPr>
                <w:rFonts w:ascii="IBM Plex Sans Light" w:hAnsi="IBM Plex Sans Light"/>
                <w:b w:val="0"/>
                <w:bCs w:val="0"/>
                <w:color w:val="auto"/>
                <w:spacing w:val="-4"/>
                <w:sz w:val="18"/>
                <w:szCs w:val="18"/>
              </w:rPr>
            </w:pPr>
            <w:r w:rsidRPr="00543AD4">
              <w:rPr>
                <w:rFonts w:ascii="IBM Plex Sans Light" w:hAnsi="IBM Plex Sans Light"/>
                <w:b w:val="0"/>
                <w:bCs w:val="0"/>
                <w:color w:val="auto"/>
                <w:spacing w:val="-4"/>
                <w:sz w:val="18"/>
                <w:szCs w:val="18"/>
              </w:rPr>
              <w:t>3,442.1</w:t>
            </w:r>
          </w:p>
        </w:tc>
        <w:tc>
          <w:tcPr>
            <w:tcW w:w="851" w:type="dxa"/>
            <w:tcMar>
              <w:left w:w="0" w:type="dxa"/>
              <w:right w:w="0" w:type="dxa"/>
            </w:tcMar>
          </w:tcPr>
          <w:p w14:paraId="50B61F58" w14:textId="67E13A4D"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1,620.0</w:t>
            </w:r>
          </w:p>
        </w:tc>
      </w:tr>
      <w:tr w:rsidR="005B0D3D" w:rsidRPr="00895810" w14:paraId="19A9AB7E" w14:textId="77777777" w:rsidTr="00024B10">
        <w:trPr>
          <w:trHeight w:hRule="exact" w:val="255"/>
        </w:trPr>
        <w:tc>
          <w:tcPr>
            <w:tcW w:w="4253" w:type="dxa"/>
            <w:tcBorders>
              <w:bottom w:val="single" w:sz="2" w:space="0" w:color="3D7FE0" w:themeColor="accent1"/>
            </w:tcBorders>
            <w:tcMar>
              <w:left w:w="0" w:type="dxa"/>
              <w:right w:w="0" w:type="dxa"/>
            </w:tcMar>
            <w:vAlign w:val="bottom"/>
          </w:tcPr>
          <w:p w14:paraId="34A92D86" w14:textId="77777777" w:rsidR="005B0D3D" w:rsidRPr="00895810" w:rsidRDefault="005B0D3D" w:rsidP="00940DED">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spacing w:val="-4"/>
                <w:sz w:val="18"/>
                <w:szCs w:val="18"/>
              </w:rPr>
              <w:t>Other non-current assets</w:t>
            </w:r>
          </w:p>
        </w:tc>
        <w:tc>
          <w:tcPr>
            <w:tcW w:w="425" w:type="dxa"/>
            <w:tcBorders>
              <w:bottom w:val="single" w:sz="2" w:space="0" w:color="3D7FE0" w:themeColor="accent1"/>
            </w:tcBorders>
          </w:tcPr>
          <w:p w14:paraId="4A983301" w14:textId="3ADF527D" w:rsidR="005B0D3D" w:rsidRPr="00895810" w:rsidRDefault="005B0D3D" w:rsidP="00940DED">
            <w:pPr>
              <w:pStyle w:val="TableFigures"/>
              <w:rPr>
                <w:rFonts w:ascii="IBM Plex Sans Light" w:hAnsi="IBM Plex Sans Light"/>
                <w:color w:val="auto"/>
                <w:spacing w:val="-4"/>
                <w:sz w:val="18"/>
                <w:szCs w:val="18"/>
              </w:rPr>
            </w:pPr>
          </w:p>
        </w:tc>
        <w:tc>
          <w:tcPr>
            <w:tcW w:w="851" w:type="dxa"/>
            <w:tcBorders>
              <w:bottom w:val="single" w:sz="2" w:space="0" w:color="3D7FE0" w:themeColor="accent1"/>
            </w:tcBorders>
          </w:tcPr>
          <w:p w14:paraId="4BE97F09" w14:textId="3911B418"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0.6</w:t>
            </w:r>
          </w:p>
        </w:tc>
        <w:tc>
          <w:tcPr>
            <w:tcW w:w="992" w:type="dxa"/>
            <w:tcBorders>
              <w:bottom w:val="single" w:sz="2" w:space="0" w:color="3D7FE0" w:themeColor="accent1"/>
            </w:tcBorders>
          </w:tcPr>
          <w:p w14:paraId="57BB55A8" w14:textId="0C0BD20F"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6.1</w:t>
            </w:r>
          </w:p>
        </w:tc>
        <w:tc>
          <w:tcPr>
            <w:tcW w:w="850" w:type="dxa"/>
            <w:tcBorders>
              <w:bottom w:val="single" w:sz="2" w:space="0" w:color="3D7FE0" w:themeColor="accent1"/>
            </w:tcBorders>
          </w:tcPr>
          <w:p w14:paraId="48D2029F" w14:textId="04A2A45C" w:rsidR="005B0D3D" w:rsidRPr="009D38AD" w:rsidRDefault="005B0D3D" w:rsidP="00F65472">
            <w:pPr>
              <w:pStyle w:val="TableFigures"/>
              <w:ind w:left="-188" w:right="-54" w:firstLine="188"/>
              <w:rPr>
                <w:rFonts w:ascii="IBM Plex Sans Light" w:hAnsi="IBM Plex Sans Light"/>
                <w:color w:val="auto"/>
                <w:spacing w:val="-4"/>
                <w:sz w:val="18"/>
                <w:szCs w:val="18"/>
              </w:rPr>
            </w:pPr>
            <w:r w:rsidRPr="009D38AD">
              <w:rPr>
                <w:rFonts w:ascii="IBM Plex Sans Light" w:hAnsi="IBM Plex Sans Light"/>
                <w:color w:val="auto"/>
                <w:spacing w:val="-4"/>
                <w:sz w:val="18"/>
                <w:szCs w:val="18"/>
              </w:rPr>
              <w:t>8.9</w:t>
            </w:r>
          </w:p>
        </w:tc>
        <w:tc>
          <w:tcPr>
            <w:tcW w:w="851" w:type="dxa"/>
            <w:tcBorders>
              <w:bottom w:val="single" w:sz="2" w:space="0" w:color="3D7FE0" w:themeColor="accent1"/>
            </w:tcBorders>
            <w:tcMar>
              <w:left w:w="0" w:type="dxa"/>
              <w:right w:w="0" w:type="dxa"/>
            </w:tcMar>
          </w:tcPr>
          <w:p w14:paraId="3BBB5984" w14:textId="75C6502C"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Borders>
              <w:bottom w:val="single" w:sz="2" w:space="0" w:color="3D7FE0" w:themeColor="accent1"/>
            </w:tcBorders>
            <w:tcMar>
              <w:left w:w="0" w:type="dxa"/>
              <w:right w:w="0" w:type="dxa"/>
            </w:tcMar>
          </w:tcPr>
          <w:p w14:paraId="1D65E8EF" w14:textId="68792E5C"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51.4</w:t>
            </w:r>
          </w:p>
        </w:tc>
        <w:tc>
          <w:tcPr>
            <w:tcW w:w="851" w:type="dxa"/>
            <w:tcBorders>
              <w:bottom w:val="single" w:sz="2" w:space="0" w:color="3D7FE0" w:themeColor="accent1"/>
            </w:tcBorders>
            <w:tcMar>
              <w:left w:w="0" w:type="dxa"/>
              <w:right w:w="0" w:type="dxa"/>
            </w:tcMar>
          </w:tcPr>
          <w:p w14:paraId="69A5D357" w14:textId="32A9D879"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ab/>
              <w:t xml:space="preserve">26.7 </w:t>
            </w:r>
          </w:p>
        </w:tc>
      </w:tr>
      <w:tr w:rsidR="005B0D3D" w:rsidRPr="00895810" w14:paraId="53702C33" w14:textId="77777777" w:rsidTr="00024B10">
        <w:trPr>
          <w:trHeight w:hRule="exact" w:val="259"/>
        </w:trPr>
        <w:tc>
          <w:tcPr>
            <w:tcW w:w="4253" w:type="dxa"/>
            <w:tcBorders>
              <w:top w:val="single" w:sz="2" w:space="0" w:color="3D7FE0" w:themeColor="accent1"/>
            </w:tcBorders>
            <w:tcMar>
              <w:left w:w="0" w:type="dxa"/>
              <w:right w:w="0" w:type="dxa"/>
            </w:tcMar>
            <w:vAlign w:val="bottom"/>
          </w:tcPr>
          <w:p w14:paraId="6C513500" w14:textId="77777777" w:rsidR="005B0D3D" w:rsidRPr="00895810" w:rsidRDefault="005B0D3D" w:rsidP="00940DED">
            <w:pPr>
              <w:pStyle w:val="TableFigures"/>
              <w:jc w:val="left"/>
              <w:rPr>
                <w:rFonts w:ascii="IBM Plex Sans Light" w:hAnsi="IBM Plex Sans Light" w:cs="MyriadPro-Light"/>
                <w:b/>
                <w:color w:val="3D7FE0" w:themeColor="accent1"/>
                <w:spacing w:val="-4"/>
                <w:sz w:val="18"/>
                <w:szCs w:val="18"/>
              </w:rPr>
            </w:pPr>
          </w:p>
        </w:tc>
        <w:tc>
          <w:tcPr>
            <w:tcW w:w="425" w:type="dxa"/>
            <w:tcBorders>
              <w:top w:val="single" w:sz="2" w:space="0" w:color="3D7FE0" w:themeColor="accent1"/>
            </w:tcBorders>
          </w:tcPr>
          <w:p w14:paraId="2382D42B" w14:textId="246C63AC" w:rsidR="005B0D3D" w:rsidRPr="00895810" w:rsidRDefault="005B0D3D" w:rsidP="00940DED">
            <w:pPr>
              <w:pStyle w:val="TableFigures"/>
              <w:rPr>
                <w:rFonts w:ascii="IBM Plex Sans Light" w:hAnsi="IBM Plex Sans Light"/>
                <w:color w:val="auto"/>
                <w:spacing w:val="-4"/>
                <w:sz w:val="18"/>
                <w:szCs w:val="18"/>
              </w:rPr>
            </w:pPr>
          </w:p>
        </w:tc>
        <w:tc>
          <w:tcPr>
            <w:tcW w:w="851" w:type="dxa"/>
            <w:tcBorders>
              <w:top w:val="single" w:sz="2" w:space="0" w:color="3D7FE0" w:themeColor="accent1"/>
            </w:tcBorders>
          </w:tcPr>
          <w:p w14:paraId="6D12293F" w14:textId="3A4D3747"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109.5</w:t>
            </w:r>
          </w:p>
        </w:tc>
        <w:tc>
          <w:tcPr>
            <w:tcW w:w="992" w:type="dxa"/>
            <w:tcBorders>
              <w:top w:val="single" w:sz="2" w:space="0" w:color="3D7FE0" w:themeColor="accent1"/>
            </w:tcBorders>
          </w:tcPr>
          <w:p w14:paraId="6CC5357E" w14:textId="3E3AAA42"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131.8</w:t>
            </w:r>
          </w:p>
        </w:tc>
        <w:tc>
          <w:tcPr>
            <w:tcW w:w="850" w:type="dxa"/>
            <w:tcBorders>
              <w:top w:val="single" w:sz="2" w:space="0" w:color="3D7FE0" w:themeColor="accent1"/>
            </w:tcBorders>
          </w:tcPr>
          <w:p w14:paraId="64A21A48" w14:textId="5627CE6A" w:rsidR="005B0D3D" w:rsidRPr="009D38AD" w:rsidRDefault="005B0D3D" w:rsidP="00F65472">
            <w:pPr>
              <w:pStyle w:val="TableFigures"/>
              <w:ind w:left="-188" w:right="-54" w:firstLine="188"/>
              <w:rPr>
                <w:rFonts w:ascii="IBM Plex Sans Light" w:hAnsi="IBM Plex Sans Light"/>
                <w:color w:val="auto"/>
                <w:spacing w:val="-4"/>
                <w:sz w:val="18"/>
                <w:szCs w:val="18"/>
              </w:rPr>
            </w:pPr>
            <w:r w:rsidRPr="009D38AD">
              <w:rPr>
                <w:rFonts w:ascii="IBM Plex Sans Light" w:hAnsi="IBM Plex Sans Light"/>
                <w:color w:val="auto"/>
                <w:spacing w:val="-4"/>
                <w:sz w:val="18"/>
                <w:szCs w:val="18"/>
              </w:rPr>
              <w:t>1,097.8</w:t>
            </w:r>
          </w:p>
        </w:tc>
        <w:tc>
          <w:tcPr>
            <w:tcW w:w="851" w:type="dxa"/>
            <w:tcBorders>
              <w:top w:val="single" w:sz="2" w:space="0" w:color="3D7FE0" w:themeColor="accent1"/>
            </w:tcBorders>
            <w:tcMar>
              <w:left w:w="0" w:type="dxa"/>
              <w:right w:w="0" w:type="dxa"/>
            </w:tcMar>
          </w:tcPr>
          <w:p w14:paraId="39D73192" w14:textId="72397878"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379.3</w:t>
            </w:r>
          </w:p>
        </w:tc>
        <w:tc>
          <w:tcPr>
            <w:tcW w:w="850" w:type="dxa"/>
            <w:tcBorders>
              <w:top w:val="single" w:sz="2" w:space="0" w:color="3D7FE0" w:themeColor="accent1"/>
            </w:tcBorders>
            <w:tcMar>
              <w:left w:w="0" w:type="dxa"/>
              <w:right w:w="0" w:type="dxa"/>
            </w:tcMar>
          </w:tcPr>
          <w:p w14:paraId="0F9579B8" w14:textId="2FB6F547" w:rsidR="005B0D3D" w:rsidRPr="00895810" w:rsidRDefault="005B0D3D" w:rsidP="00940DED">
            <w:pPr>
              <w:pStyle w:val="TableFiguresBold"/>
              <w:rPr>
                <w:rFonts w:ascii="IBM Plex Sans Light" w:hAnsi="IBM Plex Sans Light"/>
                <w:b w:val="0"/>
                <w:bCs w:val="0"/>
                <w:color w:val="auto"/>
                <w:spacing w:val="-4"/>
                <w:sz w:val="18"/>
                <w:szCs w:val="18"/>
              </w:rPr>
            </w:pPr>
            <w:r w:rsidRPr="00543AD4">
              <w:rPr>
                <w:rFonts w:ascii="IBM Plex Sans Light" w:hAnsi="IBM Plex Sans Light"/>
                <w:b w:val="0"/>
                <w:bCs w:val="0"/>
                <w:color w:val="auto"/>
                <w:spacing w:val="-4"/>
                <w:sz w:val="18"/>
                <w:szCs w:val="18"/>
              </w:rPr>
              <w:t>3,493.5</w:t>
            </w:r>
          </w:p>
        </w:tc>
        <w:tc>
          <w:tcPr>
            <w:tcW w:w="851" w:type="dxa"/>
            <w:tcBorders>
              <w:top w:val="single" w:sz="2" w:space="0" w:color="3D7FE0" w:themeColor="accent1"/>
            </w:tcBorders>
            <w:tcMar>
              <w:left w:w="0" w:type="dxa"/>
              <w:right w:w="0" w:type="dxa"/>
            </w:tcMar>
          </w:tcPr>
          <w:p w14:paraId="746B4CDA" w14:textId="605383DE" w:rsidR="005B0D3D" w:rsidRPr="00895810" w:rsidRDefault="005B0D3D" w:rsidP="00940DE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1,646.7</w:t>
            </w:r>
          </w:p>
        </w:tc>
      </w:tr>
      <w:tr w:rsidR="005B0D3D" w:rsidRPr="00895810" w14:paraId="118CD0E9" w14:textId="77777777" w:rsidTr="00024B10">
        <w:trPr>
          <w:trHeight w:hRule="exact" w:val="289"/>
        </w:trPr>
        <w:tc>
          <w:tcPr>
            <w:tcW w:w="4253" w:type="dxa"/>
            <w:tcMar>
              <w:left w:w="0" w:type="dxa"/>
              <w:right w:w="0" w:type="dxa"/>
            </w:tcMar>
            <w:vAlign w:val="bottom"/>
          </w:tcPr>
          <w:p w14:paraId="1AC97095" w14:textId="77777777" w:rsidR="005B0D3D" w:rsidRPr="00895810" w:rsidRDefault="005B0D3D" w:rsidP="00F365E1">
            <w:pPr>
              <w:pStyle w:val="TableFiguresBracket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Current assets</w:t>
            </w:r>
          </w:p>
        </w:tc>
        <w:tc>
          <w:tcPr>
            <w:tcW w:w="425" w:type="dxa"/>
          </w:tcPr>
          <w:p w14:paraId="22F4C3A7" w14:textId="77777777" w:rsidR="005B0D3D" w:rsidRPr="00895810" w:rsidRDefault="005B0D3D" w:rsidP="005C21A0">
            <w:pPr>
              <w:pStyle w:val="TableFigures"/>
              <w:rPr>
                <w:rFonts w:ascii="IBM Plex Sans Light" w:hAnsi="IBM Plex Sans Light"/>
                <w:color w:val="auto"/>
                <w:spacing w:val="-4"/>
                <w:sz w:val="18"/>
                <w:szCs w:val="18"/>
              </w:rPr>
            </w:pPr>
          </w:p>
        </w:tc>
        <w:tc>
          <w:tcPr>
            <w:tcW w:w="851" w:type="dxa"/>
            <w:vAlign w:val="bottom"/>
          </w:tcPr>
          <w:p w14:paraId="230296FD" w14:textId="77777777" w:rsidR="005B0D3D" w:rsidRPr="00895810" w:rsidRDefault="005B0D3D" w:rsidP="005C21A0">
            <w:pPr>
              <w:pStyle w:val="TableFigures"/>
              <w:rPr>
                <w:rFonts w:ascii="IBM Plex Sans Light" w:hAnsi="IBM Plex Sans Light"/>
                <w:color w:val="auto"/>
                <w:spacing w:val="-4"/>
                <w:sz w:val="18"/>
                <w:szCs w:val="18"/>
              </w:rPr>
            </w:pPr>
          </w:p>
        </w:tc>
        <w:tc>
          <w:tcPr>
            <w:tcW w:w="992" w:type="dxa"/>
            <w:vAlign w:val="bottom"/>
          </w:tcPr>
          <w:p w14:paraId="35674007" w14:textId="77777777" w:rsidR="005B0D3D" w:rsidRPr="00895810" w:rsidRDefault="005B0D3D" w:rsidP="005C21A0">
            <w:pPr>
              <w:pStyle w:val="TableFigures"/>
              <w:rPr>
                <w:rFonts w:ascii="IBM Plex Sans Light" w:hAnsi="IBM Plex Sans Light"/>
                <w:color w:val="auto"/>
                <w:spacing w:val="-4"/>
                <w:sz w:val="18"/>
                <w:szCs w:val="18"/>
              </w:rPr>
            </w:pPr>
          </w:p>
        </w:tc>
        <w:tc>
          <w:tcPr>
            <w:tcW w:w="850" w:type="dxa"/>
            <w:vAlign w:val="bottom"/>
          </w:tcPr>
          <w:p w14:paraId="55101765" w14:textId="77777777" w:rsidR="005B0D3D" w:rsidRPr="00895810" w:rsidRDefault="005B0D3D" w:rsidP="00F65472">
            <w:pPr>
              <w:pStyle w:val="TableFigures"/>
              <w:ind w:left="-188" w:right="-54" w:firstLine="188"/>
              <w:rPr>
                <w:rFonts w:ascii="IBM Plex Sans Light" w:hAnsi="IBM Plex Sans Light"/>
                <w:color w:val="auto"/>
                <w:spacing w:val="-4"/>
                <w:sz w:val="18"/>
                <w:szCs w:val="18"/>
              </w:rPr>
            </w:pPr>
          </w:p>
        </w:tc>
        <w:tc>
          <w:tcPr>
            <w:tcW w:w="851" w:type="dxa"/>
            <w:tcMar>
              <w:left w:w="0" w:type="dxa"/>
              <w:right w:w="0" w:type="dxa"/>
            </w:tcMar>
            <w:vAlign w:val="bottom"/>
          </w:tcPr>
          <w:p w14:paraId="655E6923" w14:textId="77777777" w:rsidR="005B0D3D" w:rsidRPr="00895810" w:rsidRDefault="005B0D3D" w:rsidP="005C21A0">
            <w:pPr>
              <w:pStyle w:val="TableFigures"/>
              <w:rPr>
                <w:rFonts w:ascii="IBM Plex Sans Light" w:hAnsi="IBM Plex Sans Light"/>
                <w:color w:val="auto"/>
                <w:spacing w:val="-4"/>
                <w:sz w:val="18"/>
                <w:szCs w:val="18"/>
              </w:rPr>
            </w:pPr>
          </w:p>
        </w:tc>
        <w:tc>
          <w:tcPr>
            <w:tcW w:w="850" w:type="dxa"/>
            <w:tcMar>
              <w:left w:w="0" w:type="dxa"/>
              <w:right w:w="0" w:type="dxa"/>
            </w:tcMar>
            <w:vAlign w:val="bottom"/>
          </w:tcPr>
          <w:p w14:paraId="71F44FAF" w14:textId="77777777" w:rsidR="005B0D3D" w:rsidRPr="00895810" w:rsidRDefault="005B0D3D" w:rsidP="005C21A0">
            <w:pPr>
              <w:pStyle w:val="TableFigures"/>
              <w:rPr>
                <w:rFonts w:ascii="IBM Plex Sans Light" w:hAnsi="IBM Plex Sans Light"/>
                <w:color w:val="auto"/>
                <w:spacing w:val="-4"/>
                <w:sz w:val="18"/>
                <w:szCs w:val="18"/>
              </w:rPr>
            </w:pPr>
          </w:p>
        </w:tc>
        <w:tc>
          <w:tcPr>
            <w:tcW w:w="851" w:type="dxa"/>
            <w:tcMar>
              <w:left w:w="0" w:type="dxa"/>
              <w:right w:w="0" w:type="dxa"/>
            </w:tcMar>
            <w:vAlign w:val="bottom"/>
          </w:tcPr>
          <w:p w14:paraId="44A1E2F6" w14:textId="77777777" w:rsidR="005B0D3D" w:rsidRPr="00543AD4" w:rsidRDefault="005B0D3D" w:rsidP="00F365E1">
            <w:pPr>
              <w:pStyle w:val="TableFiguresBracketsBold"/>
              <w:rPr>
                <w:rFonts w:ascii="IBM Plex Sans Light" w:hAnsi="IBM Plex Sans Light"/>
                <w:b w:val="0"/>
                <w:bCs w:val="0"/>
                <w:color w:val="auto"/>
                <w:spacing w:val="-4"/>
                <w:sz w:val="18"/>
                <w:szCs w:val="18"/>
              </w:rPr>
            </w:pPr>
          </w:p>
        </w:tc>
      </w:tr>
      <w:tr w:rsidR="005B0D3D" w:rsidRPr="00895810" w14:paraId="7EAFC1A6" w14:textId="77777777" w:rsidTr="00024B10">
        <w:trPr>
          <w:trHeight w:hRule="exact" w:val="289"/>
        </w:trPr>
        <w:tc>
          <w:tcPr>
            <w:tcW w:w="4253" w:type="dxa"/>
            <w:tcMar>
              <w:left w:w="0" w:type="dxa"/>
              <w:right w:w="0" w:type="dxa"/>
            </w:tcMar>
            <w:vAlign w:val="bottom"/>
          </w:tcPr>
          <w:p w14:paraId="6768BFCF" w14:textId="57D6D407" w:rsidR="005B0D3D" w:rsidRPr="00895810" w:rsidRDefault="00452848" w:rsidP="00177ABA">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Cash and cash equivalents</w:t>
            </w:r>
          </w:p>
        </w:tc>
        <w:tc>
          <w:tcPr>
            <w:tcW w:w="425" w:type="dxa"/>
          </w:tcPr>
          <w:p w14:paraId="7A4A48EC" w14:textId="6D38844A" w:rsidR="005B0D3D" w:rsidRPr="00895810" w:rsidRDefault="005B0D3D" w:rsidP="00177ABA">
            <w:pPr>
              <w:pStyle w:val="TableFigures"/>
              <w:rPr>
                <w:rFonts w:ascii="IBM Plex Sans Light" w:hAnsi="IBM Plex Sans Light"/>
                <w:color w:val="auto"/>
                <w:spacing w:val="-4"/>
                <w:sz w:val="18"/>
                <w:szCs w:val="18"/>
              </w:rPr>
            </w:pPr>
          </w:p>
        </w:tc>
        <w:tc>
          <w:tcPr>
            <w:tcW w:w="851" w:type="dxa"/>
          </w:tcPr>
          <w:p w14:paraId="0EDC78D4" w14:textId="58D47068" w:rsidR="005B0D3D" w:rsidRPr="00895810" w:rsidRDefault="005B0D3D" w:rsidP="00177ABA">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13.9</w:t>
            </w:r>
          </w:p>
        </w:tc>
        <w:tc>
          <w:tcPr>
            <w:tcW w:w="992" w:type="dxa"/>
          </w:tcPr>
          <w:p w14:paraId="3B14107E" w14:textId="52E4C321" w:rsidR="005B0D3D" w:rsidRPr="00895810" w:rsidRDefault="005B0D3D" w:rsidP="00177ABA">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22.2</w:t>
            </w:r>
          </w:p>
        </w:tc>
        <w:tc>
          <w:tcPr>
            <w:tcW w:w="850" w:type="dxa"/>
          </w:tcPr>
          <w:p w14:paraId="0BC98373" w14:textId="0EB4EA06" w:rsidR="005B0D3D" w:rsidRPr="00895810" w:rsidRDefault="005B0D3D" w:rsidP="00177ABA">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73.3</w:t>
            </w:r>
          </w:p>
        </w:tc>
        <w:tc>
          <w:tcPr>
            <w:tcW w:w="851" w:type="dxa"/>
            <w:tcMar>
              <w:left w:w="0" w:type="dxa"/>
              <w:right w:w="0" w:type="dxa"/>
            </w:tcMar>
          </w:tcPr>
          <w:p w14:paraId="4CC485CE" w14:textId="25D9B65F" w:rsidR="005B0D3D" w:rsidRPr="00895810" w:rsidRDefault="005B0D3D" w:rsidP="00177ABA">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13.9</w:t>
            </w:r>
          </w:p>
        </w:tc>
        <w:tc>
          <w:tcPr>
            <w:tcW w:w="850" w:type="dxa"/>
            <w:tcMar>
              <w:left w:w="0" w:type="dxa"/>
              <w:right w:w="0" w:type="dxa"/>
            </w:tcMar>
          </w:tcPr>
          <w:p w14:paraId="2A4DFE10" w14:textId="31D4884C" w:rsidR="005B0D3D" w:rsidRPr="00895810" w:rsidRDefault="005B0D3D" w:rsidP="00177ABA">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231.2</w:t>
            </w:r>
          </w:p>
        </w:tc>
        <w:tc>
          <w:tcPr>
            <w:tcW w:w="851" w:type="dxa"/>
            <w:tcMar>
              <w:left w:w="0" w:type="dxa"/>
              <w:right w:w="0" w:type="dxa"/>
            </w:tcMar>
          </w:tcPr>
          <w:p w14:paraId="0D187792" w14:textId="3C3BE163" w:rsidR="005B0D3D" w:rsidRPr="00895810" w:rsidRDefault="005B0D3D" w:rsidP="00177ABA">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110.9</w:t>
            </w:r>
          </w:p>
        </w:tc>
      </w:tr>
      <w:tr w:rsidR="005F6D26" w:rsidRPr="00895810" w14:paraId="49B13CDC" w14:textId="77777777" w:rsidTr="00024B10">
        <w:trPr>
          <w:trHeight w:hRule="exact" w:val="289"/>
        </w:trPr>
        <w:tc>
          <w:tcPr>
            <w:tcW w:w="4253" w:type="dxa"/>
            <w:tcBorders>
              <w:bottom w:val="single" w:sz="4" w:space="0" w:color="3D7FE0" w:themeColor="accent1"/>
            </w:tcBorders>
            <w:tcMar>
              <w:left w:w="0" w:type="dxa"/>
              <w:right w:w="0" w:type="dxa"/>
            </w:tcMar>
            <w:vAlign w:val="bottom"/>
          </w:tcPr>
          <w:p w14:paraId="5CF3D163" w14:textId="6790EBCE" w:rsidR="005F6D26" w:rsidRPr="00895810" w:rsidRDefault="005F6D26" w:rsidP="005F6D26">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current assets</w:t>
            </w:r>
          </w:p>
        </w:tc>
        <w:tc>
          <w:tcPr>
            <w:tcW w:w="425" w:type="dxa"/>
            <w:tcBorders>
              <w:bottom w:val="single" w:sz="4" w:space="0" w:color="3D7FE0" w:themeColor="accent1"/>
            </w:tcBorders>
            <w:vAlign w:val="bottom"/>
          </w:tcPr>
          <w:p w14:paraId="50AC69D1" w14:textId="53B25983" w:rsidR="005F6D26" w:rsidRPr="00895810" w:rsidRDefault="005F6D26" w:rsidP="005F6D26">
            <w:pPr>
              <w:pStyle w:val="TableFigures"/>
              <w:rPr>
                <w:rFonts w:ascii="IBM Plex Sans Light" w:hAnsi="IBM Plex Sans Light"/>
                <w:color w:val="auto"/>
                <w:spacing w:val="-4"/>
                <w:sz w:val="18"/>
                <w:szCs w:val="18"/>
              </w:rPr>
            </w:pPr>
            <w:r>
              <w:rPr>
                <w:rFonts w:ascii="IBM Plex Sans Light" w:hAnsi="IBM Plex Sans Light" w:cs="MyriadPro-Light"/>
                <w:color w:val="auto"/>
                <w:spacing w:val="-4"/>
                <w:szCs w:val="16"/>
              </w:rPr>
              <w:t>d</w:t>
            </w:r>
          </w:p>
        </w:tc>
        <w:tc>
          <w:tcPr>
            <w:tcW w:w="851" w:type="dxa"/>
            <w:tcBorders>
              <w:bottom w:val="single" w:sz="4" w:space="0" w:color="3D7FE0" w:themeColor="accent1"/>
            </w:tcBorders>
          </w:tcPr>
          <w:p w14:paraId="0164538B" w14:textId="0B01ECCF"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65.4</w:t>
            </w:r>
          </w:p>
        </w:tc>
        <w:tc>
          <w:tcPr>
            <w:tcW w:w="992" w:type="dxa"/>
            <w:tcBorders>
              <w:bottom w:val="single" w:sz="4" w:space="0" w:color="3D7FE0" w:themeColor="accent1"/>
            </w:tcBorders>
          </w:tcPr>
          <w:p w14:paraId="00E59C18" w14:textId="1A958857"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5.0</w:t>
            </w:r>
          </w:p>
        </w:tc>
        <w:tc>
          <w:tcPr>
            <w:tcW w:w="850" w:type="dxa"/>
            <w:tcBorders>
              <w:bottom w:val="single" w:sz="4" w:space="0" w:color="3D7FE0" w:themeColor="accent1"/>
            </w:tcBorders>
          </w:tcPr>
          <w:p w14:paraId="03A1F8B9" w14:textId="070191DC"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3.7</w:t>
            </w:r>
          </w:p>
        </w:tc>
        <w:tc>
          <w:tcPr>
            <w:tcW w:w="851" w:type="dxa"/>
            <w:tcBorders>
              <w:bottom w:val="single" w:sz="4" w:space="0" w:color="3D7FE0" w:themeColor="accent1"/>
            </w:tcBorders>
            <w:tcMar>
              <w:left w:w="0" w:type="dxa"/>
              <w:right w:w="0" w:type="dxa"/>
            </w:tcMar>
          </w:tcPr>
          <w:p w14:paraId="77CF926D" w14:textId="18042240"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19.5</w:t>
            </w:r>
          </w:p>
        </w:tc>
        <w:tc>
          <w:tcPr>
            <w:tcW w:w="850" w:type="dxa"/>
            <w:tcBorders>
              <w:bottom w:val="single" w:sz="4" w:space="0" w:color="3D7FE0" w:themeColor="accent1"/>
            </w:tcBorders>
            <w:tcMar>
              <w:left w:w="0" w:type="dxa"/>
              <w:right w:w="0" w:type="dxa"/>
            </w:tcMar>
          </w:tcPr>
          <w:p w14:paraId="71316085" w14:textId="06E40D44"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141.2</w:t>
            </w:r>
          </w:p>
        </w:tc>
        <w:tc>
          <w:tcPr>
            <w:tcW w:w="851" w:type="dxa"/>
            <w:tcBorders>
              <w:bottom w:val="single" w:sz="4" w:space="0" w:color="3D7FE0" w:themeColor="accent1"/>
            </w:tcBorders>
            <w:tcMar>
              <w:left w:w="0" w:type="dxa"/>
              <w:right w:w="0" w:type="dxa"/>
            </w:tcMar>
          </w:tcPr>
          <w:p w14:paraId="0E50B80B" w14:textId="6CD10979"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ab/>
              <w:t xml:space="preserve">61.3 </w:t>
            </w:r>
          </w:p>
        </w:tc>
      </w:tr>
      <w:tr w:rsidR="005F6D26" w:rsidRPr="00895810" w14:paraId="5577BD05" w14:textId="77777777" w:rsidTr="00024B10">
        <w:trPr>
          <w:trHeight w:hRule="exact" w:val="289"/>
        </w:trPr>
        <w:tc>
          <w:tcPr>
            <w:tcW w:w="4253" w:type="dxa"/>
            <w:tcBorders>
              <w:top w:val="single" w:sz="4" w:space="0" w:color="3D7FE0" w:themeColor="accent1"/>
            </w:tcBorders>
            <w:tcMar>
              <w:left w:w="0" w:type="dxa"/>
              <w:right w:w="0" w:type="dxa"/>
            </w:tcMar>
            <w:vAlign w:val="bottom"/>
          </w:tcPr>
          <w:p w14:paraId="6BDDA2CC" w14:textId="7571EEC7" w:rsidR="005F6D26" w:rsidRPr="00895810" w:rsidRDefault="005F6D26" w:rsidP="005F6D26">
            <w:pPr>
              <w:pStyle w:val="TableFiguresBrackets"/>
              <w:jc w:val="left"/>
              <w:rPr>
                <w:rFonts w:ascii="IBM Plex Sans Light" w:hAnsi="IBM Plex Sans Light" w:cs="MyriadPro-Light"/>
                <w:b/>
                <w:bCs/>
                <w:color w:val="3D7FE0" w:themeColor="accent1"/>
                <w:spacing w:val="-4"/>
                <w:sz w:val="18"/>
                <w:szCs w:val="18"/>
              </w:rPr>
            </w:pPr>
          </w:p>
        </w:tc>
        <w:tc>
          <w:tcPr>
            <w:tcW w:w="425" w:type="dxa"/>
            <w:tcBorders>
              <w:top w:val="single" w:sz="4" w:space="0" w:color="3D7FE0" w:themeColor="accent1"/>
            </w:tcBorders>
            <w:vAlign w:val="bottom"/>
          </w:tcPr>
          <w:p w14:paraId="43909942" w14:textId="7B0B93CF" w:rsidR="005F6D26" w:rsidRPr="00895810" w:rsidRDefault="005F6D26" w:rsidP="005F6D26">
            <w:pPr>
              <w:pStyle w:val="TableFigures"/>
              <w:rPr>
                <w:rFonts w:ascii="IBM Plex Sans Light" w:hAnsi="IBM Plex Sans Light"/>
                <w:color w:val="auto"/>
                <w:spacing w:val="-4"/>
                <w:sz w:val="18"/>
                <w:szCs w:val="18"/>
              </w:rPr>
            </w:pPr>
          </w:p>
        </w:tc>
        <w:tc>
          <w:tcPr>
            <w:tcW w:w="851" w:type="dxa"/>
            <w:tcBorders>
              <w:top w:val="single" w:sz="4" w:space="0" w:color="3D7FE0" w:themeColor="accent1"/>
            </w:tcBorders>
          </w:tcPr>
          <w:p w14:paraId="1D5459C9" w14:textId="4FDE56A9"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79.3</w:t>
            </w:r>
          </w:p>
        </w:tc>
        <w:tc>
          <w:tcPr>
            <w:tcW w:w="992" w:type="dxa"/>
            <w:tcBorders>
              <w:top w:val="single" w:sz="4" w:space="0" w:color="3D7FE0" w:themeColor="accent1"/>
            </w:tcBorders>
          </w:tcPr>
          <w:p w14:paraId="48054192" w14:textId="299498BE"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27.2</w:t>
            </w:r>
          </w:p>
        </w:tc>
        <w:tc>
          <w:tcPr>
            <w:tcW w:w="850" w:type="dxa"/>
            <w:tcBorders>
              <w:top w:val="single" w:sz="4" w:space="0" w:color="3D7FE0" w:themeColor="accent1"/>
            </w:tcBorders>
          </w:tcPr>
          <w:p w14:paraId="0CB157CE" w14:textId="5CE9D5D6"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77.0</w:t>
            </w:r>
          </w:p>
        </w:tc>
        <w:tc>
          <w:tcPr>
            <w:tcW w:w="851" w:type="dxa"/>
            <w:tcBorders>
              <w:top w:val="single" w:sz="4" w:space="0" w:color="3D7FE0" w:themeColor="accent1"/>
            </w:tcBorders>
            <w:tcMar>
              <w:left w:w="0" w:type="dxa"/>
              <w:right w:w="0" w:type="dxa"/>
            </w:tcMar>
          </w:tcPr>
          <w:p w14:paraId="0A82448B" w14:textId="276633D6"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33.4</w:t>
            </w:r>
          </w:p>
        </w:tc>
        <w:tc>
          <w:tcPr>
            <w:tcW w:w="850" w:type="dxa"/>
            <w:tcBorders>
              <w:top w:val="single" w:sz="4" w:space="0" w:color="3D7FE0" w:themeColor="accent1"/>
            </w:tcBorders>
            <w:tcMar>
              <w:left w:w="0" w:type="dxa"/>
              <w:right w:w="0" w:type="dxa"/>
            </w:tcMar>
          </w:tcPr>
          <w:p w14:paraId="428C3FA5" w14:textId="11B4F86A"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372.4</w:t>
            </w:r>
          </w:p>
        </w:tc>
        <w:tc>
          <w:tcPr>
            <w:tcW w:w="851" w:type="dxa"/>
            <w:tcBorders>
              <w:top w:val="single" w:sz="4" w:space="0" w:color="3D7FE0" w:themeColor="accent1"/>
            </w:tcBorders>
            <w:tcMar>
              <w:left w:w="0" w:type="dxa"/>
              <w:right w:w="0" w:type="dxa"/>
            </w:tcMar>
          </w:tcPr>
          <w:p w14:paraId="19726ACB" w14:textId="0F7E1E48"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172.2</w:t>
            </w:r>
          </w:p>
        </w:tc>
      </w:tr>
      <w:tr w:rsidR="005F6D26" w:rsidRPr="00895810" w14:paraId="3A647CCB" w14:textId="77777777" w:rsidTr="00024B10">
        <w:trPr>
          <w:trHeight w:hRule="exact" w:val="289"/>
        </w:trPr>
        <w:tc>
          <w:tcPr>
            <w:tcW w:w="4253" w:type="dxa"/>
            <w:tcMar>
              <w:left w:w="0" w:type="dxa"/>
              <w:right w:w="0" w:type="dxa"/>
            </w:tcMar>
            <w:vAlign w:val="bottom"/>
          </w:tcPr>
          <w:p w14:paraId="0223619A" w14:textId="77777777" w:rsidR="005F6D26" w:rsidRPr="00895810" w:rsidRDefault="005F6D26" w:rsidP="005F6D26">
            <w:pPr>
              <w:pStyle w:val="TableFiguresBracket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Current liabilities</w:t>
            </w:r>
          </w:p>
        </w:tc>
        <w:tc>
          <w:tcPr>
            <w:tcW w:w="425" w:type="dxa"/>
            <w:vAlign w:val="bottom"/>
          </w:tcPr>
          <w:p w14:paraId="795BAD10" w14:textId="77777777" w:rsidR="005F6D26" w:rsidRPr="00895810" w:rsidRDefault="005F6D26" w:rsidP="005F6D26">
            <w:pPr>
              <w:pStyle w:val="TableFigures"/>
              <w:rPr>
                <w:rFonts w:ascii="IBM Plex Sans Light" w:hAnsi="IBM Plex Sans Light"/>
                <w:color w:val="auto"/>
                <w:spacing w:val="-4"/>
                <w:sz w:val="18"/>
                <w:szCs w:val="18"/>
              </w:rPr>
            </w:pPr>
          </w:p>
        </w:tc>
        <w:tc>
          <w:tcPr>
            <w:tcW w:w="851" w:type="dxa"/>
            <w:vAlign w:val="bottom"/>
          </w:tcPr>
          <w:p w14:paraId="4D0B24F0" w14:textId="77777777" w:rsidR="005F6D26" w:rsidRPr="00895810" w:rsidRDefault="005F6D26" w:rsidP="005F6D26">
            <w:pPr>
              <w:pStyle w:val="TableFigures"/>
              <w:rPr>
                <w:rFonts w:ascii="IBM Plex Sans Light" w:hAnsi="IBM Plex Sans Light"/>
                <w:color w:val="auto"/>
                <w:spacing w:val="-4"/>
                <w:sz w:val="18"/>
                <w:szCs w:val="18"/>
              </w:rPr>
            </w:pPr>
          </w:p>
        </w:tc>
        <w:tc>
          <w:tcPr>
            <w:tcW w:w="992" w:type="dxa"/>
            <w:vAlign w:val="bottom"/>
          </w:tcPr>
          <w:p w14:paraId="3F94FB35" w14:textId="77777777" w:rsidR="005F6D26" w:rsidRPr="00895810" w:rsidRDefault="005F6D26" w:rsidP="005F6D26">
            <w:pPr>
              <w:pStyle w:val="TableFigures"/>
              <w:rPr>
                <w:rFonts w:ascii="IBM Plex Sans Light" w:hAnsi="IBM Plex Sans Light"/>
                <w:color w:val="auto"/>
                <w:spacing w:val="-4"/>
                <w:sz w:val="18"/>
                <w:szCs w:val="18"/>
              </w:rPr>
            </w:pPr>
          </w:p>
        </w:tc>
        <w:tc>
          <w:tcPr>
            <w:tcW w:w="850" w:type="dxa"/>
            <w:vAlign w:val="bottom"/>
          </w:tcPr>
          <w:p w14:paraId="5175E8EF" w14:textId="77777777" w:rsidR="005F6D26" w:rsidRPr="00895810" w:rsidRDefault="005F6D26" w:rsidP="005F6D26">
            <w:pPr>
              <w:pStyle w:val="TableFigures"/>
              <w:rPr>
                <w:rFonts w:ascii="IBM Plex Sans Light" w:hAnsi="IBM Plex Sans Light"/>
                <w:color w:val="auto"/>
                <w:spacing w:val="-4"/>
                <w:sz w:val="18"/>
                <w:szCs w:val="18"/>
              </w:rPr>
            </w:pPr>
          </w:p>
        </w:tc>
        <w:tc>
          <w:tcPr>
            <w:tcW w:w="851" w:type="dxa"/>
            <w:tcMar>
              <w:left w:w="0" w:type="dxa"/>
              <w:right w:w="0" w:type="dxa"/>
            </w:tcMar>
            <w:vAlign w:val="bottom"/>
          </w:tcPr>
          <w:p w14:paraId="3375FA02" w14:textId="77777777" w:rsidR="005F6D26" w:rsidRPr="00895810" w:rsidRDefault="005F6D26" w:rsidP="005F6D26">
            <w:pPr>
              <w:pStyle w:val="TableFigures"/>
              <w:rPr>
                <w:rFonts w:ascii="IBM Plex Sans Light" w:hAnsi="IBM Plex Sans Light"/>
                <w:color w:val="auto"/>
                <w:spacing w:val="-4"/>
                <w:sz w:val="18"/>
                <w:szCs w:val="18"/>
              </w:rPr>
            </w:pPr>
          </w:p>
        </w:tc>
        <w:tc>
          <w:tcPr>
            <w:tcW w:w="850" w:type="dxa"/>
            <w:tcMar>
              <w:left w:w="0" w:type="dxa"/>
              <w:right w:w="0" w:type="dxa"/>
            </w:tcMar>
            <w:vAlign w:val="bottom"/>
          </w:tcPr>
          <w:p w14:paraId="5004E8C1" w14:textId="77777777" w:rsidR="005F6D26" w:rsidRPr="00895810" w:rsidRDefault="005F6D26" w:rsidP="005F6D26">
            <w:pPr>
              <w:pStyle w:val="TableFigures"/>
              <w:rPr>
                <w:rFonts w:ascii="IBM Plex Sans Light" w:hAnsi="IBM Plex Sans Light"/>
                <w:color w:val="auto"/>
                <w:spacing w:val="-4"/>
                <w:sz w:val="18"/>
                <w:szCs w:val="18"/>
              </w:rPr>
            </w:pPr>
          </w:p>
        </w:tc>
        <w:tc>
          <w:tcPr>
            <w:tcW w:w="851" w:type="dxa"/>
            <w:tcMar>
              <w:left w:w="0" w:type="dxa"/>
              <w:right w:w="0" w:type="dxa"/>
            </w:tcMar>
            <w:vAlign w:val="bottom"/>
          </w:tcPr>
          <w:p w14:paraId="67621FA2" w14:textId="77777777" w:rsidR="005F6D26" w:rsidRPr="00895810" w:rsidRDefault="005F6D26" w:rsidP="005F6D26">
            <w:pPr>
              <w:pStyle w:val="TableFiguresBracketsBold"/>
              <w:rPr>
                <w:rFonts w:ascii="IBM Plex Sans Light" w:hAnsi="IBM Plex Sans Light"/>
                <w:color w:val="auto"/>
                <w:spacing w:val="-4"/>
                <w:sz w:val="18"/>
                <w:szCs w:val="18"/>
              </w:rPr>
            </w:pPr>
          </w:p>
        </w:tc>
      </w:tr>
      <w:tr w:rsidR="005F6D26" w:rsidRPr="00895810" w14:paraId="77B5F044" w14:textId="77777777" w:rsidTr="00024B10">
        <w:trPr>
          <w:trHeight w:hRule="exact" w:val="289"/>
        </w:trPr>
        <w:tc>
          <w:tcPr>
            <w:tcW w:w="4253" w:type="dxa"/>
            <w:tcMar>
              <w:left w:w="0" w:type="dxa"/>
              <w:right w:w="0" w:type="dxa"/>
            </w:tcMar>
            <w:vAlign w:val="bottom"/>
          </w:tcPr>
          <w:p w14:paraId="3B7136DF" w14:textId="2C8E322D" w:rsidR="005F6D26" w:rsidRPr="00895810" w:rsidRDefault="005F6D26" w:rsidP="005F6D26">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Loans - secured</w:t>
            </w:r>
          </w:p>
        </w:tc>
        <w:tc>
          <w:tcPr>
            <w:tcW w:w="425" w:type="dxa"/>
            <w:vAlign w:val="bottom"/>
          </w:tcPr>
          <w:p w14:paraId="70741137" w14:textId="063274B9" w:rsidR="005F6D26" w:rsidRPr="00895810" w:rsidRDefault="005F6D26" w:rsidP="005F6D26">
            <w:pPr>
              <w:pStyle w:val="TableFigures"/>
              <w:rPr>
                <w:rFonts w:ascii="IBM Plex Sans Light" w:hAnsi="IBM Plex Sans Light"/>
                <w:color w:val="auto"/>
                <w:spacing w:val="-4"/>
                <w:sz w:val="18"/>
                <w:szCs w:val="18"/>
              </w:rPr>
            </w:pPr>
          </w:p>
        </w:tc>
        <w:tc>
          <w:tcPr>
            <w:tcW w:w="851" w:type="dxa"/>
          </w:tcPr>
          <w:p w14:paraId="2FC569FC" w14:textId="2E587808"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w:t>
            </w:r>
          </w:p>
        </w:tc>
        <w:tc>
          <w:tcPr>
            <w:tcW w:w="992" w:type="dxa"/>
          </w:tcPr>
          <w:p w14:paraId="437FBDE4" w14:textId="40288FEC"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(158.8)</w:t>
            </w:r>
          </w:p>
        </w:tc>
        <w:tc>
          <w:tcPr>
            <w:tcW w:w="850" w:type="dxa"/>
          </w:tcPr>
          <w:p w14:paraId="16A4A966" w14:textId="264D5A4D"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1" w:type="dxa"/>
            <w:tcMar>
              <w:left w:w="0" w:type="dxa"/>
              <w:right w:w="0" w:type="dxa"/>
            </w:tcMar>
          </w:tcPr>
          <w:p w14:paraId="4603722A" w14:textId="6221C9B0"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(186.4)</w:t>
            </w:r>
          </w:p>
        </w:tc>
        <w:tc>
          <w:tcPr>
            <w:tcW w:w="850" w:type="dxa"/>
            <w:tcMar>
              <w:left w:w="0" w:type="dxa"/>
              <w:right w:w="0" w:type="dxa"/>
            </w:tcMar>
          </w:tcPr>
          <w:p w14:paraId="0D3F935F" w14:textId="4044EFFF"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(345.2)</w:t>
            </w:r>
          </w:p>
        </w:tc>
        <w:tc>
          <w:tcPr>
            <w:tcW w:w="851" w:type="dxa"/>
            <w:tcMar>
              <w:left w:w="0" w:type="dxa"/>
              <w:right w:w="0" w:type="dxa"/>
            </w:tcMar>
          </w:tcPr>
          <w:p w14:paraId="5B055C62" w14:textId="58A2D2C5"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(126.1)</w:t>
            </w:r>
          </w:p>
        </w:tc>
      </w:tr>
      <w:tr w:rsidR="005F6D26" w:rsidRPr="00895810" w14:paraId="161ED4F9" w14:textId="77777777" w:rsidTr="00024B10">
        <w:trPr>
          <w:trHeight w:hRule="exact" w:val="289"/>
        </w:trPr>
        <w:tc>
          <w:tcPr>
            <w:tcW w:w="4253" w:type="dxa"/>
            <w:tcBorders>
              <w:bottom w:val="single" w:sz="4" w:space="0" w:color="3D7FE0" w:themeColor="accent1"/>
            </w:tcBorders>
            <w:tcMar>
              <w:left w:w="0" w:type="dxa"/>
              <w:right w:w="0" w:type="dxa"/>
            </w:tcMar>
            <w:vAlign w:val="bottom"/>
          </w:tcPr>
          <w:p w14:paraId="13B6E54C" w14:textId="41B743F1" w:rsidR="005F6D26" w:rsidRPr="00895810" w:rsidRDefault="005F6D26" w:rsidP="005F6D26">
            <w:pPr>
              <w:pStyle w:val="TableFiguresBrackets"/>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w:t>
            </w:r>
          </w:p>
        </w:tc>
        <w:tc>
          <w:tcPr>
            <w:tcW w:w="425" w:type="dxa"/>
            <w:tcBorders>
              <w:bottom w:val="single" w:sz="4" w:space="0" w:color="3D7FE0" w:themeColor="accent1"/>
            </w:tcBorders>
            <w:vAlign w:val="bottom"/>
          </w:tcPr>
          <w:p w14:paraId="453B2537" w14:textId="58B48EE2" w:rsidR="005F6D26" w:rsidRPr="00895810" w:rsidRDefault="005F6D26" w:rsidP="005F6D26">
            <w:pPr>
              <w:pStyle w:val="TableFigures"/>
              <w:rPr>
                <w:rFonts w:ascii="IBM Plex Sans Light" w:hAnsi="IBM Plex Sans Light"/>
                <w:color w:val="auto"/>
                <w:spacing w:val="-4"/>
                <w:sz w:val="18"/>
                <w:szCs w:val="18"/>
              </w:rPr>
            </w:pPr>
          </w:p>
        </w:tc>
        <w:tc>
          <w:tcPr>
            <w:tcW w:w="851" w:type="dxa"/>
            <w:tcBorders>
              <w:bottom w:val="single" w:sz="4" w:space="0" w:color="3D7FE0" w:themeColor="accent1"/>
            </w:tcBorders>
          </w:tcPr>
          <w:p w14:paraId="090F90B1" w14:textId="3E285F46"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(16.0)</w:t>
            </w:r>
          </w:p>
        </w:tc>
        <w:tc>
          <w:tcPr>
            <w:tcW w:w="992" w:type="dxa"/>
            <w:tcBorders>
              <w:bottom w:val="single" w:sz="4" w:space="0" w:color="3D7FE0" w:themeColor="accent1"/>
            </w:tcBorders>
          </w:tcPr>
          <w:p w14:paraId="352E8462" w14:textId="67E0E8C3"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(35.7)</w:t>
            </w:r>
          </w:p>
        </w:tc>
        <w:tc>
          <w:tcPr>
            <w:tcW w:w="850" w:type="dxa"/>
            <w:tcBorders>
              <w:bottom w:val="single" w:sz="4" w:space="0" w:color="3D7FE0" w:themeColor="accent1"/>
            </w:tcBorders>
          </w:tcPr>
          <w:p w14:paraId="54997246" w14:textId="6B4CF321"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(14.9)</w:t>
            </w:r>
          </w:p>
        </w:tc>
        <w:tc>
          <w:tcPr>
            <w:tcW w:w="851" w:type="dxa"/>
            <w:tcBorders>
              <w:bottom w:val="single" w:sz="4" w:space="0" w:color="3D7FE0" w:themeColor="accent1"/>
            </w:tcBorders>
            <w:tcMar>
              <w:left w:w="0" w:type="dxa"/>
              <w:right w:w="0" w:type="dxa"/>
            </w:tcMar>
          </w:tcPr>
          <w:p w14:paraId="1DC1DCFF" w14:textId="759C0707"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(11.8)</w:t>
            </w:r>
          </w:p>
        </w:tc>
        <w:tc>
          <w:tcPr>
            <w:tcW w:w="850" w:type="dxa"/>
            <w:tcBorders>
              <w:bottom w:val="single" w:sz="4" w:space="0" w:color="3D7FE0" w:themeColor="accent1"/>
            </w:tcBorders>
            <w:tcMar>
              <w:left w:w="0" w:type="dxa"/>
              <w:right w:w="0" w:type="dxa"/>
            </w:tcMar>
          </w:tcPr>
          <w:p w14:paraId="3147D5E4" w14:textId="42E42F3D"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(162.1)</w:t>
            </w:r>
          </w:p>
        </w:tc>
        <w:tc>
          <w:tcPr>
            <w:tcW w:w="851" w:type="dxa"/>
            <w:tcBorders>
              <w:bottom w:val="single" w:sz="4" w:space="0" w:color="3D7FE0" w:themeColor="accent1"/>
            </w:tcBorders>
            <w:tcMar>
              <w:left w:w="0" w:type="dxa"/>
              <w:right w:w="0" w:type="dxa"/>
            </w:tcMar>
          </w:tcPr>
          <w:p w14:paraId="2BE54899" w14:textId="3E760CB6"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ab/>
              <w:t>(80.7)</w:t>
            </w:r>
          </w:p>
        </w:tc>
      </w:tr>
      <w:tr w:rsidR="005F6D26" w:rsidRPr="00895810" w14:paraId="4DF06897" w14:textId="77777777" w:rsidTr="00024B10">
        <w:trPr>
          <w:trHeight w:hRule="exact" w:val="289"/>
        </w:trPr>
        <w:tc>
          <w:tcPr>
            <w:tcW w:w="4253" w:type="dxa"/>
            <w:tcBorders>
              <w:top w:val="single" w:sz="4" w:space="0" w:color="3D7FE0" w:themeColor="accent1"/>
            </w:tcBorders>
            <w:tcMar>
              <w:left w:w="0" w:type="dxa"/>
              <w:right w:w="0" w:type="dxa"/>
            </w:tcMar>
            <w:vAlign w:val="bottom"/>
          </w:tcPr>
          <w:p w14:paraId="4A6A9A3A" w14:textId="77777777" w:rsidR="005F6D26" w:rsidRPr="00895810" w:rsidRDefault="005F6D26" w:rsidP="005F6D26">
            <w:pPr>
              <w:pStyle w:val="TableFiguresBrackets"/>
              <w:jc w:val="left"/>
              <w:rPr>
                <w:rFonts w:ascii="IBM Plex Sans Light" w:hAnsi="IBM Plex Sans Light" w:cs="MyriadPro-Light"/>
                <w:b/>
                <w:bCs/>
                <w:color w:val="3D7FE0" w:themeColor="accent1"/>
                <w:spacing w:val="-4"/>
                <w:sz w:val="18"/>
                <w:szCs w:val="18"/>
              </w:rPr>
            </w:pPr>
          </w:p>
        </w:tc>
        <w:tc>
          <w:tcPr>
            <w:tcW w:w="425" w:type="dxa"/>
            <w:tcBorders>
              <w:top w:val="single" w:sz="4" w:space="0" w:color="3D7FE0" w:themeColor="accent1"/>
            </w:tcBorders>
            <w:vAlign w:val="bottom"/>
          </w:tcPr>
          <w:p w14:paraId="395D4144" w14:textId="21DA5E5A" w:rsidR="005F6D26" w:rsidRPr="00895810" w:rsidRDefault="005F6D26" w:rsidP="005F6D26">
            <w:pPr>
              <w:pStyle w:val="TableFigures"/>
              <w:rPr>
                <w:rFonts w:ascii="IBM Plex Sans Light" w:hAnsi="IBM Plex Sans Light"/>
                <w:color w:val="auto"/>
                <w:spacing w:val="-4"/>
                <w:sz w:val="18"/>
                <w:szCs w:val="18"/>
              </w:rPr>
            </w:pPr>
          </w:p>
        </w:tc>
        <w:tc>
          <w:tcPr>
            <w:tcW w:w="851" w:type="dxa"/>
            <w:tcBorders>
              <w:top w:val="single" w:sz="4" w:space="0" w:color="3D7FE0" w:themeColor="accent1"/>
            </w:tcBorders>
          </w:tcPr>
          <w:p w14:paraId="499DB122" w14:textId="401BDB62"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(16.0)</w:t>
            </w:r>
          </w:p>
        </w:tc>
        <w:tc>
          <w:tcPr>
            <w:tcW w:w="992" w:type="dxa"/>
            <w:tcBorders>
              <w:top w:val="single" w:sz="4" w:space="0" w:color="3D7FE0" w:themeColor="accent1"/>
            </w:tcBorders>
          </w:tcPr>
          <w:p w14:paraId="41A1409D" w14:textId="55110396"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(194.5)</w:t>
            </w:r>
          </w:p>
        </w:tc>
        <w:tc>
          <w:tcPr>
            <w:tcW w:w="850" w:type="dxa"/>
            <w:tcBorders>
              <w:top w:val="single" w:sz="4" w:space="0" w:color="3D7FE0" w:themeColor="accent1"/>
            </w:tcBorders>
          </w:tcPr>
          <w:p w14:paraId="6238AA03" w14:textId="4C0AACC6"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(14.9)</w:t>
            </w:r>
          </w:p>
        </w:tc>
        <w:tc>
          <w:tcPr>
            <w:tcW w:w="851" w:type="dxa"/>
            <w:tcBorders>
              <w:top w:val="single" w:sz="4" w:space="0" w:color="3D7FE0" w:themeColor="accent1"/>
            </w:tcBorders>
            <w:tcMar>
              <w:left w:w="0" w:type="dxa"/>
              <w:right w:w="0" w:type="dxa"/>
            </w:tcMar>
          </w:tcPr>
          <w:p w14:paraId="32DF3345" w14:textId="34B19D7A"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(198.2)</w:t>
            </w:r>
          </w:p>
        </w:tc>
        <w:tc>
          <w:tcPr>
            <w:tcW w:w="850" w:type="dxa"/>
            <w:tcBorders>
              <w:top w:val="single" w:sz="4" w:space="0" w:color="3D7FE0" w:themeColor="accent1"/>
            </w:tcBorders>
            <w:tcMar>
              <w:left w:w="0" w:type="dxa"/>
              <w:right w:w="0" w:type="dxa"/>
            </w:tcMar>
          </w:tcPr>
          <w:p w14:paraId="37BEB369" w14:textId="38445023"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(507.3)</w:t>
            </w:r>
          </w:p>
        </w:tc>
        <w:tc>
          <w:tcPr>
            <w:tcW w:w="851" w:type="dxa"/>
            <w:tcBorders>
              <w:top w:val="single" w:sz="4" w:space="0" w:color="3D7FE0" w:themeColor="accent1"/>
            </w:tcBorders>
            <w:tcMar>
              <w:left w:w="0" w:type="dxa"/>
              <w:right w:w="0" w:type="dxa"/>
            </w:tcMar>
          </w:tcPr>
          <w:p w14:paraId="29F598B7" w14:textId="14152A3B"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(206.8)</w:t>
            </w:r>
          </w:p>
        </w:tc>
      </w:tr>
      <w:tr w:rsidR="005F6D26" w:rsidRPr="00895810" w14:paraId="48775721" w14:textId="77777777" w:rsidTr="00024B10">
        <w:trPr>
          <w:trHeight w:hRule="exact" w:val="289"/>
        </w:trPr>
        <w:tc>
          <w:tcPr>
            <w:tcW w:w="4253" w:type="dxa"/>
            <w:tcMar>
              <w:left w:w="0" w:type="dxa"/>
              <w:right w:w="0" w:type="dxa"/>
            </w:tcMar>
            <w:vAlign w:val="bottom"/>
          </w:tcPr>
          <w:p w14:paraId="6A786742" w14:textId="77777777" w:rsidR="005F6D26" w:rsidRPr="00895810" w:rsidRDefault="005F6D26" w:rsidP="005F6D26">
            <w:pPr>
              <w:pStyle w:val="TableFiguresBrackets"/>
              <w:jc w:val="left"/>
              <w:rPr>
                <w:rFonts w:ascii="IBM Plex Sans Light" w:hAnsi="IBM Plex Sans Light"/>
                <w:b/>
                <w:color w:val="auto"/>
                <w:sz w:val="18"/>
                <w:szCs w:val="18"/>
              </w:rPr>
            </w:pPr>
            <w:r w:rsidRPr="00895810">
              <w:rPr>
                <w:rFonts w:ascii="IBM Plex Sans Light" w:hAnsi="IBM Plex Sans Light"/>
                <w:b/>
                <w:color w:val="auto"/>
                <w:sz w:val="18"/>
                <w:szCs w:val="18"/>
              </w:rPr>
              <w:t>Non-current liabilities</w:t>
            </w:r>
          </w:p>
        </w:tc>
        <w:tc>
          <w:tcPr>
            <w:tcW w:w="425" w:type="dxa"/>
            <w:vAlign w:val="bottom"/>
          </w:tcPr>
          <w:p w14:paraId="025450F8" w14:textId="77777777" w:rsidR="005F6D26" w:rsidRPr="00895810" w:rsidRDefault="005F6D26" w:rsidP="005F6D26">
            <w:pPr>
              <w:pStyle w:val="TableFigures"/>
              <w:rPr>
                <w:rFonts w:ascii="IBM Plex Sans Light" w:hAnsi="IBM Plex Sans Light"/>
                <w:color w:val="auto"/>
                <w:spacing w:val="-4"/>
                <w:sz w:val="18"/>
                <w:szCs w:val="18"/>
              </w:rPr>
            </w:pPr>
          </w:p>
        </w:tc>
        <w:tc>
          <w:tcPr>
            <w:tcW w:w="851" w:type="dxa"/>
          </w:tcPr>
          <w:p w14:paraId="77B2E865" w14:textId="77777777" w:rsidR="005F6D26" w:rsidRPr="00543AD4" w:rsidRDefault="005F6D26" w:rsidP="005F6D26">
            <w:pPr>
              <w:pStyle w:val="TableFiguresBracketsBold"/>
              <w:rPr>
                <w:rFonts w:ascii="IBM Plex Sans Light" w:hAnsi="IBM Plex Sans Light"/>
                <w:b w:val="0"/>
                <w:color w:val="auto"/>
                <w:spacing w:val="-4"/>
                <w:sz w:val="18"/>
                <w:szCs w:val="18"/>
              </w:rPr>
            </w:pPr>
          </w:p>
        </w:tc>
        <w:tc>
          <w:tcPr>
            <w:tcW w:w="992" w:type="dxa"/>
            <w:vAlign w:val="bottom"/>
          </w:tcPr>
          <w:p w14:paraId="258A74A3" w14:textId="77777777" w:rsidR="005F6D26" w:rsidRPr="00543AD4" w:rsidRDefault="005F6D26" w:rsidP="005F6D26">
            <w:pPr>
              <w:pStyle w:val="TableFiguresBracketsBold"/>
              <w:rPr>
                <w:rFonts w:ascii="IBM Plex Sans Light" w:hAnsi="IBM Plex Sans Light"/>
                <w:b w:val="0"/>
                <w:color w:val="auto"/>
                <w:spacing w:val="-4"/>
                <w:sz w:val="18"/>
                <w:szCs w:val="18"/>
              </w:rPr>
            </w:pPr>
          </w:p>
        </w:tc>
        <w:tc>
          <w:tcPr>
            <w:tcW w:w="850" w:type="dxa"/>
            <w:vAlign w:val="bottom"/>
          </w:tcPr>
          <w:p w14:paraId="4BA96B0E" w14:textId="77777777" w:rsidR="005F6D26" w:rsidRPr="00543AD4" w:rsidRDefault="005F6D26" w:rsidP="005F6D26">
            <w:pPr>
              <w:pStyle w:val="TableFiguresBracketsBold"/>
              <w:rPr>
                <w:rFonts w:ascii="IBM Plex Sans Light" w:hAnsi="IBM Plex Sans Light"/>
                <w:b w:val="0"/>
                <w:color w:val="auto"/>
                <w:spacing w:val="-4"/>
                <w:sz w:val="18"/>
                <w:szCs w:val="18"/>
              </w:rPr>
            </w:pPr>
          </w:p>
        </w:tc>
        <w:tc>
          <w:tcPr>
            <w:tcW w:w="851" w:type="dxa"/>
            <w:tcMar>
              <w:left w:w="0" w:type="dxa"/>
              <w:right w:w="0" w:type="dxa"/>
            </w:tcMar>
            <w:vAlign w:val="bottom"/>
          </w:tcPr>
          <w:p w14:paraId="3D7CC9C2" w14:textId="77777777" w:rsidR="005F6D26" w:rsidRPr="00895810" w:rsidRDefault="005F6D26" w:rsidP="005F6D26">
            <w:pPr>
              <w:pStyle w:val="TableFiguresBracketsBold"/>
              <w:rPr>
                <w:rFonts w:ascii="IBM Plex Sans Light" w:hAnsi="IBM Plex Sans Light"/>
                <w:b w:val="0"/>
                <w:color w:val="auto"/>
                <w:spacing w:val="-4"/>
                <w:sz w:val="18"/>
                <w:szCs w:val="18"/>
              </w:rPr>
            </w:pPr>
          </w:p>
        </w:tc>
        <w:tc>
          <w:tcPr>
            <w:tcW w:w="850" w:type="dxa"/>
            <w:tcMar>
              <w:left w:w="0" w:type="dxa"/>
              <w:right w:w="0" w:type="dxa"/>
            </w:tcMar>
            <w:vAlign w:val="bottom"/>
          </w:tcPr>
          <w:p w14:paraId="7754F0DD" w14:textId="77777777" w:rsidR="005F6D26" w:rsidRPr="00895810" w:rsidRDefault="005F6D26" w:rsidP="005F6D26">
            <w:pPr>
              <w:pStyle w:val="TableFiguresBracketsBold"/>
              <w:rPr>
                <w:rFonts w:ascii="IBM Plex Sans Light" w:hAnsi="IBM Plex Sans Light"/>
                <w:b w:val="0"/>
                <w:color w:val="auto"/>
                <w:spacing w:val="-4"/>
                <w:sz w:val="18"/>
                <w:szCs w:val="18"/>
              </w:rPr>
            </w:pPr>
          </w:p>
        </w:tc>
        <w:tc>
          <w:tcPr>
            <w:tcW w:w="851" w:type="dxa"/>
            <w:tcMar>
              <w:left w:w="0" w:type="dxa"/>
              <w:right w:w="0" w:type="dxa"/>
            </w:tcMar>
            <w:vAlign w:val="bottom"/>
          </w:tcPr>
          <w:p w14:paraId="10A942E0" w14:textId="77777777" w:rsidR="005F6D26" w:rsidRPr="00543AD4" w:rsidRDefault="005F6D26" w:rsidP="005F6D26">
            <w:pPr>
              <w:pStyle w:val="TableFiguresBracketsBold"/>
              <w:rPr>
                <w:rFonts w:ascii="IBM Plex Sans Light" w:hAnsi="IBM Plex Sans Light"/>
                <w:b w:val="0"/>
                <w:color w:val="auto"/>
                <w:spacing w:val="-4"/>
                <w:sz w:val="18"/>
                <w:szCs w:val="18"/>
              </w:rPr>
            </w:pPr>
          </w:p>
        </w:tc>
      </w:tr>
      <w:tr w:rsidR="005F6D26" w:rsidRPr="00895810" w14:paraId="20B63F3B" w14:textId="77777777" w:rsidTr="00024B10">
        <w:trPr>
          <w:trHeight w:hRule="exact" w:val="261"/>
        </w:trPr>
        <w:tc>
          <w:tcPr>
            <w:tcW w:w="4253" w:type="dxa"/>
            <w:tcMar>
              <w:left w:w="0" w:type="dxa"/>
              <w:right w:w="0" w:type="dxa"/>
            </w:tcMar>
            <w:vAlign w:val="bottom"/>
          </w:tcPr>
          <w:p w14:paraId="1B713B5A" w14:textId="77777777" w:rsidR="005F6D26" w:rsidRPr="00895810" w:rsidRDefault="005F6D26" w:rsidP="005F6D26">
            <w:pPr>
              <w:pStyle w:val="TableFiguresBrackets"/>
              <w:spacing w:line="240" w:lineRule="auto"/>
              <w:jc w:val="left"/>
              <w:rPr>
                <w:rFonts w:ascii="IBM Plex Sans Light" w:hAnsi="IBM Plex Sans Light"/>
                <w:b/>
                <w:bCs/>
                <w:color w:val="3D7FE0" w:themeColor="accent1"/>
                <w:spacing w:val="-4"/>
                <w:sz w:val="18"/>
                <w:szCs w:val="18"/>
              </w:rPr>
            </w:pPr>
            <w:r w:rsidRPr="00895810">
              <w:rPr>
                <w:rFonts w:ascii="IBM Plex Sans Light" w:hAnsi="IBM Plex Sans Light"/>
                <w:bCs/>
                <w:sz w:val="18"/>
                <w:szCs w:val="18"/>
              </w:rPr>
              <w:t>Loans – secured</w:t>
            </w:r>
          </w:p>
        </w:tc>
        <w:tc>
          <w:tcPr>
            <w:tcW w:w="425" w:type="dxa"/>
            <w:vAlign w:val="bottom"/>
          </w:tcPr>
          <w:p w14:paraId="7C9FDC9C" w14:textId="51626BE6" w:rsidR="005F6D26" w:rsidRPr="00895810" w:rsidRDefault="005F6D26" w:rsidP="005F6D26">
            <w:pPr>
              <w:pStyle w:val="TableFigures"/>
              <w:spacing w:line="240" w:lineRule="auto"/>
              <w:rPr>
                <w:rFonts w:ascii="IBM Plex Sans Light" w:hAnsi="IBM Plex Sans Light"/>
                <w:color w:val="auto"/>
                <w:spacing w:val="-4"/>
                <w:sz w:val="18"/>
                <w:szCs w:val="18"/>
              </w:rPr>
            </w:pPr>
          </w:p>
        </w:tc>
        <w:tc>
          <w:tcPr>
            <w:tcW w:w="851" w:type="dxa"/>
          </w:tcPr>
          <w:p w14:paraId="1BDF478F" w14:textId="1B3D14C2"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992" w:type="dxa"/>
          </w:tcPr>
          <w:p w14:paraId="5FC8E83A" w14:textId="16CFBF39"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Pr>
          <w:p w14:paraId="3981EA83" w14:textId="67132C39"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(530.9)</w:t>
            </w:r>
          </w:p>
        </w:tc>
        <w:tc>
          <w:tcPr>
            <w:tcW w:w="851" w:type="dxa"/>
            <w:tcMar>
              <w:left w:w="0" w:type="dxa"/>
              <w:right w:w="0" w:type="dxa"/>
            </w:tcMar>
          </w:tcPr>
          <w:p w14:paraId="480E7D94" w14:textId="094B60E5"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Mar>
              <w:left w:w="0" w:type="dxa"/>
              <w:right w:w="0" w:type="dxa"/>
            </w:tcMar>
          </w:tcPr>
          <w:p w14:paraId="6EF4765F" w14:textId="09B8B096"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(530.9)</w:t>
            </w:r>
          </w:p>
        </w:tc>
        <w:tc>
          <w:tcPr>
            <w:tcW w:w="851" w:type="dxa"/>
            <w:tcMar>
              <w:left w:w="0" w:type="dxa"/>
              <w:right w:w="0" w:type="dxa"/>
            </w:tcMar>
          </w:tcPr>
          <w:p w14:paraId="336E1206" w14:textId="20D14C0E"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(265.5)</w:t>
            </w:r>
          </w:p>
        </w:tc>
      </w:tr>
      <w:tr w:rsidR="005F6D26" w:rsidRPr="00895810" w14:paraId="6075E136" w14:textId="77777777" w:rsidTr="00024B10">
        <w:trPr>
          <w:trHeight w:hRule="exact" w:val="261"/>
        </w:trPr>
        <w:tc>
          <w:tcPr>
            <w:tcW w:w="4253" w:type="dxa"/>
            <w:tcMar>
              <w:left w:w="0" w:type="dxa"/>
              <w:right w:w="0" w:type="dxa"/>
            </w:tcMar>
            <w:vAlign w:val="bottom"/>
          </w:tcPr>
          <w:p w14:paraId="0ED343C8" w14:textId="77777777" w:rsidR="005F6D26" w:rsidRPr="00895810" w:rsidRDefault="005F6D26" w:rsidP="005F6D26">
            <w:pPr>
              <w:pStyle w:val="TableFiguresBrackets"/>
              <w:spacing w:line="240" w:lineRule="auto"/>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Obligations under head leases</w:t>
            </w:r>
          </w:p>
        </w:tc>
        <w:tc>
          <w:tcPr>
            <w:tcW w:w="425" w:type="dxa"/>
            <w:vAlign w:val="bottom"/>
          </w:tcPr>
          <w:p w14:paraId="158F9722" w14:textId="6840A5B6" w:rsidR="005F6D26" w:rsidRPr="00895810" w:rsidRDefault="005F6D26" w:rsidP="005F6D26">
            <w:pPr>
              <w:pStyle w:val="TableFigures"/>
              <w:spacing w:line="240" w:lineRule="auto"/>
              <w:rPr>
                <w:rFonts w:ascii="IBM Plex Sans Light" w:hAnsi="IBM Plex Sans Light"/>
                <w:color w:val="auto"/>
                <w:spacing w:val="-4"/>
                <w:sz w:val="18"/>
                <w:szCs w:val="18"/>
              </w:rPr>
            </w:pPr>
          </w:p>
        </w:tc>
        <w:tc>
          <w:tcPr>
            <w:tcW w:w="851" w:type="dxa"/>
          </w:tcPr>
          <w:p w14:paraId="40A59E49" w14:textId="6902F0AF"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992" w:type="dxa"/>
          </w:tcPr>
          <w:p w14:paraId="2CB6336F" w14:textId="7545982A"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Pr>
          <w:p w14:paraId="64DFE5CA" w14:textId="2C416A7B"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1" w:type="dxa"/>
            <w:tcMar>
              <w:left w:w="0" w:type="dxa"/>
              <w:right w:w="0" w:type="dxa"/>
            </w:tcMar>
          </w:tcPr>
          <w:p w14:paraId="7C7F669F" w14:textId="35D8A163"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Mar>
              <w:left w:w="0" w:type="dxa"/>
              <w:right w:w="0" w:type="dxa"/>
            </w:tcMar>
          </w:tcPr>
          <w:p w14:paraId="3E90E5B6" w14:textId="617BB6CC"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(33.9)</w:t>
            </w:r>
          </w:p>
        </w:tc>
        <w:tc>
          <w:tcPr>
            <w:tcW w:w="851" w:type="dxa"/>
            <w:tcMar>
              <w:left w:w="0" w:type="dxa"/>
              <w:right w:w="0" w:type="dxa"/>
            </w:tcMar>
          </w:tcPr>
          <w:p w14:paraId="57C94C03" w14:textId="79E1FF74"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(15.8)</w:t>
            </w:r>
          </w:p>
        </w:tc>
      </w:tr>
      <w:tr w:rsidR="005F6D26" w:rsidRPr="00895810" w14:paraId="0F491BEC" w14:textId="77777777" w:rsidTr="00024B10">
        <w:trPr>
          <w:trHeight w:hRule="exact" w:val="255"/>
        </w:trPr>
        <w:tc>
          <w:tcPr>
            <w:tcW w:w="4253" w:type="dxa"/>
            <w:tcMar>
              <w:left w:w="0" w:type="dxa"/>
              <w:right w:w="0" w:type="dxa"/>
            </w:tcMar>
            <w:vAlign w:val="bottom"/>
          </w:tcPr>
          <w:p w14:paraId="5180E9E5" w14:textId="4A618655" w:rsidR="005F6D26" w:rsidRPr="00895810" w:rsidRDefault="005F6D26" w:rsidP="005F6D26">
            <w:pPr>
              <w:pStyle w:val="TableFiguresBrackets"/>
              <w:spacing w:line="240" w:lineRule="auto"/>
              <w:jc w:val="left"/>
              <w:rPr>
                <w:rFonts w:ascii="IBM Plex Sans Light" w:hAnsi="IBM Plex Sans Light" w:cs="MyriadPro-Light"/>
                <w:b/>
                <w:bCs/>
                <w:color w:val="3D7FE0" w:themeColor="accent1"/>
                <w:spacing w:val="-4"/>
                <w:sz w:val="18"/>
                <w:szCs w:val="18"/>
              </w:rPr>
            </w:pPr>
            <w:r w:rsidRPr="00895810">
              <w:rPr>
                <w:rFonts w:ascii="IBM Plex Sans Light" w:hAnsi="IBM Plex Sans Light"/>
                <w:bCs/>
                <w:sz w:val="18"/>
                <w:szCs w:val="18"/>
              </w:rPr>
              <w:t>Other payables – due to Group companies</w:t>
            </w:r>
          </w:p>
        </w:tc>
        <w:tc>
          <w:tcPr>
            <w:tcW w:w="425" w:type="dxa"/>
            <w:vAlign w:val="bottom"/>
          </w:tcPr>
          <w:p w14:paraId="309D8B01" w14:textId="7C20EA5A" w:rsidR="005F6D26" w:rsidRPr="00895810" w:rsidRDefault="005F6D26" w:rsidP="005F6D26">
            <w:pPr>
              <w:pStyle w:val="TableFigures"/>
              <w:spacing w:line="240" w:lineRule="auto"/>
              <w:rPr>
                <w:rFonts w:ascii="IBM Plex Sans Light" w:hAnsi="IBM Plex Sans Light"/>
                <w:color w:val="auto"/>
                <w:spacing w:val="-4"/>
                <w:sz w:val="18"/>
                <w:szCs w:val="18"/>
              </w:rPr>
            </w:pPr>
            <w:proofErr w:type="spellStart"/>
            <w:r>
              <w:rPr>
                <w:rFonts w:ascii="IBM Plex Sans Light" w:hAnsi="IBM Plex Sans Light" w:cs="MyriadPro-Light"/>
                <w:color w:val="auto"/>
                <w:spacing w:val="-4"/>
                <w:szCs w:val="16"/>
              </w:rPr>
              <w:t>b,e</w:t>
            </w:r>
            <w:proofErr w:type="spellEnd"/>
          </w:p>
        </w:tc>
        <w:tc>
          <w:tcPr>
            <w:tcW w:w="851" w:type="dxa"/>
          </w:tcPr>
          <w:p w14:paraId="26EA735E" w14:textId="16029952"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(25.3)</w:t>
            </w:r>
          </w:p>
        </w:tc>
        <w:tc>
          <w:tcPr>
            <w:tcW w:w="992" w:type="dxa"/>
          </w:tcPr>
          <w:p w14:paraId="0B589400" w14:textId="06754150"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Pr>
          <w:p w14:paraId="603275FA" w14:textId="777A6891" w:rsidR="005F6D26" w:rsidRPr="00321BE8" w:rsidRDefault="00321BE8" w:rsidP="00321BE8">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r w:rsidRPr="00321BE8">
              <w:rPr>
                <w:rFonts w:ascii="IBM Plex Sans Light" w:hAnsi="IBM Plex Sans Light"/>
                <w:color w:val="auto"/>
                <w:spacing w:val="-4"/>
                <w:sz w:val="18"/>
                <w:szCs w:val="18"/>
              </w:rPr>
              <w:t xml:space="preserve"> </w:t>
            </w:r>
          </w:p>
        </w:tc>
        <w:tc>
          <w:tcPr>
            <w:tcW w:w="851" w:type="dxa"/>
            <w:tcMar>
              <w:left w:w="0" w:type="dxa"/>
              <w:right w:w="0" w:type="dxa"/>
            </w:tcMar>
          </w:tcPr>
          <w:p w14:paraId="0AE4D795" w14:textId="2596A602"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(45.4)</w:t>
            </w:r>
          </w:p>
        </w:tc>
        <w:tc>
          <w:tcPr>
            <w:tcW w:w="850" w:type="dxa"/>
            <w:tcMar>
              <w:left w:w="0" w:type="dxa"/>
              <w:right w:w="0" w:type="dxa"/>
            </w:tcMar>
          </w:tcPr>
          <w:p w14:paraId="082F27DA" w14:textId="69723F38"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(4</w:t>
            </w:r>
            <w:r w:rsidR="00321BE8">
              <w:rPr>
                <w:rFonts w:ascii="IBM Plex Sans Light" w:hAnsi="IBM Plex Sans Light"/>
                <w:b w:val="0"/>
                <w:color w:val="auto"/>
                <w:spacing w:val="-4"/>
                <w:sz w:val="18"/>
                <w:szCs w:val="18"/>
              </w:rPr>
              <w:t>18.9</w:t>
            </w:r>
            <w:r w:rsidRPr="00543AD4">
              <w:rPr>
                <w:rFonts w:ascii="IBM Plex Sans Light" w:hAnsi="IBM Plex Sans Light"/>
                <w:b w:val="0"/>
                <w:color w:val="auto"/>
                <w:spacing w:val="-4"/>
                <w:sz w:val="18"/>
                <w:szCs w:val="18"/>
              </w:rPr>
              <w:t>)</w:t>
            </w:r>
          </w:p>
        </w:tc>
        <w:tc>
          <w:tcPr>
            <w:tcW w:w="851" w:type="dxa"/>
            <w:tcMar>
              <w:left w:w="0" w:type="dxa"/>
              <w:right w:w="0" w:type="dxa"/>
            </w:tcMar>
          </w:tcPr>
          <w:p w14:paraId="14189CEE" w14:textId="44277582" w:rsidR="005F6D26" w:rsidRPr="00543AD4"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r>
      <w:tr w:rsidR="005F6D26" w:rsidRPr="00895810" w14:paraId="1883CE07" w14:textId="77777777" w:rsidTr="00024B10">
        <w:trPr>
          <w:trHeight w:hRule="exact" w:val="255"/>
        </w:trPr>
        <w:tc>
          <w:tcPr>
            <w:tcW w:w="4253" w:type="dxa"/>
            <w:tcMar>
              <w:left w:w="0" w:type="dxa"/>
              <w:right w:w="0" w:type="dxa"/>
            </w:tcMar>
            <w:vAlign w:val="bottom"/>
          </w:tcPr>
          <w:p w14:paraId="48ACAA96" w14:textId="22814EF3" w:rsidR="005F6D26" w:rsidRPr="00895810" w:rsidRDefault="005F6D26" w:rsidP="00024B10">
            <w:pPr>
              <w:pStyle w:val="TableFiguresBrackets"/>
              <w:ind w:left="284"/>
              <w:jc w:val="left"/>
              <w:rPr>
                <w:rFonts w:ascii="IBM Plex Sans Light" w:hAnsi="IBM Plex Sans Light"/>
                <w:bCs/>
                <w:sz w:val="18"/>
                <w:szCs w:val="18"/>
              </w:rPr>
            </w:pPr>
            <w:r w:rsidRPr="00895810">
              <w:rPr>
                <w:rFonts w:ascii="IBM Plex Sans Light" w:hAnsi="IBM Plex Sans Light"/>
                <w:bCs/>
                <w:sz w:val="18"/>
                <w:szCs w:val="18"/>
              </w:rPr>
              <w:t xml:space="preserve">                       – other parties and deferred tax   </w:t>
            </w:r>
          </w:p>
        </w:tc>
        <w:tc>
          <w:tcPr>
            <w:tcW w:w="425" w:type="dxa"/>
            <w:vAlign w:val="bottom"/>
          </w:tcPr>
          <w:p w14:paraId="12B1811E" w14:textId="15CB70E4" w:rsidR="005F6D26" w:rsidRPr="00895810" w:rsidRDefault="005F6D26" w:rsidP="005F6D26">
            <w:pPr>
              <w:pStyle w:val="TableFigures"/>
              <w:spacing w:line="240" w:lineRule="auto"/>
              <w:rPr>
                <w:rFonts w:ascii="IBM Plex Sans Light" w:hAnsi="IBM Plex Sans Light"/>
                <w:color w:val="auto"/>
                <w:spacing w:val="-4"/>
                <w:sz w:val="18"/>
                <w:szCs w:val="18"/>
              </w:rPr>
            </w:pPr>
            <w:r>
              <w:rPr>
                <w:rFonts w:ascii="IBM Plex Sans Light" w:hAnsi="IBM Plex Sans Light" w:cs="MyriadPro-Light"/>
                <w:color w:val="auto"/>
                <w:spacing w:val="-4"/>
                <w:szCs w:val="16"/>
              </w:rPr>
              <w:t>e</w:t>
            </w:r>
          </w:p>
        </w:tc>
        <w:tc>
          <w:tcPr>
            <w:tcW w:w="851" w:type="dxa"/>
          </w:tcPr>
          <w:p w14:paraId="3EB311FF" w14:textId="7EE2C72F"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(43.3)</w:t>
            </w:r>
          </w:p>
        </w:tc>
        <w:tc>
          <w:tcPr>
            <w:tcW w:w="992" w:type="dxa"/>
          </w:tcPr>
          <w:p w14:paraId="76C64304" w14:textId="72A70031"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(0.2)</w:t>
            </w:r>
          </w:p>
        </w:tc>
        <w:tc>
          <w:tcPr>
            <w:tcW w:w="850" w:type="dxa"/>
          </w:tcPr>
          <w:p w14:paraId="2F05F96C" w14:textId="22BB672C"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w:t>
            </w:r>
            <w:r w:rsidR="00321BE8">
              <w:rPr>
                <w:rFonts w:ascii="IBM Plex Sans Light" w:hAnsi="IBM Plex Sans Light"/>
                <w:b w:val="0"/>
                <w:color w:val="auto"/>
                <w:spacing w:val="-4"/>
                <w:sz w:val="18"/>
                <w:szCs w:val="18"/>
              </w:rPr>
              <w:t>0.9</w:t>
            </w:r>
            <w:r w:rsidRPr="00543AD4">
              <w:rPr>
                <w:rFonts w:ascii="IBM Plex Sans Light" w:hAnsi="IBM Plex Sans Light"/>
                <w:b w:val="0"/>
                <w:color w:val="auto"/>
                <w:spacing w:val="-4"/>
                <w:sz w:val="18"/>
                <w:szCs w:val="18"/>
              </w:rPr>
              <w:t>)</w:t>
            </w:r>
          </w:p>
        </w:tc>
        <w:tc>
          <w:tcPr>
            <w:tcW w:w="851" w:type="dxa"/>
            <w:tcMar>
              <w:left w:w="0" w:type="dxa"/>
              <w:right w:w="0" w:type="dxa"/>
            </w:tcMar>
          </w:tcPr>
          <w:p w14:paraId="133E7F93" w14:textId="615BBD93"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(55.8)</w:t>
            </w:r>
          </w:p>
        </w:tc>
        <w:tc>
          <w:tcPr>
            <w:tcW w:w="850" w:type="dxa"/>
            <w:tcMar>
              <w:left w:w="0" w:type="dxa"/>
              <w:right w:w="0" w:type="dxa"/>
            </w:tcMar>
          </w:tcPr>
          <w:p w14:paraId="5FB0EDFC" w14:textId="15F842F6"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(4</w:t>
            </w:r>
            <w:r w:rsidR="00321BE8">
              <w:rPr>
                <w:rFonts w:ascii="IBM Plex Sans Light" w:hAnsi="IBM Plex Sans Light"/>
                <w:b w:val="0"/>
                <w:color w:val="auto"/>
                <w:spacing w:val="-4"/>
                <w:sz w:val="18"/>
                <w:szCs w:val="18"/>
              </w:rPr>
              <w:t>52.7</w:t>
            </w:r>
            <w:r w:rsidRPr="00543AD4">
              <w:rPr>
                <w:rFonts w:ascii="IBM Plex Sans Light" w:hAnsi="IBM Plex Sans Light"/>
                <w:b w:val="0"/>
                <w:color w:val="auto"/>
                <w:spacing w:val="-4"/>
                <w:sz w:val="18"/>
                <w:szCs w:val="18"/>
              </w:rPr>
              <w:t>)</w:t>
            </w:r>
          </w:p>
        </w:tc>
        <w:tc>
          <w:tcPr>
            <w:tcW w:w="851" w:type="dxa"/>
            <w:tcMar>
              <w:left w:w="0" w:type="dxa"/>
              <w:right w:w="0" w:type="dxa"/>
            </w:tcMar>
          </w:tcPr>
          <w:p w14:paraId="21A6D69B" w14:textId="2F8935B7"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ab/>
              <w:t>(6.3)</w:t>
            </w:r>
          </w:p>
        </w:tc>
      </w:tr>
      <w:tr w:rsidR="005F6D26" w:rsidRPr="00895810" w14:paraId="3ED097ED" w14:textId="77777777" w:rsidTr="00024B10">
        <w:trPr>
          <w:trHeight w:hRule="exact" w:val="255"/>
        </w:trPr>
        <w:tc>
          <w:tcPr>
            <w:tcW w:w="4253" w:type="dxa"/>
            <w:tcBorders>
              <w:top w:val="single" w:sz="4" w:space="0" w:color="3D7FE0" w:themeColor="accent1"/>
            </w:tcBorders>
            <w:tcMar>
              <w:left w:w="0" w:type="dxa"/>
              <w:right w:w="0" w:type="dxa"/>
            </w:tcMar>
            <w:vAlign w:val="bottom"/>
          </w:tcPr>
          <w:p w14:paraId="6AB7C4EF" w14:textId="77777777" w:rsidR="005F6D26" w:rsidRPr="00895810" w:rsidRDefault="005F6D26" w:rsidP="005F6D26">
            <w:pPr>
              <w:pStyle w:val="TableFiguresBrackets"/>
              <w:jc w:val="left"/>
              <w:rPr>
                <w:rFonts w:ascii="IBM Plex Sans Light" w:hAnsi="IBM Plex Sans Light"/>
                <w:bCs/>
                <w:color w:val="auto"/>
                <w:spacing w:val="-4"/>
                <w:sz w:val="18"/>
                <w:szCs w:val="18"/>
              </w:rPr>
            </w:pPr>
          </w:p>
        </w:tc>
        <w:tc>
          <w:tcPr>
            <w:tcW w:w="425" w:type="dxa"/>
            <w:tcBorders>
              <w:top w:val="single" w:sz="4" w:space="0" w:color="3D7FE0" w:themeColor="accent1"/>
            </w:tcBorders>
            <w:vAlign w:val="bottom"/>
          </w:tcPr>
          <w:p w14:paraId="2C8E8E73" w14:textId="2E6DD69C" w:rsidR="005F6D26" w:rsidRPr="00895810" w:rsidRDefault="005F6D26" w:rsidP="005F6D26">
            <w:pPr>
              <w:pStyle w:val="TableFigures"/>
              <w:rPr>
                <w:rFonts w:ascii="IBM Plex Sans Light" w:hAnsi="IBM Plex Sans Light"/>
                <w:color w:val="auto"/>
                <w:spacing w:val="-4"/>
                <w:sz w:val="18"/>
                <w:szCs w:val="18"/>
              </w:rPr>
            </w:pPr>
          </w:p>
        </w:tc>
        <w:tc>
          <w:tcPr>
            <w:tcW w:w="851" w:type="dxa"/>
            <w:tcBorders>
              <w:top w:val="single" w:sz="4" w:space="0" w:color="3D7FE0" w:themeColor="accent1"/>
            </w:tcBorders>
          </w:tcPr>
          <w:p w14:paraId="73FB8BD8" w14:textId="58E7207D"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(68.6)</w:t>
            </w:r>
          </w:p>
        </w:tc>
        <w:tc>
          <w:tcPr>
            <w:tcW w:w="992" w:type="dxa"/>
            <w:tcBorders>
              <w:top w:val="single" w:sz="4" w:space="0" w:color="3D7FE0" w:themeColor="accent1"/>
            </w:tcBorders>
          </w:tcPr>
          <w:p w14:paraId="1430D4E8" w14:textId="7697807A"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(0.2)</w:t>
            </w:r>
          </w:p>
        </w:tc>
        <w:tc>
          <w:tcPr>
            <w:tcW w:w="850" w:type="dxa"/>
            <w:tcBorders>
              <w:top w:val="single" w:sz="4" w:space="0" w:color="3D7FE0" w:themeColor="accent1"/>
            </w:tcBorders>
          </w:tcPr>
          <w:p w14:paraId="30649070" w14:textId="2E360570"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(5</w:t>
            </w:r>
            <w:r w:rsidR="00321BE8">
              <w:rPr>
                <w:rFonts w:ascii="IBM Plex Sans Light" w:hAnsi="IBM Plex Sans Light"/>
                <w:b w:val="0"/>
                <w:color w:val="auto"/>
                <w:spacing w:val="-4"/>
                <w:sz w:val="18"/>
                <w:szCs w:val="18"/>
              </w:rPr>
              <w:t>31.8</w:t>
            </w:r>
            <w:r w:rsidRPr="00543AD4">
              <w:rPr>
                <w:rFonts w:ascii="IBM Plex Sans Light" w:hAnsi="IBM Plex Sans Light"/>
                <w:b w:val="0"/>
                <w:color w:val="auto"/>
                <w:spacing w:val="-4"/>
                <w:sz w:val="18"/>
                <w:szCs w:val="18"/>
              </w:rPr>
              <w:t>)</w:t>
            </w:r>
          </w:p>
        </w:tc>
        <w:tc>
          <w:tcPr>
            <w:tcW w:w="851" w:type="dxa"/>
            <w:tcBorders>
              <w:top w:val="single" w:sz="4" w:space="0" w:color="3D7FE0" w:themeColor="accent1"/>
            </w:tcBorders>
            <w:tcMar>
              <w:left w:w="0" w:type="dxa"/>
              <w:right w:w="0" w:type="dxa"/>
            </w:tcMar>
          </w:tcPr>
          <w:p w14:paraId="1D05EF75" w14:textId="76FC2934" w:rsidR="005F6D26" w:rsidRPr="005B0D3D" w:rsidRDefault="005F6D26" w:rsidP="00024B10">
            <w:pPr>
              <w:pStyle w:val="TableFiguresBracketsBold"/>
              <w:rPr>
                <w:rFonts w:ascii="IBM Plex Sans Light" w:hAnsi="IBM Plex Sans Light"/>
                <w:color w:val="auto"/>
                <w:spacing w:val="-4"/>
                <w:sz w:val="18"/>
                <w:szCs w:val="18"/>
              </w:rPr>
            </w:pPr>
            <w:r w:rsidRPr="005B0D3D">
              <w:rPr>
                <w:rFonts w:ascii="IBM Plex Sans Light" w:hAnsi="IBM Plex Sans Light"/>
                <w:b w:val="0"/>
                <w:color w:val="auto"/>
                <w:spacing w:val="-4"/>
                <w:sz w:val="18"/>
                <w:szCs w:val="18"/>
              </w:rPr>
              <w:t>(101.2)</w:t>
            </w:r>
          </w:p>
        </w:tc>
        <w:tc>
          <w:tcPr>
            <w:tcW w:w="850" w:type="dxa"/>
            <w:tcBorders>
              <w:top w:val="single" w:sz="4" w:space="0" w:color="3D7FE0" w:themeColor="accent1"/>
            </w:tcBorders>
            <w:tcMar>
              <w:left w:w="0" w:type="dxa"/>
              <w:right w:w="0" w:type="dxa"/>
            </w:tcMar>
          </w:tcPr>
          <w:p w14:paraId="07C01C05" w14:textId="180B2194" w:rsidR="005F6D26" w:rsidRPr="00895810"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(1,4</w:t>
            </w:r>
            <w:r w:rsidR="00321BE8">
              <w:rPr>
                <w:rFonts w:ascii="IBM Plex Sans Light" w:hAnsi="IBM Plex Sans Light"/>
                <w:b w:val="0"/>
                <w:color w:val="auto"/>
                <w:spacing w:val="-4"/>
                <w:sz w:val="18"/>
                <w:szCs w:val="18"/>
              </w:rPr>
              <w:t>36.4</w:t>
            </w:r>
            <w:r w:rsidRPr="00543AD4">
              <w:rPr>
                <w:rFonts w:ascii="IBM Plex Sans Light" w:hAnsi="IBM Plex Sans Light"/>
                <w:b w:val="0"/>
                <w:color w:val="auto"/>
                <w:spacing w:val="-4"/>
                <w:sz w:val="18"/>
                <w:szCs w:val="18"/>
              </w:rPr>
              <w:t>)</w:t>
            </w:r>
          </w:p>
        </w:tc>
        <w:tc>
          <w:tcPr>
            <w:tcW w:w="851" w:type="dxa"/>
            <w:tcBorders>
              <w:top w:val="single" w:sz="4" w:space="0" w:color="3D7FE0" w:themeColor="accent1"/>
            </w:tcBorders>
            <w:tcMar>
              <w:left w:w="0" w:type="dxa"/>
              <w:right w:w="0" w:type="dxa"/>
            </w:tcMar>
          </w:tcPr>
          <w:p w14:paraId="6FFFAE5A" w14:textId="19F20962" w:rsidR="005F6D26" w:rsidRPr="00543AD4" w:rsidRDefault="005F6D26" w:rsidP="005F6D26">
            <w:pPr>
              <w:pStyle w:val="TableFiguresBracketsBold"/>
              <w:rPr>
                <w:rFonts w:ascii="IBM Plex Sans Light" w:hAnsi="IBM Plex Sans Light"/>
                <w:b w:val="0"/>
                <w:color w:val="auto"/>
                <w:spacing w:val="-4"/>
                <w:sz w:val="18"/>
                <w:szCs w:val="18"/>
              </w:rPr>
            </w:pPr>
            <w:r w:rsidRPr="00543AD4">
              <w:rPr>
                <w:rFonts w:ascii="IBM Plex Sans Light" w:hAnsi="IBM Plex Sans Light"/>
                <w:b w:val="0"/>
                <w:color w:val="auto"/>
                <w:spacing w:val="-4"/>
                <w:sz w:val="18"/>
                <w:szCs w:val="18"/>
              </w:rPr>
              <w:t>(287.6)</w:t>
            </w:r>
          </w:p>
        </w:tc>
      </w:tr>
      <w:tr w:rsidR="005F6D26" w:rsidRPr="00895810" w14:paraId="7D69B6CE" w14:textId="77777777" w:rsidTr="00024B10">
        <w:trPr>
          <w:trHeight w:hRule="exact" w:val="255"/>
        </w:trPr>
        <w:tc>
          <w:tcPr>
            <w:tcW w:w="4253" w:type="dxa"/>
            <w:tcBorders>
              <w:bottom w:val="single" w:sz="2" w:space="0" w:color="3D7FE0" w:themeColor="accent1"/>
            </w:tcBorders>
            <w:tcMar>
              <w:left w:w="0" w:type="dxa"/>
              <w:right w:w="0" w:type="dxa"/>
            </w:tcMar>
            <w:vAlign w:val="bottom"/>
          </w:tcPr>
          <w:p w14:paraId="42F6BBB4" w14:textId="77777777" w:rsidR="005F6D26" w:rsidRPr="00895810" w:rsidRDefault="005F6D26" w:rsidP="005F6D26">
            <w:pPr>
              <w:pStyle w:val="TableFiguresBrackets"/>
              <w:jc w:val="left"/>
              <w:rPr>
                <w:rFonts w:ascii="IBM Plex Sans Light" w:hAnsi="IBM Plex Sans Light" w:cs="MyriadPro-Light"/>
                <w:b/>
                <w:color w:val="3D7FE0" w:themeColor="accent1"/>
                <w:spacing w:val="-4"/>
                <w:sz w:val="18"/>
                <w:szCs w:val="18"/>
              </w:rPr>
            </w:pPr>
            <w:r w:rsidRPr="00895810">
              <w:rPr>
                <w:rFonts w:ascii="IBM Plex Sans Light" w:hAnsi="IBM Plex Sans Light"/>
                <w:bCs/>
                <w:sz w:val="18"/>
                <w:szCs w:val="18"/>
              </w:rPr>
              <w:t>Cumulative losses restricted</w:t>
            </w:r>
          </w:p>
        </w:tc>
        <w:tc>
          <w:tcPr>
            <w:tcW w:w="425" w:type="dxa"/>
            <w:tcBorders>
              <w:bottom w:val="single" w:sz="2" w:space="0" w:color="3D7FE0" w:themeColor="accent1"/>
            </w:tcBorders>
            <w:vAlign w:val="bottom"/>
          </w:tcPr>
          <w:p w14:paraId="6C4F79A8" w14:textId="3DB320D1" w:rsidR="005F6D26" w:rsidRPr="00024B10" w:rsidRDefault="005F6D26" w:rsidP="005F6D26">
            <w:pPr>
              <w:pStyle w:val="TableFigures"/>
              <w:rPr>
                <w:rFonts w:ascii="IBM Plex Sans Light" w:hAnsi="IBM Plex Sans Light"/>
                <w:color w:val="auto"/>
                <w:spacing w:val="-4"/>
                <w:szCs w:val="16"/>
              </w:rPr>
            </w:pPr>
            <w:r>
              <w:rPr>
                <w:rFonts w:ascii="IBM Plex Sans Light" w:hAnsi="IBM Plex Sans Light"/>
                <w:bCs/>
                <w:szCs w:val="16"/>
              </w:rPr>
              <w:t>a</w:t>
            </w:r>
          </w:p>
        </w:tc>
        <w:tc>
          <w:tcPr>
            <w:tcW w:w="851" w:type="dxa"/>
            <w:tcBorders>
              <w:bottom w:val="single" w:sz="2" w:space="0" w:color="3D7FE0" w:themeColor="accent1"/>
            </w:tcBorders>
          </w:tcPr>
          <w:p w14:paraId="3FFB0B61" w14:textId="1097D248" w:rsidR="005F6D26" w:rsidRPr="00895810" w:rsidRDefault="005F6D26" w:rsidP="005F6D26">
            <w:pPr>
              <w:pStyle w:val="TableFigures"/>
              <w:rPr>
                <w:rFonts w:ascii="IBM Plex Sans Light" w:hAnsi="IBM Plex Sans Light"/>
                <w:color w:val="auto"/>
                <w:spacing w:val="-4"/>
                <w:sz w:val="18"/>
                <w:szCs w:val="18"/>
              </w:rPr>
            </w:pPr>
            <w:r w:rsidRPr="001710E5">
              <w:rPr>
                <w:rFonts w:ascii="IBM Plex Sans Light" w:hAnsi="IBM Plex Sans Light"/>
                <w:color w:val="auto"/>
                <w:spacing w:val="-4"/>
                <w:sz w:val="18"/>
                <w:szCs w:val="18"/>
              </w:rPr>
              <w:t>–</w:t>
            </w:r>
          </w:p>
        </w:tc>
        <w:tc>
          <w:tcPr>
            <w:tcW w:w="992" w:type="dxa"/>
            <w:tcBorders>
              <w:bottom w:val="single" w:sz="2" w:space="0" w:color="3D7FE0" w:themeColor="accent1"/>
            </w:tcBorders>
          </w:tcPr>
          <w:p w14:paraId="1CF07111" w14:textId="4B7F9BA2"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35.7</w:t>
            </w:r>
          </w:p>
        </w:tc>
        <w:tc>
          <w:tcPr>
            <w:tcW w:w="850" w:type="dxa"/>
            <w:tcBorders>
              <w:bottom w:val="single" w:sz="2" w:space="0" w:color="3D7FE0" w:themeColor="accent1"/>
            </w:tcBorders>
          </w:tcPr>
          <w:p w14:paraId="4F2E5112" w14:textId="1B5CF27A"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1" w:type="dxa"/>
            <w:tcBorders>
              <w:bottom w:val="single" w:sz="2" w:space="0" w:color="3D7FE0" w:themeColor="accent1"/>
            </w:tcBorders>
            <w:tcMar>
              <w:left w:w="0" w:type="dxa"/>
              <w:right w:w="0" w:type="dxa"/>
            </w:tcMar>
          </w:tcPr>
          <w:p w14:paraId="3EE90CB6" w14:textId="3894864C"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Borders>
              <w:bottom w:val="single" w:sz="2" w:space="0" w:color="3D7FE0" w:themeColor="accent1"/>
            </w:tcBorders>
            <w:tcMar>
              <w:left w:w="0" w:type="dxa"/>
              <w:right w:w="0" w:type="dxa"/>
            </w:tcMar>
          </w:tcPr>
          <w:p w14:paraId="0D996E8C" w14:textId="19462F4C"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35.7</w:t>
            </w:r>
          </w:p>
        </w:tc>
        <w:tc>
          <w:tcPr>
            <w:tcW w:w="851" w:type="dxa"/>
            <w:tcBorders>
              <w:bottom w:val="single" w:sz="2" w:space="0" w:color="3D7FE0" w:themeColor="accent1"/>
            </w:tcBorders>
            <w:tcMar>
              <w:left w:w="0" w:type="dxa"/>
              <w:right w:w="0" w:type="dxa"/>
            </w:tcMar>
          </w:tcPr>
          <w:p w14:paraId="5232AED3" w14:textId="4B575974"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ab/>
              <w:t xml:space="preserve">17.9 </w:t>
            </w:r>
          </w:p>
        </w:tc>
      </w:tr>
      <w:tr w:rsidR="005F6D26" w:rsidRPr="00895810" w14:paraId="66369CEA" w14:textId="77777777" w:rsidTr="00024B10">
        <w:trPr>
          <w:trHeight w:hRule="exact" w:val="283"/>
        </w:trPr>
        <w:tc>
          <w:tcPr>
            <w:tcW w:w="4253" w:type="dxa"/>
            <w:tcBorders>
              <w:top w:val="single" w:sz="2" w:space="0" w:color="3D7FE0" w:themeColor="accent1"/>
              <w:bottom w:val="single" w:sz="8" w:space="0" w:color="3D7FE0" w:themeColor="accent1"/>
            </w:tcBorders>
            <w:tcMar>
              <w:left w:w="0" w:type="dxa"/>
              <w:right w:w="0" w:type="dxa"/>
            </w:tcMar>
            <w:vAlign w:val="bottom"/>
          </w:tcPr>
          <w:p w14:paraId="07607B11" w14:textId="4344B705" w:rsidR="005F6D26" w:rsidRPr="00895810" w:rsidRDefault="005F6D26" w:rsidP="005F6D26">
            <w:pPr>
              <w:pStyle w:val="TableFiguresBrackets"/>
              <w:jc w:val="left"/>
              <w:rPr>
                <w:rFonts w:ascii="IBM Plex Sans Light" w:hAnsi="IBM Plex Sans Light" w:cs="MyriadPro-Light"/>
                <w:b/>
                <w:color w:val="auto"/>
                <w:spacing w:val="-4"/>
                <w:sz w:val="18"/>
                <w:szCs w:val="18"/>
              </w:rPr>
            </w:pPr>
            <w:r w:rsidRPr="00895810">
              <w:rPr>
                <w:rFonts w:ascii="IBM Plex Sans Light" w:hAnsi="IBM Plex Sans Light"/>
                <w:b/>
                <w:color w:val="auto"/>
                <w:sz w:val="18"/>
                <w:szCs w:val="18"/>
              </w:rPr>
              <w:t>Net assets</w:t>
            </w:r>
            <w:r>
              <w:rPr>
                <w:rFonts w:ascii="IBM Plex Sans Light" w:hAnsi="IBM Plex Sans Light"/>
                <w:b/>
                <w:color w:val="auto"/>
                <w:sz w:val="18"/>
                <w:szCs w:val="18"/>
              </w:rPr>
              <w:t>/(liabilities)</w:t>
            </w:r>
          </w:p>
        </w:tc>
        <w:tc>
          <w:tcPr>
            <w:tcW w:w="425" w:type="dxa"/>
            <w:tcBorders>
              <w:top w:val="single" w:sz="2" w:space="0" w:color="3D7FE0" w:themeColor="accent1"/>
              <w:bottom w:val="single" w:sz="8" w:space="0" w:color="3D7FE0" w:themeColor="accent1"/>
            </w:tcBorders>
            <w:vAlign w:val="bottom"/>
          </w:tcPr>
          <w:p w14:paraId="4A2B7DBE" w14:textId="351DD02D" w:rsidR="005F6D26" w:rsidRPr="00895810" w:rsidRDefault="005F6D26" w:rsidP="005F6D26">
            <w:pPr>
              <w:pStyle w:val="TableFigures"/>
              <w:rPr>
                <w:rFonts w:ascii="IBM Plex Sans Light" w:hAnsi="IBM Plex Sans Light"/>
                <w:color w:val="auto"/>
                <w:spacing w:val="-4"/>
                <w:sz w:val="18"/>
                <w:szCs w:val="18"/>
              </w:rPr>
            </w:pPr>
            <w:r w:rsidRPr="00366E57">
              <w:rPr>
                <w:rFonts w:ascii="IBM Plex Sans Light" w:hAnsi="IBM Plex Sans Light"/>
                <w:bCs/>
                <w:szCs w:val="16"/>
              </w:rPr>
              <w:t>b</w:t>
            </w:r>
          </w:p>
        </w:tc>
        <w:tc>
          <w:tcPr>
            <w:tcW w:w="851" w:type="dxa"/>
            <w:tcBorders>
              <w:top w:val="single" w:sz="2" w:space="0" w:color="3D7FE0" w:themeColor="accent1"/>
              <w:bottom w:val="single" w:sz="8" w:space="0" w:color="3D7FE0" w:themeColor="accent1"/>
            </w:tcBorders>
          </w:tcPr>
          <w:p w14:paraId="0183BA71" w14:textId="420DC863"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104.2</w:t>
            </w:r>
          </w:p>
        </w:tc>
        <w:tc>
          <w:tcPr>
            <w:tcW w:w="992" w:type="dxa"/>
            <w:tcBorders>
              <w:top w:val="single" w:sz="2" w:space="0" w:color="3D7FE0" w:themeColor="accent1"/>
              <w:bottom w:val="single" w:sz="8" w:space="0" w:color="3D7FE0" w:themeColor="accent1"/>
            </w:tcBorders>
          </w:tcPr>
          <w:p w14:paraId="3594416A" w14:textId="4FAEA287"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c>
          <w:tcPr>
            <w:tcW w:w="850" w:type="dxa"/>
            <w:tcBorders>
              <w:top w:val="single" w:sz="2" w:space="0" w:color="3D7FE0" w:themeColor="accent1"/>
              <w:bottom w:val="single" w:sz="8" w:space="0" w:color="3D7FE0" w:themeColor="accent1"/>
            </w:tcBorders>
          </w:tcPr>
          <w:p w14:paraId="139E5A7A" w14:textId="0B567E25" w:rsidR="005F6D26" w:rsidRPr="00895810" w:rsidRDefault="00321BE8" w:rsidP="005F6D26">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628.1</w:t>
            </w:r>
          </w:p>
        </w:tc>
        <w:tc>
          <w:tcPr>
            <w:tcW w:w="851" w:type="dxa"/>
            <w:tcBorders>
              <w:top w:val="single" w:sz="2" w:space="0" w:color="3D7FE0" w:themeColor="accent1"/>
              <w:bottom w:val="single" w:sz="8" w:space="0" w:color="3D7FE0" w:themeColor="accent1"/>
            </w:tcBorders>
            <w:tcMar>
              <w:left w:w="0" w:type="dxa"/>
              <w:right w:w="0" w:type="dxa"/>
            </w:tcMar>
          </w:tcPr>
          <w:p w14:paraId="3D01A687" w14:textId="4DE0C11C"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113.3</w:t>
            </w:r>
          </w:p>
        </w:tc>
        <w:tc>
          <w:tcPr>
            <w:tcW w:w="850" w:type="dxa"/>
            <w:tcBorders>
              <w:top w:val="single" w:sz="2" w:space="0" w:color="3D7FE0" w:themeColor="accent1"/>
              <w:bottom w:val="single" w:sz="8" w:space="0" w:color="3D7FE0" w:themeColor="accent1"/>
            </w:tcBorders>
            <w:tcMar>
              <w:left w:w="0" w:type="dxa"/>
              <w:right w:w="0" w:type="dxa"/>
            </w:tcMar>
          </w:tcPr>
          <w:p w14:paraId="035E6954" w14:textId="4BA8F0B8"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1,9</w:t>
            </w:r>
            <w:r w:rsidR="00321BE8">
              <w:rPr>
                <w:rFonts w:ascii="IBM Plex Sans Light" w:hAnsi="IBM Plex Sans Light"/>
                <w:color w:val="auto"/>
                <w:spacing w:val="-4"/>
                <w:sz w:val="18"/>
                <w:szCs w:val="18"/>
              </w:rPr>
              <w:t>57.9</w:t>
            </w:r>
          </w:p>
        </w:tc>
        <w:tc>
          <w:tcPr>
            <w:tcW w:w="851" w:type="dxa"/>
            <w:tcBorders>
              <w:top w:val="single" w:sz="2" w:space="0" w:color="3D7FE0" w:themeColor="accent1"/>
              <w:bottom w:val="single" w:sz="8" w:space="0" w:color="3D7FE0" w:themeColor="accent1"/>
            </w:tcBorders>
            <w:tcMar>
              <w:left w:w="0" w:type="dxa"/>
              <w:right w:w="0" w:type="dxa"/>
            </w:tcMar>
          </w:tcPr>
          <w:p w14:paraId="57FB7EA6" w14:textId="7FA6A2EB" w:rsidR="005F6D26" w:rsidRPr="00895810" w:rsidRDefault="005F6D26" w:rsidP="005F6D26">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1,342.4</w:t>
            </w:r>
          </w:p>
        </w:tc>
      </w:tr>
    </w:tbl>
    <w:p w14:paraId="37E76B61" w14:textId="77777777" w:rsidR="0008424D" w:rsidRPr="00895810" w:rsidRDefault="0008424D" w:rsidP="00D94DE9">
      <w:pPr>
        <w:pStyle w:val="Heading2SpaceBefore"/>
        <w:tabs>
          <w:tab w:val="clear" w:pos="340"/>
          <w:tab w:val="left" w:pos="284"/>
        </w:tabs>
        <w:spacing w:before="0"/>
        <w:rPr>
          <w:rFonts w:ascii="IBM Plex Sans Light" w:hAnsi="IBM Plex Sans Light"/>
          <w:color w:val="3D7FE0" w:themeColor="accent1"/>
        </w:rPr>
      </w:pPr>
    </w:p>
    <w:p w14:paraId="0A52161F" w14:textId="4BEF1156" w:rsidR="00662475" w:rsidRPr="00895810" w:rsidRDefault="00662475" w:rsidP="00534C72">
      <w:pPr>
        <w:spacing w:after="0" w:line="240" w:lineRule="auto"/>
        <w:rPr>
          <w:rFonts w:ascii="IBM Plex Sans Light" w:hAnsi="IBM Plex Sans Light" w:cs="Arial"/>
          <w:sz w:val="16"/>
          <w:szCs w:val="16"/>
        </w:rPr>
      </w:pPr>
    </w:p>
    <w:p w14:paraId="17170A9A" w14:textId="77777777" w:rsidR="008833FC" w:rsidRPr="00895810" w:rsidRDefault="008833FC" w:rsidP="008833FC">
      <w:pPr>
        <w:pStyle w:val="NoSpace"/>
        <w:rPr>
          <w:rFonts w:ascii="IBM Plex Sans Light" w:hAnsi="IBM Plex Sans Light"/>
          <w:bCs/>
        </w:rPr>
      </w:pPr>
    </w:p>
    <w:p w14:paraId="69FE70FD" w14:textId="77777777" w:rsidR="008833FC" w:rsidRPr="00895810" w:rsidRDefault="008833FC" w:rsidP="008833FC">
      <w:pPr>
        <w:pStyle w:val="NoSpace"/>
        <w:rPr>
          <w:rFonts w:ascii="IBM Plex Sans Light" w:hAnsi="IBM Plex Sans Light"/>
          <w:bCs/>
        </w:rPr>
      </w:pPr>
    </w:p>
    <w:p w14:paraId="614178D8" w14:textId="4BB2F161" w:rsidR="008833FC" w:rsidRPr="00895810" w:rsidRDefault="008833FC" w:rsidP="008833FC">
      <w:pPr>
        <w:pStyle w:val="NoSpace"/>
        <w:rPr>
          <w:rFonts w:ascii="IBM Plex Sans Light" w:hAnsi="IBM Plex Sans Light" w:cs="Arial"/>
        </w:rPr>
      </w:pPr>
    </w:p>
    <w:p w14:paraId="6BA14F30" w14:textId="0EA5B92E" w:rsidR="00CD4ABD" w:rsidRPr="00895810" w:rsidRDefault="00410997" w:rsidP="006D6309">
      <w:pPr>
        <w:pStyle w:val="Heading2SpaceBefore"/>
        <w:spacing w:before="0"/>
        <w:rPr>
          <w:rFonts w:ascii="IBM Plex Sans Light" w:hAnsi="IBM Plex Sans Light"/>
          <w:color w:val="3D7FE0" w:themeColor="accent1"/>
        </w:rPr>
      </w:pPr>
      <w:r w:rsidRPr="00895810">
        <w:rPr>
          <w:rFonts w:ascii="IBM Plex Sans Light" w:hAnsi="IBM Plex Sans Light"/>
          <w:color w:val="3D7FE0" w:themeColor="accent1"/>
        </w:rPr>
        <w:t>D</w:t>
      </w:r>
      <w:r w:rsidR="00CD4ABD" w:rsidRPr="00895810">
        <w:rPr>
          <w:rFonts w:ascii="IBM Plex Sans Light" w:hAnsi="IBM Plex Sans Light"/>
          <w:color w:val="3D7FE0" w:themeColor="accent1"/>
        </w:rPr>
        <w:t xml:space="preserve">. </w:t>
      </w:r>
      <w:r w:rsidR="005F6D26" w:rsidRPr="00895810">
        <w:rPr>
          <w:rFonts w:ascii="IBM Plex Sans Light" w:hAnsi="IBM Plex Sans Light"/>
          <w:color w:val="3D7FE0" w:themeColor="accent1"/>
        </w:rPr>
        <w:t>RECONCILIATION OF MOVEMENTS IN INVESTMENT IN JOINT VENTURES</w:t>
      </w:r>
    </w:p>
    <w:tbl>
      <w:tblPr>
        <w:tblW w:w="9921" w:type="dxa"/>
        <w:tblLayout w:type="fixed"/>
        <w:tblLook w:val="01E0" w:firstRow="1" w:lastRow="1" w:firstColumn="1" w:lastColumn="1" w:noHBand="0" w:noVBand="0"/>
      </w:tblPr>
      <w:tblGrid>
        <w:gridCol w:w="6521"/>
        <w:gridCol w:w="849"/>
        <w:gridCol w:w="1275"/>
        <w:gridCol w:w="1276"/>
      </w:tblGrid>
      <w:tr w:rsidR="006510D0" w:rsidRPr="00895810" w14:paraId="5D66192F" w14:textId="77777777" w:rsidTr="00024B10">
        <w:trPr>
          <w:trHeight w:val="227"/>
        </w:trPr>
        <w:tc>
          <w:tcPr>
            <w:tcW w:w="6521" w:type="dxa"/>
            <w:tcMar>
              <w:left w:w="0" w:type="dxa"/>
              <w:right w:w="0" w:type="dxa"/>
            </w:tcMar>
            <w:vAlign w:val="bottom"/>
          </w:tcPr>
          <w:p w14:paraId="0178D676" w14:textId="77777777" w:rsidR="006510D0" w:rsidRPr="00895810" w:rsidRDefault="006510D0" w:rsidP="0063218B">
            <w:pPr>
              <w:pStyle w:val="TableColHeadsBold"/>
              <w:rPr>
                <w:rFonts w:ascii="IBM Plex Sans Light" w:hAnsi="IBM Plex Sans Light"/>
                <w:sz w:val="18"/>
                <w:szCs w:val="18"/>
              </w:rPr>
            </w:pPr>
          </w:p>
        </w:tc>
        <w:tc>
          <w:tcPr>
            <w:tcW w:w="849" w:type="dxa"/>
            <w:tcMar>
              <w:left w:w="0" w:type="dxa"/>
              <w:right w:w="0" w:type="dxa"/>
            </w:tcMar>
            <w:vAlign w:val="bottom"/>
          </w:tcPr>
          <w:p w14:paraId="13C81ED9" w14:textId="77777777" w:rsidR="006510D0" w:rsidRPr="00895810" w:rsidRDefault="006510D0" w:rsidP="0063218B">
            <w:pPr>
              <w:pStyle w:val="TableColHeadsBold"/>
              <w:rPr>
                <w:rFonts w:ascii="IBM Plex Sans Light" w:hAnsi="IBM Plex Sans Light"/>
                <w:color w:val="3D7FE0" w:themeColor="accent1"/>
                <w:sz w:val="18"/>
                <w:szCs w:val="18"/>
              </w:rPr>
            </w:pPr>
          </w:p>
        </w:tc>
        <w:tc>
          <w:tcPr>
            <w:tcW w:w="1275" w:type="dxa"/>
            <w:tcMar>
              <w:left w:w="0" w:type="dxa"/>
              <w:right w:w="0" w:type="dxa"/>
            </w:tcMar>
            <w:vAlign w:val="bottom"/>
          </w:tcPr>
          <w:p w14:paraId="7F54243A" w14:textId="758C030D" w:rsidR="006510D0" w:rsidRPr="00895810" w:rsidRDefault="00785AC2" w:rsidP="00D75ECB">
            <w:pPr>
              <w:pStyle w:val="TableColHeadsBold"/>
              <w:spacing w:line="240" w:lineRule="auto"/>
              <w:rPr>
                <w:rFonts w:ascii="IBM Plex Sans Light" w:hAnsi="IBM Plex Sans Light"/>
                <w:color w:val="3D7FE0" w:themeColor="accent1"/>
              </w:rPr>
            </w:pPr>
            <w:r>
              <w:rPr>
                <w:rFonts w:ascii="IBM Plex Sans Light" w:hAnsi="IBM Plex Sans Light"/>
                <w:color w:val="3D7FE0" w:themeColor="accent1"/>
              </w:rPr>
              <w:t>2023</w:t>
            </w:r>
          </w:p>
        </w:tc>
        <w:tc>
          <w:tcPr>
            <w:tcW w:w="1276" w:type="dxa"/>
            <w:tcMar>
              <w:left w:w="0" w:type="dxa"/>
              <w:right w:w="0" w:type="dxa"/>
            </w:tcMar>
            <w:vAlign w:val="bottom"/>
          </w:tcPr>
          <w:p w14:paraId="1AA59587" w14:textId="52589FE5" w:rsidR="006510D0" w:rsidRPr="00895810" w:rsidRDefault="006E7EB0" w:rsidP="00D75ECB">
            <w:pPr>
              <w:pStyle w:val="TableColHeadsBold"/>
              <w:spacing w:line="240" w:lineRule="auto"/>
              <w:ind w:left="-106" w:right="39"/>
              <w:rPr>
                <w:rFonts w:ascii="IBM Plex Sans Light" w:hAnsi="IBM Plex Sans Light"/>
                <w:b w:val="0"/>
              </w:rPr>
            </w:pPr>
            <w:r>
              <w:rPr>
                <w:rFonts w:ascii="IBM Plex Sans Light" w:hAnsi="IBM Plex Sans Light"/>
                <w:b w:val="0"/>
              </w:rPr>
              <w:t>2022</w:t>
            </w:r>
          </w:p>
        </w:tc>
      </w:tr>
      <w:tr w:rsidR="006510D0" w:rsidRPr="00895810" w14:paraId="48F4703C" w14:textId="77777777" w:rsidTr="00024B10">
        <w:tc>
          <w:tcPr>
            <w:tcW w:w="6521" w:type="dxa"/>
            <w:tcBorders>
              <w:bottom w:val="single" w:sz="2" w:space="0" w:color="3D7FE0" w:themeColor="accent1"/>
            </w:tcBorders>
            <w:tcMar>
              <w:left w:w="0" w:type="dxa"/>
              <w:bottom w:w="28" w:type="dxa"/>
              <w:right w:w="0" w:type="dxa"/>
            </w:tcMar>
            <w:vAlign w:val="bottom"/>
          </w:tcPr>
          <w:p w14:paraId="30E1024E" w14:textId="77777777" w:rsidR="006510D0" w:rsidRPr="00895810" w:rsidRDefault="006510D0" w:rsidP="0063218B">
            <w:pPr>
              <w:pStyle w:val="TableColHeadsBold"/>
              <w:rPr>
                <w:rFonts w:ascii="IBM Plex Sans Light" w:hAnsi="IBM Plex Sans Light"/>
                <w:sz w:val="18"/>
                <w:szCs w:val="18"/>
              </w:rPr>
            </w:pPr>
          </w:p>
        </w:tc>
        <w:tc>
          <w:tcPr>
            <w:tcW w:w="849" w:type="dxa"/>
            <w:tcBorders>
              <w:bottom w:val="single" w:sz="2" w:space="0" w:color="3D7FE0" w:themeColor="accent1"/>
            </w:tcBorders>
            <w:tcMar>
              <w:left w:w="0" w:type="dxa"/>
              <w:bottom w:w="28" w:type="dxa"/>
              <w:right w:w="0" w:type="dxa"/>
            </w:tcMar>
            <w:vAlign w:val="bottom"/>
          </w:tcPr>
          <w:p w14:paraId="43224932" w14:textId="3A4DAF07" w:rsidR="006510D0" w:rsidRPr="00895810" w:rsidRDefault="00CE2F7F" w:rsidP="0063218B">
            <w:pPr>
              <w:pStyle w:val="TableColHeadsBold"/>
              <w:rPr>
                <w:rFonts w:ascii="IBM Plex Sans Light" w:hAnsi="IBM Plex Sans Light"/>
                <w:color w:val="3D7FE0" w:themeColor="accent1"/>
                <w:sz w:val="18"/>
                <w:szCs w:val="18"/>
              </w:rPr>
            </w:pPr>
            <w:r w:rsidRPr="00024B10">
              <w:rPr>
                <w:rFonts w:ascii="IBM Plex Sans Light" w:hAnsi="IBM Plex Sans Light"/>
                <w:bCs w:val="0"/>
              </w:rPr>
              <w:t>Footnote</w:t>
            </w:r>
          </w:p>
        </w:tc>
        <w:tc>
          <w:tcPr>
            <w:tcW w:w="1275" w:type="dxa"/>
            <w:tcBorders>
              <w:bottom w:val="single" w:sz="2" w:space="0" w:color="3D7FE0" w:themeColor="accent1"/>
            </w:tcBorders>
            <w:tcMar>
              <w:left w:w="0" w:type="dxa"/>
              <w:bottom w:w="28" w:type="dxa"/>
              <w:right w:w="0" w:type="dxa"/>
            </w:tcMar>
            <w:vAlign w:val="bottom"/>
          </w:tcPr>
          <w:p w14:paraId="155EDB5C" w14:textId="77777777" w:rsidR="006510D0" w:rsidRPr="00895810" w:rsidRDefault="006510D0" w:rsidP="0063218B">
            <w:pPr>
              <w:pStyle w:val="TableColHeadsBold"/>
              <w:rPr>
                <w:rFonts w:ascii="IBM Plex Sans Light" w:hAnsi="IBM Plex Sans Light"/>
                <w:b w:val="0"/>
                <w:sz w:val="16"/>
                <w:szCs w:val="16"/>
              </w:rPr>
            </w:pPr>
            <w:r w:rsidRPr="00895810">
              <w:rPr>
                <w:rFonts w:ascii="IBM Plex Sans Light" w:hAnsi="IBM Plex Sans Light"/>
                <w:color w:val="3D7FE0" w:themeColor="accent1"/>
                <w:sz w:val="16"/>
                <w:szCs w:val="16"/>
              </w:rPr>
              <w:t xml:space="preserve">£m </w:t>
            </w:r>
          </w:p>
        </w:tc>
        <w:tc>
          <w:tcPr>
            <w:tcW w:w="1276" w:type="dxa"/>
            <w:tcBorders>
              <w:bottom w:val="single" w:sz="2" w:space="0" w:color="3D7FE0" w:themeColor="accent1"/>
            </w:tcBorders>
            <w:tcMar>
              <w:left w:w="0" w:type="dxa"/>
              <w:bottom w:w="28" w:type="dxa"/>
              <w:right w:w="0" w:type="dxa"/>
            </w:tcMar>
            <w:vAlign w:val="bottom"/>
          </w:tcPr>
          <w:p w14:paraId="152BB611" w14:textId="77777777" w:rsidR="006510D0" w:rsidRPr="00895810" w:rsidRDefault="006510D0" w:rsidP="0063218B">
            <w:pPr>
              <w:pStyle w:val="TableColHeadsBold"/>
              <w:rPr>
                <w:rFonts w:ascii="IBM Plex Sans Light" w:hAnsi="IBM Plex Sans Light"/>
                <w:b w:val="0"/>
                <w:sz w:val="16"/>
                <w:szCs w:val="16"/>
              </w:rPr>
            </w:pPr>
            <w:r w:rsidRPr="00895810">
              <w:rPr>
                <w:rFonts w:ascii="IBM Plex Sans Light" w:hAnsi="IBM Plex Sans Light"/>
                <w:b w:val="0"/>
                <w:sz w:val="16"/>
                <w:szCs w:val="16"/>
              </w:rPr>
              <w:t xml:space="preserve">£m </w:t>
            </w:r>
          </w:p>
        </w:tc>
      </w:tr>
      <w:tr w:rsidR="009D38AD" w:rsidRPr="00895810" w14:paraId="79B416F0" w14:textId="77777777" w:rsidTr="00024B10">
        <w:trPr>
          <w:trHeight w:hRule="exact" w:val="283"/>
        </w:trPr>
        <w:tc>
          <w:tcPr>
            <w:tcW w:w="6521" w:type="dxa"/>
            <w:tcBorders>
              <w:top w:val="single" w:sz="2" w:space="0" w:color="3D7FE0" w:themeColor="accent1"/>
            </w:tcBorders>
            <w:tcMar>
              <w:left w:w="0" w:type="dxa"/>
              <w:right w:w="0" w:type="dxa"/>
            </w:tcMar>
            <w:vAlign w:val="bottom"/>
          </w:tcPr>
          <w:p w14:paraId="0891EA0A" w14:textId="779CDE53" w:rsidR="009D38AD" w:rsidRPr="00895810" w:rsidRDefault="009D38AD" w:rsidP="009D38AD">
            <w:pPr>
              <w:pStyle w:val="Tabletext"/>
              <w:rPr>
                <w:rFonts w:ascii="IBM Plex Sans Light" w:hAnsi="IBM Plex Sans Light"/>
                <w:spacing w:val="-4"/>
                <w:sz w:val="18"/>
                <w:szCs w:val="18"/>
              </w:rPr>
            </w:pPr>
            <w:r w:rsidRPr="00895810">
              <w:rPr>
                <w:rFonts w:ascii="IBM Plex Sans Light" w:hAnsi="IBM Plex Sans Light"/>
                <w:spacing w:val="-4"/>
                <w:sz w:val="18"/>
                <w:szCs w:val="18"/>
              </w:rPr>
              <w:t>At 1 January</w:t>
            </w:r>
          </w:p>
        </w:tc>
        <w:tc>
          <w:tcPr>
            <w:tcW w:w="849" w:type="dxa"/>
            <w:tcBorders>
              <w:top w:val="single" w:sz="2" w:space="0" w:color="3D7FE0" w:themeColor="accent1"/>
            </w:tcBorders>
            <w:tcMar>
              <w:left w:w="0" w:type="dxa"/>
              <w:right w:w="0" w:type="dxa"/>
            </w:tcMar>
            <w:vAlign w:val="bottom"/>
          </w:tcPr>
          <w:p w14:paraId="60CC3050" w14:textId="77777777" w:rsidR="009D38AD" w:rsidRPr="00895810" w:rsidRDefault="009D38AD" w:rsidP="009D38AD">
            <w:pPr>
              <w:pStyle w:val="TableFigures"/>
              <w:rPr>
                <w:rFonts w:ascii="IBM Plex Sans Light" w:hAnsi="IBM Plex Sans Light"/>
                <w:color w:val="auto"/>
                <w:spacing w:val="-4"/>
                <w:sz w:val="18"/>
                <w:szCs w:val="18"/>
              </w:rPr>
            </w:pPr>
          </w:p>
        </w:tc>
        <w:tc>
          <w:tcPr>
            <w:tcW w:w="1275" w:type="dxa"/>
            <w:tcBorders>
              <w:top w:val="single" w:sz="2" w:space="0" w:color="3D7FE0" w:themeColor="accent1"/>
            </w:tcBorders>
            <w:tcMar>
              <w:left w:w="0" w:type="dxa"/>
              <w:right w:w="0" w:type="dxa"/>
            </w:tcMar>
          </w:tcPr>
          <w:p w14:paraId="14664D20" w14:textId="7BEBF632" w:rsidR="009D38AD" w:rsidRPr="009D38AD" w:rsidRDefault="009D38AD" w:rsidP="009D38AD">
            <w:pPr>
              <w:pStyle w:val="TableFiguresBold"/>
              <w:rPr>
                <w:rFonts w:ascii="IBM Plex Sans Medium" w:hAnsi="IBM Plex Sans Medium"/>
                <w:color w:val="3D7FE0" w:themeColor="accent1"/>
                <w:sz w:val="18"/>
                <w:szCs w:val="22"/>
              </w:rPr>
            </w:pPr>
            <w:r w:rsidRPr="009D38AD">
              <w:rPr>
                <w:rFonts w:ascii="IBM Plex Sans Medium" w:hAnsi="IBM Plex Sans Medium"/>
                <w:color w:val="3D7FE0" w:themeColor="accent1"/>
                <w:sz w:val="18"/>
                <w:szCs w:val="22"/>
              </w:rPr>
              <w:t>1,342.4</w:t>
            </w:r>
          </w:p>
        </w:tc>
        <w:tc>
          <w:tcPr>
            <w:tcW w:w="1276" w:type="dxa"/>
            <w:tcBorders>
              <w:top w:val="single" w:sz="2" w:space="0" w:color="3D7FE0" w:themeColor="accent1"/>
            </w:tcBorders>
            <w:tcMar>
              <w:left w:w="0" w:type="dxa"/>
              <w:right w:w="0" w:type="dxa"/>
            </w:tcMar>
            <w:vAlign w:val="bottom"/>
          </w:tcPr>
          <w:p w14:paraId="06A8182C" w14:textId="79211C86" w:rsidR="009D38AD" w:rsidRPr="00895810" w:rsidRDefault="009D38AD" w:rsidP="009D38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1,</w:t>
            </w:r>
            <w:r>
              <w:rPr>
                <w:rFonts w:ascii="IBM Plex Sans Light" w:hAnsi="IBM Plex Sans Light"/>
                <w:color w:val="auto"/>
                <w:spacing w:val="-4"/>
                <w:sz w:val="18"/>
                <w:szCs w:val="18"/>
              </w:rPr>
              <w:t>451.8</w:t>
            </w:r>
          </w:p>
        </w:tc>
      </w:tr>
      <w:tr w:rsidR="009D38AD" w:rsidRPr="00895810" w14:paraId="60E85B0D" w14:textId="77777777" w:rsidTr="00024B10">
        <w:trPr>
          <w:trHeight w:hRule="exact" w:val="283"/>
        </w:trPr>
        <w:tc>
          <w:tcPr>
            <w:tcW w:w="6521" w:type="dxa"/>
            <w:tcMar>
              <w:left w:w="0" w:type="dxa"/>
              <w:right w:w="0" w:type="dxa"/>
            </w:tcMar>
            <w:vAlign w:val="bottom"/>
          </w:tcPr>
          <w:p w14:paraId="1F5044BB" w14:textId="02672A5E" w:rsidR="009D38AD" w:rsidRPr="00895810" w:rsidRDefault="009D38AD" w:rsidP="009D38AD">
            <w:pPr>
              <w:pStyle w:val="Tabletext"/>
              <w:rPr>
                <w:rFonts w:ascii="IBM Plex Sans Light" w:hAnsi="IBM Plex Sans Light"/>
                <w:spacing w:val="-4"/>
                <w:sz w:val="18"/>
                <w:szCs w:val="18"/>
              </w:rPr>
            </w:pPr>
            <w:r w:rsidRPr="00895810">
              <w:rPr>
                <w:rFonts w:ascii="IBM Plex Sans Light" w:hAnsi="IBM Plex Sans Light"/>
                <w:spacing w:val="-4"/>
                <w:sz w:val="18"/>
                <w:szCs w:val="18"/>
              </w:rPr>
              <w:t>Share of results of joint ventures</w:t>
            </w:r>
          </w:p>
        </w:tc>
        <w:tc>
          <w:tcPr>
            <w:tcW w:w="849" w:type="dxa"/>
            <w:tcMar>
              <w:left w:w="0" w:type="dxa"/>
              <w:right w:w="0" w:type="dxa"/>
            </w:tcMar>
            <w:vAlign w:val="bottom"/>
          </w:tcPr>
          <w:p w14:paraId="65697B58" w14:textId="77777777" w:rsidR="009D38AD" w:rsidRPr="00895810" w:rsidRDefault="009D38AD" w:rsidP="009D38AD">
            <w:pPr>
              <w:pStyle w:val="TableFigures"/>
              <w:rPr>
                <w:rFonts w:ascii="IBM Plex Sans Light" w:hAnsi="IBM Plex Sans Light"/>
                <w:color w:val="auto"/>
                <w:spacing w:val="-4"/>
                <w:sz w:val="18"/>
                <w:szCs w:val="18"/>
              </w:rPr>
            </w:pPr>
          </w:p>
        </w:tc>
        <w:tc>
          <w:tcPr>
            <w:tcW w:w="1275" w:type="dxa"/>
            <w:tcMar>
              <w:left w:w="0" w:type="dxa"/>
              <w:right w:w="0" w:type="dxa"/>
            </w:tcMar>
          </w:tcPr>
          <w:p w14:paraId="1AADCEC4" w14:textId="2650D28D" w:rsidR="009D38AD" w:rsidRPr="009D38AD" w:rsidRDefault="009D38AD" w:rsidP="009D38AD">
            <w:pPr>
              <w:pStyle w:val="TableFiguresBold"/>
              <w:rPr>
                <w:rFonts w:ascii="IBM Plex Sans Medium" w:hAnsi="IBM Plex Sans Medium"/>
                <w:color w:val="3D7FE0" w:themeColor="accent1"/>
                <w:sz w:val="18"/>
                <w:szCs w:val="22"/>
              </w:rPr>
            </w:pPr>
            <w:r w:rsidRPr="009D38AD">
              <w:rPr>
                <w:rFonts w:ascii="IBM Plex Sans Medium" w:hAnsi="IBM Plex Sans Medium"/>
                <w:color w:val="3D7FE0" w:themeColor="accent1"/>
                <w:sz w:val="18"/>
                <w:szCs w:val="22"/>
              </w:rPr>
              <w:t>9.4</w:t>
            </w:r>
          </w:p>
        </w:tc>
        <w:tc>
          <w:tcPr>
            <w:tcW w:w="1276" w:type="dxa"/>
            <w:tcMar>
              <w:left w:w="0" w:type="dxa"/>
              <w:right w:w="0" w:type="dxa"/>
            </w:tcMar>
            <w:vAlign w:val="bottom"/>
          </w:tcPr>
          <w:p w14:paraId="2DB3AC5E" w14:textId="071674F6" w:rsidR="009D38AD" w:rsidRPr="00895810" w:rsidRDefault="009D38AD" w:rsidP="009D38AD">
            <w:pPr>
              <w:pStyle w:val="TableFiguresBracketsBold"/>
              <w:rPr>
                <w:rFonts w:ascii="IBM Plex Sans Light" w:hAnsi="IBM Plex Sans Light"/>
                <w:color w:val="auto"/>
                <w:spacing w:val="-4"/>
                <w:sz w:val="18"/>
                <w:szCs w:val="18"/>
              </w:rPr>
            </w:pPr>
            <w:r w:rsidRPr="00895810">
              <w:rPr>
                <w:rFonts w:ascii="IBM Plex Sans Light" w:hAnsi="IBM Plex Sans Light"/>
                <w:b w:val="0"/>
                <w:color w:val="auto"/>
                <w:spacing w:val="-4"/>
                <w:sz w:val="18"/>
                <w:szCs w:val="18"/>
              </w:rPr>
              <w:t>(</w:t>
            </w:r>
            <w:r>
              <w:rPr>
                <w:rFonts w:ascii="IBM Plex Sans Light" w:hAnsi="IBM Plex Sans Light"/>
                <w:b w:val="0"/>
                <w:color w:val="auto"/>
                <w:spacing w:val="-4"/>
                <w:sz w:val="18"/>
                <w:szCs w:val="18"/>
              </w:rPr>
              <w:t>41.5</w:t>
            </w:r>
            <w:r w:rsidRPr="00895810">
              <w:rPr>
                <w:rFonts w:ascii="IBM Plex Sans Light" w:hAnsi="IBM Plex Sans Light"/>
                <w:b w:val="0"/>
                <w:color w:val="auto"/>
                <w:spacing w:val="-4"/>
                <w:sz w:val="18"/>
                <w:szCs w:val="18"/>
              </w:rPr>
              <w:t>)</w:t>
            </w:r>
          </w:p>
        </w:tc>
      </w:tr>
      <w:tr w:rsidR="009D38AD" w:rsidRPr="00895810" w14:paraId="6F999F55" w14:textId="77777777" w:rsidTr="00024B10">
        <w:trPr>
          <w:trHeight w:hRule="exact" w:val="283"/>
        </w:trPr>
        <w:tc>
          <w:tcPr>
            <w:tcW w:w="6521" w:type="dxa"/>
            <w:tcMar>
              <w:left w:w="0" w:type="dxa"/>
              <w:right w:w="0" w:type="dxa"/>
            </w:tcMar>
            <w:vAlign w:val="bottom"/>
          </w:tcPr>
          <w:p w14:paraId="31910D0A" w14:textId="52AED42B" w:rsidR="009D38AD" w:rsidRPr="00895810" w:rsidRDefault="009D38AD" w:rsidP="009D38AD">
            <w:pPr>
              <w:pStyle w:val="Tabletext"/>
              <w:rPr>
                <w:rFonts w:ascii="IBM Plex Sans Light" w:hAnsi="IBM Plex Sans Light"/>
                <w:spacing w:val="-4"/>
                <w:sz w:val="18"/>
                <w:szCs w:val="18"/>
              </w:rPr>
            </w:pPr>
            <w:r w:rsidRPr="00895810">
              <w:rPr>
                <w:rFonts w:ascii="IBM Plex Sans Light" w:hAnsi="IBM Plex Sans Light"/>
                <w:spacing w:val="-4"/>
                <w:sz w:val="18"/>
                <w:szCs w:val="18"/>
              </w:rPr>
              <w:t>Advances</w:t>
            </w:r>
          </w:p>
        </w:tc>
        <w:tc>
          <w:tcPr>
            <w:tcW w:w="849" w:type="dxa"/>
            <w:tcMar>
              <w:left w:w="0" w:type="dxa"/>
              <w:right w:w="0" w:type="dxa"/>
            </w:tcMar>
            <w:vAlign w:val="bottom"/>
          </w:tcPr>
          <w:p w14:paraId="24ADF840" w14:textId="77777777" w:rsidR="009D38AD" w:rsidRPr="00895810" w:rsidRDefault="009D38AD" w:rsidP="009D38AD">
            <w:pPr>
              <w:pStyle w:val="TableFigures"/>
              <w:rPr>
                <w:rFonts w:ascii="IBM Plex Sans Light" w:hAnsi="IBM Plex Sans Light"/>
                <w:color w:val="auto"/>
                <w:spacing w:val="-4"/>
                <w:sz w:val="18"/>
                <w:szCs w:val="18"/>
              </w:rPr>
            </w:pPr>
          </w:p>
        </w:tc>
        <w:tc>
          <w:tcPr>
            <w:tcW w:w="1275" w:type="dxa"/>
            <w:tcMar>
              <w:left w:w="0" w:type="dxa"/>
              <w:right w:w="0" w:type="dxa"/>
            </w:tcMar>
          </w:tcPr>
          <w:p w14:paraId="41196AE5" w14:textId="05AA44C4" w:rsidR="009D38AD" w:rsidRPr="009D38AD" w:rsidRDefault="009D38AD" w:rsidP="009D38AD">
            <w:pPr>
              <w:pStyle w:val="TableFiguresBold"/>
              <w:rPr>
                <w:rFonts w:ascii="IBM Plex Sans Medium" w:hAnsi="IBM Plex Sans Medium"/>
                <w:color w:val="3D7FE0" w:themeColor="accent1"/>
                <w:sz w:val="18"/>
                <w:szCs w:val="22"/>
              </w:rPr>
            </w:pPr>
            <w:r w:rsidRPr="009D38AD">
              <w:rPr>
                <w:rFonts w:ascii="IBM Plex Sans Medium" w:hAnsi="IBM Plex Sans Medium"/>
                <w:color w:val="3D7FE0" w:themeColor="accent1"/>
                <w:sz w:val="18"/>
                <w:szCs w:val="22"/>
              </w:rPr>
              <w:t>8.3</w:t>
            </w:r>
          </w:p>
        </w:tc>
        <w:tc>
          <w:tcPr>
            <w:tcW w:w="1276" w:type="dxa"/>
            <w:tcMar>
              <w:left w:w="0" w:type="dxa"/>
              <w:right w:w="0" w:type="dxa"/>
            </w:tcMar>
            <w:vAlign w:val="bottom"/>
          </w:tcPr>
          <w:p w14:paraId="6F6778FE" w14:textId="13A22F5B" w:rsidR="009D38AD" w:rsidRPr="00895810" w:rsidRDefault="009D38AD" w:rsidP="009D38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4.0</w:t>
            </w:r>
          </w:p>
        </w:tc>
      </w:tr>
      <w:tr w:rsidR="009D38AD" w:rsidRPr="00895810" w14:paraId="42CFEC0D" w14:textId="77777777" w:rsidTr="00024B10">
        <w:trPr>
          <w:trHeight w:hRule="exact" w:val="283"/>
        </w:trPr>
        <w:tc>
          <w:tcPr>
            <w:tcW w:w="6521" w:type="dxa"/>
            <w:tcMar>
              <w:left w:w="0" w:type="dxa"/>
              <w:right w:w="0" w:type="dxa"/>
            </w:tcMar>
            <w:vAlign w:val="bottom"/>
          </w:tcPr>
          <w:p w14:paraId="738271D8" w14:textId="00DB0BF6" w:rsidR="009D38AD" w:rsidRPr="00895810" w:rsidRDefault="009D38AD" w:rsidP="009D38AD">
            <w:pPr>
              <w:pStyle w:val="Tabletext"/>
              <w:rPr>
                <w:rFonts w:ascii="IBM Plex Sans Light" w:hAnsi="IBM Plex Sans Light"/>
                <w:spacing w:val="-4"/>
                <w:sz w:val="18"/>
                <w:szCs w:val="18"/>
              </w:rPr>
            </w:pPr>
            <w:r w:rsidRPr="00895810">
              <w:rPr>
                <w:rFonts w:ascii="IBM Plex Sans Light" w:hAnsi="IBM Plex Sans Light"/>
                <w:spacing w:val="-4"/>
                <w:sz w:val="18"/>
                <w:szCs w:val="18"/>
              </w:rPr>
              <w:t>Cash distributions (including interest)</w:t>
            </w:r>
          </w:p>
        </w:tc>
        <w:tc>
          <w:tcPr>
            <w:tcW w:w="849" w:type="dxa"/>
            <w:tcMar>
              <w:left w:w="0" w:type="dxa"/>
              <w:right w:w="0" w:type="dxa"/>
            </w:tcMar>
            <w:vAlign w:val="bottom"/>
          </w:tcPr>
          <w:p w14:paraId="6E564FF2" w14:textId="1BFEC9BF" w:rsidR="009D38AD" w:rsidRPr="00895810" w:rsidRDefault="00CE2F7F" w:rsidP="009D38AD">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a</w:t>
            </w:r>
          </w:p>
        </w:tc>
        <w:tc>
          <w:tcPr>
            <w:tcW w:w="1275" w:type="dxa"/>
            <w:tcMar>
              <w:left w:w="0" w:type="dxa"/>
              <w:right w:w="0" w:type="dxa"/>
            </w:tcMar>
          </w:tcPr>
          <w:p w14:paraId="0045E716" w14:textId="701CC900" w:rsidR="009D38AD" w:rsidRPr="004406E3" w:rsidRDefault="009D38AD"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(55.0)</w:t>
            </w:r>
          </w:p>
        </w:tc>
        <w:tc>
          <w:tcPr>
            <w:tcW w:w="1276" w:type="dxa"/>
            <w:tcMar>
              <w:left w:w="0" w:type="dxa"/>
              <w:right w:w="0" w:type="dxa"/>
            </w:tcMar>
            <w:vAlign w:val="bottom"/>
          </w:tcPr>
          <w:p w14:paraId="7ABD14B2" w14:textId="1F46259F" w:rsidR="009D38AD" w:rsidRPr="00895810" w:rsidRDefault="009D38AD" w:rsidP="009D38AD">
            <w:pPr>
              <w:pStyle w:val="TableFiguresBracketsBold"/>
              <w:rPr>
                <w:rFonts w:ascii="IBM Plex Sans Light" w:hAnsi="IBM Plex Sans Light"/>
                <w:color w:val="auto"/>
                <w:spacing w:val="-4"/>
                <w:sz w:val="18"/>
                <w:szCs w:val="18"/>
              </w:rPr>
            </w:pPr>
            <w:r w:rsidRPr="00895810">
              <w:rPr>
                <w:rFonts w:ascii="IBM Plex Sans Light" w:hAnsi="IBM Plex Sans Light"/>
                <w:b w:val="0"/>
                <w:color w:val="auto"/>
                <w:spacing w:val="-4"/>
                <w:sz w:val="18"/>
                <w:szCs w:val="18"/>
              </w:rPr>
              <w:t>(</w:t>
            </w:r>
            <w:r>
              <w:rPr>
                <w:rFonts w:ascii="IBM Plex Sans Light" w:hAnsi="IBM Plex Sans Light"/>
                <w:b w:val="0"/>
                <w:color w:val="auto"/>
                <w:spacing w:val="-4"/>
                <w:sz w:val="18"/>
                <w:szCs w:val="18"/>
              </w:rPr>
              <w:t>84.0</w:t>
            </w:r>
            <w:r w:rsidRPr="00895810">
              <w:rPr>
                <w:rFonts w:ascii="IBM Plex Sans Light" w:hAnsi="IBM Plex Sans Light"/>
                <w:b w:val="0"/>
                <w:color w:val="auto"/>
                <w:spacing w:val="-4"/>
                <w:sz w:val="18"/>
                <w:szCs w:val="18"/>
              </w:rPr>
              <w:t>)</w:t>
            </w:r>
          </w:p>
        </w:tc>
      </w:tr>
      <w:tr w:rsidR="009D38AD" w:rsidRPr="00895810" w14:paraId="605BD0BB" w14:textId="77777777" w:rsidTr="00024B10">
        <w:trPr>
          <w:trHeight w:hRule="exact" w:val="283"/>
        </w:trPr>
        <w:tc>
          <w:tcPr>
            <w:tcW w:w="6521" w:type="dxa"/>
            <w:tcMar>
              <w:left w:w="0" w:type="dxa"/>
              <w:right w:w="0" w:type="dxa"/>
            </w:tcMar>
            <w:vAlign w:val="bottom"/>
          </w:tcPr>
          <w:p w14:paraId="289A5372" w14:textId="1BC31102" w:rsidR="009D38AD" w:rsidRPr="00895810" w:rsidRDefault="009D38AD" w:rsidP="009D38AD">
            <w:pPr>
              <w:pStyle w:val="Tabletext"/>
              <w:rPr>
                <w:rFonts w:ascii="IBM Plex Sans Light" w:hAnsi="IBM Plex Sans Light"/>
                <w:spacing w:val="-4"/>
                <w:sz w:val="18"/>
                <w:szCs w:val="18"/>
              </w:rPr>
            </w:pPr>
            <w:r w:rsidRPr="00895810">
              <w:rPr>
                <w:rFonts w:ascii="IBM Plex Sans Light" w:hAnsi="IBM Plex Sans Light"/>
                <w:spacing w:val="-4"/>
                <w:sz w:val="18"/>
                <w:szCs w:val="18"/>
              </w:rPr>
              <w:t>Other receivables</w:t>
            </w:r>
          </w:p>
        </w:tc>
        <w:tc>
          <w:tcPr>
            <w:tcW w:w="849" w:type="dxa"/>
            <w:tcMar>
              <w:left w:w="0" w:type="dxa"/>
              <w:right w:w="0" w:type="dxa"/>
            </w:tcMar>
            <w:vAlign w:val="bottom"/>
          </w:tcPr>
          <w:p w14:paraId="437FF1FD" w14:textId="77777777" w:rsidR="009D38AD" w:rsidRPr="00895810" w:rsidRDefault="009D38AD" w:rsidP="009D38AD">
            <w:pPr>
              <w:pStyle w:val="TableFigures"/>
              <w:rPr>
                <w:rFonts w:ascii="IBM Plex Sans Light" w:hAnsi="IBM Plex Sans Light"/>
                <w:color w:val="auto"/>
                <w:spacing w:val="-4"/>
                <w:sz w:val="18"/>
                <w:szCs w:val="18"/>
              </w:rPr>
            </w:pPr>
          </w:p>
        </w:tc>
        <w:tc>
          <w:tcPr>
            <w:tcW w:w="1275" w:type="dxa"/>
            <w:tcMar>
              <w:left w:w="0" w:type="dxa"/>
              <w:right w:w="0" w:type="dxa"/>
            </w:tcMar>
          </w:tcPr>
          <w:p w14:paraId="1E734BE2" w14:textId="1B57EEE0" w:rsidR="009D38AD" w:rsidRPr="004406E3" w:rsidDel="006F6E7C" w:rsidRDefault="009D38AD"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(6.8)</w:t>
            </w:r>
          </w:p>
        </w:tc>
        <w:tc>
          <w:tcPr>
            <w:tcW w:w="1276" w:type="dxa"/>
            <w:tcMar>
              <w:left w:w="0" w:type="dxa"/>
              <w:right w:w="0" w:type="dxa"/>
            </w:tcMar>
            <w:vAlign w:val="bottom"/>
          </w:tcPr>
          <w:p w14:paraId="4832CFD4" w14:textId="2D1785B7" w:rsidR="009D38AD" w:rsidRPr="00895810" w:rsidRDefault="009D38AD" w:rsidP="009D38AD">
            <w:pPr>
              <w:pStyle w:val="TableFiguresBracketsBold"/>
              <w:rPr>
                <w:rFonts w:ascii="IBM Plex Sans Light" w:hAnsi="IBM Plex Sans Light"/>
                <w:b w:val="0"/>
                <w:color w:val="auto"/>
                <w:spacing w:val="-4"/>
                <w:sz w:val="18"/>
                <w:szCs w:val="18"/>
              </w:rPr>
            </w:pPr>
            <w:r w:rsidRPr="00895810">
              <w:rPr>
                <w:rFonts w:ascii="IBM Plex Sans Light" w:hAnsi="IBM Plex Sans Light"/>
                <w:b w:val="0"/>
                <w:color w:val="auto"/>
                <w:spacing w:val="-4"/>
                <w:sz w:val="18"/>
                <w:szCs w:val="18"/>
              </w:rPr>
              <w:t>(</w:t>
            </w:r>
            <w:r>
              <w:rPr>
                <w:rFonts w:ascii="IBM Plex Sans Light" w:hAnsi="IBM Plex Sans Light"/>
                <w:b w:val="0"/>
                <w:color w:val="auto"/>
                <w:spacing w:val="-4"/>
                <w:sz w:val="18"/>
                <w:szCs w:val="18"/>
              </w:rPr>
              <w:t>5.3</w:t>
            </w:r>
            <w:r w:rsidRPr="00895810">
              <w:rPr>
                <w:rFonts w:ascii="IBM Plex Sans Light" w:hAnsi="IBM Plex Sans Light"/>
                <w:b w:val="0"/>
                <w:color w:val="auto"/>
                <w:spacing w:val="-4"/>
                <w:sz w:val="18"/>
                <w:szCs w:val="18"/>
              </w:rPr>
              <w:t>)</w:t>
            </w:r>
          </w:p>
        </w:tc>
      </w:tr>
      <w:tr w:rsidR="009D38AD" w:rsidRPr="00895810" w14:paraId="552077F4" w14:textId="77777777" w:rsidTr="00024B10">
        <w:trPr>
          <w:trHeight w:hRule="exact" w:val="283"/>
        </w:trPr>
        <w:tc>
          <w:tcPr>
            <w:tcW w:w="6521" w:type="dxa"/>
            <w:tcMar>
              <w:left w:w="0" w:type="dxa"/>
              <w:right w:w="0" w:type="dxa"/>
            </w:tcMar>
            <w:vAlign w:val="bottom"/>
          </w:tcPr>
          <w:p w14:paraId="629535FF" w14:textId="51126569" w:rsidR="009D38AD" w:rsidRPr="00895810" w:rsidRDefault="009D38AD" w:rsidP="009D38AD">
            <w:pPr>
              <w:pStyle w:val="Tabletext"/>
              <w:spacing w:before="0" w:after="0" w:line="240" w:lineRule="auto"/>
              <w:rPr>
                <w:rFonts w:ascii="IBM Plex Sans Light" w:hAnsi="IBM Plex Sans Light"/>
                <w:spacing w:val="-4"/>
                <w:sz w:val="18"/>
                <w:szCs w:val="18"/>
              </w:rPr>
            </w:pPr>
            <w:r w:rsidRPr="00895810">
              <w:rPr>
                <w:rFonts w:ascii="IBM Plex Sans Light" w:hAnsi="IBM Plex Sans Light"/>
                <w:spacing w:val="-4"/>
                <w:sz w:val="18"/>
                <w:szCs w:val="18"/>
              </w:rPr>
              <w:t>Disposal</w:t>
            </w:r>
            <w:r>
              <w:rPr>
                <w:rFonts w:ascii="IBM Plex Sans Light" w:hAnsi="IBM Plex Sans Light"/>
                <w:spacing w:val="-4"/>
                <w:sz w:val="18"/>
                <w:szCs w:val="18"/>
              </w:rPr>
              <w:t>s (see note 8)</w:t>
            </w:r>
          </w:p>
        </w:tc>
        <w:tc>
          <w:tcPr>
            <w:tcW w:w="849" w:type="dxa"/>
            <w:tcMar>
              <w:left w:w="0" w:type="dxa"/>
              <w:right w:w="0" w:type="dxa"/>
            </w:tcMar>
            <w:vAlign w:val="bottom"/>
          </w:tcPr>
          <w:p w14:paraId="1145584C" w14:textId="77777777" w:rsidR="009D38AD" w:rsidRPr="00895810" w:rsidRDefault="009D38AD" w:rsidP="009D38AD">
            <w:pPr>
              <w:pStyle w:val="TableFigures"/>
              <w:spacing w:before="0" w:after="0" w:line="240" w:lineRule="auto"/>
              <w:rPr>
                <w:rFonts w:ascii="IBM Plex Sans Light" w:hAnsi="IBM Plex Sans Light"/>
                <w:color w:val="auto"/>
                <w:spacing w:val="-4"/>
                <w:sz w:val="18"/>
                <w:szCs w:val="18"/>
              </w:rPr>
            </w:pPr>
          </w:p>
        </w:tc>
        <w:tc>
          <w:tcPr>
            <w:tcW w:w="1275" w:type="dxa"/>
            <w:tcMar>
              <w:left w:w="0" w:type="dxa"/>
              <w:right w:w="0" w:type="dxa"/>
            </w:tcMar>
          </w:tcPr>
          <w:p w14:paraId="2C591B3A" w14:textId="1773D42E" w:rsidR="009D38AD" w:rsidRPr="004406E3" w:rsidRDefault="009D38AD"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(98.9)</w:t>
            </w:r>
          </w:p>
        </w:tc>
        <w:tc>
          <w:tcPr>
            <w:tcW w:w="1276" w:type="dxa"/>
            <w:tcMar>
              <w:left w:w="0" w:type="dxa"/>
              <w:right w:w="0" w:type="dxa"/>
            </w:tcMar>
          </w:tcPr>
          <w:p w14:paraId="5FDDA56F" w14:textId="7A655424" w:rsidR="009D38AD" w:rsidRPr="00895810" w:rsidRDefault="009D38AD" w:rsidP="009D38AD">
            <w:pPr>
              <w:pStyle w:val="TableFigures"/>
              <w:rPr>
                <w:rFonts w:ascii="IBM Plex Sans Light" w:hAnsi="IBM Plex Sans Light"/>
                <w:color w:val="auto"/>
                <w:spacing w:val="-4"/>
                <w:sz w:val="18"/>
                <w:szCs w:val="18"/>
              </w:rPr>
            </w:pPr>
            <w:r w:rsidRPr="00543AD4">
              <w:rPr>
                <w:rFonts w:ascii="IBM Plex Sans Light" w:hAnsi="IBM Plex Sans Light"/>
                <w:color w:val="auto"/>
                <w:spacing w:val="-4"/>
                <w:sz w:val="18"/>
                <w:szCs w:val="18"/>
              </w:rPr>
              <w:t>–</w:t>
            </w:r>
          </w:p>
        </w:tc>
      </w:tr>
      <w:tr w:rsidR="009D38AD" w:rsidRPr="00895810" w14:paraId="3F2DE797" w14:textId="77777777" w:rsidTr="00024B10">
        <w:trPr>
          <w:trHeight w:hRule="exact" w:val="283"/>
        </w:trPr>
        <w:tc>
          <w:tcPr>
            <w:tcW w:w="6521" w:type="dxa"/>
            <w:tcBorders>
              <w:bottom w:val="single" w:sz="2" w:space="0" w:color="3D7FE0" w:themeColor="accent1"/>
            </w:tcBorders>
            <w:tcMar>
              <w:left w:w="0" w:type="dxa"/>
              <w:right w:w="0" w:type="dxa"/>
            </w:tcMar>
            <w:vAlign w:val="bottom"/>
          </w:tcPr>
          <w:p w14:paraId="59A6A34E" w14:textId="73E3AC0D" w:rsidR="009D38AD" w:rsidRPr="00895810" w:rsidRDefault="009D38AD" w:rsidP="009D38AD">
            <w:pPr>
              <w:pStyle w:val="Tabletext"/>
              <w:rPr>
                <w:rFonts w:ascii="IBM Plex Sans Light" w:hAnsi="IBM Plex Sans Light"/>
                <w:spacing w:val="-4"/>
                <w:sz w:val="18"/>
                <w:szCs w:val="18"/>
              </w:rPr>
            </w:pPr>
            <w:r w:rsidRPr="00895810">
              <w:rPr>
                <w:rFonts w:ascii="IBM Plex Sans Light" w:hAnsi="IBM Plex Sans Light"/>
                <w:spacing w:val="-4"/>
                <w:sz w:val="18"/>
                <w:szCs w:val="18"/>
              </w:rPr>
              <w:t>Exchange and other movements</w:t>
            </w:r>
          </w:p>
        </w:tc>
        <w:tc>
          <w:tcPr>
            <w:tcW w:w="849" w:type="dxa"/>
            <w:tcBorders>
              <w:bottom w:val="single" w:sz="2" w:space="0" w:color="3D7FE0" w:themeColor="accent1"/>
            </w:tcBorders>
            <w:tcMar>
              <w:left w:w="0" w:type="dxa"/>
              <w:right w:w="0" w:type="dxa"/>
            </w:tcMar>
            <w:vAlign w:val="bottom"/>
          </w:tcPr>
          <w:p w14:paraId="68D3D51B" w14:textId="77777777" w:rsidR="009D38AD" w:rsidRPr="00895810" w:rsidRDefault="009D38AD" w:rsidP="009D38AD">
            <w:pPr>
              <w:pStyle w:val="TableFigures"/>
              <w:rPr>
                <w:rFonts w:ascii="IBM Plex Sans Light" w:hAnsi="IBM Plex Sans Light"/>
                <w:color w:val="auto"/>
                <w:spacing w:val="-4"/>
                <w:sz w:val="18"/>
                <w:szCs w:val="18"/>
              </w:rPr>
            </w:pPr>
          </w:p>
        </w:tc>
        <w:tc>
          <w:tcPr>
            <w:tcW w:w="1275" w:type="dxa"/>
            <w:tcBorders>
              <w:bottom w:val="single" w:sz="2" w:space="0" w:color="3D7FE0" w:themeColor="accent1"/>
            </w:tcBorders>
            <w:tcMar>
              <w:left w:w="0" w:type="dxa"/>
              <w:right w:w="0" w:type="dxa"/>
            </w:tcMar>
          </w:tcPr>
          <w:p w14:paraId="21A34A9F" w14:textId="519FA327" w:rsidR="009D38AD" w:rsidRPr="004406E3" w:rsidRDefault="009D38AD"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(6.2)</w:t>
            </w:r>
          </w:p>
        </w:tc>
        <w:tc>
          <w:tcPr>
            <w:tcW w:w="1276" w:type="dxa"/>
            <w:tcBorders>
              <w:bottom w:val="single" w:sz="2" w:space="0" w:color="3D7FE0" w:themeColor="accent1"/>
            </w:tcBorders>
            <w:tcMar>
              <w:left w:w="0" w:type="dxa"/>
              <w:right w:w="0" w:type="dxa"/>
            </w:tcMar>
            <w:vAlign w:val="bottom"/>
          </w:tcPr>
          <w:p w14:paraId="129D7F6B" w14:textId="71BB807B" w:rsidR="009D38AD" w:rsidRPr="00895810" w:rsidRDefault="009D38AD" w:rsidP="009D38AD">
            <w:pPr>
              <w:pStyle w:val="TableFigures"/>
              <w:rPr>
                <w:rFonts w:ascii="IBM Plex Sans Light" w:hAnsi="IBM Plex Sans Light"/>
                <w:color w:val="auto"/>
                <w:spacing w:val="-4"/>
                <w:sz w:val="18"/>
                <w:szCs w:val="18"/>
              </w:rPr>
            </w:pPr>
            <w:r w:rsidRPr="008618FE">
              <w:rPr>
                <w:rFonts w:ascii="IBM Plex Sans Light" w:hAnsi="IBM Plex Sans Light"/>
                <w:color w:val="auto"/>
                <w:spacing w:val="-4"/>
                <w:sz w:val="18"/>
                <w:szCs w:val="18"/>
              </w:rPr>
              <w:t>17.4</w:t>
            </w:r>
          </w:p>
        </w:tc>
      </w:tr>
      <w:tr w:rsidR="009D38AD" w:rsidRPr="00895810" w14:paraId="10582894" w14:textId="77777777" w:rsidTr="00024B10">
        <w:trPr>
          <w:trHeight w:hRule="exact" w:val="267"/>
        </w:trPr>
        <w:tc>
          <w:tcPr>
            <w:tcW w:w="6521" w:type="dxa"/>
            <w:tcBorders>
              <w:top w:val="single" w:sz="2" w:space="0" w:color="3D7FE0" w:themeColor="accent1"/>
              <w:bottom w:val="single" w:sz="8" w:space="0" w:color="3D7FE0" w:themeColor="accent1"/>
            </w:tcBorders>
            <w:tcMar>
              <w:left w:w="0" w:type="dxa"/>
              <w:right w:w="0" w:type="dxa"/>
            </w:tcMar>
            <w:vAlign w:val="bottom"/>
          </w:tcPr>
          <w:p w14:paraId="71851729" w14:textId="14BB01CF" w:rsidR="009D38AD" w:rsidRPr="00895810" w:rsidRDefault="009D38AD" w:rsidP="009D38AD">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At 31 December</w:t>
            </w:r>
          </w:p>
        </w:tc>
        <w:tc>
          <w:tcPr>
            <w:tcW w:w="849" w:type="dxa"/>
            <w:tcBorders>
              <w:top w:val="single" w:sz="2" w:space="0" w:color="3D7FE0" w:themeColor="accent1"/>
              <w:bottom w:val="single" w:sz="8" w:space="0" w:color="3D7FE0" w:themeColor="accent1"/>
            </w:tcBorders>
            <w:tcMar>
              <w:left w:w="0" w:type="dxa"/>
              <w:right w:w="0" w:type="dxa"/>
            </w:tcMar>
            <w:vAlign w:val="bottom"/>
          </w:tcPr>
          <w:p w14:paraId="19D67AA1" w14:textId="77777777" w:rsidR="009D38AD" w:rsidRPr="00895810" w:rsidRDefault="009D38AD" w:rsidP="009D38AD">
            <w:pPr>
              <w:pStyle w:val="TableFigures"/>
              <w:rPr>
                <w:rFonts w:ascii="IBM Plex Sans Light" w:hAnsi="IBM Plex Sans Light"/>
                <w:color w:val="auto"/>
                <w:spacing w:val="-4"/>
                <w:sz w:val="18"/>
                <w:szCs w:val="18"/>
              </w:rPr>
            </w:pPr>
          </w:p>
        </w:tc>
        <w:tc>
          <w:tcPr>
            <w:tcW w:w="1275" w:type="dxa"/>
            <w:tcBorders>
              <w:top w:val="single" w:sz="2" w:space="0" w:color="3D7FE0" w:themeColor="accent1"/>
              <w:bottom w:val="single" w:sz="8" w:space="0" w:color="3D7FE0" w:themeColor="accent1"/>
            </w:tcBorders>
            <w:tcMar>
              <w:left w:w="0" w:type="dxa"/>
              <w:right w:w="0" w:type="dxa"/>
            </w:tcMar>
          </w:tcPr>
          <w:p w14:paraId="542B3A58" w14:textId="74430314" w:rsidR="009D38AD" w:rsidRPr="009D38AD" w:rsidRDefault="009D38AD" w:rsidP="009D38AD">
            <w:pPr>
              <w:pStyle w:val="TableFiguresBold"/>
              <w:rPr>
                <w:rFonts w:ascii="IBM Plex Sans Medium" w:hAnsi="IBM Plex Sans Medium"/>
                <w:color w:val="3D7FE0" w:themeColor="accent1"/>
                <w:sz w:val="18"/>
                <w:szCs w:val="22"/>
              </w:rPr>
            </w:pPr>
            <w:r w:rsidRPr="009D38AD">
              <w:rPr>
                <w:rFonts w:ascii="IBM Plex Sans Medium" w:hAnsi="IBM Plex Sans Medium"/>
                <w:color w:val="3D7FE0" w:themeColor="accent1"/>
                <w:sz w:val="18"/>
                <w:szCs w:val="22"/>
              </w:rPr>
              <w:t>1,193.2</w:t>
            </w:r>
          </w:p>
        </w:tc>
        <w:tc>
          <w:tcPr>
            <w:tcW w:w="1276" w:type="dxa"/>
            <w:tcBorders>
              <w:top w:val="single" w:sz="2" w:space="0" w:color="3D7FE0" w:themeColor="accent1"/>
              <w:bottom w:val="single" w:sz="8" w:space="0" w:color="3D7FE0" w:themeColor="accent1"/>
            </w:tcBorders>
            <w:tcMar>
              <w:left w:w="0" w:type="dxa"/>
              <w:right w:w="0" w:type="dxa"/>
            </w:tcMar>
            <w:vAlign w:val="bottom"/>
          </w:tcPr>
          <w:p w14:paraId="17D63912" w14:textId="751B830A" w:rsidR="009D38AD" w:rsidRPr="00895810" w:rsidRDefault="009D38AD" w:rsidP="009D38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1,</w:t>
            </w:r>
            <w:r>
              <w:rPr>
                <w:rFonts w:ascii="IBM Plex Sans Light" w:hAnsi="IBM Plex Sans Light"/>
                <w:color w:val="auto"/>
                <w:spacing w:val="-4"/>
                <w:sz w:val="18"/>
                <w:szCs w:val="18"/>
              </w:rPr>
              <w:t>342.4</w:t>
            </w:r>
          </w:p>
        </w:tc>
      </w:tr>
    </w:tbl>
    <w:p w14:paraId="1BF336A0" w14:textId="188E535F" w:rsidR="00855519" w:rsidRPr="009D38AD" w:rsidRDefault="00CE2F7F" w:rsidP="00DF220A">
      <w:pPr>
        <w:pStyle w:val="Footnotes"/>
        <w:spacing w:before="120" w:after="0" w:line="240" w:lineRule="auto"/>
        <w:ind w:left="284" w:right="-255" w:hanging="284"/>
        <w:rPr>
          <w:rFonts w:ascii="IBM Plex Sans Light" w:hAnsi="IBM Plex Sans Light" w:cs="Arial"/>
          <w:bCs/>
          <w:sz w:val="18"/>
          <w:szCs w:val="18"/>
        </w:rPr>
      </w:pPr>
      <w:r>
        <w:rPr>
          <w:rFonts w:ascii="IBM Plex Sans Light" w:hAnsi="IBM Plex Sans Light" w:cs="Arial"/>
          <w:bCs/>
          <w:sz w:val="18"/>
          <w:szCs w:val="18"/>
        </w:rPr>
        <w:t>a</w:t>
      </w:r>
      <w:r w:rsidR="00135B2C" w:rsidRPr="009D38AD">
        <w:rPr>
          <w:rFonts w:ascii="IBM Plex Sans Light" w:hAnsi="IBM Plex Sans Light" w:cs="Arial"/>
          <w:bCs/>
          <w:sz w:val="18"/>
          <w:szCs w:val="18"/>
        </w:rPr>
        <w:t xml:space="preserve"> </w:t>
      </w:r>
      <w:r w:rsidR="00DF220A" w:rsidRPr="009D38AD">
        <w:rPr>
          <w:rFonts w:ascii="IBM Plex Sans Light" w:hAnsi="IBM Plex Sans Light" w:cs="Arial"/>
          <w:bCs/>
          <w:sz w:val="18"/>
          <w:szCs w:val="18"/>
        </w:rPr>
        <w:tab/>
        <w:t>Comprises distributions of £</w:t>
      </w:r>
      <w:r w:rsidR="009D38AD" w:rsidRPr="009D38AD">
        <w:rPr>
          <w:rFonts w:ascii="IBM Plex Sans Light" w:hAnsi="IBM Plex Sans Light" w:cs="Arial"/>
          <w:bCs/>
          <w:sz w:val="18"/>
          <w:szCs w:val="18"/>
        </w:rPr>
        <w:t>47.7</w:t>
      </w:r>
      <w:r w:rsidR="00DF220A" w:rsidRPr="009D38AD">
        <w:rPr>
          <w:rFonts w:ascii="IBM Plex Sans Light" w:hAnsi="IBM Plex Sans Light" w:cs="Arial"/>
          <w:bCs/>
          <w:sz w:val="18"/>
          <w:szCs w:val="18"/>
        </w:rPr>
        <w:t>m (2022: £63.4m) and interest previously accrued of £</w:t>
      </w:r>
      <w:r w:rsidR="009D38AD" w:rsidRPr="009D38AD">
        <w:rPr>
          <w:rFonts w:ascii="IBM Plex Sans Light" w:hAnsi="IBM Plex Sans Light" w:cs="Arial"/>
          <w:bCs/>
          <w:sz w:val="18"/>
          <w:szCs w:val="18"/>
        </w:rPr>
        <w:t>7.3</w:t>
      </w:r>
      <w:r w:rsidR="00DF220A" w:rsidRPr="009D38AD">
        <w:rPr>
          <w:rFonts w:ascii="IBM Plex Sans Light" w:hAnsi="IBM Plex Sans Light" w:cs="Arial"/>
          <w:bCs/>
          <w:sz w:val="18"/>
          <w:szCs w:val="18"/>
        </w:rPr>
        <w:t>m (202</w:t>
      </w:r>
      <w:r w:rsidR="009D38AD" w:rsidRPr="009D38AD">
        <w:rPr>
          <w:rFonts w:ascii="IBM Plex Sans Light" w:hAnsi="IBM Plex Sans Light" w:cs="Arial"/>
          <w:bCs/>
          <w:sz w:val="18"/>
          <w:szCs w:val="18"/>
        </w:rPr>
        <w:t>2</w:t>
      </w:r>
      <w:r w:rsidR="00DF220A" w:rsidRPr="009D38AD">
        <w:rPr>
          <w:rFonts w:ascii="IBM Plex Sans Light" w:hAnsi="IBM Plex Sans Light" w:cs="Arial"/>
          <w:bCs/>
          <w:sz w:val="18"/>
          <w:szCs w:val="18"/>
        </w:rPr>
        <w:t>: £20.6m)</w:t>
      </w:r>
      <w:r w:rsidR="003E29BC" w:rsidRPr="009D38AD">
        <w:rPr>
          <w:rFonts w:ascii="IBM Plex Sans Light" w:hAnsi="IBM Plex Sans Light" w:cs="Arial"/>
          <w:bCs/>
          <w:sz w:val="18"/>
          <w:szCs w:val="18"/>
        </w:rPr>
        <w:t>.</w:t>
      </w:r>
    </w:p>
    <w:p w14:paraId="3F36F3B2" w14:textId="77777777" w:rsidR="0029144D" w:rsidRPr="00895810" w:rsidRDefault="0029144D" w:rsidP="0029144D">
      <w:pPr>
        <w:pStyle w:val="NoSpace"/>
        <w:rPr>
          <w:rFonts w:ascii="IBM Plex Sans Light" w:hAnsi="IBM Plex Sans Light"/>
          <w:bCs/>
        </w:rPr>
      </w:pPr>
    </w:p>
    <w:p w14:paraId="43D1BC0C" w14:textId="77777777" w:rsidR="004A3315" w:rsidRPr="00895810" w:rsidRDefault="004A3315" w:rsidP="000A2B6A">
      <w:pPr>
        <w:spacing w:after="60" w:line="240" w:lineRule="auto"/>
        <w:jc w:val="both"/>
        <w:rPr>
          <w:rFonts w:ascii="IBM Plex Sans Light" w:hAnsi="IBM Plex Sans Light" w:cs="Arial"/>
          <w:b/>
          <w:color w:val="3D7FE0" w:themeColor="accent1"/>
          <w:szCs w:val="18"/>
        </w:rPr>
      </w:pPr>
    </w:p>
    <w:p w14:paraId="2A1838EC" w14:textId="1E41A33D" w:rsidR="00CD4ABD" w:rsidRPr="00AB6B6E" w:rsidRDefault="00CD4ABD"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F03778" w:rsidRPr="00AB6B6E">
        <w:rPr>
          <w:rFonts w:ascii="IBM Plex Sans Medium" w:hAnsi="IBM Plex Sans Medium" w:cs="Arial"/>
          <w:b/>
          <w:color w:val="3D7FE0" w:themeColor="accent1"/>
          <w:szCs w:val="18"/>
        </w:rPr>
        <w:t>3</w:t>
      </w:r>
      <w:r w:rsidRPr="00AB6B6E">
        <w:rPr>
          <w:rFonts w:ascii="IBM Plex Sans Medium" w:hAnsi="IBM Plex Sans Medium" w:cs="Arial"/>
          <w:b/>
          <w:color w:val="3D7FE0" w:themeColor="accent1"/>
          <w:szCs w:val="18"/>
        </w:rPr>
        <w:t>.  INVESTMENT IN ASSOCIATE</w:t>
      </w:r>
      <w:r w:rsidR="006918DF" w:rsidRPr="00AB6B6E">
        <w:rPr>
          <w:rFonts w:ascii="IBM Plex Sans Medium" w:hAnsi="IBM Plex Sans Medium" w:cs="Arial"/>
          <w:b/>
          <w:color w:val="3D7FE0" w:themeColor="accent1"/>
          <w:szCs w:val="18"/>
        </w:rPr>
        <w:t>S</w:t>
      </w:r>
    </w:p>
    <w:p w14:paraId="5DFF0194" w14:textId="7450AE49" w:rsidR="006A6FDC" w:rsidRPr="00895810" w:rsidRDefault="006A6FDC" w:rsidP="004A3315">
      <w:pPr>
        <w:pStyle w:val="Heading2SpaceBefore"/>
        <w:spacing w:before="0" w:line="240" w:lineRule="auto"/>
        <w:rPr>
          <w:rFonts w:ascii="IBM Plex Sans Light" w:hAnsi="IBM Plex Sans Light"/>
          <w:color w:val="3D7FE0" w:themeColor="accent1"/>
        </w:rPr>
      </w:pPr>
      <w:r w:rsidRPr="00895810">
        <w:rPr>
          <w:rFonts w:ascii="IBM Plex Sans Light" w:hAnsi="IBM Plex Sans Light"/>
          <w:color w:val="3D7FE0" w:themeColor="accent1"/>
        </w:rPr>
        <w:t xml:space="preserve">A. </w:t>
      </w:r>
      <w:r w:rsidR="005F6D26" w:rsidRPr="00895810">
        <w:rPr>
          <w:rFonts w:ascii="IBM Plex Sans Light" w:hAnsi="IBM Plex Sans Light"/>
          <w:color w:val="3D7FE0" w:themeColor="accent1"/>
        </w:rPr>
        <w:t>PERCENTAGE SHARE</w:t>
      </w:r>
      <w:r w:rsidRPr="00895810">
        <w:rPr>
          <w:rFonts w:ascii="IBM Plex Sans Light" w:hAnsi="IBM Plex Sans Light"/>
          <w:color w:val="3D7FE0" w:themeColor="accent1"/>
        </w:rPr>
        <w:t xml:space="preserve"> </w:t>
      </w:r>
    </w:p>
    <w:tbl>
      <w:tblPr>
        <w:tblW w:w="9921" w:type="dxa"/>
        <w:tblLayout w:type="fixed"/>
        <w:tblLook w:val="01E0" w:firstRow="1" w:lastRow="1" w:firstColumn="1" w:lastColumn="1" w:noHBand="0" w:noVBand="0"/>
      </w:tblPr>
      <w:tblGrid>
        <w:gridCol w:w="3119"/>
        <w:gridCol w:w="283"/>
        <w:gridCol w:w="3119"/>
        <w:gridCol w:w="849"/>
        <w:gridCol w:w="1275"/>
        <w:gridCol w:w="1276"/>
      </w:tblGrid>
      <w:tr w:rsidR="00F774C6" w:rsidRPr="00895810" w14:paraId="2F7CED12" w14:textId="77777777" w:rsidTr="00024B10">
        <w:trPr>
          <w:trHeight w:val="227"/>
        </w:trPr>
        <w:tc>
          <w:tcPr>
            <w:tcW w:w="3119" w:type="dxa"/>
            <w:tcMar>
              <w:left w:w="0" w:type="dxa"/>
              <w:right w:w="0" w:type="dxa"/>
            </w:tcMar>
            <w:vAlign w:val="bottom"/>
          </w:tcPr>
          <w:p w14:paraId="491EED54" w14:textId="77777777" w:rsidR="00F774C6" w:rsidRPr="00895810" w:rsidRDefault="00F774C6" w:rsidP="003F2C4C">
            <w:pPr>
              <w:pStyle w:val="TableColHeadsBold"/>
              <w:rPr>
                <w:rFonts w:ascii="IBM Plex Sans Light" w:hAnsi="IBM Plex Sans Light"/>
                <w:sz w:val="18"/>
                <w:szCs w:val="18"/>
              </w:rPr>
            </w:pPr>
          </w:p>
        </w:tc>
        <w:tc>
          <w:tcPr>
            <w:tcW w:w="283" w:type="dxa"/>
            <w:vAlign w:val="bottom"/>
          </w:tcPr>
          <w:p w14:paraId="24AEF2BD" w14:textId="6D9A0782" w:rsidR="00F774C6" w:rsidRPr="00895810" w:rsidRDefault="00F774C6" w:rsidP="003F2C4C">
            <w:pPr>
              <w:pStyle w:val="TableColHeadsBold"/>
              <w:rPr>
                <w:rFonts w:ascii="IBM Plex Sans Light" w:hAnsi="IBM Plex Sans Light"/>
                <w:sz w:val="18"/>
                <w:szCs w:val="18"/>
              </w:rPr>
            </w:pPr>
          </w:p>
        </w:tc>
        <w:tc>
          <w:tcPr>
            <w:tcW w:w="3119" w:type="dxa"/>
            <w:vAlign w:val="bottom"/>
          </w:tcPr>
          <w:p w14:paraId="67C816E7" w14:textId="60A7E953" w:rsidR="00F774C6" w:rsidRPr="00895810" w:rsidRDefault="00F774C6" w:rsidP="003F2C4C">
            <w:pPr>
              <w:pStyle w:val="TableColHeadsBold"/>
              <w:rPr>
                <w:rFonts w:ascii="IBM Plex Sans Light" w:hAnsi="IBM Plex Sans Light"/>
                <w:sz w:val="18"/>
                <w:szCs w:val="18"/>
              </w:rPr>
            </w:pPr>
          </w:p>
        </w:tc>
        <w:tc>
          <w:tcPr>
            <w:tcW w:w="849" w:type="dxa"/>
            <w:tcMar>
              <w:left w:w="0" w:type="dxa"/>
              <w:right w:w="0" w:type="dxa"/>
            </w:tcMar>
            <w:vAlign w:val="bottom"/>
          </w:tcPr>
          <w:p w14:paraId="02239861" w14:textId="77777777" w:rsidR="00F774C6" w:rsidRPr="00895810" w:rsidRDefault="00F774C6" w:rsidP="003F2C4C">
            <w:pPr>
              <w:pStyle w:val="TableColHeadsBold"/>
              <w:rPr>
                <w:rFonts w:ascii="IBM Plex Sans Light" w:hAnsi="IBM Plex Sans Light"/>
                <w:color w:val="3D7FE0" w:themeColor="accent1"/>
                <w:sz w:val="18"/>
                <w:szCs w:val="18"/>
              </w:rPr>
            </w:pPr>
          </w:p>
        </w:tc>
        <w:tc>
          <w:tcPr>
            <w:tcW w:w="1275" w:type="dxa"/>
            <w:tcMar>
              <w:left w:w="0" w:type="dxa"/>
              <w:right w:w="0" w:type="dxa"/>
            </w:tcMar>
            <w:vAlign w:val="bottom"/>
          </w:tcPr>
          <w:p w14:paraId="2A996967" w14:textId="0E39A02E" w:rsidR="00F774C6" w:rsidRPr="00895810" w:rsidRDefault="00785AC2" w:rsidP="003F2C4C">
            <w:pPr>
              <w:pStyle w:val="TableColHeadsBold"/>
              <w:spacing w:line="240" w:lineRule="auto"/>
              <w:rPr>
                <w:rFonts w:ascii="IBM Plex Sans Light" w:hAnsi="IBM Plex Sans Light"/>
                <w:color w:val="3D7FE0" w:themeColor="accent1"/>
              </w:rPr>
            </w:pPr>
            <w:r>
              <w:rPr>
                <w:rFonts w:ascii="IBM Plex Sans Light" w:hAnsi="IBM Plex Sans Light"/>
                <w:color w:val="3D7FE0" w:themeColor="accent1"/>
              </w:rPr>
              <w:t>2023</w:t>
            </w:r>
          </w:p>
        </w:tc>
        <w:tc>
          <w:tcPr>
            <w:tcW w:w="1276" w:type="dxa"/>
            <w:tcMar>
              <w:left w:w="0" w:type="dxa"/>
              <w:right w:w="0" w:type="dxa"/>
            </w:tcMar>
            <w:vAlign w:val="bottom"/>
          </w:tcPr>
          <w:p w14:paraId="5A6D55AE" w14:textId="32F1CA6A" w:rsidR="00F774C6" w:rsidRPr="00895810" w:rsidRDefault="006E7EB0" w:rsidP="003F2C4C">
            <w:pPr>
              <w:pStyle w:val="TableColHeadsBold"/>
              <w:spacing w:line="240" w:lineRule="auto"/>
              <w:ind w:left="-106" w:right="39"/>
              <w:rPr>
                <w:rFonts w:ascii="IBM Plex Sans Light" w:hAnsi="IBM Plex Sans Light"/>
                <w:b w:val="0"/>
              </w:rPr>
            </w:pPr>
            <w:r>
              <w:rPr>
                <w:rFonts w:ascii="IBM Plex Sans Light" w:hAnsi="IBM Plex Sans Light"/>
                <w:b w:val="0"/>
              </w:rPr>
              <w:t>2022</w:t>
            </w:r>
          </w:p>
        </w:tc>
      </w:tr>
      <w:tr w:rsidR="00CE2F7F" w:rsidRPr="00895810" w14:paraId="6A6E764E" w14:textId="77777777" w:rsidTr="00024B10">
        <w:tc>
          <w:tcPr>
            <w:tcW w:w="3119" w:type="dxa"/>
            <w:tcBorders>
              <w:bottom w:val="single" w:sz="2" w:space="0" w:color="3D7FE0" w:themeColor="accent1"/>
            </w:tcBorders>
            <w:tcMar>
              <w:left w:w="0" w:type="dxa"/>
              <w:bottom w:w="28" w:type="dxa"/>
              <w:right w:w="0" w:type="dxa"/>
            </w:tcMar>
            <w:vAlign w:val="bottom"/>
          </w:tcPr>
          <w:p w14:paraId="3EAF7EA3" w14:textId="77777777" w:rsidR="00CE2F7F" w:rsidRPr="00895810" w:rsidRDefault="00CE2F7F" w:rsidP="00CE2F7F">
            <w:pPr>
              <w:pStyle w:val="TableColHeadsBold"/>
              <w:rPr>
                <w:rFonts w:ascii="IBM Plex Sans Light" w:hAnsi="IBM Plex Sans Light"/>
                <w:sz w:val="18"/>
                <w:szCs w:val="18"/>
              </w:rPr>
            </w:pPr>
          </w:p>
        </w:tc>
        <w:tc>
          <w:tcPr>
            <w:tcW w:w="283" w:type="dxa"/>
            <w:tcBorders>
              <w:bottom w:val="single" w:sz="2" w:space="0" w:color="3D7FE0" w:themeColor="accent1"/>
            </w:tcBorders>
            <w:vAlign w:val="bottom"/>
          </w:tcPr>
          <w:p w14:paraId="20CC821A" w14:textId="0B78089F" w:rsidR="00CE2F7F" w:rsidRPr="00895810" w:rsidRDefault="00CE2F7F" w:rsidP="00CE2F7F">
            <w:pPr>
              <w:pStyle w:val="TableColHeadsBold"/>
              <w:jc w:val="left"/>
              <w:rPr>
                <w:rFonts w:ascii="IBM Plex Sans Light" w:hAnsi="IBM Plex Sans Light"/>
                <w:color w:val="3D7FE0" w:themeColor="accent1"/>
                <w:sz w:val="16"/>
                <w:szCs w:val="16"/>
              </w:rPr>
            </w:pPr>
          </w:p>
        </w:tc>
        <w:tc>
          <w:tcPr>
            <w:tcW w:w="3119" w:type="dxa"/>
            <w:tcBorders>
              <w:bottom w:val="single" w:sz="2" w:space="0" w:color="3D7FE0" w:themeColor="accent1"/>
            </w:tcBorders>
            <w:vAlign w:val="bottom"/>
          </w:tcPr>
          <w:p w14:paraId="669FA4DA" w14:textId="4A9CF7B8" w:rsidR="00CE2F7F" w:rsidRPr="00895810" w:rsidRDefault="00CE2F7F" w:rsidP="00CE2F7F">
            <w:pPr>
              <w:pStyle w:val="TableColHeadsBold"/>
              <w:jc w:val="left"/>
              <w:rPr>
                <w:rFonts w:ascii="IBM Plex Sans Light" w:hAnsi="IBM Plex Sans Light"/>
                <w:color w:val="3D7FE0" w:themeColor="accent1"/>
                <w:sz w:val="16"/>
                <w:szCs w:val="16"/>
              </w:rPr>
            </w:pPr>
            <w:r w:rsidRPr="00895810">
              <w:rPr>
                <w:rFonts w:ascii="IBM Plex Sans Light" w:hAnsi="IBM Plex Sans Light"/>
                <w:color w:val="3D7FE0" w:themeColor="accent1"/>
                <w:sz w:val="16"/>
                <w:szCs w:val="16"/>
              </w:rPr>
              <w:t>Principal property</w:t>
            </w:r>
          </w:p>
        </w:tc>
        <w:tc>
          <w:tcPr>
            <w:tcW w:w="849" w:type="dxa"/>
            <w:tcBorders>
              <w:bottom w:val="single" w:sz="2" w:space="0" w:color="3D7FE0" w:themeColor="accent1"/>
            </w:tcBorders>
            <w:tcMar>
              <w:left w:w="0" w:type="dxa"/>
              <w:bottom w:w="28" w:type="dxa"/>
              <w:right w:w="0" w:type="dxa"/>
            </w:tcMar>
            <w:vAlign w:val="bottom"/>
          </w:tcPr>
          <w:p w14:paraId="15842CD1" w14:textId="7289BFE2" w:rsidR="00CE2F7F" w:rsidRPr="00895810" w:rsidRDefault="00CE2F7F" w:rsidP="00CE2F7F">
            <w:pPr>
              <w:pStyle w:val="TableColHeadsBold"/>
              <w:rPr>
                <w:rFonts w:ascii="IBM Plex Sans Light" w:hAnsi="IBM Plex Sans Light"/>
                <w:color w:val="3D7FE0" w:themeColor="accent1"/>
                <w:sz w:val="18"/>
                <w:szCs w:val="18"/>
              </w:rPr>
            </w:pPr>
            <w:r w:rsidRPr="00D853E0">
              <w:rPr>
                <w:rFonts w:ascii="IBM Plex Sans Light" w:hAnsi="IBM Plex Sans Light"/>
                <w:bCs w:val="0"/>
              </w:rPr>
              <w:t>Footnote</w:t>
            </w:r>
          </w:p>
        </w:tc>
        <w:tc>
          <w:tcPr>
            <w:tcW w:w="1275" w:type="dxa"/>
            <w:tcBorders>
              <w:bottom w:val="single" w:sz="2" w:space="0" w:color="3D7FE0" w:themeColor="accent1"/>
            </w:tcBorders>
            <w:tcMar>
              <w:left w:w="0" w:type="dxa"/>
              <w:bottom w:w="28" w:type="dxa"/>
              <w:right w:w="0" w:type="dxa"/>
            </w:tcMar>
            <w:vAlign w:val="bottom"/>
          </w:tcPr>
          <w:p w14:paraId="0AB81DCE" w14:textId="3C42A71A" w:rsidR="00CE2F7F" w:rsidRPr="00895810" w:rsidRDefault="00CE2F7F" w:rsidP="00CE2F7F">
            <w:pPr>
              <w:pStyle w:val="TableColHeadsBold"/>
              <w:rPr>
                <w:rFonts w:ascii="IBM Plex Sans Light" w:hAnsi="IBM Plex Sans Light"/>
                <w:b w:val="0"/>
                <w:sz w:val="16"/>
                <w:szCs w:val="16"/>
              </w:rPr>
            </w:pPr>
            <w:r w:rsidRPr="00895810">
              <w:rPr>
                <w:rFonts w:ascii="IBM Plex Sans Light" w:hAnsi="IBM Plex Sans Light"/>
                <w:color w:val="3D7FE0" w:themeColor="accent1"/>
                <w:sz w:val="16"/>
                <w:szCs w:val="16"/>
              </w:rPr>
              <w:t xml:space="preserve">Share </w:t>
            </w:r>
          </w:p>
        </w:tc>
        <w:tc>
          <w:tcPr>
            <w:tcW w:w="1276" w:type="dxa"/>
            <w:tcBorders>
              <w:bottom w:val="single" w:sz="2" w:space="0" w:color="3D7FE0" w:themeColor="accent1"/>
            </w:tcBorders>
            <w:tcMar>
              <w:left w:w="0" w:type="dxa"/>
              <w:bottom w:w="28" w:type="dxa"/>
              <w:right w:w="0" w:type="dxa"/>
            </w:tcMar>
            <w:vAlign w:val="bottom"/>
          </w:tcPr>
          <w:p w14:paraId="545C0D13" w14:textId="62822F37" w:rsidR="00CE2F7F" w:rsidRPr="00895810" w:rsidRDefault="00CE2F7F" w:rsidP="00CE2F7F">
            <w:pPr>
              <w:pStyle w:val="TableColHeadsBold"/>
              <w:rPr>
                <w:rFonts w:ascii="IBM Plex Sans Light" w:hAnsi="IBM Plex Sans Light"/>
                <w:b w:val="0"/>
                <w:sz w:val="16"/>
                <w:szCs w:val="16"/>
              </w:rPr>
            </w:pPr>
            <w:r w:rsidRPr="00895810">
              <w:rPr>
                <w:rFonts w:ascii="IBM Plex Sans Light" w:hAnsi="IBM Plex Sans Light"/>
                <w:b w:val="0"/>
                <w:sz w:val="16"/>
                <w:szCs w:val="16"/>
              </w:rPr>
              <w:t>Share</w:t>
            </w:r>
          </w:p>
        </w:tc>
      </w:tr>
      <w:tr w:rsidR="00CE2F7F" w:rsidRPr="00895810" w14:paraId="562C15B6" w14:textId="77777777" w:rsidTr="00024B10">
        <w:trPr>
          <w:trHeight w:hRule="exact" w:val="283"/>
        </w:trPr>
        <w:tc>
          <w:tcPr>
            <w:tcW w:w="3119" w:type="dxa"/>
            <w:tcBorders>
              <w:top w:val="single" w:sz="2" w:space="0" w:color="3D7FE0" w:themeColor="accent1"/>
            </w:tcBorders>
            <w:tcMar>
              <w:left w:w="0" w:type="dxa"/>
              <w:right w:w="0" w:type="dxa"/>
            </w:tcMar>
            <w:vAlign w:val="bottom"/>
          </w:tcPr>
          <w:p w14:paraId="40A9CB94" w14:textId="77777777" w:rsidR="00CE2F7F" w:rsidRPr="00895810" w:rsidRDefault="00CE2F7F" w:rsidP="00CE2F7F">
            <w:pPr>
              <w:pStyle w:val="Tabletext"/>
              <w:rPr>
                <w:rFonts w:ascii="IBM Plex Sans Light" w:hAnsi="IBM Plex Sans Light"/>
                <w:spacing w:val="-4"/>
                <w:sz w:val="18"/>
                <w:szCs w:val="18"/>
              </w:rPr>
            </w:pPr>
            <w:r w:rsidRPr="00895810">
              <w:rPr>
                <w:rFonts w:ascii="IBM Plex Sans Light" w:hAnsi="IBM Plex Sans Light"/>
                <w:spacing w:val="-4"/>
                <w:sz w:val="18"/>
                <w:szCs w:val="18"/>
              </w:rPr>
              <w:t>Value Retail</w:t>
            </w:r>
          </w:p>
        </w:tc>
        <w:tc>
          <w:tcPr>
            <w:tcW w:w="283" w:type="dxa"/>
            <w:tcBorders>
              <w:top w:val="single" w:sz="2" w:space="0" w:color="3D7FE0" w:themeColor="accent1"/>
            </w:tcBorders>
            <w:vAlign w:val="bottom"/>
          </w:tcPr>
          <w:p w14:paraId="7C9A539F" w14:textId="40F63707" w:rsidR="00CE2F7F" w:rsidRPr="00895810" w:rsidRDefault="00CE2F7F" w:rsidP="00CE2F7F">
            <w:pPr>
              <w:pStyle w:val="Tabletext"/>
              <w:rPr>
                <w:rFonts w:ascii="IBM Plex Sans Light" w:hAnsi="IBM Plex Sans Light"/>
                <w:spacing w:val="-4"/>
                <w:sz w:val="18"/>
                <w:szCs w:val="18"/>
              </w:rPr>
            </w:pPr>
          </w:p>
        </w:tc>
        <w:tc>
          <w:tcPr>
            <w:tcW w:w="3119" w:type="dxa"/>
            <w:tcBorders>
              <w:top w:val="single" w:sz="2" w:space="0" w:color="3D7FE0" w:themeColor="accent1"/>
            </w:tcBorders>
            <w:vAlign w:val="bottom"/>
          </w:tcPr>
          <w:p w14:paraId="2ABD7776" w14:textId="5B67ACBD" w:rsidR="00CE2F7F" w:rsidRPr="00895810" w:rsidRDefault="00CE2F7F" w:rsidP="00CE2F7F">
            <w:pPr>
              <w:pStyle w:val="Tabletext"/>
              <w:rPr>
                <w:rFonts w:ascii="IBM Plex Sans Light" w:hAnsi="IBM Plex Sans Light"/>
                <w:spacing w:val="-4"/>
                <w:sz w:val="18"/>
                <w:szCs w:val="18"/>
              </w:rPr>
            </w:pPr>
            <w:r w:rsidRPr="00895810">
              <w:rPr>
                <w:rFonts w:ascii="IBM Plex Sans Light" w:hAnsi="IBM Plex Sans Light"/>
                <w:spacing w:val="-4"/>
                <w:sz w:val="18"/>
                <w:szCs w:val="18"/>
              </w:rPr>
              <w:t xml:space="preserve">Various </w:t>
            </w:r>
            <w:r>
              <w:rPr>
                <w:rFonts w:ascii="IBM Plex Sans Light" w:hAnsi="IBM Plex Sans Light"/>
                <w:spacing w:val="-4"/>
                <w:sz w:val="18"/>
                <w:szCs w:val="18"/>
              </w:rPr>
              <w:t xml:space="preserve">Villages </w:t>
            </w:r>
            <w:r w:rsidRPr="00895810">
              <w:rPr>
                <w:rFonts w:ascii="IBM Plex Sans Light" w:hAnsi="IBM Plex Sans Light"/>
                <w:spacing w:val="-4"/>
                <w:sz w:val="18"/>
                <w:szCs w:val="18"/>
              </w:rPr>
              <w:t>across Europe</w:t>
            </w:r>
          </w:p>
        </w:tc>
        <w:tc>
          <w:tcPr>
            <w:tcW w:w="849" w:type="dxa"/>
            <w:tcBorders>
              <w:top w:val="single" w:sz="2" w:space="0" w:color="3D7FE0" w:themeColor="accent1"/>
            </w:tcBorders>
            <w:tcMar>
              <w:left w:w="0" w:type="dxa"/>
              <w:right w:w="0" w:type="dxa"/>
            </w:tcMar>
            <w:vAlign w:val="bottom"/>
          </w:tcPr>
          <w:p w14:paraId="419CBDA3" w14:textId="4619AACD" w:rsidR="00CE2F7F" w:rsidRPr="00895810" w:rsidRDefault="00CE2F7F" w:rsidP="00CE2F7F">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a</w:t>
            </w:r>
          </w:p>
        </w:tc>
        <w:tc>
          <w:tcPr>
            <w:tcW w:w="1275" w:type="dxa"/>
            <w:tcBorders>
              <w:top w:val="single" w:sz="2" w:space="0" w:color="3D7FE0" w:themeColor="accent1"/>
            </w:tcBorders>
            <w:tcMar>
              <w:left w:w="0" w:type="dxa"/>
              <w:right w:w="0" w:type="dxa"/>
            </w:tcMar>
            <w:vAlign w:val="bottom"/>
          </w:tcPr>
          <w:p w14:paraId="3523F2E7" w14:textId="2CD4C6FE" w:rsidR="00CE2F7F" w:rsidRPr="00895810" w:rsidRDefault="00CE2F7F" w:rsidP="00CE2F7F">
            <w:pPr>
              <w:pStyle w:val="TableFiguresBold"/>
              <w:rPr>
                <w:rFonts w:ascii="IBM Plex Sans Light" w:hAnsi="IBM Plex Sans Light"/>
                <w:color w:val="3D7FE0" w:themeColor="accent1"/>
                <w:spacing w:val="-4"/>
                <w:sz w:val="18"/>
                <w:szCs w:val="18"/>
              </w:rPr>
            </w:pPr>
            <w:r>
              <w:rPr>
                <w:rFonts w:ascii="IBM Plex Sans Light" w:hAnsi="IBM Plex Sans Light"/>
                <w:color w:val="3D7FE0" w:themeColor="accent1"/>
                <w:spacing w:val="-4"/>
                <w:sz w:val="18"/>
                <w:szCs w:val="18"/>
              </w:rPr>
              <w:t>40</w:t>
            </w:r>
            <w:r w:rsidRPr="00895810">
              <w:rPr>
                <w:rFonts w:ascii="IBM Plex Sans Light" w:hAnsi="IBM Plex Sans Light"/>
                <w:color w:val="3D7FE0" w:themeColor="accent1"/>
                <w:spacing w:val="-4"/>
                <w:sz w:val="18"/>
                <w:szCs w:val="18"/>
              </w:rPr>
              <w:t>%</w:t>
            </w:r>
          </w:p>
        </w:tc>
        <w:tc>
          <w:tcPr>
            <w:tcW w:w="1276" w:type="dxa"/>
            <w:tcBorders>
              <w:top w:val="single" w:sz="2" w:space="0" w:color="3D7FE0" w:themeColor="accent1"/>
            </w:tcBorders>
            <w:tcMar>
              <w:left w:w="0" w:type="dxa"/>
              <w:right w:w="0" w:type="dxa"/>
            </w:tcMar>
            <w:vAlign w:val="bottom"/>
          </w:tcPr>
          <w:p w14:paraId="3F2A55D8" w14:textId="2F5758AA" w:rsidR="00CE2F7F" w:rsidRPr="00895810" w:rsidRDefault="00CE2F7F" w:rsidP="00CE2F7F">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40%</w:t>
            </w:r>
          </w:p>
        </w:tc>
      </w:tr>
      <w:tr w:rsidR="00CE2F7F" w:rsidRPr="00895810" w14:paraId="705D0FC1" w14:textId="77777777" w:rsidTr="00024B10">
        <w:trPr>
          <w:trHeight w:hRule="exact" w:val="283"/>
        </w:trPr>
        <w:tc>
          <w:tcPr>
            <w:tcW w:w="3119" w:type="dxa"/>
            <w:tcBorders>
              <w:bottom w:val="single" w:sz="8" w:space="0" w:color="3D7FE0" w:themeColor="accent1"/>
            </w:tcBorders>
            <w:tcMar>
              <w:left w:w="0" w:type="dxa"/>
              <w:right w:w="0" w:type="dxa"/>
            </w:tcMar>
            <w:vAlign w:val="bottom"/>
          </w:tcPr>
          <w:p w14:paraId="3B4E8F32" w14:textId="2C300C71" w:rsidR="00CE2F7F" w:rsidRPr="00895810" w:rsidRDefault="00CE2F7F" w:rsidP="00CE2F7F">
            <w:pPr>
              <w:pStyle w:val="Tabletext"/>
              <w:rPr>
                <w:rFonts w:ascii="IBM Plex Sans Light" w:hAnsi="IBM Plex Sans Light"/>
                <w:spacing w:val="-4"/>
                <w:sz w:val="18"/>
                <w:szCs w:val="18"/>
              </w:rPr>
            </w:pPr>
            <w:r w:rsidRPr="00895810">
              <w:rPr>
                <w:rFonts w:ascii="IBM Plex Sans Light" w:hAnsi="IBM Plex Sans Light"/>
                <w:spacing w:val="-4"/>
                <w:sz w:val="18"/>
                <w:szCs w:val="18"/>
              </w:rPr>
              <w:t>Italie Deux</w:t>
            </w:r>
          </w:p>
        </w:tc>
        <w:tc>
          <w:tcPr>
            <w:tcW w:w="283" w:type="dxa"/>
            <w:tcBorders>
              <w:bottom w:val="single" w:sz="8" w:space="0" w:color="3D7FE0" w:themeColor="accent1"/>
            </w:tcBorders>
            <w:vAlign w:val="bottom"/>
          </w:tcPr>
          <w:p w14:paraId="73057444" w14:textId="761C6B55" w:rsidR="00CE2F7F" w:rsidRPr="00895810" w:rsidRDefault="00CE2F7F" w:rsidP="00CE2F7F">
            <w:pPr>
              <w:pStyle w:val="Tabletext"/>
              <w:rPr>
                <w:rFonts w:ascii="IBM Plex Sans Light" w:hAnsi="IBM Plex Sans Light"/>
                <w:spacing w:val="-4"/>
                <w:sz w:val="18"/>
                <w:szCs w:val="18"/>
              </w:rPr>
            </w:pPr>
          </w:p>
        </w:tc>
        <w:tc>
          <w:tcPr>
            <w:tcW w:w="3119" w:type="dxa"/>
            <w:tcBorders>
              <w:bottom w:val="single" w:sz="8" w:space="0" w:color="3D7FE0" w:themeColor="accent1"/>
            </w:tcBorders>
            <w:vAlign w:val="bottom"/>
          </w:tcPr>
          <w:p w14:paraId="7424F9BF" w14:textId="2DCC3573" w:rsidR="00CE2F7F" w:rsidRPr="00895810" w:rsidRDefault="00CE2F7F" w:rsidP="00CE2F7F">
            <w:pPr>
              <w:pStyle w:val="Tabletext"/>
              <w:rPr>
                <w:rFonts w:ascii="IBM Plex Sans Light" w:hAnsi="IBM Plex Sans Light"/>
                <w:spacing w:val="-4"/>
                <w:sz w:val="18"/>
                <w:szCs w:val="18"/>
              </w:rPr>
            </w:pPr>
            <w:r w:rsidRPr="00895810">
              <w:rPr>
                <w:rFonts w:ascii="IBM Plex Sans Light" w:hAnsi="IBM Plex Sans Light"/>
                <w:spacing w:val="-4"/>
                <w:sz w:val="18"/>
                <w:szCs w:val="18"/>
              </w:rPr>
              <w:t xml:space="preserve">Italie Deux, </w:t>
            </w:r>
            <w:r>
              <w:rPr>
                <w:rFonts w:ascii="IBM Plex Sans Light" w:hAnsi="IBM Plex Sans Light"/>
                <w:spacing w:val="-4"/>
                <w:sz w:val="18"/>
                <w:szCs w:val="18"/>
              </w:rPr>
              <w:t>Paris</w:t>
            </w:r>
          </w:p>
        </w:tc>
        <w:tc>
          <w:tcPr>
            <w:tcW w:w="849" w:type="dxa"/>
            <w:tcBorders>
              <w:bottom w:val="single" w:sz="8" w:space="0" w:color="3D7FE0" w:themeColor="accent1"/>
            </w:tcBorders>
            <w:tcMar>
              <w:left w:w="0" w:type="dxa"/>
              <w:right w:w="0" w:type="dxa"/>
            </w:tcMar>
            <w:vAlign w:val="bottom"/>
          </w:tcPr>
          <w:p w14:paraId="498E0CF2" w14:textId="471B71E3" w:rsidR="00CE2F7F" w:rsidRPr="00895810" w:rsidRDefault="00CE2F7F" w:rsidP="00CE2F7F">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b</w:t>
            </w:r>
          </w:p>
        </w:tc>
        <w:tc>
          <w:tcPr>
            <w:tcW w:w="1275" w:type="dxa"/>
            <w:tcBorders>
              <w:bottom w:val="single" w:sz="8" w:space="0" w:color="3D7FE0" w:themeColor="accent1"/>
            </w:tcBorders>
            <w:tcMar>
              <w:left w:w="0" w:type="dxa"/>
              <w:right w:w="0" w:type="dxa"/>
            </w:tcMar>
            <w:vAlign w:val="bottom"/>
          </w:tcPr>
          <w:p w14:paraId="699383CB" w14:textId="6A866E3F" w:rsidR="00CE2F7F" w:rsidRPr="00895810" w:rsidRDefault="00CE2F7F" w:rsidP="00CE2F7F">
            <w:pPr>
              <w:pStyle w:val="TableFiguresBold"/>
              <w:rPr>
                <w:rFonts w:ascii="IBM Plex Sans Light" w:hAnsi="IBM Plex Sans Light"/>
                <w:color w:val="3D7FE0" w:themeColor="accent1"/>
                <w:spacing w:val="-4"/>
                <w:sz w:val="18"/>
                <w:szCs w:val="18"/>
              </w:rPr>
            </w:pPr>
            <w:r w:rsidRPr="00895810">
              <w:rPr>
                <w:rFonts w:ascii="IBM Plex Sans Light" w:hAnsi="IBM Plex Sans Light"/>
                <w:color w:val="3D7FE0" w:themeColor="accent1"/>
                <w:spacing w:val="-4"/>
                <w:sz w:val="18"/>
                <w:szCs w:val="18"/>
              </w:rPr>
              <w:t>–</w:t>
            </w:r>
          </w:p>
        </w:tc>
        <w:tc>
          <w:tcPr>
            <w:tcW w:w="1276" w:type="dxa"/>
            <w:tcBorders>
              <w:bottom w:val="single" w:sz="8" w:space="0" w:color="3D7FE0" w:themeColor="accent1"/>
            </w:tcBorders>
            <w:tcMar>
              <w:left w:w="0" w:type="dxa"/>
              <w:right w:w="0" w:type="dxa"/>
            </w:tcMar>
            <w:vAlign w:val="bottom"/>
          </w:tcPr>
          <w:p w14:paraId="5B33E174" w14:textId="285D04FF" w:rsidR="00CE2F7F" w:rsidRPr="00895810" w:rsidRDefault="00CE2F7F" w:rsidP="00CE2F7F">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25</w:t>
            </w:r>
            <w:r w:rsidRPr="00895810">
              <w:rPr>
                <w:rFonts w:ascii="IBM Plex Sans Light" w:hAnsi="IBM Plex Sans Light"/>
                <w:color w:val="auto"/>
                <w:spacing w:val="-4"/>
                <w:sz w:val="18"/>
                <w:szCs w:val="18"/>
              </w:rPr>
              <w:t>%</w:t>
            </w:r>
          </w:p>
        </w:tc>
      </w:tr>
    </w:tbl>
    <w:p w14:paraId="67F089CC" w14:textId="77777777" w:rsidR="009D38AD" w:rsidRDefault="009D38AD" w:rsidP="009D38AD">
      <w:pPr>
        <w:spacing w:after="0" w:line="240" w:lineRule="auto"/>
        <w:ind w:left="284" w:right="-255" w:hanging="284"/>
        <w:rPr>
          <w:rFonts w:ascii="IBM Plex Sans Light" w:hAnsi="IBM Plex Sans Light" w:cs="Arial"/>
          <w:bCs/>
          <w:szCs w:val="15"/>
        </w:rPr>
      </w:pPr>
    </w:p>
    <w:p w14:paraId="0452229F" w14:textId="36F82001" w:rsidR="009D38AD" w:rsidRPr="007C5135" w:rsidRDefault="009D38AD" w:rsidP="009D38AD">
      <w:pPr>
        <w:spacing w:after="0" w:line="240" w:lineRule="auto"/>
        <w:ind w:left="284" w:right="-255" w:hanging="284"/>
        <w:rPr>
          <w:rFonts w:ascii="IBM Plex Sans Light" w:hAnsi="IBM Plex Sans Light" w:cs="Arial"/>
          <w:bCs/>
          <w:sz w:val="16"/>
          <w:szCs w:val="16"/>
        </w:rPr>
      </w:pPr>
      <w:proofErr w:type="spellStart"/>
      <w:r w:rsidRPr="007C5135">
        <w:rPr>
          <w:rFonts w:ascii="IBM Plex Sans Light" w:hAnsi="IBM Plex Sans Light" w:cs="Arial"/>
          <w:bCs/>
          <w:sz w:val="16"/>
          <w:szCs w:val="16"/>
        </w:rPr>
        <w:t>a</w:t>
      </w:r>
      <w:proofErr w:type="spellEnd"/>
      <w:r w:rsidRPr="007C5135">
        <w:rPr>
          <w:rFonts w:ascii="IBM Plex Sans Light" w:hAnsi="IBM Plex Sans Light" w:cs="Arial"/>
          <w:bCs/>
          <w:sz w:val="16"/>
          <w:szCs w:val="16"/>
        </w:rPr>
        <w:tab/>
        <w:t>Interest is calculated based on the share of profits to which the Group is entitled and excludes individual interests which are loss making.</w:t>
      </w:r>
    </w:p>
    <w:p w14:paraId="5E06E1FC" w14:textId="77777777" w:rsidR="009D38AD" w:rsidRPr="007C5135" w:rsidRDefault="009D38AD" w:rsidP="009D38AD">
      <w:pPr>
        <w:spacing w:after="0" w:line="240" w:lineRule="auto"/>
        <w:ind w:left="284" w:right="-255" w:hanging="284"/>
        <w:rPr>
          <w:rFonts w:ascii="IBM Plex Sans Light" w:hAnsi="IBM Plex Sans Light" w:cs="Arial"/>
          <w:bCs/>
          <w:sz w:val="16"/>
          <w:szCs w:val="16"/>
        </w:rPr>
      </w:pPr>
      <w:r w:rsidRPr="007C5135">
        <w:rPr>
          <w:rFonts w:ascii="IBM Plex Sans Light" w:hAnsi="IBM Plex Sans Light" w:cs="Arial"/>
          <w:bCs/>
          <w:sz w:val="16"/>
          <w:szCs w:val="16"/>
        </w:rPr>
        <w:t>b</w:t>
      </w:r>
      <w:r w:rsidRPr="007C5135">
        <w:rPr>
          <w:rFonts w:ascii="IBM Plex Sans Light" w:hAnsi="IBM Plex Sans Light" w:cs="Arial"/>
          <w:bCs/>
          <w:sz w:val="16"/>
          <w:szCs w:val="16"/>
        </w:rPr>
        <w:tab/>
        <w:t xml:space="preserve">The Group disposed of its 25% interest in Italie Deux on 31 March 2023. See note 8 for further details. </w:t>
      </w:r>
    </w:p>
    <w:p w14:paraId="4918718A" w14:textId="77777777" w:rsidR="009D38AD" w:rsidRPr="009D38AD" w:rsidRDefault="009D38AD" w:rsidP="009D38AD">
      <w:pPr>
        <w:spacing w:after="0" w:line="240" w:lineRule="auto"/>
        <w:ind w:left="284" w:right="-255" w:hanging="284"/>
        <w:rPr>
          <w:rFonts w:ascii="IBM Plex Sans Light" w:hAnsi="IBM Plex Sans Light" w:cs="Arial"/>
          <w:bCs/>
          <w:szCs w:val="15"/>
        </w:rPr>
      </w:pPr>
    </w:p>
    <w:p w14:paraId="21670E38" w14:textId="49C891AD" w:rsidR="009D38AD" w:rsidRPr="009D38AD" w:rsidRDefault="009D38AD" w:rsidP="009A55A1">
      <w:pPr>
        <w:spacing w:after="0" w:line="240" w:lineRule="auto"/>
        <w:ind w:right="-255"/>
        <w:rPr>
          <w:rFonts w:ascii="IBM Plex Sans Light" w:hAnsi="IBM Plex Sans Light" w:cs="Arial"/>
          <w:bCs/>
          <w:szCs w:val="15"/>
        </w:rPr>
      </w:pPr>
      <w:r w:rsidRPr="009D38AD">
        <w:rPr>
          <w:rFonts w:ascii="IBM Plex Sans Light" w:hAnsi="IBM Plex Sans Light" w:cs="Arial"/>
          <w:bCs/>
          <w:szCs w:val="15"/>
        </w:rPr>
        <w:t>Analysis of the results and assets and liabilities of the Group’s investment in associates is set out below and with the exception of Value Retail, these results form part of the Share of Property interests to arrive at management’s analysis of the Group on a proportionally consolidated basis as explained in note 3 and set out in note 2.</w:t>
      </w:r>
    </w:p>
    <w:p w14:paraId="596D8A30" w14:textId="77777777" w:rsidR="009D38AD" w:rsidRDefault="009D38AD" w:rsidP="00DC6963">
      <w:pPr>
        <w:pStyle w:val="Heading2SpaceBefore"/>
        <w:rPr>
          <w:rFonts w:ascii="IBM Plex Sans Light" w:hAnsi="IBM Plex Sans Light"/>
          <w:color w:val="3D7FE0" w:themeColor="accent1"/>
        </w:rPr>
      </w:pPr>
    </w:p>
    <w:p w14:paraId="2D518B40" w14:textId="3F5CBDD7" w:rsidR="006918DF" w:rsidRPr="00895810" w:rsidRDefault="00CF4226" w:rsidP="00DC6963">
      <w:pPr>
        <w:pStyle w:val="Heading2SpaceBefore"/>
        <w:rPr>
          <w:rFonts w:ascii="IBM Plex Sans Light" w:hAnsi="IBM Plex Sans Light"/>
          <w:color w:val="3D7FE0" w:themeColor="accent1"/>
        </w:rPr>
      </w:pPr>
      <w:r w:rsidRPr="006F5FE7">
        <w:rPr>
          <w:rFonts w:ascii="IBM Plex Sans Light" w:hAnsi="IBM Plex Sans Light"/>
          <w:color w:val="3D7FE0" w:themeColor="accent1"/>
        </w:rPr>
        <w:t>B</w:t>
      </w:r>
      <w:r w:rsidR="00DC6963" w:rsidRPr="006F5FE7">
        <w:rPr>
          <w:rFonts w:ascii="IBM Plex Sans Light" w:hAnsi="IBM Plex Sans Light"/>
          <w:color w:val="3D7FE0" w:themeColor="accent1"/>
        </w:rPr>
        <w:t xml:space="preserve">. </w:t>
      </w:r>
      <w:r w:rsidR="005F6D26" w:rsidRPr="006F5FE7">
        <w:rPr>
          <w:rFonts w:ascii="IBM Plex Sans Light" w:hAnsi="IBM Plex Sans Light"/>
          <w:color w:val="3D7FE0" w:themeColor="accent1"/>
        </w:rPr>
        <w:t>RESULTS</w:t>
      </w:r>
      <w:r w:rsidR="005F6D26" w:rsidRPr="00895810">
        <w:rPr>
          <w:rFonts w:ascii="IBM Plex Sans Light" w:hAnsi="IBM Plex Sans Light"/>
          <w:color w:val="3D7FE0" w:themeColor="accent1"/>
        </w:rPr>
        <w:t xml:space="preserve"> </w:t>
      </w:r>
    </w:p>
    <w:tbl>
      <w:tblPr>
        <w:tblW w:w="9356" w:type="dxa"/>
        <w:tblLayout w:type="fixed"/>
        <w:tblLook w:val="01E0" w:firstRow="1" w:lastRow="1" w:firstColumn="1" w:lastColumn="1" w:noHBand="0" w:noVBand="0"/>
      </w:tblPr>
      <w:tblGrid>
        <w:gridCol w:w="3544"/>
        <w:gridCol w:w="992"/>
        <w:gridCol w:w="993"/>
        <w:gridCol w:w="992"/>
        <w:gridCol w:w="992"/>
        <w:gridCol w:w="992"/>
        <w:gridCol w:w="851"/>
      </w:tblGrid>
      <w:tr w:rsidR="00172228" w:rsidRPr="00895810" w14:paraId="4ABAB699" w14:textId="77777777" w:rsidTr="00024B10">
        <w:trPr>
          <w:trHeight w:val="244"/>
        </w:trPr>
        <w:tc>
          <w:tcPr>
            <w:tcW w:w="3544" w:type="dxa"/>
            <w:tcBorders>
              <w:bottom w:val="single" w:sz="2" w:space="0" w:color="3D7FE0" w:themeColor="accent1"/>
            </w:tcBorders>
            <w:tcMar>
              <w:left w:w="0" w:type="dxa"/>
              <w:bottom w:w="57" w:type="dxa"/>
              <w:right w:w="0" w:type="dxa"/>
            </w:tcMar>
            <w:vAlign w:val="bottom"/>
          </w:tcPr>
          <w:p w14:paraId="04918C5C" w14:textId="77777777" w:rsidR="00172228" w:rsidRPr="00895810" w:rsidRDefault="00172228" w:rsidP="00F65472">
            <w:pPr>
              <w:pStyle w:val="TableColHeadsBold"/>
              <w:rPr>
                <w:rFonts w:ascii="IBM Plex Sans Light" w:hAnsi="IBM Plex Sans Light"/>
              </w:rPr>
            </w:pPr>
          </w:p>
        </w:tc>
        <w:tc>
          <w:tcPr>
            <w:tcW w:w="5812" w:type="dxa"/>
            <w:gridSpan w:val="6"/>
            <w:tcBorders>
              <w:bottom w:val="single" w:sz="2" w:space="0" w:color="3D7FE0" w:themeColor="accent1"/>
            </w:tcBorders>
            <w:vAlign w:val="bottom"/>
          </w:tcPr>
          <w:p w14:paraId="5EC25560" w14:textId="63A2A0C1" w:rsidR="00172228" w:rsidRPr="00895810" w:rsidRDefault="00172228" w:rsidP="00CE2F7F">
            <w:pPr>
              <w:pStyle w:val="TableColHeadsBold"/>
              <w:rPr>
                <w:rFonts w:ascii="IBM Plex Sans Light" w:hAnsi="IBM Plex Sans Light"/>
                <w:color w:val="3D7FE0" w:themeColor="accent1"/>
              </w:rPr>
            </w:pPr>
            <w:r>
              <w:rPr>
                <w:rFonts w:ascii="IBM Plex Sans Light" w:hAnsi="IBM Plex Sans Light"/>
                <w:color w:val="3D7FE0" w:themeColor="accent1"/>
              </w:rPr>
              <w:t>2023</w:t>
            </w:r>
          </w:p>
        </w:tc>
      </w:tr>
      <w:tr w:rsidR="00172228" w:rsidRPr="00895810" w14:paraId="7FDB5F3D" w14:textId="77777777" w:rsidTr="008B3C5C">
        <w:trPr>
          <w:trHeight w:val="249"/>
        </w:trPr>
        <w:tc>
          <w:tcPr>
            <w:tcW w:w="3544" w:type="dxa"/>
            <w:tcBorders>
              <w:top w:val="single" w:sz="2" w:space="0" w:color="3D7FE0" w:themeColor="accent1"/>
            </w:tcBorders>
            <w:tcMar>
              <w:left w:w="0" w:type="dxa"/>
              <w:right w:w="0" w:type="dxa"/>
            </w:tcMar>
            <w:vAlign w:val="bottom"/>
          </w:tcPr>
          <w:p w14:paraId="6D22D30F" w14:textId="77777777" w:rsidR="00172228" w:rsidRPr="00895810" w:rsidRDefault="00172228" w:rsidP="00172228">
            <w:pPr>
              <w:pStyle w:val="TableColHeadsBold"/>
              <w:rPr>
                <w:rFonts w:ascii="IBM Plex Sans Light" w:hAnsi="IBM Plex Sans Light"/>
              </w:rPr>
            </w:pPr>
          </w:p>
        </w:tc>
        <w:tc>
          <w:tcPr>
            <w:tcW w:w="1985" w:type="dxa"/>
            <w:gridSpan w:val="2"/>
            <w:tcBorders>
              <w:top w:val="single" w:sz="2" w:space="0" w:color="3D7FE0" w:themeColor="accent1"/>
              <w:bottom w:val="single" w:sz="2" w:space="0" w:color="3D7FE0" w:themeColor="accent1"/>
            </w:tcBorders>
            <w:vAlign w:val="bottom"/>
          </w:tcPr>
          <w:p w14:paraId="01BE8F79" w14:textId="6D545B85" w:rsidR="00172228" w:rsidRPr="00895810" w:rsidRDefault="00172228" w:rsidP="00172228">
            <w:pPr>
              <w:pStyle w:val="TableColHeadsBold"/>
              <w:jc w:val="center"/>
              <w:rPr>
                <w:rFonts w:ascii="IBM Plex Sans Light" w:hAnsi="IBM Plex Sans Light"/>
                <w:color w:val="3D7FE0" w:themeColor="accent1"/>
              </w:rPr>
            </w:pPr>
            <w:r>
              <w:rPr>
                <w:rFonts w:ascii="IBM Plex Sans Light" w:hAnsi="IBM Plex Sans Light"/>
                <w:color w:val="3D7FE0" w:themeColor="accent1"/>
              </w:rPr>
              <w:t>Value Retail</w:t>
            </w:r>
          </w:p>
        </w:tc>
        <w:tc>
          <w:tcPr>
            <w:tcW w:w="1984" w:type="dxa"/>
            <w:gridSpan w:val="2"/>
            <w:tcBorders>
              <w:top w:val="single" w:sz="2" w:space="0" w:color="3D7FE0" w:themeColor="accent1"/>
              <w:bottom w:val="single" w:sz="2" w:space="0" w:color="3D7FE0" w:themeColor="accent1"/>
            </w:tcBorders>
            <w:vAlign w:val="bottom"/>
          </w:tcPr>
          <w:p w14:paraId="61059F01" w14:textId="2081C9FC" w:rsidR="00172228" w:rsidRPr="00895810" w:rsidRDefault="00172228" w:rsidP="00172228">
            <w:pPr>
              <w:pStyle w:val="TableColHeadsBold"/>
              <w:jc w:val="center"/>
              <w:rPr>
                <w:rFonts w:ascii="IBM Plex Sans Light" w:hAnsi="IBM Plex Sans Light"/>
                <w:color w:val="3D7FE0" w:themeColor="accent1"/>
              </w:rPr>
            </w:pPr>
            <w:r>
              <w:rPr>
                <w:rFonts w:ascii="IBM Plex Sans Light" w:hAnsi="IBM Plex Sans Light"/>
                <w:color w:val="3D7FE0" w:themeColor="accent1"/>
              </w:rPr>
              <w:t>Italie Deux</w:t>
            </w:r>
          </w:p>
        </w:tc>
        <w:tc>
          <w:tcPr>
            <w:tcW w:w="1843" w:type="dxa"/>
            <w:gridSpan w:val="2"/>
            <w:tcBorders>
              <w:top w:val="single" w:sz="2" w:space="0" w:color="3D7FE0" w:themeColor="accent1"/>
              <w:bottom w:val="single" w:sz="2" w:space="0" w:color="3D7FE0" w:themeColor="accent1"/>
            </w:tcBorders>
            <w:vAlign w:val="bottom"/>
          </w:tcPr>
          <w:p w14:paraId="05F096FC" w14:textId="6AFF2746" w:rsidR="00172228" w:rsidRPr="00895810" w:rsidRDefault="00172228" w:rsidP="00172228">
            <w:pPr>
              <w:pStyle w:val="TableColHeadsBold"/>
              <w:tabs>
                <w:tab w:val="clear" w:pos="284"/>
              </w:tabs>
              <w:ind w:right="0"/>
              <w:rPr>
                <w:rFonts w:ascii="IBM Plex Sans Light" w:hAnsi="IBM Plex Sans Light"/>
                <w:color w:val="3D7FE0" w:themeColor="accent1"/>
              </w:rPr>
            </w:pPr>
            <w:r>
              <w:rPr>
                <w:rFonts w:ascii="IBM Plex Sans Light" w:hAnsi="IBM Plex Sans Light"/>
                <w:color w:val="3D7FE0" w:themeColor="accent1"/>
              </w:rPr>
              <w:t>Total</w:t>
            </w:r>
          </w:p>
        </w:tc>
      </w:tr>
      <w:tr w:rsidR="00172228" w:rsidRPr="00895810" w14:paraId="2AE9FDC5" w14:textId="77777777" w:rsidTr="008B3C5C">
        <w:trPr>
          <w:trHeight w:val="249"/>
        </w:trPr>
        <w:tc>
          <w:tcPr>
            <w:tcW w:w="3544" w:type="dxa"/>
            <w:tcMar>
              <w:left w:w="0" w:type="dxa"/>
              <w:right w:w="0" w:type="dxa"/>
            </w:tcMar>
            <w:vAlign w:val="bottom"/>
          </w:tcPr>
          <w:p w14:paraId="03D7586E" w14:textId="77777777" w:rsidR="00172228" w:rsidRPr="00895810" w:rsidRDefault="00172228" w:rsidP="00172228">
            <w:pPr>
              <w:pStyle w:val="TableColHeadsBold"/>
              <w:rPr>
                <w:rFonts w:ascii="IBM Plex Sans Light" w:hAnsi="IBM Plex Sans Light"/>
              </w:rPr>
            </w:pPr>
          </w:p>
        </w:tc>
        <w:tc>
          <w:tcPr>
            <w:tcW w:w="992" w:type="dxa"/>
            <w:tcBorders>
              <w:top w:val="single" w:sz="2" w:space="0" w:color="3D7FE0" w:themeColor="accent1"/>
            </w:tcBorders>
            <w:vAlign w:val="bottom"/>
          </w:tcPr>
          <w:p w14:paraId="4850B6A8" w14:textId="5D31A4EC" w:rsidR="00172228" w:rsidRPr="00895810" w:rsidRDefault="00172228" w:rsidP="00172228">
            <w:pPr>
              <w:pStyle w:val="TableColHeadsBold"/>
              <w:rPr>
                <w:rFonts w:ascii="IBM Plex Sans Light" w:hAnsi="IBM Plex Sans Light"/>
              </w:rPr>
            </w:pPr>
            <w:r>
              <w:rPr>
                <w:rFonts w:ascii="IBM Plex Sans Light" w:hAnsi="IBM Plex Sans Light"/>
                <w:color w:val="3D7FE0" w:themeColor="accent1"/>
              </w:rPr>
              <w:t>100% share</w:t>
            </w:r>
          </w:p>
        </w:tc>
        <w:tc>
          <w:tcPr>
            <w:tcW w:w="993" w:type="dxa"/>
            <w:tcBorders>
              <w:top w:val="single" w:sz="2" w:space="0" w:color="3D7FE0" w:themeColor="accent1"/>
            </w:tcBorders>
            <w:vAlign w:val="bottom"/>
          </w:tcPr>
          <w:p w14:paraId="4787C2DA" w14:textId="0547A983" w:rsidR="00172228" w:rsidRDefault="00172228" w:rsidP="0017222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Group </w:t>
            </w:r>
            <w:r>
              <w:rPr>
                <w:rFonts w:ascii="IBM Plex Sans Light" w:hAnsi="IBM Plex Sans Light"/>
                <w:color w:val="3D7FE0" w:themeColor="accent1"/>
              </w:rPr>
              <w:t>s</w:t>
            </w:r>
            <w:r w:rsidRPr="00895810">
              <w:rPr>
                <w:rFonts w:ascii="IBM Plex Sans Light" w:hAnsi="IBM Plex Sans Light"/>
                <w:color w:val="3D7FE0" w:themeColor="accent1"/>
              </w:rPr>
              <w:t>hare</w:t>
            </w:r>
          </w:p>
        </w:tc>
        <w:tc>
          <w:tcPr>
            <w:tcW w:w="992" w:type="dxa"/>
            <w:tcBorders>
              <w:top w:val="single" w:sz="2" w:space="0" w:color="3D7FE0" w:themeColor="accent1"/>
            </w:tcBorders>
            <w:vAlign w:val="bottom"/>
          </w:tcPr>
          <w:p w14:paraId="776816BA" w14:textId="5490E7AC" w:rsidR="00172228" w:rsidRPr="00895810" w:rsidRDefault="00172228" w:rsidP="00172228">
            <w:pPr>
              <w:pStyle w:val="TableColHeadsBold"/>
              <w:rPr>
                <w:rFonts w:ascii="IBM Plex Sans Light" w:hAnsi="IBM Plex Sans Light"/>
              </w:rPr>
            </w:pPr>
            <w:r>
              <w:rPr>
                <w:rFonts w:ascii="IBM Plex Sans Light" w:hAnsi="IBM Plex Sans Light"/>
                <w:color w:val="3D7FE0" w:themeColor="accent1"/>
              </w:rPr>
              <w:t>100% share</w:t>
            </w:r>
          </w:p>
        </w:tc>
        <w:tc>
          <w:tcPr>
            <w:tcW w:w="992" w:type="dxa"/>
            <w:tcBorders>
              <w:top w:val="single" w:sz="2" w:space="0" w:color="3D7FE0" w:themeColor="accent1"/>
            </w:tcBorders>
            <w:vAlign w:val="bottom"/>
          </w:tcPr>
          <w:p w14:paraId="52F643EA" w14:textId="5C2EE4DD" w:rsidR="00172228" w:rsidRDefault="00172228" w:rsidP="0017222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Group </w:t>
            </w:r>
            <w:r>
              <w:rPr>
                <w:rFonts w:ascii="IBM Plex Sans Light" w:hAnsi="IBM Plex Sans Light"/>
                <w:color w:val="3D7FE0" w:themeColor="accent1"/>
              </w:rPr>
              <w:t>s</w:t>
            </w:r>
            <w:r w:rsidRPr="00895810">
              <w:rPr>
                <w:rFonts w:ascii="IBM Plex Sans Light" w:hAnsi="IBM Plex Sans Light"/>
                <w:color w:val="3D7FE0" w:themeColor="accent1"/>
              </w:rPr>
              <w:t>hare</w:t>
            </w:r>
          </w:p>
        </w:tc>
        <w:tc>
          <w:tcPr>
            <w:tcW w:w="992" w:type="dxa"/>
            <w:tcBorders>
              <w:top w:val="single" w:sz="2" w:space="0" w:color="3D7FE0" w:themeColor="accent1"/>
            </w:tcBorders>
            <w:vAlign w:val="bottom"/>
          </w:tcPr>
          <w:p w14:paraId="42B53151" w14:textId="56148793" w:rsidR="00172228" w:rsidRPr="00895810" w:rsidRDefault="00172228" w:rsidP="00172228">
            <w:pPr>
              <w:pStyle w:val="TableColHeadsBold"/>
              <w:rPr>
                <w:rFonts w:ascii="IBM Plex Sans Light" w:hAnsi="IBM Plex Sans Light"/>
                <w:color w:val="3D7FE0" w:themeColor="accent1"/>
              </w:rPr>
            </w:pPr>
            <w:r>
              <w:rPr>
                <w:rFonts w:ascii="IBM Plex Sans Light" w:hAnsi="IBM Plex Sans Light"/>
                <w:color w:val="3D7FE0" w:themeColor="accent1"/>
              </w:rPr>
              <w:t>100% share</w:t>
            </w:r>
          </w:p>
        </w:tc>
        <w:tc>
          <w:tcPr>
            <w:tcW w:w="851" w:type="dxa"/>
            <w:tcBorders>
              <w:top w:val="single" w:sz="2" w:space="0" w:color="3D7FE0" w:themeColor="accent1"/>
            </w:tcBorders>
            <w:vAlign w:val="bottom"/>
          </w:tcPr>
          <w:p w14:paraId="5FDAB0D4" w14:textId="487F16C9" w:rsidR="00172228" w:rsidRPr="00895810" w:rsidRDefault="00172228" w:rsidP="00172228">
            <w:pPr>
              <w:pStyle w:val="TableColHeadsBold"/>
              <w:tabs>
                <w:tab w:val="clear" w:pos="284"/>
              </w:tabs>
              <w:ind w:left="-151" w:right="0" w:firstLine="45"/>
              <w:rPr>
                <w:rFonts w:ascii="IBM Plex Sans Light" w:hAnsi="IBM Plex Sans Light"/>
                <w:color w:val="3D7FE0" w:themeColor="accent1"/>
              </w:rPr>
            </w:pPr>
            <w:r w:rsidRPr="00895810">
              <w:rPr>
                <w:rFonts w:ascii="IBM Plex Sans Light" w:hAnsi="IBM Plex Sans Light"/>
                <w:color w:val="3D7FE0" w:themeColor="accent1"/>
              </w:rPr>
              <w:t xml:space="preserve">Group </w:t>
            </w:r>
            <w:r>
              <w:rPr>
                <w:rFonts w:ascii="IBM Plex Sans Light" w:hAnsi="IBM Plex Sans Light"/>
                <w:color w:val="3D7FE0" w:themeColor="accent1"/>
              </w:rPr>
              <w:t>s</w:t>
            </w:r>
            <w:r w:rsidRPr="00895810">
              <w:rPr>
                <w:rFonts w:ascii="IBM Plex Sans Light" w:hAnsi="IBM Plex Sans Light"/>
                <w:color w:val="3D7FE0" w:themeColor="accent1"/>
              </w:rPr>
              <w:t>hare</w:t>
            </w:r>
          </w:p>
        </w:tc>
      </w:tr>
      <w:tr w:rsidR="00172228" w:rsidRPr="00895810" w14:paraId="03FDE72C" w14:textId="77777777" w:rsidTr="008B3C5C">
        <w:trPr>
          <w:trHeight w:val="54"/>
        </w:trPr>
        <w:tc>
          <w:tcPr>
            <w:tcW w:w="3544" w:type="dxa"/>
            <w:tcBorders>
              <w:bottom w:val="single" w:sz="2" w:space="0" w:color="3D7FE0" w:themeColor="accent1"/>
            </w:tcBorders>
            <w:tcMar>
              <w:left w:w="0" w:type="dxa"/>
              <w:bottom w:w="28" w:type="dxa"/>
              <w:right w:w="0" w:type="dxa"/>
            </w:tcMar>
            <w:vAlign w:val="bottom"/>
          </w:tcPr>
          <w:p w14:paraId="4B5E33A1" w14:textId="77777777" w:rsidR="00172228" w:rsidRPr="00895810" w:rsidRDefault="00172228" w:rsidP="00172228">
            <w:pPr>
              <w:pStyle w:val="TableColHeadsBold"/>
              <w:rPr>
                <w:rFonts w:ascii="IBM Plex Sans Light" w:hAnsi="IBM Plex Sans Light"/>
              </w:rPr>
            </w:pPr>
          </w:p>
        </w:tc>
        <w:tc>
          <w:tcPr>
            <w:tcW w:w="992" w:type="dxa"/>
            <w:tcBorders>
              <w:bottom w:val="single" w:sz="2" w:space="0" w:color="3D7FE0" w:themeColor="accent1"/>
            </w:tcBorders>
            <w:vAlign w:val="bottom"/>
          </w:tcPr>
          <w:p w14:paraId="475CB121" w14:textId="0B2A3290" w:rsidR="00172228" w:rsidRPr="00895810" w:rsidRDefault="00172228" w:rsidP="00172228">
            <w:pPr>
              <w:pStyle w:val="TableColHeadsBold"/>
              <w:rPr>
                <w:rFonts w:ascii="IBM Plex Sans Light" w:hAnsi="IBM Plex Sans Light"/>
              </w:rPr>
            </w:pPr>
            <w:r w:rsidRPr="00895810">
              <w:rPr>
                <w:rFonts w:ascii="IBM Plex Sans Light" w:hAnsi="IBM Plex Sans Light"/>
                <w:color w:val="3D7FE0" w:themeColor="accent1"/>
              </w:rPr>
              <w:t xml:space="preserve">£m </w:t>
            </w:r>
          </w:p>
        </w:tc>
        <w:tc>
          <w:tcPr>
            <w:tcW w:w="993" w:type="dxa"/>
            <w:tcBorders>
              <w:bottom w:val="single" w:sz="2" w:space="0" w:color="3D7FE0" w:themeColor="accent1"/>
            </w:tcBorders>
            <w:vAlign w:val="bottom"/>
          </w:tcPr>
          <w:p w14:paraId="5FC45F4E" w14:textId="293EBAF7" w:rsidR="00172228" w:rsidRPr="00322CD9" w:rsidRDefault="00172228" w:rsidP="0017222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992" w:type="dxa"/>
            <w:tcBorders>
              <w:bottom w:val="single" w:sz="2" w:space="0" w:color="3D7FE0" w:themeColor="accent1"/>
            </w:tcBorders>
            <w:vAlign w:val="bottom"/>
          </w:tcPr>
          <w:p w14:paraId="77EF95B4" w14:textId="3E4B09D1" w:rsidR="00172228" w:rsidRPr="00322CD9" w:rsidRDefault="00172228" w:rsidP="00172228">
            <w:pPr>
              <w:pStyle w:val="TableColHeadsBold"/>
              <w:rPr>
                <w:rFonts w:ascii="IBM Plex Sans Light" w:hAnsi="IBM Plex Sans Light"/>
                <w:color w:val="3D7FE0" w:themeColor="accent1"/>
              </w:rPr>
            </w:pPr>
            <w:r w:rsidRPr="00322CD9">
              <w:rPr>
                <w:rFonts w:ascii="IBM Plex Sans Light" w:hAnsi="IBM Plex Sans Light"/>
                <w:color w:val="3D7FE0" w:themeColor="accent1"/>
              </w:rPr>
              <w:t>£m</w:t>
            </w:r>
          </w:p>
        </w:tc>
        <w:tc>
          <w:tcPr>
            <w:tcW w:w="992" w:type="dxa"/>
            <w:tcBorders>
              <w:bottom w:val="single" w:sz="2" w:space="0" w:color="3D7FE0" w:themeColor="accent1"/>
            </w:tcBorders>
            <w:vAlign w:val="bottom"/>
          </w:tcPr>
          <w:p w14:paraId="08149427" w14:textId="0E0ECF46" w:rsidR="00172228" w:rsidRPr="00895810" w:rsidRDefault="00172228" w:rsidP="0017222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992" w:type="dxa"/>
            <w:tcBorders>
              <w:bottom w:val="single" w:sz="2" w:space="0" w:color="3D7FE0" w:themeColor="accent1"/>
            </w:tcBorders>
            <w:vAlign w:val="bottom"/>
          </w:tcPr>
          <w:p w14:paraId="5BC4F469" w14:textId="4C984179" w:rsidR="00172228" w:rsidRPr="00895810" w:rsidRDefault="00172228" w:rsidP="00172228">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1" w:type="dxa"/>
            <w:tcBorders>
              <w:bottom w:val="single" w:sz="2" w:space="0" w:color="3D7FE0" w:themeColor="accent1"/>
            </w:tcBorders>
            <w:vAlign w:val="bottom"/>
          </w:tcPr>
          <w:p w14:paraId="42E59A85" w14:textId="41E94D95" w:rsidR="00172228" w:rsidRPr="00895810" w:rsidRDefault="00172228" w:rsidP="00172228">
            <w:pPr>
              <w:pStyle w:val="TableColHeadsBold"/>
              <w:tabs>
                <w:tab w:val="clear" w:pos="284"/>
              </w:tabs>
              <w:ind w:right="0"/>
              <w:rPr>
                <w:rFonts w:ascii="IBM Plex Sans Light" w:hAnsi="IBM Plex Sans Light"/>
                <w:color w:val="3D7FE0" w:themeColor="accent1"/>
              </w:rPr>
            </w:pPr>
            <w:r w:rsidRPr="00895810">
              <w:rPr>
                <w:rFonts w:ascii="IBM Plex Sans Light" w:hAnsi="IBM Plex Sans Light"/>
                <w:color w:val="3D7FE0" w:themeColor="accent1"/>
              </w:rPr>
              <w:t xml:space="preserve">£m </w:t>
            </w:r>
          </w:p>
        </w:tc>
      </w:tr>
      <w:tr w:rsidR="00172228" w:rsidRPr="00895810" w14:paraId="48CB88BB" w14:textId="77777777" w:rsidTr="008B3C5C">
        <w:trPr>
          <w:trHeight w:val="170"/>
        </w:trPr>
        <w:tc>
          <w:tcPr>
            <w:tcW w:w="3544" w:type="dxa"/>
            <w:tcBorders>
              <w:top w:val="single" w:sz="2" w:space="0" w:color="3D7FE0" w:themeColor="accent1"/>
              <w:bottom w:val="single" w:sz="2" w:space="0" w:color="3D7FE0" w:themeColor="accent1"/>
            </w:tcBorders>
            <w:tcMar>
              <w:left w:w="0" w:type="dxa"/>
              <w:right w:w="0" w:type="dxa"/>
            </w:tcMar>
            <w:vAlign w:val="bottom"/>
          </w:tcPr>
          <w:p w14:paraId="4545718D" w14:textId="77777777" w:rsidR="00172228" w:rsidRPr="00895810" w:rsidRDefault="00172228" w:rsidP="00172228">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Gross rental income</w:t>
            </w:r>
          </w:p>
        </w:tc>
        <w:tc>
          <w:tcPr>
            <w:tcW w:w="992" w:type="dxa"/>
            <w:tcBorders>
              <w:top w:val="single" w:sz="2" w:space="0" w:color="3D7FE0" w:themeColor="accent1"/>
              <w:bottom w:val="single" w:sz="2" w:space="0" w:color="3D7FE0" w:themeColor="accent1"/>
            </w:tcBorders>
          </w:tcPr>
          <w:p w14:paraId="18F19D6F" w14:textId="008CC6D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482.7</w:t>
            </w:r>
          </w:p>
        </w:tc>
        <w:tc>
          <w:tcPr>
            <w:tcW w:w="993" w:type="dxa"/>
            <w:tcBorders>
              <w:top w:val="single" w:sz="2" w:space="0" w:color="3D7FE0" w:themeColor="accent1"/>
              <w:bottom w:val="single" w:sz="2" w:space="0" w:color="3D7FE0" w:themeColor="accent1"/>
            </w:tcBorders>
          </w:tcPr>
          <w:p w14:paraId="26776A3E" w14:textId="0371C74D"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162.4</w:t>
            </w:r>
          </w:p>
        </w:tc>
        <w:tc>
          <w:tcPr>
            <w:tcW w:w="992" w:type="dxa"/>
            <w:tcBorders>
              <w:top w:val="single" w:sz="2" w:space="0" w:color="3D7FE0" w:themeColor="accent1"/>
              <w:bottom w:val="single" w:sz="2" w:space="0" w:color="3D7FE0" w:themeColor="accent1"/>
            </w:tcBorders>
          </w:tcPr>
          <w:p w14:paraId="14220811" w14:textId="0B891F03"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4.8</w:t>
            </w:r>
          </w:p>
        </w:tc>
        <w:tc>
          <w:tcPr>
            <w:tcW w:w="992" w:type="dxa"/>
            <w:tcBorders>
              <w:top w:val="single" w:sz="2" w:space="0" w:color="3D7FE0" w:themeColor="accent1"/>
              <w:bottom w:val="single" w:sz="2" w:space="0" w:color="3D7FE0" w:themeColor="accent1"/>
            </w:tcBorders>
          </w:tcPr>
          <w:p w14:paraId="29F57BD4" w14:textId="1C023615"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c>
          <w:tcPr>
            <w:tcW w:w="992" w:type="dxa"/>
            <w:tcBorders>
              <w:top w:val="single" w:sz="2" w:space="0" w:color="3D7FE0" w:themeColor="accent1"/>
              <w:bottom w:val="single" w:sz="2" w:space="0" w:color="3D7FE0" w:themeColor="accent1"/>
            </w:tcBorders>
          </w:tcPr>
          <w:p w14:paraId="364075C9" w14:textId="188463CD"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487.5</w:t>
            </w:r>
          </w:p>
        </w:tc>
        <w:tc>
          <w:tcPr>
            <w:tcW w:w="851" w:type="dxa"/>
            <w:tcBorders>
              <w:top w:val="single" w:sz="2" w:space="0" w:color="3D7FE0" w:themeColor="accent1"/>
              <w:bottom w:val="single" w:sz="2" w:space="0" w:color="3D7FE0" w:themeColor="accent1"/>
            </w:tcBorders>
          </w:tcPr>
          <w:p w14:paraId="53799313" w14:textId="7AF2376F"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163.6</w:t>
            </w:r>
          </w:p>
        </w:tc>
      </w:tr>
      <w:tr w:rsidR="00172228" w:rsidRPr="00895810" w14:paraId="3AEFC9EA" w14:textId="77777777" w:rsidTr="008B3C5C">
        <w:trPr>
          <w:trHeight w:val="182"/>
        </w:trPr>
        <w:tc>
          <w:tcPr>
            <w:tcW w:w="3544" w:type="dxa"/>
            <w:tcBorders>
              <w:top w:val="single" w:sz="2" w:space="0" w:color="3D7FE0" w:themeColor="accent1"/>
            </w:tcBorders>
            <w:tcMar>
              <w:left w:w="0" w:type="dxa"/>
              <w:right w:w="0" w:type="dxa"/>
            </w:tcMar>
            <w:vAlign w:val="bottom"/>
          </w:tcPr>
          <w:p w14:paraId="369221E9" w14:textId="77777777" w:rsidR="00172228" w:rsidRPr="00895810" w:rsidRDefault="00172228" w:rsidP="00172228">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Net rental income</w:t>
            </w:r>
          </w:p>
        </w:tc>
        <w:tc>
          <w:tcPr>
            <w:tcW w:w="992" w:type="dxa"/>
            <w:tcBorders>
              <w:top w:val="single" w:sz="2" w:space="0" w:color="3D7FE0" w:themeColor="accent1"/>
            </w:tcBorders>
          </w:tcPr>
          <w:p w14:paraId="6A67A0A0" w14:textId="39459AE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330.6</w:t>
            </w:r>
          </w:p>
        </w:tc>
        <w:tc>
          <w:tcPr>
            <w:tcW w:w="993" w:type="dxa"/>
            <w:tcBorders>
              <w:top w:val="single" w:sz="2" w:space="0" w:color="3D7FE0" w:themeColor="accent1"/>
            </w:tcBorders>
          </w:tcPr>
          <w:p w14:paraId="2B2F35BD" w14:textId="38FF6F67"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114.5</w:t>
            </w:r>
          </w:p>
        </w:tc>
        <w:tc>
          <w:tcPr>
            <w:tcW w:w="992" w:type="dxa"/>
            <w:tcBorders>
              <w:top w:val="single" w:sz="2" w:space="0" w:color="3D7FE0" w:themeColor="accent1"/>
            </w:tcBorders>
          </w:tcPr>
          <w:p w14:paraId="1F2BB606" w14:textId="4E33902F"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4.6</w:t>
            </w:r>
          </w:p>
        </w:tc>
        <w:tc>
          <w:tcPr>
            <w:tcW w:w="992" w:type="dxa"/>
            <w:tcBorders>
              <w:top w:val="single" w:sz="2" w:space="0" w:color="3D7FE0" w:themeColor="accent1"/>
            </w:tcBorders>
          </w:tcPr>
          <w:p w14:paraId="072AF85F" w14:textId="3B93F7E2"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c>
          <w:tcPr>
            <w:tcW w:w="992" w:type="dxa"/>
            <w:tcBorders>
              <w:top w:val="single" w:sz="2" w:space="0" w:color="3D7FE0" w:themeColor="accent1"/>
            </w:tcBorders>
          </w:tcPr>
          <w:p w14:paraId="54ADBD8F" w14:textId="499C2B03"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335.2</w:t>
            </w:r>
          </w:p>
        </w:tc>
        <w:tc>
          <w:tcPr>
            <w:tcW w:w="851" w:type="dxa"/>
            <w:tcBorders>
              <w:top w:val="single" w:sz="2" w:space="0" w:color="3D7FE0" w:themeColor="accent1"/>
            </w:tcBorders>
          </w:tcPr>
          <w:p w14:paraId="2F7B0CB8" w14:textId="0E70D025"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115.7</w:t>
            </w:r>
          </w:p>
        </w:tc>
      </w:tr>
      <w:tr w:rsidR="00172228" w:rsidRPr="00895810" w14:paraId="4B784F92" w14:textId="77777777" w:rsidTr="008B3C5C">
        <w:trPr>
          <w:trHeight w:val="170"/>
        </w:trPr>
        <w:tc>
          <w:tcPr>
            <w:tcW w:w="3544" w:type="dxa"/>
            <w:tcBorders>
              <w:bottom w:val="single" w:sz="2" w:space="0" w:color="3D7FE0" w:themeColor="accent1"/>
            </w:tcBorders>
            <w:tcMar>
              <w:left w:w="0" w:type="dxa"/>
              <w:right w:w="0" w:type="dxa"/>
            </w:tcMar>
            <w:vAlign w:val="bottom"/>
          </w:tcPr>
          <w:p w14:paraId="10CB9C24" w14:textId="77777777" w:rsidR="00172228" w:rsidRPr="00895810" w:rsidRDefault="00172228" w:rsidP="00172228">
            <w:pPr>
              <w:pStyle w:val="Tabletext"/>
              <w:rPr>
                <w:rFonts w:ascii="IBM Plex Sans Light" w:hAnsi="IBM Plex Sans Light"/>
                <w:spacing w:val="-4"/>
                <w:sz w:val="18"/>
                <w:szCs w:val="18"/>
              </w:rPr>
            </w:pPr>
            <w:r w:rsidRPr="00895810">
              <w:rPr>
                <w:rFonts w:ascii="IBM Plex Sans Light" w:hAnsi="IBM Plex Sans Light"/>
                <w:spacing w:val="-4"/>
                <w:sz w:val="18"/>
                <w:szCs w:val="18"/>
              </w:rPr>
              <w:t>Administration expenses</w:t>
            </w:r>
          </w:p>
        </w:tc>
        <w:tc>
          <w:tcPr>
            <w:tcW w:w="992" w:type="dxa"/>
            <w:tcBorders>
              <w:bottom w:val="single" w:sz="2" w:space="0" w:color="3D7FE0" w:themeColor="accent1"/>
            </w:tcBorders>
          </w:tcPr>
          <w:p w14:paraId="5BF0D5EF" w14:textId="18EDC900"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(156.9)</w:t>
            </w:r>
          </w:p>
        </w:tc>
        <w:tc>
          <w:tcPr>
            <w:tcW w:w="993" w:type="dxa"/>
            <w:tcBorders>
              <w:bottom w:val="single" w:sz="2" w:space="0" w:color="3D7FE0" w:themeColor="accent1"/>
            </w:tcBorders>
          </w:tcPr>
          <w:p w14:paraId="61926765" w14:textId="6B812E62"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(51.4)</w:t>
            </w:r>
          </w:p>
        </w:tc>
        <w:tc>
          <w:tcPr>
            <w:tcW w:w="992" w:type="dxa"/>
            <w:tcBorders>
              <w:bottom w:val="single" w:sz="2" w:space="0" w:color="3D7FE0" w:themeColor="accent1"/>
            </w:tcBorders>
          </w:tcPr>
          <w:p w14:paraId="6E31C779" w14:textId="4D2D6542" w:rsidR="00172228" w:rsidRPr="00024B10" w:rsidRDefault="00172228" w:rsidP="008B3C5C">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 xml:space="preserve">– </w:t>
            </w:r>
          </w:p>
        </w:tc>
        <w:tc>
          <w:tcPr>
            <w:tcW w:w="992" w:type="dxa"/>
            <w:tcBorders>
              <w:bottom w:val="single" w:sz="2" w:space="0" w:color="3D7FE0" w:themeColor="accent1"/>
            </w:tcBorders>
          </w:tcPr>
          <w:p w14:paraId="54F12A97" w14:textId="53C14D3A" w:rsidR="00172228" w:rsidRPr="00024B10" w:rsidRDefault="00172228" w:rsidP="008B3C5C">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bottom w:val="single" w:sz="2" w:space="0" w:color="3D7FE0" w:themeColor="accent1"/>
            </w:tcBorders>
          </w:tcPr>
          <w:p w14:paraId="51D8FE85" w14:textId="168705AB"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(156.9)</w:t>
            </w:r>
          </w:p>
        </w:tc>
        <w:tc>
          <w:tcPr>
            <w:tcW w:w="851" w:type="dxa"/>
            <w:tcBorders>
              <w:bottom w:val="single" w:sz="2" w:space="0" w:color="3D7FE0" w:themeColor="accent1"/>
            </w:tcBorders>
          </w:tcPr>
          <w:p w14:paraId="5427D0F0" w14:textId="279E1E53"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(51.4)</w:t>
            </w:r>
          </w:p>
        </w:tc>
      </w:tr>
      <w:tr w:rsidR="00172228" w:rsidRPr="00895810" w14:paraId="19440CF6" w14:textId="77777777" w:rsidTr="008B3C5C">
        <w:trPr>
          <w:trHeight w:val="170"/>
        </w:trPr>
        <w:tc>
          <w:tcPr>
            <w:tcW w:w="3544" w:type="dxa"/>
            <w:tcBorders>
              <w:top w:val="single" w:sz="2" w:space="0" w:color="3D7FE0" w:themeColor="accent1"/>
            </w:tcBorders>
            <w:tcMar>
              <w:left w:w="0" w:type="dxa"/>
              <w:right w:w="0" w:type="dxa"/>
            </w:tcMar>
            <w:vAlign w:val="bottom"/>
          </w:tcPr>
          <w:p w14:paraId="4B17D25B" w14:textId="77777777" w:rsidR="00172228" w:rsidRPr="00895810" w:rsidRDefault="00172228" w:rsidP="00172228">
            <w:pPr>
              <w:pStyle w:val="TabletextBold"/>
              <w:rPr>
                <w:rFonts w:ascii="IBM Plex Sans Light" w:hAnsi="IBM Plex Sans Light"/>
                <w:b w:val="0"/>
                <w:color w:val="3D7FE0" w:themeColor="accent1"/>
                <w:sz w:val="18"/>
                <w:szCs w:val="18"/>
              </w:rPr>
            </w:pPr>
            <w:r w:rsidRPr="00895810">
              <w:rPr>
                <w:rFonts w:ascii="IBM Plex Sans Light" w:hAnsi="IBM Plex Sans Light"/>
                <w:bCs/>
                <w:color w:val="3D7FE0" w:themeColor="accent1"/>
                <w:sz w:val="18"/>
                <w:szCs w:val="18"/>
              </w:rPr>
              <w:t>Profit from operating activities</w:t>
            </w:r>
          </w:p>
        </w:tc>
        <w:tc>
          <w:tcPr>
            <w:tcW w:w="992" w:type="dxa"/>
            <w:tcBorders>
              <w:top w:val="single" w:sz="2" w:space="0" w:color="3D7FE0" w:themeColor="accent1"/>
            </w:tcBorders>
          </w:tcPr>
          <w:p w14:paraId="20F4A191" w14:textId="77FE1337"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173.7</w:t>
            </w:r>
          </w:p>
        </w:tc>
        <w:tc>
          <w:tcPr>
            <w:tcW w:w="993" w:type="dxa"/>
            <w:tcBorders>
              <w:top w:val="single" w:sz="2" w:space="0" w:color="3D7FE0" w:themeColor="accent1"/>
            </w:tcBorders>
          </w:tcPr>
          <w:p w14:paraId="2B51E8CC" w14:textId="61F78D14"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63.1</w:t>
            </w:r>
          </w:p>
        </w:tc>
        <w:tc>
          <w:tcPr>
            <w:tcW w:w="992" w:type="dxa"/>
            <w:tcBorders>
              <w:top w:val="single" w:sz="2" w:space="0" w:color="3D7FE0" w:themeColor="accent1"/>
            </w:tcBorders>
          </w:tcPr>
          <w:p w14:paraId="6BEDC506" w14:textId="48958667"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4.6</w:t>
            </w:r>
          </w:p>
        </w:tc>
        <w:tc>
          <w:tcPr>
            <w:tcW w:w="992" w:type="dxa"/>
            <w:tcBorders>
              <w:top w:val="single" w:sz="2" w:space="0" w:color="3D7FE0" w:themeColor="accent1"/>
            </w:tcBorders>
          </w:tcPr>
          <w:p w14:paraId="50575541" w14:textId="6F040FDF"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c>
          <w:tcPr>
            <w:tcW w:w="992" w:type="dxa"/>
            <w:tcBorders>
              <w:top w:val="single" w:sz="2" w:space="0" w:color="3D7FE0" w:themeColor="accent1"/>
            </w:tcBorders>
          </w:tcPr>
          <w:p w14:paraId="4BFB6CED" w14:textId="42FBC8E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178.3</w:t>
            </w:r>
          </w:p>
        </w:tc>
        <w:tc>
          <w:tcPr>
            <w:tcW w:w="851" w:type="dxa"/>
            <w:tcBorders>
              <w:top w:val="single" w:sz="2" w:space="0" w:color="3D7FE0" w:themeColor="accent1"/>
            </w:tcBorders>
          </w:tcPr>
          <w:p w14:paraId="45CEB568" w14:textId="478A0D71"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64.3</w:t>
            </w:r>
          </w:p>
        </w:tc>
      </w:tr>
      <w:tr w:rsidR="00172228" w:rsidRPr="00895810" w14:paraId="5E709E97" w14:textId="77777777" w:rsidTr="008B3C5C">
        <w:trPr>
          <w:trHeight w:val="170"/>
        </w:trPr>
        <w:tc>
          <w:tcPr>
            <w:tcW w:w="3544" w:type="dxa"/>
            <w:tcBorders>
              <w:bottom w:val="single" w:sz="2" w:space="0" w:color="3D7FE0" w:themeColor="accent1"/>
            </w:tcBorders>
            <w:tcMar>
              <w:left w:w="0" w:type="dxa"/>
              <w:right w:w="0" w:type="dxa"/>
            </w:tcMar>
            <w:vAlign w:val="bottom"/>
          </w:tcPr>
          <w:p w14:paraId="47B53FCD" w14:textId="77777777" w:rsidR="00172228" w:rsidRPr="00895810" w:rsidRDefault="00172228" w:rsidP="00172228">
            <w:pPr>
              <w:pStyle w:val="TabletextBold"/>
              <w:rPr>
                <w:rFonts w:ascii="IBM Plex Sans Light" w:hAnsi="IBM Plex Sans Light"/>
                <w:b w:val="0"/>
                <w:bCs/>
                <w:sz w:val="18"/>
                <w:szCs w:val="18"/>
              </w:rPr>
            </w:pPr>
            <w:r w:rsidRPr="00895810">
              <w:rPr>
                <w:rFonts w:ascii="IBM Plex Sans Light" w:hAnsi="IBM Plex Sans Light"/>
                <w:b w:val="0"/>
                <w:bCs/>
                <w:sz w:val="18"/>
                <w:szCs w:val="18"/>
              </w:rPr>
              <w:t>Revaluation gains/(losses) on properties</w:t>
            </w:r>
          </w:p>
        </w:tc>
        <w:tc>
          <w:tcPr>
            <w:tcW w:w="992" w:type="dxa"/>
            <w:tcBorders>
              <w:bottom w:val="single" w:sz="2" w:space="0" w:color="3D7FE0" w:themeColor="accent1"/>
            </w:tcBorders>
          </w:tcPr>
          <w:p w14:paraId="2D1745FF" w14:textId="1632752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15.8</w:t>
            </w:r>
          </w:p>
        </w:tc>
        <w:tc>
          <w:tcPr>
            <w:tcW w:w="993" w:type="dxa"/>
            <w:tcBorders>
              <w:bottom w:val="single" w:sz="2" w:space="0" w:color="3D7FE0" w:themeColor="accent1"/>
            </w:tcBorders>
          </w:tcPr>
          <w:p w14:paraId="7DE394CB" w14:textId="4CCB0224" w:rsidR="00172228" w:rsidRPr="00024B10" w:rsidRDefault="000D42FA" w:rsidP="008B3C5C">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(7.7)</w:t>
            </w:r>
          </w:p>
        </w:tc>
        <w:tc>
          <w:tcPr>
            <w:tcW w:w="992" w:type="dxa"/>
            <w:tcBorders>
              <w:bottom w:val="single" w:sz="2" w:space="0" w:color="3D7FE0" w:themeColor="accent1"/>
            </w:tcBorders>
          </w:tcPr>
          <w:p w14:paraId="0F5D6488" w14:textId="005CA99D"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bottom w:val="single" w:sz="2" w:space="0" w:color="3D7FE0" w:themeColor="accent1"/>
            </w:tcBorders>
          </w:tcPr>
          <w:p w14:paraId="48D00C21" w14:textId="28936BC9"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bottom w:val="single" w:sz="2" w:space="0" w:color="3D7FE0" w:themeColor="accent1"/>
            </w:tcBorders>
          </w:tcPr>
          <w:p w14:paraId="080177D7" w14:textId="416E8ACF"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15.8</w:t>
            </w:r>
          </w:p>
        </w:tc>
        <w:tc>
          <w:tcPr>
            <w:tcW w:w="851" w:type="dxa"/>
            <w:tcBorders>
              <w:bottom w:val="single" w:sz="2" w:space="0" w:color="3D7FE0" w:themeColor="accent1"/>
            </w:tcBorders>
          </w:tcPr>
          <w:p w14:paraId="796625AA" w14:textId="48E2A295"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(7.7)</w:t>
            </w:r>
          </w:p>
        </w:tc>
      </w:tr>
      <w:tr w:rsidR="00172228" w:rsidRPr="00895810" w14:paraId="2A49E667" w14:textId="77777777" w:rsidTr="008B3C5C">
        <w:trPr>
          <w:trHeight w:val="170"/>
        </w:trPr>
        <w:tc>
          <w:tcPr>
            <w:tcW w:w="3544" w:type="dxa"/>
            <w:tcBorders>
              <w:top w:val="single" w:sz="2" w:space="0" w:color="3D7FE0" w:themeColor="accent1"/>
            </w:tcBorders>
            <w:tcMar>
              <w:left w:w="0" w:type="dxa"/>
              <w:right w:w="0" w:type="dxa"/>
            </w:tcMar>
            <w:vAlign w:val="bottom"/>
          </w:tcPr>
          <w:p w14:paraId="6BFB1CED" w14:textId="6CA2074A" w:rsidR="00172228" w:rsidRPr="00895810" w:rsidRDefault="00172228" w:rsidP="00172228">
            <w:pPr>
              <w:pStyle w:val="Tabletex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Operating profit</w:t>
            </w:r>
          </w:p>
        </w:tc>
        <w:tc>
          <w:tcPr>
            <w:tcW w:w="992" w:type="dxa"/>
            <w:tcBorders>
              <w:top w:val="single" w:sz="2" w:space="0" w:color="3D7FE0" w:themeColor="accent1"/>
            </w:tcBorders>
          </w:tcPr>
          <w:p w14:paraId="1F1A2FD3" w14:textId="3984111C"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189.5</w:t>
            </w:r>
          </w:p>
        </w:tc>
        <w:tc>
          <w:tcPr>
            <w:tcW w:w="993" w:type="dxa"/>
            <w:tcBorders>
              <w:top w:val="single" w:sz="2" w:space="0" w:color="3D7FE0" w:themeColor="accent1"/>
            </w:tcBorders>
          </w:tcPr>
          <w:p w14:paraId="32B869D4" w14:textId="71A37AD0"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55.4</w:t>
            </w:r>
          </w:p>
        </w:tc>
        <w:tc>
          <w:tcPr>
            <w:tcW w:w="992" w:type="dxa"/>
            <w:tcBorders>
              <w:top w:val="single" w:sz="2" w:space="0" w:color="3D7FE0" w:themeColor="accent1"/>
            </w:tcBorders>
          </w:tcPr>
          <w:p w14:paraId="1B919F4B" w14:textId="1ED028C2"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4.6</w:t>
            </w:r>
          </w:p>
        </w:tc>
        <w:tc>
          <w:tcPr>
            <w:tcW w:w="992" w:type="dxa"/>
            <w:tcBorders>
              <w:top w:val="single" w:sz="2" w:space="0" w:color="3D7FE0" w:themeColor="accent1"/>
            </w:tcBorders>
          </w:tcPr>
          <w:p w14:paraId="4B14F78B" w14:textId="7837FB14"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c>
          <w:tcPr>
            <w:tcW w:w="992" w:type="dxa"/>
            <w:tcBorders>
              <w:top w:val="single" w:sz="2" w:space="0" w:color="3D7FE0" w:themeColor="accent1"/>
            </w:tcBorders>
          </w:tcPr>
          <w:p w14:paraId="4EADD8E7" w14:textId="706E1B29"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194.1</w:t>
            </w:r>
          </w:p>
        </w:tc>
        <w:tc>
          <w:tcPr>
            <w:tcW w:w="851" w:type="dxa"/>
            <w:tcBorders>
              <w:top w:val="single" w:sz="2" w:space="0" w:color="3D7FE0" w:themeColor="accent1"/>
            </w:tcBorders>
          </w:tcPr>
          <w:p w14:paraId="138DC798" w14:textId="5FC15C2E"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56.6</w:t>
            </w:r>
          </w:p>
        </w:tc>
      </w:tr>
      <w:tr w:rsidR="00172228" w:rsidRPr="00895810" w14:paraId="5D5939AA" w14:textId="77777777" w:rsidTr="008B3C5C">
        <w:trPr>
          <w:trHeight w:hRule="exact" w:val="113"/>
        </w:trPr>
        <w:tc>
          <w:tcPr>
            <w:tcW w:w="3544" w:type="dxa"/>
            <w:tcMar>
              <w:left w:w="0" w:type="dxa"/>
              <w:right w:w="0" w:type="dxa"/>
            </w:tcMar>
            <w:vAlign w:val="bottom"/>
          </w:tcPr>
          <w:p w14:paraId="7C6CDE7A" w14:textId="77777777" w:rsidR="00172228" w:rsidRPr="00895810" w:rsidRDefault="00172228" w:rsidP="00172228">
            <w:pPr>
              <w:pStyle w:val="Tabletext"/>
              <w:rPr>
                <w:rFonts w:ascii="IBM Plex Sans Light" w:hAnsi="IBM Plex Sans Light"/>
                <w:spacing w:val="-4"/>
                <w:sz w:val="14"/>
                <w:szCs w:val="14"/>
              </w:rPr>
            </w:pPr>
          </w:p>
        </w:tc>
        <w:tc>
          <w:tcPr>
            <w:tcW w:w="992" w:type="dxa"/>
          </w:tcPr>
          <w:p w14:paraId="6325CBCB"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3" w:type="dxa"/>
          </w:tcPr>
          <w:p w14:paraId="6574C4C7"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vAlign w:val="bottom"/>
          </w:tcPr>
          <w:p w14:paraId="779FEDB2" w14:textId="67C0AB33"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Pr>
          <w:p w14:paraId="2DCF9058"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vAlign w:val="bottom"/>
          </w:tcPr>
          <w:p w14:paraId="34C087BD" w14:textId="7E696EE0" w:rsidR="00172228" w:rsidRPr="00024B10" w:rsidRDefault="00172228" w:rsidP="00172228">
            <w:pPr>
              <w:pStyle w:val="TableFiguresBold"/>
              <w:rPr>
                <w:rFonts w:ascii="IBM Plex Sans Medium" w:hAnsi="IBM Plex Sans Medium"/>
                <w:color w:val="3D7FE0" w:themeColor="accent1"/>
                <w:sz w:val="18"/>
                <w:szCs w:val="18"/>
              </w:rPr>
            </w:pPr>
          </w:p>
        </w:tc>
        <w:tc>
          <w:tcPr>
            <w:tcW w:w="851" w:type="dxa"/>
            <w:vAlign w:val="bottom"/>
          </w:tcPr>
          <w:p w14:paraId="59242AE9" w14:textId="77777777" w:rsidR="00172228" w:rsidRPr="00024B10" w:rsidDel="006F6E7C" w:rsidRDefault="00172228" w:rsidP="00172228">
            <w:pPr>
              <w:pStyle w:val="TableFiguresBold"/>
              <w:rPr>
                <w:rFonts w:ascii="IBM Plex Sans Medium" w:hAnsi="IBM Plex Sans Medium"/>
                <w:color w:val="3D7FE0" w:themeColor="accent1"/>
                <w:sz w:val="18"/>
                <w:szCs w:val="18"/>
              </w:rPr>
            </w:pPr>
          </w:p>
        </w:tc>
      </w:tr>
      <w:tr w:rsidR="00172228" w:rsidRPr="00895810" w14:paraId="2A821932" w14:textId="77777777" w:rsidTr="008B3C5C">
        <w:trPr>
          <w:trHeight w:val="170"/>
        </w:trPr>
        <w:tc>
          <w:tcPr>
            <w:tcW w:w="3544" w:type="dxa"/>
            <w:tcMar>
              <w:left w:w="0" w:type="dxa"/>
              <w:right w:w="0" w:type="dxa"/>
            </w:tcMar>
            <w:vAlign w:val="bottom"/>
          </w:tcPr>
          <w:p w14:paraId="06176379" w14:textId="65412DE0" w:rsidR="00172228" w:rsidRPr="00895810" w:rsidRDefault="00172228" w:rsidP="00172228">
            <w:pPr>
              <w:pStyle w:val="Tabletext"/>
              <w:rPr>
                <w:rFonts w:ascii="IBM Plex Sans Light" w:hAnsi="IBM Plex Sans Light"/>
                <w:spacing w:val="-4"/>
                <w:sz w:val="18"/>
                <w:szCs w:val="18"/>
              </w:rPr>
            </w:pPr>
            <w:r w:rsidRPr="00895810">
              <w:rPr>
                <w:rFonts w:ascii="IBM Plex Sans Light" w:hAnsi="IBM Plex Sans Light"/>
                <w:spacing w:val="-4"/>
                <w:sz w:val="18"/>
                <w:szCs w:val="18"/>
              </w:rPr>
              <w:t>Interest costs</w:t>
            </w:r>
          </w:p>
        </w:tc>
        <w:tc>
          <w:tcPr>
            <w:tcW w:w="992" w:type="dxa"/>
          </w:tcPr>
          <w:p w14:paraId="1AE3FD52" w14:textId="301BF1E6"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(97.0)</w:t>
            </w:r>
          </w:p>
        </w:tc>
        <w:tc>
          <w:tcPr>
            <w:tcW w:w="993" w:type="dxa"/>
          </w:tcPr>
          <w:p w14:paraId="6A62142A" w14:textId="777F9007" w:rsidR="00172228" w:rsidRPr="00024B10" w:rsidRDefault="000D42FA" w:rsidP="008B3C5C">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(35.2)</w:t>
            </w:r>
          </w:p>
        </w:tc>
        <w:tc>
          <w:tcPr>
            <w:tcW w:w="992" w:type="dxa"/>
          </w:tcPr>
          <w:p w14:paraId="4A4FDEF1" w14:textId="4BADECCB"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7678A948" w14:textId="1FE9FC40" w:rsidR="00172228" w:rsidRPr="00024B10" w:rsidRDefault="000D42FA" w:rsidP="00B2340B">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039153DB" w14:textId="0EE15B4F"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(97.0)</w:t>
            </w:r>
          </w:p>
        </w:tc>
        <w:tc>
          <w:tcPr>
            <w:tcW w:w="851" w:type="dxa"/>
          </w:tcPr>
          <w:p w14:paraId="794AAA75" w14:textId="3A47BC59"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(35.2)</w:t>
            </w:r>
          </w:p>
        </w:tc>
      </w:tr>
      <w:tr w:rsidR="00172228" w:rsidRPr="00895810" w14:paraId="02A82E9D" w14:textId="77777777" w:rsidTr="008B3C5C">
        <w:trPr>
          <w:trHeight w:val="170"/>
        </w:trPr>
        <w:tc>
          <w:tcPr>
            <w:tcW w:w="3544" w:type="dxa"/>
            <w:tcMar>
              <w:left w:w="0" w:type="dxa"/>
              <w:right w:w="0" w:type="dxa"/>
            </w:tcMar>
            <w:vAlign w:val="bottom"/>
          </w:tcPr>
          <w:p w14:paraId="2FE5CD75" w14:textId="7EE7EA36" w:rsidR="00172228" w:rsidRPr="00895810" w:rsidRDefault="00172228" w:rsidP="00172228">
            <w:pPr>
              <w:pStyle w:val="Tabletext"/>
              <w:ind w:left="142" w:hanging="142"/>
              <w:rPr>
                <w:rFonts w:ascii="IBM Plex Sans Light" w:hAnsi="IBM Plex Sans Light"/>
                <w:spacing w:val="-4"/>
                <w:sz w:val="18"/>
                <w:szCs w:val="18"/>
              </w:rPr>
            </w:pPr>
            <w:r w:rsidRPr="00895810">
              <w:rPr>
                <w:rFonts w:ascii="IBM Plex Sans Light" w:hAnsi="IBM Plex Sans Light"/>
                <w:spacing w:val="-4"/>
                <w:sz w:val="18"/>
                <w:szCs w:val="18"/>
              </w:rPr>
              <w:t>Fair value</w:t>
            </w:r>
            <w:r w:rsidR="00452848">
              <w:rPr>
                <w:rFonts w:ascii="IBM Plex Sans Light" w:hAnsi="IBM Plex Sans Light"/>
                <w:spacing w:val="-4"/>
                <w:sz w:val="18"/>
                <w:szCs w:val="18"/>
              </w:rPr>
              <w:t xml:space="preserve"> losses on</w:t>
            </w:r>
            <w:r w:rsidRPr="00895810">
              <w:rPr>
                <w:rFonts w:ascii="IBM Plex Sans Light" w:hAnsi="IBM Plex Sans Light"/>
                <w:spacing w:val="-4"/>
                <w:sz w:val="18"/>
                <w:szCs w:val="18"/>
              </w:rPr>
              <w:t xml:space="preserve"> derivatives </w:t>
            </w:r>
          </w:p>
        </w:tc>
        <w:tc>
          <w:tcPr>
            <w:tcW w:w="992" w:type="dxa"/>
          </w:tcPr>
          <w:p w14:paraId="5E1B66FD" w14:textId="6D1165B1"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(47.5)</w:t>
            </w:r>
          </w:p>
        </w:tc>
        <w:tc>
          <w:tcPr>
            <w:tcW w:w="993" w:type="dxa"/>
          </w:tcPr>
          <w:p w14:paraId="29141E89" w14:textId="1CCD5277" w:rsidR="00172228" w:rsidRPr="00024B10" w:rsidRDefault="000D42FA" w:rsidP="008B3C5C">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(11.1)</w:t>
            </w:r>
          </w:p>
        </w:tc>
        <w:tc>
          <w:tcPr>
            <w:tcW w:w="992" w:type="dxa"/>
          </w:tcPr>
          <w:p w14:paraId="1E07C6AA" w14:textId="4FAC8917"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2A50F8C6" w14:textId="48765FDA" w:rsidR="00172228" w:rsidRPr="00024B10" w:rsidRDefault="000D42FA" w:rsidP="00B2340B">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2B5D3456" w14:textId="0E032938"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(47.5)</w:t>
            </w:r>
          </w:p>
        </w:tc>
        <w:tc>
          <w:tcPr>
            <w:tcW w:w="851" w:type="dxa"/>
          </w:tcPr>
          <w:p w14:paraId="31AD9325" w14:textId="2B62CB5F" w:rsidR="00172228" w:rsidRPr="00024B10" w:rsidRDefault="00172228" w:rsidP="00172228">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(11.1)</w:t>
            </w:r>
          </w:p>
        </w:tc>
      </w:tr>
      <w:tr w:rsidR="00172228" w:rsidRPr="00895810" w14:paraId="7614636D" w14:textId="77777777" w:rsidTr="008B3C5C">
        <w:trPr>
          <w:trHeight w:val="170"/>
        </w:trPr>
        <w:tc>
          <w:tcPr>
            <w:tcW w:w="3544" w:type="dxa"/>
            <w:tcMar>
              <w:left w:w="0" w:type="dxa"/>
              <w:right w:w="0" w:type="dxa"/>
            </w:tcMar>
            <w:vAlign w:val="bottom"/>
          </w:tcPr>
          <w:p w14:paraId="46F76B73" w14:textId="22112390" w:rsidR="00172228" w:rsidRPr="00895810" w:rsidRDefault="00172228" w:rsidP="00172228">
            <w:pPr>
              <w:pStyle w:val="Tabletext"/>
              <w:ind w:left="142" w:hanging="142"/>
              <w:rPr>
                <w:rFonts w:ascii="IBM Plex Sans Light" w:hAnsi="IBM Plex Sans Light"/>
                <w:spacing w:val="-4"/>
                <w:sz w:val="18"/>
                <w:szCs w:val="18"/>
              </w:rPr>
            </w:pPr>
            <w:r w:rsidRPr="00895810">
              <w:rPr>
                <w:rFonts w:ascii="IBM Plex Sans Light" w:hAnsi="IBM Plex Sans Light"/>
                <w:spacing w:val="-4"/>
                <w:sz w:val="18"/>
                <w:szCs w:val="18"/>
              </w:rPr>
              <w:t xml:space="preserve">Fair value </w:t>
            </w:r>
            <w:r w:rsidR="00452848">
              <w:rPr>
                <w:rFonts w:ascii="IBM Plex Sans Light" w:hAnsi="IBM Plex Sans Light"/>
                <w:spacing w:val="-4"/>
                <w:sz w:val="18"/>
                <w:szCs w:val="18"/>
              </w:rPr>
              <w:t xml:space="preserve">gain on </w:t>
            </w:r>
            <w:r>
              <w:rPr>
                <w:rFonts w:ascii="IBM Plex Sans Light" w:hAnsi="IBM Plex Sans Light"/>
                <w:spacing w:val="-4"/>
                <w:sz w:val="18"/>
                <w:szCs w:val="18"/>
              </w:rPr>
              <w:t>participative</w:t>
            </w:r>
            <w:r w:rsidRPr="00895810">
              <w:rPr>
                <w:rFonts w:ascii="IBM Plex Sans Light" w:hAnsi="IBM Plex Sans Light"/>
                <w:spacing w:val="-4"/>
                <w:sz w:val="18"/>
                <w:szCs w:val="18"/>
              </w:rPr>
              <w:t xml:space="preserve"> loans</w:t>
            </w:r>
          </w:p>
        </w:tc>
        <w:tc>
          <w:tcPr>
            <w:tcW w:w="992" w:type="dxa"/>
          </w:tcPr>
          <w:p w14:paraId="40E41BD0" w14:textId="0820D3B5"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3" w:type="dxa"/>
          </w:tcPr>
          <w:p w14:paraId="628B97AB" w14:textId="3744446B"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15.6</w:t>
            </w:r>
          </w:p>
        </w:tc>
        <w:tc>
          <w:tcPr>
            <w:tcW w:w="992" w:type="dxa"/>
          </w:tcPr>
          <w:p w14:paraId="1CE1EDE0" w14:textId="03E425D2"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51E5C1A9" w14:textId="4CF3D296"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263700D8" w14:textId="7F649CF1"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851" w:type="dxa"/>
          </w:tcPr>
          <w:p w14:paraId="2728286D" w14:textId="6E1ED1F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15.6</w:t>
            </w:r>
          </w:p>
        </w:tc>
      </w:tr>
      <w:tr w:rsidR="00172228" w:rsidRPr="00895810" w14:paraId="581E93A7" w14:textId="77777777" w:rsidTr="008B3C5C">
        <w:trPr>
          <w:trHeight w:val="170"/>
        </w:trPr>
        <w:tc>
          <w:tcPr>
            <w:tcW w:w="3544" w:type="dxa"/>
            <w:tcBorders>
              <w:top w:val="single" w:sz="2" w:space="0" w:color="3D7FE0" w:themeColor="accent1"/>
              <w:bottom w:val="single" w:sz="2" w:space="0" w:color="3D7FE0" w:themeColor="accent1"/>
            </w:tcBorders>
            <w:tcMar>
              <w:left w:w="0" w:type="dxa"/>
              <w:right w:w="0" w:type="dxa"/>
            </w:tcMar>
            <w:vAlign w:val="bottom"/>
          </w:tcPr>
          <w:p w14:paraId="63B9B140" w14:textId="3BA141E2" w:rsidR="00172228" w:rsidRPr="00895810" w:rsidRDefault="00172228" w:rsidP="00172228">
            <w:pPr>
              <w:pStyle w:val="Tabletext"/>
              <w:rPr>
                <w:rFonts w:ascii="IBM Plex Sans Light" w:hAnsi="IBM Plex Sans Light"/>
                <w:spacing w:val="-4"/>
                <w:sz w:val="18"/>
                <w:szCs w:val="18"/>
              </w:rPr>
            </w:pPr>
            <w:r w:rsidRPr="00895810">
              <w:rPr>
                <w:rFonts w:ascii="IBM Plex Sans Light" w:hAnsi="IBM Plex Sans Light"/>
                <w:b/>
                <w:bCs/>
                <w:color w:val="3D7FE0" w:themeColor="accent1"/>
                <w:spacing w:val="-4"/>
                <w:sz w:val="18"/>
                <w:szCs w:val="18"/>
              </w:rPr>
              <w:t xml:space="preserve">Net finance </w:t>
            </w:r>
            <w:r>
              <w:rPr>
                <w:rFonts w:ascii="IBM Plex Sans Light" w:hAnsi="IBM Plex Sans Light"/>
                <w:b/>
                <w:bCs/>
                <w:color w:val="3D7FE0" w:themeColor="accent1"/>
                <w:spacing w:val="-4"/>
                <w:sz w:val="18"/>
                <w:szCs w:val="18"/>
              </w:rPr>
              <w:t>costs</w:t>
            </w:r>
          </w:p>
        </w:tc>
        <w:tc>
          <w:tcPr>
            <w:tcW w:w="992" w:type="dxa"/>
            <w:tcBorders>
              <w:top w:val="single" w:sz="2" w:space="0" w:color="3D7FE0" w:themeColor="accent1"/>
              <w:bottom w:val="single" w:sz="2" w:space="0" w:color="3D7FE0" w:themeColor="accent1"/>
            </w:tcBorders>
          </w:tcPr>
          <w:p w14:paraId="045BB406" w14:textId="2F6A1101"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(144.5)</w:t>
            </w:r>
          </w:p>
        </w:tc>
        <w:tc>
          <w:tcPr>
            <w:tcW w:w="993" w:type="dxa"/>
            <w:tcBorders>
              <w:top w:val="single" w:sz="2" w:space="0" w:color="3D7FE0" w:themeColor="accent1"/>
              <w:bottom w:val="single" w:sz="2" w:space="0" w:color="3D7FE0" w:themeColor="accent1"/>
            </w:tcBorders>
          </w:tcPr>
          <w:p w14:paraId="47B73633" w14:textId="72A51258"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(30.7)</w:t>
            </w:r>
          </w:p>
        </w:tc>
        <w:tc>
          <w:tcPr>
            <w:tcW w:w="992" w:type="dxa"/>
            <w:tcBorders>
              <w:top w:val="single" w:sz="2" w:space="0" w:color="3D7FE0" w:themeColor="accent1"/>
              <w:bottom w:val="single" w:sz="2" w:space="0" w:color="3D7FE0" w:themeColor="accent1"/>
            </w:tcBorders>
          </w:tcPr>
          <w:p w14:paraId="65D1C32F" w14:textId="204665AC"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top w:val="single" w:sz="2" w:space="0" w:color="3D7FE0" w:themeColor="accent1"/>
              <w:bottom w:val="single" w:sz="2" w:space="0" w:color="3D7FE0" w:themeColor="accent1"/>
            </w:tcBorders>
          </w:tcPr>
          <w:p w14:paraId="0F80A617" w14:textId="79EC2934" w:rsidR="00172228" w:rsidRPr="00024B10" w:rsidRDefault="000D42FA" w:rsidP="00B2340B">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top w:val="single" w:sz="2" w:space="0" w:color="3D7FE0" w:themeColor="accent1"/>
              <w:bottom w:val="single" w:sz="2" w:space="0" w:color="3D7FE0" w:themeColor="accent1"/>
            </w:tcBorders>
          </w:tcPr>
          <w:p w14:paraId="574F37E0" w14:textId="764350D3"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(144.5)</w:t>
            </w:r>
          </w:p>
        </w:tc>
        <w:tc>
          <w:tcPr>
            <w:tcW w:w="851" w:type="dxa"/>
            <w:tcBorders>
              <w:top w:val="single" w:sz="2" w:space="0" w:color="3D7FE0" w:themeColor="accent1"/>
              <w:bottom w:val="single" w:sz="2" w:space="0" w:color="3D7FE0" w:themeColor="accent1"/>
            </w:tcBorders>
          </w:tcPr>
          <w:p w14:paraId="6D27B462" w14:textId="425328F1"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(30.7)</w:t>
            </w:r>
          </w:p>
        </w:tc>
      </w:tr>
      <w:tr w:rsidR="00172228" w:rsidRPr="00895810" w14:paraId="779A0903" w14:textId="77777777" w:rsidTr="008B3C5C">
        <w:trPr>
          <w:trHeight w:hRule="exact" w:val="113"/>
        </w:trPr>
        <w:tc>
          <w:tcPr>
            <w:tcW w:w="3544" w:type="dxa"/>
            <w:tcBorders>
              <w:top w:val="single" w:sz="2" w:space="0" w:color="3D7FE0" w:themeColor="accent1"/>
            </w:tcBorders>
            <w:tcMar>
              <w:left w:w="0" w:type="dxa"/>
              <w:right w:w="0" w:type="dxa"/>
            </w:tcMar>
            <w:vAlign w:val="bottom"/>
          </w:tcPr>
          <w:p w14:paraId="20BC1350" w14:textId="77777777" w:rsidR="00172228" w:rsidRPr="00895810" w:rsidRDefault="00172228" w:rsidP="00172228">
            <w:pPr>
              <w:pStyle w:val="Tabletext"/>
              <w:rPr>
                <w:rFonts w:ascii="IBM Plex Sans Light" w:hAnsi="IBM Plex Sans Light"/>
                <w:b/>
                <w:color w:val="3D7FE0" w:themeColor="accent1"/>
                <w:spacing w:val="-4"/>
                <w:sz w:val="18"/>
                <w:szCs w:val="18"/>
              </w:rPr>
            </w:pPr>
          </w:p>
        </w:tc>
        <w:tc>
          <w:tcPr>
            <w:tcW w:w="992" w:type="dxa"/>
            <w:tcBorders>
              <w:top w:val="single" w:sz="2" w:space="0" w:color="3D7FE0" w:themeColor="accent1"/>
            </w:tcBorders>
          </w:tcPr>
          <w:p w14:paraId="5E973460" w14:textId="668CC0EC" w:rsidR="00172228" w:rsidRPr="00024B10" w:rsidRDefault="00172228" w:rsidP="00172228">
            <w:pPr>
              <w:pStyle w:val="TableFiguresBold"/>
              <w:rPr>
                <w:rFonts w:ascii="IBM Plex Sans Medium" w:hAnsi="IBM Plex Sans Medium"/>
                <w:color w:val="3D7FE0" w:themeColor="accent1"/>
                <w:sz w:val="18"/>
                <w:szCs w:val="18"/>
              </w:rPr>
            </w:pPr>
          </w:p>
        </w:tc>
        <w:tc>
          <w:tcPr>
            <w:tcW w:w="993" w:type="dxa"/>
            <w:tcBorders>
              <w:top w:val="single" w:sz="2" w:space="0" w:color="3D7FE0" w:themeColor="accent1"/>
            </w:tcBorders>
          </w:tcPr>
          <w:p w14:paraId="5828F19F"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tcBorders>
          </w:tcPr>
          <w:p w14:paraId="6A3D9D9B" w14:textId="5AA71DA4"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tcBorders>
          </w:tcPr>
          <w:p w14:paraId="5931E05B"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tcBorders>
          </w:tcPr>
          <w:p w14:paraId="3452CC63" w14:textId="55708883" w:rsidR="00172228" w:rsidRPr="00024B10" w:rsidRDefault="00172228" w:rsidP="00172228">
            <w:pPr>
              <w:pStyle w:val="TableFiguresBold"/>
              <w:rPr>
                <w:rFonts w:ascii="IBM Plex Sans Medium" w:hAnsi="IBM Plex Sans Medium"/>
                <w:color w:val="3D7FE0" w:themeColor="accent1"/>
                <w:sz w:val="18"/>
                <w:szCs w:val="18"/>
              </w:rPr>
            </w:pPr>
          </w:p>
        </w:tc>
        <w:tc>
          <w:tcPr>
            <w:tcW w:w="851" w:type="dxa"/>
            <w:tcBorders>
              <w:top w:val="single" w:sz="2" w:space="0" w:color="3D7FE0" w:themeColor="accent1"/>
            </w:tcBorders>
          </w:tcPr>
          <w:p w14:paraId="6777C0DD" w14:textId="0888BF7A" w:rsidR="00172228" w:rsidRPr="00024B10" w:rsidRDefault="00172228" w:rsidP="00172228">
            <w:pPr>
              <w:pStyle w:val="TableFiguresBold"/>
              <w:rPr>
                <w:rFonts w:ascii="IBM Plex Sans Medium" w:hAnsi="IBM Plex Sans Medium"/>
                <w:color w:val="3D7FE0" w:themeColor="accent1"/>
                <w:sz w:val="18"/>
                <w:szCs w:val="18"/>
              </w:rPr>
            </w:pPr>
          </w:p>
        </w:tc>
      </w:tr>
      <w:tr w:rsidR="00172228" w:rsidRPr="00895810" w14:paraId="021EB5DD" w14:textId="77777777" w:rsidTr="008B3C5C">
        <w:trPr>
          <w:trHeight w:val="170"/>
        </w:trPr>
        <w:tc>
          <w:tcPr>
            <w:tcW w:w="3544" w:type="dxa"/>
            <w:tcMar>
              <w:left w:w="0" w:type="dxa"/>
              <w:right w:w="0" w:type="dxa"/>
            </w:tcMar>
            <w:vAlign w:val="bottom"/>
          </w:tcPr>
          <w:p w14:paraId="2DDCF340" w14:textId="34693D6A" w:rsidR="00172228" w:rsidRPr="00895810" w:rsidRDefault="00172228" w:rsidP="00172228">
            <w:pPr>
              <w:pStyle w:val="Tabletext"/>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Profit before tax</w:t>
            </w:r>
          </w:p>
        </w:tc>
        <w:tc>
          <w:tcPr>
            <w:tcW w:w="992" w:type="dxa"/>
          </w:tcPr>
          <w:p w14:paraId="3407BC03" w14:textId="506883A0"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45.0</w:t>
            </w:r>
          </w:p>
        </w:tc>
        <w:tc>
          <w:tcPr>
            <w:tcW w:w="993" w:type="dxa"/>
          </w:tcPr>
          <w:p w14:paraId="2B258CE2" w14:textId="3FE0AC89"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24.7</w:t>
            </w:r>
          </w:p>
        </w:tc>
        <w:tc>
          <w:tcPr>
            <w:tcW w:w="992" w:type="dxa"/>
          </w:tcPr>
          <w:p w14:paraId="106CB70B" w14:textId="35CA40D2"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4.6</w:t>
            </w:r>
          </w:p>
        </w:tc>
        <w:tc>
          <w:tcPr>
            <w:tcW w:w="992" w:type="dxa"/>
          </w:tcPr>
          <w:p w14:paraId="5EB35EB9" w14:textId="0724FE7F" w:rsidR="00172228" w:rsidRPr="00024B10" w:rsidRDefault="00B2340B"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c>
          <w:tcPr>
            <w:tcW w:w="992" w:type="dxa"/>
          </w:tcPr>
          <w:p w14:paraId="748970A5" w14:textId="6978E9EF"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49.6</w:t>
            </w:r>
          </w:p>
        </w:tc>
        <w:tc>
          <w:tcPr>
            <w:tcW w:w="851" w:type="dxa"/>
          </w:tcPr>
          <w:p w14:paraId="7D577560" w14:textId="4D3B997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25.9</w:t>
            </w:r>
          </w:p>
        </w:tc>
      </w:tr>
      <w:tr w:rsidR="00172228" w:rsidRPr="00895810" w14:paraId="4AD08B12" w14:textId="77777777" w:rsidTr="008B3C5C">
        <w:trPr>
          <w:trHeight w:val="170"/>
        </w:trPr>
        <w:tc>
          <w:tcPr>
            <w:tcW w:w="3544" w:type="dxa"/>
            <w:tcMar>
              <w:left w:w="0" w:type="dxa"/>
              <w:right w:w="0" w:type="dxa"/>
            </w:tcMar>
            <w:vAlign w:val="bottom"/>
          </w:tcPr>
          <w:p w14:paraId="4D0CDA44" w14:textId="51F3B35F" w:rsidR="00172228" w:rsidRPr="00895810" w:rsidRDefault="00172228" w:rsidP="00172228">
            <w:pPr>
              <w:pStyle w:val="TabletextBold"/>
              <w:ind w:right="-156"/>
              <w:rPr>
                <w:rFonts w:ascii="IBM Plex Sans Light" w:hAnsi="IBM Plex Sans Light"/>
                <w:b w:val="0"/>
                <w:bCs/>
                <w:sz w:val="18"/>
                <w:szCs w:val="18"/>
              </w:rPr>
            </w:pPr>
            <w:r w:rsidRPr="00895810">
              <w:rPr>
                <w:rFonts w:ascii="IBM Plex Sans Light" w:hAnsi="IBM Plex Sans Light"/>
                <w:b w:val="0"/>
                <w:bCs/>
                <w:sz w:val="18"/>
                <w:szCs w:val="18"/>
              </w:rPr>
              <w:t>Current tax charge</w:t>
            </w:r>
          </w:p>
        </w:tc>
        <w:tc>
          <w:tcPr>
            <w:tcW w:w="992" w:type="dxa"/>
          </w:tcPr>
          <w:p w14:paraId="3A098CB5" w14:textId="56CB322C"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(12.9)</w:t>
            </w:r>
          </w:p>
        </w:tc>
        <w:tc>
          <w:tcPr>
            <w:tcW w:w="993" w:type="dxa"/>
          </w:tcPr>
          <w:p w14:paraId="7794B16F" w14:textId="1276147C" w:rsidR="00172228" w:rsidRPr="00024B10" w:rsidRDefault="000D42FA" w:rsidP="008B3C5C">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(2.5)</w:t>
            </w:r>
          </w:p>
        </w:tc>
        <w:tc>
          <w:tcPr>
            <w:tcW w:w="992" w:type="dxa"/>
          </w:tcPr>
          <w:p w14:paraId="011E429E" w14:textId="5A9A96B6"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698DBF5F" w14:textId="35B18269" w:rsidR="00172228" w:rsidRPr="00024B10" w:rsidRDefault="000D42FA" w:rsidP="00B2340B">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Pr>
          <w:p w14:paraId="16B73951" w14:textId="2245C470"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(12.9)</w:t>
            </w:r>
          </w:p>
        </w:tc>
        <w:tc>
          <w:tcPr>
            <w:tcW w:w="851" w:type="dxa"/>
          </w:tcPr>
          <w:p w14:paraId="26E7D762" w14:textId="4D464B3C"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(2.5)</w:t>
            </w:r>
          </w:p>
        </w:tc>
      </w:tr>
      <w:tr w:rsidR="00172228" w:rsidRPr="00895810" w14:paraId="6C9D6893" w14:textId="5B4D372C" w:rsidTr="008B3C5C">
        <w:trPr>
          <w:trHeight w:val="170"/>
        </w:trPr>
        <w:tc>
          <w:tcPr>
            <w:tcW w:w="3544" w:type="dxa"/>
            <w:tcBorders>
              <w:bottom w:val="single" w:sz="2" w:space="0" w:color="3D7FE0" w:themeColor="accent1"/>
            </w:tcBorders>
            <w:tcMar>
              <w:left w:w="0" w:type="dxa"/>
              <w:right w:w="0" w:type="dxa"/>
            </w:tcMar>
            <w:vAlign w:val="bottom"/>
          </w:tcPr>
          <w:p w14:paraId="0577EC6A" w14:textId="27747F40" w:rsidR="00172228" w:rsidRPr="00895810" w:rsidRDefault="00172228" w:rsidP="00172228">
            <w:pPr>
              <w:pStyle w:val="TabletextBold"/>
              <w:ind w:right="-156"/>
              <w:rPr>
                <w:rFonts w:ascii="IBM Plex Sans Light" w:hAnsi="IBM Plex Sans Light"/>
                <w:b w:val="0"/>
                <w:bCs/>
                <w:sz w:val="18"/>
                <w:szCs w:val="18"/>
              </w:rPr>
            </w:pPr>
            <w:r w:rsidRPr="00895810">
              <w:rPr>
                <w:rFonts w:ascii="IBM Plex Sans Light" w:hAnsi="IBM Plex Sans Light"/>
                <w:b w:val="0"/>
                <w:bCs/>
                <w:sz w:val="18"/>
                <w:szCs w:val="18"/>
              </w:rPr>
              <w:t xml:space="preserve">Deferred tax </w:t>
            </w:r>
            <w:r>
              <w:rPr>
                <w:rFonts w:ascii="IBM Plex Sans Light" w:hAnsi="IBM Plex Sans Light"/>
                <w:b w:val="0"/>
                <w:bCs/>
                <w:sz w:val="18"/>
                <w:szCs w:val="18"/>
              </w:rPr>
              <w:t>charge</w:t>
            </w:r>
          </w:p>
        </w:tc>
        <w:tc>
          <w:tcPr>
            <w:tcW w:w="992" w:type="dxa"/>
            <w:tcBorders>
              <w:bottom w:val="single" w:sz="2" w:space="0" w:color="3D7FE0" w:themeColor="accent1"/>
            </w:tcBorders>
          </w:tcPr>
          <w:p w14:paraId="7604A1B8" w14:textId="35E78463"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(28.9)</w:t>
            </w:r>
          </w:p>
        </w:tc>
        <w:tc>
          <w:tcPr>
            <w:tcW w:w="993" w:type="dxa"/>
            <w:tcBorders>
              <w:bottom w:val="single" w:sz="2" w:space="0" w:color="3D7FE0" w:themeColor="accent1"/>
            </w:tcBorders>
          </w:tcPr>
          <w:p w14:paraId="1470FEF6" w14:textId="12768D0D" w:rsidR="00172228" w:rsidRPr="00024B10" w:rsidRDefault="000D42FA" w:rsidP="008B3C5C">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(7.4)</w:t>
            </w:r>
          </w:p>
        </w:tc>
        <w:tc>
          <w:tcPr>
            <w:tcW w:w="992" w:type="dxa"/>
            <w:tcBorders>
              <w:bottom w:val="single" w:sz="2" w:space="0" w:color="3D7FE0" w:themeColor="accent1"/>
            </w:tcBorders>
          </w:tcPr>
          <w:p w14:paraId="64B550EF" w14:textId="1E67F00E"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bottom w:val="single" w:sz="2" w:space="0" w:color="3D7FE0" w:themeColor="accent1"/>
            </w:tcBorders>
          </w:tcPr>
          <w:p w14:paraId="044ED7A9" w14:textId="76C66455" w:rsidR="00172228" w:rsidRPr="00024B10" w:rsidRDefault="000D42FA" w:rsidP="00B2340B">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w:t>
            </w:r>
          </w:p>
        </w:tc>
        <w:tc>
          <w:tcPr>
            <w:tcW w:w="992" w:type="dxa"/>
            <w:tcBorders>
              <w:bottom w:val="single" w:sz="2" w:space="0" w:color="3D7FE0" w:themeColor="accent1"/>
            </w:tcBorders>
          </w:tcPr>
          <w:p w14:paraId="44295741" w14:textId="7DF392AC"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(28.9)</w:t>
            </w:r>
          </w:p>
        </w:tc>
        <w:tc>
          <w:tcPr>
            <w:tcW w:w="851" w:type="dxa"/>
            <w:tcBorders>
              <w:bottom w:val="single" w:sz="2" w:space="0" w:color="3D7FE0" w:themeColor="accent1"/>
            </w:tcBorders>
          </w:tcPr>
          <w:p w14:paraId="4F591672" w14:textId="36B6283D" w:rsidR="00172228" w:rsidRPr="00024B10" w:rsidRDefault="00172228" w:rsidP="00172228">
            <w:pPr>
              <w:pStyle w:val="TableFiguresBrackets"/>
              <w:rPr>
                <w:rFonts w:ascii="IBM Plex Sans Medium" w:hAnsi="IBM Plex Sans Medium"/>
                <w:b/>
                <w:bCs/>
                <w:color w:val="3D7FE0" w:themeColor="accent1"/>
                <w:sz w:val="18"/>
                <w:szCs w:val="18"/>
              </w:rPr>
            </w:pPr>
            <w:r w:rsidRPr="00024B10">
              <w:rPr>
                <w:rFonts w:ascii="IBM Plex Sans Medium" w:hAnsi="IBM Plex Sans Medium"/>
                <w:b/>
                <w:bCs/>
                <w:color w:val="3D7FE0" w:themeColor="accent1"/>
                <w:sz w:val="18"/>
                <w:szCs w:val="18"/>
              </w:rPr>
              <w:t>(7.4)</w:t>
            </w:r>
          </w:p>
        </w:tc>
      </w:tr>
      <w:tr w:rsidR="00172228" w:rsidRPr="00895810" w14:paraId="3CCE03B3" w14:textId="77777777" w:rsidTr="008B3C5C">
        <w:trPr>
          <w:trHeight w:val="170"/>
        </w:trPr>
        <w:tc>
          <w:tcPr>
            <w:tcW w:w="3544" w:type="dxa"/>
            <w:tcBorders>
              <w:top w:val="single" w:sz="2" w:space="0" w:color="3D7FE0" w:themeColor="accent1"/>
              <w:bottom w:val="single" w:sz="2" w:space="0" w:color="3D7FE0" w:themeColor="accent1"/>
            </w:tcBorders>
            <w:tcMar>
              <w:left w:w="0" w:type="dxa"/>
              <w:right w:w="0" w:type="dxa"/>
            </w:tcMar>
            <w:vAlign w:val="bottom"/>
          </w:tcPr>
          <w:p w14:paraId="5E9169CE" w14:textId="4465DBD5" w:rsidR="00172228" w:rsidRPr="00895810" w:rsidRDefault="00172228" w:rsidP="00172228">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Profit for the year</w:t>
            </w:r>
          </w:p>
        </w:tc>
        <w:tc>
          <w:tcPr>
            <w:tcW w:w="992" w:type="dxa"/>
            <w:tcBorders>
              <w:top w:val="single" w:sz="2" w:space="0" w:color="3D7FE0" w:themeColor="accent1"/>
              <w:bottom w:val="single" w:sz="2" w:space="0" w:color="3D7FE0" w:themeColor="accent1"/>
            </w:tcBorders>
          </w:tcPr>
          <w:p w14:paraId="328AA931" w14:textId="7C4BD6B0"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3.2</w:t>
            </w:r>
          </w:p>
        </w:tc>
        <w:tc>
          <w:tcPr>
            <w:tcW w:w="993" w:type="dxa"/>
            <w:tcBorders>
              <w:top w:val="single" w:sz="2" w:space="0" w:color="3D7FE0" w:themeColor="accent1"/>
              <w:bottom w:val="single" w:sz="2" w:space="0" w:color="3D7FE0" w:themeColor="accent1"/>
            </w:tcBorders>
          </w:tcPr>
          <w:p w14:paraId="553E6670" w14:textId="5F46F8DC"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14.8</w:t>
            </w:r>
          </w:p>
        </w:tc>
        <w:tc>
          <w:tcPr>
            <w:tcW w:w="992" w:type="dxa"/>
            <w:tcBorders>
              <w:top w:val="single" w:sz="2" w:space="0" w:color="3D7FE0" w:themeColor="accent1"/>
              <w:bottom w:val="single" w:sz="2" w:space="0" w:color="3D7FE0" w:themeColor="accent1"/>
            </w:tcBorders>
          </w:tcPr>
          <w:p w14:paraId="0B94E446" w14:textId="4DF1EDD8"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4.6</w:t>
            </w:r>
          </w:p>
        </w:tc>
        <w:tc>
          <w:tcPr>
            <w:tcW w:w="992" w:type="dxa"/>
            <w:tcBorders>
              <w:top w:val="single" w:sz="2" w:space="0" w:color="3D7FE0" w:themeColor="accent1"/>
              <w:bottom w:val="single" w:sz="2" w:space="0" w:color="3D7FE0" w:themeColor="accent1"/>
            </w:tcBorders>
          </w:tcPr>
          <w:p w14:paraId="1AACCEE5" w14:textId="52DC3519" w:rsidR="00172228" w:rsidRPr="00024B10" w:rsidRDefault="000D42FA"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c>
          <w:tcPr>
            <w:tcW w:w="992" w:type="dxa"/>
            <w:tcBorders>
              <w:top w:val="single" w:sz="2" w:space="0" w:color="3D7FE0" w:themeColor="accent1"/>
              <w:bottom w:val="single" w:sz="2" w:space="0" w:color="3D7FE0" w:themeColor="accent1"/>
            </w:tcBorders>
          </w:tcPr>
          <w:p w14:paraId="407E7187" w14:textId="5FB41595"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7.8</w:t>
            </w:r>
          </w:p>
        </w:tc>
        <w:tc>
          <w:tcPr>
            <w:tcW w:w="851" w:type="dxa"/>
            <w:tcBorders>
              <w:top w:val="single" w:sz="2" w:space="0" w:color="3D7FE0" w:themeColor="accent1"/>
              <w:bottom w:val="single" w:sz="2" w:space="0" w:color="3D7FE0" w:themeColor="accent1"/>
            </w:tcBorders>
          </w:tcPr>
          <w:p w14:paraId="3C6E8555" w14:textId="3429C677"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16.0</w:t>
            </w:r>
          </w:p>
        </w:tc>
      </w:tr>
      <w:tr w:rsidR="00172228" w:rsidRPr="00895810" w14:paraId="1FE50DFC" w14:textId="77777777" w:rsidTr="008B3C5C">
        <w:trPr>
          <w:trHeight w:val="170"/>
        </w:trPr>
        <w:tc>
          <w:tcPr>
            <w:tcW w:w="3544" w:type="dxa"/>
            <w:tcBorders>
              <w:top w:val="single" w:sz="2" w:space="0" w:color="3D7FE0" w:themeColor="accent1"/>
            </w:tcBorders>
            <w:tcMar>
              <w:left w:w="0" w:type="dxa"/>
              <w:right w:w="0" w:type="dxa"/>
            </w:tcMar>
            <w:vAlign w:val="bottom"/>
          </w:tcPr>
          <w:p w14:paraId="6C1F2A8D" w14:textId="77777777" w:rsidR="00172228" w:rsidRPr="00895810" w:rsidRDefault="00172228" w:rsidP="00172228">
            <w:pPr>
              <w:pStyle w:val="TabletextBold"/>
              <w:rPr>
                <w:rFonts w:ascii="IBM Plex Sans Light" w:hAnsi="IBM Plex Sans Light"/>
                <w:bCs/>
                <w:color w:val="3D7FE0" w:themeColor="accent1"/>
                <w:sz w:val="18"/>
                <w:szCs w:val="18"/>
              </w:rPr>
            </w:pPr>
          </w:p>
        </w:tc>
        <w:tc>
          <w:tcPr>
            <w:tcW w:w="992" w:type="dxa"/>
            <w:tcBorders>
              <w:top w:val="single" w:sz="2" w:space="0" w:color="3D7FE0" w:themeColor="accent1"/>
            </w:tcBorders>
          </w:tcPr>
          <w:p w14:paraId="02B061DB"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3" w:type="dxa"/>
            <w:tcBorders>
              <w:top w:val="single" w:sz="2" w:space="0" w:color="3D7FE0" w:themeColor="accent1"/>
            </w:tcBorders>
          </w:tcPr>
          <w:p w14:paraId="744B5C11"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tcBorders>
          </w:tcPr>
          <w:p w14:paraId="43A6C123" w14:textId="55ECB0E6"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tcBorders>
          </w:tcPr>
          <w:p w14:paraId="3111BBB4"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tcBorders>
          </w:tcPr>
          <w:p w14:paraId="6F4C267E" w14:textId="7289F1E4" w:rsidR="00172228" w:rsidRPr="00024B10" w:rsidRDefault="00172228" w:rsidP="00172228">
            <w:pPr>
              <w:pStyle w:val="TableFiguresBold"/>
              <w:rPr>
                <w:rFonts w:ascii="IBM Plex Sans Medium" w:hAnsi="IBM Plex Sans Medium"/>
                <w:color w:val="3D7FE0" w:themeColor="accent1"/>
                <w:sz w:val="18"/>
                <w:szCs w:val="18"/>
              </w:rPr>
            </w:pPr>
          </w:p>
        </w:tc>
        <w:tc>
          <w:tcPr>
            <w:tcW w:w="851" w:type="dxa"/>
            <w:tcBorders>
              <w:top w:val="single" w:sz="2" w:space="0" w:color="3D7FE0" w:themeColor="accent1"/>
            </w:tcBorders>
          </w:tcPr>
          <w:p w14:paraId="576DAB41" w14:textId="77777777" w:rsidR="00172228" w:rsidRPr="00024B10" w:rsidRDefault="00172228" w:rsidP="00172228">
            <w:pPr>
              <w:pStyle w:val="TableFiguresBold"/>
              <w:rPr>
                <w:rFonts w:ascii="IBM Plex Sans Medium" w:hAnsi="IBM Plex Sans Medium"/>
                <w:color w:val="3D7FE0" w:themeColor="accent1"/>
                <w:sz w:val="18"/>
                <w:szCs w:val="18"/>
              </w:rPr>
            </w:pPr>
          </w:p>
        </w:tc>
      </w:tr>
      <w:tr w:rsidR="00172228" w:rsidRPr="00895810" w14:paraId="48F2D74F" w14:textId="77777777" w:rsidTr="008B3C5C">
        <w:trPr>
          <w:trHeight w:val="170"/>
        </w:trPr>
        <w:tc>
          <w:tcPr>
            <w:tcW w:w="3544" w:type="dxa"/>
            <w:tcMar>
              <w:left w:w="0" w:type="dxa"/>
              <w:right w:w="0" w:type="dxa"/>
            </w:tcMar>
          </w:tcPr>
          <w:p w14:paraId="6850087D" w14:textId="076DB4FD" w:rsidR="00172228" w:rsidRPr="00A4181A" w:rsidRDefault="00172228" w:rsidP="00172228">
            <w:pPr>
              <w:pStyle w:val="Tabletext"/>
              <w:rPr>
                <w:rFonts w:ascii="IBM Plex Sans Light" w:hAnsi="IBM Plex Sans Light"/>
                <w:b/>
                <w:color w:val="3D7FE0" w:themeColor="accent1"/>
                <w:spacing w:val="-4"/>
                <w:sz w:val="18"/>
                <w:szCs w:val="18"/>
              </w:rPr>
            </w:pPr>
            <w:r w:rsidRPr="00A4181A">
              <w:rPr>
                <w:rFonts w:ascii="IBM Plex Sans Light" w:hAnsi="IBM Plex Sans Light"/>
                <w:b/>
                <w:color w:val="3D7FE0" w:themeColor="accent1"/>
                <w:spacing w:val="-4"/>
                <w:sz w:val="18"/>
                <w:szCs w:val="18"/>
              </w:rPr>
              <w:t>Adjusted earnings – Value Retail</w:t>
            </w:r>
          </w:p>
        </w:tc>
        <w:tc>
          <w:tcPr>
            <w:tcW w:w="992" w:type="dxa"/>
          </w:tcPr>
          <w:p w14:paraId="616295D3"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3" w:type="dxa"/>
          </w:tcPr>
          <w:p w14:paraId="5178B766"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Pr>
          <w:p w14:paraId="1E1AA781" w14:textId="0A17E354"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Pr>
          <w:p w14:paraId="030E37CD"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Pr>
          <w:p w14:paraId="7F98D042" w14:textId="105AB63F" w:rsidR="00172228" w:rsidRPr="00024B10" w:rsidRDefault="00172228" w:rsidP="00172228">
            <w:pPr>
              <w:pStyle w:val="TableFiguresBold"/>
              <w:rPr>
                <w:rFonts w:ascii="IBM Plex Sans Medium" w:hAnsi="IBM Plex Sans Medium"/>
                <w:color w:val="3D7FE0" w:themeColor="accent1"/>
                <w:sz w:val="18"/>
                <w:szCs w:val="18"/>
              </w:rPr>
            </w:pPr>
          </w:p>
        </w:tc>
        <w:tc>
          <w:tcPr>
            <w:tcW w:w="851" w:type="dxa"/>
          </w:tcPr>
          <w:p w14:paraId="247A705C" w14:textId="46AEB194"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32.1</w:t>
            </w:r>
          </w:p>
        </w:tc>
      </w:tr>
      <w:tr w:rsidR="00172228" w:rsidRPr="00895810" w14:paraId="243A02E1" w14:textId="77777777" w:rsidTr="008B3C5C">
        <w:trPr>
          <w:trHeight w:val="170"/>
        </w:trPr>
        <w:tc>
          <w:tcPr>
            <w:tcW w:w="3544" w:type="dxa"/>
            <w:tcBorders>
              <w:bottom w:val="single" w:sz="2" w:space="0" w:color="3D7FE0" w:themeColor="accent1"/>
            </w:tcBorders>
            <w:tcMar>
              <w:left w:w="0" w:type="dxa"/>
              <w:right w:w="0" w:type="dxa"/>
            </w:tcMar>
          </w:tcPr>
          <w:p w14:paraId="33EF9A7C" w14:textId="16C511DF" w:rsidR="00172228" w:rsidRPr="00A4181A" w:rsidRDefault="00172228" w:rsidP="00172228">
            <w:pPr>
              <w:pStyle w:val="Tabletext"/>
              <w:rPr>
                <w:rFonts w:ascii="IBM Plex Sans Light" w:hAnsi="IBM Plex Sans Light"/>
                <w:b/>
                <w:color w:val="3D7FE0" w:themeColor="accent1"/>
                <w:spacing w:val="-4"/>
                <w:sz w:val="18"/>
                <w:szCs w:val="18"/>
              </w:rPr>
            </w:pPr>
            <w:r w:rsidRPr="00A4181A">
              <w:rPr>
                <w:rFonts w:ascii="IBM Plex Sans Light" w:hAnsi="IBM Plex Sans Light"/>
                <w:b/>
                <w:color w:val="3D7FE0" w:themeColor="accent1"/>
                <w:spacing w:val="-4"/>
                <w:sz w:val="18"/>
                <w:szCs w:val="18"/>
              </w:rPr>
              <w:t>Adjusted earnings – Italie Deux</w:t>
            </w:r>
          </w:p>
        </w:tc>
        <w:tc>
          <w:tcPr>
            <w:tcW w:w="992" w:type="dxa"/>
            <w:tcBorders>
              <w:bottom w:val="single" w:sz="2" w:space="0" w:color="3D7FE0" w:themeColor="accent1"/>
            </w:tcBorders>
          </w:tcPr>
          <w:p w14:paraId="0A0664B6"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3" w:type="dxa"/>
            <w:tcBorders>
              <w:bottom w:val="single" w:sz="2" w:space="0" w:color="3D7FE0" w:themeColor="accent1"/>
            </w:tcBorders>
          </w:tcPr>
          <w:p w14:paraId="446CA84C"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bottom w:val="single" w:sz="2" w:space="0" w:color="3D7FE0" w:themeColor="accent1"/>
            </w:tcBorders>
          </w:tcPr>
          <w:p w14:paraId="32524F8B" w14:textId="1F20B280"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bottom w:val="single" w:sz="2" w:space="0" w:color="3D7FE0" w:themeColor="accent1"/>
            </w:tcBorders>
          </w:tcPr>
          <w:p w14:paraId="5A9FFE50"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bottom w:val="single" w:sz="2" w:space="0" w:color="3D7FE0" w:themeColor="accent1"/>
            </w:tcBorders>
          </w:tcPr>
          <w:p w14:paraId="1AC24E88" w14:textId="537F6DB1" w:rsidR="00172228" w:rsidRPr="00024B10" w:rsidRDefault="00172228" w:rsidP="00172228">
            <w:pPr>
              <w:pStyle w:val="TableFiguresBold"/>
              <w:rPr>
                <w:rFonts w:ascii="IBM Plex Sans Medium" w:hAnsi="IBM Plex Sans Medium"/>
                <w:color w:val="3D7FE0" w:themeColor="accent1"/>
                <w:sz w:val="18"/>
                <w:szCs w:val="18"/>
              </w:rPr>
            </w:pPr>
          </w:p>
        </w:tc>
        <w:tc>
          <w:tcPr>
            <w:tcW w:w="851" w:type="dxa"/>
            <w:tcBorders>
              <w:bottom w:val="single" w:sz="2" w:space="0" w:color="3D7FE0" w:themeColor="accent1"/>
            </w:tcBorders>
          </w:tcPr>
          <w:p w14:paraId="2B4B7260" w14:textId="36DF5EB9"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1.2</w:t>
            </w:r>
          </w:p>
        </w:tc>
      </w:tr>
      <w:tr w:rsidR="00172228" w:rsidRPr="00895810" w14:paraId="3EB87DFB" w14:textId="77777777" w:rsidTr="008B3C5C">
        <w:trPr>
          <w:trHeight w:val="170"/>
        </w:trPr>
        <w:tc>
          <w:tcPr>
            <w:tcW w:w="3544" w:type="dxa"/>
            <w:tcBorders>
              <w:top w:val="single" w:sz="2" w:space="0" w:color="3D7FE0" w:themeColor="accent1"/>
              <w:bottom w:val="single" w:sz="8" w:space="0" w:color="3D7FE0" w:themeColor="accent1"/>
            </w:tcBorders>
            <w:tcMar>
              <w:left w:w="0" w:type="dxa"/>
              <w:right w:w="0" w:type="dxa"/>
            </w:tcMar>
          </w:tcPr>
          <w:p w14:paraId="25F050B2" w14:textId="214B6830" w:rsidR="00172228" w:rsidRPr="00A4181A" w:rsidRDefault="00172228" w:rsidP="00172228">
            <w:pPr>
              <w:pStyle w:val="Tabletext"/>
              <w:rPr>
                <w:rFonts w:ascii="IBM Plex Sans Light" w:hAnsi="IBM Plex Sans Light"/>
                <w:b/>
                <w:color w:val="3D7FE0" w:themeColor="accent1"/>
                <w:spacing w:val="-4"/>
                <w:sz w:val="18"/>
                <w:szCs w:val="18"/>
              </w:rPr>
            </w:pPr>
            <w:r w:rsidRPr="00A4181A">
              <w:rPr>
                <w:rFonts w:ascii="IBM Plex Sans Light" w:hAnsi="IBM Plex Sans Light"/>
                <w:b/>
                <w:color w:val="3D7FE0" w:themeColor="accent1"/>
                <w:spacing w:val="-4"/>
                <w:sz w:val="18"/>
                <w:szCs w:val="18"/>
              </w:rPr>
              <w:t>Adjusted earnings – Total</w:t>
            </w:r>
          </w:p>
        </w:tc>
        <w:tc>
          <w:tcPr>
            <w:tcW w:w="992" w:type="dxa"/>
            <w:tcBorders>
              <w:top w:val="single" w:sz="2" w:space="0" w:color="3D7FE0" w:themeColor="accent1"/>
              <w:bottom w:val="single" w:sz="8" w:space="0" w:color="3D7FE0" w:themeColor="accent1"/>
            </w:tcBorders>
          </w:tcPr>
          <w:p w14:paraId="0F54959B"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3" w:type="dxa"/>
            <w:tcBorders>
              <w:top w:val="single" w:sz="2" w:space="0" w:color="3D7FE0" w:themeColor="accent1"/>
              <w:bottom w:val="single" w:sz="8" w:space="0" w:color="3D7FE0" w:themeColor="accent1"/>
            </w:tcBorders>
          </w:tcPr>
          <w:p w14:paraId="57E460D5"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bottom w:val="single" w:sz="8" w:space="0" w:color="3D7FE0" w:themeColor="accent1"/>
            </w:tcBorders>
          </w:tcPr>
          <w:p w14:paraId="3AFC2616" w14:textId="1781569C"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bottom w:val="single" w:sz="8" w:space="0" w:color="3D7FE0" w:themeColor="accent1"/>
            </w:tcBorders>
          </w:tcPr>
          <w:p w14:paraId="6AA7C0E4" w14:textId="77777777" w:rsidR="00172228" w:rsidRPr="00024B10" w:rsidRDefault="00172228" w:rsidP="00172228">
            <w:pPr>
              <w:pStyle w:val="TableFiguresBold"/>
              <w:rPr>
                <w:rFonts w:ascii="IBM Plex Sans Medium" w:hAnsi="IBM Plex Sans Medium"/>
                <w:color w:val="3D7FE0" w:themeColor="accent1"/>
                <w:sz w:val="18"/>
                <w:szCs w:val="18"/>
              </w:rPr>
            </w:pPr>
          </w:p>
        </w:tc>
        <w:tc>
          <w:tcPr>
            <w:tcW w:w="992" w:type="dxa"/>
            <w:tcBorders>
              <w:top w:val="single" w:sz="2" w:space="0" w:color="3D7FE0" w:themeColor="accent1"/>
              <w:bottom w:val="single" w:sz="8" w:space="0" w:color="3D7FE0" w:themeColor="accent1"/>
            </w:tcBorders>
          </w:tcPr>
          <w:p w14:paraId="764DFE78" w14:textId="46EC19D4" w:rsidR="00172228" w:rsidRPr="00024B10" w:rsidRDefault="00172228" w:rsidP="00172228">
            <w:pPr>
              <w:pStyle w:val="TableFiguresBold"/>
              <w:rPr>
                <w:rFonts w:ascii="IBM Plex Sans Medium" w:hAnsi="IBM Plex Sans Medium"/>
                <w:color w:val="3D7FE0" w:themeColor="accent1"/>
                <w:sz w:val="18"/>
                <w:szCs w:val="18"/>
              </w:rPr>
            </w:pPr>
          </w:p>
        </w:tc>
        <w:tc>
          <w:tcPr>
            <w:tcW w:w="851" w:type="dxa"/>
            <w:tcBorders>
              <w:top w:val="single" w:sz="2" w:space="0" w:color="3D7FE0" w:themeColor="accent1"/>
              <w:bottom w:val="single" w:sz="8" w:space="0" w:color="3D7FE0" w:themeColor="accent1"/>
            </w:tcBorders>
          </w:tcPr>
          <w:p w14:paraId="292831B0" w14:textId="32419E86" w:rsidR="00172228" w:rsidRPr="00024B10" w:rsidRDefault="00172228" w:rsidP="00172228">
            <w:pPr>
              <w:pStyle w:val="TableFiguresBold"/>
              <w:rPr>
                <w:rFonts w:ascii="IBM Plex Sans Medium" w:hAnsi="IBM Plex Sans Medium"/>
                <w:color w:val="3D7FE0" w:themeColor="accent1"/>
                <w:sz w:val="18"/>
                <w:szCs w:val="18"/>
              </w:rPr>
            </w:pPr>
            <w:r w:rsidRPr="00024B10">
              <w:rPr>
                <w:rFonts w:ascii="IBM Plex Sans Medium" w:hAnsi="IBM Plex Sans Medium"/>
                <w:color w:val="3D7FE0" w:themeColor="accent1"/>
                <w:sz w:val="18"/>
                <w:szCs w:val="18"/>
              </w:rPr>
              <w:t>33.3</w:t>
            </w:r>
          </w:p>
        </w:tc>
      </w:tr>
    </w:tbl>
    <w:p w14:paraId="200E6BE6" w14:textId="77777777" w:rsidR="00181825" w:rsidRDefault="00181825" w:rsidP="00AB6B6E">
      <w:pPr>
        <w:spacing w:after="80" w:line="240" w:lineRule="auto"/>
        <w:jc w:val="both"/>
        <w:rPr>
          <w:rFonts w:ascii="IBM Plex Sans Medium" w:hAnsi="IBM Plex Sans Medium" w:cs="Arial"/>
          <w:b/>
          <w:color w:val="3D7FE0" w:themeColor="accent1"/>
          <w:szCs w:val="18"/>
        </w:rPr>
      </w:pPr>
    </w:p>
    <w:p w14:paraId="76EC069E" w14:textId="5203C8B4" w:rsidR="000E121B" w:rsidRPr="00895810" w:rsidRDefault="000E121B" w:rsidP="009029E7">
      <w:pPr>
        <w:pStyle w:val="Heading2SpaceBefore"/>
        <w:spacing w:before="0"/>
        <w:rPr>
          <w:rFonts w:ascii="IBM Plex Sans Light" w:hAnsi="IBM Plex Sans Light"/>
          <w:color w:val="3D7FE0" w:themeColor="accent1"/>
        </w:rPr>
      </w:pPr>
    </w:p>
    <w:tbl>
      <w:tblPr>
        <w:tblW w:w="9923" w:type="dxa"/>
        <w:tblLayout w:type="fixed"/>
        <w:tblLook w:val="01E0" w:firstRow="1" w:lastRow="1" w:firstColumn="1" w:lastColumn="1" w:noHBand="0" w:noVBand="0"/>
      </w:tblPr>
      <w:tblGrid>
        <w:gridCol w:w="3828"/>
        <w:gridCol w:w="1134"/>
        <w:gridCol w:w="992"/>
        <w:gridCol w:w="992"/>
        <w:gridCol w:w="992"/>
        <w:gridCol w:w="993"/>
        <w:gridCol w:w="992"/>
      </w:tblGrid>
      <w:tr w:rsidR="000D42FA" w:rsidRPr="00895810" w14:paraId="294E702B" w14:textId="77777777" w:rsidTr="00024B10">
        <w:trPr>
          <w:trHeight w:val="244"/>
        </w:trPr>
        <w:tc>
          <w:tcPr>
            <w:tcW w:w="3828" w:type="dxa"/>
            <w:tcBorders>
              <w:bottom w:val="single" w:sz="2" w:space="0" w:color="3D7FE0" w:themeColor="accent1"/>
            </w:tcBorders>
            <w:tcMar>
              <w:left w:w="0" w:type="dxa"/>
              <w:bottom w:w="57" w:type="dxa"/>
              <w:right w:w="0" w:type="dxa"/>
            </w:tcMar>
            <w:vAlign w:val="bottom"/>
          </w:tcPr>
          <w:p w14:paraId="5328950C" w14:textId="77777777" w:rsidR="000D42FA" w:rsidRPr="00895810" w:rsidRDefault="000D42FA" w:rsidP="00172228">
            <w:pPr>
              <w:pStyle w:val="TableColHeadsBold"/>
              <w:rPr>
                <w:rFonts w:ascii="IBM Plex Sans Light" w:hAnsi="IBM Plex Sans Light"/>
              </w:rPr>
            </w:pPr>
          </w:p>
        </w:tc>
        <w:tc>
          <w:tcPr>
            <w:tcW w:w="6095" w:type="dxa"/>
            <w:gridSpan w:val="6"/>
            <w:tcBorders>
              <w:bottom w:val="single" w:sz="2" w:space="0" w:color="3D7FE0" w:themeColor="accent1"/>
            </w:tcBorders>
            <w:vAlign w:val="bottom"/>
          </w:tcPr>
          <w:p w14:paraId="063E0D89" w14:textId="288B2DEE" w:rsidR="000D42FA" w:rsidRPr="00895810" w:rsidRDefault="000D42FA" w:rsidP="00172228">
            <w:pPr>
              <w:pStyle w:val="TableColHeadsBold"/>
              <w:rPr>
                <w:rFonts w:ascii="IBM Plex Sans Light" w:hAnsi="IBM Plex Sans Light"/>
              </w:rPr>
            </w:pPr>
            <w:r>
              <w:rPr>
                <w:rFonts w:ascii="IBM Plex Sans Light" w:hAnsi="IBM Plex Sans Light"/>
                <w:b w:val="0"/>
              </w:rPr>
              <w:t>2022</w:t>
            </w:r>
          </w:p>
        </w:tc>
      </w:tr>
      <w:tr w:rsidR="000D42FA" w:rsidRPr="00895810" w14:paraId="1AE91518" w14:textId="1599F0F4" w:rsidTr="00024B10">
        <w:trPr>
          <w:trHeight w:val="249"/>
        </w:trPr>
        <w:tc>
          <w:tcPr>
            <w:tcW w:w="3828" w:type="dxa"/>
            <w:tcBorders>
              <w:top w:val="single" w:sz="2" w:space="0" w:color="3D7FE0" w:themeColor="accent1"/>
            </w:tcBorders>
            <w:tcMar>
              <w:left w:w="0" w:type="dxa"/>
              <w:right w:w="0" w:type="dxa"/>
            </w:tcMar>
            <w:vAlign w:val="bottom"/>
          </w:tcPr>
          <w:p w14:paraId="084D5CAD" w14:textId="77777777" w:rsidR="000D42FA" w:rsidRPr="00895810" w:rsidRDefault="000D42FA" w:rsidP="00172228">
            <w:pPr>
              <w:pStyle w:val="TableColHeadsBold"/>
              <w:rPr>
                <w:rFonts w:ascii="IBM Plex Sans Light" w:hAnsi="IBM Plex Sans Light"/>
              </w:rPr>
            </w:pPr>
          </w:p>
        </w:tc>
        <w:tc>
          <w:tcPr>
            <w:tcW w:w="2126" w:type="dxa"/>
            <w:gridSpan w:val="2"/>
            <w:tcBorders>
              <w:top w:val="single" w:sz="2" w:space="0" w:color="3D7FE0" w:themeColor="accent1"/>
              <w:bottom w:val="single" w:sz="2" w:space="0" w:color="3D7FE0" w:themeColor="accent1"/>
            </w:tcBorders>
            <w:vAlign w:val="bottom"/>
          </w:tcPr>
          <w:p w14:paraId="3DE21D1A" w14:textId="60D25D91" w:rsidR="000D42FA" w:rsidRPr="00895810" w:rsidRDefault="000D42FA" w:rsidP="00172228">
            <w:pPr>
              <w:pStyle w:val="TableColHeadsBold"/>
              <w:rPr>
                <w:rFonts w:ascii="IBM Plex Sans Light" w:hAnsi="IBM Plex Sans Light"/>
              </w:rPr>
            </w:pPr>
            <w:r>
              <w:rPr>
                <w:rFonts w:ascii="IBM Plex Sans Light" w:hAnsi="IBM Plex Sans Light"/>
                <w:b w:val="0"/>
                <w:bCs w:val="0"/>
              </w:rPr>
              <w:t>Value Retail</w:t>
            </w:r>
          </w:p>
        </w:tc>
        <w:tc>
          <w:tcPr>
            <w:tcW w:w="1984" w:type="dxa"/>
            <w:gridSpan w:val="2"/>
            <w:tcBorders>
              <w:top w:val="single" w:sz="2" w:space="0" w:color="3D7FE0" w:themeColor="accent1"/>
              <w:bottom w:val="single" w:sz="2" w:space="0" w:color="3D7FE0" w:themeColor="accent1"/>
            </w:tcBorders>
            <w:vAlign w:val="bottom"/>
          </w:tcPr>
          <w:p w14:paraId="6936B96F" w14:textId="764E1710" w:rsidR="000D42FA" w:rsidRPr="00895810" w:rsidRDefault="000D42FA" w:rsidP="00172228">
            <w:pPr>
              <w:pStyle w:val="TableColHeadsBold"/>
              <w:rPr>
                <w:rFonts w:ascii="IBM Plex Sans Light" w:hAnsi="IBM Plex Sans Light"/>
              </w:rPr>
            </w:pPr>
            <w:r>
              <w:rPr>
                <w:rFonts w:ascii="IBM Plex Sans Light" w:hAnsi="IBM Plex Sans Light"/>
              </w:rPr>
              <w:t>Italie Deux</w:t>
            </w:r>
          </w:p>
        </w:tc>
        <w:tc>
          <w:tcPr>
            <w:tcW w:w="1985" w:type="dxa"/>
            <w:gridSpan w:val="2"/>
            <w:tcBorders>
              <w:top w:val="single" w:sz="2" w:space="0" w:color="3D7FE0" w:themeColor="accent1"/>
              <w:bottom w:val="single" w:sz="2" w:space="0" w:color="3D7FE0" w:themeColor="accent1"/>
            </w:tcBorders>
            <w:vAlign w:val="bottom"/>
          </w:tcPr>
          <w:p w14:paraId="20050AE6" w14:textId="57797674" w:rsidR="000D42FA" w:rsidRPr="00895810" w:rsidRDefault="000D42FA" w:rsidP="0053048A">
            <w:pPr>
              <w:pStyle w:val="TableColHeadsBold"/>
              <w:rPr>
                <w:rFonts w:ascii="IBM Plex Sans Light" w:hAnsi="IBM Plex Sans Light"/>
              </w:rPr>
            </w:pPr>
            <w:r>
              <w:rPr>
                <w:rFonts w:ascii="IBM Plex Sans Light" w:hAnsi="IBM Plex Sans Light"/>
              </w:rPr>
              <w:t>Total</w:t>
            </w:r>
          </w:p>
        </w:tc>
      </w:tr>
      <w:tr w:rsidR="0053048A" w:rsidRPr="00895810" w14:paraId="74970212" w14:textId="77777777" w:rsidTr="00024B10">
        <w:trPr>
          <w:trHeight w:val="249"/>
        </w:trPr>
        <w:tc>
          <w:tcPr>
            <w:tcW w:w="3828" w:type="dxa"/>
            <w:tcMar>
              <w:left w:w="0" w:type="dxa"/>
              <w:right w:w="0" w:type="dxa"/>
            </w:tcMar>
            <w:vAlign w:val="bottom"/>
          </w:tcPr>
          <w:p w14:paraId="7ADAEEB1" w14:textId="77777777" w:rsidR="000D42FA" w:rsidRPr="00895810" w:rsidRDefault="000D42FA" w:rsidP="00172228">
            <w:pPr>
              <w:pStyle w:val="TableColHeadsBold"/>
              <w:rPr>
                <w:rFonts w:ascii="IBM Plex Sans Light" w:hAnsi="IBM Plex Sans Light"/>
              </w:rPr>
            </w:pPr>
          </w:p>
        </w:tc>
        <w:tc>
          <w:tcPr>
            <w:tcW w:w="1134" w:type="dxa"/>
            <w:tcBorders>
              <w:top w:val="single" w:sz="2" w:space="0" w:color="3D7FE0" w:themeColor="accent1"/>
            </w:tcBorders>
            <w:vAlign w:val="bottom"/>
          </w:tcPr>
          <w:p w14:paraId="4F790B9A" w14:textId="6C3C1642" w:rsidR="000D42FA" w:rsidRPr="00895810" w:rsidRDefault="000D42FA" w:rsidP="00172228">
            <w:pPr>
              <w:pStyle w:val="TableColHeadsBold"/>
              <w:rPr>
                <w:rFonts w:ascii="IBM Plex Sans Light" w:hAnsi="IBM Plex Sans Light"/>
              </w:rPr>
            </w:pPr>
            <w:r w:rsidRPr="00895810">
              <w:rPr>
                <w:rFonts w:ascii="IBM Plex Sans Light" w:hAnsi="IBM Plex Sans Light"/>
                <w:b w:val="0"/>
                <w:bCs w:val="0"/>
              </w:rPr>
              <w:t>100% share</w:t>
            </w:r>
          </w:p>
        </w:tc>
        <w:tc>
          <w:tcPr>
            <w:tcW w:w="992" w:type="dxa"/>
            <w:tcBorders>
              <w:top w:val="single" w:sz="2" w:space="0" w:color="3D7FE0" w:themeColor="accent1"/>
            </w:tcBorders>
          </w:tcPr>
          <w:p w14:paraId="15A6E820" w14:textId="58E49B00" w:rsidR="000D42FA" w:rsidRPr="00895810" w:rsidRDefault="000D42FA" w:rsidP="00172228">
            <w:pPr>
              <w:pStyle w:val="TableColHeadsBold"/>
              <w:rPr>
                <w:rFonts w:ascii="IBM Plex Sans Light" w:hAnsi="IBM Plex Sans Light"/>
                <w:b w:val="0"/>
              </w:rPr>
            </w:pPr>
            <w:r w:rsidRPr="00895810">
              <w:rPr>
                <w:rFonts w:ascii="IBM Plex Sans Light" w:hAnsi="IBM Plex Sans Light"/>
                <w:b w:val="0"/>
              </w:rPr>
              <w:t>Group share</w:t>
            </w:r>
          </w:p>
        </w:tc>
        <w:tc>
          <w:tcPr>
            <w:tcW w:w="992" w:type="dxa"/>
            <w:tcBorders>
              <w:top w:val="single" w:sz="2" w:space="0" w:color="3D7FE0" w:themeColor="accent1"/>
            </w:tcBorders>
            <w:vAlign w:val="bottom"/>
          </w:tcPr>
          <w:p w14:paraId="71BEEF08" w14:textId="5447424D" w:rsidR="000D42FA" w:rsidRPr="00895810" w:rsidRDefault="000D42FA" w:rsidP="00172228">
            <w:pPr>
              <w:pStyle w:val="TableColHeadsBold"/>
              <w:rPr>
                <w:rFonts w:ascii="IBM Plex Sans Light" w:hAnsi="IBM Plex Sans Light"/>
              </w:rPr>
            </w:pPr>
            <w:r w:rsidRPr="00895810">
              <w:rPr>
                <w:rFonts w:ascii="IBM Plex Sans Light" w:hAnsi="IBM Plex Sans Light"/>
                <w:b w:val="0"/>
                <w:bCs w:val="0"/>
              </w:rPr>
              <w:t>100% share</w:t>
            </w:r>
          </w:p>
        </w:tc>
        <w:tc>
          <w:tcPr>
            <w:tcW w:w="992" w:type="dxa"/>
            <w:tcBorders>
              <w:top w:val="single" w:sz="2" w:space="0" w:color="3D7FE0" w:themeColor="accent1"/>
            </w:tcBorders>
          </w:tcPr>
          <w:p w14:paraId="6132ED9B" w14:textId="0B5D85FD" w:rsidR="000D42FA" w:rsidRPr="00895810" w:rsidRDefault="000D42FA" w:rsidP="00172228">
            <w:pPr>
              <w:pStyle w:val="TableColHeadsBold"/>
              <w:rPr>
                <w:rFonts w:ascii="IBM Plex Sans Light" w:hAnsi="IBM Plex Sans Light"/>
                <w:b w:val="0"/>
              </w:rPr>
            </w:pPr>
            <w:r w:rsidRPr="00895810">
              <w:rPr>
                <w:rFonts w:ascii="IBM Plex Sans Light" w:hAnsi="IBM Plex Sans Light"/>
                <w:b w:val="0"/>
              </w:rPr>
              <w:t>Group share</w:t>
            </w:r>
          </w:p>
        </w:tc>
        <w:tc>
          <w:tcPr>
            <w:tcW w:w="993" w:type="dxa"/>
            <w:tcBorders>
              <w:top w:val="single" w:sz="2" w:space="0" w:color="3D7FE0" w:themeColor="accent1"/>
            </w:tcBorders>
            <w:vAlign w:val="bottom"/>
          </w:tcPr>
          <w:p w14:paraId="44E4E8D0" w14:textId="5C4757E3" w:rsidR="000D42FA" w:rsidRPr="00895810" w:rsidRDefault="000D42FA" w:rsidP="00172228">
            <w:pPr>
              <w:pStyle w:val="TableColHeadsBold"/>
              <w:rPr>
                <w:rFonts w:ascii="IBM Plex Sans Light" w:hAnsi="IBM Plex Sans Light"/>
              </w:rPr>
            </w:pPr>
            <w:r w:rsidRPr="00895810">
              <w:rPr>
                <w:rFonts w:ascii="IBM Plex Sans Light" w:hAnsi="IBM Plex Sans Light"/>
                <w:b w:val="0"/>
                <w:bCs w:val="0"/>
              </w:rPr>
              <w:t>100%</w:t>
            </w:r>
            <w:r w:rsidR="0053048A">
              <w:rPr>
                <w:rFonts w:ascii="IBM Plex Sans Light" w:hAnsi="IBM Plex Sans Light"/>
                <w:b w:val="0"/>
                <w:bCs w:val="0"/>
              </w:rPr>
              <w:br/>
            </w:r>
            <w:r w:rsidRPr="00895810">
              <w:rPr>
                <w:rFonts w:ascii="IBM Plex Sans Light" w:hAnsi="IBM Plex Sans Light"/>
                <w:b w:val="0"/>
                <w:bCs w:val="0"/>
              </w:rPr>
              <w:t xml:space="preserve"> share</w:t>
            </w:r>
            <w:r w:rsidRPr="00895810">
              <w:rPr>
                <w:rFonts w:ascii="IBM Plex Sans Light" w:hAnsi="IBM Plex Sans Light"/>
                <w:b w:val="0"/>
              </w:rPr>
              <w:t xml:space="preserve"> </w:t>
            </w:r>
          </w:p>
        </w:tc>
        <w:tc>
          <w:tcPr>
            <w:tcW w:w="992" w:type="dxa"/>
            <w:tcBorders>
              <w:top w:val="single" w:sz="2" w:space="0" w:color="3D7FE0" w:themeColor="accent1"/>
            </w:tcBorders>
            <w:vAlign w:val="bottom"/>
          </w:tcPr>
          <w:p w14:paraId="1CC4446A" w14:textId="5B59152B" w:rsidR="000D42FA" w:rsidRPr="00895810" w:rsidRDefault="000D42FA" w:rsidP="00172228">
            <w:pPr>
              <w:pStyle w:val="TableColHeadsBold"/>
              <w:rPr>
                <w:rFonts w:ascii="IBM Plex Sans Light" w:hAnsi="IBM Plex Sans Light"/>
              </w:rPr>
            </w:pPr>
            <w:r w:rsidRPr="00895810">
              <w:rPr>
                <w:rFonts w:ascii="IBM Plex Sans Light" w:hAnsi="IBM Plex Sans Light"/>
                <w:b w:val="0"/>
              </w:rPr>
              <w:t>Group</w:t>
            </w:r>
            <w:r w:rsidR="0053048A">
              <w:rPr>
                <w:rFonts w:ascii="IBM Plex Sans Light" w:hAnsi="IBM Plex Sans Light"/>
                <w:b w:val="0"/>
              </w:rPr>
              <w:br/>
            </w:r>
            <w:r w:rsidRPr="00895810">
              <w:rPr>
                <w:rFonts w:ascii="IBM Plex Sans Light" w:hAnsi="IBM Plex Sans Light"/>
                <w:b w:val="0"/>
              </w:rPr>
              <w:t xml:space="preserve"> share</w:t>
            </w:r>
          </w:p>
        </w:tc>
      </w:tr>
      <w:tr w:rsidR="0053048A" w:rsidRPr="00895810" w14:paraId="3A5F695F" w14:textId="77777777" w:rsidTr="00024B10">
        <w:trPr>
          <w:trHeight w:val="54"/>
        </w:trPr>
        <w:tc>
          <w:tcPr>
            <w:tcW w:w="3828" w:type="dxa"/>
            <w:tcBorders>
              <w:bottom w:val="single" w:sz="2" w:space="0" w:color="3D7FE0" w:themeColor="accent1"/>
            </w:tcBorders>
            <w:tcMar>
              <w:left w:w="0" w:type="dxa"/>
              <w:bottom w:w="28" w:type="dxa"/>
              <w:right w:w="0" w:type="dxa"/>
            </w:tcMar>
            <w:vAlign w:val="bottom"/>
          </w:tcPr>
          <w:p w14:paraId="7CA4F917" w14:textId="77777777" w:rsidR="000D42FA" w:rsidRPr="00895810" w:rsidRDefault="000D42FA" w:rsidP="00172228">
            <w:pPr>
              <w:pStyle w:val="TableColHeadsBold"/>
              <w:rPr>
                <w:rFonts w:ascii="IBM Plex Sans Light" w:hAnsi="IBM Plex Sans Light"/>
              </w:rPr>
            </w:pPr>
          </w:p>
        </w:tc>
        <w:tc>
          <w:tcPr>
            <w:tcW w:w="1134" w:type="dxa"/>
            <w:tcBorders>
              <w:bottom w:val="single" w:sz="2" w:space="0" w:color="3D7FE0" w:themeColor="accent1"/>
            </w:tcBorders>
            <w:vAlign w:val="bottom"/>
          </w:tcPr>
          <w:p w14:paraId="6AF1BADD" w14:textId="5E2F81AA" w:rsidR="000D42FA" w:rsidRPr="00895810" w:rsidRDefault="000D42FA" w:rsidP="00172228">
            <w:pPr>
              <w:pStyle w:val="TableColHeadsBold"/>
              <w:rPr>
                <w:rFonts w:ascii="IBM Plex Sans Light" w:hAnsi="IBM Plex Sans Light"/>
              </w:rPr>
            </w:pPr>
            <w:r w:rsidRPr="00895810">
              <w:rPr>
                <w:rFonts w:ascii="IBM Plex Sans Light" w:hAnsi="IBM Plex Sans Light"/>
                <w:b w:val="0"/>
              </w:rPr>
              <w:t xml:space="preserve">£m </w:t>
            </w:r>
          </w:p>
        </w:tc>
        <w:tc>
          <w:tcPr>
            <w:tcW w:w="992" w:type="dxa"/>
            <w:tcBorders>
              <w:bottom w:val="single" w:sz="2" w:space="0" w:color="3D7FE0" w:themeColor="accent1"/>
            </w:tcBorders>
          </w:tcPr>
          <w:p w14:paraId="5C26B045" w14:textId="363AE64C" w:rsidR="000D42FA" w:rsidRPr="00895810" w:rsidRDefault="000D42FA" w:rsidP="00172228">
            <w:pPr>
              <w:pStyle w:val="TableColHeadsBold"/>
              <w:rPr>
                <w:rFonts w:ascii="IBM Plex Sans Light" w:hAnsi="IBM Plex Sans Light"/>
                <w:b w:val="0"/>
              </w:rPr>
            </w:pPr>
            <w:r w:rsidRPr="00895810">
              <w:rPr>
                <w:rFonts w:ascii="IBM Plex Sans Light" w:hAnsi="IBM Plex Sans Light"/>
                <w:b w:val="0"/>
              </w:rPr>
              <w:t>£m</w:t>
            </w:r>
          </w:p>
        </w:tc>
        <w:tc>
          <w:tcPr>
            <w:tcW w:w="992" w:type="dxa"/>
            <w:tcBorders>
              <w:bottom w:val="single" w:sz="2" w:space="0" w:color="3D7FE0" w:themeColor="accent1"/>
            </w:tcBorders>
            <w:vAlign w:val="bottom"/>
          </w:tcPr>
          <w:p w14:paraId="569A9E47" w14:textId="3F23D171" w:rsidR="000D42FA" w:rsidRPr="00895810" w:rsidRDefault="000D42FA" w:rsidP="00172228">
            <w:pPr>
              <w:pStyle w:val="TableColHeadsBold"/>
              <w:rPr>
                <w:rFonts w:ascii="IBM Plex Sans Light" w:hAnsi="IBM Plex Sans Light"/>
              </w:rPr>
            </w:pPr>
            <w:r w:rsidRPr="00895810">
              <w:rPr>
                <w:rFonts w:ascii="IBM Plex Sans Light" w:hAnsi="IBM Plex Sans Light"/>
                <w:b w:val="0"/>
              </w:rPr>
              <w:t>£m</w:t>
            </w:r>
          </w:p>
        </w:tc>
        <w:tc>
          <w:tcPr>
            <w:tcW w:w="992" w:type="dxa"/>
            <w:tcBorders>
              <w:bottom w:val="single" w:sz="2" w:space="0" w:color="3D7FE0" w:themeColor="accent1"/>
            </w:tcBorders>
          </w:tcPr>
          <w:p w14:paraId="11C6FDB3" w14:textId="1D6BE36F" w:rsidR="000D42FA" w:rsidRPr="00895810" w:rsidRDefault="000D42FA" w:rsidP="00172228">
            <w:pPr>
              <w:pStyle w:val="TableColHeadsBold"/>
              <w:rPr>
                <w:rFonts w:ascii="IBM Plex Sans Light" w:hAnsi="IBM Plex Sans Light"/>
                <w:b w:val="0"/>
              </w:rPr>
            </w:pPr>
            <w:r w:rsidRPr="00895810">
              <w:rPr>
                <w:rFonts w:ascii="IBM Plex Sans Light" w:hAnsi="IBM Plex Sans Light"/>
                <w:b w:val="0"/>
              </w:rPr>
              <w:t>£m</w:t>
            </w:r>
          </w:p>
        </w:tc>
        <w:tc>
          <w:tcPr>
            <w:tcW w:w="993" w:type="dxa"/>
            <w:tcBorders>
              <w:bottom w:val="single" w:sz="2" w:space="0" w:color="3D7FE0" w:themeColor="accent1"/>
            </w:tcBorders>
            <w:vAlign w:val="bottom"/>
          </w:tcPr>
          <w:p w14:paraId="04B6FC83" w14:textId="79D23EFA" w:rsidR="000D42FA" w:rsidRPr="00895810" w:rsidRDefault="000D42FA" w:rsidP="00172228">
            <w:pPr>
              <w:pStyle w:val="TableColHeadsBold"/>
              <w:rPr>
                <w:rFonts w:ascii="IBM Plex Sans Light" w:hAnsi="IBM Plex Sans Light"/>
              </w:rPr>
            </w:pPr>
            <w:r w:rsidRPr="00895810">
              <w:rPr>
                <w:rFonts w:ascii="IBM Plex Sans Light" w:hAnsi="IBM Plex Sans Light"/>
                <w:b w:val="0"/>
              </w:rPr>
              <w:t xml:space="preserve">£m </w:t>
            </w:r>
          </w:p>
        </w:tc>
        <w:tc>
          <w:tcPr>
            <w:tcW w:w="992" w:type="dxa"/>
            <w:tcBorders>
              <w:bottom w:val="single" w:sz="2" w:space="0" w:color="3D7FE0" w:themeColor="accent1"/>
            </w:tcBorders>
            <w:vAlign w:val="bottom"/>
          </w:tcPr>
          <w:p w14:paraId="7B01E495" w14:textId="5A22C70E" w:rsidR="000D42FA" w:rsidRPr="00895810" w:rsidRDefault="000D42FA" w:rsidP="00172228">
            <w:pPr>
              <w:pStyle w:val="TableColHeadsBold"/>
              <w:rPr>
                <w:rFonts w:ascii="IBM Plex Sans Light" w:hAnsi="IBM Plex Sans Light"/>
              </w:rPr>
            </w:pPr>
            <w:r w:rsidRPr="00895810">
              <w:rPr>
                <w:rFonts w:ascii="IBM Plex Sans Light" w:hAnsi="IBM Plex Sans Light"/>
                <w:b w:val="0"/>
              </w:rPr>
              <w:t xml:space="preserve">£m </w:t>
            </w:r>
          </w:p>
        </w:tc>
      </w:tr>
      <w:tr w:rsidR="0053048A" w:rsidRPr="00895810" w14:paraId="78D1DE91" w14:textId="12AB34C6" w:rsidTr="00024B10">
        <w:trPr>
          <w:trHeight w:val="170"/>
        </w:trPr>
        <w:tc>
          <w:tcPr>
            <w:tcW w:w="3828" w:type="dxa"/>
            <w:tcBorders>
              <w:top w:val="single" w:sz="2" w:space="0" w:color="3D7FE0" w:themeColor="accent1"/>
              <w:bottom w:val="single" w:sz="2" w:space="0" w:color="3D7FE0" w:themeColor="accent1"/>
            </w:tcBorders>
            <w:tcMar>
              <w:left w:w="0" w:type="dxa"/>
              <w:right w:w="0" w:type="dxa"/>
            </w:tcMar>
            <w:vAlign w:val="bottom"/>
          </w:tcPr>
          <w:p w14:paraId="52DCB9D4" w14:textId="77777777" w:rsidR="000D42FA" w:rsidRPr="00895810" w:rsidRDefault="000D42FA" w:rsidP="00172228">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Gross rental income</w:t>
            </w:r>
          </w:p>
        </w:tc>
        <w:tc>
          <w:tcPr>
            <w:tcW w:w="1134" w:type="dxa"/>
            <w:tcBorders>
              <w:top w:val="single" w:sz="2" w:space="0" w:color="3D7FE0" w:themeColor="accent1"/>
              <w:bottom w:val="single" w:sz="2" w:space="0" w:color="3D7FE0" w:themeColor="accent1"/>
            </w:tcBorders>
            <w:vAlign w:val="bottom"/>
          </w:tcPr>
          <w:p w14:paraId="4D144128" w14:textId="033B4605"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434.1</w:t>
            </w:r>
          </w:p>
        </w:tc>
        <w:tc>
          <w:tcPr>
            <w:tcW w:w="992" w:type="dxa"/>
            <w:tcBorders>
              <w:top w:val="single" w:sz="2" w:space="0" w:color="3D7FE0" w:themeColor="accent1"/>
              <w:bottom w:val="single" w:sz="2" w:space="0" w:color="3D7FE0" w:themeColor="accent1"/>
            </w:tcBorders>
            <w:vAlign w:val="bottom"/>
          </w:tcPr>
          <w:p w14:paraId="1EFDAB18" w14:textId="61002AF1"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148.0</w:t>
            </w:r>
          </w:p>
        </w:tc>
        <w:tc>
          <w:tcPr>
            <w:tcW w:w="992" w:type="dxa"/>
            <w:tcBorders>
              <w:top w:val="single" w:sz="2" w:space="0" w:color="3D7FE0" w:themeColor="accent1"/>
              <w:bottom w:val="single" w:sz="2" w:space="0" w:color="3D7FE0" w:themeColor="accent1"/>
            </w:tcBorders>
            <w:vAlign w:val="bottom"/>
          </w:tcPr>
          <w:p w14:paraId="1D148256" w14:textId="53452733"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22.4</w:t>
            </w:r>
          </w:p>
        </w:tc>
        <w:tc>
          <w:tcPr>
            <w:tcW w:w="992" w:type="dxa"/>
            <w:tcBorders>
              <w:top w:val="single" w:sz="2" w:space="0" w:color="3D7FE0" w:themeColor="accent1"/>
              <w:bottom w:val="single" w:sz="2" w:space="0" w:color="3D7FE0" w:themeColor="accent1"/>
            </w:tcBorders>
            <w:vAlign w:val="bottom"/>
          </w:tcPr>
          <w:p w14:paraId="79D25D99" w14:textId="6890F0FC" w:rsidR="000D42FA" w:rsidRPr="00024B10" w:rsidRDefault="00143EA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5.6</w:t>
            </w:r>
          </w:p>
        </w:tc>
        <w:tc>
          <w:tcPr>
            <w:tcW w:w="993" w:type="dxa"/>
            <w:tcBorders>
              <w:top w:val="single" w:sz="2" w:space="0" w:color="3D7FE0" w:themeColor="accent1"/>
              <w:bottom w:val="single" w:sz="2" w:space="0" w:color="3D7FE0" w:themeColor="accent1"/>
            </w:tcBorders>
            <w:vAlign w:val="bottom"/>
          </w:tcPr>
          <w:p w14:paraId="36D8D8D0" w14:textId="19FF7FB1"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456.5</w:t>
            </w:r>
          </w:p>
        </w:tc>
        <w:tc>
          <w:tcPr>
            <w:tcW w:w="992" w:type="dxa"/>
            <w:tcBorders>
              <w:top w:val="single" w:sz="2" w:space="0" w:color="3D7FE0" w:themeColor="accent1"/>
              <w:bottom w:val="single" w:sz="2" w:space="0" w:color="3D7FE0" w:themeColor="accent1"/>
            </w:tcBorders>
            <w:vAlign w:val="bottom"/>
          </w:tcPr>
          <w:p w14:paraId="3802668D" w14:textId="393F8622"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153.6</w:t>
            </w:r>
          </w:p>
        </w:tc>
      </w:tr>
      <w:tr w:rsidR="0053048A" w:rsidRPr="00895810" w14:paraId="3D7FB7DF" w14:textId="77777777" w:rsidTr="00024B10">
        <w:trPr>
          <w:trHeight w:val="431"/>
        </w:trPr>
        <w:tc>
          <w:tcPr>
            <w:tcW w:w="3828" w:type="dxa"/>
            <w:tcBorders>
              <w:top w:val="single" w:sz="2" w:space="0" w:color="3D7FE0" w:themeColor="accent1"/>
            </w:tcBorders>
            <w:tcMar>
              <w:left w:w="0" w:type="dxa"/>
              <w:right w:w="0" w:type="dxa"/>
            </w:tcMar>
            <w:vAlign w:val="bottom"/>
          </w:tcPr>
          <w:p w14:paraId="265457BD" w14:textId="77777777" w:rsidR="000D42FA" w:rsidRPr="00895810" w:rsidRDefault="000D42FA" w:rsidP="00172228">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Net rental income</w:t>
            </w:r>
          </w:p>
        </w:tc>
        <w:tc>
          <w:tcPr>
            <w:tcW w:w="1134" w:type="dxa"/>
            <w:tcBorders>
              <w:top w:val="single" w:sz="2" w:space="0" w:color="3D7FE0" w:themeColor="accent1"/>
            </w:tcBorders>
            <w:vAlign w:val="bottom"/>
          </w:tcPr>
          <w:p w14:paraId="5752E517" w14:textId="55098C69"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288.5</w:t>
            </w:r>
          </w:p>
        </w:tc>
        <w:tc>
          <w:tcPr>
            <w:tcW w:w="992" w:type="dxa"/>
            <w:tcBorders>
              <w:top w:val="single" w:sz="2" w:space="0" w:color="3D7FE0" w:themeColor="accent1"/>
            </w:tcBorders>
            <w:vAlign w:val="bottom"/>
          </w:tcPr>
          <w:p w14:paraId="0C7E712B" w14:textId="3E636056"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101.3</w:t>
            </w:r>
          </w:p>
        </w:tc>
        <w:tc>
          <w:tcPr>
            <w:tcW w:w="992" w:type="dxa"/>
            <w:tcBorders>
              <w:top w:val="single" w:sz="2" w:space="0" w:color="3D7FE0" w:themeColor="accent1"/>
            </w:tcBorders>
            <w:vAlign w:val="bottom"/>
          </w:tcPr>
          <w:p w14:paraId="222B98C5" w14:textId="049969DA"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17.8</w:t>
            </w:r>
          </w:p>
        </w:tc>
        <w:tc>
          <w:tcPr>
            <w:tcW w:w="992" w:type="dxa"/>
            <w:tcBorders>
              <w:top w:val="single" w:sz="2" w:space="0" w:color="3D7FE0" w:themeColor="accent1"/>
            </w:tcBorders>
            <w:vAlign w:val="bottom"/>
          </w:tcPr>
          <w:p w14:paraId="22FDDCFF" w14:textId="5E71F16C" w:rsidR="000D42FA" w:rsidRPr="00024B10" w:rsidRDefault="00143EA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4.4</w:t>
            </w:r>
          </w:p>
        </w:tc>
        <w:tc>
          <w:tcPr>
            <w:tcW w:w="993" w:type="dxa"/>
            <w:tcBorders>
              <w:top w:val="single" w:sz="2" w:space="0" w:color="3D7FE0" w:themeColor="accent1"/>
            </w:tcBorders>
            <w:vAlign w:val="bottom"/>
          </w:tcPr>
          <w:p w14:paraId="7D90893E" w14:textId="165DAE8C"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306.3</w:t>
            </w:r>
          </w:p>
        </w:tc>
        <w:tc>
          <w:tcPr>
            <w:tcW w:w="992" w:type="dxa"/>
            <w:tcBorders>
              <w:top w:val="single" w:sz="2" w:space="0" w:color="3D7FE0" w:themeColor="accent1"/>
            </w:tcBorders>
            <w:vAlign w:val="bottom"/>
          </w:tcPr>
          <w:p w14:paraId="2CEDFAE6" w14:textId="7233EF06"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105.7</w:t>
            </w:r>
          </w:p>
        </w:tc>
      </w:tr>
      <w:tr w:rsidR="0053048A" w:rsidRPr="00895810" w14:paraId="42DE1926" w14:textId="40BF0845" w:rsidTr="00024B10">
        <w:trPr>
          <w:trHeight w:val="170"/>
        </w:trPr>
        <w:tc>
          <w:tcPr>
            <w:tcW w:w="3828" w:type="dxa"/>
            <w:tcBorders>
              <w:bottom w:val="single" w:sz="2" w:space="0" w:color="3D7FE0" w:themeColor="accent1"/>
            </w:tcBorders>
            <w:tcMar>
              <w:left w:w="0" w:type="dxa"/>
              <w:right w:w="0" w:type="dxa"/>
            </w:tcMar>
            <w:vAlign w:val="bottom"/>
          </w:tcPr>
          <w:p w14:paraId="58EE23BE" w14:textId="77777777" w:rsidR="000D42FA" w:rsidRPr="00895810" w:rsidRDefault="000D42FA" w:rsidP="00172228">
            <w:pPr>
              <w:pStyle w:val="Tabletext"/>
              <w:rPr>
                <w:rFonts w:ascii="IBM Plex Sans Light" w:hAnsi="IBM Plex Sans Light"/>
                <w:spacing w:val="-4"/>
                <w:sz w:val="18"/>
                <w:szCs w:val="18"/>
              </w:rPr>
            </w:pPr>
            <w:r w:rsidRPr="00895810">
              <w:rPr>
                <w:rFonts w:ascii="IBM Plex Sans Light" w:hAnsi="IBM Plex Sans Light"/>
                <w:spacing w:val="-4"/>
                <w:sz w:val="18"/>
                <w:szCs w:val="18"/>
              </w:rPr>
              <w:t>Administration expenses</w:t>
            </w:r>
          </w:p>
        </w:tc>
        <w:tc>
          <w:tcPr>
            <w:tcW w:w="1134" w:type="dxa"/>
            <w:tcBorders>
              <w:bottom w:val="single" w:sz="2" w:space="0" w:color="3D7FE0" w:themeColor="accent1"/>
            </w:tcBorders>
            <w:vAlign w:val="bottom"/>
          </w:tcPr>
          <w:p w14:paraId="7BAD1A2D" w14:textId="4D65B449"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(144.3)</w:t>
            </w:r>
          </w:p>
        </w:tc>
        <w:tc>
          <w:tcPr>
            <w:tcW w:w="992" w:type="dxa"/>
            <w:tcBorders>
              <w:bottom w:val="single" w:sz="2" w:space="0" w:color="3D7FE0" w:themeColor="accent1"/>
            </w:tcBorders>
            <w:vAlign w:val="bottom"/>
          </w:tcPr>
          <w:p w14:paraId="3FC3BFED" w14:textId="6BD1C4C2"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(48.0)</w:t>
            </w:r>
          </w:p>
        </w:tc>
        <w:tc>
          <w:tcPr>
            <w:tcW w:w="992" w:type="dxa"/>
            <w:tcBorders>
              <w:bottom w:val="single" w:sz="2" w:space="0" w:color="3D7FE0" w:themeColor="accent1"/>
            </w:tcBorders>
            <w:vAlign w:val="bottom"/>
          </w:tcPr>
          <w:p w14:paraId="3AD22BC1" w14:textId="69C82F19"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(0.1)</w:t>
            </w:r>
          </w:p>
        </w:tc>
        <w:tc>
          <w:tcPr>
            <w:tcW w:w="992" w:type="dxa"/>
            <w:tcBorders>
              <w:bottom w:val="single" w:sz="2" w:space="0" w:color="3D7FE0" w:themeColor="accent1"/>
            </w:tcBorders>
            <w:vAlign w:val="bottom"/>
          </w:tcPr>
          <w:p w14:paraId="13F5C91E" w14:textId="7E63DE0C"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tcBorders>
              <w:bottom w:val="single" w:sz="2" w:space="0" w:color="3D7FE0" w:themeColor="accent1"/>
            </w:tcBorders>
            <w:vAlign w:val="bottom"/>
          </w:tcPr>
          <w:p w14:paraId="2BE56B3F" w14:textId="0013D598"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(144.4)</w:t>
            </w:r>
          </w:p>
        </w:tc>
        <w:tc>
          <w:tcPr>
            <w:tcW w:w="992" w:type="dxa"/>
            <w:tcBorders>
              <w:bottom w:val="single" w:sz="2" w:space="0" w:color="3D7FE0" w:themeColor="accent1"/>
            </w:tcBorders>
            <w:vAlign w:val="bottom"/>
          </w:tcPr>
          <w:p w14:paraId="1B502B74" w14:textId="43C5869E"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(48.0)</w:t>
            </w:r>
          </w:p>
        </w:tc>
      </w:tr>
      <w:tr w:rsidR="0053048A" w:rsidRPr="00895810" w14:paraId="5071D617" w14:textId="6D9FB344" w:rsidTr="00024B10">
        <w:trPr>
          <w:trHeight w:val="170"/>
        </w:trPr>
        <w:tc>
          <w:tcPr>
            <w:tcW w:w="3828" w:type="dxa"/>
            <w:tcBorders>
              <w:top w:val="single" w:sz="2" w:space="0" w:color="3D7FE0" w:themeColor="accent1"/>
            </w:tcBorders>
            <w:tcMar>
              <w:left w:w="0" w:type="dxa"/>
              <w:right w:w="0" w:type="dxa"/>
            </w:tcMar>
            <w:vAlign w:val="bottom"/>
          </w:tcPr>
          <w:p w14:paraId="5D779A93" w14:textId="77777777" w:rsidR="000D42FA" w:rsidRPr="00895810" w:rsidRDefault="000D42FA" w:rsidP="00172228">
            <w:pPr>
              <w:pStyle w:val="TabletextBold"/>
              <w:rPr>
                <w:rFonts w:ascii="IBM Plex Sans Light" w:hAnsi="IBM Plex Sans Light"/>
                <w:b w:val="0"/>
                <w:color w:val="3D7FE0" w:themeColor="accent1"/>
                <w:sz w:val="18"/>
                <w:szCs w:val="18"/>
              </w:rPr>
            </w:pPr>
            <w:r w:rsidRPr="00895810">
              <w:rPr>
                <w:rFonts w:ascii="IBM Plex Sans Light" w:hAnsi="IBM Plex Sans Light"/>
                <w:bCs/>
                <w:color w:val="3D7FE0" w:themeColor="accent1"/>
                <w:sz w:val="18"/>
                <w:szCs w:val="18"/>
              </w:rPr>
              <w:t>Profit from operating activities</w:t>
            </w:r>
          </w:p>
        </w:tc>
        <w:tc>
          <w:tcPr>
            <w:tcW w:w="1134" w:type="dxa"/>
            <w:tcBorders>
              <w:top w:val="single" w:sz="2" w:space="0" w:color="3D7FE0" w:themeColor="accent1"/>
            </w:tcBorders>
            <w:vAlign w:val="bottom"/>
          </w:tcPr>
          <w:p w14:paraId="22AD2566" w14:textId="0BCA30D2"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144.2</w:t>
            </w:r>
          </w:p>
        </w:tc>
        <w:tc>
          <w:tcPr>
            <w:tcW w:w="992" w:type="dxa"/>
            <w:tcBorders>
              <w:top w:val="single" w:sz="2" w:space="0" w:color="3D7FE0" w:themeColor="accent1"/>
            </w:tcBorders>
            <w:vAlign w:val="bottom"/>
          </w:tcPr>
          <w:p w14:paraId="40E835FA" w14:textId="07216A1C"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53.3</w:t>
            </w:r>
          </w:p>
        </w:tc>
        <w:tc>
          <w:tcPr>
            <w:tcW w:w="992" w:type="dxa"/>
            <w:tcBorders>
              <w:top w:val="single" w:sz="2" w:space="0" w:color="3D7FE0" w:themeColor="accent1"/>
            </w:tcBorders>
            <w:vAlign w:val="bottom"/>
          </w:tcPr>
          <w:p w14:paraId="678090E5" w14:textId="53A6CBE0"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17.7</w:t>
            </w:r>
          </w:p>
        </w:tc>
        <w:tc>
          <w:tcPr>
            <w:tcW w:w="992" w:type="dxa"/>
            <w:tcBorders>
              <w:top w:val="single" w:sz="2" w:space="0" w:color="3D7FE0" w:themeColor="accent1"/>
            </w:tcBorders>
            <w:vAlign w:val="bottom"/>
          </w:tcPr>
          <w:p w14:paraId="14A7EE68" w14:textId="6B528FB0" w:rsidR="000D42FA" w:rsidRPr="00024B10" w:rsidRDefault="00143EA5"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4.4</w:t>
            </w:r>
          </w:p>
        </w:tc>
        <w:tc>
          <w:tcPr>
            <w:tcW w:w="993" w:type="dxa"/>
            <w:tcBorders>
              <w:top w:val="single" w:sz="2" w:space="0" w:color="3D7FE0" w:themeColor="accent1"/>
            </w:tcBorders>
            <w:vAlign w:val="bottom"/>
          </w:tcPr>
          <w:p w14:paraId="4A438F09" w14:textId="57312D69"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161.9</w:t>
            </w:r>
          </w:p>
        </w:tc>
        <w:tc>
          <w:tcPr>
            <w:tcW w:w="992" w:type="dxa"/>
            <w:tcBorders>
              <w:top w:val="single" w:sz="2" w:space="0" w:color="3D7FE0" w:themeColor="accent1"/>
            </w:tcBorders>
            <w:vAlign w:val="bottom"/>
          </w:tcPr>
          <w:p w14:paraId="1CD3310D" w14:textId="056871D5"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57.7</w:t>
            </w:r>
          </w:p>
        </w:tc>
      </w:tr>
      <w:tr w:rsidR="0053048A" w:rsidRPr="00895810" w14:paraId="37DDE666" w14:textId="6D0D7EF6" w:rsidTr="00024B10">
        <w:trPr>
          <w:trHeight w:val="170"/>
        </w:trPr>
        <w:tc>
          <w:tcPr>
            <w:tcW w:w="3828" w:type="dxa"/>
            <w:tcBorders>
              <w:bottom w:val="single" w:sz="2" w:space="0" w:color="3D7FE0" w:themeColor="accent1"/>
            </w:tcBorders>
            <w:tcMar>
              <w:left w:w="0" w:type="dxa"/>
              <w:right w:w="0" w:type="dxa"/>
            </w:tcMar>
            <w:vAlign w:val="bottom"/>
          </w:tcPr>
          <w:p w14:paraId="3A2EFE48" w14:textId="02C70C94" w:rsidR="000D42FA" w:rsidRPr="00895810" w:rsidRDefault="000D42FA" w:rsidP="00172228">
            <w:pPr>
              <w:pStyle w:val="TabletextBold"/>
              <w:rPr>
                <w:rFonts w:ascii="IBM Plex Sans Light" w:hAnsi="IBM Plex Sans Light"/>
                <w:b w:val="0"/>
                <w:bCs/>
                <w:sz w:val="18"/>
                <w:szCs w:val="18"/>
              </w:rPr>
            </w:pPr>
            <w:r w:rsidRPr="00895810">
              <w:rPr>
                <w:rFonts w:ascii="IBM Plex Sans Light" w:hAnsi="IBM Plex Sans Light"/>
                <w:b w:val="0"/>
                <w:bCs/>
                <w:sz w:val="18"/>
                <w:szCs w:val="18"/>
              </w:rPr>
              <w:t>Revaluation losses on properties</w:t>
            </w:r>
          </w:p>
        </w:tc>
        <w:tc>
          <w:tcPr>
            <w:tcW w:w="1134" w:type="dxa"/>
            <w:tcBorders>
              <w:bottom w:val="single" w:sz="2" w:space="0" w:color="3D7FE0" w:themeColor="accent1"/>
            </w:tcBorders>
            <w:vAlign w:val="bottom"/>
          </w:tcPr>
          <w:p w14:paraId="39CC88E5" w14:textId="12E3ADBB"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(98.1)</w:t>
            </w:r>
          </w:p>
        </w:tc>
        <w:tc>
          <w:tcPr>
            <w:tcW w:w="992" w:type="dxa"/>
            <w:tcBorders>
              <w:bottom w:val="single" w:sz="2" w:space="0" w:color="3D7FE0" w:themeColor="accent1"/>
            </w:tcBorders>
            <w:vAlign w:val="bottom"/>
          </w:tcPr>
          <w:p w14:paraId="66803DE4" w14:textId="166FE83C"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(60.7)</w:t>
            </w:r>
          </w:p>
        </w:tc>
        <w:tc>
          <w:tcPr>
            <w:tcW w:w="992" w:type="dxa"/>
            <w:tcBorders>
              <w:bottom w:val="single" w:sz="2" w:space="0" w:color="3D7FE0" w:themeColor="accent1"/>
            </w:tcBorders>
            <w:vAlign w:val="bottom"/>
          </w:tcPr>
          <w:p w14:paraId="76AC97D3" w14:textId="276B9D5A"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(24.8)</w:t>
            </w:r>
          </w:p>
        </w:tc>
        <w:tc>
          <w:tcPr>
            <w:tcW w:w="992" w:type="dxa"/>
            <w:tcBorders>
              <w:bottom w:val="single" w:sz="2" w:space="0" w:color="3D7FE0" w:themeColor="accent1"/>
            </w:tcBorders>
            <w:vAlign w:val="bottom"/>
          </w:tcPr>
          <w:p w14:paraId="6C80D01C" w14:textId="0CC6F819" w:rsidR="000D42FA" w:rsidRPr="00024B10" w:rsidRDefault="00143EA5"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(6.2)</w:t>
            </w:r>
          </w:p>
        </w:tc>
        <w:tc>
          <w:tcPr>
            <w:tcW w:w="993" w:type="dxa"/>
            <w:tcBorders>
              <w:bottom w:val="single" w:sz="2" w:space="0" w:color="3D7FE0" w:themeColor="accent1"/>
            </w:tcBorders>
            <w:vAlign w:val="bottom"/>
          </w:tcPr>
          <w:p w14:paraId="5649634D" w14:textId="0971C435"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(122.9)</w:t>
            </w:r>
          </w:p>
        </w:tc>
        <w:tc>
          <w:tcPr>
            <w:tcW w:w="992" w:type="dxa"/>
            <w:tcBorders>
              <w:bottom w:val="single" w:sz="2" w:space="0" w:color="3D7FE0" w:themeColor="accent1"/>
            </w:tcBorders>
            <w:vAlign w:val="bottom"/>
          </w:tcPr>
          <w:p w14:paraId="58735F4E" w14:textId="4ED783F2"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(66.9)</w:t>
            </w:r>
          </w:p>
        </w:tc>
      </w:tr>
      <w:tr w:rsidR="0053048A" w:rsidRPr="00895810" w14:paraId="6BDFAE56" w14:textId="5D1C2779" w:rsidTr="00024B10">
        <w:trPr>
          <w:trHeight w:val="170"/>
        </w:trPr>
        <w:tc>
          <w:tcPr>
            <w:tcW w:w="3828" w:type="dxa"/>
            <w:tcBorders>
              <w:top w:val="single" w:sz="2" w:space="0" w:color="3D7FE0" w:themeColor="accent1"/>
            </w:tcBorders>
            <w:tcMar>
              <w:left w:w="0" w:type="dxa"/>
              <w:right w:w="0" w:type="dxa"/>
            </w:tcMar>
            <w:vAlign w:val="bottom"/>
          </w:tcPr>
          <w:p w14:paraId="56DCB384" w14:textId="77777777" w:rsidR="000D42FA" w:rsidRPr="00895810" w:rsidRDefault="000D42FA" w:rsidP="00172228">
            <w:pPr>
              <w:pStyle w:val="Tabletex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Operating profit/(loss)</w:t>
            </w:r>
          </w:p>
        </w:tc>
        <w:tc>
          <w:tcPr>
            <w:tcW w:w="1134" w:type="dxa"/>
            <w:tcBorders>
              <w:top w:val="single" w:sz="2" w:space="0" w:color="3D7FE0" w:themeColor="accent1"/>
            </w:tcBorders>
            <w:vAlign w:val="bottom"/>
          </w:tcPr>
          <w:p w14:paraId="1C233BA1" w14:textId="3CEDC1B7"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46.1</w:t>
            </w:r>
          </w:p>
        </w:tc>
        <w:tc>
          <w:tcPr>
            <w:tcW w:w="992" w:type="dxa"/>
            <w:tcBorders>
              <w:top w:val="single" w:sz="2" w:space="0" w:color="3D7FE0" w:themeColor="accent1"/>
            </w:tcBorders>
            <w:vAlign w:val="bottom"/>
          </w:tcPr>
          <w:p w14:paraId="21DEFB89" w14:textId="64D82689"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(7.4)</w:t>
            </w:r>
          </w:p>
        </w:tc>
        <w:tc>
          <w:tcPr>
            <w:tcW w:w="992" w:type="dxa"/>
            <w:tcBorders>
              <w:top w:val="single" w:sz="2" w:space="0" w:color="3D7FE0" w:themeColor="accent1"/>
            </w:tcBorders>
            <w:vAlign w:val="bottom"/>
          </w:tcPr>
          <w:p w14:paraId="0EB34DD5" w14:textId="60D33682"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(7.1)</w:t>
            </w:r>
          </w:p>
        </w:tc>
        <w:tc>
          <w:tcPr>
            <w:tcW w:w="992" w:type="dxa"/>
            <w:tcBorders>
              <w:top w:val="single" w:sz="2" w:space="0" w:color="3D7FE0" w:themeColor="accent1"/>
            </w:tcBorders>
            <w:vAlign w:val="bottom"/>
          </w:tcPr>
          <w:p w14:paraId="77E43558" w14:textId="5E9D7BDC"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(1.8)</w:t>
            </w:r>
          </w:p>
        </w:tc>
        <w:tc>
          <w:tcPr>
            <w:tcW w:w="993" w:type="dxa"/>
            <w:tcBorders>
              <w:top w:val="single" w:sz="2" w:space="0" w:color="3D7FE0" w:themeColor="accent1"/>
            </w:tcBorders>
            <w:vAlign w:val="bottom"/>
          </w:tcPr>
          <w:p w14:paraId="0FBD9CA7" w14:textId="24BCBE7B"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39.0</w:t>
            </w:r>
          </w:p>
        </w:tc>
        <w:tc>
          <w:tcPr>
            <w:tcW w:w="992" w:type="dxa"/>
            <w:tcBorders>
              <w:top w:val="single" w:sz="2" w:space="0" w:color="3D7FE0" w:themeColor="accent1"/>
            </w:tcBorders>
            <w:vAlign w:val="bottom"/>
          </w:tcPr>
          <w:p w14:paraId="782F75F3" w14:textId="7DADBE72"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(9.2)</w:t>
            </w:r>
          </w:p>
        </w:tc>
      </w:tr>
      <w:tr w:rsidR="0053048A" w:rsidRPr="00895810" w14:paraId="51AFB866" w14:textId="77777777" w:rsidTr="00024B10">
        <w:trPr>
          <w:trHeight w:hRule="exact" w:val="113"/>
        </w:trPr>
        <w:tc>
          <w:tcPr>
            <w:tcW w:w="3828" w:type="dxa"/>
            <w:tcMar>
              <w:left w:w="0" w:type="dxa"/>
              <w:right w:w="0" w:type="dxa"/>
            </w:tcMar>
            <w:vAlign w:val="bottom"/>
          </w:tcPr>
          <w:p w14:paraId="7F2FFBD8" w14:textId="77777777" w:rsidR="000D42FA" w:rsidRPr="00895810" w:rsidRDefault="000D42FA" w:rsidP="00172228">
            <w:pPr>
              <w:pStyle w:val="Tabletext"/>
              <w:rPr>
                <w:rFonts w:ascii="IBM Plex Sans Light" w:hAnsi="IBM Plex Sans Light"/>
                <w:spacing w:val="-4"/>
                <w:sz w:val="14"/>
                <w:szCs w:val="14"/>
              </w:rPr>
            </w:pPr>
          </w:p>
        </w:tc>
        <w:tc>
          <w:tcPr>
            <w:tcW w:w="1134" w:type="dxa"/>
            <w:vAlign w:val="bottom"/>
          </w:tcPr>
          <w:p w14:paraId="041957EF" w14:textId="77777777" w:rsidR="000D42FA" w:rsidRPr="00024B10" w:rsidRDefault="000D42FA" w:rsidP="008B3C5C">
            <w:pPr>
              <w:pStyle w:val="TableFiguresBold"/>
              <w:rPr>
                <w:rFonts w:ascii="IBM Plex Sans Light" w:hAnsi="IBM Plex Sans Light"/>
                <w:bCs w:val="0"/>
                <w:color w:val="000000" w:themeColor="text1"/>
                <w:sz w:val="18"/>
                <w:szCs w:val="18"/>
              </w:rPr>
            </w:pPr>
          </w:p>
        </w:tc>
        <w:tc>
          <w:tcPr>
            <w:tcW w:w="992" w:type="dxa"/>
            <w:vAlign w:val="bottom"/>
          </w:tcPr>
          <w:p w14:paraId="6318AFDD" w14:textId="77777777" w:rsidR="000D42FA" w:rsidRPr="00024B10" w:rsidRDefault="000D42FA" w:rsidP="008B3C5C">
            <w:pPr>
              <w:pStyle w:val="TableFiguresBold"/>
              <w:rPr>
                <w:rFonts w:ascii="IBM Plex Sans Light" w:hAnsi="IBM Plex Sans Light"/>
                <w:bCs w:val="0"/>
                <w:color w:val="000000" w:themeColor="text1"/>
                <w:sz w:val="18"/>
                <w:szCs w:val="18"/>
              </w:rPr>
            </w:pPr>
          </w:p>
        </w:tc>
        <w:tc>
          <w:tcPr>
            <w:tcW w:w="992" w:type="dxa"/>
            <w:vAlign w:val="bottom"/>
          </w:tcPr>
          <w:p w14:paraId="5B4F1CFA" w14:textId="0264763D" w:rsidR="000D42FA" w:rsidRPr="00024B10" w:rsidRDefault="000D42FA" w:rsidP="008B3C5C">
            <w:pPr>
              <w:pStyle w:val="TableFiguresBold"/>
              <w:rPr>
                <w:rFonts w:ascii="IBM Plex Sans Light" w:hAnsi="IBM Plex Sans Light"/>
                <w:bCs w:val="0"/>
                <w:color w:val="000000" w:themeColor="text1"/>
                <w:sz w:val="18"/>
                <w:szCs w:val="18"/>
              </w:rPr>
            </w:pPr>
          </w:p>
        </w:tc>
        <w:tc>
          <w:tcPr>
            <w:tcW w:w="992" w:type="dxa"/>
            <w:vAlign w:val="bottom"/>
          </w:tcPr>
          <w:p w14:paraId="7D9E26F8" w14:textId="77777777" w:rsidR="000D42FA" w:rsidRPr="00024B10" w:rsidRDefault="000D42FA" w:rsidP="008B3C5C">
            <w:pPr>
              <w:pStyle w:val="TableFiguresBold"/>
              <w:rPr>
                <w:rFonts w:ascii="IBM Plex Sans Light" w:hAnsi="IBM Plex Sans Light"/>
                <w:bCs w:val="0"/>
                <w:color w:val="000000" w:themeColor="text1"/>
                <w:sz w:val="18"/>
                <w:szCs w:val="18"/>
              </w:rPr>
            </w:pPr>
          </w:p>
        </w:tc>
        <w:tc>
          <w:tcPr>
            <w:tcW w:w="993" w:type="dxa"/>
            <w:vAlign w:val="bottom"/>
          </w:tcPr>
          <w:p w14:paraId="051782A8" w14:textId="08DF67CF" w:rsidR="000D42FA" w:rsidRPr="00024B10" w:rsidRDefault="000D42FA" w:rsidP="008B3C5C">
            <w:pPr>
              <w:pStyle w:val="TableFiguresBold"/>
              <w:rPr>
                <w:rFonts w:ascii="IBM Plex Sans Light" w:hAnsi="IBM Plex Sans Light"/>
                <w:bCs w:val="0"/>
                <w:color w:val="000000" w:themeColor="text1"/>
                <w:sz w:val="18"/>
                <w:szCs w:val="18"/>
              </w:rPr>
            </w:pPr>
          </w:p>
        </w:tc>
        <w:tc>
          <w:tcPr>
            <w:tcW w:w="992" w:type="dxa"/>
            <w:vAlign w:val="bottom"/>
          </w:tcPr>
          <w:p w14:paraId="71FC26B8" w14:textId="77777777" w:rsidR="000D42FA" w:rsidRPr="00024B10" w:rsidRDefault="000D42FA" w:rsidP="008B3C5C">
            <w:pPr>
              <w:pStyle w:val="TableFiguresBold"/>
              <w:rPr>
                <w:rFonts w:ascii="IBM Plex Sans Light" w:hAnsi="IBM Plex Sans Light"/>
                <w:bCs w:val="0"/>
                <w:color w:val="000000" w:themeColor="text1"/>
                <w:sz w:val="18"/>
                <w:szCs w:val="18"/>
              </w:rPr>
            </w:pPr>
          </w:p>
        </w:tc>
      </w:tr>
      <w:tr w:rsidR="0053048A" w:rsidRPr="00895810" w14:paraId="2037EAAF" w14:textId="716649D1" w:rsidTr="00024B10">
        <w:trPr>
          <w:trHeight w:val="170"/>
        </w:trPr>
        <w:tc>
          <w:tcPr>
            <w:tcW w:w="3828" w:type="dxa"/>
            <w:tcMar>
              <w:left w:w="0" w:type="dxa"/>
              <w:right w:w="0" w:type="dxa"/>
            </w:tcMar>
            <w:vAlign w:val="bottom"/>
          </w:tcPr>
          <w:p w14:paraId="44CA4EA5" w14:textId="77777777" w:rsidR="000D42FA" w:rsidRPr="00895810" w:rsidRDefault="000D42FA" w:rsidP="00172228">
            <w:pPr>
              <w:pStyle w:val="Tabletext"/>
              <w:rPr>
                <w:rFonts w:ascii="IBM Plex Sans Light" w:hAnsi="IBM Plex Sans Light"/>
                <w:spacing w:val="-4"/>
                <w:sz w:val="18"/>
                <w:szCs w:val="18"/>
              </w:rPr>
            </w:pPr>
            <w:r w:rsidRPr="00895810">
              <w:rPr>
                <w:rFonts w:ascii="IBM Plex Sans Light" w:hAnsi="IBM Plex Sans Light"/>
                <w:spacing w:val="-4"/>
                <w:sz w:val="18"/>
                <w:szCs w:val="18"/>
              </w:rPr>
              <w:t>Interest costs</w:t>
            </w:r>
          </w:p>
        </w:tc>
        <w:tc>
          <w:tcPr>
            <w:tcW w:w="1134" w:type="dxa"/>
            <w:vAlign w:val="bottom"/>
          </w:tcPr>
          <w:p w14:paraId="7C2AC332" w14:textId="0D70121B"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(79.6)</w:t>
            </w:r>
          </w:p>
        </w:tc>
        <w:tc>
          <w:tcPr>
            <w:tcW w:w="992" w:type="dxa"/>
            <w:vAlign w:val="bottom"/>
          </w:tcPr>
          <w:p w14:paraId="6AC3BE46" w14:textId="2CCB9F50"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(27.7)</w:t>
            </w:r>
          </w:p>
        </w:tc>
        <w:tc>
          <w:tcPr>
            <w:tcW w:w="992" w:type="dxa"/>
            <w:vAlign w:val="bottom"/>
          </w:tcPr>
          <w:p w14:paraId="0F8F4124" w14:textId="451FA9D9"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(0.1)</w:t>
            </w:r>
          </w:p>
        </w:tc>
        <w:tc>
          <w:tcPr>
            <w:tcW w:w="992" w:type="dxa"/>
            <w:vAlign w:val="bottom"/>
          </w:tcPr>
          <w:p w14:paraId="2A827C0C" w14:textId="0A0FFE67"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vAlign w:val="bottom"/>
          </w:tcPr>
          <w:p w14:paraId="05C2ABD1" w14:textId="3749EFD4"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(79.7)</w:t>
            </w:r>
          </w:p>
        </w:tc>
        <w:tc>
          <w:tcPr>
            <w:tcW w:w="992" w:type="dxa"/>
            <w:vAlign w:val="bottom"/>
          </w:tcPr>
          <w:p w14:paraId="18462B13" w14:textId="374F6BF0"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(27.7)</w:t>
            </w:r>
          </w:p>
        </w:tc>
      </w:tr>
      <w:tr w:rsidR="0053048A" w:rsidRPr="00895810" w14:paraId="68D8B997" w14:textId="56EF2994" w:rsidTr="00024B10">
        <w:trPr>
          <w:trHeight w:val="170"/>
        </w:trPr>
        <w:tc>
          <w:tcPr>
            <w:tcW w:w="3828" w:type="dxa"/>
            <w:tcMar>
              <w:left w:w="0" w:type="dxa"/>
              <w:right w:w="0" w:type="dxa"/>
            </w:tcMar>
            <w:vAlign w:val="bottom"/>
          </w:tcPr>
          <w:p w14:paraId="1C32EDC7" w14:textId="068E0E3A" w:rsidR="000D42FA" w:rsidRPr="00895810" w:rsidRDefault="000D42FA" w:rsidP="00172228">
            <w:pPr>
              <w:pStyle w:val="Tabletext"/>
              <w:ind w:left="142" w:hanging="142"/>
              <w:rPr>
                <w:rFonts w:ascii="IBM Plex Sans Light" w:hAnsi="IBM Plex Sans Light"/>
                <w:spacing w:val="-4"/>
                <w:sz w:val="18"/>
                <w:szCs w:val="18"/>
              </w:rPr>
            </w:pPr>
            <w:r w:rsidRPr="00895810">
              <w:rPr>
                <w:rFonts w:ascii="IBM Plex Sans Light" w:hAnsi="IBM Plex Sans Light"/>
                <w:spacing w:val="-4"/>
                <w:sz w:val="18"/>
                <w:szCs w:val="18"/>
              </w:rPr>
              <w:t xml:space="preserve">Fair value </w:t>
            </w:r>
            <w:r w:rsidR="00452848">
              <w:rPr>
                <w:rFonts w:ascii="IBM Plex Sans Light" w:hAnsi="IBM Plex Sans Light"/>
                <w:spacing w:val="-4"/>
                <w:sz w:val="18"/>
                <w:szCs w:val="18"/>
              </w:rPr>
              <w:t>gain</w:t>
            </w:r>
            <w:r>
              <w:rPr>
                <w:rFonts w:ascii="IBM Plex Sans Light" w:hAnsi="IBM Plex Sans Light"/>
                <w:spacing w:val="-4"/>
                <w:sz w:val="18"/>
                <w:szCs w:val="18"/>
              </w:rPr>
              <w:t xml:space="preserve"> on</w:t>
            </w:r>
            <w:r w:rsidRPr="00895810">
              <w:rPr>
                <w:rFonts w:ascii="IBM Plex Sans Light" w:hAnsi="IBM Plex Sans Light"/>
                <w:spacing w:val="-4"/>
                <w:sz w:val="18"/>
                <w:szCs w:val="18"/>
              </w:rPr>
              <w:t xml:space="preserve"> derivatives </w:t>
            </w:r>
          </w:p>
        </w:tc>
        <w:tc>
          <w:tcPr>
            <w:tcW w:w="1134" w:type="dxa"/>
            <w:vAlign w:val="bottom"/>
          </w:tcPr>
          <w:p w14:paraId="301AFD04" w14:textId="7CEC94D3"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57.0</w:t>
            </w:r>
          </w:p>
        </w:tc>
        <w:tc>
          <w:tcPr>
            <w:tcW w:w="992" w:type="dxa"/>
            <w:vAlign w:val="bottom"/>
          </w:tcPr>
          <w:p w14:paraId="068562CC" w14:textId="2E7561FA"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18.1</w:t>
            </w:r>
          </w:p>
        </w:tc>
        <w:tc>
          <w:tcPr>
            <w:tcW w:w="992" w:type="dxa"/>
            <w:vAlign w:val="bottom"/>
          </w:tcPr>
          <w:p w14:paraId="16694BA9" w14:textId="72677877"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2" w:type="dxa"/>
            <w:vAlign w:val="bottom"/>
          </w:tcPr>
          <w:p w14:paraId="531BE1F4" w14:textId="6A4C2DCB"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vAlign w:val="bottom"/>
          </w:tcPr>
          <w:p w14:paraId="608857A0" w14:textId="6ADD9EA4"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57.0</w:t>
            </w:r>
          </w:p>
        </w:tc>
        <w:tc>
          <w:tcPr>
            <w:tcW w:w="992" w:type="dxa"/>
            <w:vAlign w:val="bottom"/>
          </w:tcPr>
          <w:p w14:paraId="69968F08" w14:textId="6CE44A00"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18.1</w:t>
            </w:r>
          </w:p>
        </w:tc>
      </w:tr>
      <w:tr w:rsidR="0053048A" w:rsidRPr="00895810" w14:paraId="1993BB69" w14:textId="4FFA140D" w:rsidTr="00024B10">
        <w:trPr>
          <w:trHeight w:val="170"/>
        </w:trPr>
        <w:tc>
          <w:tcPr>
            <w:tcW w:w="3828" w:type="dxa"/>
            <w:tcMar>
              <w:left w:w="0" w:type="dxa"/>
              <w:right w:w="0" w:type="dxa"/>
            </w:tcMar>
            <w:vAlign w:val="bottom"/>
          </w:tcPr>
          <w:p w14:paraId="5D54CEF0" w14:textId="12C4826B" w:rsidR="000D42FA" w:rsidRPr="00895810" w:rsidRDefault="000D42FA" w:rsidP="00172228">
            <w:pPr>
              <w:pStyle w:val="Tabletext"/>
              <w:ind w:left="142" w:hanging="142"/>
              <w:rPr>
                <w:rFonts w:ascii="IBM Plex Sans Light" w:hAnsi="IBM Plex Sans Light"/>
                <w:spacing w:val="-4"/>
                <w:sz w:val="18"/>
                <w:szCs w:val="18"/>
              </w:rPr>
            </w:pPr>
            <w:r w:rsidRPr="00895810">
              <w:rPr>
                <w:rFonts w:ascii="IBM Plex Sans Light" w:hAnsi="IBM Plex Sans Light"/>
                <w:spacing w:val="-4"/>
                <w:sz w:val="18"/>
                <w:szCs w:val="18"/>
              </w:rPr>
              <w:t xml:space="preserve">Fair value </w:t>
            </w:r>
            <w:r w:rsidR="00452848">
              <w:rPr>
                <w:rFonts w:ascii="IBM Plex Sans Light" w:hAnsi="IBM Plex Sans Light"/>
                <w:spacing w:val="-4"/>
                <w:sz w:val="18"/>
                <w:szCs w:val="18"/>
              </w:rPr>
              <w:t>gain on</w:t>
            </w:r>
            <w:r w:rsidRPr="00895810">
              <w:rPr>
                <w:rFonts w:ascii="IBM Plex Sans Light" w:hAnsi="IBM Plex Sans Light"/>
                <w:spacing w:val="-4"/>
                <w:sz w:val="18"/>
                <w:szCs w:val="18"/>
              </w:rPr>
              <w:t xml:space="preserve"> </w:t>
            </w:r>
            <w:r>
              <w:rPr>
                <w:rFonts w:ascii="IBM Plex Sans Light" w:hAnsi="IBM Plex Sans Light"/>
                <w:spacing w:val="-4"/>
                <w:sz w:val="18"/>
                <w:szCs w:val="18"/>
              </w:rPr>
              <w:t>participative</w:t>
            </w:r>
            <w:r w:rsidRPr="00895810">
              <w:rPr>
                <w:rFonts w:ascii="IBM Plex Sans Light" w:hAnsi="IBM Plex Sans Light"/>
                <w:spacing w:val="-4"/>
                <w:sz w:val="18"/>
                <w:szCs w:val="18"/>
              </w:rPr>
              <w:t xml:space="preserve"> loans</w:t>
            </w:r>
          </w:p>
        </w:tc>
        <w:tc>
          <w:tcPr>
            <w:tcW w:w="1134" w:type="dxa"/>
            <w:vAlign w:val="bottom"/>
          </w:tcPr>
          <w:p w14:paraId="47E01103" w14:textId="0CF7DC5D"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2" w:type="dxa"/>
            <w:vAlign w:val="bottom"/>
          </w:tcPr>
          <w:p w14:paraId="1C278F6D" w14:textId="59F9EEE3"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15.0</w:t>
            </w:r>
          </w:p>
        </w:tc>
        <w:tc>
          <w:tcPr>
            <w:tcW w:w="992" w:type="dxa"/>
            <w:vAlign w:val="bottom"/>
          </w:tcPr>
          <w:p w14:paraId="79F97535" w14:textId="462BDF6F"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2" w:type="dxa"/>
            <w:vAlign w:val="bottom"/>
          </w:tcPr>
          <w:p w14:paraId="06F7A98C" w14:textId="7B27E0EB"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vAlign w:val="bottom"/>
          </w:tcPr>
          <w:p w14:paraId="72125947" w14:textId="6FB82887"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2" w:type="dxa"/>
            <w:vAlign w:val="bottom"/>
          </w:tcPr>
          <w:p w14:paraId="44F7EFB4" w14:textId="0D9F40B2" w:rsidR="000D42FA" w:rsidRPr="00024B10" w:rsidRDefault="000D42FA"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15.0</w:t>
            </w:r>
          </w:p>
        </w:tc>
      </w:tr>
      <w:tr w:rsidR="0053048A" w:rsidRPr="00895810" w14:paraId="591C5EA1" w14:textId="76B3B06B" w:rsidTr="00024B10">
        <w:trPr>
          <w:trHeight w:val="170"/>
        </w:trPr>
        <w:tc>
          <w:tcPr>
            <w:tcW w:w="3828" w:type="dxa"/>
            <w:tcBorders>
              <w:top w:val="single" w:sz="2" w:space="0" w:color="3D7FE0" w:themeColor="accent1"/>
              <w:bottom w:val="single" w:sz="2" w:space="0" w:color="3D7FE0" w:themeColor="accent1"/>
            </w:tcBorders>
            <w:tcMar>
              <w:left w:w="0" w:type="dxa"/>
              <w:right w:w="0" w:type="dxa"/>
            </w:tcMar>
            <w:vAlign w:val="bottom"/>
          </w:tcPr>
          <w:p w14:paraId="5389660A" w14:textId="77777777" w:rsidR="000D42FA" w:rsidRPr="00895810" w:rsidRDefault="000D42FA" w:rsidP="00172228">
            <w:pPr>
              <w:pStyle w:val="Tabletext"/>
              <w:rPr>
                <w:rFonts w:ascii="IBM Plex Sans Light" w:hAnsi="IBM Plex Sans Light"/>
                <w:spacing w:val="-4"/>
                <w:sz w:val="18"/>
                <w:szCs w:val="18"/>
              </w:rPr>
            </w:pPr>
            <w:r w:rsidRPr="00895810">
              <w:rPr>
                <w:rFonts w:ascii="IBM Plex Sans Light" w:hAnsi="IBM Plex Sans Light"/>
                <w:b/>
                <w:bCs/>
                <w:color w:val="3D7FE0" w:themeColor="accent1"/>
                <w:spacing w:val="-4"/>
                <w:sz w:val="18"/>
                <w:szCs w:val="18"/>
              </w:rPr>
              <w:t xml:space="preserve">Net finance </w:t>
            </w:r>
            <w:r>
              <w:rPr>
                <w:rFonts w:ascii="IBM Plex Sans Light" w:hAnsi="IBM Plex Sans Light"/>
                <w:b/>
                <w:bCs/>
                <w:color w:val="3D7FE0" w:themeColor="accent1"/>
                <w:spacing w:val="-4"/>
                <w:sz w:val="18"/>
                <w:szCs w:val="18"/>
              </w:rPr>
              <w:t>(costs)/</w:t>
            </w:r>
            <w:r w:rsidRPr="00895810">
              <w:rPr>
                <w:rFonts w:ascii="IBM Plex Sans Light" w:hAnsi="IBM Plex Sans Light"/>
                <w:b/>
                <w:bCs/>
                <w:color w:val="3D7FE0" w:themeColor="accent1"/>
                <w:spacing w:val="-4"/>
                <w:sz w:val="18"/>
                <w:szCs w:val="18"/>
              </w:rPr>
              <w:t>income</w:t>
            </w:r>
          </w:p>
        </w:tc>
        <w:tc>
          <w:tcPr>
            <w:tcW w:w="1134" w:type="dxa"/>
            <w:tcBorders>
              <w:top w:val="single" w:sz="2" w:space="0" w:color="3D7FE0" w:themeColor="accent1"/>
              <w:bottom w:val="single" w:sz="2" w:space="0" w:color="3D7FE0" w:themeColor="accent1"/>
            </w:tcBorders>
            <w:vAlign w:val="bottom"/>
          </w:tcPr>
          <w:p w14:paraId="6683E584" w14:textId="31819893"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(22.6)</w:t>
            </w:r>
          </w:p>
        </w:tc>
        <w:tc>
          <w:tcPr>
            <w:tcW w:w="992" w:type="dxa"/>
            <w:tcBorders>
              <w:top w:val="single" w:sz="2" w:space="0" w:color="3D7FE0" w:themeColor="accent1"/>
              <w:bottom w:val="single" w:sz="2" w:space="0" w:color="3D7FE0" w:themeColor="accent1"/>
            </w:tcBorders>
            <w:vAlign w:val="bottom"/>
          </w:tcPr>
          <w:p w14:paraId="45BF2920" w14:textId="49360896"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5.4</w:t>
            </w:r>
          </w:p>
        </w:tc>
        <w:tc>
          <w:tcPr>
            <w:tcW w:w="992" w:type="dxa"/>
            <w:tcBorders>
              <w:top w:val="single" w:sz="2" w:space="0" w:color="3D7FE0" w:themeColor="accent1"/>
              <w:bottom w:val="single" w:sz="2" w:space="0" w:color="3D7FE0" w:themeColor="accent1"/>
            </w:tcBorders>
            <w:vAlign w:val="bottom"/>
          </w:tcPr>
          <w:p w14:paraId="6D08E17A" w14:textId="34B603DE"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(0.1)</w:t>
            </w:r>
          </w:p>
        </w:tc>
        <w:tc>
          <w:tcPr>
            <w:tcW w:w="992" w:type="dxa"/>
            <w:tcBorders>
              <w:top w:val="single" w:sz="2" w:space="0" w:color="3D7FE0" w:themeColor="accent1"/>
              <w:bottom w:val="single" w:sz="2" w:space="0" w:color="3D7FE0" w:themeColor="accent1"/>
            </w:tcBorders>
            <w:vAlign w:val="bottom"/>
          </w:tcPr>
          <w:p w14:paraId="602B7BD7" w14:textId="0B0BC9E3"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tcBorders>
              <w:top w:val="single" w:sz="2" w:space="0" w:color="3D7FE0" w:themeColor="accent1"/>
              <w:bottom w:val="single" w:sz="2" w:space="0" w:color="3D7FE0" w:themeColor="accent1"/>
            </w:tcBorders>
            <w:vAlign w:val="bottom"/>
          </w:tcPr>
          <w:p w14:paraId="08BEEE13" w14:textId="663025EA"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(22.7)</w:t>
            </w:r>
          </w:p>
        </w:tc>
        <w:tc>
          <w:tcPr>
            <w:tcW w:w="992" w:type="dxa"/>
            <w:tcBorders>
              <w:top w:val="single" w:sz="2" w:space="0" w:color="3D7FE0" w:themeColor="accent1"/>
              <w:bottom w:val="single" w:sz="2" w:space="0" w:color="3D7FE0" w:themeColor="accent1"/>
            </w:tcBorders>
            <w:vAlign w:val="bottom"/>
          </w:tcPr>
          <w:p w14:paraId="1FBFFFFC" w14:textId="7361D7D2"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5.4</w:t>
            </w:r>
          </w:p>
        </w:tc>
      </w:tr>
      <w:tr w:rsidR="0053048A" w:rsidRPr="00895810" w14:paraId="04F7BC3F" w14:textId="77777777" w:rsidTr="00024B10">
        <w:trPr>
          <w:trHeight w:hRule="exact" w:val="113"/>
        </w:trPr>
        <w:tc>
          <w:tcPr>
            <w:tcW w:w="3828" w:type="dxa"/>
            <w:tcBorders>
              <w:top w:val="single" w:sz="2" w:space="0" w:color="3D7FE0" w:themeColor="accent1"/>
            </w:tcBorders>
            <w:tcMar>
              <w:left w:w="0" w:type="dxa"/>
              <w:right w:w="0" w:type="dxa"/>
            </w:tcMar>
            <w:vAlign w:val="bottom"/>
          </w:tcPr>
          <w:p w14:paraId="30672DE4" w14:textId="77777777" w:rsidR="000D42FA" w:rsidRPr="00895810" w:rsidRDefault="000D42FA" w:rsidP="00172228">
            <w:pPr>
              <w:pStyle w:val="Tabletext"/>
              <w:rPr>
                <w:rFonts w:ascii="IBM Plex Sans Light" w:hAnsi="IBM Plex Sans Light"/>
                <w:b/>
                <w:color w:val="3D7FE0" w:themeColor="accent1"/>
                <w:spacing w:val="-4"/>
                <w:sz w:val="18"/>
                <w:szCs w:val="18"/>
              </w:rPr>
            </w:pPr>
          </w:p>
        </w:tc>
        <w:tc>
          <w:tcPr>
            <w:tcW w:w="1134" w:type="dxa"/>
            <w:tcBorders>
              <w:top w:val="single" w:sz="2" w:space="0" w:color="3D7FE0" w:themeColor="accent1"/>
            </w:tcBorders>
            <w:vAlign w:val="bottom"/>
          </w:tcPr>
          <w:p w14:paraId="67E9CB88"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09539510"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0F320902" w14:textId="5199836C"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0E087E92"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3" w:type="dxa"/>
            <w:tcBorders>
              <w:top w:val="single" w:sz="2" w:space="0" w:color="3D7FE0" w:themeColor="accent1"/>
            </w:tcBorders>
            <w:vAlign w:val="bottom"/>
          </w:tcPr>
          <w:p w14:paraId="0D905B16" w14:textId="7F3ACE4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760307CC" w14:textId="77777777" w:rsidR="000D42FA" w:rsidRPr="00024B10" w:rsidRDefault="000D42FA" w:rsidP="008B3C5C">
            <w:pPr>
              <w:pStyle w:val="TableFiguresBold"/>
              <w:rPr>
                <w:rFonts w:ascii="IBM Plex Sans Light" w:hAnsi="IBM Plex Sans Light"/>
                <w:b w:val="0"/>
                <w:color w:val="000000" w:themeColor="text1"/>
                <w:sz w:val="18"/>
                <w:szCs w:val="18"/>
              </w:rPr>
            </w:pPr>
          </w:p>
        </w:tc>
      </w:tr>
      <w:tr w:rsidR="0053048A" w:rsidRPr="00895810" w14:paraId="43A331F1" w14:textId="6D4F0EC6" w:rsidTr="00024B10">
        <w:trPr>
          <w:trHeight w:val="170"/>
        </w:trPr>
        <w:tc>
          <w:tcPr>
            <w:tcW w:w="3828" w:type="dxa"/>
            <w:tcMar>
              <w:left w:w="0" w:type="dxa"/>
              <w:right w:w="0" w:type="dxa"/>
            </w:tcMar>
            <w:vAlign w:val="bottom"/>
          </w:tcPr>
          <w:p w14:paraId="341FD10A" w14:textId="77777777" w:rsidR="000D42FA" w:rsidRPr="00895810" w:rsidRDefault="000D42FA" w:rsidP="00172228">
            <w:pPr>
              <w:pStyle w:val="Tabletext"/>
              <w:rPr>
                <w:rFonts w:ascii="IBM Plex Sans Light" w:hAnsi="IBM Plex Sans Light"/>
                <w:b/>
                <w:color w:val="3D7FE0" w:themeColor="accent1"/>
                <w:spacing w:val="-4"/>
                <w:sz w:val="18"/>
                <w:szCs w:val="18"/>
              </w:rPr>
            </w:pPr>
            <w:r w:rsidRPr="00895810">
              <w:rPr>
                <w:rFonts w:ascii="IBM Plex Sans Light" w:hAnsi="IBM Plex Sans Light"/>
                <w:b/>
                <w:color w:val="3D7FE0" w:themeColor="accent1"/>
                <w:spacing w:val="-4"/>
                <w:sz w:val="18"/>
                <w:szCs w:val="18"/>
              </w:rPr>
              <w:t>Profit/(loss) before tax</w:t>
            </w:r>
          </w:p>
        </w:tc>
        <w:tc>
          <w:tcPr>
            <w:tcW w:w="1134" w:type="dxa"/>
            <w:vAlign w:val="bottom"/>
          </w:tcPr>
          <w:p w14:paraId="0CF6B0E7" w14:textId="0BA18FD3"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23.5</w:t>
            </w:r>
          </w:p>
        </w:tc>
        <w:tc>
          <w:tcPr>
            <w:tcW w:w="992" w:type="dxa"/>
            <w:vAlign w:val="bottom"/>
          </w:tcPr>
          <w:p w14:paraId="606974DD" w14:textId="22EA64D6" w:rsidR="000D42FA" w:rsidRPr="00024B10" w:rsidRDefault="005C7C5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(2.0)</w:t>
            </w:r>
          </w:p>
        </w:tc>
        <w:tc>
          <w:tcPr>
            <w:tcW w:w="992" w:type="dxa"/>
            <w:vAlign w:val="bottom"/>
          </w:tcPr>
          <w:p w14:paraId="6EED41D7" w14:textId="668A3D95"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(7.2)</w:t>
            </w:r>
          </w:p>
        </w:tc>
        <w:tc>
          <w:tcPr>
            <w:tcW w:w="992" w:type="dxa"/>
            <w:vAlign w:val="bottom"/>
          </w:tcPr>
          <w:p w14:paraId="6395D46B" w14:textId="0127544A" w:rsidR="000D42FA" w:rsidRPr="00024B10" w:rsidRDefault="00143EA5" w:rsidP="008B3C5C">
            <w:pPr>
              <w:pStyle w:val="TableFiguresBold"/>
              <w:rPr>
                <w:rFonts w:ascii="IBM Plex Sans Light" w:hAnsi="IBM Plex Sans Light"/>
                <w:bCs w:val="0"/>
                <w:color w:val="000000" w:themeColor="text1"/>
                <w:sz w:val="18"/>
                <w:szCs w:val="18"/>
              </w:rPr>
            </w:pPr>
            <w:r w:rsidRPr="00024B10">
              <w:rPr>
                <w:rFonts w:ascii="IBM Plex Sans Light" w:hAnsi="IBM Plex Sans Light"/>
                <w:b w:val="0"/>
                <w:bCs w:val="0"/>
                <w:color w:val="000000" w:themeColor="text1"/>
                <w:sz w:val="18"/>
                <w:szCs w:val="18"/>
              </w:rPr>
              <w:t>(1.8)</w:t>
            </w:r>
          </w:p>
        </w:tc>
        <w:tc>
          <w:tcPr>
            <w:tcW w:w="993" w:type="dxa"/>
            <w:vAlign w:val="bottom"/>
          </w:tcPr>
          <w:p w14:paraId="1F03D097" w14:textId="76EC556B"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16.3</w:t>
            </w:r>
          </w:p>
        </w:tc>
        <w:tc>
          <w:tcPr>
            <w:tcW w:w="992" w:type="dxa"/>
            <w:vAlign w:val="bottom"/>
          </w:tcPr>
          <w:p w14:paraId="7065F184" w14:textId="7F5B06E7"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(3.8)</w:t>
            </w:r>
          </w:p>
        </w:tc>
      </w:tr>
      <w:tr w:rsidR="0053048A" w:rsidRPr="00895810" w14:paraId="67B11CF2" w14:textId="11EF4BCB" w:rsidTr="00024B10">
        <w:trPr>
          <w:trHeight w:val="170"/>
        </w:trPr>
        <w:tc>
          <w:tcPr>
            <w:tcW w:w="3828" w:type="dxa"/>
            <w:tcMar>
              <w:left w:w="0" w:type="dxa"/>
              <w:right w:w="0" w:type="dxa"/>
            </w:tcMar>
            <w:vAlign w:val="bottom"/>
          </w:tcPr>
          <w:p w14:paraId="66BFD090" w14:textId="77777777" w:rsidR="000D42FA" w:rsidRPr="00895810" w:rsidRDefault="000D42FA" w:rsidP="00172228">
            <w:pPr>
              <w:pStyle w:val="TabletextBold"/>
              <w:ind w:right="-156"/>
              <w:rPr>
                <w:rFonts w:ascii="IBM Plex Sans Light" w:hAnsi="IBM Plex Sans Light"/>
                <w:b w:val="0"/>
                <w:bCs/>
                <w:sz w:val="18"/>
                <w:szCs w:val="18"/>
              </w:rPr>
            </w:pPr>
            <w:r w:rsidRPr="00895810">
              <w:rPr>
                <w:rFonts w:ascii="IBM Plex Sans Light" w:hAnsi="IBM Plex Sans Light"/>
                <w:b w:val="0"/>
                <w:bCs/>
                <w:sz w:val="18"/>
                <w:szCs w:val="18"/>
              </w:rPr>
              <w:t>Current tax charge</w:t>
            </w:r>
          </w:p>
        </w:tc>
        <w:tc>
          <w:tcPr>
            <w:tcW w:w="1134" w:type="dxa"/>
            <w:vAlign w:val="bottom"/>
          </w:tcPr>
          <w:p w14:paraId="243B6185" w14:textId="6224D1E3"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(15.3)</w:t>
            </w:r>
          </w:p>
        </w:tc>
        <w:tc>
          <w:tcPr>
            <w:tcW w:w="992" w:type="dxa"/>
            <w:vAlign w:val="bottom"/>
          </w:tcPr>
          <w:p w14:paraId="6885F7F7" w14:textId="53E1B9DD"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(3.2)</w:t>
            </w:r>
          </w:p>
        </w:tc>
        <w:tc>
          <w:tcPr>
            <w:tcW w:w="992" w:type="dxa"/>
            <w:vAlign w:val="bottom"/>
          </w:tcPr>
          <w:p w14:paraId="1518FCB1" w14:textId="48B5262A"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2" w:type="dxa"/>
            <w:vAlign w:val="bottom"/>
          </w:tcPr>
          <w:p w14:paraId="3A0E9222" w14:textId="5AE7702A"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vAlign w:val="bottom"/>
          </w:tcPr>
          <w:p w14:paraId="7AA2CFD0" w14:textId="0602F21A"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(15.3)</w:t>
            </w:r>
          </w:p>
        </w:tc>
        <w:tc>
          <w:tcPr>
            <w:tcW w:w="992" w:type="dxa"/>
            <w:vAlign w:val="bottom"/>
          </w:tcPr>
          <w:p w14:paraId="530B63A2" w14:textId="2FDE8FD2"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(3.2)</w:t>
            </w:r>
          </w:p>
        </w:tc>
      </w:tr>
      <w:tr w:rsidR="0053048A" w:rsidRPr="00895810" w14:paraId="5893E58E" w14:textId="76FA2E77" w:rsidTr="00024B10">
        <w:trPr>
          <w:trHeight w:val="170"/>
        </w:trPr>
        <w:tc>
          <w:tcPr>
            <w:tcW w:w="3828" w:type="dxa"/>
            <w:tcBorders>
              <w:bottom w:val="single" w:sz="2" w:space="0" w:color="3D7FE0" w:themeColor="accent1"/>
            </w:tcBorders>
            <w:tcMar>
              <w:left w:w="0" w:type="dxa"/>
              <w:right w:w="0" w:type="dxa"/>
            </w:tcMar>
            <w:vAlign w:val="bottom"/>
          </w:tcPr>
          <w:p w14:paraId="10B05AB1" w14:textId="77777777" w:rsidR="000D42FA" w:rsidRPr="00895810" w:rsidRDefault="000D42FA" w:rsidP="00172228">
            <w:pPr>
              <w:pStyle w:val="TabletextBold"/>
              <w:ind w:right="-156"/>
              <w:rPr>
                <w:rFonts w:ascii="IBM Plex Sans Light" w:hAnsi="IBM Plex Sans Light"/>
                <w:b w:val="0"/>
                <w:bCs/>
                <w:sz w:val="18"/>
                <w:szCs w:val="18"/>
              </w:rPr>
            </w:pPr>
            <w:r w:rsidRPr="00895810">
              <w:rPr>
                <w:rFonts w:ascii="IBM Plex Sans Light" w:hAnsi="IBM Plex Sans Light"/>
                <w:b w:val="0"/>
                <w:bCs/>
                <w:sz w:val="18"/>
                <w:szCs w:val="18"/>
              </w:rPr>
              <w:t xml:space="preserve">Deferred tax </w:t>
            </w:r>
            <w:r>
              <w:rPr>
                <w:rFonts w:ascii="IBM Plex Sans Light" w:hAnsi="IBM Plex Sans Light"/>
                <w:b w:val="0"/>
                <w:bCs/>
                <w:sz w:val="18"/>
                <w:szCs w:val="18"/>
              </w:rPr>
              <w:t>charge</w:t>
            </w:r>
          </w:p>
        </w:tc>
        <w:tc>
          <w:tcPr>
            <w:tcW w:w="1134" w:type="dxa"/>
            <w:tcBorders>
              <w:bottom w:val="single" w:sz="2" w:space="0" w:color="3D7FE0" w:themeColor="accent1"/>
            </w:tcBorders>
            <w:vAlign w:val="bottom"/>
          </w:tcPr>
          <w:p w14:paraId="76D58BA8" w14:textId="0840346C"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(8.8)</w:t>
            </w:r>
          </w:p>
        </w:tc>
        <w:tc>
          <w:tcPr>
            <w:tcW w:w="992" w:type="dxa"/>
            <w:tcBorders>
              <w:bottom w:val="single" w:sz="2" w:space="0" w:color="3D7FE0" w:themeColor="accent1"/>
            </w:tcBorders>
            <w:vAlign w:val="bottom"/>
          </w:tcPr>
          <w:p w14:paraId="2801C366" w14:textId="1AA11F8E"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(0.1)</w:t>
            </w:r>
          </w:p>
        </w:tc>
        <w:tc>
          <w:tcPr>
            <w:tcW w:w="992" w:type="dxa"/>
            <w:tcBorders>
              <w:bottom w:val="single" w:sz="2" w:space="0" w:color="3D7FE0" w:themeColor="accent1"/>
            </w:tcBorders>
            <w:vAlign w:val="bottom"/>
          </w:tcPr>
          <w:p w14:paraId="795B92C1" w14:textId="7686AF58"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w:t>
            </w:r>
          </w:p>
        </w:tc>
        <w:tc>
          <w:tcPr>
            <w:tcW w:w="992" w:type="dxa"/>
            <w:tcBorders>
              <w:bottom w:val="single" w:sz="2" w:space="0" w:color="3D7FE0" w:themeColor="accent1"/>
            </w:tcBorders>
            <w:vAlign w:val="bottom"/>
          </w:tcPr>
          <w:p w14:paraId="5DCB8BF9" w14:textId="68C9CF1A"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w:t>
            </w:r>
          </w:p>
        </w:tc>
        <w:tc>
          <w:tcPr>
            <w:tcW w:w="993" w:type="dxa"/>
            <w:tcBorders>
              <w:bottom w:val="single" w:sz="2" w:space="0" w:color="3D7FE0" w:themeColor="accent1"/>
            </w:tcBorders>
            <w:vAlign w:val="bottom"/>
          </w:tcPr>
          <w:p w14:paraId="4919F784" w14:textId="5C08EF27"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(8.8)</w:t>
            </w:r>
          </w:p>
        </w:tc>
        <w:tc>
          <w:tcPr>
            <w:tcW w:w="992" w:type="dxa"/>
            <w:tcBorders>
              <w:bottom w:val="single" w:sz="2" w:space="0" w:color="3D7FE0" w:themeColor="accent1"/>
            </w:tcBorders>
            <w:vAlign w:val="bottom"/>
          </w:tcPr>
          <w:p w14:paraId="0439511B" w14:textId="5C298007" w:rsidR="000D42FA" w:rsidRPr="00024B10" w:rsidRDefault="000D42FA" w:rsidP="008B3C5C">
            <w:pPr>
              <w:pStyle w:val="TableFiguresBold"/>
              <w:rPr>
                <w:rFonts w:ascii="IBM Plex Sans Light" w:hAnsi="IBM Plex Sans Light"/>
                <w:b w:val="0"/>
                <w:bCs w:val="0"/>
                <w:color w:val="000000" w:themeColor="text1"/>
                <w:sz w:val="18"/>
                <w:szCs w:val="18"/>
              </w:rPr>
            </w:pPr>
            <w:r w:rsidRPr="00024B10">
              <w:rPr>
                <w:rFonts w:ascii="IBM Plex Sans Light" w:hAnsi="IBM Plex Sans Light"/>
                <w:b w:val="0"/>
                <w:bCs w:val="0"/>
                <w:color w:val="000000" w:themeColor="text1"/>
                <w:sz w:val="18"/>
                <w:szCs w:val="18"/>
              </w:rPr>
              <w:t>(0.1)</w:t>
            </w:r>
          </w:p>
        </w:tc>
      </w:tr>
      <w:tr w:rsidR="0053048A" w:rsidRPr="00895810" w14:paraId="22AF4232" w14:textId="25E93D98" w:rsidTr="00024B10">
        <w:trPr>
          <w:trHeight w:val="170"/>
        </w:trPr>
        <w:tc>
          <w:tcPr>
            <w:tcW w:w="3828" w:type="dxa"/>
            <w:tcBorders>
              <w:top w:val="single" w:sz="2" w:space="0" w:color="3D7FE0" w:themeColor="accent1"/>
              <w:bottom w:val="single" w:sz="2" w:space="0" w:color="3D7FE0" w:themeColor="accent1"/>
            </w:tcBorders>
            <w:tcMar>
              <w:left w:w="0" w:type="dxa"/>
              <w:right w:w="0" w:type="dxa"/>
            </w:tcMar>
            <w:vAlign w:val="bottom"/>
          </w:tcPr>
          <w:p w14:paraId="3CDA6DB3" w14:textId="48DA4D0D" w:rsidR="000D42FA" w:rsidRPr="00895810" w:rsidRDefault="005C7C55" w:rsidP="00172228">
            <w:pPr>
              <w:pStyle w:val="TabletextBold"/>
              <w:rPr>
                <w:rFonts w:ascii="IBM Plex Sans Light" w:hAnsi="IBM Plex Sans Light"/>
                <w:bCs/>
                <w:color w:val="3D7FE0" w:themeColor="accent1"/>
                <w:sz w:val="18"/>
                <w:szCs w:val="18"/>
              </w:rPr>
            </w:pPr>
            <w:r>
              <w:rPr>
                <w:rFonts w:ascii="IBM Plex Sans Light" w:hAnsi="IBM Plex Sans Light"/>
                <w:bCs/>
                <w:color w:val="3D7FE0" w:themeColor="accent1"/>
                <w:sz w:val="18"/>
                <w:szCs w:val="18"/>
              </w:rPr>
              <w:t>Loss</w:t>
            </w:r>
            <w:r w:rsidR="000D42FA" w:rsidRPr="00895810">
              <w:rPr>
                <w:rFonts w:ascii="IBM Plex Sans Light" w:hAnsi="IBM Plex Sans Light"/>
                <w:bCs/>
                <w:color w:val="3D7FE0" w:themeColor="accent1"/>
                <w:sz w:val="18"/>
                <w:szCs w:val="18"/>
              </w:rPr>
              <w:t xml:space="preserve"> for the year</w:t>
            </w:r>
          </w:p>
        </w:tc>
        <w:tc>
          <w:tcPr>
            <w:tcW w:w="1134" w:type="dxa"/>
            <w:tcBorders>
              <w:top w:val="single" w:sz="2" w:space="0" w:color="3D7FE0" w:themeColor="accent1"/>
              <w:bottom w:val="single" w:sz="2" w:space="0" w:color="3D7FE0" w:themeColor="accent1"/>
            </w:tcBorders>
            <w:vAlign w:val="bottom"/>
          </w:tcPr>
          <w:p w14:paraId="7FECC050" w14:textId="3F216A6E"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(0.6)</w:t>
            </w:r>
          </w:p>
        </w:tc>
        <w:tc>
          <w:tcPr>
            <w:tcW w:w="992" w:type="dxa"/>
            <w:tcBorders>
              <w:top w:val="single" w:sz="2" w:space="0" w:color="3D7FE0" w:themeColor="accent1"/>
              <w:bottom w:val="single" w:sz="2" w:space="0" w:color="3D7FE0" w:themeColor="accent1"/>
            </w:tcBorders>
            <w:vAlign w:val="bottom"/>
          </w:tcPr>
          <w:p w14:paraId="50FB43D5" w14:textId="67CCABB6" w:rsidR="000D42FA" w:rsidRPr="00024B10" w:rsidRDefault="005C7C5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(5.3)</w:t>
            </w:r>
          </w:p>
        </w:tc>
        <w:tc>
          <w:tcPr>
            <w:tcW w:w="992" w:type="dxa"/>
            <w:tcBorders>
              <w:top w:val="single" w:sz="2" w:space="0" w:color="3D7FE0" w:themeColor="accent1"/>
              <w:bottom w:val="single" w:sz="2" w:space="0" w:color="3D7FE0" w:themeColor="accent1"/>
            </w:tcBorders>
            <w:vAlign w:val="bottom"/>
          </w:tcPr>
          <w:p w14:paraId="389AC3EF" w14:textId="66B1E06B"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(7.2)</w:t>
            </w:r>
          </w:p>
        </w:tc>
        <w:tc>
          <w:tcPr>
            <w:tcW w:w="992" w:type="dxa"/>
            <w:tcBorders>
              <w:top w:val="single" w:sz="2" w:space="0" w:color="3D7FE0" w:themeColor="accent1"/>
              <w:bottom w:val="single" w:sz="2" w:space="0" w:color="3D7FE0" w:themeColor="accent1"/>
            </w:tcBorders>
            <w:vAlign w:val="bottom"/>
          </w:tcPr>
          <w:p w14:paraId="11E4ED47" w14:textId="449C36CE" w:rsidR="000D42FA" w:rsidRPr="00024B10" w:rsidRDefault="00143EA5"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(1.8)</w:t>
            </w:r>
          </w:p>
        </w:tc>
        <w:tc>
          <w:tcPr>
            <w:tcW w:w="993" w:type="dxa"/>
            <w:tcBorders>
              <w:top w:val="single" w:sz="2" w:space="0" w:color="3D7FE0" w:themeColor="accent1"/>
              <w:bottom w:val="single" w:sz="2" w:space="0" w:color="3D7FE0" w:themeColor="accent1"/>
            </w:tcBorders>
            <w:vAlign w:val="bottom"/>
          </w:tcPr>
          <w:p w14:paraId="245B7FDE" w14:textId="64C5C35F"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(7.8)</w:t>
            </w:r>
          </w:p>
        </w:tc>
        <w:tc>
          <w:tcPr>
            <w:tcW w:w="992" w:type="dxa"/>
            <w:tcBorders>
              <w:top w:val="single" w:sz="2" w:space="0" w:color="3D7FE0" w:themeColor="accent1"/>
              <w:bottom w:val="single" w:sz="2" w:space="0" w:color="3D7FE0" w:themeColor="accent1"/>
            </w:tcBorders>
            <w:vAlign w:val="bottom"/>
          </w:tcPr>
          <w:p w14:paraId="65452B88" w14:textId="56AFB68A"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(7.1)</w:t>
            </w:r>
          </w:p>
        </w:tc>
      </w:tr>
      <w:tr w:rsidR="0053048A" w:rsidRPr="00895810" w14:paraId="532F0989" w14:textId="29A3EFFA" w:rsidTr="00024B10">
        <w:trPr>
          <w:trHeight w:val="170"/>
        </w:trPr>
        <w:tc>
          <w:tcPr>
            <w:tcW w:w="3828" w:type="dxa"/>
            <w:tcBorders>
              <w:top w:val="single" w:sz="2" w:space="0" w:color="3D7FE0" w:themeColor="accent1"/>
            </w:tcBorders>
            <w:tcMar>
              <w:left w:w="0" w:type="dxa"/>
              <w:right w:w="0" w:type="dxa"/>
            </w:tcMar>
            <w:vAlign w:val="bottom"/>
          </w:tcPr>
          <w:p w14:paraId="388B4DA8" w14:textId="77777777" w:rsidR="000D42FA" w:rsidRPr="00895810" w:rsidRDefault="000D42FA" w:rsidP="00172228">
            <w:pPr>
              <w:pStyle w:val="TabletextBold"/>
              <w:rPr>
                <w:rFonts w:ascii="IBM Plex Sans Light" w:hAnsi="IBM Plex Sans Light"/>
                <w:bCs/>
                <w:color w:val="3D7FE0" w:themeColor="accent1"/>
                <w:sz w:val="18"/>
                <w:szCs w:val="18"/>
              </w:rPr>
            </w:pPr>
          </w:p>
        </w:tc>
        <w:tc>
          <w:tcPr>
            <w:tcW w:w="1134" w:type="dxa"/>
            <w:tcBorders>
              <w:top w:val="single" w:sz="2" w:space="0" w:color="3D7FE0" w:themeColor="accent1"/>
            </w:tcBorders>
            <w:vAlign w:val="bottom"/>
          </w:tcPr>
          <w:p w14:paraId="113A0F0F"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35468022"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7B605FA1" w14:textId="52662FD9"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4FADF0A6"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3" w:type="dxa"/>
            <w:tcBorders>
              <w:top w:val="single" w:sz="2" w:space="0" w:color="3D7FE0" w:themeColor="accent1"/>
            </w:tcBorders>
            <w:vAlign w:val="bottom"/>
          </w:tcPr>
          <w:p w14:paraId="3B4191A2" w14:textId="166F8780"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tcBorders>
            <w:vAlign w:val="bottom"/>
          </w:tcPr>
          <w:p w14:paraId="5D7CCE4A" w14:textId="77777777" w:rsidR="000D42FA" w:rsidRPr="00024B10" w:rsidRDefault="000D42FA" w:rsidP="008B3C5C">
            <w:pPr>
              <w:pStyle w:val="TableFiguresBold"/>
              <w:rPr>
                <w:rFonts w:ascii="IBM Plex Sans Light" w:hAnsi="IBM Plex Sans Light"/>
                <w:b w:val="0"/>
                <w:color w:val="000000" w:themeColor="text1"/>
                <w:sz w:val="18"/>
                <w:szCs w:val="18"/>
              </w:rPr>
            </w:pPr>
          </w:p>
        </w:tc>
      </w:tr>
      <w:tr w:rsidR="0053048A" w:rsidRPr="00A4181A" w14:paraId="2C7F71DC" w14:textId="1802CFF1" w:rsidTr="00024B10">
        <w:trPr>
          <w:trHeight w:val="170"/>
        </w:trPr>
        <w:tc>
          <w:tcPr>
            <w:tcW w:w="3828" w:type="dxa"/>
            <w:tcMar>
              <w:left w:w="0" w:type="dxa"/>
              <w:right w:w="0" w:type="dxa"/>
            </w:tcMar>
          </w:tcPr>
          <w:p w14:paraId="4E8DAF00" w14:textId="77777777" w:rsidR="000D42FA" w:rsidRPr="00A4181A" w:rsidRDefault="000D42FA" w:rsidP="00172228">
            <w:pPr>
              <w:pStyle w:val="Tabletext"/>
              <w:rPr>
                <w:rFonts w:ascii="IBM Plex Sans Light" w:hAnsi="IBM Plex Sans Light"/>
                <w:b/>
                <w:color w:val="3D7FE0" w:themeColor="accent1"/>
                <w:spacing w:val="-4"/>
                <w:sz w:val="18"/>
                <w:szCs w:val="18"/>
              </w:rPr>
            </w:pPr>
            <w:r w:rsidRPr="00A4181A">
              <w:rPr>
                <w:rFonts w:ascii="IBM Plex Sans Light" w:hAnsi="IBM Plex Sans Light"/>
                <w:b/>
                <w:color w:val="3D7FE0" w:themeColor="accent1"/>
                <w:spacing w:val="-4"/>
                <w:sz w:val="18"/>
                <w:szCs w:val="18"/>
              </w:rPr>
              <w:t>Adjusted earnings – Value Retail</w:t>
            </w:r>
          </w:p>
        </w:tc>
        <w:tc>
          <w:tcPr>
            <w:tcW w:w="1134" w:type="dxa"/>
            <w:vAlign w:val="bottom"/>
          </w:tcPr>
          <w:p w14:paraId="3EF008F9"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vAlign w:val="bottom"/>
          </w:tcPr>
          <w:p w14:paraId="7A799DD1"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vAlign w:val="bottom"/>
          </w:tcPr>
          <w:p w14:paraId="199509AF" w14:textId="6CAE6C32"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vAlign w:val="bottom"/>
          </w:tcPr>
          <w:p w14:paraId="195873CF"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3" w:type="dxa"/>
            <w:vAlign w:val="bottom"/>
          </w:tcPr>
          <w:p w14:paraId="05A12E28" w14:textId="5EF5DE2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vAlign w:val="bottom"/>
          </w:tcPr>
          <w:p w14:paraId="1374751F" w14:textId="2DFAA081"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27.4</w:t>
            </w:r>
          </w:p>
        </w:tc>
      </w:tr>
      <w:tr w:rsidR="0053048A" w:rsidRPr="00A4181A" w14:paraId="1D12735C" w14:textId="75BDEFC3" w:rsidTr="00024B10">
        <w:trPr>
          <w:trHeight w:val="170"/>
        </w:trPr>
        <w:tc>
          <w:tcPr>
            <w:tcW w:w="3828" w:type="dxa"/>
            <w:tcBorders>
              <w:bottom w:val="single" w:sz="2" w:space="0" w:color="3D7FE0" w:themeColor="accent1"/>
            </w:tcBorders>
            <w:tcMar>
              <w:left w:w="0" w:type="dxa"/>
              <w:right w:w="0" w:type="dxa"/>
            </w:tcMar>
          </w:tcPr>
          <w:p w14:paraId="303FDD1D" w14:textId="77777777" w:rsidR="000D42FA" w:rsidRPr="00A4181A" w:rsidRDefault="000D42FA" w:rsidP="00172228">
            <w:pPr>
              <w:pStyle w:val="Tabletext"/>
              <w:rPr>
                <w:rFonts w:ascii="IBM Plex Sans Light" w:hAnsi="IBM Plex Sans Light"/>
                <w:b/>
                <w:color w:val="3D7FE0" w:themeColor="accent1"/>
                <w:spacing w:val="-4"/>
                <w:sz w:val="18"/>
                <w:szCs w:val="18"/>
              </w:rPr>
            </w:pPr>
            <w:r w:rsidRPr="00A4181A">
              <w:rPr>
                <w:rFonts w:ascii="IBM Plex Sans Light" w:hAnsi="IBM Plex Sans Light"/>
                <w:b/>
                <w:color w:val="3D7FE0" w:themeColor="accent1"/>
                <w:spacing w:val="-4"/>
                <w:sz w:val="18"/>
                <w:szCs w:val="18"/>
              </w:rPr>
              <w:t>Adjusted earnings – Italie Deux</w:t>
            </w:r>
          </w:p>
        </w:tc>
        <w:tc>
          <w:tcPr>
            <w:tcW w:w="1134" w:type="dxa"/>
            <w:tcBorders>
              <w:bottom w:val="single" w:sz="2" w:space="0" w:color="3D7FE0" w:themeColor="accent1"/>
            </w:tcBorders>
            <w:vAlign w:val="bottom"/>
          </w:tcPr>
          <w:p w14:paraId="12A41350"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bottom w:val="single" w:sz="2" w:space="0" w:color="3D7FE0" w:themeColor="accent1"/>
            </w:tcBorders>
            <w:vAlign w:val="bottom"/>
          </w:tcPr>
          <w:p w14:paraId="215B6E28"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bottom w:val="single" w:sz="2" w:space="0" w:color="3D7FE0" w:themeColor="accent1"/>
            </w:tcBorders>
            <w:vAlign w:val="bottom"/>
          </w:tcPr>
          <w:p w14:paraId="3B85A720" w14:textId="26A84B3F"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bottom w:val="single" w:sz="2" w:space="0" w:color="3D7FE0" w:themeColor="accent1"/>
            </w:tcBorders>
            <w:vAlign w:val="bottom"/>
          </w:tcPr>
          <w:p w14:paraId="78B495E1"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3" w:type="dxa"/>
            <w:tcBorders>
              <w:bottom w:val="single" w:sz="2" w:space="0" w:color="3D7FE0" w:themeColor="accent1"/>
            </w:tcBorders>
            <w:vAlign w:val="bottom"/>
          </w:tcPr>
          <w:p w14:paraId="11693FE8" w14:textId="715F866A"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bottom w:val="single" w:sz="2" w:space="0" w:color="3D7FE0" w:themeColor="accent1"/>
            </w:tcBorders>
            <w:vAlign w:val="bottom"/>
          </w:tcPr>
          <w:p w14:paraId="0DC5737D" w14:textId="02EC3C93"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4.4</w:t>
            </w:r>
          </w:p>
        </w:tc>
      </w:tr>
      <w:tr w:rsidR="0053048A" w:rsidRPr="00A4181A" w14:paraId="239F08F3" w14:textId="6AEC2B78" w:rsidTr="00024B10">
        <w:trPr>
          <w:trHeight w:val="170"/>
        </w:trPr>
        <w:tc>
          <w:tcPr>
            <w:tcW w:w="3828" w:type="dxa"/>
            <w:tcBorders>
              <w:top w:val="single" w:sz="2" w:space="0" w:color="3D7FE0" w:themeColor="accent1"/>
              <w:bottom w:val="single" w:sz="8" w:space="0" w:color="3D7FE0" w:themeColor="accent1"/>
            </w:tcBorders>
            <w:tcMar>
              <w:left w:w="0" w:type="dxa"/>
              <w:right w:w="0" w:type="dxa"/>
            </w:tcMar>
          </w:tcPr>
          <w:p w14:paraId="67E05162" w14:textId="77777777" w:rsidR="000D42FA" w:rsidRPr="00A4181A" w:rsidRDefault="000D42FA" w:rsidP="00172228">
            <w:pPr>
              <w:pStyle w:val="Tabletext"/>
              <w:rPr>
                <w:rFonts w:ascii="IBM Plex Sans Light" w:hAnsi="IBM Plex Sans Light"/>
                <w:b/>
                <w:color w:val="3D7FE0" w:themeColor="accent1"/>
                <w:spacing w:val="-4"/>
                <w:sz w:val="18"/>
                <w:szCs w:val="18"/>
              </w:rPr>
            </w:pPr>
            <w:r w:rsidRPr="00A4181A">
              <w:rPr>
                <w:rFonts w:ascii="IBM Plex Sans Light" w:hAnsi="IBM Plex Sans Light"/>
                <w:b/>
                <w:color w:val="3D7FE0" w:themeColor="accent1"/>
                <w:spacing w:val="-4"/>
                <w:sz w:val="18"/>
                <w:szCs w:val="18"/>
              </w:rPr>
              <w:t>Adjusted earnings – Total</w:t>
            </w:r>
          </w:p>
        </w:tc>
        <w:tc>
          <w:tcPr>
            <w:tcW w:w="1134" w:type="dxa"/>
            <w:tcBorders>
              <w:top w:val="single" w:sz="2" w:space="0" w:color="3D7FE0" w:themeColor="accent1"/>
              <w:bottom w:val="single" w:sz="8" w:space="0" w:color="3D7FE0" w:themeColor="accent1"/>
            </w:tcBorders>
            <w:vAlign w:val="bottom"/>
          </w:tcPr>
          <w:p w14:paraId="014C891E"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bottom w:val="single" w:sz="8" w:space="0" w:color="3D7FE0" w:themeColor="accent1"/>
            </w:tcBorders>
            <w:vAlign w:val="bottom"/>
          </w:tcPr>
          <w:p w14:paraId="79EFCA25"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bottom w:val="single" w:sz="8" w:space="0" w:color="3D7FE0" w:themeColor="accent1"/>
            </w:tcBorders>
            <w:vAlign w:val="bottom"/>
          </w:tcPr>
          <w:p w14:paraId="7034F460" w14:textId="4B9DA5D5"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bottom w:val="single" w:sz="8" w:space="0" w:color="3D7FE0" w:themeColor="accent1"/>
            </w:tcBorders>
            <w:vAlign w:val="bottom"/>
          </w:tcPr>
          <w:p w14:paraId="2935144E" w14:textId="77777777" w:rsidR="000D42FA" w:rsidRPr="00024B10" w:rsidRDefault="000D42FA" w:rsidP="008B3C5C">
            <w:pPr>
              <w:pStyle w:val="TableFiguresBold"/>
              <w:rPr>
                <w:rFonts w:ascii="IBM Plex Sans Light" w:hAnsi="IBM Plex Sans Light"/>
                <w:b w:val="0"/>
                <w:color w:val="000000" w:themeColor="text1"/>
                <w:sz w:val="18"/>
                <w:szCs w:val="18"/>
              </w:rPr>
            </w:pPr>
          </w:p>
        </w:tc>
        <w:tc>
          <w:tcPr>
            <w:tcW w:w="993" w:type="dxa"/>
            <w:tcBorders>
              <w:top w:val="single" w:sz="2" w:space="0" w:color="3D7FE0" w:themeColor="accent1"/>
              <w:bottom w:val="single" w:sz="8" w:space="0" w:color="3D7FE0" w:themeColor="accent1"/>
            </w:tcBorders>
            <w:vAlign w:val="bottom"/>
          </w:tcPr>
          <w:p w14:paraId="3A8FF4B9" w14:textId="42E6BEDE" w:rsidR="000D42FA" w:rsidRPr="00024B10" w:rsidRDefault="000D42FA" w:rsidP="008B3C5C">
            <w:pPr>
              <w:pStyle w:val="TableFiguresBold"/>
              <w:rPr>
                <w:rFonts w:ascii="IBM Plex Sans Light" w:hAnsi="IBM Plex Sans Light"/>
                <w:b w:val="0"/>
                <w:color w:val="000000" w:themeColor="text1"/>
                <w:sz w:val="18"/>
                <w:szCs w:val="18"/>
              </w:rPr>
            </w:pPr>
          </w:p>
        </w:tc>
        <w:tc>
          <w:tcPr>
            <w:tcW w:w="992" w:type="dxa"/>
            <w:tcBorders>
              <w:top w:val="single" w:sz="2" w:space="0" w:color="3D7FE0" w:themeColor="accent1"/>
              <w:bottom w:val="single" w:sz="8" w:space="0" w:color="3D7FE0" w:themeColor="accent1"/>
            </w:tcBorders>
            <w:vAlign w:val="bottom"/>
          </w:tcPr>
          <w:p w14:paraId="3FAC2729" w14:textId="3BDC805C" w:rsidR="000D42FA" w:rsidRPr="00024B10" w:rsidRDefault="000D42FA" w:rsidP="008B3C5C">
            <w:pPr>
              <w:pStyle w:val="TableFiguresBold"/>
              <w:rPr>
                <w:rFonts w:ascii="IBM Plex Sans Light" w:hAnsi="IBM Plex Sans Light"/>
                <w:b w:val="0"/>
                <w:color w:val="000000" w:themeColor="text1"/>
                <w:sz w:val="18"/>
                <w:szCs w:val="18"/>
              </w:rPr>
            </w:pPr>
            <w:r w:rsidRPr="00024B10">
              <w:rPr>
                <w:rFonts w:ascii="IBM Plex Sans Light" w:hAnsi="IBM Plex Sans Light"/>
                <w:b w:val="0"/>
                <w:bCs w:val="0"/>
                <w:color w:val="000000" w:themeColor="text1"/>
                <w:sz w:val="18"/>
                <w:szCs w:val="18"/>
              </w:rPr>
              <w:t>31.8</w:t>
            </w:r>
          </w:p>
        </w:tc>
      </w:tr>
    </w:tbl>
    <w:p w14:paraId="15F8F659" w14:textId="77777777" w:rsidR="00172228" w:rsidRDefault="00172228" w:rsidP="00F82240">
      <w:pPr>
        <w:pStyle w:val="Heading2SpaceBefore"/>
        <w:spacing w:before="0"/>
        <w:rPr>
          <w:rFonts w:ascii="IBM Plex Sans Light" w:hAnsi="IBM Plex Sans Light"/>
          <w:color w:val="3D7FE0" w:themeColor="accent1"/>
        </w:rPr>
      </w:pPr>
    </w:p>
    <w:p w14:paraId="67AD8B56" w14:textId="492990BD" w:rsidR="002F4732" w:rsidRPr="00895810" w:rsidRDefault="00D774F9" w:rsidP="00F82240">
      <w:pPr>
        <w:pStyle w:val="Heading2SpaceBefore"/>
        <w:spacing w:before="0"/>
        <w:rPr>
          <w:rFonts w:ascii="IBM Plex Sans Light" w:hAnsi="IBM Plex Sans Light"/>
          <w:color w:val="3D7FE0" w:themeColor="accent1"/>
        </w:rPr>
      </w:pPr>
      <w:r>
        <w:rPr>
          <w:rFonts w:ascii="IBM Plex Sans Light" w:hAnsi="IBM Plex Sans Light"/>
          <w:color w:val="3D7FE0" w:themeColor="accent1"/>
        </w:rPr>
        <w:t>C</w:t>
      </w:r>
      <w:r w:rsidR="002269FF" w:rsidRPr="00895810">
        <w:rPr>
          <w:rFonts w:ascii="IBM Plex Sans Light" w:hAnsi="IBM Plex Sans Light"/>
          <w:color w:val="3D7FE0" w:themeColor="accent1"/>
        </w:rPr>
        <w:t xml:space="preserve">. </w:t>
      </w:r>
      <w:r w:rsidR="005F6D26" w:rsidRPr="00895810">
        <w:rPr>
          <w:rFonts w:ascii="IBM Plex Sans Light" w:hAnsi="IBM Plex Sans Light"/>
          <w:color w:val="3D7FE0" w:themeColor="accent1"/>
        </w:rPr>
        <w:t xml:space="preserve">ASSETS AND LIABILITIES </w:t>
      </w:r>
    </w:p>
    <w:tbl>
      <w:tblPr>
        <w:tblW w:w="10090" w:type="dxa"/>
        <w:tblLayout w:type="fixed"/>
        <w:tblLook w:val="01E0" w:firstRow="1" w:lastRow="1" w:firstColumn="1" w:lastColumn="1" w:noHBand="0" w:noVBand="0"/>
      </w:tblPr>
      <w:tblGrid>
        <w:gridCol w:w="170"/>
        <w:gridCol w:w="2948"/>
        <w:gridCol w:w="170"/>
        <w:gridCol w:w="113"/>
        <w:gridCol w:w="170"/>
        <w:gridCol w:w="644"/>
        <w:gridCol w:w="236"/>
        <w:gridCol w:w="1078"/>
        <w:gridCol w:w="1132"/>
        <w:gridCol w:w="170"/>
        <w:gridCol w:w="644"/>
        <w:gridCol w:w="815"/>
        <w:gridCol w:w="815"/>
        <w:gridCol w:w="815"/>
        <w:gridCol w:w="170"/>
      </w:tblGrid>
      <w:tr w:rsidR="00E41259" w:rsidRPr="00895810" w14:paraId="25BE027B" w14:textId="77777777" w:rsidTr="00024B10">
        <w:trPr>
          <w:gridBefore w:val="1"/>
          <w:wBefore w:w="170" w:type="dxa"/>
          <w:trHeight w:val="249"/>
        </w:trPr>
        <w:tc>
          <w:tcPr>
            <w:tcW w:w="3118" w:type="dxa"/>
            <w:gridSpan w:val="2"/>
            <w:tcBorders>
              <w:bottom w:val="single" w:sz="4" w:space="0" w:color="3D7FE0" w:themeColor="accent1"/>
            </w:tcBorders>
            <w:tcMar>
              <w:left w:w="0" w:type="dxa"/>
              <w:right w:w="0" w:type="dxa"/>
            </w:tcMar>
            <w:vAlign w:val="bottom"/>
          </w:tcPr>
          <w:p w14:paraId="3ADEE215" w14:textId="77777777" w:rsidR="00E41259" w:rsidRPr="00895810" w:rsidRDefault="00E41259" w:rsidP="005F6D26">
            <w:pPr>
              <w:pStyle w:val="TableColHeadsBold"/>
              <w:rPr>
                <w:rFonts w:ascii="IBM Plex Sans Light" w:hAnsi="IBM Plex Sans Light"/>
              </w:rPr>
            </w:pPr>
          </w:p>
        </w:tc>
        <w:tc>
          <w:tcPr>
            <w:tcW w:w="283" w:type="dxa"/>
            <w:gridSpan w:val="2"/>
            <w:tcBorders>
              <w:bottom w:val="single" w:sz="4" w:space="0" w:color="3D7FE0" w:themeColor="accent1"/>
            </w:tcBorders>
            <w:vAlign w:val="bottom"/>
          </w:tcPr>
          <w:p w14:paraId="3812A6C4" w14:textId="3CB65B71" w:rsidR="00E41259" w:rsidRPr="00895810" w:rsidRDefault="00E41259" w:rsidP="00F82240">
            <w:pPr>
              <w:pStyle w:val="TableColHeadsBold"/>
              <w:rPr>
                <w:rFonts w:ascii="IBM Plex Sans Light" w:hAnsi="IBM Plex Sans Light"/>
              </w:rPr>
            </w:pPr>
          </w:p>
        </w:tc>
        <w:tc>
          <w:tcPr>
            <w:tcW w:w="3260" w:type="dxa"/>
            <w:gridSpan w:val="5"/>
            <w:tcBorders>
              <w:bottom w:val="single" w:sz="4" w:space="0" w:color="3D7FE0" w:themeColor="accent1"/>
            </w:tcBorders>
            <w:vAlign w:val="bottom"/>
          </w:tcPr>
          <w:p w14:paraId="4A4A8CB2" w14:textId="2A44B8E1" w:rsidR="00E41259" w:rsidRPr="00895810" w:rsidRDefault="00785AC2" w:rsidP="00F82240">
            <w:pPr>
              <w:pStyle w:val="TableColHeadsBold"/>
              <w:tabs>
                <w:tab w:val="clear" w:pos="284"/>
              </w:tabs>
              <w:ind w:right="0"/>
              <w:rPr>
                <w:rFonts w:ascii="IBM Plex Sans Light" w:hAnsi="IBM Plex Sans Light"/>
                <w:color w:val="3D7FE0" w:themeColor="accent1"/>
              </w:rPr>
            </w:pPr>
            <w:r>
              <w:rPr>
                <w:rFonts w:ascii="IBM Plex Sans Light" w:hAnsi="IBM Plex Sans Light"/>
                <w:color w:val="3D7FE0" w:themeColor="accent1"/>
              </w:rPr>
              <w:t>2023</w:t>
            </w:r>
          </w:p>
        </w:tc>
        <w:tc>
          <w:tcPr>
            <w:tcW w:w="3259" w:type="dxa"/>
            <w:gridSpan w:val="5"/>
            <w:tcBorders>
              <w:bottom w:val="single" w:sz="4" w:space="0" w:color="3D7FE0" w:themeColor="accent1"/>
            </w:tcBorders>
            <w:tcMar>
              <w:left w:w="0" w:type="dxa"/>
              <w:right w:w="0" w:type="dxa"/>
            </w:tcMar>
            <w:vAlign w:val="bottom"/>
          </w:tcPr>
          <w:p w14:paraId="1B123D15" w14:textId="04C4DEF5" w:rsidR="00E41259" w:rsidRPr="00895810" w:rsidRDefault="006E7EB0" w:rsidP="00F82240">
            <w:pPr>
              <w:pStyle w:val="TableColHeadsBold"/>
              <w:rPr>
                <w:rFonts w:ascii="IBM Plex Sans Light" w:hAnsi="IBM Plex Sans Light"/>
                <w:b w:val="0"/>
              </w:rPr>
            </w:pPr>
            <w:r>
              <w:rPr>
                <w:rFonts w:ascii="IBM Plex Sans Light" w:hAnsi="IBM Plex Sans Light"/>
                <w:b w:val="0"/>
              </w:rPr>
              <w:t>2022</w:t>
            </w:r>
          </w:p>
        </w:tc>
      </w:tr>
      <w:tr w:rsidR="004406E3" w:rsidRPr="00895810" w14:paraId="4460D189" w14:textId="77777777" w:rsidTr="00024B10">
        <w:trPr>
          <w:gridAfter w:val="1"/>
          <w:wAfter w:w="170" w:type="dxa"/>
          <w:trHeight w:val="249"/>
        </w:trPr>
        <w:tc>
          <w:tcPr>
            <w:tcW w:w="3118" w:type="dxa"/>
            <w:gridSpan w:val="2"/>
            <w:tcBorders>
              <w:top w:val="single" w:sz="4" w:space="0" w:color="3D7FE0" w:themeColor="accent1"/>
            </w:tcBorders>
            <w:tcMar>
              <w:left w:w="0" w:type="dxa"/>
              <w:right w:w="0" w:type="dxa"/>
            </w:tcMar>
            <w:vAlign w:val="bottom"/>
          </w:tcPr>
          <w:p w14:paraId="5327B9B4" w14:textId="77777777" w:rsidR="004406E3" w:rsidRPr="00895810" w:rsidRDefault="004406E3" w:rsidP="005F6D26">
            <w:pPr>
              <w:pStyle w:val="TableColHeadsBold"/>
              <w:rPr>
                <w:rFonts w:ascii="IBM Plex Sans Light" w:hAnsi="IBM Plex Sans Light"/>
              </w:rPr>
            </w:pPr>
          </w:p>
        </w:tc>
        <w:tc>
          <w:tcPr>
            <w:tcW w:w="283" w:type="dxa"/>
            <w:gridSpan w:val="2"/>
            <w:tcBorders>
              <w:top w:val="single" w:sz="4" w:space="0" w:color="3D7FE0" w:themeColor="accent1"/>
            </w:tcBorders>
            <w:vAlign w:val="bottom"/>
          </w:tcPr>
          <w:p w14:paraId="38CE87BA" w14:textId="662922C4" w:rsidR="004406E3" w:rsidRPr="00895810" w:rsidRDefault="004406E3" w:rsidP="00F82240">
            <w:pPr>
              <w:pStyle w:val="TableColHeadsBold"/>
              <w:rPr>
                <w:rFonts w:ascii="IBM Plex Sans Light" w:hAnsi="IBM Plex Sans Light"/>
              </w:rPr>
            </w:pPr>
          </w:p>
        </w:tc>
        <w:tc>
          <w:tcPr>
            <w:tcW w:w="814" w:type="dxa"/>
            <w:gridSpan w:val="2"/>
            <w:vAlign w:val="bottom"/>
          </w:tcPr>
          <w:p w14:paraId="165C088D" w14:textId="46B61BB1" w:rsidR="004406E3" w:rsidRPr="00895810" w:rsidRDefault="004406E3" w:rsidP="00F82240">
            <w:pPr>
              <w:pStyle w:val="TableColHeadsBold"/>
              <w:rPr>
                <w:rFonts w:ascii="IBM Plex Sans Light" w:hAnsi="IBM Plex Sans Light"/>
                <w:color w:val="3D7FE0" w:themeColor="accent1"/>
              </w:rPr>
            </w:pPr>
          </w:p>
        </w:tc>
        <w:tc>
          <w:tcPr>
            <w:tcW w:w="236" w:type="dxa"/>
            <w:vAlign w:val="bottom"/>
          </w:tcPr>
          <w:p w14:paraId="63C0CE28" w14:textId="77777777" w:rsidR="004406E3" w:rsidRPr="00895810" w:rsidRDefault="004406E3" w:rsidP="00F82240">
            <w:pPr>
              <w:pStyle w:val="TableColHeadsBold"/>
              <w:rPr>
                <w:rFonts w:ascii="IBM Plex Sans Light" w:hAnsi="IBM Plex Sans Light"/>
                <w:color w:val="3D7FE0" w:themeColor="accent1"/>
              </w:rPr>
            </w:pPr>
          </w:p>
        </w:tc>
        <w:tc>
          <w:tcPr>
            <w:tcW w:w="1078" w:type="dxa"/>
            <w:tcBorders>
              <w:top w:val="single" w:sz="4" w:space="0" w:color="3D7FE0" w:themeColor="accent1"/>
              <w:bottom w:val="single" w:sz="4" w:space="0" w:color="3D7FE0" w:themeColor="accent1"/>
            </w:tcBorders>
            <w:vAlign w:val="bottom"/>
          </w:tcPr>
          <w:p w14:paraId="2D70F7D9" w14:textId="77777777" w:rsidR="004406E3" w:rsidRPr="00895810" w:rsidRDefault="004406E3" w:rsidP="00F82240">
            <w:pPr>
              <w:pStyle w:val="TableColHeadsBold"/>
              <w:tabs>
                <w:tab w:val="clear" w:pos="284"/>
              </w:tabs>
              <w:ind w:right="0"/>
              <w:rPr>
                <w:rFonts w:ascii="IBM Plex Sans Light" w:hAnsi="IBM Plex Sans Light"/>
                <w:color w:val="3D7FE0" w:themeColor="accent1"/>
              </w:rPr>
            </w:pPr>
            <w:r w:rsidRPr="00895810">
              <w:rPr>
                <w:rFonts w:ascii="IBM Plex Sans Light" w:hAnsi="IBM Plex Sans Light"/>
                <w:color w:val="3D7FE0" w:themeColor="accent1"/>
              </w:rPr>
              <w:t>100% share</w:t>
            </w:r>
          </w:p>
        </w:tc>
        <w:tc>
          <w:tcPr>
            <w:tcW w:w="1132" w:type="dxa"/>
            <w:tcBorders>
              <w:top w:val="single" w:sz="4" w:space="0" w:color="3D7FE0" w:themeColor="accent1"/>
            </w:tcBorders>
            <w:vAlign w:val="bottom"/>
          </w:tcPr>
          <w:p w14:paraId="40495A63" w14:textId="4E4AFA4B" w:rsidR="004406E3" w:rsidRPr="00895810" w:rsidRDefault="004406E3" w:rsidP="00F82240">
            <w:pPr>
              <w:pStyle w:val="TableColHeadsBold"/>
              <w:tabs>
                <w:tab w:val="clear" w:pos="284"/>
              </w:tabs>
              <w:ind w:right="0"/>
              <w:rPr>
                <w:rFonts w:ascii="IBM Plex Sans Light" w:hAnsi="IBM Plex Sans Light"/>
                <w:color w:val="3D7FE0" w:themeColor="accent1"/>
              </w:rPr>
            </w:pPr>
          </w:p>
        </w:tc>
        <w:tc>
          <w:tcPr>
            <w:tcW w:w="2444" w:type="dxa"/>
            <w:gridSpan w:val="4"/>
            <w:tcBorders>
              <w:top w:val="single" w:sz="4" w:space="0" w:color="3D7FE0" w:themeColor="accent1"/>
              <w:bottom w:val="single" w:sz="4" w:space="0" w:color="3D7FE0" w:themeColor="accent1"/>
            </w:tcBorders>
            <w:tcMar>
              <w:left w:w="0" w:type="dxa"/>
              <w:right w:w="0" w:type="dxa"/>
            </w:tcMar>
            <w:vAlign w:val="bottom"/>
          </w:tcPr>
          <w:p w14:paraId="4C4F564F" w14:textId="4977887B" w:rsidR="004406E3" w:rsidRPr="00895810" w:rsidRDefault="004406E3" w:rsidP="00D91739">
            <w:pPr>
              <w:pStyle w:val="TableColHeadsBold"/>
              <w:tabs>
                <w:tab w:val="clear" w:pos="284"/>
              </w:tabs>
              <w:ind w:right="38"/>
              <w:rPr>
                <w:rFonts w:ascii="IBM Plex Sans Light" w:hAnsi="IBM Plex Sans Light"/>
                <w:b w:val="0"/>
                <w:bCs w:val="0"/>
              </w:rPr>
            </w:pPr>
            <w:r w:rsidRPr="00895810">
              <w:rPr>
                <w:rFonts w:ascii="IBM Plex Sans Light" w:hAnsi="IBM Plex Sans Light"/>
                <w:b w:val="0"/>
                <w:bCs w:val="0"/>
              </w:rPr>
              <w:t>100% share</w:t>
            </w:r>
          </w:p>
        </w:tc>
        <w:tc>
          <w:tcPr>
            <w:tcW w:w="815" w:type="dxa"/>
            <w:tcBorders>
              <w:top w:val="single" w:sz="4" w:space="0" w:color="3D7FE0" w:themeColor="accent1"/>
            </w:tcBorders>
            <w:tcMar>
              <w:left w:w="0" w:type="dxa"/>
              <w:right w:w="0" w:type="dxa"/>
            </w:tcMar>
            <w:vAlign w:val="bottom"/>
          </w:tcPr>
          <w:p w14:paraId="1AAEF103" w14:textId="77777777" w:rsidR="004406E3" w:rsidRPr="00895810" w:rsidRDefault="004406E3" w:rsidP="00F82240">
            <w:pPr>
              <w:pStyle w:val="TableColHeadsBold"/>
              <w:rPr>
                <w:rFonts w:ascii="IBM Plex Sans Light" w:hAnsi="IBM Plex Sans Light"/>
                <w:b w:val="0"/>
              </w:rPr>
            </w:pPr>
          </w:p>
        </w:tc>
      </w:tr>
      <w:tr w:rsidR="00A84119" w:rsidRPr="00895810" w14:paraId="6AF68919" w14:textId="77777777" w:rsidTr="00024B10">
        <w:trPr>
          <w:gridAfter w:val="1"/>
          <w:wAfter w:w="170" w:type="dxa"/>
          <w:trHeight w:val="249"/>
        </w:trPr>
        <w:tc>
          <w:tcPr>
            <w:tcW w:w="3118" w:type="dxa"/>
            <w:gridSpan w:val="2"/>
            <w:tcMar>
              <w:left w:w="0" w:type="dxa"/>
              <w:right w:w="0" w:type="dxa"/>
            </w:tcMar>
            <w:vAlign w:val="bottom"/>
          </w:tcPr>
          <w:p w14:paraId="02D60E72" w14:textId="77777777" w:rsidR="00A84119" w:rsidRPr="00895810" w:rsidRDefault="00A84119" w:rsidP="005F6D26">
            <w:pPr>
              <w:pStyle w:val="TableColHeadsBold"/>
              <w:rPr>
                <w:rFonts w:ascii="IBM Plex Sans Light" w:hAnsi="IBM Plex Sans Light"/>
              </w:rPr>
            </w:pPr>
          </w:p>
        </w:tc>
        <w:tc>
          <w:tcPr>
            <w:tcW w:w="283" w:type="dxa"/>
            <w:gridSpan w:val="2"/>
            <w:vAlign w:val="bottom"/>
          </w:tcPr>
          <w:p w14:paraId="27CC7FCF" w14:textId="5670EA58" w:rsidR="00A84119" w:rsidRPr="00895810" w:rsidRDefault="00A84119" w:rsidP="00A84119">
            <w:pPr>
              <w:pStyle w:val="TableColHeadsBold"/>
              <w:rPr>
                <w:rFonts w:ascii="IBM Plex Sans Light" w:hAnsi="IBM Plex Sans Light"/>
              </w:rPr>
            </w:pPr>
          </w:p>
        </w:tc>
        <w:tc>
          <w:tcPr>
            <w:tcW w:w="814" w:type="dxa"/>
            <w:gridSpan w:val="2"/>
            <w:vAlign w:val="bottom"/>
          </w:tcPr>
          <w:p w14:paraId="6B4FFBE4" w14:textId="0A328EB7" w:rsidR="00A84119" w:rsidRPr="00895810" w:rsidRDefault="00A84119" w:rsidP="00A84119">
            <w:pPr>
              <w:pStyle w:val="TableColHeadsBold"/>
              <w:tabs>
                <w:tab w:val="clear" w:pos="284"/>
              </w:tabs>
              <w:ind w:right="0"/>
              <w:rPr>
                <w:rFonts w:ascii="IBM Plex Sans Light" w:hAnsi="IBM Plex Sans Light"/>
              </w:rPr>
            </w:pPr>
          </w:p>
        </w:tc>
        <w:tc>
          <w:tcPr>
            <w:tcW w:w="236" w:type="dxa"/>
            <w:tcMar>
              <w:left w:w="0" w:type="dxa"/>
              <w:right w:w="0" w:type="dxa"/>
            </w:tcMar>
            <w:vAlign w:val="bottom"/>
          </w:tcPr>
          <w:p w14:paraId="767F55E8" w14:textId="696C5B28" w:rsidR="00A84119" w:rsidRPr="00895810" w:rsidRDefault="00A84119" w:rsidP="00A84119">
            <w:pPr>
              <w:pStyle w:val="TableColHeadsBold"/>
              <w:rPr>
                <w:rFonts w:ascii="IBM Plex Sans Light" w:hAnsi="IBM Plex Sans Light"/>
                <w:color w:val="3D7FE0" w:themeColor="accent1"/>
              </w:rPr>
            </w:pPr>
          </w:p>
        </w:tc>
        <w:tc>
          <w:tcPr>
            <w:tcW w:w="1078" w:type="dxa"/>
            <w:tcBorders>
              <w:top w:val="single" w:sz="4" w:space="0" w:color="3D7FE0" w:themeColor="accent1"/>
            </w:tcBorders>
            <w:vAlign w:val="bottom"/>
          </w:tcPr>
          <w:p w14:paraId="0E0F9DB2" w14:textId="562DC64D" w:rsidR="00A84119" w:rsidRPr="00895810" w:rsidRDefault="00A84119" w:rsidP="00A84119">
            <w:pPr>
              <w:pStyle w:val="TableColHeadsBold"/>
              <w:rPr>
                <w:rFonts w:ascii="IBM Plex Sans Light" w:hAnsi="IBM Plex Sans Light"/>
                <w:color w:val="3D7FE0" w:themeColor="accent1"/>
              </w:rPr>
            </w:pPr>
            <w:r w:rsidRPr="00895810">
              <w:rPr>
                <w:rFonts w:ascii="IBM Plex Sans Light" w:hAnsi="IBM Plex Sans Light"/>
                <w:color w:val="3D7FE0" w:themeColor="accent1"/>
              </w:rPr>
              <w:t>Value</w:t>
            </w:r>
            <w:r w:rsidR="0053048A">
              <w:rPr>
                <w:rFonts w:ascii="IBM Plex Sans Light" w:hAnsi="IBM Plex Sans Light"/>
                <w:color w:val="3D7FE0" w:themeColor="accent1"/>
              </w:rPr>
              <w:br/>
            </w:r>
            <w:r w:rsidRPr="00895810">
              <w:rPr>
                <w:rFonts w:ascii="IBM Plex Sans Light" w:hAnsi="IBM Plex Sans Light"/>
                <w:color w:val="3D7FE0" w:themeColor="accent1"/>
              </w:rPr>
              <w:t xml:space="preserve"> Retail</w:t>
            </w:r>
          </w:p>
        </w:tc>
        <w:tc>
          <w:tcPr>
            <w:tcW w:w="1132" w:type="dxa"/>
            <w:vAlign w:val="bottom"/>
          </w:tcPr>
          <w:p w14:paraId="0821653F" w14:textId="36C1A180" w:rsidR="00A84119" w:rsidRPr="00895810" w:rsidRDefault="00A84119" w:rsidP="00A84119">
            <w:pPr>
              <w:pStyle w:val="TableColHeadsBold"/>
              <w:tabs>
                <w:tab w:val="clear" w:pos="284"/>
              </w:tabs>
              <w:ind w:right="0"/>
              <w:rPr>
                <w:rFonts w:ascii="IBM Plex Sans Light" w:hAnsi="IBM Plex Sans Light"/>
                <w:color w:val="3D7FE0" w:themeColor="accent1"/>
              </w:rPr>
            </w:pPr>
            <w:r w:rsidRPr="00895810">
              <w:rPr>
                <w:rFonts w:ascii="IBM Plex Sans Light" w:hAnsi="IBM Plex Sans Light"/>
                <w:color w:val="3D7FE0" w:themeColor="accent1"/>
              </w:rPr>
              <w:t>Group</w:t>
            </w:r>
            <w:r w:rsidR="0053048A">
              <w:rPr>
                <w:rFonts w:ascii="IBM Plex Sans Light" w:hAnsi="IBM Plex Sans Light"/>
                <w:color w:val="3D7FE0" w:themeColor="accent1"/>
              </w:rPr>
              <w:br/>
            </w:r>
            <w:r w:rsidRPr="00895810">
              <w:rPr>
                <w:rFonts w:ascii="IBM Plex Sans Light" w:hAnsi="IBM Plex Sans Light"/>
                <w:color w:val="3D7FE0" w:themeColor="accent1"/>
              </w:rPr>
              <w:t xml:space="preserve"> share</w:t>
            </w:r>
          </w:p>
        </w:tc>
        <w:tc>
          <w:tcPr>
            <w:tcW w:w="814" w:type="dxa"/>
            <w:gridSpan w:val="2"/>
            <w:tcBorders>
              <w:top w:val="single" w:sz="4" w:space="0" w:color="3D7FE0" w:themeColor="accent1"/>
            </w:tcBorders>
            <w:tcMar>
              <w:left w:w="0" w:type="dxa"/>
              <w:right w:w="0" w:type="dxa"/>
            </w:tcMar>
            <w:vAlign w:val="bottom"/>
          </w:tcPr>
          <w:p w14:paraId="0435E27B" w14:textId="46DEF15C" w:rsidR="00A84119" w:rsidRPr="00024B10" w:rsidRDefault="00A84119" w:rsidP="00A84119">
            <w:pPr>
              <w:pStyle w:val="TableColHeadsBold"/>
              <w:rPr>
                <w:rFonts w:ascii="IBM Plex Sans Light" w:hAnsi="IBM Plex Sans Light"/>
                <w:b w:val="0"/>
              </w:rPr>
            </w:pPr>
            <w:r w:rsidRPr="0053048A">
              <w:rPr>
                <w:rFonts w:ascii="IBM Plex Sans Light" w:hAnsi="IBM Plex Sans Light"/>
                <w:b w:val="0"/>
              </w:rPr>
              <w:t>Value</w:t>
            </w:r>
            <w:r w:rsidR="0053048A">
              <w:rPr>
                <w:rFonts w:ascii="IBM Plex Sans Light" w:hAnsi="IBM Plex Sans Light"/>
                <w:b w:val="0"/>
              </w:rPr>
              <w:t xml:space="preserve">  </w:t>
            </w:r>
            <w:r w:rsidR="0053048A" w:rsidRPr="0053048A">
              <w:rPr>
                <w:rFonts w:ascii="IBM Plex Sans Light" w:hAnsi="IBM Plex Sans Light"/>
                <w:b w:val="0"/>
              </w:rPr>
              <w:br/>
            </w:r>
            <w:r w:rsidRPr="0053048A">
              <w:rPr>
                <w:rFonts w:ascii="IBM Plex Sans Light" w:hAnsi="IBM Plex Sans Light"/>
                <w:b w:val="0"/>
              </w:rPr>
              <w:t xml:space="preserve"> Retail </w:t>
            </w:r>
          </w:p>
        </w:tc>
        <w:tc>
          <w:tcPr>
            <w:tcW w:w="815" w:type="dxa"/>
            <w:tcBorders>
              <w:top w:val="single" w:sz="4" w:space="0" w:color="3D7FE0" w:themeColor="accent1"/>
            </w:tcBorders>
            <w:tcMar>
              <w:left w:w="0" w:type="dxa"/>
              <w:right w:w="0" w:type="dxa"/>
            </w:tcMar>
            <w:vAlign w:val="bottom"/>
          </w:tcPr>
          <w:p w14:paraId="46241EC2" w14:textId="77777777" w:rsidR="00A84119" w:rsidRPr="00895810" w:rsidRDefault="00A84119" w:rsidP="00A84119">
            <w:pPr>
              <w:pStyle w:val="TableColHeadsBold"/>
              <w:rPr>
                <w:rFonts w:ascii="IBM Plex Sans Light" w:hAnsi="IBM Plex Sans Light"/>
                <w:b w:val="0"/>
              </w:rPr>
            </w:pPr>
            <w:r w:rsidRPr="00895810">
              <w:rPr>
                <w:rFonts w:ascii="IBM Plex Sans Light" w:hAnsi="IBM Plex Sans Light"/>
                <w:b w:val="0"/>
              </w:rPr>
              <w:t xml:space="preserve">Italie </w:t>
            </w:r>
          </w:p>
          <w:p w14:paraId="72BCE1E6" w14:textId="77777777" w:rsidR="00A84119" w:rsidRPr="00895810" w:rsidRDefault="00A84119" w:rsidP="00A84119">
            <w:pPr>
              <w:pStyle w:val="TableColHeadsBold"/>
              <w:rPr>
                <w:rFonts w:ascii="IBM Plex Sans Light" w:hAnsi="IBM Plex Sans Light"/>
                <w:b w:val="0"/>
              </w:rPr>
            </w:pPr>
            <w:r w:rsidRPr="00895810">
              <w:rPr>
                <w:rFonts w:ascii="IBM Plex Sans Light" w:hAnsi="IBM Plex Sans Light"/>
                <w:b w:val="0"/>
              </w:rPr>
              <w:t>Deux</w:t>
            </w:r>
          </w:p>
        </w:tc>
        <w:tc>
          <w:tcPr>
            <w:tcW w:w="815" w:type="dxa"/>
            <w:tcBorders>
              <w:top w:val="single" w:sz="4" w:space="0" w:color="3D7FE0" w:themeColor="accent1"/>
            </w:tcBorders>
            <w:vAlign w:val="bottom"/>
          </w:tcPr>
          <w:p w14:paraId="53332432" w14:textId="77777777" w:rsidR="00A84119" w:rsidRPr="00895810" w:rsidRDefault="00A84119" w:rsidP="00A84119">
            <w:pPr>
              <w:pStyle w:val="TableColHeadsBold"/>
              <w:tabs>
                <w:tab w:val="clear" w:pos="284"/>
              </w:tabs>
              <w:ind w:right="0"/>
              <w:rPr>
                <w:rFonts w:ascii="IBM Plex Sans Light" w:hAnsi="IBM Plex Sans Light"/>
                <w:b w:val="0"/>
              </w:rPr>
            </w:pPr>
            <w:r w:rsidRPr="00895810">
              <w:rPr>
                <w:rFonts w:ascii="IBM Plex Sans Light" w:hAnsi="IBM Plex Sans Light"/>
                <w:b w:val="0"/>
              </w:rPr>
              <w:t>Total</w:t>
            </w:r>
          </w:p>
        </w:tc>
        <w:tc>
          <w:tcPr>
            <w:tcW w:w="815" w:type="dxa"/>
            <w:tcMar>
              <w:left w:w="0" w:type="dxa"/>
              <w:right w:w="0" w:type="dxa"/>
            </w:tcMar>
            <w:vAlign w:val="bottom"/>
          </w:tcPr>
          <w:p w14:paraId="6C0084E0" w14:textId="77777777" w:rsidR="00A84119" w:rsidRPr="00895810" w:rsidRDefault="00A84119" w:rsidP="00A84119">
            <w:pPr>
              <w:pStyle w:val="TableColHeadsBold"/>
              <w:rPr>
                <w:rFonts w:ascii="IBM Plex Sans Light" w:hAnsi="IBM Plex Sans Light"/>
                <w:b w:val="0"/>
              </w:rPr>
            </w:pPr>
            <w:r w:rsidRPr="00895810">
              <w:rPr>
                <w:rFonts w:ascii="IBM Plex Sans Light" w:hAnsi="IBM Plex Sans Light"/>
                <w:b w:val="0"/>
              </w:rPr>
              <w:t>Group share</w:t>
            </w:r>
          </w:p>
        </w:tc>
      </w:tr>
      <w:tr w:rsidR="00A84119" w:rsidRPr="00895810" w14:paraId="08248F82" w14:textId="77777777" w:rsidTr="00024B10">
        <w:trPr>
          <w:gridAfter w:val="1"/>
          <w:wAfter w:w="170" w:type="dxa"/>
          <w:trHeight w:val="54"/>
        </w:trPr>
        <w:tc>
          <w:tcPr>
            <w:tcW w:w="3118" w:type="dxa"/>
            <w:gridSpan w:val="2"/>
            <w:tcBorders>
              <w:bottom w:val="single" w:sz="2" w:space="0" w:color="3D7FE0" w:themeColor="accent1"/>
            </w:tcBorders>
            <w:tcMar>
              <w:left w:w="0" w:type="dxa"/>
              <w:bottom w:w="28" w:type="dxa"/>
              <w:right w:w="0" w:type="dxa"/>
            </w:tcMar>
            <w:vAlign w:val="bottom"/>
          </w:tcPr>
          <w:p w14:paraId="70BC812F" w14:textId="77777777" w:rsidR="00A84119" w:rsidRPr="00895810" w:rsidRDefault="00A84119" w:rsidP="005F6D26">
            <w:pPr>
              <w:pStyle w:val="TableColHeadsBold"/>
              <w:rPr>
                <w:rFonts w:ascii="IBM Plex Sans Light" w:hAnsi="IBM Plex Sans Light"/>
              </w:rPr>
            </w:pPr>
          </w:p>
        </w:tc>
        <w:tc>
          <w:tcPr>
            <w:tcW w:w="283" w:type="dxa"/>
            <w:gridSpan w:val="2"/>
            <w:tcBorders>
              <w:bottom w:val="single" w:sz="2" w:space="0" w:color="3D7FE0" w:themeColor="accent1"/>
            </w:tcBorders>
            <w:vAlign w:val="bottom"/>
          </w:tcPr>
          <w:p w14:paraId="1E60E2C2" w14:textId="5DED394F" w:rsidR="00A84119" w:rsidRPr="00895810" w:rsidRDefault="00A84119" w:rsidP="00A84119">
            <w:pPr>
              <w:pStyle w:val="TableColHeadsBold"/>
              <w:rPr>
                <w:rFonts w:ascii="IBM Plex Sans Light" w:hAnsi="IBM Plex Sans Light"/>
              </w:rPr>
            </w:pPr>
          </w:p>
        </w:tc>
        <w:tc>
          <w:tcPr>
            <w:tcW w:w="814" w:type="dxa"/>
            <w:gridSpan w:val="2"/>
            <w:tcBorders>
              <w:bottom w:val="single" w:sz="2" w:space="0" w:color="3D7FE0" w:themeColor="accent1"/>
            </w:tcBorders>
            <w:vAlign w:val="bottom"/>
          </w:tcPr>
          <w:p w14:paraId="05E7E4AD" w14:textId="5099AA44" w:rsidR="00A84119" w:rsidRPr="00895810" w:rsidRDefault="00A84119" w:rsidP="00A84119">
            <w:pPr>
              <w:pStyle w:val="TableColHeadsBold"/>
              <w:tabs>
                <w:tab w:val="clear" w:pos="284"/>
              </w:tabs>
              <w:ind w:right="0"/>
              <w:rPr>
                <w:rFonts w:ascii="IBM Plex Sans Light" w:hAnsi="IBM Plex Sans Light"/>
              </w:rPr>
            </w:pPr>
          </w:p>
        </w:tc>
        <w:tc>
          <w:tcPr>
            <w:tcW w:w="236" w:type="dxa"/>
            <w:tcBorders>
              <w:bottom w:val="single" w:sz="2" w:space="0" w:color="3D7FE0" w:themeColor="accent1"/>
            </w:tcBorders>
            <w:tcMar>
              <w:left w:w="0" w:type="dxa"/>
              <w:bottom w:w="28" w:type="dxa"/>
              <w:right w:w="0" w:type="dxa"/>
            </w:tcMar>
            <w:vAlign w:val="bottom"/>
          </w:tcPr>
          <w:p w14:paraId="2C3C7D2B" w14:textId="7CF1F587" w:rsidR="00A84119" w:rsidRPr="00895810" w:rsidRDefault="00A84119" w:rsidP="00A84119">
            <w:pPr>
              <w:pStyle w:val="TableColHeadsBold"/>
              <w:rPr>
                <w:rFonts w:ascii="IBM Plex Sans Light" w:hAnsi="IBM Plex Sans Light"/>
                <w:color w:val="3D7FE0" w:themeColor="accent1"/>
              </w:rPr>
            </w:pPr>
          </w:p>
        </w:tc>
        <w:tc>
          <w:tcPr>
            <w:tcW w:w="1078" w:type="dxa"/>
            <w:tcBorders>
              <w:bottom w:val="single" w:sz="2" w:space="0" w:color="3D7FE0" w:themeColor="accent1"/>
            </w:tcBorders>
            <w:vAlign w:val="bottom"/>
          </w:tcPr>
          <w:p w14:paraId="279A9691" w14:textId="6D8DF2A3" w:rsidR="00A84119" w:rsidRPr="00895810" w:rsidRDefault="00A84119" w:rsidP="00A84119">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1132" w:type="dxa"/>
            <w:tcBorders>
              <w:bottom w:val="single" w:sz="2" w:space="0" w:color="3D7FE0" w:themeColor="accent1"/>
            </w:tcBorders>
            <w:vAlign w:val="bottom"/>
          </w:tcPr>
          <w:p w14:paraId="708EF823" w14:textId="77777777" w:rsidR="00A84119" w:rsidRPr="00895810" w:rsidRDefault="00A84119" w:rsidP="00A84119">
            <w:pPr>
              <w:pStyle w:val="TableColHeadsBold"/>
              <w:tabs>
                <w:tab w:val="clear" w:pos="284"/>
              </w:tabs>
              <w:ind w:right="0"/>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14" w:type="dxa"/>
            <w:gridSpan w:val="2"/>
            <w:tcBorders>
              <w:bottom w:val="single" w:sz="2" w:space="0" w:color="3D7FE0" w:themeColor="accent1"/>
            </w:tcBorders>
            <w:tcMar>
              <w:left w:w="0" w:type="dxa"/>
              <w:bottom w:w="28" w:type="dxa"/>
              <w:right w:w="0" w:type="dxa"/>
            </w:tcMar>
            <w:vAlign w:val="bottom"/>
          </w:tcPr>
          <w:p w14:paraId="37D25126" w14:textId="77777777" w:rsidR="00A84119" w:rsidRPr="00024B10" w:rsidRDefault="00A84119" w:rsidP="00A84119">
            <w:pPr>
              <w:pStyle w:val="TableColHeadsBold"/>
              <w:rPr>
                <w:rFonts w:ascii="IBM Plex Sans Light" w:hAnsi="IBM Plex Sans Light"/>
                <w:b w:val="0"/>
              </w:rPr>
            </w:pPr>
            <w:r w:rsidRPr="0053048A">
              <w:rPr>
                <w:rFonts w:ascii="IBM Plex Sans Light" w:hAnsi="IBM Plex Sans Light"/>
                <w:b w:val="0"/>
              </w:rPr>
              <w:t xml:space="preserve">£m </w:t>
            </w:r>
          </w:p>
        </w:tc>
        <w:tc>
          <w:tcPr>
            <w:tcW w:w="815" w:type="dxa"/>
            <w:tcBorders>
              <w:bottom w:val="single" w:sz="2" w:space="0" w:color="3D7FE0" w:themeColor="accent1"/>
            </w:tcBorders>
            <w:tcMar>
              <w:left w:w="0" w:type="dxa"/>
              <w:bottom w:w="28" w:type="dxa"/>
              <w:right w:w="0" w:type="dxa"/>
            </w:tcMar>
            <w:vAlign w:val="bottom"/>
          </w:tcPr>
          <w:p w14:paraId="3953308C" w14:textId="77777777" w:rsidR="00A84119" w:rsidRPr="00895810" w:rsidRDefault="00A84119" w:rsidP="00A84119">
            <w:pPr>
              <w:pStyle w:val="TableColHeadsBold"/>
              <w:rPr>
                <w:rFonts w:ascii="IBM Plex Sans Light" w:hAnsi="IBM Plex Sans Light"/>
                <w:b w:val="0"/>
              </w:rPr>
            </w:pPr>
            <w:r w:rsidRPr="00895810">
              <w:rPr>
                <w:rFonts w:ascii="IBM Plex Sans Light" w:hAnsi="IBM Plex Sans Light"/>
                <w:b w:val="0"/>
              </w:rPr>
              <w:t>£m</w:t>
            </w:r>
          </w:p>
        </w:tc>
        <w:tc>
          <w:tcPr>
            <w:tcW w:w="815" w:type="dxa"/>
            <w:tcBorders>
              <w:bottom w:val="single" w:sz="2" w:space="0" w:color="3D7FE0" w:themeColor="accent1"/>
            </w:tcBorders>
            <w:vAlign w:val="bottom"/>
          </w:tcPr>
          <w:p w14:paraId="477A3A5C" w14:textId="77777777" w:rsidR="00A84119" w:rsidRPr="00895810" w:rsidRDefault="00A84119" w:rsidP="00A84119">
            <w:pPr>
              <w:pStyle w:val="TableColHeadsBold"/>
              <w:tabs>
                <w:tab w:val="clear" w:pos="284"/>
              </w:tabs>
              <w:ind w:right="0"/>
              <w:rPr>
                <w:rFonts w:ascii="IBM Plex Sans Light" w:hAnsi="IBM Plex Sans Light"/>
                <w:b w:val="0"/>
              </w:rPr>
            </w:pPr>
            <w:r w:rsidRPr="00895810">
              <w:rPr>
                <w:rFonts w:ascii="IBM Plex Sans Light" w:hAnsi="IBM Plex Sans Light"/>
                <w:b w:val="0"/>
              </w:rPr>
              <w:t xml:space="preserve">£m </w:t>
            </w:r>
          </w:p>
        </w:tc>
        <w:tc>
          <w:tcPr>
            <w:tcW w:w="815" w:type="dxa"/>
            <w:tcBorders>
              <w:bottom w:val="single" w:sz="2" w:space="0" w:color="3D7FE0" w:themeColor="accent1"/>
            </w:tcBorders>
            <w:tcMar>
              <w:left w:w="0" w:type="dxa"/>
              <w:bottom w:w="28" w:type="dxa"/>
              <w:right w:w="0" w:type="dxa"/>
            </w:tcMar>
            <w:vAlign w:val="bottom"/>
          </w:tcPr>
          <w:p w14:paraId="371DAA8C" w14:textId="77777777" w:rsidR="00A84119" w:rsidRPr="00895810" w:rsidRDefault="00A84119" w:rsidP="00A84119">
            <w:pPr>
              <w:pStyle w:val="TableColHeadsBold"/>
              <w:rPr>
                <w:rFonts w:ascii="IBM Plex Sans Light" w:hAnsi="IBM Plex Sans Light"/>
                <w:b w:val="0"/>
              </w:rPr>
            </w:pPr>
            <w:r w:rsidRPr="00895810">
              <w:rPr>
                <w:rFonts w:ascii="IBM Plex Sans Light" w:hAnsi="IBM Plex Sans Light"/>
                <w:b w:val="0"/>
              </w:rPr>
              <w:t xml:space="preserve">£m </w:t>
            </w:r>
          </w:p>
        </w:tc>
      </w:tr>
      <w:tr w:rsidR="00A84119" w:rsidRPr="00895810" w14:paraId="125B1111" w14:textId="77777777" w:rsidTr="00024B10">
        <w:trPr>
          <w:gridAfter w:val="1"/>
          <w:wAfter w:w="170" w:type="dxa"/>
          <w:trHeight w:hRule="exact" w:val="249"/>
        </w:trPr>
        <w:tc>
          <w:tcPr>
            <w:tcW w:w="3118" w:type="dxa"/>
            <w:gridSpan w:val="2"/>
            <w:tcBorders>
              <w:top w:val="single" w:sz="2" w:space="0" w:color="3D7FE0" w:themeColor="accent1"/>
            </w:tcBorders>
            <w:tcMar>
              <w:left w:w="0" w:type="dxa"/>
              <w:right w:w="0" w:type="dxa"/>
            </w:tcMar>
          </w:tcPr>
          <w:p w14:paraId="290F4A8A" w14:textId="77777777" w:rsidR="00A84119" w:rsidRPr="00895810" w:rsidRDefault="00A84119" w:rsidP="00024B10">
            <w:pPr>
              <w:pStyle w:val="TabletextBold"/>
              <w:tabs>
                <w:tab w:val="left" w:pos="284"/>
              </w:tabs>
              <w:rPr>
                <w:rFonts w:ascii="IBM Plex Sans Light" w:hAnsi="IBM Plex Sans Light"/>
                <w:bCs/>
                <w:color w:val="3D7FE0" w:themeColor="accent1"/>
                <w:sz w:val="18"/>
                <w:szCs w:val="18"/>
              </w:rPr>
            </w:pPr>
            <w:r w:rsidRPr="00895810">
              <w:rPr>
                <w:rFonts w:ascii="IBM Plex Sans Light" w:hAnsi="IBM Plex Sans Light"/>
                <w:color w:val="3D7FE0" w:themeColor="accent1"/>
                <w:sz w:val="18"/>
                <w:szCs w:val="18"/>
              </w:rPr>
              <w:t>Non-current assets</w:t>
            </w:r>
          </w:p>
        </w:tc>
        <w:tc>
          <w:tcPr>
            <w:tcW w:w="283" w:type="dxa"/>
            <w:gridSpan w:val="2"/>
            <w:tcBorders>
              <w:top w:val="single" w:sz="2" w:space="0" w:color="3D7FE0" w:themeColor="accent1"/>
            </w:tcBorders>
          </w:tcPr>
          <w:p w14:paraId="51F650EA" w14:textId="566CDAB6" w:rsidR="00A84119" w:rsidRPr="00895810" w:rsidRDefault="00A84119" w:rsidP="00A84119">
            <w:pPr>
              <w:pStyle w:val="TabletextBold"/>
              <w:rPr>
                <w:rFonts w:ascii="IBM Plex Sans Light" w:hAnsi="IBM Plex Sans Light"/>
                <w:bCs/>
                <w:color w:val="3D7FE0" w:themeColor="accent1"/>
                <w:sz w:val="18"/>
                <w:szCs w:val="18"/>
              </w:rPr>
            </w:pPr>
          </w:p>
        </w:tc>
        <w:tc>
          <w:tcPr>
            <w:tcW w:w="814" w:type="dxa"/>
            <w:gridSpan w:val="2"/>
            <w:tcBorders>
              <w:top w:val="single" w:sz="2" w:space="0" w:color="3D7FE0" w:themeColor="accent1"/>
            </w:tcBorders>
          </w:tcPr>
          <w:p w14:paraId="718AF1B4"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tcBorders>
            <w:tcMar>
              <w:left w:w="0" w:type="dxa"/>
              <w:right w:w="0" w:type="dxa"/>
            </w:tcMar>
            <w:vAlign w:val="bottom"/>
          </w:tcPr>
          <w:p w14:paraId="7A677847"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tcBorders>
            <w:vAlign w:val="bottom"/>
          </w:tcPr>
          <w:p w14:paraId="6E7E3F97" w14:textId="77777777" w:rsidR="00A84119" w:rsidRPr="0053048A" w:rsidRDefault="00A84119" w:rsidP="00A84119">
            <w:pPr>
              <w:pStyle w:val="TableFiguresBrackets"/>
              <w:tabs>
                <w:tab w:val="decimal" w:pos="316"/>
              </w:tabs>
              <w:ind w:right="-107"/>
              <w:jc w:val="left"/>
              <w:rPr>
                <w:rFonts w:ascii="IBM Plex Sans Light" w:hAnsi="IBM Plex Sans Light"/>
                <w:b/>
                <w:bCs/>
                <w:color w:val="3D7FE0" w:themeColor="accent1"/>
                <w:spacing w:val="-4"/>
                <w:sz w:val="18"/>
                <w:szCs w:val="18"/>
              </w:rPr>
            </w:pPr>
          </w:p>
        </w:tc>
        <w:tc>
          <w:tcPr>
            <w:tcW w:w="1132" w:type="dxa"/>
            <w:tcBorders>
              <w:top w:val="single" w:sz="2" w:space="0" w:color="3D7FE0" w:themeColor="accent1"/>
            </w:tcBorders>
          </w:tcPr>
          <w:p w14:paraId="7C5A712C" w14:textId="77777777" w:rsidR="00A84119" w:rsidRPr="0053048A" w:rsidRDefault="00A84119" w:rsidP="00A84119">
            <w:pPr>
              <w:pStyle w:val="TableFiguresBrackets"/>
              <w:tabs>
                <w:tab w:val="decimal" w:pos="315"/>
              </w:tabs>
              <w:ind w:right="-107"/>
              <w:jc w:val="left"/>
              <w:rPr>
                <w:rFonts w:ascii="IBM Plex Sans Light" w:hAnsi="IBM Plex Sans Light"/>
                <w:b/>
                <w:bCs/>
                <w:color w:val="3D7FE0" w:themeColor="accent1"/>
                <w:spacing w:val="-4"/>
                <w:sz w:val="18"/>
                <w:szCs w:val="18"/>
              </w:rPr>
            </w:pPr>
          </w:p>
        </w:tc>
        <w:tc>
          <w:tcPr>
            <w:tcW w:w="814" w:type="dxa"/>
            <w:gridSpan w:val="2"/>
            <w:tcBorders>
              <w:top w:val="single" w:sz="2" w:space="0" w:color="3D7FE0" w:themeColor="accent1"/>
            </w:tcBorders>
            <w:tcMar>
              <w:left w:w="0" w:type="dxa"/>
              <w:right w:w="0" w:type="dxa"/>
            </w:tcMar>
          </w:tcPr>
          <w:p w14:paraId="34B4A5CA" w14:textId="75F26E8F" w:rsidR="00A84119" w:rsidRPr="0053048A" w:rsidRDefault="00A84119" w:rsidP="00A84119">
            <w:pPr>
              <w:pStyle w:val="TableFiguresBrackets"/>
              <w:tabs>
                <w:tab w:val="decimal" w:pos="570"/>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Mar>
              <w:left w:w="0" w:type="dxa"/>
              <w:right w:w="0" w:type="dxa"/>
            </w:tcMar>
          </w:tcPr>
          <w:p w14:paraId="36A4DE8F" w14:textId="37D5824A" w:rsidR="00A84119" w:rsidRPr="0053048A" w:rsidRDefault="00A84119" w:rsidP="00A84119">
            <w:pPr>
              <w:pStyle w:val="TableFiguresBrackets"/>
              <w:tabs>
                <w:tab w:val="decimal" w:pos="424"/>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Pr>
          <w:p w14:paraId="6DFAE10C" w14:textId="4B41D6AD" w:rsidR="00A84119" w:rsidRPr="0053048A" w:rsidRDefault="00A84119" w:rsidP="00A84119">
            <w:pPr>
              <w:pStyle w:val="TableFiguresBrackets"/>
              <w:tabs>
                <w:tab w:val="decimal" w:pos="318"/>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Mar>
              <w:left w:w="0" w:type="dxa"/>
              <w:right w:w="0" w:type="dxa"/>
            </w:tcMar>
          </w:tcPr>
          <w:p w14:paraId="4C98860A" w14:textId="6B843DC0" w:rsidR="00A84119" w:rsidRPr="0053048A" w:rsidRDefault="00A84119" w:rsidP="00A84119">
            <w:pPr>
              <w:pStyle w:val="TableFiguresBold"/>
              <w:ind w:right="0"/>
              <w:rPr>
                <w:rFonts w:ascii="IBM Plex Sans Light" w:hAnsi="IBM Plex Sans Light"/>
                <w:color w:val="auto"/>
                <w:spacing w:val="-4"/>
                <w:sz w:val="18"/>
                <w:szCs w:val="18"/>
              </w:rPr>
            </w:pPr>
          </w:p>
        </w:tc>
      </w:tr>
      <w:tr w:rsidR="00A84119" w:rsidRPr="00895810" w14:paraId="3F800092" w14:textId="77777777" w:rsidTr="00024B10">
        <w:trPr>
          <w:gridAfter w:val="1"/>
          <w:wAfter w:w="170" w:type="dxa"/>
          <w:trHeight w:hRule="exact" w:val="249"/>
        </w:trPr>
        <w:tc>
          <w:tcPr>
            <w:tcW w:w="3118" w:type="dxa"/>
            <w:gridSpan w:val="2"/>
            <w:tcMar>
              <w:left w:w="0" w:type="dxa"/>
              <w:right w:w="0" w:type="dxa"/>
            </w:tcMar>
            <w:vAlign w:val="bottom"/>
          </w:tcPr>
          <w:p w14:paraId="0FC3A1D4" w14:textId="77777777" w:rsidR="00A84119" w:rsidRPr="00895810" w:rsidRDefault="00A84119" w:rsidP="00024B10">
            <w:pPr>
              <w:pStyle w:val="TabletextBold"/>
              <w:tabs>
                <w:tab w:val="left" w:pos="284"/>
              </w:tabs>
              <w:rPr>
                <w:rFonts w:ascii="IBM Plex Sans Light" w:hAnsi="IBM Plex Sans Light"/>
                <w:b w:val="0"/>
                <w:color w:val="3D7FE0" w:themeColor="accent1"/>
                <w:sz w:val="18"/>
                <w:szCs w:val="18"/>
              </w:rPr>
            </w:pPr>
            <w:r w:rsidRPr="00895810">
              <w:rPr>
                <w:rFonts w:ascii="IBM Plex Sans Light" w:hAnsi="IBM Plex Sans Light"/>
                <w:b w:val="0"/>
                <w:sz w:val="18"/>
                <w:szCs w:val="18"/>
              </w:rPr>
              <w:t>Investment properties</w:t>
            </w:r>
          </w:p>
        </w:tc>
        <w:tc>
          <w:tcPr>
            <w:tcW w:w="283" w:type="dxa"/>
            <w:gridSpan w:val="2"/>
            <w:vAlign w:val="bottom"/>
          </w:tcPr>
          <w:p w14:paraId="1223F92C" w14:textId="2C8F47D6" w:rsidR="00A84119" w:rsidRPr="00895810" w:rsidRDefault="00A84119" w:rsidP="00A84119">
            <w:pPr>
              <w:pStyle w:val="TabletextBold"/>
              <w:rPr>
                <w:rFonts w:ascii="IBM Plex Sans Light" w:hAnsi="IBM Plex Sans Light"/>
                <w:b w:val="0"/>
                <w:color w:val="3D7FE0" w:themeColor="accent1"/>
                <w:sz w:val="18"/>
                <w:szCs w:val="18"/>
              </w:rPr>
            </w:pPr>
          </w:p>
        </w:tc>
        <w:tc>
          <w:tcPr>
            <w:tcW w:w="814" w:type="dxa"/>
            <w:gridSpan w:val="2"/>
          </w:tcPr>
          <w:p w14:paraId="091ACA48"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63CECF98"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0FFEF734" w14:textId="6D536214"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5,142.1</w:t>
            </w:r>
          </w:p>
        </w:tc>
        <w:tc>
          <w:tcPr>
            <w:tcW w:w="1132" w:type="dxa"/>
          </w:tcPr>
          <w:p w14:paraId="435E3878" w14:textId="32E67A73"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1,885.7</w:t>
            </w:r>
          </w:p>
        </w:tc>
        <w:tc>
          <w:tcPr>
            <w:tcW w:w="814" w:type="dxa"/>
            <w:gridSpan w:val="2"/>
            <w:tcMar>
              <w:left w:w="0" w:type="dxa"/>
              <w:right w:w="0" w:type="dxa"/>
            </w:tcMar>
          </w:tcPr>
          <w:p w14:paraId="10A91E60" w14:textId="118A68B9"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5,151.0</w:t>
            </w:r>
          </w:p>
        </w:tc>
        <w:tc>
          <w:tcPr>
            <w:tcW w:w="815" w:type="dxa"/>
            <w:tcMar>
              <w:left w:w="0" w:type="dxa"/>
              <w:right w:w="0" w:type="dxa"/>
            </w:tcMar>
          </w:tcPr>
          <w:p w14:paraId="4CBC0801" w14:textId="08E6E5FF"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411.6</w:t>
            </w:r>
          </w:p>
        </w:tc>
        <w:tc>
          <w:tcPr>
            <w:tcW w:w="815" w:type="dxa"/>
          </w:tcPr>
          <w:p w14:paraId="648BDE03" w14:textId="590BEBB3" w:rsidR="00A84119" w:rsidRPr="00024B10" w:rsidRDefault="00A84119" w:rsidP="00A84119">
            <w:pPr>
              <w:pStyle w:val="TableFiguresBold"/>
              <w:tabs>
                <w:tab w:val="decimal" w:pos="533"/>
              </w:tabs>
              <w:ind w:left="-57" w:right="0"/>
              <w:rPr>
                <w:rFonts w:ascii="IBM Plex Sans Light" w:hAnsi="IBM Plex Sans Light"/>
                <w:b w:val="0"/>
                <w:bCs w:val="0"/>
                <w:color w:val="auto"/>
                <w:spacing w:val="-4"/>
                <w:sz w:val="18"/>
                <w:szCs w:val="18"/>
              </w:rPr>
            </w:pPr>
            <w:r w:rsidRPr="00024B10">
              <w:rPr>
                <w:rFonts w:ascii="IBM Plex Sans Light" w:hAnsi="IBM Plex Sans Light"/>
                <w:b w:val="0"/>
                <w:bCs w:val="0"/>
                <w:color w:val="auto"/>
                <w:spacing w:val="-4"/>
                <w:sz w:val="18"/>
                <w:szCs w:val="18"/>
              </w:rPr>
              <w:t>5,562.6</w:t>
            </w:r>
          </w:p>
        </w:tc>
        <w:tc>
          <w:tcPr>
            <w:tcW w:w="815" w:type="dxa"/>
            <w:tcMar>
              <w:left w:w="0" w:type="dxa"/>
              <w:right w:w="0" w:type="dxa"/>
            </w:tcMar>
          </w:tcPr>
          <w:p w14:paraId="64D0F626" w14:textId="69FC9E2B"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1,989.9</w:t>
            </w:r>
          </w:p>
        </w:tc>
      </w:tr>
      <w:tr w:rsidR="00A84119" w:rsidRPr="00895810" w14:paraId="0500A734" w14:textId="77777777" w:rsidTr="00024B10">
        <w:trPr>
          <w:gridAfter w:val="1"/>
          <w:wAfter w:w="170" w:type="dxa"/>
          <w:trHeight w:hRule="exact" w:val="249"/>
        </w:trPr>
        <w:tc>
          <w:tcPr>
            <w:tcW w:w="3118" w:type="dxa"/>
            <w:gridSpan w:val="2"/>
            <w:tcBorders>
              <w:bottom w:val="single" w:sz="2" w:space="0" w:color="3D7FE0" w:themeColor="accent1"/>
            </w:tcBorders>
            <w:tcMar>
              <w:left w:w="0" w:type="dxa"/>
              <w:right w:w="0" w:type="dxa"/>
            </w:tcMar>
            <w:vAlign w:val="bottom"/>
          </w:tcPr>
          <w:p w14:paraId="5AFF02BF" w14:textId="77777777" w:rsidR="00A84119" w:rsidRPr="00895810" w:rsidRDefault="00A84119" w:rsidP="00024B10">
            <w:pPr>
              <w:pStyle w:val="Tabletext"/>
              <w:tabs>
                <w:tab w:val="left" w:pos="284"/>
              </w:tabs>
              <w:rPr>
                <w:rFonts w:ascii="IBM Plex Sans Light" w:hAnsi="IBM Plex Sans Light"/>
                <w:b/>
                <w:bCs/>
                <w:color w:val="3D7FE0" w:themeColor="accent1"/>
                <w:spacing w:val="-4"/>
                <w:sz w:val="18"/>
                <w:szCs w:val="18"/>
              </w:rPr>
            </w:pPr>
            <w:r w:rsidRPr="00895810">
              <w:rPr>
                <w:rFonts w:ascii="IBM Plex Sans Light" w:hAnsi="IBM Plex Sans Light"/>
                <w:spacing w:val="-4"/>
                <w:sz w:val="18"/>
                <w:szCs w:val="18"/>
              </w:rPr>
              <w:t>Other non-current assets</w:t>
            </w:r>
          </w:p>
        </w:tc>
        <w:tc>
          <w:tcPr>
            <w:tcW w:w="283" w:type="dxa"/>
            <w:gridSpan w:val="2"/>
            <w:tcBorders>
              <w:bottom w:val="single" w:sz="2" w:space="0" w:color="3D7FE0" w:themeColor="accent1"/>
            </w:tcBorders>
            <w:vAlign w:val="bottom"/>
          </w:tcPr>
          <w:p w14:paraId="5046A1B2" w14:textId="24333182" w:rsidR="00A84119" w:rsidRPr="00895810" w:rsidRDefault="00A84119" w:rsidP="00A84119">
            <w:pPr>
              <w:pStyle w:val="Tabletext"/>
              <w:rPr>
                <w:rFonts w:ascii="IBM Plex Sans Light" w:hAnsi="IBM Plex Sans Light"/>
                <w:b/>
                <w:bCs/>
                <w:color w:val="3D7FE0" w:themeColor="accent1"/>
                <w:spacing w:val="-4"/>
                <w:sz w:val="18"/>
                <w:szCs w:val="18"/>
              </w:rPr>
            </w:pPr>
          </w:p>
        </w:tc>
        <w:tc>
          <w:tcPr>
            <w:tcW w:w="814" w:type="dxa"/>
            <w:gridSpan w:val="2"/>
            <w:tcBorders>
              <w:bottom w:val="single" w:sz="2" w:space="0" w:color="3D7FE0" w:themeColor="accent1"/>
            </w:tcBorders>
          </w:tcPr>
          <w:p w14:paraId="40B60E4B"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bottom w:val="single" w:sz="2" w:space="0" w:color="3D7FE0" w:themeColor="accent1"/>
            </w:tcBorders>
            <w:tcMar>
              <w:left w:w="0" w:type="dxa"/>
              <w:right w:w="0" w:type="dxa"/>
            </w:tcMar>
            <w:vAlign w:val="bottom"/>
          </w:tcPr>
          <w:p w14:paraId="234F2AEA"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bottom w:val="single" w:sz="2" w:space="0" w:color="3D7FE0" w:themeColor="accent1"/>
            </w:tcBorders>
          </w:tcPr>
          <w:p w14:paraId="2F2E1A6A" w14:textId="4EF457E1"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321.3</w:t>
            </w:r>
          </w:p>
        </w:tc>
        <w:tc>
          <w:tcPr>
            <w:tcW w:w="1132" w:type="dxa"/>
            <w:tcBorders>
              <w:bottom w:val="single" w:sz="2" w:space="0" w:color="3D7FE0" w:themeColor="accent1"/>
            </w:tcBorders>
          </w:tcPr>
          <w:p w14:paraId="16B83252" w14:textId="0EDC453B"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93.0</w:t>
            </w:r>
          </w:p>
        </w:tc>
        <w:tc>
          <w:tcPr>
            <w:tcW w:w="814" w:type="dxa"/>
            <w:gridSpan w:val="2"/>
            <w:tcBorders>
              <w:bottom w:val="single" w:sz="2" w:space="0" w:color="3D7FE0" w:themeColor="accent1"/>
            </w:tcBorders>
            <w:tcMar>
              <w:left w:w="0" w:type="dxa"/>
              <w:right w:w="0" w:type="dxa"/>
            </w:tcMar>
          </w:tcPr>
          <w:p w14:paraId="336F3727" w14:textId="442F5E7E"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370.7</w:t>
            </w:r>
          </w:p>
        </w:tc>
        <w:tc>
          <w:tcPr>
            <w:tcW w:w="815" w:type="dxa"/>
            <w:tcBorders>
              <w:bottom w:val="single" w:sz="2" w:space="0" w:color="3D7FE0" w:themeColor="accent1"/>
            </w:tcBorders>
            <w:tcMar>
              <w:left w:w="0" w:type="dxa"/>
              <w:right w:w="0" w:type="dxa"/>
            </w:tcMar>
          </w:tcPr>
          <w:p w14:paraId="3A234616" w14:textId="4CA2B120" w:rsidR="00A84119" w:rsidRPr="00024B10" w:rsidRDefault="00A84119" w:rsidP="00A84119">
            <w:pPr>
              <w:pStyle w:val="TableFiguresBrackets"/>
              <w:tabs>
                <w:tab w:val="decimal" w:pos="609"/>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w:t>
            </w:r>
          </w:p>
        </w:tc>
        <w:tc>
          <w:tcPr>
            <w:tcW w:w="815" w:type="dxa"/>
            <w:tcBorders>
              <w:bottom w:val="single" w:sz="2" w:space="0" w:color="3D7FE0" w:themeColor="accent1"/>
            </w:tcBorders>
          </w:tcPr>
          <w:p w14:paraId="76448AE9" w14:textId="6510E0AE" w:rsidR="00A84119" w:rsidRPr="00024B10" w:rsidRDefault="00A84119" w:rsidP="00A84119">
            <w:pPr>
              <w:pStyle w:val="TableFiguresBold"/>
              <w:tabs>
                <w:tab w:val="decimal" w:pos="533"/>
              </w:tabs>
              <w:ind w:left="-57" w:right="0"/>
              <w:rPr>
                <w:rFonts w:ascii="IBM Plex Sans Light" w:hAnsi="IBM Plex Sans Light"/>
                <w:b w:val="0"/>
                <w:bCs w:val="0"/>
                <w:color w:val="auto"/>
                <w:spacing w:val="-4"/>
                <w:sz w:val="18"/>
                <w:szCs w:val="18"/>
              </w:rPr>
            </w:pPr>
            <w:r w:rsidRPr="00024B10">
              <w:rPr>
                <w:rFonts w:ascii="IBM Plex Sans Light" w:hAnsi="IBM Plex Sans Light"/>
                <w:b w:val="0"/>
                <w:bCs w:val="0"/>
                <w:color w:val="auto"/>
                <w:spacing w:val="-4"/>
                <w:sz w:val="18"/>
                <w:szCs w:val="18"/>
              </w:rPr>
              <w:t>370.7</w:t>
            </w:r>
          </w:p>
        </w:tc>
        <w:tc>
          <w:tcPr>
            <w:tcW w:w="815" w:type="dxa"/>
            <w:tcBorders>
              <w:bottom w:val="single" w:sz="2" w:space="0" w:color="3D7FE0" w:themeColor="accent1"/>
            </w:tcBorders>
            <w:tcMar>
              <w:left w:w="0" w:type="dxa"/>
              <w:right w:w="0" w:type="dxa"/>
            </w:tcMar>
          </w:tcPr>
          <w:p w14:paraId="3E921371" w14:textId="2F8AB73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114.2</w:t>
            </w:r>
          </w:p>
        </w:tc>
      </w:tr>
      <w:tr w:rsidR="00A84119" w:rsidRPr="00895810" w14:paraId="2F0CE923" w14:textId="77777777" w:rsidTr="00024B10">
        <w:trPr>
          <w:gridAfter w:val="1"/>
          <w:wAfter w:w="170" w:type="dxa"/>
          <w:trHeight w:hRule="exact" w:val="249"/>
        </w:trPr>
        <w:tc>
          <w:tcPr>
            <w:tcW w:w="3118" w:type="dxa"/>
            <w:gridSpan w:val="2"/>
            <w:tcBorders>
              <w:top w:val="single" w:sz="2" w:space="0" w:color="3D7FE0" w:themeColor="accent1"/>
            </w:tcBorders>
            <w:tcMar>
              <w:left w:w="0" w:type="dxa"/>
              <w:right w:w="0" w:type="dxa"/>
            </w:tcMar>
            <w:vAlign w:val="bottom"/>
          </w:tcPr>
          <w:p w14:paraId="70AE1D81" w14:textId="77777777" w:rsidR="00A84119" w:rsidRPr="00895810" w:rsidRDefault="00A84119" w:rsidP="00024B10">
            <w:pPr>
              <w:pStyle w:val="Tabletext"/>
              <w:tabs>
                <w:tab w:val="left" w:pos="284"/>
              </w:tabs>
              <w:rPr>
                <w:rFonts w:ascii="IBM Plex Sans Light" w:hAnsi="IBM Plex Sans Light"/>
                <w:spacing w:val="-4"/>
                <w:sz w:val="18"/>
                <w:szCs w:val="18"/>
              </w:rPr>
            </w:pPr>
          </w:p>
        </w:tc>
        <w:tc>
          <w:tcPr>
            <w:tcW w:w="283" w:type="dxa"/>
            <w:gridSpan w:val="2"/>
            <w:tcBorders>
              <w:top w:val="single" w:sz="2" w:space="0" w:color="3D7FE0" w:themeColor="accent1"/>
            </w:tcBorders>
            <w:vAlign w:val="bottom"/>
          </w:tcPr>
          <w:p w14:paraId="7C6DFF92" w14:textId="3787D2C8" w:rsidR="00A84119" w:rsidRPr="00895810" w:rsidRDefault="00A84119" w:rsidP="00A84119">
            <w:pPr>
              <w:pStyle w:val="Tabletext"/>
              <w:rPr>
                <w:rFonts w:ascii="IBM Plex Sans Light" w:hAnsi="IBM Plex Sans Light"/>
                <w:spacing w:val="-4"/>
                <w:sz w:val="18"/>
                <w:szCs w:val="18"/>
              </w:rPr>
            </w:pPr>
          </w:p>
        </w:tc>
        <w:tc>
          <w:tcPr>
            <w:tcW w:w="814" w:type="dxa"/>
            <w:gridSpan w:val="2"/>
            <w:tcBorders>
              <w:top w:val="single" w:sz="2" w:space="0" w:color="3D7FE0" w:themeColor="accent1"/>
            </w:tcBorders>
            <w:vAlign w:val="bottom"/>
          </w:tcPr>
          <w:p w14:paraId="22F27389"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tcBorders>
            <w:tcMar>
              <w:left w:w="0" w:type="dxa"/>
              <w:right w:w="0" w:type="dxa"/>
            </w:tcMar>
            <w:vAlign w:val="bottom"/>
          </w:tcPr>
          <w:p w14:paraId="4A470D09"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tcBorders>
          </w:tcPr>
          <w:p w14:paraId="22CBE9F0" w14:textId="3358B0E4"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5,463.4</w:t>
            </w:r>
          </w:p>
        </w:tc>
        <w:tc>
          <w:tcPr>
            <w:tcW w:w="1132" w:type="dxa"/>
            <w:tcBorders>
              <w:top w:val="single" w:sz="2" w:space="0" w:color="3D7FE0" w:themeColor="accent1"/>
            </w:tcBorders>
          </w:tcPr>
          <w:p w14:paraId="03DA6399" w14:textId="6C86E71A" w:rsidR="00A84119" w:rsidRPr="00024B10" w:rsidDel="006F6E7C"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1,978.7</w:t>
            </w:r>
          </w:p>
        </w:tc>
        <w:tc>
          <w:tcPr>
            <w:tcW w:w="814" w:type="dxa"/>
            <w:gridSpan w:val="2"/>
            <w:tcBorders>
              <w:top w:val="single" w:sz="2" w:space="0" w:color="3D7FE0" w:themeColor="accent1"/>
            </w:tcBorders>
            <w:tcMar>
              <w:left w:w="0" w:type="dxa"/>
              <w:right w:w="0" w:type="dxa"/>
            </w:tcMar>
          </w:tcPr>
          <w:p w14:paraId="6C2B9C07" w14:textId="62214AF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5,521.7</w:t>
            </w:r>
          </w:p>
        </w:tc>
        <w:tc>
          <w:tcPr>
            <w:tcW w:w="815" w:type="dxa"/>
            <w:tcBorders>
              <w:top w:val="single" w:sz="2" w:space="0" w:color="3D7FE0" w:themeColor="accent1"/>
            </w:tcBorders>
            <w:tcMar>
              <w:left w:w="0" w:type="dxa"/>
              <w:right w:w="0" w:type="dxa"/>
            </w:tcMar>
          </w:tcPr>
          <w:p w14:paraId="0616EFEF" w14:textId="4EF1D6F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411.6</w:t>
            </w:r>
          </w:p>
        </w:tc>
        <w:tc>
          <w:tcPr>
            <w:tcW w:w="815" w:type="dxa"/>
            <w:tcBorders>
              <w:top w:val="single" w:sz="2" w:space="0" w:color="3D7FE0" w:themeColor="accent1"/>
            </w:tcBorders>
          </w:tcPr>
          <w:p w14:paraId="38FF6683" w14:textId="6DCB38E6" w:rsidR="00A84119" w:rsidRPr="00024B10" w:rsidRDefault="00A84119" w:rsidP="00A84119">
            <w:pPr>
              <w:pStyle w:val="TableFiguresBold"/>
              <w:tabs>
                <w:tab w:val="decimal" w:pos="533"/>
              </w:tabs>
              <w:ind w:left="-57" w:right="0"/>
              <w:rPr>
                <w:rFonts w:ascii="IBM Plex Sans Light" w:hAnsi="IBM Plex Sans Light"/>
                <w:b w:val="0"/>
                <w:bCs w:val="0"/>
                <w:color w:val="auto"/>
                <w:spacing w:val="-4"/>
                <w:sz w:val="18"/>
                <w:szCs w:val="18"/>
              </w:rPr>
            </w:pPr>
            <w:r w:rsidRPr="00024B10">
              <w:rPr>
                <w:rFonts w:ascii="IBM Plex Sans Light" w:hAnsi="IBM Plex Sans Light"/>
                <w:b w:val="0"/>
                <w:bCs w:val="0"/>
                <w:color w:val="auto"/>
                <w:spacing w:val="-4"/>
                <w:sz w:val="18"/>
                <w:szCs w:val="18"/>
              </w:rPr>
              <w:t>5,933.3</w:t>
            </w:r>
          </w:p>
        </w:tc>
        <w:tc>
          <w:tcPr>
            <w:tcW w:w="815" w:type="dxa"/>
            <w:tcBorders>
              <w:top w:val="single" w:sz="2" w:space="0" w:color="3D7FE0" w:themeColor="accent1"/>
            </w:tcBorders>
            <w:tcMar>
              <w:left w:w="0" w:type="dxa"/>
              <w:right w:w="0" w:type="dxa"/>
            </w:tcMar>
          </w:tcPr>
          <w:p w14:paraId="390C7C64" w14:textId="0AC864EF"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2,104.1</w:t>
            </w:r>
          </w:p>
        </w:tc>
      </w:tr>
      <w:tr w:rsidR="00A84119" w:rsidRPr="00895810" w14:paraId="0DBE5DA4" w14:textId="77777777" w:rsidTr="00024B10">
        <w:trPr>
          <w:gridAfter w:val="1"/>
          <w:wAfter w:w="170" w:type="dxa"/>
          <w:trHeight w:hRule="exact" w:val="249"/>
        </w:trPr>
        <w:tc>
          <w:tcPr>
            <w:tcW w:w="3118" w:type="dxa"/>
            <w:gridSpan w:val="2"/>
            <w:tcMar>
              <w:left w:w="0" w:type="dxa"/>
              <w:right w:w="0" w:type="dxa"/>
            </w:tcMar>
            <w:vAlign w:val="bottom"/>
          </w:tcPr>
          <w:p w14:paraId="1AE72A0A" w14:textId="77777777" w:rsidR="00A84119" w:rsidRPr="00895810" w:rsidRDefault="00A84119" w:rsidP="00024B10">
            <w:pPr>
              <w:pStyle w:val="Tabletext"/>
              <w:tabs>
                <w:tab w:val="left" w:pos="284"/>
              </w:tabs>
              <w:rPr>
                <w:rFonts w:ascii="IBM Plex Sans Light" w:hAnsi="IBM Plex Sans Light"/>
                <w:spacing w:val="-4"/>
                <w:sz w:val="18"/>
                <w:szCs w:val="18"/>
              </w:rPr>
            </w:pPr>
            <w:r w:rsidRPr="00895810">
              <w:rPr>
                <w:rFonts w:ascii="IBM Plex Sans Light" w:hAnsi="IBM Plex Sans Light"/>
                <w:color w:val="3D7FE0" w:themeColor="accent1"/>
                <w:sz w:val="18"/>
                <w:szCs w:val="18"/>
              </w:rPr>
              <w:t>Current assets</w:t>
            </w:r>
          </w:p>
        </w:tc>
        <w:tc>
          <w:tcPr>
            <w:tcW w:w="283" w:type="dxa"/>
            <w:gridSpan w:val="2"/>
            <w:vAlign w:val="bottom"/>
          </w:tcPr>
          <w:p w14:paraId="6E955777" w14:textId="2AE47EF4" w:rsidR="00A84119" w:rsidRPr="00895810" w:rsidRDefault="00A84119" w:rsidP="00A84119">
            <w:pPr>
              <w:pStyle w:val="Tabletext"/>
              <w:rPr>
                <w:rFonts w:ascii="IBM Plex Sans Light" w:hAnsi="IBM Plex Sans Light"/>
                <w:spacing w:val="-4"/>
                <w:sz w:val="18"/>
                <w:szCs w:val="18"/>
              </w:rPr>
            </w:pPr>
          </w:p>
        </w:tc>
        <w:tc>
          <w:tcPr>
            <w:tcW w:w="814" w:type="dxa"/>
            <w:gridSpan w:val="2"/>
          </w:tcPr>
          <w:p w14:paraId="7249614B"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04267E33"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53C4190F" w14:textId="77777777" w:rsidR="00A84119" w:rsidRPr="00024B10" w:rsidRDefault="00A84119" w:rsidP="00A84119">
            <w:pPr>
              <w:pStyle w:val="TableFiguresBold"/>
              <w:rPr>
                <w:rFonts w:ascii="IBM Plex Sans Medium" w:hAnsi="IBM Plex Sans Medium"/>
                <w:color w:val="3D7FE0" w:themeColor="accent1"/>
                <w:spacing w:val="-4"/>
                <w:sz w:val="18"/>
                <w:szCs w:val="18"/>
              </w:rPr>
            </w:pPr>
          </w:p>
        </w:tc>
        <w:tc>
          <w:tcPr>
            <w:tcW w:w="1132" w:type="dxa"/>
          </w:tcPr>
          <w:p w14:paraId="25022693" w14:textId="77777777" w:rsidR="00A84119" w:rsidRPr="00024B10" w:rsidRDefault="00A84119" w:rsidP="00A84119">
            <w:pPr>
              <w:pStyle w:val="TableFiguresBold"/>
              <w:rPr>
                <w:rFonts w:ascii="IBM Plex Sans Medium" w:hAnsi="IBM Plex Sans Medium"/>
                <w:color w:val="3D7FE0" w:themeColor="accent1"/>
                <w:spacing w:val="-4"/>
                <w:sz w:val="18"/>
                <w:szCs w:val="18"/>
              </w:rPr>
            </w:pPr>
          </w:p>
        </w:tc>
        <w:tc>
          <w:tcPr>
            <w:tcW w:w="814" w:type="dxa"/>
            <w:gridSpan w:val="2"/>
            <w:tcMar>
              <w:left w:w="0" w:type="dxa"/>
              <w:right w:w="0" w:type="dxa"/>
            </w:tcMar>
          </w:tcPr>
          <w:p w14:paraId="5E8E8BE0" w14:textId="77777777"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c>
          <w:tcPr>
            <w:tcW w:w="815" w:type="dxa"/>
            <w:tcMar>
              <w:left w:w="0" w:type="dxa"/>
              <w:right w:w="0" w:type="dxa"/>
            </w:tcMar>
            <w:vAlign w:val="bottom"/>
          </w:tcPr>
          <w:p w14:paraId="0EABAE2A" w14:textId="77777777"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c>
          <w:tcPr>
            <w:tcW w:w="815" w:type="dxa"/>
          </w:tcPr>
          <w:p w14:paraId="6B45381A" w14:textId="77777777" w:rsidR="00A84119" w:rsidRPr="00024B10" w:rsidRDefault="00A84119" w:rsidP="00A84119">
            <w:pPr>
              <w:pStyle w:val="TableFiguresBold"/>
              <w:tabs>
                <w:tab w:val="decimal" w:pos="533"/>
              </w:tabs>
              <w:ind w:left="-57" w:right="0"/>
              <w:rPr>
                <w:rFonts w:ascii="IBM Plex Sans Light" w:hAnsi="IBM Plex Sans Light"/>
                <w:b w:val="0"/>
                <w:bCs w:val="0"/>
                <w:color w:val="auto"/>
                <w:spacing w:val="-4"/>
                <w:sz w:val="18"/>
                <w:szCs w:val="18"/>
              </w:rPr>
            </w:pPr>
          </w:p>
        </w:tc>
        <w:tc>
          <w:tcPr>
            <w:tcW w:w="815" w:type="dxa"/>
            <w:tcMar>
              <w:left w:w="0" w:type="dxa"/>
              <w:right w:w="0" w:type="dxa"/>
            </w:tcMar>
          </w:tcPr>
          <w:p w14:paraId="59863C26" w14:textId="77777777"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r>
      <w:tr w:rsidR="00A84119" w:rsidRPr="00895810" w14:paraId="69F2B1E4" w14:textId="77777777" w:rsidTr="00024B10">
        <w:trPr>
          <w:gridAfter w:val="1"/>
          <w:wAfter w:w="170" w:type="dxa"/>
          <w:trHeight w:hRule="exact" w:val="249"/>
        </w:trPr>
        <w:tc>
          <w:tcPr>
            <w:tcW w:w="3118" w:type="dxa"/>
            <w:gridSpan w:val="2"/>
            <w:tcMar>
              <w:left w:w="0" w:type="dxa"/>
              <w:right w:w="0" w:type="dxa"/>
            </w:tcMar>
            <w:vAlign w:val="bottom"/>
          </w:tcPr>
          <w:p w14:paraId="78AA90F6" w14:textId="77777777" w:rsidR="00A84119" w:rsidRPr="00895810" w:rsidRDefault="00A84119" w:rsidP="00024B10">
            <w:pPr>
              <w:pStyle w:val="Tabletext"/>
              <w:tabs>
                <w:tab w:val="left" w:pos="284"/>
              </w:tabs>
              <w:rPr>
                <w:rFonts w:ascii="IBM Plex Sans Light" w:hAnsi="IBM Plex Sans Light"/>
                <w:spacing w:val="-4"/>
                <w:sz w:val="18"/>
                <w:szCs w:val="18"/>
              </w:rPr>
            </w:pPr>
            <w:r w:rsidRPr="00895810">
              <w:rPr>
                <w:rFonts w:ascii="IBM Plex Sans Light" w:hAnsi="IBM Plex Sans Light"/>
                <w:sz w:val="18"/>
                <w:szCs w:val="18"/>
              </w:rPr>
              <w:t>Cash and cash equivalents</w:t>
            </w:r>
          </w:p>
        </w:tc>
        <w:tc>
          <w:tcPr>
            <w:tcW w:w="283" w:type="dxa"/>
            <w:gridSpan w:val="2"/>
            <w:vAlign w:val="bottom"/>
          </w:tcPr>
          <w:p w14:paraId="42882494" w14:textId="77777777" w:rsidR="00A84119" w:rsidRPr="00895810" w:rsidRDefault="00A84119" w:rsidP="00A84119">
            <w:pPr>
              <w:pStyle w:val="Tabletext"/>
              <w:rPr>
                <w:rFonts w:ascii="IBM Plex Sans Light" w:hAnsi="IBM Plex Sans Light"/>
                <w:spacing w:val="-4"/>
                <w:sz w:val="18"/>
                <w:szCs w:val="18"/>
              </w:rPr>
            </w:pPr>
          </w:p>
        </w:tc>
        <w:tc>
          <w:tcPr>
            <w:tcW w:w="814" w:type="dxa"/>
            <w:gridSpan w:val="2"/>
          </w:tcPr>
          <w:p w14:paraId="7BF01B4D"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45545B7F"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50470129" w14:textId="0E5CCD34"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193.8</w:t>
            </w:r>
          </w:p>
        </w:tc>
        <w:tc>
          <w:tcPr>
            <w:tcW w:w="1132" w:type="dxa"/>
          </w:tcPr>
          <w:p w14:paraId="4F045C8F" w14:textId="19390801"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64.4</w:t>
            </w:r>
          </w:p>
        </w:tc>
        <w:tc>
          <w:tcPr>
            <w:tcW w:w="814" w:type="dxa"/>
            <w:gridSpan w:val="2"/>
            <w:tcMar>
              <w:left w:w="0" w:type="dxa"/>
              <w:right w:w="0" w:type="dxa"/>
            </w:tcMar>
          </w:tcPr>
          <w:p w14:paraId="755FAB8B" w14:textId="639F672B"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288.6</w:t>
            </w:r>
          </w:p>
        </w:tc>
        <w:tc>
          <w:tcPr>
            <w:tcW w:w="815" w:type="dxa"/>
            <w:tcMar>
              <w:left w:w="0" w:type="dxa"/>
              <w:right w:w="0" w:type="dxa"/>
            </w:tcMar>
          </w:tcPr>
          <w:p w14:paraId="7244EC47" w14:textId="12CB2C9F"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27.4</w:t>
            </w:r>
          </w:p>
        </w:tc>
        <w:tc>
          <w:tcPr>
            <w:tcW w:w="815" w:type="dxa"/>
          </w:tcPr>
          <w:p w14:paraId="59295880" w14:textId="7B68EA2B"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316.0</w:t>
            </w:r>
          </w:p>
        </w:tc>
        <w:tc>
          <w:tcPr>
            <w:tcW w:w="815" w:type="dxa"/>
            <w:tcMar>
              <w:left w:w="0" w:type="dxa"/>
              <w:right w:w="0" w:type="dxa"/>
            </w:tcMar>
          </w:tcPr>
          <w:p w14:paraId="22351851" w14:textId="45496A35"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93.6</w:t>
            </w:r>
          </w:p>
        </w:tc>
      </w:tr>
      <w:tr w:rsidR="00A84119" w:rsidRPr="00895810" w14:paraId="33D45171" w14:textId="77777777" w:rsidTr="00024B10">
        <w:trPr>
          <w:gridAfter w:val="1"/>
          <w:wAfter w:w="170" w:type="dxa"/>
          <w:trHeight w:hRule="exact" w:val="249"/>
        </w:trPr>
        <w:tc>
          <w:tcPr>
            <w:tcW w:w="3118" w:type="dxa"/>
            <w:gridSpan w:val="2"/>
            <w:tcMar>
              <w:left w:w="0" w:type="dxa"/>
              <w:right w:w="0" w:type="dxa"/>
            </w:tcMar>
            <w:vAlign w:val="bottom"/>
          </w:tcPr>
          <w:p w14:paraId="40137CF9" w14:textId="77777777" w:rsidR="00A84119" w:rsidRPr="00895810" w:rsidRDefault="00A84119" w:rsidP="00024B10">
            <w:pPr>
              <w:pStyle w:val="Tabletext"/>
              <w:tabs>
                <w:tab w:val="left" w:pos="284"/>
              </w:tabs>
              <w:rPr>
                <w:rFonts w:ascii="IBM Plex Sans Light" w:hAnsi="IBM Plex Sans Light"/>
                <w:spacing w:val="-4"/>
                <w:sz w:val="18"/>
                <w:szCs w:val="18"/>
              </w:rPr>
            </w:pPr>
            <w:r w:rsidRPr="00895810">
              <w:rPr>
                <w:rFonts w:ascii="IBM Plex Sans Light" w:hAnsi="IBM Plex Sans Light"/>
                <w:sz w:val="18"/>
                <w:szCs w:val="18"/>
              </w:rPr>
              <w:t>Other current assets</w:t>
            </w:r>
          </w:p>
        </w:tc>
        <w:tc>
          <w:tcPr>
            <w:tcW w:w="283" w:type="dxa"/>
            <w:gridSpan w:val="2"/>
            <w:vAlign w:val="bottom"/>
          </w:tcPr>
          <w:p w14:paraId="46AE450F" w14:textId="77777777" w:rsidR="00A84119" w:rsidRPr="00895810" w:rsidRDefault="00A84119" w:rsidP="00A84119">
            <w:pPr>
              <w:pStyle w:val="Tabletext"/>
              <w:rPr>
                <w:rFonts w:ascii="IBM Plex Sans Light" w:hAnsi="IBM Plex Sans Light"/>
                <w:spacing w:val="-4"/>
                <w:sz w:val="18"/>
                <w:szCs w:val="18"/>
              </w:rPr>
            </w:pPr>
          </w:p>
        </w:tc>
        <w:tc>
          <w:tcPr>
            <w:tcW w:w="814" w:type="dxa"/>
            <w:gridSpan w:val="2"/>
          </w:tcPr>
          <w:p w14:paraId="269C19CE"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4D96C701"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2C5D6308" w14:textId="3BF4C61C"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116.0</w:t>
            </w:r>
          </w:p>
        </w:tc>
        <w:tc>
          <w:tcPr>
            <w:tcW w:w="1132" w:type="dxa"/>
          </w:tcPr>
          <w:p w14:paraId="15ACF271" w14:textId="3860FF68"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43.2</w:t>
            </w:r>
          </w:p>
        </w:tc>
        <w:tc>
          <w:tcPr>
            <w:tcW w:w="814" w:type="dxa"/>
            <w:gridSpan w:val="2"/>
            <w:tcMar>
              <w:left w:w="0" w:type="dxa"/>
              <w:right w:w="0" w:type="dxa"/>
            </w:tcMar>
          </w:tcPr>
          <w:p w14:paraId="26DD85EF" w14:textId="4E2040F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98.9</w:t>
            </w:r>
          </w:p>
        </w:tc>
        <w:tc>
          <w:tcPr>
            <w:tcW w:w="815" w:type="dxa"/>
            <w:tcMar>
              <w:left w:w="0" w:type="dxa"/>
              <w:right w:w="0" w:type="dxa"/>
            </w:tcMar>
          </w:tcPr>
          <w:p w14:paraId="1B67F419" w14:textId="216AAAD4"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11.8</w:t>
            </w:r>
          </w:p>
        </w:tc>
        <w:tc>
          <w:tcPr>
            <w:tcW w:w="815" w:type="dxa"/>
          </w:tcPr>
          <w:p w14:paraId="7E0C277D" w14:textId="6A2CF958"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110.7</w:t>
            </w:r>
          </w:p>
        </w:tc>
        <w:tc>
          <w:tcPr>
            <w:tcW w:w="815" w:type="dxa"/>
            <w:tcMar>
              <w:left w:w="0" w:type="dxa"/>
              <w:right w:w="0" w:type="dxa"/>
            </w:tcMar>
          </w:tcPr>
          <w:p w14:paraId="3353E065" w14:textId="2B29A535"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40.7</w:t>
            </w:r>
          </w:p>
        </w:tc>
      </w:tr>
      <w:tr w:rsidR="00A84119" w:rsidRPr="00895810" w14:paraId="2CF27B96" w14:textId="77777777" w:rsidTr="00024B10">
        <w:trPr>
          <w:gridAfter w:val="1"/>
          <w:wAfter w:w="170" w:type="dxa"/>
          <w:trHeight w:hRule="exact" w:val="249"/>
        </w:trPr>
        <w:tc>
          <w:tcPr>
            <w:tcW w:w="3118" w:type="dxa"/>
            <w:gridSpan w:val="2"/>
            <w:tcBorders>
              <w:top w:val="single" w:sz="2" w:space="0" w:color="3D7FE0" w:themeColor="accent1"/>
              <w:bottom w:val="single" w:sz="2" w:space="0" w:color="3D7FE0" w:themeColor="accent1"/>
            </w:tcBorders>
            <w:tcMar>
              <w:left w:w="0" w:type="dxa"/>
              <w:right w:w="0" w:type="dxa"/>
            </w:tcMar>
            <w:vAlign w:val="bottom"/>
          </w:tcPr>
          <w:p w14:paraId="1F25B139" w14:textId="77777777" w:rsidR="00A84119" w:rsidRPr="00895810" w:rsidRDefault="00A84119" w:rsidP="00024B10">
            <w:pPr>
              <w:pStyle w:val="Tabletext"/>
              <w:tabs>
                <w:tab w:val="left" w:pos="284"/>
              </w:tabs>
              <w:rPr>
                <w:rFonts w:ascii="IBM Plex Sans Light" w:hAnsi="IBM Plex Sans Light"/>
                <w:spacing w:val="-4"/>
                <w:sz w:val="18"/>
                <w:szCs w:val="18"/>
              </w:rPr>
            </w:pPr>
          </w:p>
        </w:tc>
        <w:tc>
          <w:tcPr>
            <w:tcW w:w="283" w:type="dxa"/>
            <w:gridSpan w:val="2"/>
            <w:tcBorders>
              <w:top w:val="single" w:sz="2" w:space="0" w:color="3D7FE0" w:themeColor="accent1"/>
              <w:bottom w:val="single" w:sz="2" w:space="0" w:color="3D7FE0" w:themeColor="accent1"/>
            </w:tcBorders>
            <w:vAlign w:val="bottom"/>
          </w:tcPr>
          <w:p w14:paraId="53C23C88" w14:textId="35D09D0C" w:rsidR="00A84119" w:rsidRPr="00895810" w:rsidRDefault="00A84119" w:rsidP="00A84119">
            <w:pPr>
              <w:pStyle w:val="Tabletext"/>
              <w:rPr>
                <w:rFonts w:ascii="IBM Plex Sans Light" w:hAnsi="IBM Plex Sans Light"/>
                <w:spacing w:val="-4"/>
                <w:sz w:val="18"/>
                <w:szCs w:val="18"/>
              </w:rPr>
            </w:pPr>
          </w:p>
        </w:tc>
        <w:tc>
          <w:tcPr>
            <w:tcW w:w="814" w:type="dxa"/>
            <w:gridSpan w:val="2"/>
            <w:tcBorders>
              <w:top w:val="single" w:sz="2" w:space="0" w:color="3D7FE0" w:themeColor="accent1"/>
              <w:bottom w:val="single" w:sz="2" w:space="0" w:color="3D7FE0" w:themeColor="accent1"/>
            </w:tcBorders>
          </w:tcPr>
          <w:p w14:paraId="5D9906CB"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2" w:space="0" w:color="3D7FE0" w:themeColor="accent1"/>
            </w:tcBorders>
            <w:tcMar>
              <w:left w:w="0" w:type="dxa"/>
              <w:right w:w="0" w:type="dxa"/>
            </w:tcMar>
            <w:vAlign w:val="bottom"/>
          </w:tcPr>
          <w:p w14:paraId="52A68E55" w14:textId="4B123BD6"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2" w:space="0" w:color="3D7FE0" w:themeColor="accent1"/>
            </w:tcBorders>
          </w:tcPr>
          <w:p w14:paraId="5AAF44FE" w14:textId="7C330D72"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309.8</w:t>
            </w:r>
          </w:p>
        </w:tc>
        <w:tc>
          <w:tcPr>
            <w:tcW w:w="1132" w:type="dxa"/>
            <w:tcBorders>
              <w:top w:val="single" w:sz="2" w:space="0" w:color="3D7FE0" w:themeColor="accent1"/>
              <w:bottom w:val="single" w:sz="2" w:space="0" w:color="3D7FE0" w:themeColor="accent1"/>
            </w:tcBorders>
          </w:tcPr>
          <w:p w14:paraId="10F6B69E" w14:textId="4D97D85B"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107.6</w:t>
            </w:r>
          </w:p>
        </w:tc>
        <w:tc>
          <w:tcPr>
            <w:tcW w:w="814" w:type="dxa"/>
            <w:gridSpan w:val="2"/>
            <w:tcBorders>
              <w:top w:val="single" w:sz="2" w:space="0" w:color="3D7FE0" w:themeColor="accent1"/>
              <w:bottom w:val="single" w:sz="2" w:space="0" w:color="3D7FE0" w:themeColor="accent1"/>
            </w:tcBorders>
            <w:tcMar>
              <w:left w:w="0" w:type="dxa"/>
              <w:right w:w="0" w:type="dxa"/>
            </w:tcMar>
          </w:tcPr>
          <w:p w14:paraId="63C885EA" w14:textId="3E161689"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387.5</w:t>
            </w:r>
          </w:p>
        </w:tc>
        <w:tc>
          <w:tcPr>
            <w:tcW w:w="815" w:type="dxa"/>
            <w:tcBorders>
              <w:top w:val="single" w:sz="2" w:space="0" w:color="3D7FE0" w:themeColor="accent1"/>
              <w:bottom w:val="single" w:sz="2" w:space="0" w:color="3D7FE0" w:themeColor="accent1"/>
            </w:tcBorders>
            <w:tcMar>
              <w:left w:w="0" w:type="dxa"/>
              <w:right w:w="0" w:type="dxa"/>
            </w:tcMar>
          </w:tcPr>
          <w:p w14:paraId="3AE66C79" w14:textId="6003AF14"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39.2</w:t>
            </w:r>
          </w:p>
        </w:tc>
        <w:tc>
          <w:tcPr>
            <w:tcW w:w="815" w:type="dxa"/>
            <w:tcBorders>
              <w:top w:val="single" w:sz="2" w:space="0" w:color="3D7FE0" w:themeColor="accent1"/>
              <w:bottom w:val="single" w:sz="2" w:space="0" w:color="3D7FE0" w:themeColor="accent1"/>
            </w:tcBorders>
          </w:tcPr>
          <w:p w14:paraId="34DC2909" w14:textId="783C812A"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426.7</w:t>
            </w:r>
          </w:p>
        </w:tc>
        <w:tc>
          <w:tcPr>
            <w:tcW w:w="815" w:type="dxa"/>
            <w:tcBorders>
              <w:top w:val="single" w:sz="2" w:space="0" w:color="3D7FE0" w:themeColor="accent1"/>
              <w:bottom w:val="single" w:sz="2" w:space="0" w:color="3D7FE0" w:themeColor="accent1"/>
            </w:tcBorders>
            <w:tcMar>
              <w:left w:w="0" w:type="dxa"/>
              <w:right w:w="0" w:type="dxa"/>
            </w:tcMar>
          </w:tcPr>
          <w:p w14:paraId="7D1F1841" w14:textId="1ED05653"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134.3</w:t>
            </w:r>
          </w:p>
        </w:tc>
      </w:tr>
      <w:tr w:rsidR="00A84119" w:rsidRPr="00895810" w14:paraId="172377AD" w14:textId="77777777" w:rsidTr="00024B10">
        <w:trPr>
          <w:gridAfter w:val="1"/>
          <w:wAfter w:w="170" w:type="dxa"/>
          <w:trHeight w:hRule="exact" w:val="249"/>
        </w:trPr>
        <w:tc>
          <w:tcPr>
            <w:tcW w:w="3118" w:type="dxa"/>
            <w:gridSpan w:val="2"/>
            <w:tcBorders>
              <w:top w:val="single" w:sz="2" w:space="0" w:color="3D7FE0" w:themeColor="accent1"/>
              <w:bottom w:val="single" w:sz="2" w:space="0" w:color="3D7FE0" w:themeColor="accent1"/>
            </w:tcBorders>
            <w:tcMar>
              <w:left w:w="0" w:type="dxa"/>
              <w:right w:w="0" w:type="dxa"/>
            </w:tcMar>
            <w:vAlign w:val="bottom"/>
          </w:tcPr>
          <w:p w14:paraId="255FEE6E" w14:textId="77777777" w:rsidR="00A84119" w:rsidRPr="00895810" w:rsidRDefault="00A84119" w:rsidP="00024B10">
            <w:pPr>
              <w:pStyle w:val="Tabletext"/>
              <w:tabs>
                <w:tab w:val="left" w:pos="284"/>
              </w:tabs>
              <w:rPr>
                <w:rFonts w:ascii="IBM Plex Sans Light" w:hAnsi="IBM Plex Sans Light"/>
                <w:spacing w:val="-4"/>
                <w:sz w:val="18"/>
                <w:szCs w:val="18"/>
              </w:rPr>
            </w:pPr>
            <w:r w:rsidRPr="00895810">
              <w:rPr>
                <w:rFonts w:ascii="IBM Plex Sans Light" w:hAnsi="IBM Plex Sans Light"/>
                <w:color w:val="3D7FE0" w:themeColor="accent1"/>
                <w:sz w:val="18"/>
                <w:szCs w:val="18"/>
              </w:rPr>
              <w:t>Total assets</w:t>
            </w:r>
          </w:p>
        </w:tc>
        <w:tc>
          <w:tcPr>
            <w:tcW w:w="283" w:type="dxa"/>
            <w:gridSpan w:val="2"/>
            <w:tcBorders>
              <w:top w:val="single" w:sz="2" w:space="0" w:color="3D7FE0" w:themeColor="accent1"/>
              <w:bottom w:val="single" w:sz="2" w:space="0" w:color="3D7FE0" w:themeColor="accent1"/>
            </w:tcBorders>
            <w:vAlign w:val="bottom"/>
          </w:tcPr>
          <w:p w14:paraId="484B348D" w14:textId="6CE196B7" w:rsidR="00A84119" w:rsidRPr="00895810" w:rsidRDefault="00A84119" w:rsidP="00A84119">
            <w:pPr>
              <w:pStyle w:val="Tabletext"/>
              <w:rPr>
                <w:rFonts w:ascii="IBM Plex Sans Light" w:hAnsi="IBM Plex Sans Light"/>
                <w:spacing w:val="-4"/>
                <w:sz w:val="18"/>
                <w:szCs w:val="18"/>
              </w:rPr>
            </w:pPr>
          </w:p>
        </w:tc>
        <w:tc>
          <w:tcPr>
            <w:tcW w:w="814" w:type="dxa"/>
            <w:gridSpan w:val="2"/>
            <w:tcBorders>
              <w:top w:val="single" w:sz="2" w:space="0" w:color="3D7FE0" w:themeColor="accent1"/>
              <w:bottom w:val="single" w:sz="2" w:space="0" w:color="3D7FE0" w:themeColor="accent1"/>
            </w:tcBorders>
          </w:tcPr>
          <w:p w14:paraId="082BF073"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2" w:space="0" w:color="3D7FE0" w:themeColor="accent1"/>
            </w:tcBorders>
            <w:tcMar>
              <w:left w:w="0" w:type="dxa"/>
              <w:right w:w="0" w:type="dxa"/>
            </w:tcMar>
            <w:vAlign w:val="bottom"/>
          </w:tcPr>
          <w:p w14:paraId="18B41C7C" w14:textId="2BD036AD"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2" w:space="0" w:color="3D7FE0" w:themeColor="accent1"/>
            </w:tcBorders>
          </w:tcPr>
          <w:p w14:paraId="50B57712" w14:textId="55540455"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5,773.2</w:t>
            </w:r>
          </w:p>
        </w:tc>
        <w:tc>
          <w:tcPr>
            <w:tcW w:w="1132" w:type="dxa"/>
            <w:tcBorders>
              <w:top w:val="single" w:sz="2" w:space="0" w:color="3D7FE0" w:themeColor="accent1"/>
              <w:bottom w:val="single" w:sz="2" w:space="0" w:color="3D7FE0" w:themeColor="accent1"/>
            </w:tcBorders>
          </w:tcPr>
          <w:p w14:paraId="5CA5C5F4" w14:textId="13371297"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2,086.3</w:t>
            </w:r>
          </w:p>
        </w:tc>
        <w:tc>
          <w:tcPr>
            <w:tcW w:w="814" w:type="dxa"/>
            <w:gridSpan w:val="2"/>
            <w:tcBorders>
              <w:top w:val="single" w:sz="2" w:space="0" w:color="3D7FE0" w:themeColor="accent1"/>
              <w:bottom w:val="single" w:sz="2" w:space="0" w:color="3D7FE0" w:themeColor="accent1"/>
            </w:tcBorders>
            <w:tcMar>
              <w:left w:w="0" w:type="dxa"/>
              <w:right w:w="0" w:type="dxa"/>
            </w:tcMar>
          </w:tcPr>
          <w:p w14:paraId="5EA8085E" w14:textId="586F3AB5"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5,909.2</w:t>
            </w:r>
          </w:p>
        </w:tc>
        <w:tc>
          <w:tcPr>
            <w:tcW w:w="815" w:type="dxa"/>
            <w:tcBorders>
              <w:top w:val="single" w:sz="2" w:space="0" w:color="3D7FE0" w:themeColor="accent1"/>
              <w:bottom w:val="single" w:sz="2" w:space="0" w:color="3D7FE0" w:themeColor="accent1"/>
            </w:tcBorders>
            <w:tcMar>
              <w:left w:w="0" w:type="dxa"/>
              <w:right w:w="0" w:type="dxa"/>
            </w:tcMar>
          </w:tcPr>
          <w:p w14:paraId="4B76F4A4" w14:textId="3BBFACA4"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450.8</w:t>
            </w:r>
          </w:p>
        </w:tc>
        <w:tc>
          <w:tcPr>
            <w:tcW w:w="815" w:type="dxa"/>
            <w:tcBorders>
              <w:top w:val="single" w:sz="2" w:space="0" w:color="3D7FE0" w:themeColor="accent1"/>
              <w:bottom w:val="single" w:sz="2" w:space="0" w:color="3D7FE0" w:themeColor="accent1"/>
            </w:tcBorders>
          </w:tcPr>
          <w:p w14:paraId="2D941FF4" w14:textId="434F7736"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6,360.0</w:t>
            </w:r>
          </w:p>
        </w:tc>
        <w:tc>
          <w:tcPr>
            <w:tcW w:w="815" w:type="dxa"/>
            <w:tcBorders>
              <w:top w:val="single" w:sz="2" w:space="0" w:color="3D7FE0" w:themeColor="accent1"/>
              <w:bottom w:val="single" w:sz="2" w:space="0" w:color="3D7FE0" w:themeColor="accent1"/>
            </w:tcBorders>
            <w:tcMar>
              <w:left w:w="0" w:type="dxa"/>
              <w:right w:w="0" w:type="dxa"/>
            </w:tcMar>
          </w:tcPr>
          <w:p w14:paraId="269AAE75" w14:textId="58B70D95"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2,238.4</w:t>
            </w:r>
          </w:p>
        </w:tc>
      </w:tr>
      <w:tr w:rsidR="00A84119" w:rsidRPr="00895810" w14:paraId="1B77A105" w14:textId="77777777" w:rsidTr="00024B10">
        <w:trPr>
          <w:gridAfter w:val="1"/>
          <w:wAfter w:w="170" w:type="dxa"/>
          <w:trHeight w:hRule="exact" w:val="249"/>
        </w:trPr>
        <w:tc>
          <w:tcPr>
            <w:tcW w:w="3118" w:type="dxa"/>
            <w:gridSpan w:val="2"/>
            <w:tcBorders>
              <w:top w:val="single" w:sz="2" w:space="0" w:color="3D7FE0" w:themeColor="accent1"/>
            </w:tcBorders>
            <w:tcMar>
              <w:left w:w="0" w:type="dxa"/>
              <w:right w:w="0" w:type="dxa"/>
            </w:tcMar>
            <w:vAlign w:val="bottom"/>
          </w:tcPr>
          <w:p w14:paraId="7BDC9FA2" w14:textId="77777777" w:rsidR="00A84119" w:rsidRPr="00895810" w:rsidRDefault="00A84119" w:rsidP="00024B10">
            <w:pPr>
              <w:pStyle w:val="Tabletext"/>
              <w:tabs>
                <w:tab w:val="left" w:pos="284"/>
              </w:tabs>
              <w:rPr>
                <w:rFonts w:ascii="IBM Plex Sans Light" w:hAnsi="IBM Plex Sans Light"/>
                <w:spacing w:val="-4"/>
                <w:sz w:val="18"/>
                <w:szCs w:val="18"/>
              </w:rPr>
            </w:pPr>
            <w:r w:rsidRPr="00895810">
              <w:rPr>
                <w:rFonts w:ascii="IBM Plex Sans Light" w:hAnsi="IBM Plex Sans Light"/>
                <w:color w:val="3D7FE0" w:themeColor="accent1"/>
                <w:sz w:val="18"/>
                <w:szCs w:val="18"/>
              </w:rPr>
              <w:t>Current liabilities</w:t>
            </w:r>
          </w:p>
        </w:tc>
        <w:tc>
          <w:tcPr>
            <w:tcW w:w="283" w:type="dxa"/>
            <w:gridSpan w:val="2"/>
            <w:tcBorders>
              <w:top w:val="single" w:sz="2" w:space="0" w:color="3D7FE0" w:themeColor="accent1"/>
            </w:tcBorders>
            <w:vAlign w:val="bottom"/>
          </w:tcPr>
          <w:p w14:paraId="59FBC9A3" w14:textId="211348CD" w:rsidR="00A84119" w:rsidRPr="00895810" w:rsidRDefault="00A84119" w:rsidP="00A84119">
            <w:pPr>
              <w:pStyle w:val="Tabletext"/>
              <w:rPr>
                <w:rFonts w:ascii="IBM Plex Sans Light" w:hAnsi="IBM Plex Sans Light"/>
                <w:spacing w:val="-4"/>
                <w:sz w:val="18"/>
                <w:szCs w:val="18"/>
              </w:rPr>
            </w:pPr>
          </w:p>
        </w:tc>
        <w:tc>
          <w:tcPr>
            <w:tcW w:w="814" w:type="dxa"/>
            <w:gridSpan w:val="2"/>
            <w:tcBorders>
              <w:top w:val="single" w:sz="2" w:space="0" w:color="3D7FE0" w:themeColor="accent1"/>
            </w:tcBorders>
          </w:tcPr>
          <w:p w14:paraId="2B735CEA"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tcBorders>
            <w:tcMar>
              <w:left w:w="0" w:type="dxa"/>
              <w:right w:w="0" w:type="dxa"/>
            </w:tcMar>
            <w:vAlign w:val="bottom"/>
          </w:tcPr>
          <w:p w14:paraId="03C049AA" w14:textId="6302D982"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tcBorders>
          </w:tcPr>
          <w:p w14:paraId="02D6AB45" w14:textId="1CEA4918" w:rsidR="00A84119" w:rsidRPr="00024B10" w:rsidRDefault="00A84119" w:rsidP="00A84119">
            <w:pPr>
              <w:pStyle w:val="TableFiguresBold"/>
              <w:rPr>
                <w:rFonts w:ascii="IBM Plex Sans Medium" w:hAnsi="IBM Plex Sans Medium"/>
                <w:color w:val="3D7FE0" w:themeColor="accent1"/>
                <w:spacing w:val="-4"/>
                <w:sz w:val="18"/>
                <w:szCs w:val="18"/>
              </w:rPr>
            </w:pPr>
          </w:p>
        </w:tc>
        <w:tc>
          <w:tcPr>
            <w:tcW w:w="1132" w:type="dxa"/>
            <w:tcBorders>
              <w:top w:val="single" w:sz="2" w:space="0" w:color="3D7FE0" w:themeColor="accent1"/>
            </w:tcBorders>
          </w:tcPr>
          <w:p w14:paraId="00752580" w14:textId="77777777" w:rsidR="00A84119" w:rsidRPr="00024B10" w:rsidRDefault="00A84119" w:rsidP="00A84119">
            <w:pPr>
              <w:pStyle w:val="TableFiguresBold"/>
              <w:rPr>
                <w:rFonts w:ascii="IBM Plex Sans Medium" w:hAnsi="IBM Plex Sans Medium"/>
                <w:color w:val="3D7FE0" w:themeColor="accent1"/>
                <w:spacing w:val="-4"/>
                <w:sz w:val="18"/>
                <w:szCs w:val="18"/>
              </w:rPr>
            </w:pPr>
          </w:p>
        </w:tc>
        <w:tc>
          <w:tcPr>
            <w:tcW w:w="814" w:type="dxa"/>
            <w:gridSpan w:val="2"/>
            <w:tcBorders>
              <w:top w:val="single" w:sz="2" w:space="0" w:color="3D7FE0" w:themeColor="accent1"/>
            </w:tcBorders>
            <w:tcMar>
              <w:left w:w="0" w:type="dxa"/>
              <w:right w:w="0" w:type="dxa"/>
            </w:tcMar>
          </w:tcPr>
          <w:p w14:paraId="292C5228" w14:textId="3140C5A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Mar>
              <w:left w:w="0" w:type="dxa"/>
              <w:right w:w="0" w:type="dxa"/>
            </w:tcMar>
            <w:vAlign w:val="bottom"/>
          </w:tcPr>
          <w:p w14:paraId="73D5F727" w14:textId="5194E986"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Pr>
          <w:p w14:paraId="727787F1" w14:textId="14B07C15"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p>
        </w:tc>
        <w:tc>
          <w:tcPr>
            <w:tcW w:w="815" w:type="dxa"/>
            <w:tcBorders>
              <w:top w:val="single" w:sz="2" w:space="0" w:color="3D7FE0" w:themeColor="accent1"/>
            </w:tcBorders>
            <w:tcMar>
              <w:left w:w="0" w:type="dxa"/>
              <w:right w:w="0" w:type="dxa"/>
            </w:tcMar>
          </w:tcPr>
          <w:p w14:paraId="6EA71904" w14:textId="1ECC0A36" w:rsidR="00A84119" w:rsidRPr="00024B10" w:rsidRDefault="00A84119" w:rsidP="00A84119">
            <w:pPr>
              <w:pStyle w:val="TableFiguresBrackets"/>
              <w:tabs>
                <w:tab w:val="decimal" w:pos="395"/>
              </w:tabs>
              <w:ind w:right="0"/>
              <w:rPr>
                <w:rFonts w:ascii="IBM Plex Sans Light" w:hAnsi="IBM Plex Sans Light"/>
                <w:color w:val="auto"/>
                <w:spacing w:val="-4"/>
                <w:sz w:val="18"/>
                <w:szCs w:val="18"/>
              </w:rPr>
            </w:pPr>
          </w:p>
        </w:tc>
      </w:tr>
      <w:tr w:rsidR="00A84119" w:rsidRPr="00895810" w14:paraId="6D49F641" w14:textId="77777777" w:rsidTr="00024B10">
        <w:trPr>
          <w:gridAfter w:val="1"/>
          <w:wAfter w:w="170" w:type="dxa"/>
          <w:trHeight w:hRule="exact" w:val="249"/>
        </w:trPr>
        <w:tc>
          <w:tcPr>
            <w:tcW w:w="3118" w:type="dxa"/>
            <w:gridSpan w:val="2"/>
            <w:tcMar>
              <w:left w:w="0" w:type="dxa"/>
              <w:right w:w="0" w:type="dxa"/>
            </w:tcMar>
            <w:vAlign w:val="bottom"/>
          </w:tcPr>
          <w:p w14:paraId="6D83B5E0"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sz w:val="18"/>
                <w:szCs w:val="18"/>
              </w:rPr>
              <w:t>Loans</w:t>
            </w:r>
          </w:p>
        </w:tc>
        <w:tc>
          <w:tcPr>
            <w:tcW w:w="283" w:type="dxa"/>
            <w:gridSpan w:val="2"/>
            <w:vAlign w:val="bottom"/>
          </w:tcPr>
          <w:p w14:paraId="70E53444" w14:textId="77777777"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Pr>
          <w:p w14:paraId="24130DDD"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0A07A630"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627F3D2D" w14:textId="42D0D8F0"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(159.3)</w:t>
            </w:r>
          </w:p>
        </w:tc>
        <w:tc>
          <w:tcPr>
            <w:tcW w:w="1132" w:type="dxa"/>
          </w:tcPr>
          <w:p w14:paraId="465ADAF6" w14:textId="611F3DDC"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(87.8)</w:t>
            </w:r>
          </w:p>
        </w:tc>
        <w:tc>
          <w:tcPr>
            <w:tcW w:w="814" w:type="dxa"/>
            <w:gridSpan w:val="2"/>
            <w:tcMar>
              <w:left w:w="0" w:type="dxa"/>
              <w:right w:w="0" w:type="dxa"/>
            </w:tcMar>
          </w:tcPr>
          <w:p w14:paraId="268EF3A0" w14:textId="1AC81E0E"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(314.7)</w:t>
            </w:r>
          </w:p>
        </w:tc>
        <w:tc>
          <w:tcPr>
            <w:tcW w:w="815" w:type="dxa"/>
            <w:tcMar>
              <w:left w:w="0" w:type="dxa"/>
              <w:right w:w="0" w:type="dxa"/>
            </w:tcMar>
          </w:tcPr>
          <w:p w14:paraId="5524F5F3" w14:textId="4C79E8AB" w:rsidR="00A84119" w:rsidRPr="00024B10" w:rsidRDefault="00A84119" w:rsidP="00A84119">
            <w:pPr>
              <w:pStyle w:val="TableFiguresBrackets"/>
              <w:tabs>
                <w:tab w:val="decimal" w:pos="609"/>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w:t>
            </w:r>
          </w:p>
        </w:tc>
        <w:tc>
          <w:tcPr>
            <w:tcW w:w="815" w:type="dxa"/>
          </w:tcPr>
          <w:p w14:paraId="05FC474B" w14:textId="5409760D"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(314.7)</w:t>
            </w:r>
          </w:p>
        </w:tc>
        <w:tc>
          <w:tcPr>
            <w:tcW w:w="815" w:type="dxa"/>
            <w:tcMar>
              <w:left w:w="0" w:type="dxa"/>
              <w:right w:w="0" w:type="dxa"/>
            </w:tcMar>
          </w:tcPr>
          <w:p w14:paraId="3A47BDD2" w14:textId="278377E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(108.1)</w:t>
            </w:r>
          </w:p>
        </w:tc>
      </w:tr>
      <w:tr w:rsidR="00A84119" w:rsidRPr="00895810" w14:paraId="16AE8185" w14:textId="77777777" w:rsidTr="00024B10">
        <w:trPr>
          <w:gridAfter w:val="1"/>
          <w:wAfter w:w="170" w:type="dxa"/>
          <w:trHeight w:hRule="exact" w:val="249"/>
        </w:trPr>
        <w:tc>
          <w:tcPr>
            <w:tcW w:w="3118" w:type="dxa"/>
            <w:gridSpan w:val="2"/>
            <w:tcBorders>
              <w:bottom w:val="single" w:sz="2" w:space="0" w:color="3D7FE0" w:themeColor="accent1"/>
            </w:tcBorders>
            <w:tcMar>
              <w:left w:w="0" w:type="dxa"/>
              <w:right w:w="0" w:type="dxa"/>
            </w:tcMar>
            <w:vAlign w:val="bottom"/>
          </w:tcPr>
          <w:p w14:paraId="26010944"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sz w:val="18"/>
                <w:szCs w:val="18"/>
              </w:rPr>
              <w:t>Other payables</w:t>
            </w:r>
          </w:p>
        </w:tc>
        <w:tc>
          <w:tcPr>
            <w:tcW w:w="283" w:type="dxa"/>
            <w:gridSpan w:val="2"/>
            <w:tcBorders>
              <w:bottom w:val="single" w:sz="2" w:space="0" w:color="3D7FE0" w:themeColor="accent1"/>
            </w:tcBorders>
            <w:vAlign w:val="bottom"/>
          </w:tcPr>
          <w:p w14:paraId="740A4E8C" w14:textId="20277D5D"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bottom w:val="single" w:sz="2" w:space="0" w:color="3D7FE0" w:themeColor="accent1"/>
            </w:tcBorders>
            <w:vAlign w:val="bottom"/>
          </w:tcPr>
          <w:p w14:paraId="4A7449DE"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bottom w:val="single" w:sz="2" w:space="0" w:color="3D7FE0" w:themeColor="accent1"/>
            </w:tcBorders>
            <w:tcMar>
              <w:left w:w="0" w:type="dxa"/>
              <w:right w:w="0" w:type="dxa"/>
            </w:tcMar>
            <w:vAlign w:val="bottom"/>
          </w:tcPr>
          <w:p w14:paraId="6A42B0F9"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bottom w:val="single" w:sz="2" w:space="0" w:color="3D7FE0" w:themeColor="accent1"/>
            </w:tcBorders>
          </w:tcPr>
          <w:p w14:paraId="1B8C2CCE" w14:textId="0695167D"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(143.2)</w:t>
            </w:r>
          </w:p>
        </w:tc>
        <w:tc>
          <w:tcPr>
            <w:tcW w:w="1132" w:type="dxa"/>
            <w:tcBorders>
              <w:bottom w:val="single" w:sz="2" w:space="0" w:color="3D7FE0" w:themeColor="accent1"/>
            </w:tcBorders>
          </w:tcPr>
          <w:p w14:paraId="6B9FA756" w14:textId="208C6CAA"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(103.2)</w:t>
            </w:r>
          </w:p>
        </w:tc>
        <w:tc>
          <w:tcPr>
            <w:tcW w:w="814" w:type="dxa"/>
            <w:gridSpan w:val="2"/>
            <w:tcBorders>
              <w:bottom w:val="single" w:sz="2" w:space="0" w:color="3D7FE0" w:themeColor="accent1"/>
            </w:tcBorders>
            <w:tcMar>
              <w:left w:w="0" w:type="dxa"/>
              <w:right w:w="0" w:type="dxa"/>
            </w:tcMar>
          </w:tcPr>
          <w:p w14:paraId="66E3798A" w14:textId="3D0F9BD8"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(148.4)</w:t>
            </w:r>
          </w:p>
        </w:tc>
        <w:tc>
          <w:tcPr>
            <w:tcW w:w="815" w:type="dxa"/>
            <w:tcBorders>
              <w:bottom w:val="single" w:sz="2" w:space="0" w:color="3D7FE0" w:themeColor="accent1"/>
            </w:tcBorders>
            <w:tcMar>
              <w:left w:w="0" w:type="dxa"/>
              <w:right w:w="0" w:type="dxa"/>
            </w:tcMar>
          </w:tcPr>
          <w:p w14:paraId="70FA26E2" w14:textId="498ED583"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(17.0)</w:t>
            </w:r>
          </w:p>
        </w:tc>
        <w:tc>
          <w:tcPr>
            <w:tcW w:w="815" w:type="dxa"/>
            <w:tcBorders>
              <w:bottom w:val="single" w:sz="2" w:space="0" w:color="3D7FE0" w:themeColor="accent1"/>
            </w:tcBorders>
          </w:tcPr>
          <w:p w14:paraId="47B2AB41" w14:textId="6991E29C"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(165.4)</w:t>
            </w:r>
          </w:p>
        </w:tc>
        <w:tc>
          <w:tcPr>
            <w:tcW w:w="815" w:type="dxa"/>
            <w:tcBorders>
              <w:bottom w:val="single" w:sz="2" w:space="0" w:color="3D7FE0" w:themeColor="accent1"/>
            </w:tcBorders>
            <w:tcMar>
              <w:left w:w="0" w:type="dxa"/>
              <w:right w:w="0" w:type="dxa"/>
            </w:tcMar>
          </w:tcPr>
          <w:p w14:paraId="2C60BFE5" w14:textId="12463DD8"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(104.6)</w:t>
            </w:r>
          </w:p>
        </w:tc>
      </w:tr>
      <w:tr w:rsidR="00A84119" w:rsidRPr="00895810" w14:paraId="21F2AC2A" w14:textId="77777777" w:rsidTr="00024B10">
        <w:trPr>
          <w:gridAfter w:val="1"/>
          <w:wAfter w:w="170" w:type="dxa"/>
          <w:trHeight w:hRule="exact" w:val="249"/>
        </w:trPr>
        <w:tc>
          <w:tcPr>
            <w:tcW w:w="3118" w:type="dxa"/>
            <w:gridSpan w:val="2"/>
            <w:tcBorders>
              <w:top w:val="single" w:sz="2" w:space="0" w:color="3D7FE0" w:themeColor="accent1"/>
              <w:bottom w:val="single" w:sz="2" w:space="0" w:color="3D7FE0" w:themeColor="accent1"/>
            </w:tcBorders>
            <w:tcMar>
              <w:left w:w="0" w:type="dxa"/>
              <w:right w:w="0" w:type="dxa"/>
            </w:tcMar>
            <w:vAlign w:val="bottom"/>
          </w:tcPr>
          <w:p w14:paraId="4C285DFB"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p>
        </w:tc>
        <w:tc>
          <w:tcPr>
            <w:tcW w:w="283" w:type="dxa"/>
            <w:gridSpan w:val="2"/>
            <w:tcBorders>
              <w:top w:val="single" w:sz="2" w:space="0" w:color="3D7FE0" w:themeColor="accent1"/>
              <w:bottom w:val="single" w:sz="2" w:space="0" w:color="3D7FE0" w:themeColor="accent1"/>
            </w:tcBorders>
            <w:vAlign w:val="bottom"/>
          </w:tcPr>
          <w:p w14:paraId="3543545F" w14:textId="617E7A58"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top w:val="single" w:sz="2" w:space="0" w:color="3D7FE0" w:themeColor="accent1"/>
              <w:bottom w:val="single" w:sz="2" w:space="0" w:color="3D7FE0" w:themeColor="accent1"/>
            </w:tcBorders>
          </w:tcPr>
          <w:p w14:paraId="7308866B"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2" w:space="0" w:color="3D7FE0" w:themeColor="accent1"/>
            </w:tcBorders>
            <w:tcMar>
              <w:left w:w="0" w:type="dxa"/>
              <w:right w:w="0" w:type="dxa"/>
            </w:tcMar>
            <w:vAlign w:val="bottom"/>
          </w:tcPr>
          <w:p w14:paraId="2919A2C5"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2" w:space="0" w:color="3D7FE0" w:themeColor="accent1"/>
            </w:tcBorders>
          </w:tcPr>
          <w:p w14:paraId="5786289F" w14:textId="46317286"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(302.5)</w:t>
            </w:r>
          </w:p>
        </w:tc>
        <w:tc>
          <w:tcPr>
            <w:tcW w:w="1132" w:type="dxa"/>
            <w:tcBorders>
              <w:top w:val="single" w:sz="2" w:space="0" w:color="3D7FE0" w:themeColor="accent1"/>
              <w:bottom w:val="single" w:sz="2" w:space="0" w:color="3D7FE0" w:themeColor="accent1"/>
            </w:tcBorders>
          </w:tcPr>
          <w:p w14:paraId="50D1396C" w14:textId="7203646E"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(191.0)</w:t>
            </w:r>
          </w:p>
        </w:tc>
        <w:tc>
          <w:tcPr>
            <w:tcW w:w="814" w:type="dxa"/>
            <w:gridSpan w:val="2"/>
            <w:tcBorders>
              <w:top w:val="single" w:sz="2" w:space="0" w:color="3D7FE0" w:themeColor="accent1"/>
              <w:bottom w:val="single" w:sz="2" w:space="0" w:color="3D7FE0" w:themeColor="accent1"/>
            </w:tcBorders>
            <w:tcMar>
              <w:left w:w="0" w:type="dxa"/>
              <w:right w:w="0" w:type="dxa"/>
            </w:tcMar>
          </w:tcPr>
          <w:p w14:paraId="0594C007" w14:textId="63F4542F"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(463.1)</w:t>
            </w:r>
          </w:p>
        </w:tc>
        <w:tc>
          <w:tcPr>
            <w:tcW w:w="815" w:type="dxa"/>
            <w:tcBorders>
              <w:top w:val="single" w:sz="2" w:space="0" w:color="3D7FE0" w:themeColor="accent1"/>
              <w:bottom w:val="single" w:sz="2" w:space="0" w:color="3D7FE0" w:themeColor="accent1"/>
            </w:tcBorders>
            <w:tcMar>
              <w:left w:w="0" w:type="dxa"/>
              <w:right w:w="0" w:type="dxa"/>
            </w:tcMar>
          </w:tcPr>
          <w:p w14:paraId="6A4591F2" w14:textId="732370BD"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(17.0)</w:t>
            </w:r>
          </w:p>
        </w:tc>
        <w:tc>
          <w:tcPr>
            <w:tcW w:w="815" w:type="dxa"/>
            <w:tcBorders>
              <w:top w:val="single" w:sz="2" w:space="0" w:color="3D7FE0" w:themeColor="accent1"/>
              <w:bottom w:val="single" w:sz="2" w:space="0" w:color="3D7FE0" w:themeColor="accent1"/>
            </w:tcBorders>
          </w:tcPr>
          <w:p w14:paraId="09FCEF3F" w14:textId="3B167316"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(480.1)</w:t>
            </w:r>
          </w:p>
        </w:tc>
        <w:tc>
          <w:tcPr>
            <w:tcW w:w="815" w:type="dxa"/>
            <w:tcBorders>
              <w:top w:val="single" w:sz="2" w:space="0" w:color="3D7FE0" w:themeColor="accent1"/>
              <w:bottom w:val="single" w:sz="2" w:space="0" w:color="3D7FE0" w:themeColor="accent1"/>
            </w:tcBorders>
            <w:tcMar>
              <w:left w:w="0" w:type="dxa"/>
              <w:right w:w="0" w:type="dxa"/>
            </w:tcMar>
          </w:tcPr>
          <w:p w14:paraId="477300CE" w14:textId="18466D9E"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(212.7)</w:t>
            </w:r>
          </w:p>
        </w:tc>
      </w:tr>
      <w:tr w:rsidR="00A84119" w:rsidRPr="00895810" w14:paraId="7C3AF274" w14:textId="77777777" w:rsidTr="00024B10">
        <w:trPr>
          <w:gridAfter w:val="1"/>
          <w:wAfter w:w="170" w:type="dxa"/>
          <w:trHeight w:hRule="exact" w:val="249"/>
        </w:trPr>
        <w:tc>
          <w:tcPr>
            <w:tcW w:w="3118" w:type="dxa"/>
            <w:gridSpan w:val="2"/>
            <w:tcBorders>
              <w:top w:val="single" w:sz="2" w:space="0" w:color="3D7FE0" w:themeColor="accent1"/>
            </w:tcBorders>
            <w:tcMar>
              <w:left w:w="0" w:type="dxa"/>
              <w:right w:w="0" w:type="dxa"/>
            </w:tcMar>
            <w:vAlign w:val="bottom"/>
          </w:tcPr>
          <w:p w14:paraId="7DA317A9"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color w:val="3D7FE0" w:themeColor="accent1"/>
                <w:sz w:val="18"/>
                <w:szCs w:val="18"/>
              </w:rPr>
              <w:t>Non-current liabilities</w:t>
            </w:r>
          </w:p>
        </w:tc>
        <w:tc>
          <w:tcPr>
            <w:tcW w:w="283" w:type="dxa"/>
            <w:gridSpan w:val="2"/>
            <w:tcBorders>
              <w:top w:val="single" w:sz="2" w:space="0" w:color="3D7FE0" w:themeColor="accent1"/>
            </w:tcBorders>
            <w:vAlign w:val="bottom"/>
          </w:tcPr>
          <w:p w14:paraId="4A0FB295" w14:textId="72C1533C"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top w:val="single" w:sz="2" w:space="0" w:color="3D7FE0" w:themeColor="accent1"/>
            </w:tcBorders>
          </w:tcPr>
          <w:p w14:paraId="5742D14C"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tcBorders>
            <w:tcMar>
              <w:left w:w="0" w:type="dxa"/>
              <w:right w:w="0" w:type="dxa"/>
            </w:tcMar>
            <w:vAlign w:val="bottom"/>
          </w:tcPr>
          <w:p w14:paraId="39644247"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tcBorders>
          </w:tcPr>
          <w:p w14:paraId="564F6653" w14:textId="77777777" w:rsidR="00A84119" w:rsidRPr="00024B10" w:rsidRDefault="00A84119" w:rsidP="00A84119">
            <w:pPr>
              <w:pStyle w:val="TableFiguresBold"/>
              <w:rPr>
                <w:rFonts w:ascii="IBM Plex Sans Medium" w:hAnsi="IBM Plex Sans Medium"/>
                <w:color w:val="3D7FE0" w:themeColor="accent1"/>
                <w:spacing w:val="-4"/>
                <w:sz w:val="18"/>
                <w:szCs w:val="18"/>
              </w:rPr>
            </w:pPr>
          </w:p>
        </w:tc>
        <w:tc>
          <w:tcPr>
            <w:tcW w:w="1132" w:type="dxa"/>
            <w:tcBorders>
              <w:top w:val="single" w:sz="2" w:space="0" w:color="3D7FE0" w:themeColor="accent1"/>
            </w:tcBorders>
          </w:tcPr>
          <w:p w14:paraId="3F155166" w14:textId="77777777" w:rsidR="00A84119" w:rsidRPr="00024B10" w:rsidRDefault="00A84119" w:rsidP="00A84119">
            <w:pPr>
              <w:pStyle w:val="TableFiguresBold"/>
              <w:rPr>
                <w:rFonts w:ascii="IBM Plex Sans Medium" w:hAnsi="IBM Plex Sans Medium"/>
                <w:color w:val="3D7FE0" w:themeColor="accent1"/>
                <w:spacing w:val="-4"/>
                <w:sz w:val="18"/>
                <w:szCs w:val="18"/>
              </w:rPr>
            </w:pPr>
          </w:p>
        </w:tc>
        <w:tc>
          <w:tcPr>
            <w:tcW w:w="814" w:type="dxa"/>
            <w:gridSpan w:val="2"/>
            <w:tcBorders>
              <w:top w:val="single" w:sz="2" w:space="0" w:color="3D7FE0" w:themeColor="accent1"/>
            </w:tcBorders>
            <w:tcMar>
              <w:left w:w="0" w:type="dxa"/>
              <w:right w:w="0" w:type="dxa"/>
            </w:tcMar>
          </w:tcPr>
          <w:p w14:paraId="2FE08854" w14:textId="77777777"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Mar>
              <w:left w:w="0" w:type="dxa"/>
              <w:right w:w="0" w:type="dxa"/>
            </w:tcMar>
          </w:tcPr>
          <w:p w14:paraId="0A74D1B9" w14:textId="77777777"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c>
          <w:tcPr>
            <w:tcW w:w="815" w:type="dxa"/>
            <w:tcBorders>
              <w:top w:val="single" w:sz="2" w:space="0" w:color="3D7FE0" w:themeColor="accent1"/>
            </w:tcBorders>
          </w:tcPr>
          <w:p w14:paraId="3E9E4E98" w14:textId="77777777"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p>
        </w:tc>
        <w:tc>
          <w:tcPr>
            <w:tcW w:w="815" w:type="dxa"/>
            <w:tcBorders>
              <w:top w:val="single" w:sz="2" w:space="0" w:color="3D7FE0" w:themeColor="accent1"/>
            </w:tcBorders>
            <w:tcMar>
              <w:left w:w="0" w:type="dxa"/>
              <w:right w:w="0" w:type="dxa"/>
            </w:tcMar>
          </w:tcPr>
          <w:p w14:paraId="5A39F363" w14:textId="77777777"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p>
        </w:tc>
      </w:tr>
      <w:tr w:rsidR="00A84119" w:rsidRPr="00895810" w14:paraId="0BE4FEA3" w14:textId="77777777" w:rsidTr="00024B10">
        <w:trPr>
          <w:gridAfter w:val="1"/>
          <w:wAfter w:w="170" w:type="dxa"/>
          <w:trHeight w:hRule="exact" w:val="249"/>
        </w:trPr>
        <w:tc>
          <w:tcPr>
            <w:tcW w:w="3118" w:type="dxa"/>
            <w:gridSpan w:val="2"/>
            <w:tcMar>
              <w:left w:w="0" w:type="dxa"/>
              <w:right w:w="0" w:type="dxa"/>
            </w:tcMar>
            <w:vAlign w:val="bottom"/>
          </w:tcPr>
          <w:p w14:paraId="7E0C2080"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sz w:val="18"/>
                <w:szCs w:val="18"/>
              </w:rPr>
              <w:t xml:space="preserve">Loans </w:t>
            </w:r>
          </w:p>
        </w:tc>
        <w:tc>
          <w:tcPr>
            <w:tcW w:w="283" w:type="dxa"/>
            <w:gridSpan w:val="2"/>
            <w:vAlign w:val="bottom"/>
          </w:tcPr>
          <w:p w14:paraId="79FA6835" w14:textId="23A7F91A"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Pr>
          <w:p w14:paraId="167CA6E0"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471AAF53"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65C4D5B9" w14:textId="0730C36E"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(1,973.1)</w:t>
            </w:r>
          </w:p>
        </w:tc>
        <w:tc>
          <w:tcPr>
            <w:tcW w:w="1132" w:type="dxa"/>
          </w:tcPr>
          <w:p w14:paraId="4B47FA7D" w14:textId="74C602FD"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(706.1)</w:t>
            </w:r>
          </w:p>
        </w:tc>
        <w:tc>
          <w:tcPr>
            <w:tcW w:w="814" w:type="dxa"/>
            <w:gridSpan w:val="2"/>
            <w:tcMar>
              <w:left w:w="0" w:type="dxa"/>
              <w:right w:w="0" w:type="dxa"/>
            </w:tcMar>
          </w:tcPr>
          <w:p w14:paraId="471C32FB" w14:textId="35435B3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(1,787.1)</w:t>
            </w:r>
          </w:p>
          <w:p w14:paraId="236176E9" w14:textId="1FDCB21C"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(1,787.1)</w:t>
            </w:r>
          </w:p>
        </w:tc>
        <w:tc>
          <w:tcPr>
            <w:tcW w:w="815" w:type="dxa"/>
            <w:tcMar>
              <w:left w:w="0" w:type="dxa"/>
              <w:right w:w="0" w:type="dxa"/>
            </w:tcMar>
          </w:tcPr>
          <w:p w14:paraId="3520B7A8" w14:textId="161A4B1D" w:rsidR="00A84119" w:rsidRPr="00024B10" w:rsidRDefault="00A84119" w:rsidP="00A84119">
            <w:pPr>
              <w:pStyle w:val="TableFiguresBrackets"/>
              <w:tabs>
                <w:tab w:val="decimal" w:pos="609"/>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w:t>
            </w:r>
          </w:p>
          <w:p w14:paraId="56C55145" w14:textId="43327F06" w:rsidR="00A84119" w:rsidRPr="00024B10" w:rsidRDefault="00A84119" w:rsidP="00A84119">
            <w:pPr>
              <w:pStyle w:val="TableFiguresBrackets"/>
              <w:tabs>
                <w:tab w:val="decimal" w:pos="609"/>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w:t>
            </w:r>
          </w:p>
        </w:tc>
        <w:tc>
          <w:tcPr>
            <w:tcW w:w="815" w:type="dxa"/>
          </w:tcPr>
          <w:p w14:paraId="444B701E" w14:textId="42E6624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(1,787.1)</w:t>
            </w:r>
          </w:p>
          <w:p w14:paraId="6ACBBA60" w14:textId="1D191541"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(1,787.1)</w:t>
            </w:r>
          </w:p>
        </w:tc>
        <w:tc>
          <w:tcPr>
            <w:tcW w:w="815" w:type="dxa"/>
            <w:tcMar>
              <w:left w:w="0" w:type="dxa"/>
              <w:right w:w="0" w:type="dxa"/>
            </w:tcMar>
          </w:tcPr>
          <w:p w14:paraId="53547E4E" w14:textId="473F24D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(653.6)</w:t>
            </w:r>
          </w:p>
          <w:p w14:paraId="24B9EDD0" w14:textId="6B7E5D96"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(653.6)</w:t>
            </w:r>
          </w:p>
        </w:tc>
      </w:tr>
      <w:tr w:rsidR="00A84119" w:rsidRPr="00895810" w14:paraId="380EDD91" w14:textId="77777777" w:rsidTr="00024B10">
        <w:trPr>
          <w:gridAfter w:val="1"/>
          <w:wAfter w:w="170" w:type="dxa"/>
          <w:trHeight w:hRule="exact" w:val="249"/>
        </w:trPr>
        <w:tc>
          <w:tcPr>
            <w:tcW w:w="3118" w:type="dxa"/>
            <w:gridSpan w:val="2"/>
            <w:tcMar>
              <w:left w:w="0" w:type="dxa"/>
              <w:right w:w="0" w:type="dxa"/>
            </w:tcMar>
            <w:vAlign w:val="bottom"/>
          </w:tcPr>
          <w:p w14:paraId="1C00F240" w14:textId="737ACE7F"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sz w:val="18"/>
                <w:szCs w:val="18"/>
              </w:rPr>
              <w:t>Participative loan</w:t>
            </w:r>
            <w:r w:rsidR="00452848">
              <w:rPr>
                <w:rFonts w:ascii="IBM Plex Sans Light" w:hAnsi="IBM Plex Sans Light"/>
                <w:sz w:val="18"/>
                <w:szCs w:val="18"/>
              </w:rPr>
              <w:t>s</w:t>
            </w:r>
          </w:p>
        </w:tc>
        <w:tc>
          <w:tcPr>
            <w:tcW w:w="283" w:type="dxa"/>
            <w:gridSpan w:val="2"/>
            <w:vAlign w:val="bottom"/>
          </w:tcPr>
          <w:p w14:paraId="316EEC05" w14:textId="619B405C"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Pr>
          <w:p w14:paraId="076158CE"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Mar>
              <w:left w:w="0" w:type="dxa"/>
              <w:right w:w="0" w:type="dxa"/>
            </w:tcMar>
            <w:vAlign w:val="bottom"/>
          </w:tcPr>
          <w:p w14:paraId="3C989A46"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Pr>
          <w:p w14:paraId="45633530" w14:textId="6B6D8E4E"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(398.5)</w:t>
            </w:r>
          </w:p>
        </w:tc>
        <w:tc>
          <w:tcPr>
            <w:tcW w:w="1132" w:type="dxa"/>
          </w:tcPr>
          <w:p w14:paraId="09FC5067" w14:textId="64F943D7"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(98.5)</w:t>
            </w:r>
          </w:p>
        </w:tc>
        <w:tc>
          <w:tcPr>
            <w:tcW w:w="814" w:type="dxa"/>
            <w:gridSpan w:val="2"/>
            <w:tcMar>
              <w:left w:w="0" w:type="dxa"/>
              <w:right w:w="0" w:type="dxa"/>
            </w:tcMar>
          </w:tcPr>
          <w:p w14:paraId="2FA52A5A" w14:textId="0AC47E3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(387.1)</w:t>
            </w:r>
          </w:p>
        </w:tc>
        <w:tc>
          <w:tcPr>
            <w:tcW w:w="815" w:type="dxa"/>
            <w:tcMar>
              <w:left w:w="0" w:type="dxa"/>
              <w:right w:w="0" w:type="dxa"/>
            </w:tcMar>
          </w:tcPr>
          <w:p w14:paraId="0B9C6C24" w14:textId="6E3531AB" w:rsidR="00A84119" w:rsidRPr="00024B10" w:rsidRDefault="00A84119" w:rsidP="00A84119">
            <w:pPr>
              <w:pStyle w:val="TableFiguresBrackets"/>
              <w:tabs>
                <w:tab w:val="decimal" w:pos="609"/>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w:t>
            </w:r>
          </w:p>
        </w:tc>
        <w:tc>
          <w:tcPr>
            <w:tcW w:w="815" w:type="dxa"/>
          </w:tcPr>
          <w:p w14:paraId="0AED6B09" w14:textId="0B346FFB"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(387.1)</w:t>
            </w:r>
          </w:p>
        </w:tc>
        <w:tc>
          <w:tcPr>
            <w:tcW w:w="815" w:type="dxa"/>
            <w:tcMar>
              <w:left w:w="0" w:type="dxa"/>
              <w:right w:w="0" w:type="dxa"/>
            </w:tcMar>
          </w:tcPr>
          <w:p w14:paraId="512FF676" w14:textId="483772E2"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(95.7)</w:t>
            </w:r>
          </w:p>
        </w:tc>
      </w:tr>
      <w:tr w:rsidR="00A84119" w:rsidRPr="00895810" w14:paraId="5F3DD402" w14:textId="77777777" w:rsidTr="00024B10">
        <w:trPr>
          <w:gridAfter w:val="1"/>
          <w:wAfter w:w="170" w:type="dxa"/>
          <w:trHeight w:hRule="exact" w:val="249"/>
        </w:trPr>
        <w:tc>
          <w:tcPr>
            <w:tcW w:w="3118" w:type="dxa"/>
            <w:gridSpan w:val="2"/>
            <w:tcBorders>
              <w:bottom w:val="single" w:sz="2" w:space="0" w:color="3D7FE0" w:themeColor="accent1"/>
            </w:tcBorders>
            <w:tcMar>
              <w:left w:w="0" w:type="dxa"/>
              <w:right w:w="0" w:type="dxa"/>
            </w:tcMar>
            <w:vAlign w:val="bottom"/>
          </w:tcPr>
          <w:p w14:paraId="16988025" w14:textId="487E8371"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sz w:val="18"/>
                <w:szCs w:val="18"/>
              </w:rPr>
              <w:t>Other payables</w:t>
            </w:r>
            <w:r>
              <w:rPr>
                <w:rFonts w:ascii="IBM Plex Sans Light" w:hAnsi="IBM Plex Sans Light"/>
                <w:sz w:val="18"/>
                <w:szCs w:val="18"/>
              </w:rPr>
              <w:t>, including deferred tax</w:t>
            </w:r>
          </w:p>
        </w:tc>
        <w:tc>
          <w:tcPr>
            <w:tcW w:w="283" w:type="dxa"/>
            <w:gridSpan w:val="2"/>
            <w:tcBorders>
              <w:bottom w:val="single" w:sz="2" w:space="0" w:color="3D7FE0" w:themeColor="accent1"/>
            </w:tcBorders>
            <w:vAlign w:val="bottom"/>
          </w:tcPr>
          <w:p w14:paraId="19B9ED27" w14:textId="31DA165B"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bottom w:val="single" w:sz="2" w:space="0" w:color="3D7FE0" w:themeColor="accent1"/>
            </w:tcBorders>
          </w:tcPr>
          <w:p w14:paraId="0CCBBAC0"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bottom w:val="single" w:sz="2" w:space="0" w:color="3D7FE0" w:themeColor="accent1"/>
            </w:tcBorders>
            <w:tcMar>
              <w:left w:w="0" w:type="dxa"/>
              <w:right w:w="0" w:type="dxa"/>
            </w:tcMar>
            <w:vAlign w:val="bottom"/>
          </w:tcPr>
          <w:p w14:paraId="7EC81975"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bottom w:val="single" w:sz="2" w:space="0" w:color="3D7FE0" w:themeColor="accent1"/>
            </w:tcBorders>
          </w:tcPr>
          <w:p w14:paraId="5D85A92B" w14:textId="49AC7289"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(665.7)</w:t>
            </w:r>
          </w:p>
        </w:tc>
        <w:tc>
          <w:tcPr>
            <w:tcW w:w="1132" w:type="dxa"/>
            <w:tcBorders>
              <w:bottom w:val="single" w:sz="2" w:space="0" w:color="3D7FE0" w:themeColor="accent1"/>
            </w:tcBorders>
          </w:tcPr>
          <w:p w14:paraId="6BB7C6A3" w14:textId="77B2CD07"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(188.1)</w:t>
            </w:r>
          </w:p>
        </w:tc>
        <w:tc>
          <w:tcPr>
            <w:tcW w:w="814" w:type="dxa"/>
            <w:gridSpan w:val="2"/>
            <w:tcBorders>
              <w:bottom w:val="single" w:sz="2" w:space="0" w:color="3D7FE0" w:themeColor="accent1"/>
            </w:tcBorders>
            <w:tcMar>
              <w:left w:w="0" w:type="dxa"/>
              <w:right w:w="0" w:type="dxa"/>
            </w:tcMar>
          </w:tcPr>
          <w:p w14:paraId="044C4A43" w14:textId="1D1C942C"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(650.7)</w:t>
            </w:r>
          </w:p>
        </w:tc>
        <w:tc>
          <w:tcPr>
            <w:tcW w:w="815" w:type="dxa"/>
            <w:tcBorders>
              <w:bottom w:val="single" w:sz="2" w:space="0" w:color="3D7FE0" w:themeColor="accent1"/>
            </w:tcBorders>
            <w:tcMar>
              <w:left w:w="0" w:type="dxa"/>
              <w:right w:w="0" w:type="dxa"/>
            </w:tcMar>
          </w:tcPr>
          <w:p w14:paraId="3C2459AA" w14:textId="2F027306"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(3.1)</w:t>
            </w:r>
          </w:p>
        </w:tc>
        <w:tc>
          <w:tcPr>
            <w:tcW w:w="815" w:type="dxa"/>
            <w:tcBorders>
              <w:bottom w:val="single" w:sz="2" w:space="0" w:color="3D7FE0" w:themeColor="accent1"/>
            </w:tcBorders>
          </w:tcPr>
          <w:p w14:paraId="5990B230" w14:textId="7BDBB974"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(653.8)</w:t>
            </w:r>
          </w:p>
        </w:tc>
        <w:tc>
          <w:tcPr>
            <w:tcW w:w="815" w:type="dxa"/>
            <w:tcBorders>
              <w:bottom w:val="single" w:sz="2" w:space="0" w:color="3D7FE0" w:themeColor="accent1"/>
            </w:tcBorders>
            <w:tcMar>
              <w:left w:w="0" w:type="dxa"/>
              <w:right w:w="0" w:type="dxa"/>
            </w:tcMar>
          </w:tcPr>
          <w:p w14:paraId="1F10B6B4" w14:textId="7613995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(185.2)</w:t>
            </w:r>
          </w:p>
        </w:tc>
      </w:tr>
      <w:tr w:rsidR="00A84119" w:rsidRPr="00895810" w14:paraId="77600122" w14:textId="77777777" w:rsidTr="00024B10">
        <w:trPr>
          <w:gridAfter w:val="1"/>
          <w:wAfter w:w="170" w:type="dxa"/>
          <w:trHeight w:hRule="exact" w:val="249"/>
        </w:trPr>
        <w:tc>
          <w:tcPr>
            <w:tcW w:w="3118" w:type="dxa"/>
            <w:gridSpan w:val="2"/>
            <w:tcBorders>
              <w:top w:val="single" w:sz="2" w:space="0" w:color="3D7FE0" w:themeColor="accent1"/>
              <w:bottom w:val="single" w:sz="2" w:space="0" w:color="3D7FE0" w:themeColor="accent1"/>
            </w:tcBorders>
            <w:tcMar>
              <w:left w:w="0" w:type="dxa"/>
              <w:right w:w="0" w:type="dxa"/>
            </w:tcMar>
            <w:vAlign w:val="bottom"/>
          </w:tcPr>
          <w:p w14:paraId="6EBB23C8"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p>
        </w:tc>
        <w:tc>
          <w:tcPr>
            <w:tcW w:w="283" w:type="dxa"/>
            <w:gridSpan w:val="2"/>
            <w:tcBorders>
              <w:top w:val="single" w:sz="2" w:space="0" w:color="3D7FE0" w:themeColor="accent1"/>
              <w:bottom w:val="single" w:sz="2" w:space="0" w:color="3D7FE0" w:themeColor="accent1"/>
            </w:tcBorders>
            <w:vAlign w:val="bottom"/>
          </w:tcPr>
          <w:p w14:paraId="1878DA25" w14:textId="295CF8A2"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top w:val="single" w:sz="2" w:space="0" w:color="3D7FE0" w:themeColor="accent1"/>
              <w:bottom w:val="single" w:sz="2" w:space="0" w:color="3D7FE0" w:themeColor="accent1"/>
            </w:tcBorders>
          </w:tcPr>
          <w:p w14:paraId="6F5575C9"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2" w:space="0" w:color="3D7FE0" w:themeColor="accent1"/>
            </w:tcBorders>
            <w:tcMar>
              <w:left w:w="0" w:type="dxa"/>
              <w:right w:w="0" w:type="dxa"/>
            </w:tcMar>
            <w:vAlign w:val="bottom"/>
          </w:tcPr>
          <w:p w14:paraId="3C9490A3"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2" w:space="0" w:color="3D7FE0" w:themeColor="accent1"/>
            </w:tcBorders>
          </w:tcPr>
          <w:p w14:paraId="2A7D975B" w14:textId="00252DC9"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(3.037.3</w:t>
            </w:r>
            <w:r w:rsidR="004406E3" w:rsidRPr="00024B10">
              <w:rPr>
                <w:rFonts w:ascii="IBM Plex Sans Medium" w:hAnsi="IBM Plex Sans Medium"/>
                <w:b/>
                <w:bCs/>
                <w:color w:val="3D7FE0" w:themeColor="accent1"/>
                <w:spacing w:val="-4"/>
                <w:sz w:val="18"/>
                <w:szCs w:val="18"/>
              </w:rPr>
              <w:t>)</w:t>
            </w:r>
          </w:p>
        </w:tc>
        <w:tc>
          <w:tcPr>
            <w:tcW w:w="1132" w:type="dxa"/>
            <w:tcBorders>
              <w:top w:val="single" w:sz="2" w:space="0" w:color="3D7FE0" w:themeColor="accent1"/>
              <w:bottom w:val="single" w:sz="2" w:space="0" w:color="3D7FE0" w:themeColor="accent1"/>
            </w:tcBorders>
          </w:tcPr>
          <w:p w14:paraId="2F24453E" w14:textId="7626725A"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(992.7)</w:t>
            </w:r>
          </w:p>
        </w:tc>
        <w:tc>
          <w:tcPr>
            <w:tcW w:w="814" w:type="dxa"/>
            <w:gridSpan w:val="2"/>
            <w:tcBorders>
              <w:top w:val="single" w:sz="2" w:space="0" w:color="3D7FE0" w:themeColor="accent1"/>
              <w:bottom w:val="single" w:sz="2" w:space="0" w:color="3D7FE0" w:themeColor="accent1"/>
            </w:tcBorders>
            <w:tcMar>
              <w:left w:w="0" w:type="dxa"/>
              <w:right w:w="0" w:type="dxa"/>
            </w:tcMar>
          </w:tcPr>
          <w:p w14:paraId="1D81246E" w14:textId="32F97F7C"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(2,824.9)</w:t>
            </w:r>
          </w:p>
        </w:tc>
        <w:tc>
          <w:tcPr>
            <w:tcW w:w="815" w:type="dxa"/>
            <w:tcBorders>
              <w:top w:val="single" w:sz="2" w:space="0" w:color="3D7FE0" w:themeColor="accent1"/>
              <w:bottom w:val="single" w:sz="2" w:space="0" w:color="3D7FE0" w:themeColor="accent1"/>
            </w:tcBorders>
            <w:tcMar>
              <w:left w:w="0" w:type="dxa"/>
              <w:right w:w="0" w:type="dxa"/>
            </w:tcMar>
          </w:tcPr>
          <w:p w14:paraId="2BE6A09B" w14:textId="154E546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(3.1)</w:t>
            </w:r>
          </w:p>
        </w:tc>
        <w:tc>
          <w:tcPr>
            <w:tcW w:w="815" w:type="dxa"/>
            <w:tcBorders>
              <w:top w:val="single" w:sz="2" w:space="0" w:color="3D7FE0" w:themeColor="accent1"/>
              <w:bottom w:val="single" w:sz="2" w:space="0" w:color="3D7FE0" w:themeColor="accent1"/>
            </w:tcBorders>
          </w:tcPr>
          <w:p w14:paraId="49AC20AA" w14:textId="6CBB0FC7"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(2,828.0)</w:t>
            </w:r>
          </w:p>
        </w:tc>
        <w:tc>
          <w:tcPr>
            <w:tcW w:w="815" w:type="dxa"/>
            <w:tcBorders>
              <w:top w:val="single" w:sz="2" w:space="0" w:color="3D7FE0" w:themeColor="accent1"/>
              <w:bottom w:val="single" w:sz="2" w:space="0" w:color="3D7FE0" w:themeColor="accent1"/>
            </w:tcBorders>
            <w:tcMar>
              <w:left w:w="0" w:type="dxa"/>
              <w:right w:w="0" w:type="dxa"/>
            </w:tcMar>
          </w:tcPr>
          <w:p w14:paraId="6B6E0919" w14:textId="7C8D04BF"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(934.5)</w:t>
            </w:r>
          </w:p>
        </w:tc>
      </w:tr>
      <w:tr w:rsidR="00A84119" w:rsidRPr="00895810" w14:paraId="1CD00409" w14:textId="77777777" w:rsidTr="00024B10">
        <w:trPr>
          <w:gridAfter w:val="1"/>
          <w:wAfter w:w="170" w:type="dxa"/>
          <w:trHeight w:hRule="exact" w:val="249"/>
        </w:trPr>
        <w:tc>
          <w:tcPr>
            <w:tcW w:w="3118" w:type="dxa"/>
            <w:gridSpan w:val="2"/>
            <w:tcBorders>
              <w:top w:val="single" w:sz="2" w:space="0" w:color="3D7FE0" w:themeColor="accent1"/>
              <w:bottom w:val="single" w:sz="2" w:space="0" w:color="3D7FE0" w:themeColor="accent1"/>
            </w:tcBorders>
            <w:tcMar>
              <w:left w:w="0" w:type="dxa"/>
              <w:right w:w="0" w:type="dxa"/>
            </w:tcMar>
            <w:vAlign w:val="bottom"/>
          </w:tcPr>
          <w:p w14:paraId="4556CEED"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color w:val="3D7FE0" w:themeColor="accent1"/>
                <w:sz w:val="18"/>
                <w:szCs w:val="18"/>
              </w:rPr>
              <w:t>Total liabilities</w:t>
            </w:r>
          </w:p>
        </w:tc>
        <w:tc>
          <w:tcPr>
            <w:tcW w:w="283" w:type="dxa"/>
            <w:gridSpan w:val="2"/>
            <w:tcBorders>
              <w:top w:val="single" w:sz="2" w:space="0" w:color="3D7FE0" w:themeColor="accent1"/>
              <w:bottom w:val="single" w:sz="2" w:space="0" w:color="3D7FE0" w:themeColor="accent1"/>
            </w:tcBorders>
            <w:vAlign w:val="bottom"/>
          </w:tcPr>
          <w:p w14:paraId="0A82C1C5" w14:textId="0E0A89D8"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top w:val="single" w:sz="2" w:space="0" w:color="3D7FE0" w:themeColor="accent1"/>
              <w:bottom w:val="single" w:sz="2" w:space="0" w:color="3D7FE0" w:themeColor="accent1"/>
            </w:tcBorders>
          </w:tcPr>
          <w:p w14:paraId="5550530B"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2" w:space="0" w:color="3D7FE0" w:themeColor="accent1"/>
            </w:tcBorders>
            <w:tcMar>
              <w:left w:w="0" w:type="dxa"/>
              <w:right w:w="0" w:type="dxa"/>
            </w:tcMar>
            <w:vAlign w:val="bottom"/>
          </w:tcPr>
          <w:p w14:paraId="058EBAD8"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2" w:space="0" w:color="3D7FE0" w:themeColor="accent1"/>
            </w:tcBorders>
          </w:tcPr>
          <w:p w14:paraId="4FA2AEE2" w14:textId="3BFDE95F"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(3,339.8)</w:t>
            </w:r>
          </w:p>
        </w:tc>
        <w:tc>
          <w:tcPr>
            <w:tcW w:w="1132" w:type="dxa"/>
            <w:tcBorders>
              <w:top w:val="single" w:sz="2" w:space="0" w:color="3D7FE0" w:themeColor="accent1"/>
              <w:bottom w:val="single" w:sz="2" w:space="0" w:color="3D7FE0" w:themeColor="accent1"/>
            </w:tcBorders>
          </w:tcPr>
          <w:p w14:paraId="2F1BF9B5" w14:textId="16EEB2F6" w:rsidR="00A84119" w:rsidRPr="00024B10" w:rsidRDefault="00A84119" w:rsidP="004406E3">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(1,183.7)</w:t>
            </w:r>
          </w:p>
        </w:tc>
        <w:tc>
          <w:tcPr>
            <w:tcW w:w="814" w:type="dxa"/>
            <w:gridSpan w:val="2"/>
            <w:tcBorders>
              <w:top w:val="single" w:sz="2" w:space="0" w:color="3D7FE0" w:themeColor="accent1"/>
              <w:bottom w:val="single" w:sz="2" w:space="0" w:color="3D7FE0" w:themeColor="accent1"/>
            </w:tcBorders>
            <w:tcMar>
              <w:left w:w="0" w:type="dxa"/>
              <w:right w:w="0" w:type="dxa"/>
            </w:tcMar>
          </w:tcPr>
          <w:p w14:paraId="5F4753EB" w14:textId="078B9092"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(3,288.0)</w:t>
            </w:r>
          </w:p>
        </w:tc>
        <w:tc>
          <w:tcPr>
            <w:tcW w:w="815" w:type="dxa"/>
            <w:tcBorders>
              <w:top w:val="single" w:sz="2" w:space="0" w:color="3D7FE0" w:themeColor="accent1"/>
              <w:bottom w:val="single" w:sz="2" w:space="0" w:color="3D7FE0" w:themeColor="accent1"/>
            </w:tcBorders>
            <w:tcMar>
              <w:left w:w="0" w:type="dxa"/>
              <w:right w:w="0" w:type="dxa"/>
            </w:tcMar>
          </w:tcPr>
          <w:p w14:paraId="030D5925" w14:textId="00A5F572"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(20.1)</w:t>
            </w:r>
          </w:p>
        </w:tc>
        <w:tc>
          <w:tcPr>
            <w:tcW w:w="815" w:type="dxa"/>
            <w:tcBorders>
              <w:top w:val="single" w:sz="2" w:space="0" w:color="3D7FE0" w:themeColor="accent1"/>
              <w:bottom w:val="single" w:sz="2" w:space="0" w:color="3D7FE0" w:themeColor="accent1"/>
            </w:tcBorders>
          </w:tcPr>
          <w:p w14:paraId="32219C63" w14:textId="334C6819"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(3,308.1)</w:t>
            </w:r>
          </w:p>
        </w:tc>
        <w:tc>
          <w:tcPr>
            <w:tcW w:w="815" w:type="dxa"/>
            <w:tcBorders>
              <w:top w:val="single" w:sz="2" w:space="0" w:color="3D7FE0" w:themeColor="accent1"/>
              <w:bottom w:val="single" w:sz="2" w:space="0" w:color="3D7FE0" w:themeColor="accent1"/>
            </w:tcBorders>
            <w:tcMar>
              <w:left w:w="0" w:type="dxa"/>
              <w:right w:w="0" w:type="dxa"/>
            </w:tcMar>
          </w:tcPr>
          <w:p w14:paraId="4E79416E" w14:textId="2D39DEAB"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(1,147.2)</w:t>
            </w:r>
          </w:p>
        </w:tc>
      </w:tr>
      <w:tr w:rsidR="00A84119" w:rsidRPr="00895810" w14:paraId="17DC2980" w14:textId="77777777" w:rsidTr="00024B10">
        <w:trPr>
          <w:gridAfter w:val="1"/>
          <w:wAfter w:w="170" w:type="dxa"/>
          <w:trHeight w:hRule="exact" w:val="249"/>
        </w:trPr>
        <w:tc>
          <w:tcPr>
            <w:tcW w:w="3118" w:type="dxa"/>
            <w:gridSpan w:val="2"/>
            <w:tcBorders>
              <w:top w:val="single" w:sz="2" w:space="0" w:color="3D7FE0" w:themeColor="accent1"/>
              <w:bottom w:val="single" w:sz="4" w:space="0" w:color="3D7FE0" w:themeColor="accent1"/>
            </w:tcBorders>
            <w:tcMar>
              <w:left w:w="0" w:type="dxa"/>
              <w:right w:w="0" w:type="dxa"/>
            </w:tcMar>
            <w:vAlign w:val="bottom"/>
          </w:tcPr>
          <w:p w14:paraId="4DF3C27B" w14:textId="77777777"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sidRPr="00895810">
              <w:rPr>
                <w:rFonts w:ascii="IBM Plex Sans Light" w:hAnsi="IBM Plex Sans Light"/>
                <w:color w:val="3D7FE0" w:themeColor="accent1"/>
                <w:sz w:val="18"/>
                <w:szCs w:val="18"/>
              </w:rPr>
              <w:t>Net assets</w:t>
            </w:r>
          </w:p>
        </w:tc>
        <w:tc>
          <w:tcPr>
            <w:tcW w:w="283" w:type="dxa"/>
            <w:gridSpan w:val="2"/>
            <w:tcBorders>
              <w:top w:val="single" w:sz="2" w:space="0" w:color="3D7FE0" w:themeColor="accent1"/>
              <w:bottom w:val="single" w:sz="4" w:space="0" w:color="3D7FE0" w:themeColor="accent1"/>
            </w:tcBorders>
            <w:vAlign w:val="bottom"/>
          </w:tcPr>
          <w:p w14:paraId="76E991DC" w14:textId="0D2B3743"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top w:val="single" w:sz="2" w:space="0" w:color="3D7FE0" w:themeColor="accent1"/>
              <w:bottom w:val="single" w:sz="4" w:space="0" w:color="3D7FE0" w:themeColor="accent1"/>
            </w:tcBorders>
          </w:tcPr>
          <w:p w14:paraId="798D977C"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4" w:space="0" w:color="3D7FE0" w:themeColor="accent1"/>
            </w:tcBorders>
            <w:tcMar>
              <w:left w:w="0" w:type="dxa"/>
              <w:right w:w="0" w:type="dxa"/>
            </w:tcMar>
            <w:vAlign w:val="bottom"/>
          </w:tcPr>
          <w:p w14:paraId="47F965E9"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4" w:space="0" w:color="3D7FE0" w:themeColor="accent1"/>
            </w:tcBorders>
          </w:tcPr>
          <w:p w14:paraId="45C76AD8" w14:textId="5E544BDA"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2,433.4</w:t>
            </w:r>
          </w:p>
        </w:tc>
        <w:tc>
          <w:tcPr>
            <w:tcW w:w="1132" w:type="dxa"/>
            <w:tcBorders>
              <w:top w:val="single" w:sz="2" w:space="0" w:color="3D7FE0" w:themeColor="accent1"/>
              <w:bottom w:val="single" w:sz="4" w:space="0" w:color="3D7FE0" w:themeColor="accent1"/>
            </w:tcBorders>
          </w:tcPr>
          <w:p w14:paraId="0E5ABA16" w14:textId="62EEC4C8"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902.6</w:t>
            </w:r>
          </w:p>
        </w:tc>
        <w:tc>
          <w:tcPr>
            <w:tcW w:w="814" w:type="dxa"/>
            <w:gridSpan w:val="2"/>
            <w:tcBorders>
              <w:top w:val="single" w:sz="2" w:space="0" w:color="3D7FE0" w:themeColor="accent1"/>
              <w:bottom w:val="single" w:sz="4" w:space="0" w:color="3D7FE0" w:themeColor="accent1"/>
            </w:tcBorders>
            <w:tcMar>
              <w:left w:w="0" w:type="dxa"/>
              <w:right w:w="0" w:type="dxa"/>
            </w:tcMar>
          </w:tcPr>
          <w:p w14:paraId="49A19AC2" w14:textId="09888849"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2,621.2</w:t>
            </w:r>
          </w:p>
        </w:tc>
        <w:tc>
          <w:tcPr>
            <w:tcW w:w="815" w:type="dxa"/>
            <w:tcBorders>
              <w:top w:val="single" w:sz="2" w:space="0" w:color="3D7FE0" w:themeColor="accent1"/>
              <w:bottom w:val="single" w:sz="4" w:space="0" w:color="3D7FE0" w:themeColor="accent1"/>
            </w:tcBorders>
            <w:tcMar>
              <w:left w:w="0" w:type="dxa"/>
              <w:right w:w="0" w:type="dxa"/>
            </w:tcMar>
          </w:tcPr>
          <w:p w14:paraId="38B8A689" w14:textId="38422888"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430.7</w:t>
            </w:r>
          </w:p>
        </w:tc>
        <w:tc>
          <w:tcPr>
            <w:tcW w:w="815" w:type="dxa"/>
            <w:tcBorders>
              <w:top w:val="single" w:sz="2" w:space="0" w:color="3D7FE0" w:themeColor="accent1"/>
              <w:bottom w:val="single" w:sz="4" w:space="0" w:color="3D7FE0" w:themeColor="accent1"/>
            </w:tcBorders>
          </w:tcPr>
          <w:p w14:paraId="1ED9AC17" w14:textId="3D113FD7"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3,051.9</w:t>
            </w:r>
          </w:p>
        </w:tc>
        <w:tc>
          <w:tcPr>
            <w:tcW w:w="815" w:type="dxa"/>
            <w:tcBorders>
              <w:top w:val="single" w:sz="2" w:space="0" w:color="3D7FE0" w:themeColor="accent1"/>
              <w:bottom w:val="single" w:sz="4" w:space="0" w:color="3D7FE0" w:themeColor="accent1"/>
            </w:tcBorders>
            <w:tcMar>
              <w:left w:w="0" w:type="dxa"/>
              <w:right w:w="0" w:type="dxa"/>
            </w:tcMar>
          </w:tcPr>
          <w:p w14:paraId="1FABAB6D" w14:textId="58E787D0"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1,091.2</w:t>
            </w:r>
          </w:p>
        </w:tc>
      </w:tr>
      <w:tr w:rsidR="00A84119" w:rsidRPr="00895810" w14:paraId="345E284F" w14:textId="77777777" w:rsidTr="00024B10">
        <w:trPr>
          <w:gridAfter w:val="1"/>
          <w:wAfter w:w="170" w:type="dxa"/>
          <w:trHeight w:hRule="exact" w:val="249"/>
        </w:trPr>
        <w:tc>
          <w:tcPr>
            <w:tcW w:w="3118" w:type="dxa"/>
            <w:gridSpan w:val="2"/>
            <w:tcBorders>
              <w:top w:val="single" w:sz="4" w:space="0" w:color="3D7FE0" w:themeColor="accent1"/>
            </w:tcBorders>
            <w:tcMar>
              <w:left w:w="0" w:type="dxa"/>
              <w:right w:w="0" w:type="dxa"/>
            </w:tcMar>
            <w:vAlign w:val="bottom"/>
          </w:tcPr>
          <w:p w14:paraId="1B32506B" w14:textId="03517A13" w:rsidR="00A84119" w:rsidRPr="00895810" w:rsidRDefault="00A84119" w:rsidP="00024B10">
            <w:pPr>
              <w:pStyle w:val="Tabletext"/>
              <w:tabs>
                <w:tab w:val="left" w:pos="284"/>
              </w:tabs>
              <w:rPr>
                <w:rFonts w:ascii="IBM Plex Sans Light" w:hAnsi="IBM Plex Sans Light"/>
                <w:b/>
                <w:color w:val="3D7FE0" w:themeColor="accent1"/>
                <w:spacing w:val="-4"/>
                <w:sz w:val="18"/>
                <w:szCs w:val="18"/>
              </w:rPr>
            </w:pPr>
            <w:r>
              <w:rPr>
                <w:rFonts w:ascii="IBM Plex Sans Light" w:hAnsi="IBM Plex Sans Light"/>
                <w:sz w:val="18"/>
                <w:szCs w:val="18"/>
              </w:rPr>
              <w:t xml:space="preserve">Reverse </w:t>
            </w:r>
            <w:r w:rsidRPr="00895810">
              <w:rPr>
                <w:rFonts w:ascii="IBM Plex Sans Light" w:hAnsi="IBM Plex Sans Light"/>
                <w:sz w:val="18"/>
                <w:szCs w:val="18"/>
              </w:rPr>
              <w:t>participative loans</w:t>
            </w:r>
          </w:p>
        </w:tc>
        <w:tc>
          <w:tcPr>
            <w:tcW w:w="283" w:type="dxa"/>
            <w:gridSpan w:val="2"/>
            <w:tcBorders>
              <w:top w:val="single" w:sz="4" w:space="0" w:color="3D7FE0" w:themeColor="accent1"/>
            </w:tcBorders>
            <w:vAlign w:val="bottom"/>
          </w:tcPr>
          <w:p w14:paraId="58DD13F9" w14:textId="3515AA48" w:rsidR="00A84119" w:rsidRPr="00895810" w:rsidRDefault="00A84119" w:rsidP="00A84119">
            <w:pPr>
              <w:pStyle w:val="Tabletext"/>
              <w:rPr>
                <w:rFonts w:ascii="IBM Plex Sans Light" w:hAnsi="IBM Plex Sans Light"/>
                <w:b/>
                <w:color w:val="3D7FE0" w:themeColor="accent1"/>
                <w:spacing w:val="-4"/>
                <w:sz w:val="18"/>
                <w:szCs w:val="18"/>
              </w:rPr>
            </w:pPr>
          </w:p>
        </w:tc>
        <w:tc>
          <w:tcPr>
            <w:tcW w:w="814" w:type="dxa"/>
            <w:gridSpan w:val="2"/>
            <w:tcBorders>
              <w:top w:val="single" w:sz="4" w:space="0" w:color="3D7FE0" w:themeColor="accent1"/>
            </w:tcBorders>
          </w:tcPr>
          <w:p w14:paraId="34540E13"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4" w:space="0" w:color="3D7FE0" w:themeColor="accent1"/>
            </w:tcBorders>
            <w:tcMar>
              <w:left w:w="0" w:type="dxa"/>
              <w:right w:w="0" w:type="dxa"/>
            </w:tcMar>
            <w:vAlign w:val="bottom"/>
          </w:tcPr>
          <w:p w14:paraId="17ACC7D8"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4" w:space="0" w:color="3D7FE0" w:themeColor="accent1"/>
            </w:tcBorders>
          </w:tcPr>
          <w:p w14:paraId="5A7B743F" w14:textId="7D001DA5"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398.5</w:t>
            </w:r>
          </w:p>
        </w:tc>
        <w:tc>
          <w:tcPr>
            <w:tcW w:w="1132" w:type="dxa"/>
            <w:tcBorders>
              <w:top w:val="single" w:sz="4" w:space="0" w:color="3D7FE0" w:themeColor="accent1"/>
            </w:tcBorders>
          </w:tcPr>
          <w:p w14:paraId="4D27795D" w14:textId="087E3FDA"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212.4</w:t>
            </w:r>
          </w:p>
        </w:tc>
        <w:tc>
          <w:tcPr>
            <w:tcW w:w="814" w:type="dxa"/>
            <w:gridSpan w:val="2"/>
            <w:tcBorders>
              <w:top w:val="single" w:sz="4" w:space="0" w:color="3D7FE0" w:themeColor="accent1"/>
            </w:tcBorders>
            <w:tcMar>
              <w:left w:w="0" w:type="dxa"/>
              <w:right w:w="0" w:type="dxa"/>
            </w:tcMar>
          </w:tcPr>
          <w:p w14:paraId="7E67D4E0" w14:textId="772C9E05"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387.1</w:t>
            </w:r>
          </w:p>
        </w:tc>
        <w:tc>
          <w:tcPr>
            <w:tcW w:w="815" w:type="dxa"/>
            <w:tcBorders>
              <w:top w:val="single" w:sz="4" w:space="0" w:color="3D7FE0" w:themeColor="accent1"/>
            </w:tcBorders>
            <w:tcMar>
              <w:left w:w="0" w:type="dxa"/>
              <w:right w:w="0" w:type="dxa"/>
            </w:tcMar>
          </w:tcPr>
          <w:p w14:paraId="76163219" w14:textId="5CADB169" w:rsidR="00A84119" w:rsidRPr="00024B10" w:rsidRDefault="00A84119" w:rsidP="00A84119">
            <w:pPr>
              <w:pStyle w:val="TableFiguresBrackets"/>
              <w:tabs>
                <w:tab w:val="decimal" w:pos="609"/>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w:t>
            </w:r>
          </w:p>
        </w:tc>
        <w:tc>
          <w:tcPr>
            <w:tcW w:w="815" w:type="dxa"/>
            <w:tcBorders>
              <w:top w:val="single" w:sz="4" w:space="0" w:color="3D7FE0" w:themeColor="accent1"/>
            </w:tcBorders>
          </w:tcPr>
          <w:p w14:paraId="4C8CE0E4" w14:textId="41B70F9B"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387.1</w:t>
            </w:r>
          </w:p>
        </w:tc>
        <w:tc>
          <w:tcPr>
            <w:tcW w:w="815" w:type="dxa"/>
            <w:tcBorders>
              <w:top w:val="single" w:sz="4" w:space="0" w:color="3D7FE0" w:themeColor="accent1"/>
            </w:tcBorders>
            <w:tcMar>
              <w:left w:w="0" w:type="dxa"/>
              <w:right w:w="0" w:type="dxa"/>
            </w:tcMar>
          </w:tcPr>
          <w:p w14:paraId="539C75C0" w14:textId="43BC99EA"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205.9</w:t>
            </w:r>
          </w:p>
        </w:tc>
      </w:tr>
      <w:tr w:rsidR="00A84119" w:rsidRPr="00895810" w14:paraId="23BD14BA" w14:textId="77777777" w:rsidTr="00024B10">
        <w:trPr>
          <w:gridAfter w:val="1"/>
          <w:wAfter w:w="170" w:type="dxa"/>
          <w:trHeight w:hRule="exact" w:val="249"/>
        </w:trPr>
        <w:tc>
          <w:tcPr>
            <w:tcW w:w="3118" w:type="dxa"/>
            <w:gridSpan w:val="2"/>
            <w:tcBorders>
              <w:top w:val="single" w:sz="2" w:space="0" w:color="3D7FE0" w:themeColor="accent1"/>
              <w:bottom w:val="single" w:sz="8" w:space="0" w:color="3D7FE0" w:themeColor="accent1"/>
            </w:tcBorders>
            <w:tcMar>
              <w:left w:w="0" w:type="dxa"/>
              <w:right w:w="0" w:type="dxa"/>
            </w:tcMar>
            <w:vAlign w:val="bottom"/>
          </w:tcPr>
          <w:p w14:paraId="674B9BA4" w14:textId="3016CBB7" w:rsidR="00A84119" w:rsidRPr="00895810" w:rsidRDefault="00A84119" w:rsidP="00024B10">
            <w:pPr>
              <w:pStyle w:val="TabletextBold"/>
              <w:tabs>
                <w:tab w:val="left" w:pos="284"/>
              </w:tabs>
              <w:rPr>
                <w:rFonts w:ascii="IBM Plex Sans Light" w:hAnsi="IBM Plex Sans Light"/>
                <w:bCs/>
                <w:color w:val="3D7FE0" w:themeColor="accent1"/>
                <w:sz w:val="18"/>
                <w:szCs w:val="18"/>
              </w:rPr>
            </w:pPr>
          </w:p>
        </w:tc>
        <w:tc>
          <w:tcPr>
            <w:tcW w:w="283" w:type="dxa"/>
            <w:gridSpan w:val="2"/>
            <w:tcBorders>
              <w:top w:val="single" w:sz="2" w:space="0" w:color="3D7FE0" w:themeColor="accent1"/>
              <w:bottom w:val="single" w:sz="8" w:space="0" w:color="3D7FE0" w:themeColor="accent1"/>
            </w:tcBorders>
            <w:vAlign w:val="bottom"/>
          </w:tcPr>
          <w:p w14:paraId="7BC7C214" w14:textId="37AF9DF5" w:rsidR="00A84119" w:rsidRPr="00895810" w:rsidRDefault="00A84119" w:rsidP="00A84119">
            <w:pPr>
              <w:pStyle w:val="TabletextBold"/>
              <w:rPr>
                <w:rFonts w:ascii="IBM Plex Sans Light" w:hAnsi="IBM Plex Sans Light"/>
                <w:bCs/>
                <w:color w:val="3D7FE0" w:themeColor="accent1"/>
                <w:sz w:val="18"/>
                <w:szCs w:val="18"/>
              </w:rPr>
            </w:pPr>
          </w:p>
        </w:tc>
        <w:tc>
          <w:tcPr>
            <w:tcW w:w="814" w:type="dxa"/>
            <w:gridSpan w:val="2"/>
            <w:tcBorders>
              <w:top w:val="single" w:sz="2" w:space="0" w:color="3D7FE0" w:themeColor="accent1"/>
              <w:bottom w:val="single" w:sz="8" w:space="0" w:color="3D7FE0" w:themeColor="accent1"/>
            </w:tcBorders>
          </w:tcPr>
          <w:p w14:paraId="396D683C" w14:textId="77777777" w:rsidR="00A84119" w:rsidRPr="00895810" w:rsidRDefault="00A84119" w:rsidP="00A84119">
            <w:pPr>
              <w:pStyle w:val="TableFiguresBrackets"/>
              <w:tabs>
                <w:tab w:val="decimal" w:pos="318"/>
              </w:tabs>
              <w:ind w:right="-107"/>
              <w:jc w:val="left"/>
              <w:rPr>
                <w:rFonts w:ascii="IBM Plex Sans Light" w:hAnsi="IBM Plex Sans Light"/>
                <w:b/>
                <w:bCs/>
                <w:color w:val="3D7FE0" w:themeColor="accent1"/>
                <w:spacing w:val="-4"/>
                <w:sz w:val="18"/>
                <w:szCs w:val="18"/>
              </w:rPr>
            </w:pPr>
          </w:p>
        </w:tc>
        <w:tc>
          <w:tcPr>
            <w:tcW w:w="236" w:type="dxa"/>
            <w:tcBorders>
              <w:top w:val="single" w:sz="2" w:space="0" w:color="3D7FE0" w:themeColor="accent1"/>
              <w:bottom w:val="single" w:sz="8" w:space="0" w:color="3D7FE0" w:themeColor="accent1"/>
            </w:tcBorders>
            <w:tcMar>
              <w:left w:w="0" w:type="dxa"/>
              <w:right w:w="0" w:type="dxa"/>
            </w:tcMar>
            <w:vAlign w:val="bottom"/>
          </w:tcPr>
          <w:p w14:paraId="3544A016" w14:textId="77777777" w:rsidR="00A84119" w:rsidRPr="00895810" w:rsidRDefault="00A84119" w:rsidP="00A84119">
            <w:pPr>
              <w:pStyle w:val="TableFiguresBrackets"/>
              <w:tabs>
                <w:tab w:val="decimal" w:pos="425"/>
              </w:tabs>
              <w:ind w:right="-107"/>
              <w:jc w:val="left"/>
              <w:rPr>
                <w:rFonts w:ascii="IBM Plex Sans Light" w:hAnsi="IBM Plex Sans Light"/>
                <w:b/>
                <w:bCs/>
                <w:color w:val="3D7FE0" w:themeColor="accent1"/>
                <w:spacing w:val="-4"/>
                <w:sz w:val="18"/>
                <w:szCs w:val="18"/>
              </w:rPr>
            </w:pPr>
          </w:p>
        </w:tc>
        <w:tc>
          <w:tcPr>
            <w:tcW w:w="1078" w:type="dxa"/>
            <w:tcBorders>
              <w:top w:val="single" w:sz="2" w:space="0" w:color="3D7FE0" w:themeColor="accent1"/>
              <w:bottom w:val="single" w:sz="8" w:space="0" w:color="3D7FE0" w:themeColor="accent1"/>
            </w:tcBorders>
          </w:tcPr>
          <w:p w14:paraId="24BE411D" w14:textId="6E6439E0"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2,831.9</w:t>
            </w:r>
          </w:p>
        </w:tc>
        <w:tc>
          <w:tcPr>
            <w:tcW w:w="1132" w:type="dxa"/>
            <w:tcBorders>
              <w:top w:val="single" w:sz="2" w:space="0" w:color="3D7FE0" w:themeColor="accent1"/>
              <w:bottom w:val="single" w:sz="8" w:space="0" w:color="3D7FE0" w:themeColor="accent1"/>
            </w:tcBorders>
          </w:tcPr>
          <w:p w14:paraId="31D4B633" w14:textId="160D429C" w:rsidR="00A84119" w:rsidRPr="00024B10" w:rsidRDefault="00A84119" w:rsidP="00A84119">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1,115.0</w:t>
            </w:r>
          </w:p>
        </w:tc>
        <w:tc>
          <w:tcPr>
            <w:tcW w:w="814" w:type="dxa"/>
            <w:gridSpan w:val="2"/>
            <w:tcBorders>
              <w:top w:val="single" w:sz="2" w:space="0" w:color="3D7FE0" w:themeColor="accent1"/>
              <w:bottom w:val="single" w:sz="8" w:space="0" w:color="3D7FE0" w:themeColor="accent1"/>
            </w:tcBorders>
            <w:tcMar>
              <w:left w:w="0" w:type="dxa"/>
              <w:right w:w="0" w:type="dxa"/>
            </w:tcMar>
          </w:tcPr>
          <w:p w14:paraId="485E9300" w14:textId="2AD35F95"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3,008.3</w:t>
            </w:r>
          </w:p>
        </w:tc>
        <w:tc>
          <w:tcPr>
            <w:tcW w:w="815" w:type="dxa"/>
            <w:tcBorders>
              <w:top w:val="single" w:sz="2" w:space="0" w:color="3D7FE0" w:themeColor="accent1"/>
              <w:bottom w:val="single" w:sz="8" w:space="0" w:color="3D7FE0" w:themeColor="accent1"/>
            </w:tcBorders>
            <w:tcMar>
              <w:left w:w="0" w:type="dxa"/>
              <w:right w:w="0" w:type="dxa"/>
            </w:tcMar>
          </w:tcPr>
          <w:p w14:paraId="294F0459" w14:textId="3DF6894F"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430.7</w:t>
            </w:r>
          </w:p>
        </w:tc>
        <w:tc>
          <w:tcPr>
            <w:tcW w:w="815" w:type="dxa"/>
            <w:tcBorders>
              <w:top w:val="single" w:sz="2" w:space="0" w:color="3D7FE0" w:themeColor="accent1"/>
              <w:bottom w:val="single" w:sz="8" w:space="0" w:color="3D7FE0" w:themeColor="accent1"/>
            </w:tcBorders>
          </w:tcPr>
          <w:p w14:paraId="57669017" w14:textId="7DA2644B" w:rsidR="00A84119" w:rsidRPr="00024B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3,439.0</w:t>
            </w:r>
          </w:p>
        </w:tc>
        <w:tc>
          <w:tcPr>
            <w:tcW w:w="815" w:type="dxa"/>
            <w:tcBorders>
              <w:top w:val="single" w:sz="2" w:space="0" w:color="3D7FE0" w:themeColor="accent1"/>
              <w:bottom w:val="single" w:sz="8" w:space="0" w:color="3D7FE0" w:themeColor="accent1"/>
            </w:tcBorders>
            <w:tcMar>
              <w:left w:w="0" w:type="dxa"/>
              <w:right w:w="0" w:type="dxa"/>
            </w:tcMar>
          </w:tcPr>
          <w:p w14:paraId="14B2A052" w14:textId="2FAAE1F9" w:rsidR="00A84119" w:rsidRPr="00024B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024B10">
              <w:rPr>
                <w:rFonts w:ascii="IBM Plex Sans Light" w:hAnsi="IBM Plex Sans Light"/>
                <w:color w:val="auto"/>
                <w:spacing w:val="-4"/>
                <w:sz w:val="18"/>
                <w:szCs w:val="18"/>
              </w:rPr>
              <w:t>1,297.1</w:t>
            </w:r>
          </w:p>
        </w:tc>
      </w:tr>
    </w:tbl>
    <w:p w14:paraId="2B9DF78F" w14:textId="77777777" w:rsidR="00EE3F71" w:rsidRPr="00895810" w:rsidRDefault="00EE3F71" w:rsidP="00D91739">
      <w:pPr>
        <w:pStyle w:val="Footnotes"/>
        <w:spacing w:before="0" w:after="0" w:line="240" w:lineRule="auto"/>
        <w:ind w:left="0" w:firstLine="0"/>
        <w:rPr>
          <w:rFonts w:ascii="IBM Plex Sans Light" w:hAnsi="IBM Plex Sans Light"/>
          <w:sz w:val="18"/>
          <w:szCs w:val="24"/>
        </w:rPr>
      </w:pPr>
    </w:p>
    <w:p w14:paraId="3781D790" w14:textId="15B8F214" w:rsidR="00CD4ABD" w:rsidRPr="00895810" w:rsidRDefault="00D774F9" w:rsidP="00D91739">
      <w:pPr>
        <w:pStyle w:val="Heading2SpaceBefore"/>
        <w:spacing w:before="0" w:line="240" w:lineRule="auto"/>
        <w:rPr>
          <w:rFonts w:ascii="IBM Plex Sans Light" w:hAnsi="IBM Plex Sans Light"/>
          <w:color w:val="3D7FE0" w:themeColor="accent1"/>
        </w:rPr>
      </w:pPr>
      <w:r>
        <w:rPr>
          <w:rFonts w:ascii="IBM Plex Sans Light" w:hAnsi="IBM Plex Sans Light"/>
          <w:color w:val="3D7FE0" w:themeColor="accent1"/>
        </w:rPr>
        <w:t>D</w:t>
      </w:r>
      <w:r w:rsidR="00CD4ABD" w:rsidRPr="00895810">
        <w:rPr>
          <w:rFonts w:ascii="IBM Plex Sans Light" w:hAnsi="IBM Plex Sans Light"/>
          <w:color w:val="3D7FE0" w:themeColor="accent1"/>
        </w:rPr>
        <w:t xml:space="preserve">. </w:t>
      </w:r>
      <w:r w:rsidR="005F6D26" w:rsidRPr="00895810">
        <w:rPr>
          <w:rFonts w:ascii="IBM Plex Sans Light" w:hAnsi="IBM Plex Sans Light"/>
          <w:color w:val="3D7FE0" w:themeColor="accent1"/>
        </w:rPr>
        <w:t>RECONCILIATION OF MOVEMENTS IN INVESTMENT IN ASSOCIATES</w:t>
      </w:r>
    </w:p>
    <w:tbl>
      <w:tblPr>
        <w:tblW w:w="9923" w:type="dxa"/>
        <w:tblLayout w:type="fixed"/>
        <w:tblLook w:val="01E0" w:firstRow="1" w:lastRow="1" w:firstColumn="1" w:lastColumn="1" w:noHBand="0" w:noVBand="0"/>
      </w:tblPr>
      <w:tblGrid>
        <w:gridCol w:w="4253"/>
        <w:gridCol w:w="283"/>
        <w:gridCol w:w="993"/>
        <w:gridCol w:w="992"/>
        <w:gridCol w:w="850"/>
        <w:gridCol w:w="236"/>
        <w:gridCol w:w="813"/>
        <w:gridCol w:w="709"/>
        <w:gridCol w:w="794"/>
      </w:tblGrid>
      <w:tr w:rsidR="00CF0792" w:rsidRPr="00895810" w14:paraId="16C37FF4" w14:textId="77777777" w:rsidTr="00024B10">
        <w:trPr>
          <w:trHeight w:hRule="exact" w:val="142"/>
        </w:trPr>
        <w:tc>
          <w:tcPr>
            <w:tcW w:w="4253" w:type="dxa"/>
            <w:tcBorders>
              <w:bottom w:val="single" w:sz="2" w:space="0" w:color="3D7FE0" w:themeColor="accent1"/>
            </w:tcBorders>
            <w:tcMar>
              <w:left w:w="0" w:type="dxa"/>
              <w:bottom w:w="57" w:type="dxa"/>
              <w:right w:w="0" w:type="dxa"/>
            </w:tcMar>
          </w:tcPr>
          <w:p w14:paraId="7038431C" w14:textId="77777777" w:rsidR="00CF0792" w:rsidRPr="00895810" w:rsidRDefault="00CF0792" w:rsidP="00352787">
            <w:pPr>
              <w:pStyle w:val="TableColHeadsBold"/>
              <w:jc w:val="left"/>
              <w:rPr>
                <w:rFonts w:ascii="IBM Plex Sans Light" w:hAnsi="IBM Plex Sans Light"/>
                <w:color w:val="3D7FE0" w:themeColor="accent1"/>
              </w:rPr>
            </w:pPr>
          </w:p>
        </w:tc>
        <w:tc>
          <w:tcPr>
            <w:tcW w:w="3118" w:type="dxa"/>
            <w:gridSpan w:val="4"/>
            <w:tcBorders>
              <w:bottom w:val="single" w:sz="2" w:space="0" w:color="3D7FE0" w:themeColor="accent1"/>
            </w:tcBorders>
          </w:tcPr>
          <w:p w14:paraId="39738627" w14:textId="17940D9F" w:rsidR="00CF0792" w:rsidRPr="00895810" w:rsidRDefault="00785AC2" w:rsidP="00024B10">
            <w:pPr>
              <w:pStyle w:val="TableColHeadsBold"/>
              <w:ind w:right="0"/>
              <w:rPr>
                <w:rFonts w:ascii="IBM Plex Sans Light" w:hAnsi="IBM Plex Sans Light"/>
                <w:b w:val="0"/>
              </w:rPr>
            </w:pPr>
            <w:r>
              <w:rPr>
                <w:rFonts w:ascii="IBM Plex Sans Light" w:hAnsi="IBM Plex Sans Light"/>
                <w:color w:val="3D7FE0" w:themeColor="accent1"/>
              </w:rPr>
              <w:t>2023</w:t>
            </w:r>
          </w:p>
        </w:tc>
        <w:tc>
          <w:tcPr>
            <w:tcW w:w="2552" w:type="dxa"/>
            <w:gridSpan w:val="4"/>
            <w:tcBorders>
              <w:bottom w:val="single" w:sz="2" w:space="0" w:color="3D7FE0" w:themeColor="accent1"/>
            </w:tcBorders>
          </w:tcPr>
          <w:p w14:paraId="1FEE5F1C" w14:textId="086CC5B3" w:rsidR="00CF0792" w:rsidRPr="00895810" w:rsidRDefault="006E7EB0" w:rsidP="00024B10">
            <w:pPr>
              <w:pStyle w:val="TableColHeadsBold"/>
              <w:ind w:right="0"/>
              <w:rPr>
                <w:rFonts w:ascii="IBM Plex Sans Light" w:hAnsi="IBM Plex Sans Light"/>
                <w:b w:val="0"/>
              </w:rPr>
            </w:pPr>
            <w:r>
              <w:rPr>
                <w:rFonts w:ascii="IBM Plex Sans Light" w:hAnsi="IBM Plex Sans Light"/>
                <w:b w:val="0"/>
              </w:rPr>
              <w:t>2022</w:t>
            </w:r>
          </w:p>
        </w:tc>
      </w:tr>
      <w:tr w:rsidR="00B8162D" w:rsidRPr="00895810" w14:paraId="3A65705B" w14:textId="77777777" w:rsidTr="00024B10">
        <w:trPr>
          <w:trHeight w:val="249"/>
        </w:trPr>
        <w:tc>
          <w:tcPr>
            <w:tcW w:w="4253" w:type="dxa"/>
            <w:tcBorders>
              <w:top w:val="single" w:sz="2" w:space="0" w:color="3D7FE0" w:themeColor="accent1"/>
            </w:tcBorders>
            <w:tcMar>
              <w:left w:w="0" w:type="dxa"/>
              <w:right w:w="0" w:type="dxa"/>
            </w:tcMar>
            <w:vAlign w:val="bottom"/>
          </w:tcPr>
          <w:p w14:paraId="651071C1" w14:textId="77777777" w:rsidR="00B8162D" w:rsidRPr="00895810" w:rsidRDefault="00B8162D" w:rsidP="00B8162D">
            <w:pPr>
              <w:pStyle w:val="TableColHeadsBold"/>
              <w:rPr>
                <w:rFonts w:ascii="IBM Plex Sans Light" w:hAnsi="IBM Plex Sans Light"/>
                <w:color w:val="3D7FE0" w:themeColor="accent1"/>
              </w:rPr>
            </w:pPr>
          </w:p>
        </w:tc>
        <w:tc>
          <w:tcPr>
            <w:tcW w:w="283" w:type="dxa"/>
            <w:tcBorders>
              <w:top w:val="single" w:sz="2" w:space="0" w:color="3D7FE0" w:themeColor="accent1"/>
            </w:tcBorders>
            <w:vAlign w:val="bottom"/>
          </w:tcPr>
          <w:p w14:paraId="40A27170" w14:textId="2AAEAF41" w:rsidR="00B8162D" w:rsidRPr="00895810" w:rsidRDefault="00B8162D" w:rsidP="00B8162D">
            <w:pPr>
              <w:pStyle w:val="TableColHeadsBold"/>
              <w:tabs>
                <w:tab w:val="clear" w:pos="284"/>
              </w:tabs>
              <w:ind w:left="138" w:hanging="247"/>
              <w:rPr>
                <w:rFonts w:ascii="IBM Plex Sans Light" w:hAnsi="IBM Plex Sans Light"/>
                <w:color w:val="3D7FE0" w:themeColor="accent1"/>
              </w:rPr>
            </w:pPr>
          </w:p>
        </w:tc>
        <w:tc>
          <w:tcPr>
            <w:tcW w:w="993" w:type="dxa"/>
            <w:tcBorders>
              <w:top w:val="single" w:sz="2" w:space="0" w:color="3D7FE0" w:themeColor="accent1"/>
            </w:tcBorders>
            <w:vAlign w:val="bottom"/>
          </w:tcPr>
          <w:p w14:paraId="73F28979" w14:textId="77777777" w:rsidR="00B8162D" w:rsidRPr="00895810" w:rsidRDefault="00B8162D" w:rsidP="00B8162D">
            <w:pPr>
              <w:pStyle w:val="TableColHeadsBold"/>
              <w:ind w:left="-108" w:right="88"/>
              <w:rPr>
                <w:rFonts w:ascii="IBM Plex Sans Light" w:hAnsi="IBM Plex Sans Light"/>
                <w:color w:val="3D7FE0" w:themeColor="accent1"/>
              </w:rPr>
            </w:pPr>
            <w:r w:rsidRPr="00895810">
              <w:rPr>
                <w:rFonts w:ascii="IBM Plex Sans Light" w:hAnsi="IBM Plex Sans Light"/>
                <w:color w:val="3D7FE0" w:themeColor="accent1"/>
              </w:rPr>
              <w:t>Value</w:t>
            </w:r>
          </w:p>
          <w:p w14:paraId="42E8E935" w14:textId="1C1BDCCE" w:rsidR="00B8162D" w:rsidRPr="00895810" w:rsidRDefault="00B8162D" w:rsidP="00B8162D">
            <w:pPr>
              <w:pStyle w:val="TableColHeadsBold"/>
              <w:ind w:left="-108" w:right="88"/>
              <w:rPr>
                <w:rFonts w:ascii="IBM Plex Sans Light" w:hAnsi="IBM Plex Sans Light"/>
                <w:color w:val="3D7FE0" w:themeColor="accent1"/>
              </w:rPr>
            </w:pPr>
            <w:r w:rsidRPr="00895810">
              <w:rPr>
                <w:rFonts w:ascii="IBM Plex Sans Light" w:hAnsi="IBM Plex Sans Light"/>
                <w:color w:val="3D7FE0" w:themeColor="accent1"/>
              </w:rPr>
              <w:t xml:space="preserve"> Retail </w:t>
            </w:r>
          </w:p>
        </w:tc>
        <w:tc>
          <w:tcPr>
            <w:tcW w:w="992" w:type="dxa"/>
            <w:tcBorders>
              <w:top w:val="single" w:sz="2" w:space="0" w:color="3D7FE0" w:themeColor="accent1"/>
            </w:tcBorders>
            <w:tcMar>
              <w:left w:w="0" w:type="dxa"/>
              <w:right w:w="0" w:type="dxa"/>
            </w:tcMar>
            <w:vAlign w:val="bottom"/>
          </w:tcPr>
          <w:p w14:paraId="7C4765E6" w14:textId="794D096B" w:rsidR="00B8162D" w:rsidRPr="00895810" w:rsidRDefault="00B8162D" w:rsidP="00B8162D">
            <w:pPr>
              <w:pStyle w:val="TableColHeadsBold"/>
              <w:rPr>
                <w:rFonts w:ascii="IBM Plex Sans Light" w:hAnsi="IBM Plex Sans Light"/>
                <w:color w:val="3D7FE0" w:themeColor="accent1"/>
              </w:rPr>
            </w:pPr>
            <w:r w:rsidRPr="00895810">
              <w:rPr>
                <w:rFonts w:ascii="IBM Plex Sans Light" w:hAnsi="IBM Plex Sans Light"/>
                <w:color w:val="3D7FE0" w:themeColor="accent1"/>
              </w:rPr>
              <w:t>Italie</w:t>
            </w:r>
            <w:r w:rsidRPr="00895810">
              <w:rPr>
                <w:rFonts w:ascii="IBM Plex Sans Light" w:hAnsi="IBM Plex Sans Light"/>
                <w:color w:val="3D7FE0" w:themeColor="accent1"/>
              </w:rPr>
              <w:br/>
              <w:t>Deux</w:t>
            </w:r>
          </w:p>
        </w:tc>
        <w:tc>
          <w:tcPr>
            <w:tcW w:w="850" w:type="dxa"/>
            <w:tcBorders>
              <w:top w:val="single" w:sz="2" w:space="0" w:color="3D7FE0" w:themeColor="accent1"/>
            </w:tcBorders>
            <w:tcMar>
              <w:left w:w="0" w:type="dxa"/>
              <w:right w:w="0" w:type="dxa"/>
            </w:tcMar>
            <w:vAlign w:val="bottom"/>
          </w:tcPr>
          <w:p w14:paraId="5A1D2BFA" w14:textId="77777777" w:rsidR="00B8162D" w:rsidRPr="00895810" w:rsidRDefault="00B8162D" w:rsidP="00B8162D">
            <w:pPr>
              <w:pStyle w:val="TableColHeadsBold"/>
              <w:rPr>
                <w:rFonts w:ascii="IBM Plex Sans Light" w:hAnsi="IBM Plex Sans Light"/>
                <w:b w:val="0"/>
              </w:rPr>
            </w:pPr>
            <w:r w:rsidRPr="00895810">
              <w:rPr>
                <w:rFonts w:ascii="IBM Plex Sans Light" w:hAnsi="IBM Plex Sans Light"/>
                <w:color w:val="3D7FE0" w:themeColor="accent1"/>
              </w:rPr>
              <w:t>Total</w:t>
            </w:r>
          </w:p>
        </w:tc>
        <w:tc>
          <w:tcPr>
            <w:tcW w:w="236" w:type="dxa"/>
            <w:tcBorders>
              <w:top w:val="single" w:sz="2" w:space="0" w:color="3D7FE0" w:themeColor="accent1"/>
            </w:tcBorders>
            <w:vAlign w:val="bottom"/>
          </w:tcPr>
          <w:p w14:paraId="08B4D128" w14:textId="6625BA04" w:rsidR="00B8162D" w:rsidRPr="00895810" w:rsidRDefault="00B8162D" w:rsidP="00B8162D">
            <w:pPr>
              <w:pStyle w:val="TableColHeadsBold"/>
              <w:rPr>
                <w:rFonts w:ascii="IBM Plex Sans Light" w:hAnsi="IBM Plex Sans Light"/>
                <w:b w:val="0"/>
              </w:rPr>
            </w:pPr>
          </w:p>
        </w:tc>
        <w:tc>
          <w:tcPr>
            <w:tcW w:w="813" w:type="dxa"/>
            <w:tcBorders>
              <w:top w:val="single" w:sz="2" w:space="0" w:color="3D7FE0" w:themeColor="accent1"/>
            </w:tcBorders>
            <w:tcMar>
              <w:left w:w="0" w:type="dxa"/>
              <w:right w:w="0" w:type="dxa"/>
            </w:tcMar>
            <w:vAlign w:val="bottom"/>
          </w:tcPr>
          <w:p w14:paraId="2C2D06BD" w14:textId="74EF78DD" w:rsidR="00B8162D" w:rsidRPr="00895810" w:rsidRDefault="00B8162D" w:rsidP="00B8162D">
            <w:pPr>
              <w:pStyle w:val="TableColHeadsBold"/>
              <w:rPr>
                <w:rFonts w:ascii="IBM Plex Sans Light" w:hAnsi="IBM Plex Sans Light"/>
                <w:b w:val="0"/>
              </w:rPr>
            </w:pPr>
            <w:r w:rsidRPr="00895810">
              <w:rPr>
                <w:rFonts w:ascii="IBM Plex Sans Light" w:hAnsi="IBM Plex Sans Light"/>
                <w:b w:val="0"/>
              </w:rPr>
              <w:t xml:space="preserve">Value Retail </w:t>
            </w:r>
          </w:p>
        </w:tc>
        <w:tc>
          <w:tcPr>
            <w:tcW w:w="709" w:type="dxa"/>
            <w:tcBorders>
              <w:top w:val="single" w:sz="2" w:space="0" w:color="3D7FE0" w:themeColor="accent1"/>
            </w:tcBorders>
            <w:vAlign w:val="bottom"/>
          </w:tcPr>
          <w:p w14:paraId="5668503C" w14:textId="77777777" w:rsidR="00B8162D" w:rsidRPr="00895810" w:rsidRDefault="00B8162D" w:rsidP="00024B10">
            <w:pPr>
              <w:pStyle w:val="TableColHeadsBold"/>
              <w:tabs>
                <w:tab w:val="clear" w:pos="284"/>
              </w:tabs>
              <w:ind w:right="-52"/>
              <w:rPr>
                <w:rFonts w:ascii="IBM Plex Sans Light" w:hAnsi="IBM Plex Sans Light"/>
                <w:b w:val="0"/>
              </w:rPr>
            </w:pPr>
            <w:r w:rsidRPr="00895810">
              <w:rPr>
                <w:rFonts w:ascii="IBM Plex Sans Light" w:hAnsi="IBM Plex Sans Light"/>
                <w:b w:val="0"/>
              </w:rPr>
              <w:t>Italie Deux</w:t>
            </w:r>
          </w:p>
        </w:tc>
        <w:tc>
          <w:tcPr>
            <w:tcW w:w="794" w:type="dxa"/>
            <w:tcBorders>
              <w:top w:val="single" w:sz="2" w:space="0" w:color="3D7FE0" w:themeColor="accent1"/>
            </w:tcBorders>
            <w:tcMar>
              <w:left w:w="0" w:type="dxa"/>
              <w:right w:w="0" w:type="dxa"/>
            </w:tcMar>
            <w:vAlign w:val="bottom"/>
          </w:tcPr>
          <w:p w14:paraId="7ADAE3E3" w14:textId="77777777" w:rsidR="00B8162D" w:rsidRPr="00895810" w:rsidRDefault="00B8162D" w:rsidP="00B8162D">
            <w:pPr>
              <w:pStyle w:val="TableColHeadsBold"/>
              <w:rPr>
                <w:rFonts w:ascii="IBM Plex Sans Light" w:hAnsi="IBM Plex Sans Light"/>
                <w:b w:val="0"/>
              </w:rPr>
            </w:pPr>
            <w:r w:rsidRPr="00895810">
              <w:rPr>
                <w:rFonts w:ascii="IBM Plex Sans Light" w:hAnsi="IBM Plex Sans Light"/>
                <w:b w:val="0"/>
              </w:rPr>
              <w:t>Total</w:t>
            </w:r>
          </w:p>
        </w:tc>
      </w:tr>
      <w:tr w:rsidR="00B8162D" w:rsidRPr="00895810" w14:paraId="1CDD477F" w14:textId="77777777" w:rsidTr="00024B10">
        <w:trPr>
          <w:trHeight w:val="54"/>
        </w:trPr>
        <w:tc>
          <w:tcPr>
            <w:tcW w:w="4253" w:type="dxa"/>
            <w:tcBorders>
              <w:bottom w:val="single" w:sz="2" w:space="0" w:color="3D7FE0" w:themeColor="accent1"/>
            </w:tcBorders>
            <w:tcMar>
              <w:left w:w="0" w:type="dxa"/>
              <w:bottom w:w="28" w:type="dxa"/>
              <w:right w:w="0" w:type="dxa"/>
            </w:tcMar>
            <w:vAlign w:val="bottom"/>
          </w:tcPr>
          <w:p w14:paraId="60941452" w14:textId="77777777" w:rsidR="00B8162D" w:rsidRPr="00895810" w:rsidRDefault="00B8162D" w:rsidP="00B8162D">
            <w:pPr>
              <w:pStyle w:val="TableColHeadsBold"/>
              <w:rPr>
                <w:rFonts w:ascii="IBM Plex Sans Light" w:hAnsi="IBM Plex Sans Light"/>
                <w:color w:val="3D7FE0" w:themeColor="accent1"/>
              </w:rPr>
            </w:pPr>
          </w:p>
        </w:tc>
        <w:tc>
          <w:tcPr>
            <w:tcW w:w="283" w:type="dxa"/>
            <w:tcBorders>
              <w:bottom w:val="single" w:sz="2" w:space="0" w:color="3D7FE0" w:themeColor="accent1"/>
            </w:tcBorders>
            <w:vAlign w:val="bottom"/>
          </w:tcPr>
          <w:p w14:paraId="5780F8DC" w14:textId="0ECD9D7C" w:rsidR="00B8162D" w:rsidRPr="00895810" w:rsidRDefault="00B8162D" w:rsidP="00B8162D">
            <w:pPr>
              <w:pStyle w:val="TableColHeadsBold"/>
              <w:tabs>
                <w:tab w:val="clear" w:pos="284"/>
              </w:tabs>
              <w:ind w:left="138" w:right="-107" w:hanging="247"/>
              <w:jc w:val="center"/>
              <w:rPr>
                <w:rFonts w:ascii="IBM Plex Sans Light" w:hAnsi="IBM Plex Sans Light"/>
                <w:color w:val="3D7FE0" w:themeColor="accent1"/>
              </w:rPr>
            </w:pPr>
          </w:p>
        </w:tc>
        <w:tc>
          <w:tcPr>
            <w:tcW w:w="993" w:type="dxa"/>
            <w:tcBorders>
              <w:bottom w:val="single" w:sz="2" w:space="0" w:color="3D7FE0" w:themeColor="accent1"/>
            </w:tcBorders>
            <w:vAlign w:val="bottom"/>
          </w:tcPr>
          <w:p w14:paraId="2BDC6FA6" w14:textId="53B38F29" w:rsidR="00B8162D" w:rsidRPr="00895810" w:rsidRDefault="00B8162D" w:rsidP="00B8162D">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992" w:type="dxa"/>
            <w:tcBorders>
              <w:bottom w:val="single" w:sz="2" w:space="0" w:color="3D7FE0" w:themeColor="accent1"/>
            </w:tcBorders>
            <w:tcMar>
              <w:left w:w="0" w:type="dxa"/>
              <w:bottom w:w="28" w:type="dxa"/>
              <w:right w:w="0" w:type="dxa"/>
            </w:tcMar>
            <w:vAlign w:val="bottom"/>
          </w:tcPr>
          <w:p w14:paraId="42B3EF53" w14:textId="77777777" w:rsidR="00B8162D" w:rsidRPr="00895810" w:rsidRDefault="00B8162D" w:rsidP="00B8162D">
            <w:pPr>
              <w:pStyle w:val="TableColHeadsBold"/>
              <w:rPr>
                <w:rFonts w:ascii="IBM Plex Sans Light" w:hAnsi="IBM Plex Sans Light"/>
                <w:color w:val="3D7FE0" w:themeColor="accent1"/>
              </w:rPr>
            </w:pPr>
            <w:r w:rsidRPr="00895810">
              <w:rPr>
                <w:rFonts w:ascii="IBM Plex Sans Light" w:hAnsi="IBM Plex Sans Light"/>
                <w:color w:val="3D7FE0" w:themeColor="accent1"/>
              </w:rPr>
              <w:t>£m</w:t>
            </w:r>
          </w:p>
        </w:tc>
        <w:tc>
          <w:tcPr>
            <w:tcW w:w="850" w:type="dxa"/>
            <w:tcBorders>
              <w:bottom w:val="single" w:sz="2" w:space="0" w:color="3D7FE0" w:themeColor="accent1"/>
            </w:tcBorders>
            <w:tcMar>
              <w:left w:w="0" w:type="dxa"/>
              <w:bottom w:w="28" w:type="dxa"/>
              <w:right w:w="0" w:type="dxa"/>
            </w:tcMar>
            <w:vAlign w:val="bottom"/>
          </w:tcPr>
          <w:p w14:paraId="0BF10997" w14:textId="77777777" w:rsidR="00B8162D" w:rsidRPr="00895810" w:rsidRDefault="00B8162D" w:rsidP="00B8162D">
            <w:pPr>
              <w:pStyle w:val="TableColHeadsBold"/>
              <w:rPr>
                <w:rFonts w:ascii="IBM Plex Sans Light" w:hAnsi="IBM Plex Sans Light"/>
                <w:b w:val="0"/>
              </w:rPr>
            </w:pPr>
            <w:r w:rsidRPr="00895810">
              <w:rPr>
                <w:rFonts w:ascii="IBM Plex Sans Light" w:hAnsi="IBM Plex Sans Light"/>
                <w:color w:val="3D7FE0" w:themeColor="accent1"/>
              </w:rPr>
              <w:t xml:space="preserve">£m </w:t>
            </w:r>
          </w:p>
        </w:tc>
        <w:tc>
          <w:tcPr>
            <w:tcW w:w="236" w:type="dxa"/>
            <w:tcBorders>
              <w:bottom w:val="single" w:sz="2" w:space="0" w:color="3D7FE0" w:themeColor="accent1"/>
            </w:tcBorders>
            <w:vAlign w:val="bottom"/>
          </w:tcPr>
          <w:p w14:paraId="7ABC9F11" w14:textId="505E2A15" w:rsidR="00B8162D" w:rsidRPr="00895810" w:rsidRDefault="00B8162D" w:rsidP="00B8162D">
            <w:pPr>
              <w:pStyle w:val="TableColHeadsBold"/>
              <w:rPr>
                <w:rFonts w:ascii="IBM Plex Sans Light" w:hAnsi="IBM Plex Sans Light"/>
                <w:b w:val="0"/>
              </w:rPr>
            </w:pPr>
          </w:p>
        </w:tc>
        <w:tc>
          <w:tcPr>
            <w:tcW w:w="813" w:type="dxa"/>
            <w:tcBorders>
              <w:bottom w:val="single" w:sz="2" w:space="0" w:color="3D7FE0" w:themeColor="accent1"/>
            </w:tcBorders>
            <w:tcMar>
              <w:left w:w="0" w:type="dxa"/>
              <w:bottom w:w="28" w:type="dxa"/>
              <w:right w:w="0" w:type="dxa"/>
            </w:tcMar>
            <w:vAlign w:val="bottom"/>
          </w:tcPr>
          <w:p w14:paraId="39098F71" w14:textId="21FCA542" w:rsidR="00B8162D" w:rsidRPr="00895810" w:rsidRDefault="00B8162D" w:rsidP="00B8162D">
            <w:pPr>
              <w:pStyle w:val="TableColHeadsBold"/>
              <w:rPr>
                <w:rFonts w:ascii="IBM Plex Sans Light" w:hAnsi="IBM Plex Sans Light"/>
                <w:b w:val="0"/>
              </w:rPr>
            </w:pPr>
            <w:r w:rsidRPr="00895810">
              <w:rPr>
                <w:rFonts w:ascii="IBM Plex Sans Light" w:hAnsi="IBM Plex Sans Light"/>
                <w:b w:val="0"/>
              </w:rPr>
              <w:t xml:space="preserve">£m </w:t>
            </w:r>
          </w:p>
        </w:tc>
        <w:tc>
          <w:tcPr>
            <w:tcW w:w="709" w:type="dxa"/>
            <w:tcBorders>
              <w:bottom w:val="single" w:sz="2" w:space="0" w:color="3D7FE0" w:themeColor="accent1"/>
            </w:tcBorders>
            <w:vAlign w:val="bottom"/>
          </w:tcPr>
          <w:p w14:paraId="3ED0B49F" w14:textId="77777777" w:rsidR="00B8162D" w:rsidRPr="00895810" w:rsidRDefault="00B8162D" w:rsidP="00024B10">
            <w:pPr>
              <w:pStyle w:val="TableColHeadsBold"/>
              <w:tabs>
                <w:tab w:val="clear" w:pos="284"/>
              </w:tabs>
              <w:ind w:right="-52"/>
              <w:rPr>
                <w:rFonts w:ascii="IBM Plex Sans Light" w:hAnsi="IBM Plex Sans Light"/>
                <w:b w:val="0"/>
              </w:rPr>
            </w:pPr>
            <w:r w:rsidRPr="00895810">
              <w:rPr>
                <w:rFonts w:ascii="IBM Plex Sans Light" w:hAnsi="IBM Plex Sans Light"/>
                <w:b w:val="0"/>
              </w:rPr>
              <w:t>£m</w:t>
            </w:r>
          </w:p>
        </w:tc>
        <w:tc>
          <w:tcPr>
            <w:tcW w:w="794" w:type="dxa"/>
            <w:tcBorders>
              <w:bottom w:val="single" w:sz="2" w:space="0" w:color="3D7FE0" w:themeColor="accent1"/>
            </w:tcBorders>
            <w:tcMar>
              <w:left w:w="0" w:type="dxa"/>
              <w:bottom w:w="28" w:type="dxa"/>
              <w:right w:w="0" w:type="dxa"/>
            </w:tcMar>
            <w:vAlign w:val="bottom"/>
          </w:tcPr>
          <w:p w14:paraId="67AE180B" w14:textId="77777777" w:rsidR="00B8162D" w:rsidRPr="00895810" w:rsidRDefault="00B8162D" w:rsidP="00B8162D">
            <w:pPr>
              <w:pStyle w:val="TableColHeadsBold"/>
              <w:rPr>
                <w:rFonts w:ascii="IBM Plex Sans Light" w:hAnsi="IBM Plex Sans Light"/>
                <w:b w:val="0"/>
              </w:rPr>
            </w:pPr>
            <w:r w:rsidRPr="00895810">
              <w:rPr>
                <w:rFonts w:ascii="IBM Plex Sans Light" w:hAnsi="IBM Plex Sans Light"/>
                <w:b w:val="0"/>
              </w:rPr>
              <w:t xml:space="preserve">£m </w:t>
            </w:r>
          </w:p>
        </w:tc>
      </w:tr>
      <w:tr w:rsidR="00A84119" w:rsidRPr="00895810" w14:paraId="0AEA33FA" w14:textId="77777777" w:rsidTr="00024B10">
        <w:trPr>
          <w:trHeight w:hRule="exact" w:val="249"/>
        </w:trPr>
        <w:tc>
          <w:tcPr>
            <w:tcW w:w="4253" w:type="dxa"/>
            <w:tcBorders>
              <w:top w:val="single" w:sz="2" w:space="0" w:color="3D7FE0" w:themeColor="accent1"/>
            </w:tcBorders>
            <w:tcMar>
              <w:left w:w="0" w:type="dxa"/>
              <w:right w:w="0" w:type="dxa"/>
            </w:tcMar>
            <w:vAlign w:val="bottom"/>
          </w:tcPr>
          <w:p w14:paraId="700CA362" w14:textId="7DFAB426" w:rsidR="00A84119" w:rsidRPr="00895810" w:rsidRDefault="00A84119" w:rsidP="00A84119">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b w:val="0"/>
                <w:bCs w:val="0"/>
                <w:spacing w:val="-4"/>
                <w:sz w:val="18"/>
                <w:szCs w:val="18"/>
              </w:rPr>
              <w:t>At 1 January</w:t>
            </w:r>
          </w:p>
        </w:tc>
        <w:tc>
          <w:tcPr>
            <w:tcW w:w="283" w:type="dxa"/>
            <w:tcBorders>
              <w:top w:val="single" w:sz="2" w:space="0" w:color="3D7FE0" w:themeColor="accent1"/>
            </w:tcBorders>
          </w:tcPr>
          <w:p w14:paraId="3CE1BBFC" w14:textId="1B22BC8A" w:rsidR="00A84119" w:rsidRPr="00895810" w:rsidRDefault="00A84119" w:rsidP="00A84119">
            <w:pPr>
              <w:pStyle w:val="TableFiguresBold"/>
              <w:ind w:left="138" w:hanging="247"/>
              <w:rPr>
                <w:rFonts w:ascii="IBM Plex Sans Light" w:hAnsi="IBM Plex Sans Light"/>
                <w:color w:val="3D7FE0" w:themeColor="accent1"/>
                <w:spacing w:val="-4"/>
                <w:sz w:val="18"/>
                <w:szCs w:val="18"/>
              </w:rPr>
            </w:pPr>
          </w:p>
        </w:tc>
        <w:tc>
          <w:tcPr>
            <w:tcW w:w="993" w:type="dxa"/>
            <w:tcBorders>
              <w:top w:val="single" w:sz="2" w:space="0" w:color="3D7FE0" w:themeColor="accent1"/>
            </w:tcBorders>
          </w:tcPr>
          <w:p w14:paraId="2FE4D50C" w14:textId="10F9F6AC"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1,189.4</w:t>
            </w:r>
          </w:p>
        </w:tc>
        <w:tc>
          <w:tcPr>
            <w:tcW w:w="992" w:type="dxa"/>
            <w:tcBorders>
              <w:top w:val="single" w:sz="2" w:space="0" w:color="3D7FE0" w:themeColor="accent1"/>
            </w:tcBorders>
            <w:tcMar>
              <w:left w:w="0" w:type="dxa"/>
              <w:right w:w="0" w:type="dxa"/>
            </w:tcMar>
          </w:tcPr>
          <w:p w14:paraId="78CDFD4E" w14:textId="169A4EB3"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107.7</w:t>
            </w:r>
          </w:p>
        </w:tc>
        <w:tc>
          <w:tcPr>
            <w:tcW w:w="850" w:type="dxa"/>
            <w:tcBorders>
              <w:top w:val="single" w:sz="2" w:space="0" w:color="3D7FE0" w:themeColor="accent1"/>
            </w:tcBorders>
            <w:tcMar>
              <w:left w:w="0" w:type="dxa"/>
              <w:right w:w="0" w:type="dxa"/>
            </w:tcMar>
          </w:tcPr>
          <w:p w14:paraId="117B9246" w14:textId="32485C1B" w:rsidR="00A84119" w:rsidRPr="004406E3" w:rsidRDefault="00A84119" w:rsidP="00A84119">
            <w:pPr>
              <w:pStyle w:val="TableFiguresBrackets"/>
              <w:ind w:right="85"/>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1,297.1</w:t>
            </w:r>
          </w:p>
        </w:tc>
        <w:tc>
          <w:tcPr>
            <w:tcW w:w="236" w:type="dxa"/>
            <w:tcBorders>
              <w:top w:val="single" w:sz="2" w:space="0" w:color="3D7FE0" w:themeColor="accent1"/>
            </w:tcBorders>
            <w:vAlign w:val="bottom"/>
          </w:tcPr>
          <w:p w14:paraId="7F558A5C" w14:textId="4781406B" w:rsidR="00A84119" w:rsidRPr="00895810" w:rsidRDefault="00A84119" w:rsidP="00A84119">
            <w:pPr>
              <w:pStyle w:val="TableFiguresBold"/>
              <w:ind w:left="-135" w:right="-46"/>
              <w:rPr>
                <w:rFonts w:ascii="IBM Plex Sans Light" w:hAnsi="IBM Plex Sans Light"/>
                <w:b w:val="0"/>
                <w:bCs w:val="0"/>
                <w:color w:val="auto"/>
                <w:spacing w:val="-4"/>
                <w:sz w:val="18"/>
                <w:szCs w:val="18"/>
              </w:rPr>
            </w:pPr>
          </w:p>
        </w:tc>
        <w:tc>
          <w:tcPr>
            <w:tcW w:w="813" w:type="dxa"/>
            <w:tcBorders>
              <w:top w:val="single" w:sz="2" w:space="0" w:color="3D7FE0" w:themeColor="accent1"/>
            </w:tcBorders>
            <w:tcMar>
              <w:left w:w="0" w:type="dxa"/>
              <w:right w:w="0" w:type="dxa"/>
            </w:tcMar>
          </w:tcPr>
          <w:p w14:paraId="4CA74180" w14:textId="4BCD05F9"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1,140.8</w:t>
            </w:r>
          </w:p>
        </w:tc>
        <w:tc>
          <w:tcPr>
            <w:tcW w:w="709" w:type="dxa"/>
            <w:tcBorders>
              <w:top w:val="single" w:sz="2" w:space="0" w:color="3D7FE0" w:themeColor="accent1"/>
            </w:tcBorders>
          </w:tcPr>
          <w:p w14:paraId="47889C93" w14:textId="0B7C35AC"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106.2</w:t>
            </w:r>
          </w:p>
        </w:tc>
        <w:tc>
          <w:tcPr>
            <w:tcW w:w="794" w:type="dxa"/>
            <w:tcBorders>
              <w:top w:val="single" w:sz="2" w:space="0" w:color="3D7FE0" w:themeColor="accent1"/>
            </w:tcBorders>
            <w:tcMar>
              <w:left w:w="0" w:type="dxa"/>
              <w:right w:w="0" w:type="dxa"/>
            </w:tcMar>
          </w:tcPr>
          <w:p w14:paraId="5EEB7B68" w14:textId="6FEAEAFF"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1,247.0</w:t>
            </w:r>
          </w:p>
        </w:tc>
      </w:tr>
      <w:tr w:rsidR="00A84119" w:rsidRPr="00895810" w14:paraId="68748F49" w14:textId="77777777" w:rsidTr="00024B10">
        <w:trPr>
          <w:trHeight w:hRule="exact" w:val="249"/>
        </w:trPr>
        <w:tc>
          <w:tcPr>
            <w:tcW w:w="4253" w:type="dxa"/>
            <w:tcMar>
              <w:left w:w="0" w:type="dxa"/>
              <w:right w:w="0" w:type="dxa"/>
            </w:tcMar>
            <w:vAlign w:val="bottom"/>
          </w:tcPr>
          <w:p w14:paraId="7BEFE4AE" w14:textId="6083DA1C" w:rsidR="00A84119" w:rsidRPr="00895810" w:rsidRDefault="00A84119" w:rsidP="00A84119">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b w:val="0"/>
                <w:bCs w:val="0"/>
                <w:spacing w:val="-4"/>
                <w:sz w:val="18"/>
                <w:szCs w:val="18"/>
              </w:rPr>
              <w:t>Share of results of associates</w:t>
            </w:r>
          </w:p>
        </w:tc>
        <w:tc>
          <w:tcPr>
            <w:tcW w:w="283" w:type="dxa"/>
          </w:tcPr>
          <w:p w14:paraId="77C17306" w14:textId="2300DCBB" w:rsidR="00A84119" w:rsidRPr="00895810" w:rsidRDefault="00A84119" w:rsidP="00A84119">
            <w:pPr>
              <w:pStyle w:val="TableFiguresBold"/>
              <w:ind w:left="138" w:hanging="247"/>
              <w:rPr>
                <w:rFonts w:ascii="IBM Plex Sans Light" w:hAnsi="IBM Plex Sans Light"/>
                <w:color w:val="3D7FE0" w:themeColor="accent1"/>
                <w:spacing w:val="-4"/>
                <w:sz w:val="18"/>
                <w:szCs w:val="18"/>
              </w:rPr>
            </w:pPr>
          </w:p>
        </w:tc>
        <w:tc>
          <w:tcPr>
            <w:tcW w:w="993" w:type="dxa"/>
          </w:tcPr>
          <w:p w14:paraId="3D24EB3C" w14:textId="1D024F41"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14.8</w:t>
            </w:r>
          </w:p>
        </w:tc>
        <w:tc>
          <w:tcPr>
            <w:tcW w:w="992" w:type="dxa"/>
            <w:tcMar>
              <w:left w:w="0" w:type="dxa"/>
              <w:right w:w="0" w:type="dxa"/>
            </w:tcMar>
          </w:tcPr>
          <w:p w14:paraId="4C6138BC" w14:textId="7CA7231D" w:rsidR="00A84119" w:rsidRPr="004406E3" w:rsidRDefault="00A84119" w:rsidP="00024B10">
            <w:pPr>
              <w:pStyle w:val="TableFiguresBrackets"/>
              <w:ind w:right="85"/>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1.2</w:t>
            </w:r>
          </w:p>
        </w:tc>
        <w:tc>
          <w:tcPr>
            <w:tcW w:w="850" w:type="dxa"/>
            <w:tcMar>
              <w:left w:w="0" w:type="dxa"/>
              <w:right w:w="0" w:type="dxa"/>
            </w:tcMar>
          </w:tcPr>
          <w:p w14:paraId="48CA5944" w14:textId="32FAF9B6"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16.0</w:t>
            </w:r>
          </w:p>
        </w:tc>
        <w:tc>
          <w:tcPr>
            <w:tcW w:w="236" w:type="dxa"/>
            <w:vAlign w:val="bottom"/>
          </w:tcPr>
          <w:p w14:paraId="05AFC037" w14:textId="44912C14" w:rsidR="00A84119" w:rsidRPr="00895810" w:rsidRDefault="00A84119" w:rsidP="00A84119">
            <w:pPr>
              <w:pStyle w:val="TableFiguresBold"/>
              <w:ind w:left="-135" w:right="-46"/>
              <w:rPr>
                <w:rFonts w:ascii="IBM Plex Sans Light" w:hAnsi="IBM Plex Sans Light"/>
                <w:b w:val="0"/>
                <w:bCs w:val="0"/>
                <w:color w:val="auto"/>
                <w:spacing w:val="-4"/>
                <w:sz w:val="18"/>
                <w:szCs w:val="18"/>
              </w:rPr>
            </w:pPr>
          </w:p>
        </w:tc>
        <w:tc>
          <w:tcPr>
            <w:tcW w:w="813" w:type="dxa"/>
            <w:tcMar>
              <w:left w:w="0" w:type="dxa"/>
              <w:right w:w="0" w:type="dxa"/>
            </w:tcMar>
          </w:tcPr>
          <w:p w14:paraId="15CF5ECC" w14:textId="08AFC496" w:rsidR="00A84119" w:rsidRPr="006276B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(5.3)</w:t>
            </w:r>
          </w:p>
        </w:tc>
        <w:tc>
          <w:tcPr>
            <w:tcW w:w="709" w:type="dxa"/>
          </w:tcPr>
          <w:p w14:paraId="4F746A76" w14:textId="0444B746" w:rsidR="00A84119" w:rsidRPr="006276B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(1.8)</w:t>
            </w:r>
          </w:p>
        </w:tc>
        <w:tc>
          <w:tcPr>
            <w:tcW w:w="794" w:type="dxa"/>
            <w:tcMar>
              <w:left w:w="0" w:type="dxa"/>
              <w:right w:w="0" w:type="dxa"/>
            </w:tcMar>
          </w:tcPr>
          <w:p w14:paraId="40250D1B" w14:textId="02BF09F7" w:rsidR="00A84119" w:rsidRPr="006276B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(7.1)</w:t>
            </w:r>
          </w:p>
        </w:tc>
      </w:tr>
      <w:tr w:rsidR="00A84119" w:rsidRPr="00895810" w14:paraId="7B579F03" w14:textId="77777777" w:rsidTr="00024B10">
        <w:trPr>
          <w:trHeight w:hRule="exact" w:val="249"/>
        </w:trPr>
        <w:tc>
          <w:tcPr>
            <w:tcW w:w="4253" w:type="dxa"/>
            <w:tcMar>
              <w:left w:w="0" w:type="dxa"/>
              <w:right w:w="0" w:type="dxa"/>
            </w:tcMar>
            <w:vAlign w:val="bottom"/>
          </w:tcPr>
          <w:p w14:paraId="6BE98EE4" w14:textId="53F7679A" w:rsidR="00A84119" w:rsidRPr="00895810" w:rsidRDefault="00A84119" w:rsidP="00A84119">
            <w:pPr>
              <w:pStyle w:val="TableFiguresBold"/>
              <w:jc w:val="left"/>
              <w:rPr>
                <w:rFonts w:ascii="IBM Plex Sans Light" w:hAnsi="IBM Plex Sans Light"/>
                <w:b w:val="0"/>
                <w:bCs w:val="0"/>
                <w:spacing w:val="-4"/>
                <w:sz w:val="18"/>
                <w:szCs w:val="18"/>
              </w:rPr>
            </w:pPr>
            <w:r w:rsidRPr="00895810">
              <w:rPr>
                <w:rFonts w:ascii="IBM Plex Sans Light" w:hAnsi="IBM Plex Sans Light"/>
                <w:b w:val="0"/>
                <w:bCs w:val="0"/>
                <w:spacing w:val="-4"/>
                <w:sz w:val="18"/>
                <w:szCs w:val="18"/>
              </w:rPr>
              <w:t>Capital return</w:t>
            </w:r>
          </w:p>
        </w:tc>
        <w:tc>
          <w:tcPr>
            <w:tcW w:w="283" w:type="dxa"/>
          </w:tcPr>
          <w:p w14:paraId="7A1BC05A" w14:textId="7344A6B9" w:rsidR="00A84119" w:rsidRPr="00895810" w:rsidRDefault="00A84119" w:rsidP="00A84119">
            <w:pPr>
              <w:pStyle w:val="TableFiguresBold"/>
              <w:ind w:left="138" w:hanging="247"/>
              <w:rPr>
                <w:rFonts w:ascii="IBM Plex Sans Light" w:hAnsi="IBM Plex Sans Light"/>
                <w:color w:val="3D7FE0" w:themeColor="accent1"/>
                <w:spacing w:val="-4"/>
                <w:sz w:val="18"/>
                <w:szCs w:val="18"/>
              </w:rPr>
            </w:pPr>
          </w:p>
        </w:tc>
        <w:tc>
          <w:tcPr>
            <w:tcW w:w="993" w:type="dxa"/>
          </w:tcPr>
          <w:p w14:paraId="15AF42E5" w14:textId="614A7D6D"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w:t>
            </w:r>
          </w:p>
        </w:tc>
        <w:tc>
          <w:tcPr>
            <w:tcW w:w="992" w:type="dxa"/>
            <w:tcMar>
              <w:left w:w="0" w:type="dxa"/>
              <w:right w:w="0" w:type="dxa"/>
            </w:tcMar>
          </w:tcPr>
          <w:p w14:paraId="7FA60AF4" w14:textId="01BAB54A" w:rsidR="00A84119" w:rsidRPr="0053048A" w:rsidRDefault="00A84119" w:rsidP="00024B10">
            <w:pPr>
              <w:pStyle w:val="TableFiguresBrackets"/>
              <w:ind w:right="85"/>
              <w:rPr>
                <w:rFonts w:ascii="IBM Plex Sans Medium" w:hAnsi="IBM Plex Sans Medium"/>
                <w:color w:val="3D7FE0" w:themeColor="accent1"/>
                <w:spacing w:val="-4"/>
                <w:sz w:val="18"/>
                <w:szCs w:val="18"/>
              </w:rPr>
            </w:pPr>
            <w:r w:rsidRPr="0053048A">
              <w:rPr>
                <w:rFonts w:ascii="IBM Plex Sans Medium" w:hAnsi="IBM Plex Sans Medium"/>
                <w:b/>
                <w:bCs/>
                <w:color w:val="3D7FE0" w:themeColor="accent1"/>
                <w:spacing w:val="-4"/>
                <w:sz w:val="18"/>
                <w:szCs w:val="18"/>
              </w:rPr>
              <w:t>–</w:t>
            </w:r>
          </w:p>
        </w:tc>
        <w:tc>
          <w:tcPr>
            <w:tcW w:w="850" w:type="dxa"/>
            <w:tcMar>
              <w:left w:w="0" w:type="dxa"/>
              <w:right w:w="0" w:type="dxa"/>
            </w:tcMar>
          </w:tcPr>
          <w:p w14:paraId="1FFF2296" w14:textId="72C98091" w:rsidR="00A84119" w:rsidRPr="004406E3" w:rsidRDefault="00A84119" w:rsidP="004406E3">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w:t>
            </w:r>
          </w:p>
        </w:tc>
        <w:tc>
          <w:tcPr>
            <w:tcW w:w="236" w:type="dxa"/>
            <w:vAlign w:val="bottom"/>
          </w:tcPr>
          <w:p w14:paraId="19DE965B" w14:textId="1054C1A0" w:rsidR="00A84119" w:rsidRPr="00895810" w:rsidRDefault="00A84119" w:rsidP="00A84119">
            <w:pPr>
              <w:pStyle w:val="TableFiguresBold"/>
              <w:ind w:left="-135" w:right="-46"/>
              <w:rPr>
                <w:rFonts w:ascii="IBM Plex Sans Light" w:hAnsi="IBM Plex Sans Light"/>
                <w:b w:val="0"/>
                <w:bCs w:val="0"/>
                <w:color w:val="auto"/>
                <w:spacing w:val="-4"/>
                <w:sz w:val="18"/>
                <w:szCs w:val="18"/>
              </w:rPr>
            </w:pPr>
          </w:p>
        </w:tc>
        <w:tc>
          <w:tcPr>
            <w:tcW w:w="813" w:type="dxa"/>
            <w:tcMar>
              <w:left w:w="0" w:type="dxa"/>
              <w:right w:w="0" w:type="dxa"/>
            </w:tcMar>
          </w:tcPr>
          <w:p w14:paraId="0B3AEDF0" w14:textId="17CBF0F4" w:rsidR="00A84119" w:rsidRPr="00F82829" w:rsidRDefault="005F6D26" w:rsidP="00A84119">
            <w:pPr>
              <w:pStyle w:val="TableFiguresBold"/>
              <w:rPr>
                <w:rFonts w:ascii="IBM Plex Sans Light" w:hAnsi="IBM Plex Sans Light"/>
                <w:b w:val="0"/>
                <w:bCs w:val="0"/>
                <w:color w:val="auto"/>
                <w:spacing w:val="-4"/>
                <w:sz w:val="18"/>
                <w:szCs w:val="18"/>
              </w:rPr>
            </w:pPr>
            <w:r w:rsidRPr="006276B0">
              <w:rPr>
                <w:rFonts w:ascii="IBM Plex Sans Light" w:hAnsi="IBM Plex Sans Light"/>
                <w:color w:val="auto"/>
                <w:spacing w:val="-4"/>
                <w:sz w:val="18"/>
                <w:szCs w:val="18"/>
              </w:rPr>
              <w:t>–</w:t>
            </w:r>
          </w:p>
        </w:tc>
        <w:tc>
          <w:tcPr>
            <w:tcW w:w="709" w:type="dxa"/>
          </w:tcPr>
          <w:p w14:paraId="6EC6D199" w14:textId="12117E87" w:rsidR="00A84119" w:rsidRPr="006276B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(2.0)</w:t>
            </w:r>
          </w:p>
        </w:tc>
        <w:tc>
          <w:tcPr>
            <w:tcW w:w="794" w:type="dxa"/>
            <w:tcMar>
              <w:left w:w="0" w:type="dxa"/>
              <w:right w:w="0" w:type="dxa"/>
            </w:tcMar>
          </w:tcPr>
          <w:p w14:paraId="5C63CA60" w14:textId="73A91572" w:rsidR="00A84119" w:rsidRPr="008958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(2.0)</w:t>
            </w:r>
          </w:p>
        </w:tc>
      </w:tr>
      <w:tr w:rsidR="00A84119" w:rsidRPr="00895810" w14:paraId="6171DA2B" w14:textId="77777777" w:rsidTr="00024B10">
        <w:trPr>
          <w:trHeight w:hRule="exact" w:val="249"/>
        </w:trPr>
        <w:tc>
          <w:tcPr>
            <w:tcW w:w="4253" w:type="dxa"/>
            <w:tcMar>
              <w:left w:w="0" w:type="dxa"/>
              <w:right w:w="0" w:type="dxa"/>
            </w:tcMar>
            <w:vAlign w:val="bottom"/>
          </w:tcPr>
          <w:p w14:paraId="55D8C693" w14:textId="3EDD7AFC" w:rsidR="00A84119" w:rsidRPr="00895810" w:rsidRDefault="00A84119" w:rsidP="00A84119">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b w:val="0"/>
                <w:bCs w:val="0"/>
                <w:spacing w:val="-4"/>
                <w:sz w:val="18"/>
                <w:szCs w:val="18"/>
              </w:rPr>
              <w:t xml:space="preserve">Distributions </w:t>
            </w:r>
          </w:p>
        </w:tc>
        <w:tc>
          <w:tcPr>
            <w:tcW w:w="283" w:type="dxa"/>
          </w:tcPr>
          <w:p w14:paraId="09155A93" w14:textId="0B7C33CB" w:rsidR="00A84119" w:rsidRPr="00895810" w:rsidRDefault="00A84119" w:rsidP="00A84119">
            <w:pPr>
              <w:pStyle w:val="TableFiguresBold"/>
              <w:ind w:left="138" w:hanging="247"/>
              <w:rPr>
                <w:rFonts w:ascii="IBM Plex Sans Light" w:hAnsi="IBM Plex Sans Light"/>
                <w:color w:val="3D7FE0" w:themeColor="accent1"/>
                <w:spacing w:val="-4"/>
                <w:sz w:val="18"/>
                <w:szCs w:val="18"/>
              </w:rPr>
            </w:pPr>
          </w:p>
        </w:tc>
        <w:tc>
          <w:tcPr>
            <w:tcW w:w="993" w:type="dxa"/>
          </w:tcPr>
          <w:p w14:paraId="7846DD8D" w14:textId="37562CB8"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(66.3)</w:t>
            </w:r>
          </w:p>
        </w:tc>
        <w:tc>
          <w:tcPr>
            <w:tcW w:w="992" w:type="dxa"/>
            <w:tcMar>
              <w:left w:w="0" w:type="dxa"/>
              <w:right w:w="0" w:type="dxa"/>
            </w:tcMar>
          </w:tcPr>
          <w:p w14:paraId="51AE567E" w14:textId="7FFE6AED" w:rsidR="00A84119" w:rsidRPr="0053048A" w:rsidRDefault="00A84119" w:rsidP="00024B10">
            <w:pPr>
              <w:pStyle w:val="TableFiguresBrackets"/>
              <w:ind w:right="85"/>
              <w:rPr>
                <w:rFonts w:ascii="IBM Plex Sans Medium" w:hAnsi="IBM Plex Sans Medium"/>
                <w:color w:val="3D7FE0" w:themeColor="accent1"/>
                <w:spacing w:val="-4"/>
                <w:sz w:val="18"/>
                <w:szCs w:val="18"/>
              </w:rPr>
            </w:pPr>
            <w:r w:rsidRPr="0053048A">
              <w:rPr>
                <w:rFonts w:ascii="IBM Plex Sans Medium" w:hAnsi="IBM Plex Sans Medium"/>
                <w:b/>
                <w:bCs/>
                <w:color w:val="3D7FE0" w:themeColor="accent1"/>
                <w:spacing w:val="-4"/>
                <w:sz w:val="18"/>
                <w:szCs w:val="18"/>
              </w:rPr>
              <w:t>–</w:t>
            </w:r>
          </w:p>
        </w:tc>
        <w:tc>
          <w:tcPr>
            <w:tcW w:w="850" w:type="dxa"/>
            <w:tcMar>
              <w:left w:w="0" w:type="dxa"/>
              <w:right w:w="0" w:type="dxa"/>
            </w:tcMar>
          </w:tcPr>
          <w:p w14:paraId="28390BBF" w14:textId="5E590F5D"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(66.3)</w:t>
            </w:r>
          </w:p>
        </w:tc>
        <w:tc>
          <w:tcPr>
            <w:tcW w:w="236" w:type="dxa"/>
            <w:vAlign w:val="bottom"/>
          </w:tcPr>
          <w:p w14:paraId="73DDF819" w14:textId="1E94E01C" w:rsidR="00A84119" w:rsidRPr="00895810" w:rsidRDefault="00A84119" w:rsidP="00A84119">
            <w:pPr>
              <w:pStyle w:val="TableFiguresBold"/>
              <w:ind w:left="-109" w:right="-104"/>
              <w:rPr>
                <w:rFonts w:ascii="IBM Plex Sans Light" w:hAnsi="IBM Plex Sans Light"/>
                <w:b w:val="0"/>
                <w:bCs w:val="0"/>
                <w:color w:val="auto"/>
                <w:spacing w:val="-4"/>
                <w:sz w:val="18"/>
                <w:szCs w:val="18"/>
              </w:rPr>
            </w:pPr>
          </w:p>
        </w:tc>
        <w:tc>
          <w:tcPr>
            <w:tcW w:w="813" w:type="dxa"/>
            <w:tcMar>
              <w:left w:w="0" w:type="dxa"/>
              <w:right w:w="0" w:type="dxa"/>
            </w:tcMar>
          </w:tcPr>
          <w:p w14:paraId="2F846E69" w14:textId="0ED08628" w:rsidR="00A84119" w:rsidRPr="00B8162D"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(4.4)</w:t>
            </w:r>
          </w:p>
        </w:tc>
        <w:tc>
          <w:tcPr>
            <w:tcW w:w="709" w:type="dxa"/>
          </w:tcPr>
          <w:p w14:paraId="068C8BB0" w14:textId="45A8E15F" w:rsidR="00A84119" w:rsidRPr="006276B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(0.6)</w:t>
            </w:r>
          </w:p>
        </w:tc>
        <w:tc>
          <w:tcPr>
            <w:tcW w:w="794" w:type="dxa"/>
            <w:tcMar>
              <w:left w:w="0" w:type="dxa"/>
              <w:right w:w="0" w:type="dxa"/>
            </w:tcMar>
          </w:tcPr>
          <w:p w14:paraId="58D794BC" w14:textId="3A9156D9" w:rsidR="00A84119" w:rsidRPr="00895810" w:rsidRDefault="00A84119" w:rsidP="00A84119">
            <w:pPr>
              <w:pStyle w:val="TableFiguresBrackets"/>
              <w:tabs>
                <w:tab w:val="decimal" w:pos="533"/>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(5.0)</w:t>
            </w:r>
          </w:p>
        </w:tc>
      </w:tr>
      <w:tr w:rsidR="00A84119" w:rsidRPr="00895810" w14:paraId="19FE651F" w14:textId="77777777" w:rsidTr="00024B10">
        <w:trPr>
          <w:trHeight w:hRule="exact" w:val="249"/>
        </w:trPr>
        <w:tc>
          <w:tcPr>
            <w:tcW w:w="4253" w:type="dxa"/>
            <w:tcMar>
              <w:left w:w="0" w:type="dxa"/>
              <w:right w:w="0" w:type="dxa"/>
            </w:tcMar>
            <w:vAlign w:val="bottom"/>
          </w:tcPr>
          <w:p w14:paraId="67CB96B5" w14:textId="2CA95D45" w:rsidR="00A84119" w:rsidRPr="00895810" w:rsidRDefault="00A84119" w:rsidP="00A84119">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b w:val="0"/>
                <w:bCs w:val="0"/>
                <w:spacing w:val="-4"/>
                <w:sz w:val="18"/>
                <w:szCs w:val="18"/>
              </w:rPr>
              <w:t xml:space="preserve">Share of other comprehensive </w:t>
            </w:r>
            <w:r w:rsidR="00452848">
              <w:rPr>
                <w:rFonts w:ascii="IBM Plex Sans Light" w:hAnsi="IBM Plex Sans Light"/>
                <w:b w:val="0"/>
                <w:bCs w:val="0"/>
                <w:spacing w:val="-4"/>
                <w:sz w:val="18"/>
                <w:szCs w:val="18"/>
              </w:rPr>
              <w:t>(loss)/</w:t>
            </w:r>
            <w:r w:rsidRPr="00895810">
              <w:rPr>
                <w:rFonts w:ascii="IBM Plex Sans Light" w:hAnsi="IBM Plex Sans Light"/>
                <w:b w:val="0"/>
                <w:bCs w:val="0"/>
                <w:spacing w:val="-4"/>
                <w:sz w:val="18"/>
                <w:szCs w:val="18"/>
              </w:rPr>
              <w:t>gain of associate</w:t>
            </w:r>
          </w:p>
        </w:tc>
        <w:tc>
          <w:tcPr>
            <w:tcW w:w="283" w:type="dxa"/>
            <w:vAlign w:val="bottom"/>
          </w:tcPr>
          <w:p w14:paraId="2BE26B4A" w14:textId="063B2E3F" w:rsidR="00A84119" w:rsidRPr="00895810" w:rsidRDefault="00A84119" w:rsidP="00A84119">
            <w:pPr>
              <w:pStyle w:val="TableFiguresBold"/>
              <w:ind w:left="138" w:hanging="247"/>
              <w:jc w:val="center"/>
              <w:rPr>
                <w:rFonts w:ascii="IBM Plex Sans Light" w:hAnsi="IBM Plex Sans Light"/>
                <w:b w:val="0"/>
                <w:bCs w:val="0"/>
                <w:color w:val="auto"/>
                <w:spacing w:val="-4"/>
                <w:szCs w:val="16"/>
              </w:rPr>
            </w:pPr>
            <w:r w:rsidRPr="00895810">
              <w:rPr>
                <w:rFonts w:ascii="IBM Plex Sans Light" w:hAnsi="IBM Plex Sans Light"/>
                <w:b w:val="0"/>
                <w:bCs w:val="0"/>
                <w:color w:val="auto"/>
                <w:spacing w:val="-4"/>
                <w:szCs w:val="16"/>
              </w:rPr>
              <w:t>a</w:t>
            </w:r>
          </w:p>
        </w:tc>
        <w:tc>
          <w:tcPr>
            <w:tcW w:w="993" w:type="dxa"/>
          </w:tcPr>
          <w:p w14:paraId="08619DF6" w14:textId="19AF5A00"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(8.8)</w:t>
            </w:r>
          </w:p>
        </w:tc>
        <w:tc>
          <w:tcPr>
            <w:tcW w:w="992" w:type="dxa"/>
            <w:tcMar>
              <w:left w:w="0" w:type="dxa"/>
              <w:right w:w="0" w:type="dxa"/>
            </w:tcMar>
          </w:tcPr>
          <w:p w14:paraId="23F591AE" w14:textId="771C6519" w:rsidR="00A84119" w:rsidRPr="0053048A" w:rsidRDefault="00A84119" w:rsidP="00024B10">
            <w:pPr>
              <w:pStyle w:val="TableFiguresBrackets"/>
              <w:ind w:right="85"/>
              <w:rPr>
                <w:rFonts w:ascii="IBM Plex Sans Medium" w:hAnsi="IBM Plex Sans Medium"/>
                <w:color w:val="3D7FE0" w:themeColor="accent1"/>
                <w:spacing w:val="-4"/>
                <w:sz w:val="18"/>
                <w:szCs w:val="18"/>
              </w:rPr>
            </w:pPr>
            <w:r w:rsidRPr="0053048A">
              <w:rPr>
                <w:rFonts w:ascii="IBM Plex Sans Medium" w:hAnsi="IBM Plex Sans Medium"/>
                <w:b/>
                <w:bCs/>
                <w:color w:val="3D7FE0" w:themeColor="accent1"/>
                <w:spacing w:val="-4"/>
                <w:sz w:val="18"/>
                <w:szCs w:val="18"/>
              </w:rPr>
              <w:t>–</w:t>
            </w:r>
          </w:p>
        </w:tc>
        <w:tc>
          <w:tcPr>
            <w:tcW w:w="850" w:type="dxa"/>
            <w:tcMar>
              <w:left w:w="0" w:type="dxa"/>
              <w:right w:w="0" w:type="dxa"/>
            </w:tcMar>
          </w:tcPr>
          <w:p w14:paraId="1EE2733D" w14:textId="175F6BA4"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(8.8)</w:t>
            </w:r>
          </w:p>
        </w:tc>
        <w:tc>
          <w:tcPr>
            <w:tcW w:w="236" w:type="dxa"/>
            <w:vAlign w:val="bottom"/>
          </w:tcPr>
          <w:p w14:paraId="4ED5729B" w14:textId="50664280" w:rsidR="00A84119" w:rsidRPr="00895810" w:rsidRDefault="00A84119" w:rsidP="00A84119">
            <w:pPr>
              <w:pStyle w:val="TableFiguresBold"/>
              <w:ind w:left="-135" w:right="-46"/>
              <w:rPr>
                <w:rFonts w:ascii="IBM Plex Sans Light" w:hAnsi="IBM Plex Sans Light"/>
                <w:b w:val="0"/>
                <w:bCs w:val="0"/>
                <w:color w:val="auto"/>
                <w:spacing w:val="-4"/>
                <w:sz w:val="18"/>
                <w:szCs w:val="18"/>
              </w:rPr>
            </w:pPr>
          </w:p>
        </w:tc>
        <w:tc>
          <w:tcPr>
            <w:tcW w:w="813" w:type="dxa"/>
            <w:tcMar>
              <w:left w:w="0" w:type="dxa"/>
              <w:right w:w="0" w:type="dxa"/>
            </w:tcMar>
          </w:tcPr>
          <w:p w14:paraId="706BB962" w14:textId="2E2BDED8"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23.3</w:t>
            </w:r>
          </w:p>
        </w:tc>
        <w:tc>
          <w:tcPr>
            <w:tcW w:w="709" w:type="dxa"/>
          </w:tcPr>
          <w:p w14:paraId="6FB3D6B7" w14:textId="7687AC4A"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w:t>
            </w:r>
          </w:p>
        </w:tc>
        <w:tc>
          <w:tcPr>
            <w:tcW w:w="794" w:type="dxa"/>
            <w:tcMar>
              <w:left w:w="0" w:type="dxa"/>
              <w:right w:w="0" w:type="dxa"/>
            </w:tcMar>
          </w:tcPr>
          <w:p w14:paraId="61411CE5" w14:textId="124CC0E1" w:rsidR="00A84119" w:rsidRPr="008958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23.3</w:t>
            </w:r>
          </w:p>
        </w:tc>
      </w:tr>
      <w:tr w:rsidR="005F6D26" w:rsidRPr="00895810" w14:paraId="7E6F0272" w14:textId="77777777" w:rsidTr="00024B10">
        <w:trPr>
          <w:trHeight w:hRule="exact" w:val="249"/>
        </w:trPr>
        <w:tc>
          <w:tcPr>
            <w:tcW w:w="4253" w:type="dxa"/>
            <w:tcMar>
              <w:left w:w="0" w:type="dxa"/>
              <w:right w:w="0" w:type="dxa"/>
            </w:tcMar>
            <w:vAlign w:val="bottom"/>
          </w:tcPr>
          <w:p w14:paraId="4F7A0744" w14:textId="64170265" w:rsidR="005F6D26" w:rsidRPr="00895810" w:rsidRDefault="005F6D26" w:rsidP="005F6D26">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b w:val="0"/>
                <w:bCs w:val="0"/>
                <w:spacing w:val="-4"/>
                <w:sz w:val="18"/>
                <w:szCs w:val="18"/>
              </w:rPr>
              <w:t>Disposals</w:t>
            </w:r>
          </w:p>
        </w:tc>
        <w:tc>
          <w:tcPr>
            <w:tcW w:w="283" w:type="dxa"/>
          </w:tcPr>
          <w:p w14:paraId="6F296CF3" w14:textId="12B5680B" w:rsidR="005F6D26" w:rsidRPr="00895810" w:rsidRDefault="005F6D26" w:rsidP="005F6D26">
            <w:pPr>
              <w:pStyle w:val="TableFiguresBold"/>
              <w:ind w:left="138" w:hanging="247"/>
              <w:jc w:val="center"/>
              <w:rPr>
                <w:rFonts w:ascii="IBM Plex Sans Light" w:hAnsi="IBM Plex Sans Light"/>
                <w:b w:val="0"/>
                <w:bCs w:val="0"/>
                <w:color w:val="auto"/>
                <w:spacing w:val="-4"/>
                <w:szCs w:val="16"/>
              </w:rPr>
            </w:pPr>
          </w:p>
        </w:tc>
        <w:tc>
          <w:tcPr>
            <w:tcW w:w="993" w:type="dxa"/>
          </w:tcPr>
          <w:p w14:paraId="17758D9A" w14:textId="2415D5D8" w:rsidR="005F6D26" w:rsidRPr="00A84119" w:rsidRDefault="005F6D26" w:rsidP="005F6D26">
            <w:pPr>
              <w:pStyle w:val="TableFiguresBold"/>
              <w:rPr>
                <w:rFonts w:ascii="IBM Plex Sans Medium" w:hAnsi="IBM Plex Sans Medium"/>
                <w:b w:val="0"/>
                <w:bCs w:val="0"/>
                <w:color w:val="3D7FE0" w:themeColor="accent1"/>
                <w:spacing w:val="-4"/>
                <w:sz w:val="18"/>
                <w:szCs w:val="18"/>
              </w:rPr>
            </w:pPr>
            <w:r w:rsidRPr="00A84119">
              <w:rPr>
                <w:rFonts w:ascii="IBM Plex Sans Medium" w:hAnsi="IBM Plex Sans Medium"/>
                <w:b w:val="0"/>
                <w:bCs w:val="0"/>
                <w:color w:val="3D7FE0" w:themeColor="accent1"/>
                <w:spacing w:val="-4"/>
                <w:sz w:val="18"/>
                <w:szCs w:val="18"/>
              </w:rPr>
              <w:t>–</w:t>
            </w:r>
          </w:p>
        </w:tc>
        <w:tc>
          <w:tcPr>
            <w:tcW w:w="992" w:type="dxa"/>
            <w:tcMar>
              <w:left w:w="0" w:type="dxa"/>
              <w:right w:w="0" w:type="dxa"/>
            </w:tcMar>
          </w:tcPr>
          <w:p w14:paraId="13C614E1" w14:textId="096480A0" w:rsidR="005F6D26" w:rsidRPr="00A84119" w:rsidRDefault="005F6D26" w:rsidP="005F6D26">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w:t>
            </w:r>
            <w:r w:rsidRPr="004406E3">
              <w:rPr>
                <w:rFonts w:ascii="IBM Plex Sans Medium" w:hAnsi="IBM Plex Sans Medium"/>
                <w:b/>
                <w:bCs/>
                <w:color w:val="3D7FE0" w:themeColor="accent1"/>
                <w:spacing w:val="-4"/>
                <w:sz w:val="18"/>
                <w:szCs w:val="18"/>
              </w:rPr>
              <w:t>108</w:t>
            </w:r>
            <w:r w:rsidRPr="00024B10">
              <w:rPr>
                <w:rFonts w:ascii="IBM Plex Sans Medium" w:hAnsi="IBM Plex Sans Medium"/>
                <w:b/>
                <w:bCs/>
                <w:color w:val="3D7FE0" w:themeColor="accent1"/>
                <w:spacing w:val="-4"/>
                <w:sz w:val="18"/>
                <w:szCs w:val="18"/>
              </w:rPr>
              <w:t>.6)</w:t>
            </w:r>
          </w:p>
        </w:tc>
        <w:tc>
          <w:tcPr>
            <w:tcW w:w="850" w:type="dxa"/>
            <w:tcMar>
              <w:left w:w="0" w:type="dxa"/>
              <w:right w:w="0" w:type="dxa"/>
            </w:tcMar>
          </w:tcPr>
          <w:p w14:paraId="311BBD9A" w14:textId="05E78F52" w:rsidR="005F6D26" w:rsidRPr="00A84119" w:rsidRDefault="005F6D26" w:rsidP="00024B10">
            <w:pPr>
              <w:pStyle w:val="TableFiguresBrackets"/>
              <w:rPr>
                <w:rFonts w:ascii="IBM Plex Sans Medium" w:hAnsi="IBM Plex Sans Medium"/>
                <w:color w:val="3D7FE0" w:themeColor="accent1"/>
                <w:spacing w:val="-4"/>
                <w:sz w:val="18"/>
                <w:szCs w:val="18"/>
              </w:rPr>
            </w:pPr>
            <w:r>
              <w:rPr>
                <w:rFonts w:ascii="IBM Plex Sans Medium" w:hAnsi="IBM Plex Sans Medium"/>
                <w:b/>
                <w:bCs/>
                <w:color w:val="3D7FE0" w:themeColor="accent1"/>
                <w:spacing w:val="-4"/>
                <w:sz w:val="18"/>
                <w:szCs w:val="18"/>
              </w:rPr>
              <w:t>(108.6)</w:t>
            </w:r>
          </w:p>
        </w:tc>
        <w:tc>
          <w:tcPr>
            <w:tcW w:w="236" w:type="dxa"/>
            <w:vAlign w:val="bottom"/>
          </w:tcPr>
          <w:p w14:paraId="5D674CA3" w14:textId="7E120868" w:rsidR="005F6D26" w:rsidRPr="00895810" w:rsidRDefault="005F6D26" w:rsidP="005F6D26">
            <w:pPr>
              <w:pStyle w:val="TableFiguresBold"/>
              <w:ind w:left="-135" w:right="-46"/>
              <w:rPr>
                <w:rFonts w:ascii="IBM Plex Sans Light" w:hAnsi="IBM Plex Sans Light"/>
                <w:b w:val="0"/>
                <w:bCs w:val="0"/>
                <w:color w:val="auto"/>
                <w:spacing w:val="-4"/>
                <w:sz w:val="18"/>
                <w:szCs w:val="18"/>
              </w:rPr>
            </w:pPr>
          </w:p>
        </w:tc>
        <w:tc>
          <w:tcPr>
            <w:tcW w:w="813" w:type="dxa"/>
            <w:tcMar>
              <w:left w:w="0" w:type="dxa"/>
              <w:right w:w="0" w:type="dxa"/>
            </w:tcMar>
          </w:tcPr>
          <w:p w14:paraId="104589D3" w14:textId="1F71E5A1" w:rsidR="005F6D26" w:rsidRPr="005F6D26" w:rsidRDefault="005F6D26" w:rsidP="00024B10">
            <w:pPr>
              <w:pStyle w:val="TableFiguresBold"/>
              <w:rPr>
                <w:rFonts w:ascii="IBM Plex Sans Light" w:hAnsi="IBM Plex Sans Light"/>
                <w:color w:val="auto"/>
                <w:spacing w:val="-4"/>
                <w:sz w:val="18"/>
                <w:szCs w:val="18"/>
              </w:rPr>
            </w:pPr>
            <w:r w:rsidRPr="005F6D26">
              <w:rPr>
                <w:rFonts w:ascii="IBM Plex Sans Light" w:hAnsi="IBM Plex Sans Light"/>
                <w:b w:val="0"/>
                <w:bCs w:val="0"/>
                <w:color w:val="auto"/>
                <w:spacing w:val="-4"/>
                <w:sz w:val="18"/>
                <w:szCs w:val="18"/>
              </w:rPr>
              <w:t>–</w:t>
            </w:r>
          </w:p>
        </w:tc>
        <w:tc>
          <w:tcPr>
            <w:tcW w:w="709" w:type="dxa"/>
          </w:tcPr>
          <w:p w14:paraId="56C52510" w14:textId="44CF335A" w:rsidR="005F6D26" w:rsidRPr="00895810" w:rsidRDefault="005F6D26" w:rsidP="005F6D26">
            <w:pPr>
              <w:pStyle w:val="TableFiguresBold"/>
              <w:tabs>
                <w:tab w:val="decimal" w:pos="518"/>
              </w:tabs>
              <w:ind w:right="-107"/>
              <w:jc w:val="left"/>
              <w:rPr>
                <w:rFonts w:ascii="IBM Plex Sans Light" w:hAnsi="IBM Plex Sans Light"/>
                <w:b w:val="0"/>
                <w:bCs w:val="0"/>
                <w:color w:val="auto"/>
                <w:spacing w:val="-4"/>
                <w:sz w:val="18"/>
                <w:szCs w:val="18"/>
              </w:rPr>
            </w:pPr>
            <w:r w:rsidRPr="006276B0">
              <w:rPr>
                <w:rFonts w:ascii="IBM Plex Sans Light" w:hAnsi="IBM Plex Sans Light"/>
                <w:b w:val="0"/>
                <w:bCs w:val="0"/>
                <w:color w:val="auto"/>
                <w:spacing w:val="-4"/>
                <w:sz w:val="18"/>
                <w:szCs w:val="18"/>
              </w:rPr>
              <w:t>–</w:t>
            </w:r>
          </w:p>
        </w:tc>
        <w:tc>
          <w:tcPr>
            <w:tcW w:w="794" w:type="dxa"/>
            <w:tcMar>
              <w:left w:w="0" w:type="dxa"/>
              <w:right w:w="0" w:type="dxa"/>
            </w:tcMar>
          </w:tcPr>
          <w:p w14:paraId="642BC69B" w14:textId="0D5A61E8" w:rsidR="005F6D26" w:rsidRPr="00895810" w:rsidRDefault="005F6D26" w:rsidP="00024B10">
            <w:pPr>
              <w:pStyle w:val="TableFiguresBrackets"/>
              <w:tabs>
                <w:tab w:val="decimal" w:pos="657"/>
              </w:tabs>
              <w:ind w:left="-57"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w:t>
            </w:r>
          </w:p>
        </w:tc>
      </w:tr>
      <w:tr w:rsidR="00A84119" w:rsidRPr="00895810" w14:paraId="4C7E45D3" w14:textId="77777777" w:rsidTr="00024B10">
        <w:trPr>
          <w:trHeight w:hRule="exact" w:val="249"/>
        </w:trPr>
        <w:tc>
          <w:tcPr>
            <w:tcW w:w="4253" w:type="dxa"/>
            <w:tcBorders>
              <w:bottom w:val="single" w:sz="4" w:space="0" w:color="3D7FE0" w:themeColor="accent1"/>
            </w:tcBorders>
            <w:tcMar>
              <w:left w:w="0" w:type="dxa"/>
              <w:right w:w="0" w:type="dxa"/>
            </w:tcMar>
            <w:vAlign w:val="bottom"/>
          </w:tcPr>
          <w:p w14:paraId="03BDBCF7" w14:textId="61C3C72A" w:rsidR="00A84119" w:rsidRPr="00895810" w:rsidRDefault="00A84119" w:rsidP="00A84119">
            <w:pPr>
              <w:pStyle w:val="TableFiguresBold"/>
              <w:jc w:val="left"/>
              <w:rPr>
                <w:rFonts w:ascii="IBM Plex Sans Light" w:hAnsi="IBM Plex Sans Light"/>
                <w:b w:val="0"/>
                <w:bCs w:val="0"/>
                <w:color w:val="3D7FE0" w:themeColor="accent1"/>
                <w:spacing w:val="-4"/>
                <w:sz w:val="18"/>
                <w:szCs w:val="18"/>
              </w:rPr>
            </w:pPr>
            <w:r w:rsidRPr="00895810">
              <w:rPr>
                <w:rFonts w:ascii="IBM Plex Sans Light" w:hAnsi="IBM Plex Sans Light"/>
                <w:b w:val="0"/>
                <w:bCs w:val="0"/>
                <w:spacing w:val="-4"/>
                <w:sz w:val="18"/>
                <w:szCs w:val="18"/>
              </w:rPr>
              <w:t>Exchange and other movements</w:t>
            </w:r>
          </w:p>
        </w:tc>
        <w:tc>
          <w:tcPr>
            <w:tcW w:w="283" w:type="dxa"/>
            <w:tcBorders>
              <w:bottom w:val="single" w:sz="4" w:space="0" w:color="3D7FE0" w:themeColor="accent1"/>
            </w:tcBorders>
          </w:tcPr>
          <w:p w14:paraId="4294C87B" w14:textId="4996500A" w:rsidR="00A84119" w:rsidRPr="00895810" w:rsidRDefault="00A84119" w:rsidP="00A84119">
            <w:pPr>
              <w:pStyle w:val="TableFiguresBold"/>
              <w:ind w:left="138" w:hanging="247"/>
              <w:jc w:val="center"/>
              <w:rPr>
                <w:rFonts w:ascii="IBM Plex Sans Light" w:hAnsi="IBM Plex Sans Light"/>
                <w:b w:val="0"/>
                <w:bCs w:val="0"/>
                <w:color w:val="auto"/>
                <w:spacing w:val="-4"/>
                <w:szCs w:val="16"/>
              </w:rPr>
            </w:pPr>
          </w:p>
        </w:tc>
        <w:tc>
          <w:tcPr>
            <w:tcW w:w="993" w:type="dxa"/>
            <w:tcBorders>
              <w:bottom w:val="single" w:sz="4" w:space="0" w:color="3D7FE0" w:themeColor="accent1"/>
            </w:tcBorders>
          </w:tcPr>
          <w:p w14:paraId="2106F26D" w14:textId="37C09D40"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(14.1)</w:t>
            </w:r>
          </w:p>
        </w:tc>
        <w:tc>
          <w:tcPr>
            <w:tcW w:w="992" w:type="dxa"/>
            <w:tcBorders>
              <w:bottom w:val="single" w:sz="4" w:space="0" w:color="3D7FE0" w:themeColor="accent1"/>
            </w:tcBorders>
            <w:tcMar>
              <w:left w:w="0" w:type="dxa"/>
              <w:right w:w="0" w:type="dxa"/>
            </w:tcMar>
          </w:tcPr>
          <w:p w14:paraId="228EF6E6" w14:textId="735D6003"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(0.3)</w:t>
            </w:r>
          </w:p>
        </w:tc>
        <w:tc>
          <w:tcPr>
            <w:tcW w:w="850" w:type="dxa"/>
            <w:tcBorders>
              <w:bottom w:val="single" w:sz="4" w:space="0" w:color="3D7FE0" w:themeColor="accent1"/>
            </w:tcBorders>
            <w:tcMar>
              <w:left w:w="0" w:type="dxa"/>
              <w:right w:w="0" w:type="dxa"/>
            </w:tcMar>
          </w:tcPr>
          <w:p w14:paraId="61A28AFA" w14:textId="60394308" w:rsidR="00A84119" w:rsidRPr="00A84119" w:rsidRDefault="00A84119"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(14.4)</w:t>
            </w:r>
          </w:p>
        </w:tc>
        <w:tc>
          <w:tcPr>
            <w:tcW w:w="236" w:type="dxa"/>
            <w:tcBorders>
              <w:bottom w:val="single" w:sz="4" w:space="0" w:color="3D7FE0" w:themeColor="accent1"/>
            </w:tcBorders>
            <w:vAlign w:val="bottom"/>
          </w:tcPr>
          <w:p w14:paraId="4D8E1F6E" w14:textId="14D96ACE" w:rsidR="00A84119" w:rsidRPr="00895810" w:rsidRDefault="00A84119" w:rsidP="00A84119">
            <w:pPr>
              <w:pStyle w:val="TableFiguresBold"/>
              <w:ind w:left="-109" w:right="-104"/>
              <w:rPr>
                <w:rFonts w:ascii="IBM Plex Sans Light" w:hAnsi="IBM Plex Sans Light"/>
                <w:b w:val="0"/>
                <w:bCs w:val="0"/>
                <w:color w:val="auto"/>
                <w:spacing w:val="-4"/>
                <w:sz w:val="18"/>
                <w:szCs w:val="18"/>
              </w:rPr>
            </w:pPr>
          </w:p>
        </w:tc>
        <w:tc>
          <w:tcPr>
            <w:tcW w:w="813" w:type="dxa"/>
            <w:tcBorders>
              <w:bottom w:val="single" w:sz="4" w:space="0" w:color="3D7FE0" w:themeColor="accent1"/>
            </w:tcBorders>
            <w:tcMar>
              <w:left w:w="0" w:type="dxa"/>
              <w:right w:w="0" w:type="dxa"/>
            </w:tcMar>
          </w:tcPr>
          <w:p w14:paraId="33BA8637" w14:textId="0426634D" w:rsidR="00A84119" w:rsidRPr="008958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35.0</w:t>
            </w:r>
          </w:p>
        </w:tc>
        <w:tc>
          <w:tcPr>
            <w:tcW w:w="709" w:type="dxa"/>
            <w:tcBorders>
              <w:bottom w:val="single" w:sz="4" w:space="0" w:color="3D7FE0" w:themeColor="accent1"/>
            </w:tcBorders>
          </w:tcPr>
          <w:p w14:paraId="15BBCD51" w14:textId="01D8F597" w:rsidR="00A84119" w:rsidRPr="00895810" w:rsidRDefault="00A84119" w:rsidP="00A84119">
            <w:pPr>
              <w:pStyle w:val="TableFiguresBold"/>
              <w:tabs>
                <w:tab w:val="decimal" w:pos="518"/>
              </w:tabs>
              <w:ind w:right="-107"/>
              <w:jc w:val="left"/>
              <w:rPr>
                <w:rFonts w:ascii="IBM Plex Sans Light" w:hAnsi="IBM Plex Sans Light"/>
                <w:b w:val="0"/>
                <w:bCs w:val="0"/>
                <w:color w:val="auto"/>
                <w:spacing w:val="-4"/>
                <w:sz w:val="18"/>
                <w:szCs w:val="18"/>
              </w:rPr>
            </w:pPr>
            <w:r w:rsidRPr="006276B0">
              <w:rPr>
                <w:rFonts w:ascii="IBM Plex Sans Light" w:hAnsi="IBM Plex Sans Light"/>
                <w:b w:val="0"/>
                <w:bCs w:val="0"/>
                <w:color w:val="auto"/>
                <w:spacing w:val="-4"/>
                <w:sz w:val="18"/>
                <w:szCs w:val="18"/>
              </w:rPr>
              <w:t>5.9</w:t>
            </w:r>
          </w:p>
        </w:tc>
        <w:tc>
          <w:tcPr>
            <w:tcW w:w="794" w:type="dxa"/>
            <w:tcBorders>
              <w:bottom w:val="single" w:sz="4" w:space="0" w:color="3D7FE0" w:themeColor="accent1"/>
            </w:tcBorders>
            <w:tcMar>
              <w:left w:w="0" w:type="dxa"/>
              <w:right w:w="0" w:type="dxa"/>
            </w:tcMar>
          </w:tcPr>
          <w:p w14:paraId="60C04E07" w14:textId="2313135D" w:rsidR="00A84119" w:rsidRPr="0089581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40.9</w:t>
            </w:r>
          </w:p>
        </w:tc>
      </w:tr>
      <w:tr w:rsidR="00A84119" w:rsidRPr="00895810" w14:paraId="6978D8C9" w14:textId="77777777" w:rsidTr="00024B10">
        <w:trPr>
          <w:trHeight w:hRule="exact" w:val="249"/>
        </w:trPr>
        <w:tc>
          <w:tcPr>
            <w:tcW w:w="4253" w:type="dxa"/>
            <w:tcBorders>
              <w:top w:val="single" w:sz="4" w:space="0" w:color="3D7FE0" w:themeColor="accent1"/>
              <w:bottom w:val="single" w:sz="8" w:space="0" w:color="3D7FE0" w:themeColor="accent1"/>
            </w:tcBorders>
            <w:tcMar>
              <w:left w:w="0" w:type="dxa"/>
              <w:right w:w="0" w:type="dxa"/>
            </w:tcMar>
            <w:vAlign w:val="bottom"/>
          </w:tcPr>
          <w:p w14:paraId="23497CFB" w14:textId="0205333D" w:rsidR="00A84119" w:rsidRPr="00895810" w:rsidRDefault="00A84119" w:rsidP="00A84119">
            <w:pPr>
              <w:pStyle w:val="TableFiguresBold"/>
              <w:jc w:val="left"/>
              <w:rPr>
                <w:rFonts w:ascii="IBM Plex Sans Light" w:hAnsi="IBM Plex Sans Light"/>
                <w:color w:val="3D7FE0" w:themeColor="accent1"/>
                <w:spacing w:val="-4"/>
                <w:sz w:val="18"/>
                <w:szCs w:val="18"/>
              </w:rPr>
            </w:pPr>
            <w:r w:rsidRPr="00895810">
              <w:rPr>
                <w:rFonts w:ascii="IBM Plex Sans Light" w:hAnsi="IBM Plex Sans Light"/>
                <w:color w:val="3D7FE0" w:themeColor="accent1"/>
                <w:sz w:val="18"/>
                <w:szCs w:val="18"/>
              </w:rPr>
              <w:t>At 31 December</w:t>
            </w:r>
          </w:p>
        </w:tc>
        <w:tc>
          <w:tcPr>
            <w:tcW w:w="283" w:type="dxa"/>
            <w:tcBorders>
              <w:top w:val="single" w:sz="4" w:space="0" w:color="3D7FE0" w:themeColor="accent1"/>
              <w:bottom w:val="single" w:sz="8" w:space="0" w:color="3D7FE0" w:themeColor="accent1"/>
            </w:tcBorders>
          </w:tcPr>
          <w:p w14:paraId="71F76738" w14:textId="7544F73E" w:rsidR="00A84119" w:rsidRPr="00895810" w:rsidRDefault="00A84119" w:rsidP="00A84119">
            <w:pPr>
              <w:pStyle w:val="TableFiguresBold"/>
              <w:ind w:left="138" w:hanging="247"/>
              <w:jc w:val="center"/>
              <w:rPr>
                <w:rFonts w:ascii="IBM Plex Sans Light" w:hAnsi="IBM Plex Sans Light"/>
                <w:b w:val="0"/>
                <w:bCs w:val="0"/>
                <w:color w:val="auto"/>
                <w:spacing w:val="-4"/>
                <w:szCs w:val="16"/>
              </w:rPr>
            </w:pPr>
            <w:r w:rsidRPr="00895810">
              <w:rPr>
                <w:rFonts w:ascii="IBM Plex Sans Light" w:hAnsi="IBM Plex Sans Light"/>
                <w:b w:val="0"/>
                <w:bCs w:val="0"/>
                <w:color w:val="auto"/>
                <w:spacing w:val="-4"/>
                <w:szCs w:val="16"/>
              </w:rPr>
              <w:t>b</w:t>
            </w:r>
          </w:p>
        </w:tc>
        <w:tc>
          <w:tcPr>
            <w:tcW w:w="993" w:type="dxa"/>
            <w:tcBorders>
              <w:top w:val="single" w:sz="4" w:space="0" w:color="3D7FE0" w:themeColor="accent1"/>
              <w:bottom w:val="single" w:sz="8" w:space="0" w:color="3D7FE0" w:themeColor="accent1"/>
            </w:tcBorders>
          </w:tcPr>
          <w:p w14:paraId="554C6E0B" w14:textId="0FCD7223"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1,115.0</w:t>
            </w:r>
          </w:p>
        </w:tc>
        <w:tc>
          <w:tcPr>
            <w:tcW w:w="992" w:type="dxa"/>
            <w:tcBorders>
              <w:top w:val="single" w:sz="4" w:space="0" w:color="3D7FE0" w:themeColor="accent1"/>
              <w:bottom w:val="single" w:sz="8" w:space="0" w:color="3D7FE0" w:themeColor="accent1"/>
            </w:tcBorders>
            <w:tcMar>
              <w:left w:w="0" w:type="dxa"/>
              <w:right w:w="0" w:type="dxa"/>
            </w:tcMar>
          </w:tcPr>
          <w:p w14:paraId="7026730F" w14:textId="57A04F3A" w:rsidR="00A84119" w:rsidRPr="0053048A" w:rsidRDefault="00A84119" w:rsidP="00024B10">
            <w:pPr>
              <w:pStyle w:val="TableFiguresBrackets"/>
              <w:ind w:right="85"/>
              <w:rPr>
                <w:rFonts w:ascii="IBM Plex Sans Medium" w:hAnsi="IBM Plex Sans Medium"/>
                <w:color w:val="3D7FE0" w:themeColor="accent1"/>
                <w:spacing w:val="-4"/>
                <w:sz w:val="18"/>
                <w:szCs w:val="18"/>
              </w:rPr>
            </w:pPr>
            <w:r w:rsidRPr="0053048A">
              <w:rPr>
                <w:rFonts w:ascii="IBM Plex Sans Medium" w:hAnsi="IBM Plex Sans Medium"/>
                <w:b/>
                <w:bCs/>
                <w:color w:val="3D7FE0" w:themeColor="accent1"/>
                <w:spacing w:val="-4"/>
                <w:sz w:val="18"/>
                <w:szCs w:val="18"/>
              </w:rPr>
              <w:t>–</w:t>
            </w:r>
          </w:p>
        </w:tc>
        <w:tc>
          <w:tcPr>
            <w:tcW w:w="850" w:type="dxa"/>
            <w:tcBorders>
              <w:top w:val="single" w:sz="4" w:space="0" w:color="3D7FE0" w:themeColor="accent1"/>
              <w:bottom w:val="single" w:sz="8" w:space="0" w:color="3D7FE0" w:themeColor="accent1"/>
            </w:tcBorders>
            <w:tcMar>
              <w:left w:w="0" w:type="dxa"/>
              <w:right w:w="0" w:type="dxa"/>
            </w:tcMar>
          </w:tcPr>
          <w:p w14:paraId="0E190934" w14:textId="3C0C4BD9" w:rsidR="00A84119" w:rsidRPr="004406E3" w:rsidRDefault="00A84119" w:rsidP="00A84119">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1,115.0</w:t>
            </w:r>
          </w:p>
        </w:tc>
        <w:tc>
          <w:tcPr>
            <w:tcW w:w="236" w:type="dxa"/>
            <w:tcBorders>
              <w:top w:val="single" w:sz="4" w:space="0" w:color="3D7FE0" w:themeColor="accent1"/>
              <w:bottom w:val="single" w:sz="8" w:space="0" w:color="3D7FE0" w:themeColor="accent1"/>
            </w:tcBorders>
            <w:vAlign w:val="bottom"/>
          </w:tcPr>
          <w:p w14:paraId="423B3E86" w14:textId="73E31F66" w:rsidR="00A84119" w:rsidRPr="00895810" w:rsidRDefault="00A84119" w:rsidP="00A84119">
            <w:pPr>
              <w:pStyle w:val="TableFiguresBold"/>
              <w:ind w:left="-135" w:right="-46"/>
              <w:rPr>
                <w:rFonts w:ascii="IBM Plex Sans Light" w:hAnsi="IBM Plex Sans Light"/>
                <w:b w:val="0"/>
                <w:bCs w:val="0"/>
                <w:color w:val="auto"/>
                <w:spacing w:val="-4"/>
                <w:sz w:val="18"/>
                <w:szCs w:val="18"/>
              </w:rPr>
            </w:pPr>
          </w:p>
        </w:tc>
        <w:tc>
          <w:tcPr>
            <w:tcW w:w="813" w:type="dxa"/>
            <w:tcBorders>
              <w:top w:val="single" w:sz="4" w:space="0" w:color="3D7FE0" w:themeColor="accent1"/>
              <w:bottom w:val="single" w:sz="8" w:space="0" w:color="3D7FE0" w:themeColor="accent1"/>
            </w:tcBorders>
            <w:tcMar>
              <w:left w:w="0" w:type="dxa"/>
              <w:right w:w="0" w:type="dxa"/>
            </w:tcMar>
          </w:tcPr>
          <w:p w14:paraId="7182C204" w14:textId="181F4B3E"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1,189.4</w:t>
            </w:r>
          </w:p>
        </w:tc>
        <w:tc>
          <w:tcPr>
            <w:tcW w:w="709" w:type="dxa"/>
            <w:tcBorders>
              <w:top w:val="single" w:sz="4" w:space="0" w:color="3D7FE0" w:themeColor="accent1"/>
              <w:bottom w:val="single" w:sz="8" w:space="0" w:color="3D7FE0" w:themeColor="accent1"/>
            </w:tcBorders>
          </w:tcPr>
          <w:p w14:paraId="405A0126" w14:textId="36F3CC0F"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107.7</w:t>
            </w:r>
          </w:p>
        </w:tc>
        <w:tc>
          <w:tcPr>
            <w:tcW w:w="794" w:type="dxa"/>
            <w:tcBorders>
              <w:top w:val="single" w:sz="4" w:space="0" w:color="3D7FE0" w:themeColor="accent1"/>
              <w:bottom w:val="single" w:sz="8" w:space="0" w:color="3D7FE0" w:themeColor="accent1"/>
            </w:tcBorders>
            <w:tcMar>
              <w:left w:w="0" w:type="dxa"/>
              <w:right w:w="0" w:type="dxa"/>
            </w:tcMar>
          </w:tcPr>
          <w:p w14:paraId="57EAE5A5" w14:textId="0373D384" w:rsidR="00A84119" w:rsidRPr="006276B0" w:rsidRDefault="00A84119" w:rsidP="00A84119">
            <w:pPr>
              <w:pStyle w:val="TableFiguresBrackets"/>
              <w:tabs>
                <w:tab w:val="decimal" w:pos="518"/>
              </w:tabs>
              <w:ind w:right="-107"/>
              <w:jc w:val="left"/>
              <w:rPr>
                <w:rFonts w:ascii="IBM Plex Sans Light" w:hAnsi="IBM Plex Sans Light"/>
                <w:color w:val="auto"/>
                <w:spacing w:val="-4"/>
                <w:sz w:val="18"/>
                <w:szCs w:val="18"/>
              </w:rPr>
            </w:pPr>
            <w:r w:rsidRPr="006276B0">
              <w:rPr>
                <w:rFonts w:ascii="IBM Plex Sans Light" w:hAnsi="IBM Plex Sans Light"/>
                <w:color w:val="auto"/>
                <w:spacing w:val="-4"/>
                <w:sz w:val="18"/>
                <w:szCs w:val="18"/>
              </w:rPr>
              <w:t>1,297.1</w:t>
            </w:r>
          </w:p>
        </w:tc>
      </w:tr>
    </w:tbl>
    <w:p w14:paraId="6B91CBAF" w14:textId="77777777" w:rsidR="009A55A1" w:rsidRDefault="009A55A1">
      <w:pPr>
        <w:spacing w:after="0" w:line="240" w:lineRule="auto"/>
        <w:rPr>
          <w:rFonts w:ascii="IBM Plex Sans Light" w:hAnsi="IBM Plex Sans Light" w:cs="Arial"/>
          <w:b/>
          <w:color w:val="3D7FE0" w:themeColor="accent1"/>
          <w:szCs w:val="18"/>
        </w:rPr>
      </w:pPr>
    </w:p>
    <w:p w14:paraId="36C89B79" w14:textId="77777777" w:rsidR="009A55A1" w:rsidRPr="007C5135" w:rsidRDefault="009A55A1" w:rsidP="009A55A1">
      <w:pPr>
        <w:spacing w:after="0" w:line="240" w:lineRule="auto"/>
        <w:ind w:left="284" w:right="-255" w:hanging="284"/>
        <w:rPr>
          <w:rFonts w:ascii="IBM Plex Sans Light" w:hAnsi="IBM Plex Sans Light" w:cs="Arial"/>
          <w:bCs/>
          <w:sz w:val="16"/>
          <w:szCs w:val="16"/>
        </w:rPr>
      </w:pPr>
      <w:r w:rsidRPr="007C5135">
        <w:rPr>
          <w:rFonts w:ascii="IBM Plex Sans Light" w:hAnsi="IBM Plex Sans Light" w:cs="Arial"/>
          <w:bCs/>
          <w:sz w:val="16"/>
          <w:szCs w:val="16"/>
        </w:rPr>
        <w:t>a</w:t>
      </w:r>
      <w:r w:rsidRPr="007C5135">
        <w:rPr>
          <w:rFonts w:ascii="IBM Plex Sans Light" w:hAnsi="IBM Plex Sans Light" w:cs="Arial"/>
          <w:bCs/>
          <w:sz w:val="16"/>
          <w:szCs w:val="16"/>
        </w:rPr>
        <w:tab/>
        <w:t>Relates to the change in fair value of derivative financial instruments in an effective hedge relationship within Value Retail.</w:t>
      </w:r>
    </w:p>
    <w:p w14:paraId="4D697420" w14:textId="69A0CCA3" w:rsidR="00773EB8" w:rsidRPr="00895810" w:rsidRDefault="009A55A1" w:rsidP="009A55A1">
      <w:pPr>
        <w:spacing w:after="0" w:line="240" w:lineRule="auto"/>
        <w:ind w:left="284" w:right="-255" w:hanging="284"/>
        <w:rPr>
          <w:rFonts w:ascii="IBM Plex Sans Light" w:hAnsi="IBM Plex Sans Light" w:cs="Arial"/>
          <w:b/>
          <w:color w:val="3D7FE0" w:themeColor="accent1"/>
          <w:szCs w:val="18"/>
        </w:rPr>
      </w:pPr>
      <w:r w:rsidRPr="007C5135">
        <w:rPr>
          <w:rFonts w:ascii="IBM Plex Sans Light" w:hAnsi="IBM Plex Sans Light" w:cs="Arial"/>
          <w:bCs/>
          <w:sz w:val="16"/>
          <w:szCs w:val="16"/>
        </w:rPr>
        <w:t>b</w:t>
      </w:r>
      <w:r w:rsidRPr="007C5135">
        <w:rPr>
          <w:rFonts w:ascii="IBM Plex Sans Light" w:hAnsi="IBM Plex Sans Light" w:cs="Arial"/>
          <w:bCs/>
          <w:sz w:val="16"/>
          <w:szCs w:val="16"/>
        </w:rPr>
        <w:tab/>
        <w:t>Includes accumulated impairment to the investment in Value Retail of £94.3m (2022: £94.3m) which was recognised in the year ended 31 December 2020 and is equivalent to the notional goodwill on this investment.</w:t>
      </w:r>
      <w:r w:rsidRPr="009A55A1">
        <w:rPr>
          <w:rFonts w:ascii="IBM Plex Sans Light" w:hAnsi="IBM Plex Sans Light" w:cs="Arial"/>
          <w:b/>
          <w:color w:val="3D7FE0" w:themeColor="accent1"/>
          <w:szCs w:val="18"/>
        </w:rPr>
        <w:t xml:space="preserve"> </w:t>
      </w:r>
    </w:p>
    <w:p w14:paraId="18F02AED" w14:textId="77777777" w:rsidR="00F61C44" w:rsidRDefault="00F61C44" w:rsidP="00AB6B6E">
      <w:pPr>
        <w:spacing w:after="80" w:line="240" w:lineRule="auto"/>
        <w:jc w:val="both"/>
        <w:rPr>
          <w:rFonts w:ascii="IBM Plex Sans Medium" w:hAnsi="IBM Plex Sans Medium" w:cs="Arial"/>
          <w:b/>
          <w:color w:val="3D7FE0" w:themeColor="accent1"/>
          <w:szCs w:val="18"/>
        </w:rPr>
      </w:pPr>
    </w:p>
    <w:p w14:paraId="7F77DABD" w14:textId="3901E663" w:rsidR="006C6A4E" w:rsidRPr="00AB6B6E" w:rsidRDefault="006C6A4E"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F03778" w:rsidRPr="00AB6B6E">
        <w:rPr>
          <w:rFonts w:ascii="IBM Plex Sans Medium" w:hAnsi="IBM Plex Sans Medium" w:cs="Arial"/>
          <w:b/>
          <w:color w:val="3D7FE0" w:themeColor="accent1"/>
          <w:szCs w:val="18"/>
        </w:rPr>
        <w:t>4</w:t>
      </w:r>
      <w:r w:rsidRPr="00AB6B6E">
        <w:rPr>
          <w:rFonts w:ascii="IBM Plex Sans Medium" w:hAnsi="IBM Plex Sans Medium" w:cs="Arial"/>
          <w:b/>
          <w:color w:val="3D7FE0" w:themeColor="accent1"/>
          <w:szCs w:val="18"/>
        </w:rPr>
        <w:t xml:space="preserve">. </w:t>
      </w:r>
      <w:r w:rsidR="00DE4386" w:rsidRPr="00AB6B6E">
        <w:rPr>
          <w:rFonts w:ascii="IBM Plex Sans Medium" w:hAnsi="IBM Plex Sans Medium" w:cs="Arial"/>
          <w:b/>
          <w:color w:val="3D7FE0" w:themeColor="accent1"/>
          <w:szCs w:val="18"/>
        </w:rPr>
        <w:t xml:space="preserve">TRADE AND OTHER </w:t>
      </w:r>
      <w:r w:rsidRPr="00AB6B6E">
        <w:rPr>
          <w:rFonts w:ascii="IBM Plex Sans Medium" w:hAnsi="IBM Plex Sans Medium" w:cs="Arial"/>
          <w:b/>
          <w:color w:val="3D7FE0" w:themeColor="accent1"/>
          <w:szCs w:val="18"/>
        </w:rPr>
        <w:t>R</w:t>
      </w:r>
      <w:r w:rsidR="00267853" w:rsidRPr="00AB6B6E">
        <w:rPr>
          <w:rFonts w:ascii="IBM Plex Sans Medium" w:hAnsi="IBM Plex Sans Medium" w:cs="Arial"/>
          <w:b/>
          <w:color w:val="3D7FE0" w:themeColor="accent1"/>
          <w:szCs w:val="18"/>
        </w:rPr>
        <w:t xml:space="preserve">ECEIVABLES </w:t>
      </w:r>
    </w:p>
    <w:p w14:paraId="44D7C340" w14:textId="0947B3F0" w:rsidR="00FB58D2" w:rsidRPr="00895810" w:rsidRDefault="009A55A1" w:rsidP="00710846">
      <w:pPr>
        <w:pStyle w:val="Heading2SpaceBefore"/>
        <w:spacing w:before="80"/>
        <w:rPr>
          <w:rFonts w:ascii="IBM Plex Sans Light" w:hAnsi="IBM Plex Sans Light"/>
          <w:color w:val="3D7FE0" w:themeColor="accent1"/>
        </w:rPr>
      </w:pPr>
      <w:r>
        <w:rPr>
          <w:rFonts w:ascii="IBM Plex Sans Light" w:hAnsi="IBM Plex Sans Light"/>
          <w:color w:val="3D7FE0" w:themeColor="accent1"/>
        </w:rPr>
        <w:t>A</w:t>
      </w:r>
      <w:r w:rsidR="00B95ADD" w:rsidRPr="00895810">
        <w:rPr>
          <w:rFonts w:ascii="IBM Plex Sans Light" w:hAnsi="IBM Plex Sans Light"/>
          <w:color w:val="3D7FE0" w:themeColor="accent1"/>
        </w:rPr>
        <w:t xml:space="preserve">: </w:t>
      </w:r>
      <w:r w:rsidR="00C62996" w:rsidRPr="00895810">
        <w:rPr>
          <w:rFonts w:ascii="IBM Plex Sans Light" w:hAnsi="IBM Plex Sans Light"/>
          <w:color w:val="3D7FE0" w:themeColor="accent1"/>
        </w:rPr>
        <w:t>TRADE (TENANT) RECEIVABLES - AGEING ANALYSIS AND PROVISIONING</w:t>
      </w:r>
    </w:p>
    <w:tbl>
      <w:tblPr>
        <w:tblW w:w="9924" w:type="dxa"/>
        <w:tblInd w:w="108" w:type="dxa"/>
        <w:tblLayout w:type="fixed"/>
        <w:tblLook w:val="01E0" w:firstRow="1" w:lastRow="1" w:firstColumn="1" w:lastColumn="1" w:noHBand="0" w:noVBand="0"/>
      </w:tblPr>
      <w:tblGrid>
        <w:gridCol w:w="2976"/>
        <w:gridCol w:w="371"/>
        <w:gridCol w:w="624"/>
        <w:gridCol w:w="992"/>
        <w:gridCol w:w="992"/>
        <w:gridCol w:w="992"/>
        <w:gridCol w:w="993"/>
        <w:gridCol w:w="992"/>
        <w:gridCol w:w="992"/>
      </w:tblGrid>
      <w:tr w:rsidR="00794658" w:rsidRPr="00895810" w14:paraId="14676188" w14:textId="77777777" w:rsidTr="00710846">
        <w:trPr>
          <w:trHeight w:hRule="exact" w:val="170"/>
        </w:trPr>
        <w:tc>
          <w:tcPr>
            <w:tcW w:w="2976" w:type="dxa"/>
            <w:tcBorders>
              <w:bottom w:val="single" w:sz="2" w:space="0" w:color="3D7FE0" w:themeColor="accent1"/>
            </w:tcBorders>
            <w:vAlign w:val="bottom"/>
          </w:tcPr>
          <w:p w14:paraId="4A94EE9E" w14:textId="77777777" w:rsidR="00794658" w:rsidRPr="00895810" w:rsidRDefault="00794658" w:rsidP="003F2C4C">
            <w:pPr>
              <w:pStyle w:val="TableColHeadsBold"/>
              <w:spacing w:line="240" w:lineRule="auto"/>
              <w:jc w:val="left"/>
              <w:rPr>
                <w:rFonts w:ascii="IBM Plex Sans Light" w:hAnsi="IBM Plex Sans Light"/>
                <w:color w:val="3D7FE0" w:themeColor="accent1"/>
                <w:sz w:val="16"/>
                <w:szCs w:val="16"/>
              </w:rPr>
            </w:pPr>
          </w:p>
        </w:tc>
        <w:tc>
          <w:tcPr>
            <w:tcW w:w="371" w:type="dxa"/>
            <w:tcBorders>
              <w:bottom w:val="single" w:sz="2" w:space="0" w:color="3D7FE0" w:themeColor="accent1"/>
            </w:tcBorders>
            <w:vAlign w:val="bottom"/>
          </w:tcPr>
          <w:p w14:paraId="4E9311FE" w14:textId="77777777" w:rsidR="00794658" w:rsidRPr="00895810" w:rsidRDefault="00794658" w:rsidP="003F2C4C">
            <w:pPr>
              <w:pStyle w:val="TableColHeadsBold"/>
              <w:tabs>
                <w:tab w:val="clear" w:pos="284"/>
              </w:tabs>
              <w:spacing w:line="240" w:lineRule="auto"/>
              <w:ind w:right="0"/>
              <w:jc w:val="left"/>
              <w:rPr>
                <w:rFonts w:ascii="IBM Plex Sans Light" w:hAnsi="IBM Plex Sans Light"/>
                <w:color w:val="3D7FE0" w:themeColor="accent1"/>
                <w:sz w:val="16"/>
                <w:szCs w:val="16"/>
              </w:rPr>
            </w:pPr>
          </w:p>
        </w:tc>
        <w:tc>
          <w:tcPr>
            <w:tcW w:w="624" w:type="dxa"/>
            <w:tcBorders>
              <w:bottom w:val="single" w:sz="2" w:space="0" w:color="3D7FE0" w:themeColor="accent1"/>
            </w:tcBorders>
            <w:tcMar>
              <w:left w:w="0" w:type="dxa"/>
              <w:right w:w="0" w:type="dxa"/>
            </w:tcMar>
            <w:vAlign w:val="bottom"/>
          </w:tcPr>
          <w:p w14:paraId="7B261B01" w14:textId="77777777" w:rsidR="00794658" w:rsidRPr="00895810" w:rsidRDefault="00794658" w:rsidP="003F2C4C">
            <w:pPr>
              <w:pStyle w:val="TableColHeadsBold"/>
              <w:spacing w:line="240" w:lineRule="auto"/>
              <w:jc w:val="left"/>
              <w:rPr>
                <w:rFonts w:ascii="IBM Plex Sans Light" w:hAnsi="IBM Plex Sans Light"/>
                <w:color w:val="3D7FE0" w:themeColor="accent1"/>
                <w:szCs w:val="14"/>
              </w:rPr>
            </w:pPr>
          </w:p>
        </w:tc>
        <w:tc>
          <w:tcPr>
            <w:tcW w:w="2976" w:type="dxa"/>
            <w:gridSpan w:val="3"/>
            <w:tcBorders>
              <w:bottom w:val="single" w:sz="2" w:space="0" w:color="3D7FE0" w:themeColor="accent1"/>
            </w:tcBorders>
            <w:tcMar>
              <w:left w:w="0" w:type="dxa"/>
              <w:right w:w="0" w:type="dxa"/>
            </w:tcMar>
            <w:vAlign w:val="bottom"/>
          </w:tcPr>
          <w:p w14:paraId="7FE6FE7A" w14:textId="28CD8D02" w:rsidR="00794658" w:rsidRPr="00895810" w:rsidRDefault="00785AC2" w:rsidP="003F2C4C">
            <w:pPr>
              <w:pStyle w:val="TableColHeadsBold"/>
              <w:spacing w:line="240" w:lineRule="auto"/>
              <w:ind w:right="144"/>
              <w:rPr>
                <w:rFonts w:ascii="IBM Plex Sans Light" w:hAnsi="IBM Plex Sans Light"/>
                <w:color w:val="3D7FE0" w:themeColor="accent1"/>
                <w:szCs w:val="14"/>
              </w:rPr>
            </w:pPr>
            <w:r>
              <w:rPr>
                <w:rFonts w:ascii="IBM Plex Sans Light" w:hAnsi="IBM Plex Sans Light"/>
                <w:color w:val="3D7FE0" w:themeColor="accent1"/>
                <w:szCs w:val="14"/>
              </w:rPr>
              <w:t>2023</w:t>
            </w:r>
          </w:p>
        </w:tc>
        <w:tc>
          <w:tcPr>
            <w:tcW w:w="2977" w:type="dxa"/>
            <w:gridSpan w:val="3"/>
            <w:tcBorders>
              <w:bottom w:val="single" w:sz="2" w:space="0" w:color="3D7FE0" w:themeColor="accent1"/>
            </w:tcBorders>
            <w:vAlign w:val="bottom"/>
          </w:tcPr>
          <w:p w14:paraId="5BBD9E1B" w14:textId="2D5F082F" w:rsidR="00794658" w:rsidRPr="00895810" w:rsidRDefault="006E7EB0" w:rsidP="003F2C4C">
            <w:pPr>
              <w:pStyle w:val="TableColHeadsBold"/>
              <w:spacing w:line="240" w:lineRule="auto"/>
              <w:rPr>
                <w:rFonts w:ascii="IBM Plex Sans Light" w:hAnsi="IBM Plex Sans Light"/>
                <w:b w:val="0"/>
                <w:szCs w:val="14"/>
              </w:rPr>
            </w:pPr>
            <w:r>
              <w:rPr>
                <w:rFonts w:ascii="IBM Plex Sans Light" w:hAnsi="IBM Plex Sans Light"/>
                <w:b w:val="0"/>
                <w:szCs w:val="14"/>
              </w:rPr>
              <w:t>2022</w:t>
            </w:r>
          </w:p>
        </w:tc>
      </w:tr>
      <w:tr w:rsidR="00794658" w:rsidRPr="00895810" w14:paraId="12F44997" w14:textId="77777777" w:rsidTr="00B877C0">
        <w:trPr>
          <w:trHeight w:val="313"/>
        </w:trPr>
        <w:tc>
          <w:tcPr>
            <w:tcW w:w="2976" w:type="dxa"/>
            <w:tcBorders>
              <w:top w:val="single" w:sz="2" w:space="0" w:color="3D7FE0" w:themeColor="accent1"/>
            </w:tcBorders>
            <w:vAlign w:val="bottom"/>
          </w:tcPr>
          <w:p w14:paraId="5D154B36" w14:textId="77777777" w:rsidR="00794658" w:rsidRPr="00895810" w:rsidRDefault="00794658" w:rsidP="003F2C4C">
            <w:pPr>
              <w:pStyle w:val="TableColHeadsBold"/>
              <w:jc w:val="left"/>
              <w:rPr>
                <w:rFonts w:ascii="IBM Plex Sans Light" w:hAnsi="IBM Plex Sans Light"/>
                <w:color w:val="3D7FE0" w:themeColor="accent1"/>
                <w:sz w:val="16"/>
                <w:szCs w:val="16"/>
              </w:rPr>
            </w:pPr>
          </w:p>
        </w:tc>
        <w:tc>
          <w:tcPr>
            <w:tcW w:w="371" w:type="dxa"/>
            <w:tcBorders>
              <w:top w:val="single" w:sz="2" w:space="0" w:color="3D7FE0" w:themeColor="accent1"/>
            </w:tcBorders>
            <w:vAlign w:val="bottom"/>
          </w:tcPr>
          <w:p w14:paraId="14F34849" w14:textId="77777777" w:rsidR="00794658" w:rsidRPr="00895810" w:rsidRDefault="00794658" w:rsidP="003F2C4C">
            <w:pPr>
              <w:pStyle w:val="TableColHeadsBold"/>
              <w:tabs>
                <w:tab w:val="clear" w:pos="284"/>
              </w:tabs>
              <w:ind w:right="0"/>
              <w:rPr>
                <w:rFonts w:ascii="IBM Plex Sans Light" w:hAnsi="IBM Plex Sans Light"/>
                <w:sz w:val="16"/>
                <w:szCs w:val="16"/>
              </w:rPr>
            </w:pPr>
          </w:p>
        </w:tc>
        <w:tc>
          <w:tcPr>
            <w:tcW w:w="624" w:type="dxa"/>
            <w:tcBorders>
              <w:top w:val="single" w:sz="2" w:space="0" w:color="3D7FE0" w:themeColor="accent1"/>
            </w:tcBorders>
            <w:tcMar>
              <w:left w:w="0" w:type="dxa"/>
              <w:right w:w="0" w:type="dxa"/>
            </w:tcMar>
            <w:vAlign w:val="bottom"/>
          </w:tcPr>
          <w:p w14:paraId="5428E10D" w14:textId="77777777" w:rsidR="00794658" w:rsidRPr="00895810" w:rsidRDefault="00794658" w:rsidP="003F2C4C">
            <w:pPr>
              <w:pStyle w:val="TableColHeadsBold"/>
              <w:rPr>
                <w:rFonts w:ascii="IBM Plex Sans Light" w:hAnsi="IBM Plex Sans Light"/>
                <w:color w:val="3D7FE0" w:themeColor="accent1"/>
                <w:szCs w:val="14"/>
              </w:rPr>
            </w:pPr>
          </w:p>
        </w:tc>
        <w:tc>
          <w:tcPr>
            <w:tcW w:w="992" w:type="dxa"/>
            <w:tcBorders>
              <w:top w:val="single" w:sz="2" w:space="0" w:color="3D7FE0" w:themeColor="accent1"/>
            </w:tcBorders>
            <w:tcMar>
              <w:left w:w="0" w:type="dxa"/>
              <w:right w:w="0" w:type="dxa"/>
            </w:tcMar>
            <w:vAlign w:val="bottom"/>
          </w:tcPr>
          <w:p w14:paraId="3F4E82F8" w14:textId="77777777" w:rsidR="00794658" w:rsidRPr="00895810" w:rsidRDefault="00794658" w:rsidP="003F2C4C">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Gross trade receivables</w:t>
            </w:r>
          </w:p>
        </w:tc>
        <w:tc>
          <w:tcPr>
            <w:tcW w:w="992" w:type="dxa"/>
            <w:tcBorders>
              <w:top w:val="single" w:sz="2" w:space="0" w:color="3D7FE0" w:themeColor="accent1"/>
            </w:tcBorders>
            <w:vAlign w:val="bottom"/>
          </w:tcPr>
          <w:p w14:paraId="4203365D" w14:textId="454C4B13" w:rsidR="00794658" w:rsidRPr="00895810" w:rsidRDefault="00794658" w:rsidP="003F2C4C">
            <w:pPr>
              <w:pStyle w:val="TableColHeadsBold"/>
              <w:tabs>
                <w:tab w:val="clear" w:pos="284"/>
              </w:tabs>
              <w:ind w:right="0"/>
              <w:rPr>
                <w:rFonts w:ascii="IBM Plex Sans Light" w:hAnsi="IBM Plex Sans Light"/>
                <w:color w:val="3D7FE0" w:themeColor="accent1"/>
                <w:szCs w:val="14"/>
              </w:rPr>
            </w:pPr>
            <w:r w:rsidRPr="00895810">
              <w:rPr>
                <w:rFonts w:ascii="IBM Plex Sans Light" w:hAnsi="IBM Plex Sans Light"/>
                <w:color w:val="3D7FE0" w:themeColor="accent1"/>
                <w:szCs w:val="14"/>
              </w:rPr>
              <w:t>Provision</w:t>
            </w:r>
          </w:p>
        </w:tc>
        <w:tc>
          <w:tcPr>
            <w:tcW w:w="992" w:type="dxa"/>
            <w:tcBorders>
              <w:top w:val="single" w:sz="2" w:space="0" w:color="3D7FE0" w:themeColor="accent1"/>
            </w:tcBorders>
            <w:vAlign w:val="bottom"/>
          </w:tcPr>
          <w:p w14:paraId="10497890" w14:textId="77777777" w:rsidR="00794658" w:rsidRPr="00895810" w:rsidRDefault="00794658" w:rsidP="003F2C4C">
            <w:pPr>
              <w:pStyle w:val="TableColHeadsBold"/>
              <w:ind w:left="-114"/>
              <w:rPr>
                <w:rFonts w:ascii="IBM Plex Sans Light" w:hAnsi="IBM Plex Sans Light"/>
                <w:color w:val="3D7FE0" w:themeColor="accent1"/>
                <w:szCs w:val="14"/>
              </w:rPr>
            </w:pPr>
            <w:r w:rsidRPr="00895810">
              <w:rPr>
                <w:rFonts w:ascii="IBM Plex Sans Light" w:hAnsi="IBM Plex Sans Light"/>
                <w:color w:val="3D7FE0" w:themeColor="accent1"/>
                <w:szCs w:val="14"/>
              </w:rPr>
              <w:t>Net trade receivables</w:t>
            </w:r>
          </w:p>
        </w:tc>
        <w:tc>
          <w:tcPr>
            <w:tcW w:w="993" w:type="dxa"/>
            <w:tcBorders>
              <w:top w:val="single" w:sz="2" w:space="0" w:color="3D7FE0" w:themeColor="accent1"/>
            </w:tcBorders>
            <w:vAlign w:val="bottom"/>
          </w:tcPr>
          <w:p w14:paraId="6DA2D991" w14:textId="77777777" w:rsidR="00794658" w:rsidRPr="00895810" w:rsidRDefault="00794658" w:rsidP="003F2C4C">
            <w:pPr>
              <w:pStyle w:val="TableColHeadsBold"/>
              <w:ind w:left="-112"/>
              <w:rPr>
                <w:rFonts w:ascii="IBM Plex Sans Light" w:hAnsi="IBM Plex Sans Light"/>
                <w:b w:val="0"/>
                <w:szCs w:val="14"/>
              </w:rPr>
            </w:pPr>
            <w:r w:rsidRPr="00895810">
              <w:rPr>
                <w:rFonts w:ascii="IBM Plex Sans Light" w:hAnsi="IBM Plex Sans Light"/>
                <w:b w:val="0"/>
                <w:szCs w:val="14"/>
              </w:rPr>
              <w:t xml:space="preserve">Gross receivables </w:t>
            </w:r>
          </w:p>
        </w:tc>
        <w:tc>
          <w:tcPr>
            <w:tcW w:w="992" w:type="dxa"/>
            <w:tcBorders>
              <w:top w:val="single" w:sz="2" w:space="0" w:color="3D7FE0" w:themeColor="accent1"/>
            </w:tcBorders>
            <w:vAlign w:val="bottom"/>
          </w:tcPr>
          <w:p w14:paraId="1B8184CB" w14:textId="1AE8E95A" w:rsidR="00794658" w:rsidRPr="00895810" w:rsidRDefault="00794658" w:rsidP="003F2C4C">
            <w:pPr>
              <w:pStyle w:val="TableColHeadsBold"/>
              <w:ind w:right="0"/>
              <w:rPr>
                <w:rFonts w:ascii="IBM Plex Sans Light" w:hAnsi="IBM Plex Sans Light"/>
                <w:b w:val="0"/>
                <w:szCs w:val="14"/>
              </w:rPr>
            </w:pPr>
            <w:r w:rsidRPr="00895810">
              <w:rPr>
                <w:rFonts w:ascii="IBM Plex Sans Light" w:hAnsi="IBM Plex Sans Light"/>
                <w:b w:val="0"/>
                <w:szCs w:val="14"/>
              </w:rPr>
              <w:t>Provision</w:t>
            </w:r>
          </w:p>
        </w:tc>
        <w:tc>
          <w:tcPr>
            <w:tcW w:w="992" w:type="dxa"/>
            <w:tcBorders>
              <w:top w:val="single" w:sz="2" w:space="0" w:color="3D7FE0" w:themeColor="accent1"/>
            </w:tcBorders>
            <w:vAlign w:val="bottom"/>
          </w:tcPr>
          <w:p w14:paraId="52D00FA0" w14:textId="4C85E0A0" w:rsidR="00794658" w:rsidRPr="00895810" w:rsidRDefault="00794658" w:rsidP="003F2C4C">
            <w:pPr>
              <w:pStyle w:val="TableColHeadsBold"/>
              <w:ind w:left="-107"/>
              <w:rPr>
                <w:rFonts w:ascii="IBM Plex Sans Light" w:hAnsi="IBM Plex Sans Light"/>
                <w:b w:val="0"/>
                <w:szCs w:val="14"/>
              </w:rPr>
            </w:pPr>
            <w:r w:rsidRPr="00895810">
              <w:rPr>
                <w:rFonts w:ascii="IBM Plex Sans Light" w:hAnsi="IBM Plex Sans Light"/>
                <w:b w:val="0"/>
                <w:szCs w:val="14"/>
              </w:rPr>
              <w:t xml:space="preserve">Net </w:t>
            </w:r>
            <w:r w:rsidR="008D62B3">
              <w:rPr>
                <w:rFonts w:ascii="IBM Plex Sans Light" w:hAnsi="IBM Plex Sans Light"/>
                <w:b w:val="0"/>
                <w:szCs w:val="14"/>
              </w:rPr>
              <w:t xml:space="preserve">trade </w:t>
            </w:r>
            <w:r w:rsidRPr="00895810">
              <w:rPr>
                <w:rFonts w:ascii="IBM Plex Sans Light" w:hAnsi="IBM Plex Sans Light"/>
                <w:b w:val="0"/>
                <w:szCs w:val="14"/>
              </w:rPr>
              <w:t>receivables</w:t>
            </w:r>
          </w:p>
        </w:tc>
      </w:tr>
      <w:tr w:rsidR="00794658" w:rsidRPr="00895810" w14:paraId="11DE065D" w14:textId="77777777" w:rsidTr="00710846">
        <w:trPr>
          <w:trHeight w:hRule="exact" w:val="170"/>
        </w:trPr>
        <w:tc>
          <w:tcPr>
            <w:tcW w:w="2976" w:type="dxa"/>
            <w:tcBorders>
              <w:bottom w:val="single" w:sz="4" w:space="0" w:color="3D7FE0" w:themeColor="accent1"/>
            </w:tcBorders>
            <w:vAlign w:val="bottom"/>
          </w:tcPr>
          <w:p w14:paraId="40B7DEE0" w14:textId="7499D344" w:rsidR="00794658" w:rsidRPr="00895810" w:rsidRDefault="00794658" w:rsidP="003F2C4C">
            <w:pPr>
              <w:pStyle w:val="TableFigures"/>
              <w:spacing w:before="0" w:after="0" w:line="240" w:lineRule="auto"/>
              <w:jc w:val="left"/>
              <w:rPr>
                <w:rFonts w:ascii="IBM Plex Sans Light" w:hAnsi="IBM Plex Sans Light"/>
                <w:b/>
                <w:bCs/>
                <w:color w:val="3D7FE0" w:themeColor="accent1"/>
                <w:szCs w:val="16"/>
              </w:rPr>
            </w:pPr>
          </w:p>
        </w:tc>
        <w:tc>
          <w:tcPr>
            <w:tcW w:w="371" w:type="dxa"/>
            <w:tcBorders>
              <w:bottom w:val="single" w:sz="4" w:space="0" w:color="3D7FE0" w:themeColor="accent1"/>
            </w:tcBorders>
            <w:vAlign w:val="bottom"/>
          </w:tcPr>
          <w:p w14:paraId="68EE19FA" w14:textId="77777777" w:rsidR="00794658" w:rsidRPr="00895810" w:rsidRDefault="00794658" w:rsidP="003F2C4C">
            <w:pPr>
              <w:pStyle w:val="TableColHeadsBold"/>
              <w:spacing w:line="240" w:lineRule="auto"/>
              <w:ind w:right="0"/>
              <w:rPr>
                <w:rFonts w:ascii="IBM Plex Sans Light" w:hAnsi="IBM Plex Sans Light"/>
                <w:sz w:val="16"/>
                <w:szCs w:val="16"/>
              </w:rPr>
            </w:pPr>
          </w:p>
        </w:tc>
        <w:tc>
          <w:tcPr>
            <w:tcW w:w="624" w:type="dxa"/>
            <w:tcBorders>
              <w:bottom w:val="single" w:sz="4" w:space="0" w:color="3D7FE0" w:themeColor="accent1"/>
            </w:tcBorders>
            <w:tcMar>
              <w:left w:w="0" w:type="dxa"/>
              <w:bottom w:w="28" w:type="dxa"/>
              <w:right w:w="0" w:type="dxa"/>
            </w:tcMar>
            <w:vAlign w:val="bottom"/>
          </w:tcPr>
          <w:p w14:paraId="11678D86" w14:textId="77777777" w:rsidR="00794658" w:rsidRPr="00895810" w:rsidRDefault="00794658" w:rsidP="003F2C4C">
            <w:pPr>
              <w:pStyle w:val="TableColHeadsBold"/>
              <w:spacing w:line="240" w:lineRule="auto"/>
              <w:rPr>
                <w:rFonts w:ascii="IBM Plex Sans Light" w:hAnsi="IBM Plex Sans Light"/>
                <w:color w:val="3D7FE0" w:themeColor="accent1"/>
                <w:szCs w:val="14"/>
              </w:rPr>
            </w:pPr>
          </w:p>
        </w:tc>
        <w:tc>
          <w:tcPr>
            <w:tcW w:w="992" w:type="dxa"/>
            <w:tcBorders>
              <w:bottom w:val="single" w:sz="4" w:space="0" w:color="3D7FE0" w:themeColor="accent1"/>
            </w:tcBorders>
            <w:tcMar>
              <w:left w:w="0" w:type="dxa"/>
              <w:bottom w:w="28" w:type="dxa"/>
              <w:right w:w="0" w:type="dxa"/>
            </w:tcMar>
            <w:vAlign w:val="bottom"/>
          </w:tcPr>
          <w:p w14:paraId="4CAD1144" w14:textId="77777777" w:rsidR="00794658" w:rsidRPr="00895810" w:rsidRDefault="00794658" w:rsidP="003F2C4C">
            <w:pPr>
              <w:pStyle w:val="TableColHeadsBold"/>
              <w:spacing w:line="240" w:lineRule="auto"/>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c>
          <w:tcPr>
            <w:tcW w:w="992" w:type="dxa"/>
            <w:tcBorders>
              <w:bottom w:val="single" w:sz="4" w:space="0" w:color="3D7FE0" w:themeColor="accent1"/>
            </w:tcBorders>
            <w:vAlign w:val="bottom"/>
          </w:tcPr>
          <w:p w14:paraId="267C3166" w14:textId="77777777" w:rsidR="00794658" w:rsidRPr="00895810" w:rsidRDefault="00794658" w:rsidP="003F2C4C">
            <w:pPr>
              <w:pStyle w:val="TableColHeadsBold"/>
              <w:tabs>
                <w:tab w:val="clear" w:pos="284"/>
                <w:tab w:val="left" w:pos="712"/>
              </w:tabs>
              <w:spacing w:line="240" w:lineRule="auto"/>
              <w:rPr>
                <w:rFonts w:ascii="IBM Plex Sans Light" w:hAnsi="IBM Plex Sans Light"/>
                <w:color w:val="3D7FE0" w:themeColor="accent1"/>
                <w:szCs w:val="14"/>
              </w:rPr>
            </w:pPr>
            <w:r w:rsidRPr="00895810">
              <w:rPr>
                <w:rFonts w:ascii="IBM Plex Sans Light" w:hAnsi="IBM Plex Sans Light"/>
                <w:color w:val="3D7FE0" w:themeColor="accent1"/>
                <w:szCs w:val="14"/>
              </w:rPr>
              <w:t>£m </w:t>
            </w:r>
          </w:p>
        </w:tc>
        <w:tc>
          <w:tcPr>
            <w:tcW w:w="992" w:type="dxa"/>
            <w:tcBorders>
              <w:bottom w:val="single" w:sz="4" w:space="0" w:color="3D7FE0" w:themeColor="accent1"/>
            </w:tcBorders>
            <w:vAlign w:val="bottom"/>
          </w:tcPr>
          <w:p w14:paraId="057FEBC7" w14:textId="77777777" w:rsidR="00794658" w:rsidRPr="00895810" w:rsidRDefault="00794658" w:rsidP="003F2C4C">
            <w:pPr>
              <w:pStyle w:val="TableColHeadsBold"/>
              <w:spacing w:line="240" w:lineRule="auto"/>
              <w:rPr>
                <w:rFonts w:ascii="IBM Plex Sans Light" w:hAnsi="IBM Plex Sans Light"/>
                <w:color w:val="3D7FE0" w:themeColor="accent1"/>
                <w:szCs w:val="14"/>
              </w:rPr>
            </w:pPr>
            <w:r w:rsidRPr="00895810">
              <w:rPr>
                <w:rFonts w:ascii="IBM Plex Sans Light" w:hAnsi="IBM Plex Sans Light"/>
                <w:color w:val="3D7FE0" w:themeColor="accent1"/>
                <w:szCs w:val="14"/>
              </w:rPr>
              <w:t>£m</w:t>
            </w:r>
          </w:p>
        </w:tc>
        <w:tc>
          <w:tcPr>
            <w:tcW w:w="993" w:type="dxa"/>
            <w:tcBorders>
              <w:bottom w:val="single" w:sz="4" w:space="0" w:color="3D7FE0" w:themeColor="accent1"/>
            </w:tcBorders>
            <w:vAlign w:val="bottom"/>
          </w:tcPr>
          <w:p w14:paraId="1784DCFB" w14:textId="77777777" w:rsidR="00794658" w:rsidRPr="00895810" w:rsidRDefault="00794658" w:rsidP="003F2C4C">
            <w:pPr>
              <w:pStyle w:val="TableColHeadsBold"/>
              <w:spacing w:line="240" w:lineRule="auto"/>
              <w:rPr>
                <w:rFonts w:ascii="IBM Plex Sans Light" w:hAnsi="IBM Plex Sans Light"/>
                <w:b w:val="0"/>
                <w:szCs w:val="14"/>
              </w:rPr>
            </w:pPr>
            <w:r w:rsidRPr="00895810">
              <w:rPr>
                <w:rFonts w:ascii="IBM Plex Sans Light" w:hAnsi="IBM Plex Sans Light"/>
                <w:b w:val="0"/>
                <w:szCs w:val="14"/>
              </w:rPr>
              <w:t xml:space="preserve">£m </w:t>
            </w:r>
          </w:p>
        </w:tc>
        <w:tc>
          <w:tcPr>
            <w:tcW w:w="992" w:type="dxa"/>
            <w:tcBorders>
              <w:bottom w:val="single" w:sz="4" w:space="0" w:color="3D7FE0" w:themeColor="accent1"/>
            </w:tcBorders>
            <w:vAlign w:val="bottom"/>
          </w:tcPr>
          <w:p w14:paraId="5F1E38B0" w14:textId="77777777" w:rsidR="00794658" w:rsidRPr="00895810" w:rsidRDefault="00794658" w:rsidP="003F2C4C">
            <w:pPr>
              <w:pStyle w:val="TableColHeadsBold"/>
              <w:spacing w:line="240" w:lineRule="auto"/>
              <w:rPr>
                <w:rFonts w:ascii="IBM Plex Sans Light" w:hAnsi="IBM Plex Sans Light"/>
                <w:b w:val="0"/>
                <w:szCs w:val="14"/>
              </w:rPr>
            </w:pPr>
            <w:r w:rsidRPr="00895810">
              <w:rPr>
                <w:rFonts w:ascii="IBM Plex Sans Light" w:hAnsi="IBM Plex Sans Light"/>
                <w:b w:val="0"/>
                <w:szCs w:val="14"/>
              </w:rPr>
              <w:t xml:space="preserve">£m </w:t>
            </w:r>
          </w:p>
        </w:tc>
        <w:tc>
          <w:tcPr>
            <w:tcW w:w="992" w:type="dxa"/>
            <w:tcBorders>
              <w:bottom w:val="single" w:sz="4" w:space="0" w:color="3D7FE0" w:themeColor="accent1"/>
            </w:tcBorders>
            <w:vAlign w:val="bottom"/>
          </w:tcPr>
          <w:p w14:paraId="257197EC" w14:textId="77777777" w:rsidR="00794658" w:rsidRPr="00895810" w:rsidRDefault="00794658" w:rsidP="003F2C4C">
            <w:pPr>
              <w:pStyle w:val="TableColHeadsBold"/>
              <w:spacing w:line="240" w:lineRule="auto"/>
              <w:rPr>
                <w:rFonts w:ascii="IBM Plex Sans Light" w:hAnsi="IBM Plex Sans Light"/>
                <w:b w:val="0"/>
                <w:szCs w:val="14"/>
              </w:rPr>
            </w:pPr>
            <w:r w:rsidRPr="00895810">
              <w:rPr>
                <w:rFonts w:ascii="IBM Plex Sans Light" w:hAnsi="IBM Plex Sans Light"/>
                <w:b w:val="0"/>
                <w:szCs w:val="14"/>
              </w:rPr>
              <w:t>£m</w:t>
            </w:r>
          </w:p>
        </w:tc>
      </w:tr>
      <w:tr w:rsidR="009A55A1" w:rsidRPr="00895810" w14:paraId="22F0C621" w14:textId="77777777" w:rsidTr="00615374">
        <w:trPr>
          <w:trHeight w:hRule="exact" w:val="249"/>
        </w:trPr>
        <w:tc>
          <w:tcPr>
            <w:tcW w:w="2976" w:type="dxa"/>
            <w:tcBorders>
              <w:top w:val="single" w:sz="4" w:space="0" w:color="3D7FE0" w:themeColor="accent1"/>
            </w:tcBorders>
          </w:tcPr>
          <w:p w14:paraId="0DA6D828" w14:textId="40BC330A" w:rsidR="009A55A1" w:rsidRPr="00895810" w:rsidRDefault="009A55A1" w:rsidP="009A55A1">
            <w:pPr>
              <w:pStyle w:val="TableFigures"/>
              <w:spacing w:line="240" w:lineRule="auto"/>
              <w:ind w:left="-104"/>
              <w:jc w:val="left"/>
              <w:rPr>
                <w:rFonts w:ascii="IBM Plex Sans Light" w:hAnsi="IBM Plex Sans Light"/>
                <w:spacing w:val="-4"/>
                <w:sz w:val="18"/>
                <w:szCs w:val="18"/>
              </w:rPr>
            </w:pPr>
            <w:r w:rsidRPr="00895810">
              <w:rPr>
                <w:rFonts w:ascii="IBM Plex Sans Light" w:hAnsi="IBM Plex Sans Light"/>
                <w:spacing w:val="-4"/>
                <w:sz w:val="18"/>
                <w:szCs w:val="18"/>
              </w:rPr>
              <w:t>Not yet due</w:t>
            </w:r>
          </w:p>
        </w:tc>
        <w:tc>
          <w:tcPr>
            <w:tcW w:w="371" w:type="dxa"/>
            <w:tcBorders>
              <w:top w:val="single" w:sz="4" w:space="0" w:color="3D7FE0" w:themeColor="accent1"/>
            </w:tcBorders>
            <w:vAlign w:val="bottom"/>
          </w:tcPr>
          <w:p w14:paraId="54BF3D1D" w14:textId="77777777" w:rsidR="009A55A1" w:rsidRPr="00895810" w:rsidRDefault="009A55A1" w:rsidP="009A55A1">
            <w:pPr>
              <w:pStyle w:val="TableFigures"/>
              <w:spacing w:line="240" w:lineRule="auto"/>
              <w:rPr>
                <w:rFonts w:ascii="IBM Plex Sans Light" w:hAnsi="IBM Plex Sans Light"/>
                <w:b/>
                <w:color w:val="auto"/>
                <w:spacing w:val="-4"/>
                <w:sz w:val="18"/>
                <w:szCs w:val="18"/>
              </w:rPr>
            </w:pPr>
          </w:p>
        </w:tc>
        <w:tc>
          <w:tcPr>
            <w:tcW w:w="624" w:type="dxa"/>
            <w:tcBorders>
              <w:top w:val="single" w:sz="4" w:space="0" w:color="3D7FE0" w:themeColor="accent1"/>
            </w:tcBorders>
            <w:tcMar>
              <w:left w:w="0" w:type="dxa"/>
              <w:right w:w="0" w:type="dxa"/>
            </w:tcMar>
            <w:vAlign w:val="bottom"/>
          </w:tcPr>
          <w:p w14:paraId="47985F6C" w14:textId="77777777" w:rsidR="009A55A1" w:rsidRPr="00895810" w:rsidRDefault="009A55A1" w:rsidP="009A55A1">
            <w:pPr>
              <w:pStyle w:val="TableFigures"/>
              <w:spacing w:line="240" w:lineRule="auto"/>
              <w:rPr>
                <w:rFonts w:ascii="IBM Plex Sans Light" w:hAnsi="IBM Plex Sans Light"/>
                <w:b/>
                <w:color w:val="3D7FE0" w:themeColor="accent1"/>
                <w:spacing w:val="-4"/>
                <w:sz w:val="18"/>
                <w:szCs w:val="18"/>
              </w:rPr>
            </w:pPr>
          </w:p>
        </w:tc>
        <w:tc>
          <w:tcPr>
            <w:tcW w:w="992" w:type="dxa"/>
            <w:tcBorders>
              <w:top w:val="single" w:sz="4" w:space="0" w:color="3D7FE0" w:themeColor="accent1"/>
            </w:tcBorders>
            <w:tcMar>
              <w:left w:w="0" w:type="dxa"/>
              <w:right w:w="0" w:type="dxa"/>
            </w:tcMar>
          </w:tcPr>
          <w:p w14:paraId="3B917C90" w14:textId="5CD8EA5D"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11.9</w:t>
            </w:r>
          </w:p>
        </w:tc>
        <w:tc>
          <w:tcPr>
            <w:tcW w:w="992" w:type="dxa"/>
            <w:tcBorders>
              <w:top w:val="single" w:sz="4" w:space="0" w:color="3D7FE0" w:themeColor="accent1"/>
            </w:tcBorders>
          </w:tcPr>
          <w:p w14:paraId="57648158" w14:textId="08A3EC39"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(1.2)</w:t>
            </w:r>
          </w:p>
        </w:tc>
        <w:tc>
          <w:tcPr>
            <w:tcW w:w="992" w:type="dxa"/>
            <w:tcBorders>
              <w:top w:val="single" w:sz="4" w:space="0" w:color="3D7FE0" w:themeColor="accent1"/>
            </w:tcBorders>
          </w:tcPr>
          <w:p w14:paraId="45C2EF6D" w14:textId="13A9F28B"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10.7</w:t>
            </w:r>
          </w:p>
        </w:tc>
        <w:tc>
          <w:tcPr>
            <w:tcW w:w="993" w:type="dxa"/>
            <w:tcBorders>
              <w:top w:val="single" w:sz="4" w:space="0" w:color="3D7FE0" w:themeColor="accent1"/>
            </w:tcBorders>
          </w:tcPr>
          <w:p w14:paraId="6267F5FF" w14:textId="06F65B31" w:rsidR="009A55A1" w:rsidRPr="00895810" w:rsidDel="00745F70"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3.2</w:t>
            </w:r>
          </w:p>
        </w:tc>
        <w:tc>
          <w:tcPr>
            <w:tcW w:w="992" w:type="dxa"/>
            <w:tcBorders>
              <w:top w:val="single" w:sz="4" w:space="0" w:color="3D7FE0" w:themeColor="accent1"/>
            </w:tcBorders>
          </w:tcPr>
          <w:p w14:paraId="495529D4" w14:textId="4FF10882" w:rsidR="009A55A1" w:rsidRPr="00895810" w:rsidDel="00745F70" w:rsidRDefault="009A55A1" w:rsidP="009A55A1">
            <w:pPr>
              <w:pStyle w:val="TableFiguresBrackets"/>
              <w:spacing w:line="240" w:lineRule="auto"/>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0.6</w:t>
            </w:r>
            <w:r w:rsidRPr="00895810">
              <w:rPr>
                <w:rFonts w:ascii="IBM Plex Sans Light" w:hAnsi="IBM Plex Sans Light"/>
                <w:color w:val="auto"/>
                <w:spacing w:val="-4"/>
                <w:sz w:val="18"/>
                <w:szCs w:val="18"/>
              </w:rPr>
              <w:t>)</w:t>
            </w:r>
          </w:p>
        </w:tc>
        <w:tc>
          <w:tcPr>
            <w:tcW w:w="992" w:type="dxa"/>
            <w:tcBorders>
              <w:top w:val="single" w:sz="4" w:space="0" w:color="3D7FE0" w:themeColor="accent1"/>
            </w:tcBorders>
          </w:tcPr>
          <w:p w14:paraId="63327CF6" w14:textId="613BA41D" w:rsidR="009A55A1" w:rsidRPr="00895810"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2.6</w:t>
            </w:r>
          </w:p>
        </w:tc>
      </w:tr>
      <w:tr w:rsidR="009A55A1" w:rsidRPr="00895810" w14:paraId="7BB7C3EF" w14:textId="77777777" w:rsidTr="00710846">
        <w:trPr>
          <w:trHeight w:hRule="exact" w:val="255"/>
        </w:trPr>
        <w:tc>
          <w:tcPr>
            <w:tcW w:w="2976" w:type="dxa"/>
          </w:tcPr>
          <w:p w14:paraId="09EDB4E3" w14:textId="7FCB4252" w:rsidR="009A55A1" w:rsidRPr="00895810" w:rsidRDefault="009A55A1" w:rsidP="009A55A1">
            <w:pPr>
              <w:pStyle w:val="TableFigures"/>
              <w:spacing w:line="240" w:lineRule="auto"/>
              <w:ind w:left="-104"/>
              <w:jc w:val="left"/>
              <w:rPr>
                <w:rFonts w:ascii="IBM Plex Sans Light" w:hAnsi="IBM Plex Sans Light"/>
                <w:spacing w:val="-4"/>
                <w:sz w:val="18"/>
                <w:szCs w:val="18"/>
              </w:rPr>
            </w:pPr>
            <w:r>
              <w:rPr>
                <w:rFonts w:ascii="IBM Plex Sans Light" w:hAnsi="IBM Plex Sans Light"/>
                <w:spacing w:val="-4"/>
                <w:sz w:val="18"/>
                <w:szCs w:val="18"/>
              </w:rPr>
              <w:t xml:space="preserve">0 </w:t>
            </w:r>
            <w:r w:rsidRPr="00895810">
              <w:rPr>
                <w:rFonts w:ascii="IBM Plex Sans Light" w:hAnsi="IBM Plex Sans Light"/>
                <w:spacing w:val="-4"/>
                <w:sz w:val="18"/>
                <w:szCs w:val="18"/>
              </w:rPr>
              <w:t>– 3</w:t>
            </w:r>
            <w:r>
              <w:rPr>
                <w:rFonts w:ascii="IBM Plex Sans Light" w:hAnsi="IBM Plex Sans Light"/>
                <w:spacing w:val="-4"/>
                <w:sz w:val="18"/>
                <w:szCs w:val="18"/>
              </w:rPr>
              <w:t xml:space="preserve"> months</w:t>
            </w:r>
            <w:r w:rsidRPr="00895810">
              <w:rPr>
                <w:rFonts w:ascii="IBM Plex Sans Light" w:hAnsi="IBM Plex Sans Light"/>
                <w:spacing w:val="-4"/>
                <w:sz w:val="18"/>
                <w:szCs w:val="18"/>
              </w:rPr>
              <w:t xml:space="preserve"> overdue</w:t>
            </w:r>
          </w:p>
        </w:tc>
        <w:tc>
          <w:tcPr>
            <w:tcW w:w="371" w:type="dxa"/>
            <w:vAlign w:val="bottom"/>
          </w:tcPr>
          <w:p w14:paraId="7F411438" w14:textId="77777777" w:rsidR="009A55A1" w:rsidRPr="00895810" w:rsidRDefault="009A55A1" w:rsidP="009A55A1">
            <w:pPr>
              <w:pStyle w:val="TableFigures"/>
              <w:spacing w:line="240" w:lineRule="auto"/>
              <w:rPr>
                <w:rFonts w:ascii="IBM Plex Sans Light" w:hAnsi="IBM Plex Sans Light"/>
                <w:bCs/>
                <w:color w:val="auto"/>
                <w:spacing w:val="-4"/>
                <w:sz w:val="18"/>
                <w:szCs w:val="18"/>
              </w:rPr>
            </w:pPr>
          </w:p>
        </w:tc>
        <w:tc>
          <w:tcPr>
            <w:tcW w:w="624" w:type="dxa"/>
            <w:tcMar>
              <w:left w:w="0" w:type="dxa"/>
              <w:right w:w="0" w:type="dxa"/>
            </w:tcMar>
            <w:vAlign w:val="bottom"/>
          </w:tcPr>
          <w:p w14:paraId="7EB1AB8A" w14:textId="77777777" w:rsidR="009A55A1" w:rsidRPr="00895810" w:rsidRDefault="009A55A1" w:rsidP="009A55A1">
            <w:pPr>
              <w:pStyle w:val="TableFigures"/>
              <w:spacing w:line="240" w:lineRule="auto"/>
              <w:rPr>
                <w:rFonts w:ascii="IBM Plex Sans Light" w:hAnsi="IBM Plex Sans Light"/>
                <w:b/>
                <w:color w:val="3D7FE0" w:themeColor="accent1"/>
                <w:spacing w:val="-4"/>
                <w:sz w:val="18"/>
                <w:szCs w:val="18"/>
              </w:rPr>
            </w:pPr>
          </w:p>
        </w:tc>
        <w:tc>
          <w:tcPr>
            <w:tcW w:w="992" w:type="dxa"/>
            <w:tcMar>
              <w:left w:w="0" w:type="dxa"/>
              <w:right w:w="0" w:type="dxa"/>
            </w:tcMar>
          </w:tcPr>
          <w:p w14:paraId="010ECF70" w14:textId="58D77496" w:rsidR="009A55A1" w:rsidRPr="00024B10" w:rsidRDefault="00CB2690"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5.5</w:t>
            </w:r>
          </w:p>
        </w:tc>
        <w:tc>
          <w:tcPr>
            <w:tcW w:w="992" w:type="dxa"/>
          </w:tcPr>
          <w:p w14:paraId="3038AA5E" w14:textId="68017DED"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(1.0)</w:t>
            </w:r>
          </w:p>
        </w:tc>
        <w:tc>
          <w:tcPr>
            <w:tcW w:w="992" w:type="dxa"/>
          </w:tcPr>
          <w:p w14:paraId="08ECB836" w14:textId="5CA0837E" w:rsidR="009A55A1" w:rsidRPr="00024B10" w:rsidRDefault="00CB2690"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4.5</w:t>
            </w:r>
          </w:p>
        </w:tc>
        <w:tc>
          <w:tcPr>
            <w:tcW w:w="993" w:type="dxa"/>
          </w:tcPr>
          <w:p w14:paraId="7C63A959" w14:textId="26A6DE19" w:rsidR="009A55A1" w:rsidRPr="00895810" w:rsidDel="002A0D9E"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4</w:t>
            </w:r>
            <w:r w:rsidRPr="00895810">
              <w:rPr>
                <w:rFonts w:ascii="IBM Plex Sans Light" w:hAnsi="IBM Plex Sans Light"/>
                <w:color w:val="auto"/>
                <w:spacing w:val="-4"/>
                <w:sz w:val="18"/>
                <w:szCs w:val="18"/>
              </w:rPr>
              <w:t>.0</w:t>
            </w:r>
          </w:p>
        </w:tc>
        <w:tc>
          <w:tcPr>
            <w:tcW w:w="992" w:type="dxa"/>
          </w:tcPr>
          <w:p w14:paraId="1664A698" w14:textId="39781C29" w:rsidR="009A55A1" w:rsidRPr="00895810" w:rsidDel="002A0D9E" w:rsidRDefault="009A55A1" w:rsidP="009A55A1">
            <w:pPr>
              <w:pStyle w:val="TableFiguresBrackets"/>
              <w:spacing w:line="240" w:lineRule="auto"/>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0.8</w:t>
            </w:r>
            <w:r w:rsidRPr="00895810">
              <w:rPr>
                <w:rFonts w:ascii="IBM Plex Sans Light" w:hAnsi="IBM Plex Sans Light"/>
                <w:color w:val="auto"/>
                <w:spacing w:val="-4"/>
                <w:sz w:val="18"/>
                <w:szCs w:val="18"/>
              </w:rPr>
              <w:t>)</w:t>
            </w:r>
          </w:p>
        </w:tc>
        <w:tc>
          <w:tcPr>
            <w:tcW w:w="992" w:type="dxa"/>
          </w:tcPr>
          <w:p w14:paraId="2E57DCA0" w14:textId="46E9FBF0" w:rsidR="009A55A1" w:rsidRPr="00895810"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3.2</w:t>
            </w:r>
          </w:p>
        </w:tc>
      </w:tr>
      <w:tr w:rsidR="009A55A1" w:rsidRPr="00895810" w14:paraId="46F3087F" w14:textId="77777777" w:rsidTr="00710846">
        <w:trPr>
          <w:trHeight w:hRule="exact" w:val="255"/>
        </w:trPr>
        <w:tc>
          <w:tcPr>
            <w:tcW w:w="2976" w:type="dxa"/>
          </w:tcPr>
          <w:p w14:paraId="00263760" w14:textId="348030A2" w:rsidR="009A55A1" w:rsidRPr="00895810" w:rsidRDefault="009A55A1" w:rsidP="009A55A1">
            <w:pPr>
              <w:pStyle w:val="TableFigures"/>
              <w:spacing w:line="240" w:lineRule="auto"/>
              <w:ind w:left="-104"/>
              <w:jc w:val="left"/>
              <w:rPr>
                <w:rFonts w:ascii="IBM Plex Sans Light" w:hAnsi="IBM Plex Sans Light"/>
                <w:spacing w:val="-4"/>
                <w:sz w:val="18"/>
                <w:szCs w:val="18"/>
              </w:rPr>
            </w:pPr>
            <w:r w:rsidRPr="00895810">
              <w:rPr>
                <w:rFonts w:ascii="IBM Plex Sans Light" w:hAnsi="IBM Plex Sans Light"/>
                <w:spacing w:val="-4"/>
                <w:sz w:val="18"/>
                <w:szCs w:val="18"/>
              </w:rPr>
              <w:t>3</w:t>
            </w:r>
            <w:r>
              <w:rPr>
                <w:rFonts w:ascii="IBM Plex Sans Light" w:hAnsi="IBM Plex Sans Light"/>
                <w:spacing w:val="-4"/>
                <w:sz w:val="18"/>
                <w:szCs w:val="18"/>
              </w:rPr>
              <w:t xml:space="preserve"> </w:t>
            </w:r>
            <w:r w:rsidRPr="00895810">
              <w:rPr>
                <w:rFonts w:ascii="IBM Plex Sans Light" w:hAnsi="IBM Plex Sans Light"/>
                <w:spacing w:val="-4"/>
                <w:sz w:val="18"/>
                <w:szCs w:val="18"/>
              </w:rPr>
              <w:t xml:space="preserve">– </w:t>
            </w:r>
            <w:r>
              <w:rPr>
                <w:rFonts w:ascii="IBM Plex Sans Light" w:hAnsi="IBM Plex Sans Light"/>
                <w:spacing w:val="-4"/>
                <w:sz w:val="18"/>
                <w:szCs w:val="18"/>
              </w:rPr>
              <w:t>12 months</w:t>
            </w:r>
            <w:r w:rsidRPr="00895810">
              <w:rPr>
                <w:rFonts w:ascii="IBM Plex Sans Light" w:hAnsi="IBM Plex Sans Light"/>
                <w:spacing w:val="-4"/>
                <w:sz w:val="18"/>
                <w:szCs w:val="18"/>
              </w:rPr>
              <w:t xml:space="preserve"> overdue</w:t>
            </w:r>
          </w:p>
        </w:tc>
        <w:tc>
          <w:tcPr>
            <w:tcW w:w="371" w:type="dxa"/>
            <w:vAlign w:val="bottom"/>
          </w:tcPr>
          <w:p w14:paraId="552717B8" w14:textId="77777777" w:rsidR="009A55A1" w:rsidRPr="00895810" w:rsidRDefault="009A55A1" w:rsidP="009A55A1">
            <w:pPr>
              <w:pStyle w:val="TableFigures"/>
              <w:spacing w:line="240" w:lineRule="auto"/>
              <w:rPr>
                <w:rFonts w:ascii="IBM Plex Sans Light" w:hAnsi="IBM Plex Sans Light"/>
                <w:bCs/>
                <w:color w:val="auto"/>
                <w:spacing w:val="-4"/>
                <w:sz w:val="18"/>
                <w:szCs w:val="18"/>
              </w:rPr>
            </w:pPr>
          </w:p>
        </w:tc>
        <w:tc>
          <w:tcPr>
            <w:tcW w:w="624" w:type="dxa"/>
            <w:tcMar>
              <w:left w:w="0" w:type="dxa"/>
              <w:right w:w="0" w:type="dxa"/>
            </w:tcMar>
            <w:vAlign w:val="bottom"/>
          </w:tcPr>
          <w:p w14:paraId="57C5D060" w14:textId="77777777" w:rsidR="009A55A1" w:rsidRPr="00895810" w:rsidRDefault="009A55A1" w:rsidP="009A55A1">
            <w:pPr>
              <w:pStyle w:val="TableFigures"/>
              <w:spacing w:line="240" w:lineRule="auto"/>
              <w:rPr>
                <w:rFonts w:ascii="IBM Plex Sans Light" w:hAnsi="IBM Plex Sans Light"/>
                <w:b/>
                <w:color w:val="3D7FE0" w:themeColor="accent1"/>
                <w:spacing w:val="-4"/>
                <w:sz w:val="18"/>
                <w:szCs w:val="18"/>
              </w:rPr>
            </w:pPr>
          </w:p>
        </w:tc>
        <w:tc>
          <w:tcPr>
            <w:tcW w:w="992" w:type="dxa"/>
            <w:tcMar>
              <w:left w:w="0" w:type="dxa"/>
              <w:right w:w="0" w:type="dxa"/>
            </w:tcMar>
          </w:tcPr>
          <w:p w14:paraId="5AD7D5A1" w14:textId="14E17349"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8.</w:t>
            </w:r>
            <w:r w:rsidR="00CB2690" w:rsidRPr="00024B10">
              <w:rPr>
                <w:rFonts w:ascii="IBM Plex Sans Medium" w:hAnsi="IBM Plex Sans Medium"/>
                <w:color w:val="3D7FE0" w:themeColor="accent1"/>
                <w:spacing w:val="-4"/>
                <w:sz w:val="18"/>
                <w:szCs w:val="18"/>
              </w:rPr>
              <w:t>1</w:t>
            </w:r>
          </w:p>
        </w:tc>
        <w:tc>
          <w:tcPr>
            <w:tcW w:w="992" w:type="dxa"/>
          </w:tcPr>
          <w:p w14:paraId="252B6AC4" w14:textId="75ECD7F2"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(2.6)</w:t>
            </w:r>
          </w:p>
        </w:tc>
        <w:tc>
          <w:tcPr>
            <w:tcW w:w="992" w:type="dxa"/>
          </w:tcPr>
          <w:p w14:paraId="0DAB9C8D" w14:textId="28106A53"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5.</w:t>
            </w:r>
            <w:r w:rsidR="00CB2690" w:rsidRPr="00024B10">
              <w:rPr>
                <w:rFonts w:ascii="IBM Plex Sans Medium" w:hAnsi="IBM Plex Sans Medium"/>
                <w:color w:val="3D7FE0" w:themeColor="accent1"/>
                <w:spacing w:val="-4"/>
                <w:sz w:val="18"/>
                <w:szCs w:val="18"/>
              </w:rPr>
              <w:t>5</w:t>
            </w:r>
          </w:p>
        </w:tc>
        <w:tc>
          <w:tcPr>
            <w:tcW w:w="993" w:type="dxa"/>
          </w:tcPr>
          <w:p w14:paraId="0BA17B4F" w14:textId="798BB01B" w:rsidR="009A55A1" w:rsidRPr="00895810"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8.1</w:t>
            </w:r>
          </w:p>
        </w:tc>
        <w:tc>
          <w:tcPr>
            <w:tcW w:w="992" w:type="dxa"/>
          </w:tcPr>
          <w:p w14:paraId="4D042E03" w14:textId="70127D61" w:rsidR="009A55A1" w:rsidRPr="00895810" w:rsidRDefault="009A55A1" w:rsidP="009A55A1">
            <w:pPr>
              <w:pStyle w:val="TableFiguresBrackets"/>
              <w:spacing w:line="240" w:lineRule="auto"/>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2.3</w:t>
            </w:r>
            <w:r w:rsidRPr="00895810">
              <w:rPr>
                <w:rFonts w:ascii="IBM Plex Sans Light" w:hAnsi="IBM Plex Sans Light"/>
                <w:color w:val="auto"/>
                <w:spacing w:val="-4"/>
                <w:sz w:val="18"/>
                <w:szCs w:val="18"/>
              </w:rPr>
              <w:t>)</w:t>
            </w:r>
          </w:p>
        </w:tc>
        <w:tc>
          <w:tcPr>
            <w:tcW w:w="992" w:type="dxa"/>
          </w:tcPr>
          <w:p w14:paraId="3465F84A" w14:textId="016983E8" w:rsidR="009A55A1" w:rsidRPr="00895810"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5.8</w:t>
            </w:r>
          </w:p>
        </w:tc>
      </w:tr>
      <w:tr w:rsidR="009A55A1" w:rsidRPr="00895810" w14:paraId="74A1AD31" w14:textId="77777777" w:rsidTr="00710846">
        <w:trPr>
          <w:trHeight w:hRule="exact" w:val="255"/>
        </w:trPr>
        <w:tc>
          <w:tcPr>
            <w:tcW w:w="2976" w:type="dxa"/>
            <w:tcBorders>
              <w:bottom w:val="single" w:sz="2" w:space="0" w:color="3D7FE0" w:themeColor="accent1"/>
            </w:tcBorders>
          </w:tcPr>
          <w:p w14:paraId="51DAE666" w14:textId="106D6A07" w:rsidR="009A55A1" w:rsidRPr="00895810" w:rsidRDefault="009A55A1" w:rsidP="009A55A1">
            <w:pPr>
              <w:pStyle w:val="TableFigures"/>
              <w:spacing w:line="240" w:lineRule="auto"/>
              <w:ind w:left="-104"/>
              <w:jc w:val="left"/>
              <w:rPr>
                <w:rFonts w:ascii="IBM Plex Sans Light" w:hAnsi="IBM Plex Sans Light"/>
                <w:spacing w:val="-4"/>
                <w:sz w:val="18"/>
                <w:szCs w:val="18"/>
              </w:rPr>
            </w:pPr>
            <w:r w:rsidRPr="00895810">
              <w:rPr>
                <w:rFonts w:ascii="IBM Plex Sans Light" w:hAnsi="IBM Plex Sans Light"/>
                <w:spacing w:val="-4"/>
                <w:sz w:val="18"/>
                <w:szCs w:val="18"/>
              </w:rPr>
              <w:t>More than 12</w:t>
            </w:r>
            <w:r>
              <w:rPr>
                <w:rFonts w:ascii="IBM Plex Sans Light" w:hAnsi="IBM Plex Sans Light"/>
                <w:spacing w:val="-4"/>
                <w:sz w:val="18"/>
                <w:szCs w:val="18"/>
              </w:rPr>
              <w:t xml:space="preserve"> months</w:t>
            </w:r>
            <w:r w:rsidRPr="00895810">
              <w:rPr>
                <w:rFonts w:ascii="IBM Plex Sans Light" w:hAnsi="IBM Plex Sans Light"/>
                <w:spacing w:val="-4"/>
                <w:sz w:val="18"/>
                <w:szCs w:val="18"/>
              </w:rPr>
              <w:t xml:space="preserve"> overdue</w:t>
            </w:r>
          </w:p>
        </w:tc>
        <w:tc>
          <w:tcPr>
            <w:tcW w:w="371" w:type="dxa"/>
            <w:tcBorders>
              <w:bottom w:val="single" w:sz="2" w:space="0" w:color="3D7FE0" w:themeColor="accent1"/>
            </w:tcBorders>
            <w:vAlign w:val="bottom"/>
          </w:tcPr>
          <w:p w14:paraId="55C5B996" w14:textId="77777777" w:rsidR="009A55A1" w:rsidRPr="00895810" w:rsidRDefault="009A55A1" w:rsidP="009A55A1">
            <w:pPr>
              <w:pStyle w:val="TableFiguresBrackets"/>
              <w:spacing w:line="240" w:lineRule="auto"/>
              <w:rPr>
                <w:rFonts w:ascii="IBM Plex Sans Light" w:hAnsi="IBM Plex Sans Light"/>
                <w:bCs/>
                <w:color w:val="auto"/>
                <w:spacing w:val="-4"/>
                <w:sz w:val="18"/>
                <w:szCs w:val="18"/>
              </w:rPr>
            </w:pPr>
          </w:p>
        </w:tc>
        <w:tc>
          <w:tcPr>
            <w:tcW w:w="624" w:type="dxa"/>
            <w:tcBorders>
              <w:bottom w:val="single" w:sz="2" w:space="0" w:color="3D7FE0" w:themeColor="accent1"/>
            </w:tcBorders>
            <w:tcMar>
              <w:left w:w="0" w:type="dxa"/>
              <w:right w:w="0" w:type="dxa"/>
            </w:tcMar>
            <w:vAlign w:val="bottom"/>
          </w:tcPr>
          <w:p w14:paraId="1D6D83DD" w14:textId="77777777" w:rsidR="009A55A1" w:rsidRPr="00895810" w:rsidRDefault="009A55A1" w:rsidP="009A55A1">
            <w:pPr>
              <w:pStyle w:val="TableFiguresBrackets"/>
              <w:spacing w:line="240" w:lineRule="auto"/>
              <w:rPr>
                <w:rFonts w:ascii="IBM Plex Sans Light" w:hAnsi="IBM Plex Sans Light"/>
                <w:b/>
                <w:color w:val="3D7FE0" w:themeColor="accent1"/>
                <w:spacing w:val="-4"/>
                <w:sz w:val="18"/>
                <w:szCs w:val="18"/>
              </w:rPr>
            </w:pPr>
          </w:p>
        </w:tc>
        <w:tc>
          <w:tcPr>
            <w:tcW w:w="992" w:type="dxa"/>
            <w:tcBorders>
              <w:bottom w:val="single" w:sz="2" w:space="0" w:color="3D7FE0" w:themeColor="accent1"/>
            </w:tcBorders>
            <w:tcMar>
              <w:left w:w="0" w:type="dxa"/>
              <w:right w:w="0" w:type="dxa"/>
            </w:tcMar>
          </w:tcPr>
          <w:p w14:paraId="0D687CFF" w14:textId="18CBAB7A"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16.</w:t>
            </w:r>
            <w:r w:rsidR="00CB2690" w:rsidRPr="00024B10">
              <w:rPr>
                <w:rFonts w:ascii="IBM Plex Sans Medium" w:hAnsi="IBM Plex Sans Medium"/>
                <w:color w:val="3D7FE0" w:themeColor="accent1"/>
                <w:spacing w:val="-4"/>
                <w:sz w:val="18"/>
                <w:szCs w:val="18"/>
              </w:rPr>
              <w:t>1</w:t>
            </w:r>
          </w:p>
        </w:tc>
        <w:tc>
          <w:tcPr>
            <w:tcW w:w="992" w:type="dxa"/>
            <w:tcBorders>
              <w:bottom w:val="single" w:sz="2" w:space="0" w:color="3D7FE0" w:themeColor="accent1"/>
            </w:tcBorders>
          </w:tcPr>
          <w:p w14:paraId="7C8FEF97" w14:textId="75C27782"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(9.2)</w:t>
            </w:r>
          </w:p>
        </w:tc>
        <w:tc>
          <w:tcPr>
            <w:tcW w:w="992" w:type="dxa"/>
            <w:tcBorders>
              <w:bottom w:val="single" w:sz="2" w:space="0" w:color="3D7FE0" w:themeColor="accent1"/>
            </w:tcBorders>
          </w:tcPr>
          <w:p w14:paraId="38E77376" w14:textId="587E1912" w:rsidR="009A55A1" w:rsidRPr="00024B10" w:rsidRDefault="00CB2690"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6.9</w:t>
            </w:r>
          </w:p>
        </w:tc>
        <w:tc>
          <w:tcPr>
            <w:tcW w:w="993" w:type="dxa"/>
            <w:tcBorders>
              <w:bottom w:val="single" w:sz="2" w:space="0" w:color="3D7FE0" w:themeColor="accent1"/>
            </w:tcBorders>
          </w:tcPr>
          <w:p w14:paraId="2245363C" w14:textId="4529A92E" w:rsidR="009A55A1" w:rsidRPr="00895810" w:rsidDel="002A0D9E"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25.7</w:t>
            </w:r>
          </w:p>
        </w:tc>
        <w:tc>
          <w:tcPr>
            <w:tcW w:w="992" w:type="dxa"/>
            <w:tcBorders>
              <w:bottom w:val="single" w:sz="2" w:space="0" w:color="3D7FE0" w:themeColor="accent1"/>
            </w:tcBorders>
          </w:tcPr>
          <w:p w14:paraId="543E5065" w14:textId="11F0C298" w:rsidR="009A55A1" w:rsidRPr="00895810" w:rsidDel="002A0D9E" w:rsidRDefault="009A55A1" w:rsidP="009A55A1">
            <w:pPr>
              <w:pStyle w:val="TableFiguresBrackets"/>
              <w:spacing w:line="240" w:lineRule="auto"/>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13.9</w:t>
            </w:r>
            <w:r w:rsidRPr="00895810">
              <w:rPr>
                <w:rFonts w:ascii="IBM Plex Sans Light" w:hAnsi="IBM Plex Sans Light"/>
                <w:color w:val="auto"/>
                <w:spacing w:val="-4"/>
                <w:sz w:val="18"/>
                <w:szCs w:val="18"/>
              </w:rPr>
              <w:t>)</w:t>
            </w:r>
          </w:p>
        </w:tc>
        <w:tc>
          <w:tcPr>
            <w:tcW w:w="992" w:type="dxa"/>
            <w:tcBorders>
              <w:bottom w:val="single" w:sz="2" w:space="0" w:color="3D7FE0" w:themeColor="accent1"/>
            </w:tcBorders>
          </w:tcPr>
          <w:p w14:paraId="759F2029" w14:textId="08FC1645" w:rsidR="009A55A1" w:rsidRPr="00895810" w:rsidRDefault="009A55A1" w:rsidP="009A55A1">
            <w:pPr>
              <w:pStyle w:val="TableFigures"/>
              <w:spacing w:line="240" w:lineRule="auto"/>
              <w:rPr>
                <w:rFonts w:ascii="IBM Plex Sans Light" w:hAnsi="IBM Plex Sans Light"/>
                <w:color w:val="auto"/>
                <w:spacing w:val="-4"/>
                <w:sz w:val="18"/>
                <w:szCs w:val="18"/>
              </w:rPr>
            </w:pPr>
            <w:r w:rsidRPr="00895810">
              <w:rPr>
                <w:rFonts w:ascii="IBM Plex Sans Light" w:hAnsi="IBM Plex Sans Light"/>
                <w:color w:val="auto"/>
                <w:spacing w:val="-4"/>
                <w:sz w:val="18"/>
                <w:szCs w:val="18"/>
              </w:rPr>
              <w:t>1</w:t>
            </w:r>
            <w:r>
              <w:rPr>
                <w:rFonts w:ascii="IBM Plex Sans Light" w:hAnsi="IBM Plex Sans Light"/>
                <w:color w:val="auto"/>
                <w:spacing w:val="-4"/>
                <w:sz w:val="18"/>
                <w:szCs w:val="18"/>
              </w:rPr>
              <w:t>1.8</w:t>
            </w:r>
          </w:p>
        </w:tc>
      </w:tr>
      <w:tr w:rsidR="009A55A1" w:rsidRPr="00895810" w14:paraId="0D99F755" w14:textId="77777777" w:rsidTr="00B877C0">
        <w:trPr>
          <w:trHeight w:hRule="exact" w:val="249"/>
        </w:trPr>
        <w:tc>
          <w:tcPr>
            <w:tcW w:w="2976" w:type="dxa"/>
            <w:tcBorders>
              <w:top w:val="single" w:sz="2" w:space="0" w:color="3D7FE0" w:themeColor="accent1"/>
              <w:bottom w:val="single" w:sz="8" w:space="0" w:color="3D7FE0" w:themeColor="accent1"/>
            </w:tcBorders>
            <w:vAlign w:val="bottom"/>
          </w:tcPr>
          <w:p w14:paraId="797E2B01" w14:textId="77777777" w:rsidR="009A55A1" w:rsidRPr="00895810" w:rsidRDefault="009A55A1" w:rsidP="009A55A1">
            <w:pPr>
              <w:pStyle w:val="TableFigures"/>
              <w:spacing w:line="240" w:lineRule="auto"/>
              <w:jc w:val="left"/>
              <w:rPr>
                <w:rFonts w:ascii="IBM Plex Sans Light" w:hAnsi="IBM Plex Sans Light"/>
                <w:b/>
                <w:spacing w:val="-4"/>
                <w:sz w:val="18"/>
                <w:szCs w:val="18"/>
              </w:rPr>
            </w:pPr>
          </w:p>
        </w:tc>
        <w:tc>
          <w:tcPr>
            <w:tcW w:w="371" w:type="dxa"/>
            <w:tcBorders>
              <w:top w:val="single" w:sz="2" w:space="0" w:color="3D7FE0" w:themeColor="accent1"/>
              <w:bottom w:val="single" w:sz="8" w:space="0" w:color="3D7FE0" w:themeColor="accent1"/>
            </w:tcBorders>
          </w:tcPr>
          <w:p w14:paraId="7844CF74" w14:textId="77777777" w:rsidR="009A55A1" w:rsidRPr="00895810" w:rsidRDefault="009A55A1" w:rsidP="009A55A1">
            <w:pPr>
              <w:pStyle w:val="TableFigures"/>
              <w:spacing w:line="240" w:lineRule="auto"/>
              <w:rPr>
                <w:rFonts w:ascii="IBM Plex Sans Light" w:hAnsi="IBM Plex Sans Light"/>
                <w:bCs/>
                <w:color w:val="auto"/>
                <w:spacing w:val="-4"/>
                <w:sz w:val="18"/>
                <w:szCs w:val="18"/>
              </w:rPr>
            </w:pPr>
          </w:p>
        </w:tc>
        <w:tc>
          <w:tcPr>
            <w:tcW w:w="624" w:type="dxa"/>
            <w:tcBorders>
              <w:top w:val="single" w:sz="2" w:space="0" w:color="3D7FE0" w:themeColor="accent1"/>
              <w:bottom w:val="single" w:sz="8" w:space="0" w:color="3D7FE0" w:themeColor="accent1"/>
            </w:tcBorders>
            <w:tcMar>
              <w:left w:w="0" w:type="dxa"/>
              <w:right w:w="0" w:type="dxa"/>
            </w:tcMar>
            <w:vAlign w:val="bottom"/>
          </w:tcPr>
          <w:p w14:paraId="02D78C5B" w14:textId="77777777" w:rsidR="009A55A1" w:rsidRPr="00895810" w:rsidRDefault="009A55A1" w:rsidP="009A55A1">
            <w:pPr>
              <w:pStyle w:val="TableFigures"/>
              <w:spacing w:line="240" w:lineRule="auto"/>
              <w:rPr>
                <w:rFonts w:ascii="IBM Plex Sans Light" w:hAnsi="IBM Plex Sans Light"/>
                <w:b/>
                <w:color w:val="3D7FE0" w:themeColor="accent1"/>
                <w:spacing w:val="-4"/>
                <w:sz w:val="18"/>
                <w:szCs w:val="18"/>
              </w:rPr>
            </w:pPr>
          </w:p>
        </w:tc>
        <w:tc>
          <w:tcPr>
            <w:tcW w:w="992" w:type="dxa"/>
            <w:tcBorders>
              <w:top w:val="single" w:sz="2" w:space="0" w:color="3D7FE0" w:themeColor="accent1"/>
              <w:bottom w:val="single" w:sz="8" w:space="0" w:color="3D7FE0" w:themeColor="accent1"/>
            </w:tcBorders>
            <w:tcMar>
              <w:left w:w="0" w:type="dxa"/>
              <w:right w:w="0" w:type="dxa"/>
            </w:tcMar>
          </w:tcPr>
          <w:p w14:paraId="2230323D" w14:textId="1757BB7D"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41.6</w:t>
            </w:r>
          </w:p>
        </w:tc>
        <w:tc>
          <w:tcPr>
            <w:tcW w:w="992" w:type="dxa"/>
            <w:tcBorders>
              <w:top w:val="single" w:sz="2" w:space="0" w:color="3D7FE0" w:themeColor="accent1"/>
              <w:bottom w:val="single" w:sz="8" w:space="0" w:color="3D7FE0" w:themeColor="accent1"/>
            </w:tcBorders>
          </w:tcPr>
          <w:p w14:paraId="2E0403F6" w14:textId="1BC06874"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(14.0)</w:t>
            </w:r>
          </w:p>
        </w:tc>
        <w:tc>
          <w:tcPr>
            <w:tcW w:w="992" w:type="dxa"/>
            <w:tcBorders>
              <w:top w:val="single" w:sz="2" w:space="0" w:color="3D7FE0" w:themeColor="accent1"/>
              <w:bottom w:val="single" w:sz="8" w:space="0" w:color="3D7FE0" w:themeColor="accent1"/>
            </w:tcBorders>
          </w:tcPr>
          <w:p w14:paraId="6B18CEE1" w14:textId="7894B8C1"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w:t>
            </w:r>
            <w:r w:rsidR="00CB2690" w:rsidRPr="00024B10">
              <w:rPr>
                <w:rFonts w:ascii="IBM Plex Sans Medium" w:hAnsi="IBM Plex Sans Medium"/>
                <w:color w:val="3D7FE0" w:themeColor="accent1"/>
                <w:spacing w:val="-4"/>
                <w:sz w:val="18"/>
                <w:szCs w:val="18"/>
              </w:rPr>
              <w:t>7.6</w:t>
            </w:r>
          </w:p>
        </w:tc>
        <w:tc>
          <w:tcPr>
            <w:tcW w:w="993" w:type="dxa"/>
            <w:tcBorders>
              <w:top w:val="single" w:sz="2" w:space="0" w:color="3D7FE0" w:themeColor="accent1"/>
              <w:bottom w:val="single" w:sz="8" w:space="0" w:color="3D7FE0" w:themeColor="accent1"/>
            </w:tcBorders>
          </w:tcPr>
          <w:p w14:paraId="31C577C3" w14:textId="6190DA41" w:rsidR="009A55A1" w:rsidRPr="00895810" w:rsidDel="002A0D9E"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41.0</w:t>
            </w:r>
          </w:p>
        </w:tc>
        <w:tc>
          <w:tcPr>
            <w:tcW w:w="992" w:type="dxa"/>
            <w:tcBorders>
              <w:top w:val="single" w:sz="2" w:space="0" w:color="3D7FE0" w:themeColor="accent1"/>
              <w:bottom w:val="single" w:sz="8" w:space="0" w:color="3D7FE0" w:themeColor="accent1"/>
            </w:tcBorders>
          </w:tcPr>
          <w:p w14:paraId="7F904E93" w14:textId="418660C2" w:rsidR="009A55A1" w:rsidRPr="00895810" w:rsidDel="002A0D9E" w:rsidRDefault="009A55A1" w:rsidP="009A55A1">
            <w:pPr>
              <w:pStyle w:val="TableFiguresBrackets"/>
              <w:spacing w:line="240" w:lineRule="auto"/>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17.6</w:t>
            </w:r>
            <w:r w:rsidRPr="00895810">
              <w:rPr>
                <w:rFonts w:ascii="IBM Plex Sans Light" w:hAnsi="IBM Plex Sans Light"/>
                <w:color w:val="auto"/>
                <w:spacing w:val="-4"/>
                <w:sz w:val="18"/>
                <w:szCs w:val="18"/>
              </w:rPr>
              <w:t>)</w:t>
            </w:r>
          </w:p>
        </w:tc>
        <w:tc>
          <w:tcPr>
            <w:tcW w:w="992" w:type="dxa"/>
            <w:tcBorders>
              <w:top w:val="single" w:sz="2" w:space="0" w:color="3D7FE0" w:themeColor="accent1"/>
              <w:bottom w:val="single" w:sz="8" w:space="0" w:color="3D7FE0" w:themeColor="accent1"/>
            </w:tcBorders>
          </w:tcPr>
          <w:p w14:paraId="5E235C54" w14:textId="2B721949" w:rsidR="009A55A1" w:rsidRPr="00895810" w:rsidRDefault="009A55A1" w:rsidP="009A55A1">
            <w:pPr>
              <w:pStyle w:val="TableFigures"/>
              <w:spacing w:line="240" w:lineRule="auto"/>
              <w:rPr>
                <w:rFonts w:ascii="IBM Plex Sans Light" w:hAnsi="IBM Plex Sans Light"/>
                <w:color w:val="auto"/>
                <w:spacing w:val="-4"/>
                <w:sz w:val="18"/>
                <w:szCs w:val="18"/>
              </w:rPr>
            </w:pPr>
            <w:r>
              <w:rPr>
                <w:rFonts w:ascii="IBM Plex Sans Light" w:hAnsi="IBM Plex Sans Light"/>
                <w:color w:val="auto"/>
                <w:spacing w:val="-4"/>
                <w:sz w:val="18"/>
                <w:szCs w:val="18"/>
              </w:rPr>
              <w:t>23.4</w:t>
            </w:r>
          </w:p>
        </w:tc>
      </w:tr>
    </w:tbl>
    <w:p w14:paraId="09EE437A" w14:textId="77777777" w:rsidR="009A55A1" w:rsidRDefault="009A55A1" w:rsidP="009A55A1">
      <w:pPr>
        <w:spacing w:after="0" w:line="240" w:lineRule="auto"/>
        <w:ind w:right="-255"/>
        <w:rPr>
          <w:rFonts w:ascii="IBM Plex Sans Light" w:hAnsi="IBM Plex Sans Light" w:cs="Arial"/>
          <w:bCs/>
          <w:szCs w:val="15"/>
        </w:rPr>
      </w:pPr>
    </w:p>
    <w:p w14:paraId="1F32D990" w14:textId="6F8304BD" w:rsidR="009A55A1" w:rsidRPr="009A55A1" w:rsidRDefault="009A55A1" w:rsidP="009A55A1">
      <w:pPr>
        <w:spacing w:after="0" w:line="240" w:lineRule="auto"/>
        <w:ind w:right="-255"/>
        <w:rPr>
          <w:rFonts w:ascii="IBM Plex Sans Light" w:hAnsi="IBM Plex Sans Light" w:cs="Arial"/>
          <w:bCs/>
          <w:szCs w:val="15"/>
        </w:rPr>
      </w:pPr>
      <w:r w:rsidRPr="009A55A1">
        <w:rPr>
          <w:rFonts w:ascii="IBM Plex Sans Light" w:hAnsi="IBM Plex Sans Light" w:cs="Arial"/>
          <w:bCs/>
          <w:szCs w:val="15"/>
        </w:rPr>
        <w:t>Provisions against trade receivables includes £0.</w:t>
      </w:r>
      <w:r w:rsidR="000802C4">
        <w:rPr>
          <w:rFonts w:ascii="IBM Plex Sans Light" w:hAnsi="IBM Plex Sans Light" w:cs="Arial"/>
          <w:bCs/>
          <w:szCs w:val="15"/>
        </w:rPr>
        <w:t>9</w:t>
      </w:r>
      <w:r w:rsidRPr="009A55A1">
        <w:rPr>
          <w:rFonts w:ascii="IBM Plex Sans Light" w:hAnsi="IBM Plex Sans Light" w:cs="Arial"/>
          <w:bCs/>
          <w:szCs w:val="15"/>
        </w:rPr>
        <w:t>m (2022: £0.2m) against receivables whereby the income has been deferred on the balance sheet. On a proportionally consolidated basis, a further £</w:t>
      </w:r>
      <w:r w:rsidR="000802C4">
        <w:rPr>
          <w:rFonts w:ascii="IBM Plex Sans Light" w:hAnsi="IBM Plex Sans Light" w:cs="Arial"/>
          <w:bCs/>
          <w:szCs w:val="15"/>
        </w:rPr>
        <w:t>1.0</w:t>
      </w:r>
      <w:r w:rsidRPr="009A55A1">
        <w:rPr>
          <w:rFonts w:ascii="IBM Plex Sans Light" w:hAnsi="IBM Plex Sans Light" w:cs="Arial"/>
          <w:bCs/>
          <w:szCs w:val="15"/>
        </w:rPr>
        <w:t>m (2022: £1.4m) relates to Share of Property interests. The charge made for making these provisions is excluded from Adjusted earnings as described in note 9A.</w:t>
      </w:r>
    </w:p>
    <w:p w14:paraId="3686B174" w14:textId="3265F1B6" w:rsidR="00E93E1C" w:rsidRPr="00895810" w:rsidRDefault="009A55A1" w:rsidP="00B95ADD">
      <w:pPr>
        <w:pStyle w:val="Heading2SpaceBefore"/>
        <w:rPr>
          <w:rFonts w:ascii="IBM Plex Sans Light" w:hAnsi="IBM Plex Sans Light"/>
          <w:color w:val="3D7FE0" w:themeColor="accent1"/>
        </w:rPr>
      </w:pPr>
      <w:r>
        <w:rPr>
          <w:rFonts w:ascii="IBM Plex Sans Light" w:hAnsi="IBM Plex Sans Light"/>
          <w:color w:val="3D7FE0" w:themeColor="accent1"/>
        </w:rPr>
        <w:t>B</w:t>
      </w:r>
      <w:r w:rsidR="00B95ADD" w:rsidRPr="00895810">
        <w:rPr>
          <w:rFonts w:ascii="IBM Plex Sans Light" w:hAnsi="IBM Plex Sans Light"/>
          <w:color w:val="3D7FE0" w:themeColor="accent1"/>
        </w:rPr>
        <w:t xml:space="preserve">: </w:t>
      </w:r>
      <w:r w:rsidR="00C62996" w:rsidRPr="00895810">
        <w:rPr>
          <w:rFonts w:ascii="IBM Plex Sans Light" w:hAnsi="IBM Plex Sans Light"/>
          <w:color w:val="3D7FE0" w:themeColor="accent1"/>
        </w:rPr>
        <w:t>ANALYSIS OF MOVEMENTS IN PROVISIONS</w:t>
      </w:r>
    </w:p>
    <w:tbl>
      <w:tblPr>
        <w:tblW w:w="9921" w:type="dxa"/>
        <w:tblLayout w:type="fixed"/>
        <w:tblLook w:val="01E0" w:firstRow="1" w:lastRow="1" w:firstColumn="1" w:lastColumn="1" w:noHBand="0" w:noVBand="0"/>
      </w:tblPr>
      <w:tblGrid>
        <w:gridCol w:w="6803"/>
        <w:gridCol w:w="567"/>
        <w:gridCol w:w="1275"/>
        <w:gridCol w:w="1276"/>
      </w:tblGrid>
      <w:tr w:rsidR="00E93E1C" w:rsidRPr="00895810" w14:paraId="135FE8B9" w14:textId="77777777" w:rsidTr="00710846">
        <w:trPr>
          <w:trHeight w:hRule="exact" w:val="170"/>
        </w:trPr>
        <w:tc>
          <w:tcPr>
            <w:tcW w:w="6803" w:type="dxa"/>
            <w:tcMar>
              <w:left w:w="0" w:type="dxa"/>
              <w:right w:w="0" w:type="dxa"/>
            </w:tcMar>
            <w:vAlign w:val="bottom"/>
          </w:tcPr>
          <w:p w14:paraId="507DC4F3" w14:textId="77777777" w:rsidR="00E93E1C" w:rsidRPr="00895810" w:rsidRDefault="00E93E1C" w:rsidP="003F2C4C">
            <w:pPr>
              <w:pStyle w:val="TableColHeadsBold"/>
              <w:rPr>
                <w:rFonts w:ascii="IBM Plex Sans Light" w:hAnsi="IBM Plex Sans Light"/>
                <w:sz w:val="18"/>
                <w:szCs w:val="18"/>
              </w:rPr>
            </w:pPr>
          </w:p>
        </w:tc>
        <w:tc>
          <w:tcPr>
            <w:tcW w:w="567" w:type="dxa"/>
            <w:tcMar>
              <w:left w:w="0" w:type="dxa"/>
              <w:right w:w="0" w:type="dxa"/>
            </w:tcMar>
            <w:vAlign w:val="bottom"/>
          </w:tcPr>
          <w:p w14:paraId="03F99172" w14:textId="77777777" w:rsidR="00E93E1C" w:rsidRPr="00895810" w:rsidRDefault="00E93E1C" w:rsidP="003F2C4C">
            <w:pPr>
              <w:pStyle w:val="TableColHeadsBold"/>
              <w:rPr>
                <w:rFonts w:ascii="IBM Plex Sans Light" w:hAnsi="IBM Plex Sans Light"/>
                <w:color w:val="3D7FE0" w:themeColor="accent1"/>
                <w:sz w:val="18"/>
                <w:szCs w:val="18"/>
              </w:rPr>
            </w:pPr>
          </w:p>
        </w:tc>
        <w:tc>
          <w:tcPr>
            <w:tcW w:w="1275" w:type="dxa"/>
            <w:tcMar>
              <w:left w:w="0" w:type="dxa"/>
              <w:right w:w="0" w:type="dxa"/>
            </w:tcMar>
            <w:vAlign w:val="bottom"/>
          </w:tcPr>
          <w:p w14:paraId="184D7CDC" w14:textId="5D890C30" w:rsidR="00E93E1C" w:rsidRPr="00895810" w:rsidRDefault="00785AC2" w:rsidP="003F2C4C">
            <w:pPr>
              <w:pStyle w:val="TableColHeadsBold"/>
              <w:spacing w:line="240" w:lineRule="auto"/>
              <w:rPr>
                <w:rFonts w:ascii="IBM Plex Sans Light" w:hAnsi="IBM Plex Sans Light"/>
                <w:color w:val="3D7FE0" w:themeColor="accent1"/>
              </w:rPr>
            </w:pPr>
            <w:r>
              <w:rPr>
                <w:rFonts w:ascii="IBM Plex Sans Light" w:hAnsi="IBM Plex Sans Light"/>
                <w:color w:val="3D7FE0" w:themeColor="accent1"/>
              </w:rPr>
              <w:t>2023</w:t>
            </w:r>
          </w:p>
        </w:tc>
        <w:tc>
          <w:tcPr>
            <w:tcW w:w="1276" w:type="dxa"/>
            <w:tcMar>
              <w:left w:w="0" w:type="dxa"/>
              <w:right w:w="0" w:type="dxa"/>
            </w:tcMar>
            <w:vAlign w:val="bottom"/>
          </w:tcPr>
          <w:p w14:paraId="6FBBD178" w14:textId="25CF9E4B" w:rsidR="00E93E1C" w:rsidRPr="00895810" w:rsidRDefault="006E7EB0" w:rsidP="003F2C4C">
            <w:pPr>
              <w:pStyle w:val="TableColHeadsBold"/>
              <w:spacing w:line="240" w:lineRule="auto"/>
              <w:ind w:left="-106" w:right="39"/>
              <w:rPr>
                <w:rFonts w:ascii="IBM Plex Sans Light" w:hAnsi="IBM Plex Sans Light"/>
                <w:b w:val="0"/>
              </w:rPr>
            </w:pPr>
            <w:r>
              <w:rPr>
                <w:rFonts w:ascii="IBM Plex Sans Light" w:hAnsi="IBM Plex Sans Light"/>
                <w:b w:val="0"/>
              </w:rPr>
              <w:t>2022</w:t>
            </w:r>
          </w:p>
        </w:tc>
      </w:tr>
      <w:tr w:rsidR="00DD2CAA" w:rsidRPr="00895810" w14:paraId="079FB5B3" w14:textId="77777777" w:rsidTr="00B95ADD">
        <w:tc>
          <w:tcPr>
            <w:tcW w:w="6803" w:type="dxa"/>
            <w:tcBorders>
              <w:bottom w:val="single" w:sz="2" w:space="0" w:color="3D7FE0" w:themeColor="accent1"/>
            </w:tcBorders>
            <w:tcMar>
              <w:left w:w="0" w:type="dxa"/>
              <w:bottom w:w="28" w:type="dxa"/>
              <w:right w:w="0" w:type="dxa"/>
            </w:tcMar>
            <w:vAlign w:val="bottom"/>
          </w:tcPr>
          <w:p w14:paraId="616FCC0F" w14:textId="3855FF04" w:rsidR="00DD2CAA" w:rsidRPr="00895810" w:rsidRDefault="00DD2CAA" w:rsidP="00D91739">
            <w:pPr>
              <w:pStyle w:val="TableColHeadsBold"/>
              <w:jc w:val="left"/>
              <w:rPr>
                <w:rFonts w:ascii="IBM Plex Sans Light" w:hAnsi="IBM Plex Sans Light"/>
                <w:sz w:val="18"/>
                <w:szCs w:val="18"/>
              </w:rPr>
            </w:pPr>
            <w:r w:rsidRPr="00895810">
              <w:rPr>
                <w:rFonts w:ascii="IBM Plex Sans Light" w:hAnsi="IBM Plex Sans Light"/>
                <w:color w:val="3D7FE0" w:themeColor="accent1"/>
                <w:sz w:val="16"/>
                <w:szCs w:val="16"/>
              </w:rPr>
              <w:lastRenderedPageBreak/>
              <w:t>Loss allowance</w:t>
            </w:r>
          </w:p>
        </w:tc>
        <w:tc>
          <w:tcPr>
            <w:tcW w:w="567" w:type="dxa"/>
            <w:tcBorders>
              <w:bottom w:val="single" w:sz="2" w:space="0" w:color="3D7FE0" w:themeColor="accent1"/>
            </w:tcBorders>
            <w:tcMar>
              <w:left w:w="0" w:type="dxa"/>
              <w:bottom w:w="28" w:type="dxa"/>
              <w:right w:w="0" w:type="dxa"/>
            </w:tcMar>
            <w:vAlign w:val="bottom"/>
          </w:tcPr>
          <w:p w14:paraId="18F446E6" w14:textId="77777777" w:rsidR="00DD2CAA" w:rsidRPr="00895810" w:rsidRDefault="00DD2CAA" w:rsidP="00DD2CAA">
            <w:pPr>
              <w:pStyle w:val="TableColHeadsBold"/>
              <w:rPr>
                <w:rFonts w:ascii="IBM Plex Sans Light" w:hAnsi="IBM Plex Sans Light"/>
                <w:color w:val="3D7FE0" w:themeColor="accent1"/>
                <w:sz w:val="18"/>
                <w:szCs w:val="18"/>
              </w:rPr>
            </w:pPr>
          </w:p>
        </w:tc>
        <w:tc>
          <w:tcPr>
            <w:tcW w:w="1275" w:type="dxa"/>
            <w:tcBorders>
              <w:bottom w:val="single" w:sz="2" w:space="0" w:color="3D7FE0" w:themeColor="accent1"/>
            </w:tcBorders>
            <w:tcMar>
              <w:left w:w="0" w:type="dxa"/>
              <w:bottom w:w="28" w:type="dxa"/>
              <w:right w:w="0" w:type="dxa"/>
            </w:tcMar>
            <w:vAlign w:val="bottom"/>
          </w:tcPr>
          <w:p w14:paraId="6E50AB29" w14:textId="77777777" w:rsidR="00DD2CAA" w:rsidRPr="00895810" w:rsidRDefault="00DD2CAA" w:rsidP="00DD2CAA">
            <w:pPr>
              <w:pStyle w:val="TableColHeadsBold"/>
              <w:rPr>
                <w:rFonts w:ascii="IBM Plex Sans Light" w:hAnsi="IBM Plex Sans Light"/>
                <w:b w:val="0"/>
                <w:sz w:val="16"/>
                <w:szCs w:val="16"/>
              </w:rPr>
            </w:pPr>
            <w:r w:rsidRPr="00895810">
              <w:rPr>
                <w:rFonts w:ascii="IBM Plex Sans Light" w:hAnsi="IBM Plex Sans Light"/>
                <w:color w:val="3D7FE0" w:themeColor="accent1"/>
                <w:sz w:val="16"/>
                <w:szCs w:val="16"/>
              </w:rPr>
              <w:t xml:space="preserve">£m </w:t>
            </w:r>
          </w:p>
        </w:tc>
        <w:tc>
          <w:tcPr>
            <w:tcW w:w="1276" w:type="dxa"/>
            <w:tcBorders>
              <w:bottom w:val="single" w:sz="2" w:space="0" w:color="3D7FE0" w:themeColor="accent1"/>
            </w:tcBorders>
            <w:tcMar>
              <w:left w:w="0" w:type="dxa"/>
              <w:bottom w:w="28" w:type="dxa"/>
              <w:right w:w="0" w:type="dxa"/>
            </w:tcMar>
            <w:vAlign w:val="bottom"/>
          </w:tcPr>
          <w:p w14:paraId="27C33A48" w14:textId="77777777" w:rsidR="00DD2CAA" w:rsidRPr="00895810" w:rsidRDefault="00DD2CAA" w:rsidP="00DD2CAA">
            <w:pPr>
              <w:pStyle w:val="TableColHeadsBold"/>
              <w:rPr>
                <w:rFonts w:ascii="IBM Plex Sans Light" w:hAnsi="IBM Plex Sans Light"/>
                <w:b w:val="0"/>
                <w:sz w:val="16"/>
                <w:szCs w:val="16"/>
              </w:rPr>
            </w:pPr>
            <w:r w:rsidRPr="00895810">
              <w:rPr>
                <w:rFonts w:ascii="IBM Plex Sans Light" w:hAnsi="IBM Plex Sans Light"/>
                <w:b w:val="0"/>
                <w:sz w:val="16"/>
                <w:szCs w:val="16"/>
              </w:rPr>
              <w:t xml:space="preserve">£m </w:t>
            </w:r>
          </w:p>
        </w:tc>
      </w:tr>
      <w:tr w:rsidR="009A55A1" w:rsidRPr="00895810" w14:paraId="0697AA75" w14:textId="77777777" w:rsidTr="0006326A">
        <w:trPr>
          <w:trHeight w:hRule="exact" w:val="255"/>
        </w:trPr>
        <w:tc>
          <w:tcPr>
            <w:tcW w:w="6803" w:type="dxa"/>
            <w:tcMar>
              <w:left w:w="0" w:type="dxa"/>
              <w:right w:w="0" w:type="dxa"/>
            </w:tcMar>
          </w:tcPr>
          <w:p w14:paraId="150A49D4" w14:textId="3001F299" w:rsidR="009A55A1" w:rsidRPr="00895810" w:rsidRDefault="009A55A1" w:rsidP="009A55A1">
            <w:pPr>
              <w:pStyle w:val="TableFigures"/>
              <w:jc w:val="left"/>
              <w:rPr>
                <w:rFonts w:ascii="IBM Plex Sans Light" w:hAnsi="IBM Plex Sans Light"/>
                <w:b/>
                <w:bCs/>
                <w:spacing w:val="-4"/>
                <w:sz w:val="18"/>
                <w:szCs w:val="18"/>
              </w:rPr>
            </w:pPr>
            <w:r w:rsidRPr="00895810">
              <w:rPr>
                <w:rFonts w:ascii="IBM Plex Sans Light" w:hAnsi="IBM Plex Sans Light"/>
                <w:b/>
                <w:bCs/>
                <w:spacing w:val="-4"/>
                <w:sz w:val="18"/>
                <w:szCs w:val="18"/>
              </w:rPr>
              <w:t>At 1 January</w:t>
            </w:r>
          </w:p>
        </w:tc>
        <w:tc>
          <w:tcPr>
            <w:tcW w:w="567" w:type="dxa"/>
            <w:tcMar>
              <w:left w:w="0" w:type="dxa"/>
              <w:right w:w="0" w:type="dxa"/>
            </w:tcMar>
            <w:vAlign w:val="bottom"/>
          </w:tcPr>
          <w:p w14:paraId="46BF0D87" w14:textId="77777777" w:rsidR="009A55A1" w:rsidRPr="00895810" w:rsidRDefault="009A55A1" w:rsidP="009A55A1">
            <w:pPr>
              <w:pStyle w:val="TableFigures"/>
              <w:spacing w:before="0" w:after="0" w:line="240" w:lineRule="auto"/>
              <w:rPr>
                <w:rFonts w:ascii="IBM Plex Sans Light" w:hAnsi="IBM Plex Sans Light"/>
                <w:color w:val="auto"/>
                <w:spacing w:val="-4"/>
                <w:sz w:val="18"/>
                <w:szCs w:val="18"/>
              </w:rPr>
            </w:pPr>
          </w:p>
        </w:tc>
        <w:tc>
          <w:tcPr>
            <w:tcW w:w="1275" w:type="dxa"/>
            <w:tcMar>
              <w:left w:w="0" w:type="dxa"/>
              <w:right w:w="0" w:type="dxa"/>
            </w:tcMar>
          </w:tcPr>
          <w:p w14:paraId="2A76C0C5" w14:textId="51C1EBB5" w:rsidR="009A55A1" w:rsidRPr="004406E3" w:rsidRDefault="009A55A1" w:rsidP="009A55A1">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17.6</w:t>
            </w:r>
          </w:p>
        </w:tc>
        <w:tc>
          <w:tcPr>
            <w:tcW w:w="1276" w:type="dxa"/>
            <w:tcMar>
              <w:left w:w="0" w:type="dxa"/>
              <w:right w:w="0" w:type="dxa"/>
            </w:tcMar>
          </w:tcPr>
          <w:p w14:paraId="28CE1F68" w14:textId="526822A3" w:rsidR="009A55A1" w:rsidRPr="00895810" w:rsidRDefault="009A55A1" w:rsidP="009A55A1">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27.4</w:t>
            </w:r>
          </w:p>
        </w:tc>
      </w:tr>
      <w:tr w:rsidR="009A55A1" w:rsidRPr="00895810" w14:paraId="52837946" w14:textId="77777777" w:rsidTr="0006326A">
        <w:trPr>
          <w:trHeight w:hRule="exact" w:val="255"/>
        </w:trPr>
        <w:tc>
          <w:tcPr>
            <w:tcW w:w="6803" w:type="dxa"/>
            <w:tcMar>
              <w:left w:w="0" w:type="dxa"/>
              <w:right w:w="0" w:type="dxa"/>
            </w:tcMar>
          </w:tcPr>
          <w:p w14:paraId="0372FD89" w14:textId="66F7686B" w:rsidR="009A55A1" w:rsidRPr="00895810" w:rsidRDefault="009A55A1" w:rsidP="009A55A1">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 xml:space="preserve">Additions </w:t>
            </w:r>
            <w:r>
              <w:rPr>
                <w:rFonts w:ascii="IBM Plex Sans Light" w:hAnsi="IBM Plex Sans Light"/>
                <w:spacing w:val="-4"/>
                <w:sz w:val="18"/>
                <w:szCs w:val="18"/>
              </w:rPr>
              <w:t xml:space="preserve">to provisions </w:t>
            </w:r>
          </w:p>
        </w:tc>
        <w:tc>
          <w:tcPr>
            <w:tcW w:w="567" w:type="dxa"/>
            <w:tcMar>
              <w:left w:w="0" w:type="dxa"/>
              <w:right w:w="0" w:type="dxa"/>
            </w:tcMar>
            <w:vAlign w:val="bottom"/>
          </w:tcPr>
          <w:p w14:paraId="6D7518A1" w14:textId="77777777" w:rsidR="009A55A1" w:rsidRPr="00895810" w:rsidRDefault="009A55A1" w:rsidP="009A55A1">
            <w:pPr>
              <w:pStyle w:val="TableFigures"/>
              <w:spacing w:before="0" w:after="0" w:line="240" w:lineRule="auto"/>
              <w:rPr>
                <w:rFonts w:ascii="IBM Plex Sans Light" w:hAnsi="IBM Plex Sans Light"/>
                <w:color w:val="auto"/>
                <w:spacing w:val="-4"/>
                <w:sz w:val="18"/>
                <w:szCs w:val="18"/>
              </w:rPr>
            </w:pPr>
          </w:p>
        </w:tc>
        <w:tc>
          <w:tcPr>
            <w:tcW w:w="1275" w:type="dxa"/>
            <w:tcMar>
              <w:left w:w="0" w:type="dxa"/>
              <w:right w:w="0" w:type="dxa"/>
            </w:tcMar>
          </w:tcPr>
          <w:p w14:paraId="403ECA9B" w14:textId="177C5287" w:rsidR="009A55A1" w:rsidRPr="004406E3" w:rsidRDefault="009A55A1" w:rsidP="009A55A1">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9.4</w:t>
            </w:r>
          </w:p>
        </w:tc>
        <w:tc>
          <w:tcPr>
            <w:tcW w:w="1276" w:type="dxa"/>
            <w:tcMar>
              <w:left w:w="0" w:type="dxa"/>
              <w:right w:w="0" w:type="dxa"/>
            </w:tcMar>
          </w:tcPr>
          <w:p w14:paraId="43EF685C" w14:textId="6FED3BF3" w:rsidR="009A55A1" w:rsidRPr="00895810" w:rsidRDefault="009A55A1" w:rsidP="009A55A1">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4.0</w:t>
            </w:r>
          </w:p>
        </w:tc>
      </w:tr>
      <w:tr w:rsidR="009A55A1" w:rsidRPr="00895810" w14:paraId="2AA4E678" w14:textId="77777777" w:rsidTr="0006326A">
        <w:trPr>
          <w:trHeight w:hRule="exact" w:val="255"/>
        </w:trPr>
        <w:tc>
          <w:tcPr>
            <w:tcW w:w="6803" w:type="dxa"/>
            <w:tcMar>
              <w:left w:w="0" w:type="dxa"/>
              <w:right w:w="0" w:type="dxa"/>
            </w:tcMar>
          </w:tcPr>
          <w:p w14:paraId="07C64EAD" w14:textId="39D66A88" w:rsidR="009A55A1" w:rsidRPr="00895810" w:rsidRDefault="009A55A1" w:rsidP="009A55A1">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Disposals</w:t>
            </w:r>
          </w:p>
        </w:tc>
        <w:tc>
          <w:tcPr>
            <w:tcW w:w="567" w:type="dxa"/>
            <w:tcMar>
              <w:left w:w="0" w:type="dxa"/>
              <w:right w:w="0" w:type="dxa"/>
            </w:tcMar>
            <w:vAlign w:val="bottom"/>
          </w:tcPr>
          <w:p w14:paraId="5DC4F785" w14:textId="69EABDEE" w:rsidR="009A55A1" w:rsidRPr="00895810" w:rsidRDefault="009A55A1" w:rsidP="009A55A1">
            <w:pPr>
              <w:pStyle w:val="TableFigures"/>
              <w:spacing w:before="0" w:after="0" w:line="240" w:lineRule="auto"/>
              <w:rPr>
                <w:rFonts w:ascii="IBM Plex Sans Light" w:hAnsi="IBM Plex Sans Light"/>
                <w:color w:val="auto"/>
                <w:spacing w:val="-4"/>
                <w:sz w:val="18"/>
                <w:szCs w:val="18"/>
              </w:rPr>
            </w:pPr>
          </w:p>
        </w:tc>
        <w:tc>
          <w:tcPr>
            <w:tcW w:w="1275" w:type="dxa"/>
            <w:tcMar>
              <w:left w:w="0" w:type="dxa"/>
              <w:right w:w="0" w:type="dxa"/>
            </w:tcMar>
          </w:tcPr>
          <w:p w14:paraId="68589DC1" w14:textId="1776BB5E" w:rsidR="009A55A1" w:rsidRPr="004406E3" w:rsidRDefault="009A55A1" w:rsidP="009A55A1">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w:t>
            </w:r>
          </w:p>
        </w:tc>
        <w:tc>
          <w:tcPr>
            <w:tcW w:w="1276" w:type="dxa"/>
            <w:tcMar>
              <w:left w:w="0" w:type="dxa"/>
              <w:right w:w="0" w:type="dxa"/>
            </w:tcMar>
          </w:tcPr>
          <w:p w14:paraId="2AA8D94B" w14:textId="102A6986" w:rsidR="009A55A1" w:rsidRPr="00895810" w:rsidRDefault="009A55A1" w:rsidP="009A55A1">
            <w:pPr>
              <w:pStyle w:val="TableFiguresBracket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1.3</w:t>
            </w:r>
            <w:r w:rsidRPr="00895810">
              <w:rPr>
                <w:rFonts w:ascii="IBM Plex Sans Light" w:hAnsi="IBM Plex Sans Light"/>
                <w:color w:val="auto"/>
                <w:spacing w:val="-4"/>
                <w:sz w:val="18"/>
                <w:szCs w:val="18"/>
              </w:rPr>
              <w:t>)</w:t>
            </w:r>
          </w:p>
        </w:tc>
      </w:tr>
      <w:tr w:rsidR="009A55A1" w:rsidRPr="00895810" w14:paraId="43FF321C" w14:textId="77777777" w:rsidTr="0006326A">
        <w:trPr>
          <w:trHeight w:hRule="exact" w:val="255"/>
        </w:trPr>
        <w:tc>
          <w:tcPr>
            <w:tcW w:w="6803" w:type="dxa"/>
            <w:tcMar>
              <w:left w:w="0" w:type="dxa"/>
              <w:right w:w="0" w:type="dxa"/>
            </w:tcMar>
          </w:tcPr>
          <w:p w14:paraId="7C52C0BC" w14:textId="15C1C617" w:rsidR="009A55A1" w:rsidRPr="00895810" w:rsidRDefault="009A55A1" w:rsidP="009A55A1">
            <w:pPr>
              <w:pStyle w:val="TableFigures"/>
              <w:jc w:val="left"/>
              <w:rPr>
                <w:rFonts w:ascii="IBM Plex Sans Light" w:hAnsi="IBM Plex Sans Light"/>
                <w:spacing w:val="-4"/>
                <w:sz w:val="18"/>
                <w:szCs w:val="18"/>
              </w:rPr>
            </w:pPr>
            <w:r>
              <w:rPr>
                <w:rFonts w:ascii="IBM Plex Sans Light" w:hAnsi="IBM Plex Sans Light"/>
                <w:spacing w:val="-4"/>
                <w:sz w:val="18"/>
                <w:szCs w:val="18"/>
              </w:rPr>
              <w:t>Release of provisions</w:t>
            </w:r>
          </w:p>
        </w:tc>
        <w:tc>
          <w:tcPr>
            <w:tcW w:w="567" w:type="dxa"/>
            <w:tcMar>
              <w:left w:w="0" w:type="dxa"/>
              <w:right w:w="0" w:type="dxa"/>
            </w:tcMar>
            <w:vAlign w:val="bottom"/>
          </w:tcPr>
          <w:p w14:paraId="0DB8DA12" w14:textId="77777777" w:rsidR="009A55A1" w:rsidRPr="00895810" w:rsidRDefault="009A55A1" w:rsidP="009A55A1">
            <w:pPr>
              <w:pStyle w:val="TableFigures"/>
              <w:spacing w:before="0" w:after="0" w:line="240" w:lineRule="auto"/>
              <w:rPr>
                <w:rFonts w:ascii="IBM Plex Sans Light" w:hAnsi="IBM Plex Sans Light"/>
                <w:color w:val="auto"/>
                <w:spacing w:val="-4"/>
                <w:sz w:val="18"/>
                <w:szCs w:val="18"/>
              </w:rPr>
            </w:pPr>
          </w:p>
        </w:tc>
        <w:tc>
          <w:tcPr>
            <w:tcW w:w="1275" w:type="dxa"/>
            <w:tcMar>
              <w:left w:w="0" w:type="dxa"/>
              <w:right w:w="0" w:type="dxa"/>
            </w:tcMar>
          </w:tcPr>
          <w:p w14:paraId="07929C11" w14:textId="40FED313" w:rsidR="009A55A1" w:rsidRPr="004406E3" w:rsidRDefault="009A55A1"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(8.0)</w:t>
            </w:r>
          </w:p>
        </w:tc>
        <w:tc>
          <w:tcPr>
            <w:tcW w:w="1276" w:type="dxa"/>
            <w:tcMar>
              <w:left w:w="0" w:type="dxa"/>
              <w:right w:w="0" w:type="dxa"/>
            </w:tcMar>
          </w:tcPr>
          <w:p w14:paraId="1E79DC25" w14:textId="6CB8A69C" w:rsidR="009A55A1" w:rsidRPr="00895810" w:rsidRDefault="009A55A1" w:rsidP="009A55A1">
            <w:pPr>
              <w:pStyle w:val="TableFiguresBrackets"/>
              <w:rPr>
                <w:rFonts w:ascii="IBM Plex Sans Light" w:hAnsi="IBM Plex Sans Light"/>
                <w:color w:val="auto"/>
                <w:spacing w:val="-4"/>
                <w:sz w:val="18"/>
                <w:szCs w:val="18"/>
              </w:rPr>
            </w:pPr>
            <w:r>
              <w:rPr>
                <w:rFonts w:ascii="IBM Plex Sans Light" w:hAnsi="IBM Plex Sans Light"/>
                <w:color w:val="auto"/>
                <w:spacing w:val="-4"/>
                <w:sz w:val="18"/>
                <w:szCs w:val="18"/>
              </w:rPr>
              <w:t>(10.7)</w:t>
            </w:r>
          </w:p>
        </w:tc>
      </w:tr>
      <w:tr w:rsidR="009A55A1" w:rsidRPr="00895810" w14:paraId="4C691363" w14:textId="77777777" w:rsidTr="0006326A">
        <w:trPr>
          <w:trHeight w:hRule="exact" w:val="255"/>
        </w:trPr>
        <w:tc>
          <w:tcPr>
            <w:tcW w:w="6803" w:type="dxa"/>
            <w:tcMar>
              <w:left w:w="0" w:type="dxa"/>
              <w:right w:w="0" w:type="dxa"/>
            </w:tcMar>
          </w:tcPr>
          <w:p w14:paraId="132A435E" w14:textId="586BC94E" w:rsidR="009A55A1" w:rsidRPr="00895810" w:rsidRDefault="009A55A1" w:rsidP="009A55A1">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Utilisation</w:t>
            </w:r>
          </w:p>
        </w:tc>
        <w:tc>
          <w:tcPr>
            <w:tcW w:w="567" w:type="dxa"/>
            <w:tcMar>
              <w:left w:w="0" w:type="dxa"/>
              <w:right w:w="0" w:type="dxa"/>
            </w:tcMar>
            <w:vAlign w:val="bottom"/>
          </w:tcPr>
          <w:p w14:paraId="57672259" w14:textId="77777777" w:rsidR="009A55A1" w:rsidRPr="00895810" w:rsidRDefault="009A55A1" w:rsidP="009A55A1">
            <w:pPr>
              <w:pStyle w:val="TableFigures"/>
              <w:spacing w:before="0" w:after="0" w:line="240" w:lineRule="auto"/>
              <w:rPr>
                <w:rFonts w:ascii="IBM Plex Sans Light" w:hAnsi="IBM Plex Sans Light"/>
                <w:color w:val="auto"/>
                <w:spacing w:val="-4"/>
                <w:sz w:val="18"/>
                <w:szCs w:val="18"/>
              </w:rPr>
            </w:pPr>
          </w:p>
        </w:tc>
        <w:tc>
          <w:tcPr>
            <w:tcW w:w="1275" w:type="dxa"/>
            <w:tcMar>
              <w:left w:w="0" w:type="dxa"/>
              <w:right w:w="0" w:type="dxa"/>
            </w:tcMar>
          </w:tcPr>
          <w:p w14:paraId="2A9D88D3" w14:textId="0AF45626" w:rsidR="009A55A1" w:rsidRPr="004406E3" w:rsidRDefault="009A55A1"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(5.4)</w:t>
            </w:r>
          </w:p>
        </w:tc>
        <w:tc>
          <w:tcPr>
            <w:tcW w:w="1276" w:type="dxa"/>
            <w:tcMar>
              <w:left w:w="0" w:type="dxa"/>
              <w:right w:w="0" w:type="dxa"/>
            </w:tcMar>
          </w:tcPr>
          <w:p w14:paraId="7896CDFB" w14:textId="31683A74" w:rsidR="009A55A1" w:rsidRPr="00895810" w:rsidRDefault="009A55A1" w:rsidP="009A55A1">
            <w:pPr>
              <w:pStyle w:val="TableFiguresBrackets"/>
              <w:rPr>
                <w:rFonts w:ascii="IBM Plex Sans Light" w:hAnsi="IBM Plex Sans Light"/>
                <w:color w:val="auto"/>
                <w:spacing w:val="-4"/>
                <w:sz w:val="18"/>
                <w:szCs w:val="18"/>
              </w:rPr>
            </w:pPr>
            <w:r w:rsidRPr="00895810">
              <w:rPr>
                <w:rFonts w:ascii="IBM Plex Sans Light" w:hAnsi="IBM Plex Sans Light"/>
                <w:color w:val="auto"/>
                <w:spacing w:val="-4"/>
                <w:sz w:val="18"/>
                <w:szCs w:val="18"/>
              </w:rPr>
              <w:t>(</w:t>
            </w:r>
            <w:r>
              <w:rPr>
                <w:rFonts w:ascii="IBM Plex Sans Light" w:hAnsi="IBM Plex Sans Light"/>
                <w:color w:val="auto"/>
                <w:spacing w:val="-4"/>
                <w:sz w:val="18"/>
                <w:szCs w:val="18"/>
              </w:rPr>
              <w:t>2.8</w:t>
            </w:r>
            <w:r w:rsidRPr="00895810">
              <w:rPr>
                <w:rFonts w:ascii="IBM Plex Sans Light" w:hAnsi="IBM Plex Sans Light"/>
                <w:color w:val="auto"/>
                <w:spacing w:val="-4"/>
                <w:sz w:val="18"/>
                <w:szCs w:val="18"/>
              </w:rPr>
              <w:t>)</w:t>
            </w:r>
          </w:p>
        </w:tc>
      </w:tr>
      <w:tr w:rsidR="009A55A1" w:rsidRPr="00895810" w14:paraId="2E873655" w14:textId="77777777" w:rsidTr="0006326A">
        <w:trPr>
          <w:trHeight w:hRule="exact" w:val="255"/>
        </w:trPr>
        <w:tc>
          <w:tcPr>
            <w:tcW w:w="6803" w:type="dxa"/>
            <w:tcBorders>
              <w:bottom w:val="single" w:sz="2" w:space="0" w:color="3D7FE0" w:themeColor="accent1"/>
            </w:tcBorders>
            <w:tcMar>
              <w:left w:w="0" w:type="dxa"/>
              <w:right w:w="0" w:type="dxa"/>
            </w:tcMar>
          </w:tcPr>
          <w:p w14:paraId="1D7C44CA" w14:textId="77777777" w:rsidR="009A55A1" w:rsidRPr="00895810" w:rsidRDefault="009A55A1" w:rsidP="009A55A1">
            <w:pPr>
              <w:pStyle w:val="TableFigures"/>
              <w:jc w:val="left"/>
              <w:rPr>
                <w:rFonts w:ascii="IBM Plex Sans Light" w:hAnsi="IBM Plex Sans Light"/>
                <w:spacing w:val="-4"/>
                <w:sz w:val="18"/>
                <w:szCs w:val="18"/>
              </w:rPr>
            </w:pPr>
            <w:r w:rsidRPr="00895810">
              <w:rPr>
                <w:rFonts w:ascii="IBM Plex Sans Light" w:hAnsi="IBM Plex Sans Light"/>
                <w:spacing w:val="-4"/>
                <w:sz w:val="18"/>
                <w:szCs w:val="18"/>
              </w:rPr>
              <w:t>Exchange</w:t>
            </w:r>
          </w:p>
        </w:tc>
        <w:tc>
          <w:tcPr>
            <w:tcW w:w="567" w:type="dxa"/>
            <w:tcBorders>
              <w:bottom w:val="single" w:sz="2" w:space="0" w:color="3D7FE0" w:themeColor="accent1"/>
            </w:tcBorders>
            <w:tcMar>
              <w:left w:w="0" w:type="dxa"/>
              <w:right w:w="0" w:type="dxa"/>
            </w:tcMar>
            <w:vAlign w:val="bottom"/>
          </w:tcPr>
          <w:p w14:paraId="4367CE47" w14:textId="77777777" w:rsidR="009A55A1" w:rsidRPr="00895810" w:rsidRDefault="009A55A1" w:rsidP="009A55A1">
            <w:pPr>
              <w:pStyle w:val="TableFigures"/>
              <w:rPr>
                <w:rFonts w:ascii="IBM Plex Sans Light" w:hAnsi="IBM Plex Sans Light"/>
                <w:color w:val="auto"/>
                <w:spacing w:val="-4"/>
                <w:sz w:val="18"/>
                <w:szCs w:val="18"/>
              </w:rPr>
            </w:pPr>
          </w:p>
        </w:tc>
        <w:tc>
          <w:tcPr>
            <w:tcW w:w="1275" w:type="dxa"/>
            <w:tcBorders>
              <w:bottom w:val="single" w:sz="2" w:space="0" w:color="3D7FE0" w:themeColor="accent1"/>
            </w:tcBorders>
            <w:tcMar>
              <w:left w:w="0" w:type="dxa"/>
              <w:right w:w="0" w:type="dxa"/>
            </w:tcMar>
          </w:tcPr>
          <w:p w14:paraId="00614BEB" w14:textId="5A99A5E7" w:rsidR="009A55A1" w:rsidRPr="004406E3" w:rsidRDefault="009A55A1" w:rsidP="009A55A1">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0.4</w:t>
            </w:r>
          </w:p>
        </w:tc>
        <w:tc>
          <w:tcPr>
            <w:tcW w:w="1276" w:type="dxa"/>
            <w:tcBorders>
              <w:bottom w:val="single" w:sz="2" w:space="0" w:color="3D7FE0" w:themeColor="accent1"/>
            </w:tcBorders>
            <w:tcMar>
              <w:left w:w="0" w:type="dxa"/>
              <w:right w:w="0" w:type="dxa"/>
            </w:tcMar>
          </w:tcPr>
          <w:p w14:paraId="2FAA2CD8" w14:textId="70F5FCC5" w:rsidR="009A55A1" w:rsidRPr="00895810" w:rsidRDefault="009A55A1" w:rsidP="009A55A1">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1.0</w:t>
            </w:r>
          </w:p>
        </w:tc>
      </w:tr>
      <w:tr w:rsidR="009A55A1" w:rsidRPr="00895810" w14:paraId="730DFB76" w14:textId="77777777" w:rsidTr="0006326A">
        <w:trPr>
          <w:trHeight w:hRule="exact" w:val="255"/>
        </w:trPr>
        <w:tc>
          <w:tcPr>
            <w:tcW w:w="6803" w:type="dxa"/>
            <w:tcBorders>
              <w:top w:val="single" w:sz="2" w:space="0" w:color="3D7FE0" w:themeColor="accent1"/>
              <w:bottom w:val="single" w:sz="8" w:space="0" w:color="3D7FE0" w:themeColor="accent1"/>
            </w:tcBorders>
            <w:tcMar>
              <w:left w:w="0" w:type="dxa"/>
              <w:right w:w="0" w:type="dxa"/>
            </w:tcMar>
          </w:tcPr>
          <w:p w14:paraId="143C3745" w14:textId="74112256" w:rsidR="009A55A1" w:rsidRPr="00895810" w:rsidRDefault="009A55A1" w:rsidP="009A55A1">
            <w:pPr>
              <w:pStyle w:val="TableFiguresBold"/>
              <w:jc w:val="left"/>
              <w:rPr>
                <w:rFonts w:ascii="IBM Plex Sans Light" w:hAnsi="IBM Plex Sans Light"/>
                <w:b w:val="0"/>
                <w:bCs w:val="0"/>
                <w:spacing w:val="-4"/>
                <w:sz w:val="18"/>
                <w:szCs w:val="18"/>
              </w:rPr>
            </w:pPr>
            <w:r w:rsidRPr="009A55A1">
              <w:rPr>
                <w:rFonts w:ascii="IBM Plex Sans Light" w:hAnsi="IBM Plex Sans Light"/>
                <w:color w:val="3D7FE0" w:themeColor="accent1"/>
                <w:sz w:val="18"/>
                <w:szCs w:val="18"/>
              </w:rPr>
              <w:t>At 31 December</w:t>
            </w:r>
          </w:p>
        </w:tc>
        <w:tc>
          <w:tcPr>
            <w:tcW w:w="567" w:type="dxa"/>
            <w:tcBorders>
              <w:top w:val="single" w:sz="2" w:space="0" w:color="3D7FE0" w:themeColor="accent1"/>
              <w:bottom w:val="single" w:sz="8" w:space="0" w:color="3D7FE0" w:themeColor="accent1"/>
            </w:tcBorders>
            <w:tcMar>
              <w:left w:w="0" w:type="dxa"/>
              <w:right w:w="0" w:type="dxa"/>
            </w:tcMar>
            <w:vAlign w:val="bottom"/>
          </w:tcPr>
          <w:p w14:paraId="6521041E" w14:textId="77777777" w:rsidR="009A55A1" w:rsidRPr="00895810" w:rsidRDefault="009A55A1" w:rsidP="009A55A1">
            <w:pPr>
              <w:pStyle w:val="TableFigures"/>
              <w:rPr>
                <w:rFonts w:ascii="IBM Plex Sans Light" w:hAnsi="IBM Plex Sans Light"/>
                <w:color w:val="auto"/>
                <w:spacing w:val="-4"/>
                <w:sz w:val="18"/>
                <w:szCs w:val="18"/>
              </w:rPr>
            </w:pPr>
          </w:p>
        </w:tc>
        <w:tc>
          <w:tcPr>
            <w:tcW w:w="1275" w:type="dxa"/>
            <w:tcBorders>
              <w:top w:val="single" w:sz="2" w:space="0" w:color="3D7FE0" w:themeColor="accent1"/>
              <w:bottom w:val="single" w:sz="8" w:space="0" w:color="3D7FE0" w:themeColor="accent1"/>
            </w:tcBorders>
            <w:tcMar>
              <w:left w:w="0" w:type="dxa"/>
              <w:right w:w="0" w:type="dxa"/>
            </w:tcMar>
          </w:tcPr>
          <w:p w14:paraId="3EA7D9A0" w14:textId="537E6E4D" w:rsidR="009A55A1" w:rsidRPr="004406E3" w:rsidRDefault="009A55A1" w:rsidP="009A55A1">
            <w:pPr>
              <w:pStyle w:val="TableFiguresBold"/>
              <w:rPr>
                <w:rFonts w:ascii="IBM Plex Sans Medium" w:hAnsi="IBM Plex Sans Medium"/>
                <w:color w:val="3D7FE0" w:themeColor="accent1"/>
                <w:spacing w:val="-4"/>
                <w:sz w:val="18"/>
                <w:szCs w:val="18"/>
              </w:rPr>
            </w:pPr>
            <w:r w:rsidRPr="004406E3">
              <w:rPr>
                <w:rFonts w:ascii="IBM Plex Sans Medium" w:hAnsi="IBM Plex Sans Medium"/>
                <w:color w:val="3D7FE0" w:themeColor="accent1"/>
                <w:spacing w:val="-4"/>
                <w:sz w:val="18"/>
                <w:szCs w:val="18"/>
              </w:rPr>
              <w:t>14.0</w:t>
            </w:r>
          </w:p>
        </w:tc>
        <w:tc>
          <w:tcPr>
            <w:tcW w:w="1276" w:type="dxa"/>
            <w:tcBorders>
              <w:top w:val="single" w:sz="2" w:space="0" w:color="3D7FE0" w:themeColor="accent1"/>
              <w:bottom w:val="single" w:sz="8" w:space="0" w:color="3D7FE0" w:themeColor="accent1"/>
            </w:tcBorders>
            <w:tcMar>
              <w:left w:w="0" w:type="dxa"/>
              <w:right w:w="0" w:type="dxa"/>
            </w:tcMar>
          </w:tcPr>
          <w:p w14:paraId="4854AA16" w14:textId="1D1304C7" w:rsidR="009A55A1" w:rsidRPr="00895810" w:rsidRDefault="009A55A1" w:rsidP="009A55A1">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17.6</w:t>
            </w:r>
          </w:p>
        </w:tc>
      </w:tr>
    </w:tbl>
    <w:p w14:paraId="4144C62E" w14:textId="77777777" w:rsidR="009A55A1" w:rsidRDefault="009A55A1" w:rsidP="00AB6B6E">
      <w:pPr>
        <w:spacing w:after="80" w:line="240" w:lineRule="auto"/>
        <w:jc w:val="both"/>
        <w:rPr>
          <w:rFonts w:ascii="IBM Plex Sans Medium" w:hAnsi="IBM Plex Sans Medium" w:cs="Arial"/>
          <w:b/>
          <w:color w:val="3D7FE0" w:themeColor="accent1"/>
          <w:szCs w:val="18"/>
        </w:rPr>
      </w:pPr>
      <w:bookmarkStart w:id="1" w:name="_Hlk123831417"/>
    </w:p>
    <w:p w14:paraId="4B1554AF" w14:textId="0673A818" w:rsidR="00D635BA" w:rsidRPr="00AB6B6E" w:rsidRDefault="00090360"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F03778" w:rsidRPr="00AB6B6E">
        <w:rPr>
          <w:rFonts w:ascii="IBM Plex Sans Medium" w:hAnsi="IBM Plex Sans Medium" w:cs="Arial"/>
          <w:b/>
          <w:color w:val="3D7FE0" w:themeColor="accent1"/>
          <w:szCs w:val="18"/>
        </w:rPr>
        <w:t>5</w:t>
      </w:r>
      <w:r w:rsidR="00D635BA" w:rsidRPr="00AB6B6E">
        <w:rPr>
          <w:rFonts w:ascii="IBM Plex Sans Medium" w:hAnsi="IBM Plex Sans Medium" w:cs="Arial"/>
          <w:b/>
          <w:color w:val="3D7FE0" w:themeColor="accent1"/>
          <w:szCs w:val="18"/>
        </w:rPr>
        <w:t xml:space="preserve">. RESTRICTED MONETARY ASSETS </w:t>
      </w:r>
    </w:p>
    <w:tbl>
      <w:tblPr>
        <w:tblW w:w="9923" w:type="dxa"/>
        <w:tblLayout w:type="fixed"/>
        <w:tblLook w:val="01E0" w:firstRow="1" w:lastRow="1" w:firstColumn="1" w:lastColumn="1" w:noHBand="0" w:noVBand="0"/>
      </w:tblPr>
      <w:tblGrid>
        <w:gridCol w:w="4820"/>
        <w:gridCol w:w="567"/>
        <w:gridCol w:w="992"/>
        <w:gridCol w:w="851"/>
        <w:gridCol w:w="992"/>
        <w:gridCol w:w="850"/>
        <w:gridCol w:w="851"/>
      </w:tblGrid>
      <w:tr w:rsidR="00213FEE" w:rsidRPr="00895810" w14:paraId="2628A4E9" w14:textId="77777777" w:rsidTr="00024B10">
        <w:tc>
          <w:tcPr>
            <w:tcW w:w="4820" w:type="dxa"/>
            <w:tcBorders>
              <w:bottom w:val="single" w:sz="2" w:space="0" w:color="3D7FE0" w:themeColor="accent1"/>
            </w:tcBorders>
            <w:tcMar>
              <w:left w:w="0" w:type="dxa"/>
              <w:right w:w="0" w:type="dxa"/>
            </w:tcMar>
            <w:vAlign w:val="bottom"/>
          </w:tcPr>
          <w:p w14:paraId="0A7DC749" w14:textId="77777777" w:rsidR="00213FEE" w:rsidRPr="00895810" w:rsidRDefault="00213FEE" w:rsidP="003F2C4C">
            <w:pPr>
              <w:pStyle w:val="TableColHeadsBold"/>
              <w:rPr>
                <w:rFonts w:ascii="IBM Plex Sans Light" w:hAnsi="IBM Plex Sans Light"/>
              </w:rPr>
            </w:pPr>
          </w:p>
        </w:tc>
        <w:tc>
          <w:tcPr>
            <w:tcW w:w="567" w:type="dxa"/>
            <w:tcBorders>
              <w:bottom w:val="single" w:sz="2" w:space="0" w:color="3D7FE0" w:themeColor="accent1"/>
            </w:tcBorders>
            <w:vAlign w:val="bottom"/>
          </w:tcPr>
          <w:p w14:paraId="1652F990" w14:textId="77777777" w:rsidR="00213FEE" w:rsidRPr="00895810" w:rsidRDefault="00213FEE" w:rsidP="003F2C4C">
            <w:pPr>
              <w:pStyle w:val="TableColHeadsBold"/>
              <w:ind w:left="-109" w:right="0"/>
              <w:jc w:val="center"/>
              <w:rPr>
                <w:rFonts w:ascii="IBM Plex Sans Light" w:hAnsi="IBM Plex Sans Light"/>
              </w:rPr>
            </w:pPr>
          </w:p>
        </w:tc>
        <w:tc>
          <w:tcPr>
            <w:tcW w:w="992" w:type="dxa"/>
            <w:tcBorders>
              <w:bottom w:val="single" w:sz="2" w:space="0" w:color="3D7FE0" w:themeColor="accent1"/>
            </w:tcBorders>
            <w:vAlign w:val="bottom"/>
          </w:tcPr>
          <w:p w14:paraId="083CCC14" w14:textId="77777777" w:rsidR="00213FEE" w:rsidRPr="00895810" w:rsidRDefault="00213FEE" w:rsidP="003F2C4C">
            <w:pPr>
              <w:pStyle w:val="TableColHeadsBold"/>
              <w:rPr>
                <w:rFonts w:ascii="IBM Plex Sans Light" w:hAnsi="IBM Plex Sans Light"/>
              </w:rPr>
            </w:pPr>
          </w:p>
        </w:tc>
        <w:tc>
          <w:tcPr>
            <w:tcW w:w="1843" w:type="dxa"/>
            <w:gridSpan w:val="2"/>
            <w:tcBorders>
              <w:bottom w:val="single" w:sz="2" w:space="0" w:color="3D7FE0" w:themeColor="accent1"/>
            </w:tcBorders>
            <w:tcMar>
              <w:left w:w="0" w:type="dxa"/>
              <w:right w:w="0" w:type="dxa"/>
            </w:tcMar>
            <w:vAlign w:val="bottom"/>
          </w:tcPr>
          <w:p w14:paraId="1F6DC8AD" w14:textId="4A49B220" w:rsidR="00213FEE" w:rsidRPr="00895810" w:rsidRDefault="00785AC2" w:rsidP="003F2C4C">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1701" w:type="dxa"/>
            <w:gridSpan w:val="2"/>
            <w:tcBorders>
              <w:bottom w:val="single" w:sz="2" w:space="0" w:color="3D7FE0" w:themeColor="accent1"/>
            </w:tcBorders>
            <w:tcMar>
              <w:left w:w="0" w:type="dxa"/>
              <w:right w:w="0" w:type="dxa"/>
            </w:tcMar>
            <w:vAlign w:val="bottom"/>
          </w:tcPr>
          <w:p w14:paraId="51B84B2B" w14:textId="5273B85C" w:rsidR="00213FEE" w:rsidRPr="00895810" w:rsidRDefault="006E7EB0" w:rsidP="003F2C4C">
            <w:pPr>
              <w:pStyle w:val="TableColHeadsBold"/>
              <w:rPr>
                <w:rFonts w:ascii="IBM Plex Sans Light" w:hAnsi="IBM Plex Sans Light"/>
                <w:b w:val="0"/>
              </w:rPr>
            </w:pPr>
            <w:r>
              <w:rPr>
                <w:rFonts w:ascii="IBM Plex Sans Light" w:hAnsi="IBM Plex Sans Light"/>
                <w:b w:val="0"/>
              </w:rPr>
              <w:t>2022</w:t>
            </w:r>
          </w:p>
        </w:tc>
      </w:tr>
      <w:tr w:rsidR="00213FEE" w:rsidRPr="00895810" w14:paraId="201DCE1E" w14:textId="77777777" w:rsidTr="00024B10">
        <w:trPr>
          <w:trHeight w:val="340"/>
        </w:trPr>
        <w:tc>
          <w:tcPr>
            <w:tcW w:w="4820" w:type="dxa"/>
            <w:tcBorders>
              <w:top w:val="single" w:sz="2" w:space="0" w:color="3D7FE0" w:themeColor="accent1"/>
            </w:tcBorders>
            <w:tcMar>
              <w:left w:w="0" w:type="dxa"/>
              <w:right w:w="0" w:type="dxa"/>
            </w:tcMar>
            <w:vAlign w:val="bottom"/>
          </w:tcPr>
          <w:p w14:paraId="004B54E4" w14:textId="77777777" w:rsidR="00213FEE" w:rsidRPr="00895810" w:rsidRDefault="00213FEE" w:rsidP="003F2C4C">
            <w:pPr>
              <w:pStyle w:val="TableColHeadsBold"/>
              <w:rPr>
                <w:rFonts w:ascii="IBM Plex Sans Light" w:hAnsi="IBM Plex Sans Light"/>
              </w:rPr>
            </w:pPr>
          </w:p>
        </w:tc>
        <w:tc>
          <w:tcPr>
            <w:tcW w:w="567" w:type="dxa"/>
            <w:tcBorders>
              <w:top w:val="single" w:sz="2" w:space="0" w:color="3D7FE0" w:themeColor="accent1"/>
            </w:tcBorders>
            <w:vAlign w:val="bottom"/>
          </w:tcPr>
          <w:p w14:paraId="650464ED" w14:textId="77777777" w:rsidR="00213FEE" w:rsidRPr="00895810" w:rsidRDefault="00213FEE" w:rsidP="003F2C4C">
            <w:pPr>
              <w:pStyle w:val="TableColHeadsBold"/>
              <w:ind w:left="-109" w:right="0"/>
              <w:jc w:val="center"/>
              <w:rPr>
                <w:rFonts w:ascii="IBM Plex Sans Light" w:hAnsi="IBM Plex Sans Light"/>
              </w:rPr>
            </w:pPr>
          </w:p>
        </w:tc>
        <w:tc>
          <w:tcPr>
            <w:tcW w:w="992" w:type="dxa"/>
            <w:tcBorders>
              <w:top w:val="single" w:sz="2" w:space="0" w:color="3D7FE0" w:themeColor="accent1"/>
            </w:tcBorders>
            <w:vAlign w:val="bottom"/>
          </w:tcPr>
          <w:p w14:paraId="74A0B77B" w14:textId="77777777" w:rsidR="00213FEE" w:rsidRPr="00895810" w:rsidRDefault="00213FEE" w:rsidP="003F2C4C">
            <w:pPr>
              <w:pStyle w:val="TableColHeadsBold"/>
              <w:rPr>
                <w:rFonts w:ascii="IBM Plex Sans Light" w:hAnsi="IBM Plex Sans Light"/>
              </w:rPr>
            </w:pPr>
          </w:p>
        </w:tc>
        <w:tc>
          <w:tcPr>
            <w:tcW w:w="851" w:type="dxa"/>
            <w:tcBorders>
              <w:top w:val="single" w:sz="2" w:space="0" w:color="3D7FE0" w:themeColor="accent1"/>
            </w:tcBorders>
            <w:tcMar>
              <w:left w:w="0" w:type="dxa"/>
              <w:right w:w="0" w:type="dxa"/>
            </w:tcMar>
            <w:vAlign w:val="bottom"/>
          </w:tcPr>
          <w:p w14:paraId="469E426F" w14:textId="77777777" w:rsidR="00213FEE" w:rsidRPr="00895810" w:rsidRDefault="00213FEE"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Current</w:t>
            </w:r>
          </w:p>
          <w:p w14:paraId="54ABDAAD" w14:textId="04337F10" w:rsidR="00507066" w:rsidRPr="00895810" w:rsidRDefault="00507066" w:rsidP="003F2C4C">
            <w:pPr>
              <w:pStyle w:val="TableColHeadsBold"/>
              <w:rPr>
                <w:rFonts w:ascii="IBM Plex Sans Light" w:hAnsi="IBM Plex Sans Light"/>
                <w:color w:val="3D7FE0" w:themeColor="accent1"/>
              </w:rPr>
            </w:pPr>
          </w:p>
        </w:tc>
        <w:tc>
          <w:tcPr>
            <w:tcW w:w="992" w:type="dxa"/>
            <w:tcBorders>
              <w:top w:val="single" w:sz="2" w:space="0" w:color="3D7FE0" w:themeColor="accent1"/>
            </w:tcBorders>
            <w:tcMar>
              <w:left w:w="0" w:type="dxa"/>
              <w:right w:w="0" w:type="dxa"/>
            </w:tcMar>
            <w:vAlign w:val="bottom"/>
          </w:tcPr>
          <w:p w14:paraId="75F647F5" w14:textId="77777777" w:rsidR="00213FEE" w:rsidRPr="00895810" w:rsidRDefault="00213FEE"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Non-current</w:t>
            </w:r>
          </w:p>
          <w:p w14:paraId="5FF0F563" w14:textId="6C864447" w:rsidR="00507066" w:rsidRPr="00895810" w:rsidRDefault="00507066" w:rsidP="003F2C4C">
            <w:pPr>
              <w:pStyle w:val="TableColHeadsBold"/>
              <w:rPr>
                <w:rFonts w:ascii="IBM Plex Sans Light" w:hAnsi="IBM Plex Sans Light"/>
                <w:color w:val="3D7FE0" w:themeColor="accent1"/>
              </w:rPr>
            </w:pPr>
          </w:p>
        </w:tc>
        <w:tc>
          <w:tcPr>
            <w:tcW w:w="850" w:type="dxa"/>
            <w:tcBorders>
              <w:top w:val="single" w:sz="2" w:space="0" w:color="3D7FE0" w:themeColor="accent1"/>
            </w:tcBorders>
            <w:tcMar>
              <w:left w:w="0" w:type="dxa"/>
              <w:right w:w="0" w:type="dxa"/>
            </w:tcMar>
            <w:vAlign w:val="bottom"/>
          </w:tcPr>
          <w:p w14:paraId="2B4F0C68" w14:textId="77777777" w:rsidR="00213FEE" w:rsidRPr="00895810" w:rsidRDefault="00213FEE" w:rsidP="003F2C4C">
            <w:pPr>
              <w:pStyle w:val="TableColHeadsBold"/>
              <w:rPr>
                <w:rFonts w:ascii="IBM Plex Sans Light" w:hAnsi="IBM Plex Sans Light"/>
                <w:b w:val="0"/>
                <w:bCs w:val="0"/>
              </w:rPr>
            </w:pPr>
            <w:r w:rsidRPr="00895810">
              <w:rPr>
                <w:rFonts w:ascii="IBM Plex Sans Light" w:hAnsi="IBM Plex Sans Light"/>
                <w:b w:val="0"/>
                <w:bCs w:val="0"/>
              </w:rPr>
              <w:t>Current</w:t>
            </w:r>
          </w:p>
          <w:p w14:paraId="3A02CF4D" w14:textId="0401B376" w:rsidR="00507066" w:rsidRPr="00895810" w:rsidRDefault="00507066" w:rsidP="003F2C4C">
            <w:pPr>
              <w:pStyle w:val="TableColHeadsBold"/>
              <w:rPr>
                <w:rFonts w:ascii="IBM Plex Sans Light" w:hAnsi="IBM Plex Sans Light"/>
                <w:b w:val="0"/>
                <w:bCs w:val="0"/>
              </w:rPr>
            </w:pPr>
            <w:r w:rsidRPr="00895810">
              <w:rPr>
                <w:rFonts w:ascii="IBM Plex Sans Light" w:hAnsi="IBM Plex Sans Light"/>
                <w:b w:val="0"/>
                <w:bCs w:val="0"/>
              </w:rPr>
              <w:t>(restated)</w:t>
            </w:r>
          </w:p>
        </w:tc>
        <w:tc>
          <w:tcPr>
            <w:tcW w:w="851" w:type="dxa"/>
            <w:tcBorders>
              <w:top w:val="single" w:sz="2" w:space="0" w:color="3D7FE0" w:themeColor="accent1"/>
            </w:tcBorders>
            <w:tcMar>
              <w:left w:w="0" w:type="dxa"/>
              <w:right w:w="0" w:type="dxa"/>
            </w:tcMar>
            <w:vAlign w:val="bottom"/>
          </w:tcPr>
          <w:p w14:paraId="6B09A831" w14:textId="77777777" w:rsidR="00213FEE" w:rsidRPr="00895810" w:rsidRDefault="00213FEE" w:rsidP="003F2C4C">
            <w:pPr>
              <w:pStyle w:val="TableColHeadsBold"/>
              <w:rPr>
                <w:rFonts w:ascii="IBM Plex Sans Light" w:hAnsi="IBM Plex Sans Light"/>
                <w:b w:val="0"/>
                <w:bCs w:val="0"/>
              </w:rPr>
            </w:pPr>
            <w:r w:rsidRPr="00895810">
              <w:rPr>
                <w:rFonts w:ascii="IBM Plex Sans Light" w:hAnsi="IBM Plex Sans Light"/>
                <w:b w:val="0"/>
                <w:bCs w:val="0"/>
              </w:rPr>
              <w:t>Non-current</w:t>
            </w:r>
          </w:p>
          <w:p w14:paraId="18D78BE0" w14:textId="504E6871" w:rsidR="00507066" w:rsidRPr="00895810" w:rsidRDefault="00507066" w:rsidP="003F2C4C">
            <w:pPr>
              <w:pStyle w:val="TableColHeadsBold"/>
              <w:rPr>
                <w:rFonts w:ascii="IBM Plex Sans Light" w:hAnsi="IBM Plex Sans Light"/>
                <w:b w:val="0"/>
                <w:bCs w:val="0"/>
              </w:rPr>
            </w:pPr>
          </w:p>
        </w:tc>
      </w:tr>
      <w:tr w:rsidR="00213FEE" w:rsidRPr="00895810" w14:paraId="4B24B232" w14:textId="77777777" w:rsidTr="00024B10">
        <w:tc>
          <w:tcPr>
            <w:tcW w:w="4820" w:type="dxa"/>
            <w:tcBorders>
              <w:bottom w:val="single" w:sz="2" w:space="0" w:color="3D7FE0" w:themeColor="accent1"/>
            </w:tcBorders>
            <w:tcMar>
              <w:left w:w="0" w:type="dxa"/>
              <w:bottom w:w="28" w:type="dxa"/>
              <w:right w:w="0" w:type="dxa"/>
            </w:tcMar>
            <w:vAlign w:val="bottom"/>
          </w:tcPr>
          <w:p w14:paraId="32792227" w14:textId="77777777" w:rsidR="00213FEE" w:rsidRPr="00895810" w:rsidRDefault="00213FEE" w:rsidP="003F2C4C">
            <w:pPr>
              <w:pStyle w:val="TableColHeadsBold"/>
              <w:rPr>
                <w:rFonts w:ascii="IBM Plex Sans Light" w:hAnsi="IBM Plex Sans Light"/>
              </w:rPr>
            </w:pPr>
          </w:p>
        </w:tc>
        <w:tc>
          <w:tcPr>
            <w:tcW w:w="567" w:type="dxa"/>
            <w:tcBorders>
              <w:bottom w:val="single" w:sz="2" w:space="0" w:color="3D7FE0" w:themeColor="accent1"/>
            </w:tcBorders>
            <w:vAlign w:val="bottom"/>
          </w:tcPr>
          <w:p w14:paraId="6C1FF00E" w14:textId="77777777" w:rsidR="00213FEE" w:rsidRPr="00895810" w:rsidRDefault="00213FEE" w:rsidP="003F2C4C">
            <w:pPr>
              <w:pStyle w:val="TableColHeadsBold"/>
              <w:ind w:left="-109" w:right="0"/>
              <w:jc w:val="center"/>
              <w:rPr>
                <w:rFonts w:ascii="IBM Plex Sans Light" w:hAnsi="IBM Plex Sans Light"/>
              </w:rPr>
            </w:pPr>
          </w:p>
        </w:tc>
        <w:tc>
          <w:tcPr>
            <w:tcW w:w="992" w:type="dxa"/>
            <w:tcBorders>
              <w:bottom w:val="single" w:sz="2" w:space="0" w:color="3D7FE0" w:themeColor="accent1"/>
            </w:tcBorders>
            <w:vAlign w:val="bottom"/>
          </w:tcPr>
          <w:p w14:paraId="20494AA4" w14:textId="024907B0" w:rsidR="00213FEE" w:rsidRPr="00895810" w:rsidRDefault="006B6ABF" w:rsidP="003F2C4C">
            <w:pPr>
              <w:pStyle w:val="TableColHeadsBold"/>
              <w:tabs>
                <w:tab w:val="clear" w:pos="284"/>
              </w:tabs>
              <w:ind w:left="-104" w:right="0"/>
              <w:rPr>
                <w:rFonts w:ascii="IBM Plex Sans Light" w:hAnsi="IBM Plex Sans Light"/>
                <w:bCs w:val="0"/>
              </w:rPr>
            </w:pPr>
            <w:r w:rsidRPr="00D853E0">
              <w:rPr>
                <w:rFonts w:ascii="IBM Plex Sans Light" w:hAnsi="IBM Plex Sans Light"/>
                <w:bCs w:val="0"/>
              </w:rPr>
              <w:t>Footnote</w:t>
            </w:r>
          </w:p>
        </w:tc>
        <w:tc>
          <w:tcPr>
            <w:tcW w:w="851" w:type="dxa"/>
            <w:tcBorders>
              <w:bottom w:val="single" w:sz="2" w:space="0" w:color="3D7FE0" w:themeColor="accent1"/>
            </w:tcBorders>
            <w:tcMar>
              <w:left w:w="0" w:type="dxa"/>
              <w:bottom w:w="28" w:type="dxa"/>
              <w:right w:w="0" w:type="dxa"/>
            </w:tcMar>
            <w:vAlign w:val="bottom"/>
          </w:tcPr>
          <w:p w14:paraId="36C12B4D" w14:textId="77777777" w:rsidR="00213FEE" w:rsidRPr="00895810" w:rsidRDefault="00213FEE"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992" w:type="dxa"/>
            <w:tcBorders>
              <w:bottom w:val="single" w:sz="2" w:space="0" w:color="3D7FE0" w:themeColor="accent1"/>
            </w:tcBorders>
            <w:tcMar>
              <w:left w:w="0" w:type="dxa"/>
              <w:bottom w:w="28" w:type="dxa"/>
              <w:right w:w="0" w:type="dxa"/>
            </w:tcMar>
            <w:vAlign w:val="bottom"/>
          </w:tcPr>
          <w:p w14:paraId="2BA70BE1" w14:textId="77777777" w:rsidR="00213FEE" w:rsidRPr="00895810" w:rsidRDefault="00213FEE"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0" w:type="dxa"/>
            <w:tcBorders>
              <w:bottom w:val="single" w:sz="2" w:space="0" w:color="3D7FE0" w:themeColor="accent1"/>
            </w:tcBorders>
            <w:tcMar>
              <w:left w:w="0" w:type="dxa"/>
              <w:bottom w:w="28" w:type="dxa"/>
              <w:right w:w="0" w:type="dxa"/>
            </w:tcMar>
            <w:vAlign w:val="bottom"/>
          </w:tcPr>
          <w:p w14:paraId="427F8796" w14:textId="77777777" w:rsidR="00213FEE" w:rsidRPr="00895810" w:rsidRDefault="00213FEE" w:rsidP="003F2C4C">
            <w:pPr>
              <w:pStyle w:val="TableColHeadsBold"/>
              <w:rPr>
                <w:rFonts w:ascii="IBM Plex Sans Light" w:hAnsi="IBM Plex Sans Light"/>
                <w:b w:val="0"/>
                <w:bCs w:val="0"/>
              </w:rPr>
            </w:pPr>
            <w:r w:rsidRPr="00895810">
              <w:rPr>
                <w:rFonts w:ascii="IBM Plex Sans Light" w:hAnsi="IBM Plex Sans Light"/>
                <w:b w:val="0"/>
                <w:bCs w:val="0"/>
              </w:rPr>
              <w:t xml:space="preserve">£m </w:t>
            </w:r>
          </w:p>
        </w:tc>
        <w:tc>
          <w:tcPr>
            <w:tcW w:w="851" w:type="dxa"/>
            <w:tcBorders>
              <w:bottom w:val="single" w:sz="2" w:space="0" w:color="3D7FE0" w:themeColor="accent1"/>
            </w:tcBorders>
            <w:tcMar>
              <w:left w:w="0" w:type="dxa"/>
              <w:bottom w:w="28" w:type="dxa"/>
              <w:right w:w="0" w:type="dxa"/>
            </w:tcMar>
            <w:vAlign w:val="bottom"/>
          </w:tcPr>
          <w:p w14:paraId="31815EF5" w14:textId="77777777" w:rsidR="00213FEE" w:rsidRPr="00895810" w:rsidRDefault="00213FEE" w:rsidP="003F2C4C">
            <w:pPr>
              <w:pStyle w:val="TableColHeadsBold"/>
              <w:rPr>
                <w:rFonts w:ascii="IBM Plex Sans Light" w:hAnsi="IBM Plex Sans Light"/>
                <w:b w:val="0"/>
                <w:bCs w:val="0"/>
              </w:rPr>
            </w:pPr>
            <w:r w:rsidRPr="00895810">
              <w:rPr>
                <w:rFonts w:ascii="IBM Plex Sans Light" w:hAnsi="IBM Plex Sans Light"/>
                <w:b w:val="0"/>
                <w:bCs w:val="0"/>
              </w:rPr>
              <w:t xml:space="preserve">£m </w:t>
            </w:r>
          </w:p>
        </w:tc>
      </w:tr>
      <w:tr w:rsidR="009A55A1" w:rsidRPr="00895810" w14:paraId="7D033AAC" w14:textId="77777777" w:rsidTr="00024B10">
        <w:trPr>
          <w:trHeight w:hRule="exact" w:val="278"/>
        </w:trPr>
        <w:tc>
          <w:tcPr>
            <w:tcW w:w="4820" w:type="dxa"/>
            <w:tcBorders>
              <w:top w:val="single" w:sz="2" w:space="0" w:color="3D7FE0" w:themeColor="accent1"/>
            </w:tcBorders>
            <w:tcMar>
              <w:left w:w="0" w:type="dxa"/>
              <w:right w:w="0" w:type="dxa"/>
            </w:tcMar>
            <w:vAlign w:val="bottom"/>
          </w:tcPr>
          <w:p w14:paraId="59D51628" w14:textId="3BC79D90" w:rsidR="009A55A1" w:rsidRPr="00895810" w:rsidRDefault="009A55A1" w:rsidP="009A55A1">
            <w:pPr>
              <w:pStyle w:val="TableFiguresBold"/>
              <w:jc w:val="left"/>
              <w:rPr>
                <w:rFonts w:ascii="IBM Plex Sans Light" w:hAnsi="IBM Plex Sans Light"/>
                <w:b w:val="0"/>
                <w:bCs w:val="0"/>
                <w:spacing w:val="-4"/>
                <w:sz w:val="18"/>
                <w:szCs w:val="18"/>
              </w:rPr>
            </w:pPr>
            <w:r w:rsidRPr="00895810">
              <w:rPr>
                <w:rFonts w:ascii="IBM Plex Sans Light" w:hAnsi="IBM Plex Sans Light"/>
                <w:b w:val="0"/>
                <w:bCs w:val="0"/>
                <w:spacing w:val="-4"/>
                <w:sz w:val="18"/>
                <w:szCs w:val="18"/>
              </w:rPr>
              <w:t>Cash held in respect of tenants and co-owners</w:t>
            </w:r>
          </w:p>
        </w:tc>
        <w:tc>
          <w:tcPr>
            <w:tcW w:w="567" w:type="dxa"/>
            <w:tcBorders>
              <w:top w:val="single" w:sz="2" w:space="0" w:color="3D7FE0" w:themeColor="accent1"/>
            </w:tcBorders>
          </w:tcPr>
          <w:p w14:paraId="5EBFEF3F" w14:textId="77777777" w:rsidR="009A55A1" w:rsidRPr="00895810" w:rsidRDefault="009A55A1" w:rsidP="009A55A1">
            <w:pPr>
              <w:pStyle w:val="TableFiguresBold"/>
              <w:ind w:left="-109" w:right="0"/>
              <w:jc w:val="center"/>
              <w:rPr>
                <w:rFonts w:ascii="IBM Plex Sans Light" w:hAnsi="IBM Plex Sans Light"/>
                <w:b w:val="0"/>
                <w:bCs w:val="0"/>
                <w:spacing w:val="-4"/>
                <w:sz w:val="18"/>
                <w:szCs w:val="18"/>
              </w:rPr>
            </w:pPr>
          </w:p>
        </w:tc>
        <w:tc>
          <w:tcPr>
            <w:tcW w:w="992" w:type="dxa"/>
            <w:tcBorders>
              <w:top w:val="single" w:sz="2" w:space="0" w:color="3D7FE0" w:themeColor="accent1"/>
            </w:tcBorders>
            <w:vAlign w:val="bottom"/>
          </w:tcPr>
          <w:p w14:paraId="044A2140" w14:textId="5C62A0F7" w:rsidR="009A55A1" w:rsidRPr="00917D8C" w:rsidRDefault="009A55A1" w:rsidP="00024B10">
            <w:pPr>
              <w:pStyle w:val="TableFiguresBold"/>
              <w:rPr>
                <w:rFonts w:ascii="IBM Plex Sans Light" w:hAnsi="IBM Plex Sans Light"/>
                <w:b w:val="0"/>
                <w:bCs w:val="0"/>
                <w:spacing w:val="-4"/>
                <w:szCs w:val="16"/>
              </w:rPr>
            </w:pPr>
            <w:r w:rsidRPr="00917D8C">
              <w:rPr>
                <w:rFonts w:ascii="IBM Plex Sans Light" w:hAnsi="IBM Plex Sans Light"/>
                <w:b w:val="0"/>
                <w:bCs w:val="0"/>
                <w:spacing w:val="-4"/>
                <w:szCs w:val="16"/>
              </w:rPr>
              <w:t>a</w:t>
            </w:r>
          </w:p>
        </w:tc>
        <w:tc>
          <w:tcPr>
            <w:tcW w:w="851" w:type="dxa"/>
            <w:tcBorders>
              <w:top w:val="single" w:sz="2" w:space="0" w:color="3D7FE0" w:themeColor="accent1"/>
            </w:tcBorders>
            <w:tcMar>
              <w:left w:w="0" w:type="dxa"/>
              <w:right w:w="0" w:type="dxa"/>
            </w:tcMar>
          </w:tcPr>
          <w:p w14:paraId="2AEA542A" w14:textId="19DE3946"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2.2</w:t>
            </w:r>
          </w:p>
        </w:tc>
        <w:tc>
          <w:tcPr>
            <w:tcW w:w="992" w:type="dxa"/>
            <w:tcBorders>
              <w:top w:val="single" w:sz="2" w:space="0" w:color="3D7FE0" w:themeColor="accent1"/>
            </w:tcBorders>
            <w:tcMar>
              <w:left w:w="0" w:type="dxa"/>
              <w:right w:w="0" w:type="dxa"/>
            </w:tcMar>
          </w:tcPr>
          <w:p w14:paraId="7AABA6C5" w14:textId="4D9EA0AC"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w:t>
            </w:r>
          </w:p>
        </w:tc>
        <w:tc>
          <w:tcPr>
            <w:tcW w:w="850" w:type="dxa"/>
            <w:tcBorders>
              <w:top w:val="single" w:sz="2" w:space="0" w:color="3D7FE0" w:themeColor="accent1"/>
            </w:tcBorders>
            <w:tcMar>
              <w:left w:w="0" w:type="dxa"/>
              <w:right w:w="0" w:type="dxa"/>
            </w:tcMar>
          </w:tcPr>
          <w:p w14:paraId="2629D9C4" w14:textId="30C764FB" w:rsidR="009A55A1" w:rsidRPr="00895810" w:rsidRDefault="009A55A1" w:rsidP="009A55A1">
            <w:pPr>
              <w:pStyle w:val="TableFigures"/>
              <w:rPr>
                <w:rFonts w:ascii="IBM Plex Sans Light" w:hAnsi="IBM Plex Sans Light"/>
                <w:bCs/>
                <w:color w:val="auto"/>
                <w:spacing w:val="-4"/>
                <w:sz w:val="18"/>
                <w:szCs w:val="18"/>
              </w:rPr>
            </w:pPr>
            <w:r>
              <w:rPr>
                <w:rFonts w:ascii="IBM Plex Sans Light" w:hAnsi="IBM Plex Sans Light"/>
                <w:bCs/>
                <w:color w:val="auto"/>
                <w:spacing w:val="-4"/>
                <w:sz w:val="18"/>
                <w:szCs w:val="18"/>
              </w:rPr>
              <w:t>8.6</w:t>
            </w:r>
          </w:p>
        </w:tc>
        <w:tc>
          <w:tcPr>
            <w:tcW w:w="851" w:type="dxa"/>
            <w:tcBorders>
              <w:top w:val="single" w:sz="2" w:space="0" w:color="3D7FE0" w:themeColor="accent1"/>
            </w:tcBorders>
            <w:tcMar>
              <w:left w:w="0" w:type="dxa"/>
              <w:right w:w="0" w:type="dxa"/>
            </w:tcMar>
          </w:tcPr>
          <w:p w14:paraId="2E93F3F8" w14:textId="090CDF2D" w:rsidR="009A55A1" w:rsidRPr="00895810" w:rsidRDefault="009A55A1" w:rsidP="009A55A1">
            <w:pPr>
              <w:pStyle w:val="TableFigures"/>
              <w:rPr>
                <w:rFonts w:ascii="IBM Plex Sans Light" w:hAnsi="IBM Plex Sans Light"/>
                <w:bCs/>
                <w:color w:val="auto"/>
                <w:spacing w:val="-4"/>
                <w:sz w:val="18"/>
                <w:szCs w:val="18"/>
              </w:rPr>
            </w:pPr>
            <w:r w:rsidRPr="00895810">
              <w:rPr>
                <w:rFonts w:ascii="IBM Plex Sans Light" w:hAnsi="IBM Plex Sans Light" w:cs="MyriadPro-Light"/>
                <w:color w:val="auto"/>
                <w:spacing w:val="-4"/>
                <w:sz w:val="18"/>
                <w:szCs w:val="18"/>
              </w:rPr>
              <w:t>–</w:t>
            </w:r>
          </w:p>
        </w:tc>
      </w:tr>
      <w:tr w:rsidR="009A55A1" w:rsidRPr="00895810" w14:paraId="6F29C5AA" w14:textId="77777777" w:rsidTr="00024B10">
        <w:trPr>
          <w:trHeight w:hRule="exact" w:val="278"/>
        </w:trPr>
        <w:tc>
          <w:tcPr>
            <w:tcW w:w="4820" w:type="dxa"/>
            <w:tcMar>
              <w:left w:w="0" w:type="dxa"/>
              <w:right w:w="0" w:type="dxa"/>
            </w:tcMar>
            <w:vAlign w:val="bottom"/>
          </w:tcPr>
          <w:p w14:paraId="7FEEC08E" w14:textId="1A5CC3B0" w:rsidR="009A55A1" w:rsidRPr="00895810" w:rsidRDefault="009A55A1" w:rsidP="009A55A1">
            <w:pPr>
              <w:pStyle w:val="TableFiguresBold"/>
              <w:jc w:val="left"/>
              <w:rPr>
                <w:rFonts w:ascii="IBM Plex Sans Light" w:hAnsi="IBM Plex Sans Light"/>
                <w:b w:val="0"/>
                <w:bCs w:val="0"/>
                <w:spacing w:val="-4"/>
                <w:sz w:val="18"/>
                <w:szCs w:val="18"/>
              </w:rPr>
            </w:pPr>
            <w:r w:rsidRPr="00895810">
              <w:rPr>
                <w:rFonts w:ascii="IBM Plex Sans Light" w:hAnsi="IBM Plex Sans Light"/>
                <w:b w:val="0"/>
                <w:bCs w:val="0"/>
                <w:spacing w:val="-4"/>
                <w:sz w:val="18"/>
                <w:szCs w:val="18"/>
              </w:rPr>
              <w:t>Cash held in escrow</w:t>
            </w:r>
          </w:p>
        </w:tc>
        <w:tc>
          <w:tcPr>
            <w:tcW w:w="567" w:type="dxa"/>
          </w:tcPr>
          <w:p w14:paraId="055E1355" w14:textId="77777777" w:rsidR="009A55A1" w:rsidRPr="00895810" w:rsidRDefault="009A55A1" w:rsidP="009A55A1">
            <w:pPr>
              <w:pStyle w:val="TableFiguresBold"/>
              <w:ind w:left="-109" w:right="0"/>
              <w:jc w:val="center"/>
              <w:rPr>
                <w:rFonts w:ascii="IBM Plex Sans Light" w:hAnsi="IBM Plex Sans Light"/>
                <w:b w:val="0"/>
                <w:bCs w:val="0"/>
                <w:spacing w:val="-4"/>
                <w:sz w:val="18"/>
                <w:szCs w:val="18"/>
              </w:rPr>
            </w:pPr>
          </w:p>
        </w:tc>
        <w:tc>
          <w:tcPr>
            <w:tcW w:w="992" w:type="dxa"/>
            <w:vAlign w:val="bottom"/>
          </w:tcPr>
          <w:p w14:paraId="05184E38" w14:textId="1FB6F805" w:rsidR="009A55A1" w:rsidRPr="00917D8C" w:rsidRDefault="009A55A1" w:rsidP="00024B10">
            <w:pPr>
              <w:pStyle w:val="TableFiguresBold"/>
              <w:rPr>
                <w:rFonts w:ascii="IBM Plex Sans Light" w:hAnsi="IBM Plex Sans Light"/>
                <w:b w:val="0"/>
                <w:bCs w:val="0"/>
                <w:spacing w:val="-4"/>
                <w:szCs w:val="16"/>
              </w:rPr>
            </w:pPr>
            <w:r w:rsidRPr="00917D8C">
              <w:rPr>
                <w:rFonts w:ascii="IBM Plex Sans Light" w:hAnsi="IBM Plex Sans Light"/>
                <w:b w:val="0"/>
                <w:bCs w:val="0"/>
                <w:spacing w:val="-4"/>
                <w:szCs w:val="16"/>
              </w:rPr>
              <w:t>b</w:t>
            </w:r>
          </w:p>
        </w:tc>
        <w:tc>
          <w:tcPr>
            <w:tcW w:w="851" w:type="dxa"/>
            <w:tcMar>
              <w:left w:w="0" w:type="dxa"/>
              <w:right w:w="0" w:type="dxa"/>
            </w:tcMar>
          </w:tcPr>
          <w:p w14:paraId="107D5F83" w14:textId="22AC74E5"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w:t>
            </w:r>
          </w:p>
        </w:tc>
        <w:tc>
          <w:tcPr>
            <w:tcW w:w="992" w:type="dxa"/>
            <w:tcMar>
              <w:left w:w="0" w:type="dxa"/>
              <w:right w:w="0" w:type="dxa"/>
            </w:tcMar>
          </w:tcPr>
          <w:p w14:paraId="34C5DBAA" w14:textId="4D0D321C"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21.4</w:t>
            </w:r>
          </w:p>
        </w:tc>
        <w:tc>
          <w:tcPr>
            <w:tcW w:w="850" w:type="dxa"/>
            <w:tcMar>
              <w:left w:w="0" w:type="dxa"/>
              <w:right w:w="0" w:type="dxa"/>
            </w:tcMar>
          </w:tcPr>
          <w:p w14:paraId="2588CFA4" w14:textId="4DCE4264" w:rsidR="009A55A1" w:rsidRPr="00895810" w:rsidRDefault="009A55A1" w:rsidP="009A55A1">
            <w:pPr>
              <w:pStyle w:val="TableFigures"/>
              <w:rPr>
                <w:rFonts w:ascii="IBM Plex Sans Light" w:hAnsi="IBM Plex Sans Light"/>
                <w:bCs/>
                <w:color w:val="auto"/>
                <w:spacing w:val="-4"/>
                <w:sz w:val="18"/>
                <w:szCs w:val="18"/>
              </w:rPr>
            </w:pPr>
            <w:r w:rsidRPr="00895810">
              <w:rPr>
                <w:rFonts w:ascii="IBM Plex Sans Light" w:hAnsi="IBM Plex Sans Light" w:cs="MyriadPro-Light"/>
                <w:color w:val="auto"/>
                <w:spacing w:val="-4"/>
                <w:sz w:val="18"/>
                <w:szCs w:val="18"/>
              </w:rPr>
              <w:t>–</w:t>
            </w:r>
          </w:p>
        </w:tc>
        <w:tc>
          <w:tcPr>
            <w:tcW w:w="851" w:type="dxa"/>
            <w:tcMar>
              <w:left w:w="0" w:type="dxa"/>
              <w:right w:w="0" w:type="dxa"/>
            </w:tcMar>
          </w:tcPr>
          <w:p w14:paraId="0C9299FA" w14:textId="4A2975DA" w:rsidR="009A55A1" w:rsidRPr="00895810" w:rsidRDefault="009A55A1" w:rsidP="009A55A1">
            <w:pPr>
              <w:pStyle w:val="TableFigures"/>
              <w:rPr>
                <w:rFonts w:ascii="IBM Plex Sans Light" w:hAnsi="IBM Plex Sans Light"/>
                <w:bCs/>
                <w:color w:val="auto"/>
                <w:spacing w:val="-4"/>
                <w:sz w:val="18"/>
                <w:szCs w:val="18"/>
              </w:rPr>
            </w:pPr>
            <w:r w:rsidRPr="00895810">
              <w:rPr>
                <w:rFonts w:ascii="IBM Plex Sans Light" w:hAnsi="IBM Plex Sans Light"/>
                <w:bCs/>
                <w:color w:val="auto"/>
                <w:spacing w:val="-4"/>
                <w:sz w:val="18"/>
                <w:szCs w:val="18"/>
              </w:rPr>
              <w:t>21.4</w:t>
            </w:r>
          </w:p>
        </w:tc>
      </w:tr>
      <w:tr w:rsidR="009A55A1" w:rsidRPr="00895810" w14:paraId="1343ACBF" w14:textId="77777777" w:rsidTr="00024B10">
        <w:trPr>
          <w:trHeight w:hRule="exact" w:val="278"/>
        </w:trPr>
        <w:tc>
          <w:tcPr>
            <w:tcW w:w="4820" w:type="dxa"/>
            <w:tcBorders>
              <w:top w:val="single" w:sz="2" w:space="0" w:color="3D7FE0" w:themeColor="accent1"/>
              <w:bottom w:val="single" w:sz="8" w:space="0" w:color="3D7FE0" w:themeColor="accent1"/>
            </w:tcBorders>
            <w:tcMar>
              <w:left w:w="0" w:type="dxa"/>
              <w:right w:w="0" w:type="dxa"/>
            </w:tcMar>
            <w:vAlign w:val="bottom"/>
          </w:tcPr>
          <w:p w14:paraId="1C4DA3FE" w14:textId="77777777" w:rsidR="009A55A1" w:rsidRPr="00895810" w:rsidRDefault="009A55A1" w:rsidP="009A55A1">
            <w:pPr>
              <w:pStyle w:val="Tabletext"/>
              <w:rPr>
                <w:rFonts w:ascii="IBM Plex Sans Light" w:hAnsi="IBM Plex Sans Light"/>
                <w:b/>
                <w:bCs/>
                <w:spacing w:val="-4"/>
                <w:sz w:val="18"/>
                <w:szCs w:val="18"/>
              </w:rPr>
            </w:pPr>
          </w:p>
        </w:tc>
        <w:tc>
          <w:tcPr>
            <w:tcW w:w="567" w:type="dxa"/>
            <w:tcBorders>
              <w:top w:val="single" w:sz="2" w:space="0" w:color="3D7FE0" w:themeColor="accent1"/>
              <w:bottom w:val="single" w:sz="8" w:space="0" w:color="3D7FE0" w:themeColor="accent1"/>
            </w:tcBorders>
            <w:vAlign w:val="bottom"/>
          </w:tcPr>
          <w:p w14:paraId="69990E27" w14:textId="77777777" w:rsidR="009A55A1" w:rsidRPr="00895810" w:rsidRDefault="009A55A1" w:rsidP="009A55A1">
            <w:pPr>
              <w:pStyle w:val="Tabletext"/>
              <w:ind w:left="-109" w:right="0"/>
              <w:jc w:val="center"/>
              <w:rPr>
                <w:rFonts w:ascii="IBM Plex Sans Light" w:hAnsi="IBM Plex Sans Light"/>
                <w:b/>
                <w:bCs/>
                <w:spacing w:val="-4"/>
                <w:sz w:val="18"/>
                <w:szCs w:val="18"/>
              </w:rPr>
            </w:pPr>
          </w:p>
        </w:tc>
        <w:tc>
          <w:tcPr>
            <w:tcW w:w="992" w:type="dxa"/>
            <w:tcBorders>
              <w:top w:val="single" w:sz="2" w:space="0" w:color="3D7FE0" w:themeColor="accent1"/>
              <w:bottom w:val="single" w:sz="8" w:space="0" w:color="3D7FE0" w:themeColor="accent1"/>
            </w:tcBorders>
            <w:vAlign w:val="bottom"/>
          </w:tcPr>
          <w:p w14:paraId="2FC0E7EE" w14:textId="77777777" w:rsidR="009A55A1" w:rsidRPr="00895810" w:rsidRDefault="009A55A1" w:rsidP="009A55A1">
            <w:pPr>
              <w:pStyle w:val="TableFiguresBold"/>
              <w:jc w:val="center"/>
              <w:rPr>
                <w:rFonts w:ascii="IBM Plex Sans Light" w:hAnsi="IBM Plex Sans Light"/>
                <w:b w:val="0"/>
                <w:bCs w:val="0"/>
                <w:spacing w:val="-4"/>
                <w:sz w:val="18"/>
                <w:szCs w:val="18"/>
              </w:rPr>
            </w:pPr>
          </w:p>
        </w:tc>
        <w:tc>
          <w:tcPr>
            <w:tcW w:w="851" w:type="dxa"/>
            <w:tcBorders>
              <w:top w:val="single" w:sz="2" w:space="0" w:color="3D7FE0" w:themeColor="accent1"/>
              <w:bottom w:val="single" w:sz="8" w:space="0" w:color="3D7FE0" w:themeColor="accent1"/>
            </w:tcBorders>
            <w:tcMar>
              <w:left w:w="0" w:type="dxa"/>
              <w:right w:w="0" w:type="dxa"/>
            </w:tcMar>
          </w:tcPr>
          <w:p w14:paraId="168E4F4F" w14:textId="0E482980"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2.2</w:t>
            </w:r>
          </w:p>
        </w:tc>
        <w:tc>
          <w:tcPr>
            <w:tcW w:w="992" w:type="dxa"/>
            <w:tcBorders>
              <w:top w:val="single" w:sz="2" w:space="0" w:color="3D7FE0" w:themeColor="accent1"/>
              <w:bottom w:val="single" w:sz="8" w:space="0" w:color="3D7FE0" w:themeColor="accent1"/>
            </w:tcBorders>
            <w:tcMar>
              <w:left w:w="0" w:type="dxa"/>
              <w:right w:w="0" w:type="dxa"/>
            </w:tcMar>
          </w:tcPr>
          <w:p w14:paraId="6C8545DD" w14:textId="016CD85D" w:rsidR="009A55A1" w:rsidRPr="00024B10" w:rsidRDefault="009A55A1" w:rsidP="009A55A1">
            <w:pPr>
              <w:pStyle w:val="TableFiguresBold"/>
              <w:rPr>
                <w:rFonts w:ascii="IBM Plex Sans Medium" w:hAnsi="IBM Plex Sans Medium"/>
                <w:color w:val="3D7FE0" w:themeColor="accent1"/>
                <w:spacing w:val="-4"/>
                <w:sz w:val="18"/>
                <w:szCs w:val="18"/>
              </w:rPr>
            </w:pPr>
            <w:r w:rsidRPr="00024B10">
              <w:rPr>
                <w:rFonts w:ascii="IBM Plex Sans Medium" w:hAnsi="IBM Plex Sans Medium"/>
                <w:color w:val="3D7FE0" w:themeColor="accent1"/>
                <w:spacing w:val="-4"/>
                <w:sz w:val="18"/>
                <w:szCs w:val="18"/>
              </w:rPr>
              <w:t>21.4</w:t>
            </w:r>
          </w:p>
        </w:tc>
        <w:tc>
          <w:tcPr>
            <w:tcW w:w="850" w:type="dxa"/>
            <w:tcBorders>
              <w:top w:val="single" w:sz="2" w:space="0" w:color="3D7FE0" w:themeColor="accent1"/>
              <w:bottom w:val="single" w:sz="8" w:space="0" w:color="3D7FE0" w:themeColor="accent1"/>
            </w:tcBorders>
            <w:tcMar>
              <w:left w:w="0" w:type="dxa"/>
              <w:right w:w="0" w:type="dxa"/>
            </w:tcMar>
          </w:tcPr>
          <w:p w14:paraId="4FD62A04" w14:textId="010D7BC3" w:rsidR="009A55A1" w:rsidRPr="00895810" w:rsidRDefault="009A55A1" w:rsidP="009A55A1">
            <w:pPr>
              <w:pStyle w:val="TableFigures"/>
              <w:rPr>
                <w:rFonts w:ascii="IBM Plex Sans Light" w:hAnsi="IBM Plex Sans Light"/>
                <w:bCs/>
                <w:color w:val="auto"/>
                <w:spacing w:val="-4"/>
                <w:sz w:val="18"/>
                <w:szCs w:val="18"/>
              </w:rPr>
            </w:pPr>
            <w:r>
              <w:rPr>
                <w:rFonts w:ascii="IBM Plex Sans Light" w:hAnsi="IBM Plex Sans Light"/>
                <w:bCs/>
                <w:color w:val="auto"/>
                <w:spacing w:val="-4"/>
                <w:sz w:val="18"/>
                <w:szCs w:val="18"/>
              </w:rPr>
              <w:t>8.6</w:t>
            </w:r>
          </w:p>
        </w:tc>
        <w:tc>
          <w:tcPr>
            <w:tcW w:w="851" w:type="dxa"/>
            <w:tcBorders>
              <w:top w:val="single" w:sz="2" w:space="0" w:color="3D7FE0" w:themeColor="accent1"/>
              <w:bottom w:val="single" w:sz="8" w:space="0" w:color="3D7FE0" w:themeColor="accent1"/>
            </w:tcBorders>
            <w:tcMar>
              <w:left w:w="0" w:type="dxa"/>
              <w:right w:w="0" w:type="dxa"/>
            </w:tcMar>
          </w:tcPr>
          <w:p w14:paraId="6616C9AC" w14:textId="5F18E30D" w:rsidR="009A55A1" w:rsidRPr="00895810" w:rsidRDefault="009A55A1" w:rsidP="009A55A1">
            <w:pPr>
              <w:pStyle w:val="TableFigures"/>
              <w:rPr>
                <w:rFonts w:ascii="IBM Plex Sans Light" w:hAnsi="IBM Plex Sans Light"/>
                <w:bCs/>
                <w:color w:val="auto"/>
                <w:spacing w:val="-4"/>
                <w:sz w:val="18"/>
                <w:szCs w:val="18"/>
              </w:rPr>
            </w:pPr>
            <w:r w:rsidRPr="00895810">
              <w:rPr>
                <w:rFonts w:ascii="IBM Plex Sans Light" w:hAnsi="IBM Plex Sans Light"/>
                <w:bCs/>
                <w:color w:val="auto"/>
                <w:spacing w:val="-4"/>
                <w:sz w:val="18"/>
                <w:szCs w:val="18"/>
              </w:rPr>
              <w:t>21.4</w:t>
            </w:r>
          </w:p>
        </w:tc>
      </w:tr>
    </w:tbl>
    <w:bookmarkEnd w:id="1"/>
    <w:p w14:paraId="48C74A5A" w14:textId="77777777" w:rsidR="009A55A1" w:rsidRPr="009A55A1" w:rsidRDefault="009A55A1" w:rsidP="009A55A1">
      <w:pPr>
        <w:pStyle w:val="Footnotes"/>
        <w:spacing w:before="120" w:after="0" w:line="240" w:lineRule="auto"/>
        <w:ind w:left="284" w:right="-143" w:hanging="284"/>
        <w:rPr>
          <w:rFonts w:ascii="IBM Plex Sans Light" w:hAnsi="IBM Plex Sans Light"/>
          <w:sz w:val="16"/>
          <w:szCs w:val="16"/>
        </w:rPr>
      </w:pPr>
      <w:r w:rsidRPr="009A55A1">
        <w:rPr>
          <w:rFonts w:ascii="IBM Plex Sans Light" w:hAnsi="IBM Plex Sans Light"/>
          <w:sz w:val="16"/>
          <w:szCs w:val="16"/>
        </w:rPr>
        <w:t>a</w:t>
      </w:r>
      <w:r w:rsidRPr="009A55A1">
        <w:rPr>
          <w:rFonts w:ascii="IBM Plex Sans Light" w:hAnsi="IBM Plex Sans Light"/>
          <w:sz w:val="16"/>
          <w:szCs w:val="16"/>
        </w:rPr>
        <w:tab/>
        <w:t xml:space="preserve">Comprises amounts held to meet future services charge costs and related expenditure such as marketing expenditure, where local laws or regulations restrict the use of such cash. </w:t>
      </w:r>
    </w:p>
    <w:p w14:paraId="72C8C171" w14:textId="207C3FF4" w:rsidR="006845B3" w:rsidRPr="00895810" w:rsidRDefault="009A55A1" w:rsidP="009A55A1">
      <w:pPr>
        <w:pStyle w:val="Footnotes"/>
        <w:spacing w:before="120" w:after="0" w:line="240" w:lineRule="auto"/>
        <w:ind w:left="284" w:right="-143" w:hanging="284"/>
        <w:rPr>
          <w:rFonts w:ascii="IBM Plex Sans Light" w:hAnsi="IBM Plex Sans Light"/>
          <w:sz w:val="16"/>
          <w:szCs w:val="16"/>
        </w:rPr>
      </w:pPr>
      <w:r w:rsidRPr="009A55A1">
        <w:rPr>
          <w:rFonts w:ascii="IBM Plex Sans Light" w:hAnsi="IBM Plex Sans Light"/>
          <w:sz w:val="16"/>
          <w:szCs w:val="16"/>
        </w:rPr>
        <w:t>b</w:t>
      </w:r>
      <w:r w:rsidRPr="009A55A1">
        <w:rPr>
          <w:rFonts w:ascii="IBM Plex Sans Light" w:hAnsi="IBM Plex Sans Light"/>
          <w:sz w:val="16"/>
          <w:szCs w:val="16"/>
        </w:rPr>
        <w:tab/>
        <w:t>Comprises funds placed in escrow in 2020 by Hammerson plc to satisfy potential obligations under indemnities granted in favour of Directors and officers to the extent that such obligations are not already satisfied by the Company or covered by Directors’ and Officers’ liability insurance. The funds will remain in trust until the later of December 2026, or, if there are outstanding claims at that date, the date on which all claims are resolved.</w:t>
      </w:r>
    </w:p>
    <w:p w14:paraId="5CCF8C16" w14:textId="77777777" w:rsidR="006845B3" w:rsidRPr="00895810" w:rsidRDefault="006845B3" w:rsidP="007B754F">
      <w:pPr>
        <w:pStyle w:val="Footnotes"/>
        <w:spacing w:before="120" w:after="0" w:line="240" w:lineRule="auto"/>
        <w:ind w:right="-143"/>
        <w:rPr>
          <w:rFonts w:ascii="IBM Plex Sans Light" w:hAnsi="IBM Plex Sans Light"/>
          <w:sz w:val="16"/>
          <w:szCs w:val="16"/>
        </w:rPr>
      </w:pPr>
    </w:p>
    <w:p w14:paraId="352710BA" w14:textId="2D12E783" w:rsidR="00CD4ABD" w:rsidRPr="00AB6B6E" w:rsidRDefault="00CD4ABD"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4406E3">
        <w:rPr>
          <w:rFonts w:ascii="IBM Plex Sans Medium" w:hAnsi="IBM Plex Sans Medium" w:cs="Arial"/>
          <w:b/>
          <w:color w:val="3D7FE0" w:themeColor="accent1"/>
          <w:szCs w:val="18"/>
        </w:rPr>
        <w:t>6</w:t>
      </w:r>
      <w:r w:rsidRPr="00AB6B6E">
        <w:rPr>
          <w:rFonts w:ascii="IBM Plex Sans Medium" w:hAnsi="IBM Plex Sans Medium" w:cs="Arial"/>
          <w:b/>
          <w:color w:val="3D7FE0" w:themeColor="accent1"/>
          <w:szCs w:val="18"/>
        </w:rPr>
        <w:t xml:space="preserve">. </w:t>
      </w:r>
      <w:r w:rsidR="004549FE" w:rsidRPr="00AB6B6E">
        <w:rPr>
          <w:rFonts w:ascii="IBM Plex Sans Medium" w:hAnsi="IBM Plex Sans Medium" w:cs="Arial"/>
          <w:b/>
          <w:color w:val="3D7FE0" w:themeColor="accent1"/>
          <w:szCs w:val="18"/>
        </w:rPr>
        <w:t>LOANS</w:t>
      </w:r>
      <w:r w:rsidR="00E25BCD" w:rsidRPr="00AB6B6E">
        <w:rPr>
          <w:rFonts w:ascii="IBM Plex Sans Medium" w:hAnsi="IBM Plex Sans Medium" w:cs="Arial"/>
          <w:b/>
          <w:color w:val="3D7FE0" w:themeColor="accent1"/>
          <w:szCs w:val="18"/>
        </w:rPr>
        <w:t xml:space="preserve"> </w:t>
      </w:r>
    </w:p>
    <w:p w14:paraId="36B9775A" w14:textId="20BD8E7E" w:rsidR="00CD4ABD" w:rsidRPr="00895810" w:rsidRDefault="00C234F0" w:rsidP="00B7176A">
      <w:pPr>
        <w:pStyle w:val="Heading2SpaceBefore"/>
        <w:spacing w:before="0"/>
        <w:rPr>
          <w:rFonts w:ascii="IBM Plex Sans Light" w:hAnsi="IBM Plex Sans Light"/>
          <w:color w:val="3D7FE0" w:themeColor="accent1"/>
        </w:rPr>
      </w:pPr>
      <w:r w:rsidRPr="00895810">
        <w:rPr>
          <w:rFonts w:ascii="IBM Plex Sans Light" w:hAnsi="IBM Plex Sans Light"/>
          <w:color w:val="3D7FE0" w:themeColor="accent1"/>
        </w:rPr>
        <w:t>A</w:t>
      </w:r>
      <w:r w:rsidR="00CD4ABD" w:rsidRPr="00895810">
        <w:rPr>
          <w:rFonts w:ascii="IBM Plex Sans Light" w:hAnsi="IBM Plex Sans Light"/>
          <w:color w:val="3D7FE0" w:themeColor="accent1"/>
        </w:rPr>
        <w:t>.</w:t>
      </w:r>
      <w:r w:rsidR="003B5C8F" w:rsidRPr="00895810">
        <w:rPr>
          <w:rFonts w:ascii="IBM Plex Sans Light" w:hAnsi="IBM Plex Sans Light"/>
          <w:color w:val="3D7FE0" w:themeColor="accent1"/>
        </w:rPr>
        <w:t xml:space="preserve"> </w:t>
      </w:r>
      <w:r w:rsidR="00C62996" w:rsidRPr="00895810">
        <w:rPr>
          <w:rFonts w:ascii="IBM Plex Sans Light" w:hAnsi="IBM Plex Sans Light"/>
          <w:color w:val="3D7FE0" w:themeColor="accent1"/>
        </w:rPr>
        <w:t>LOAN PROFILE</w:t>
      </w:r>
    </w:p>
    <w:tbl>
      <w:tblPr>
        <w:tblW w:w="9922" w:type="dxa"/>
        <w:tblLayout w:type="fixed"/>
        <w:tblLook w:val="01E0" w:firstRow="1" w:lastRow="1" w:firstColumn="1" w:lastColumn="1" w:noHBand="0" w:noVBand="0"/>
      </w:tblPr>
      <w:tblGrid>
        <w:gridCol w:w="6521"/>
        <w:gridCol w:w="850"/>
        <w:gridCol w:w="1190"/>
        <w:gridCol w:w="1361"/>
      </w:tblGrid>
      <w:tr w:rsidR="002834EA" w:rsidRPr="00895810" w14:paraId="1AE180D3" w14:textId="77777777" w:rsidTr="00024B10">
        <w:tc>
          <w:tcPr>
            <w:tcW w:w="6521" w:type="dxa"/>
            <w:tcMar>
              <w:left w:w="0" w:type="dxa"/>
              <w:right w:w="0" w:type="dxa"/>
            </w:tcMar>
            <w:vAlign w:val="bottom"/>
          </w:tcPr>
          <w:p w14:paraId="3872229B" w14:textId="77777777" w:rsidR="002834EA" w:rsidRPr="00895810" w:rsidRDefault="002834EA" w:rsidP="005C25CE">
            <w:pPr>
              <w:pStyle w:val="TableColHeads"/>
              <w:rPr>
                <w:rFonts w:ascii="IBM Plex Sans Light" w:hAnsi="IBM Plex Sans Light" w:cs="Arial"/>
                <w:sz w:val="16"/>
                <w:szCs w:val="16"/>
              </w:rPr>
            </w:pPr>
          </w:p>
        </w:tc>
        <w:tc>
          <w:tcPr>
            <w:tcW w:w="850" w:type="dxa"/>
            <w:tcMar>
              <w:left w:w="0" w:type="dxa"/>
              <w:right w:w="0" w:type="dxa"/>
            </w:tcMar>
            <w:vAlign w:val="bottom"/>
          </w:tcPr>
          <w:p w14:paraId="0DA65CB1" w14:textId="77777777" w:rsidR="002834EA" w:rsidRPr="00895810" w:rsidRDefault="002834EA" w:rsidP="005C25CE">
            <w:pPr>
              <w:pStyle w:val="TableColHeads"/>
              <w:rPr>
                <w:rFonts w:ascii="IBM Plex Sans Light" w:hAnsi="IBM Plex Sans Light" w:cs="Arial"/>
                <w:sz w:val="16"/>
                <w:szCs w:val="16"/>
              </w:rPr>
            </w:pPr>
          </w:p>
        </w:tc>
        <w:tc>
          <w:tcPr>
            <w:tcW w:w="1190" w:type="dxa"/>
            <w:tcMar>
              <w:left w:w="0" w:type="dxa"/>
              <w:right w:w="0" w:type="dxa"/>
            </w:tcMar>
            <w:vAlign w:val="bottom"/>
          </w:tcPr>
          <w:p w14:paraId="423EB79C" w14:textId="4AE352C4" w:rsidR="002834EA" w:rsidRPr="00895810" w:rsidRDefault="00785AC2" w:rsidP="002834EA">
            <w:pPr>
              <w:pStyle w:val="TableColHeadsBold"/>
              <w:rPr>
                <w:rFonts w:ascii="IBM Plex Sans Light" w:hAnsi="IBM Plex Sans Light"/>
                <w:color w:val="3D7FE0" w:themeColor="accent1"/>
                <w:szCs w:val="14"/>
              </w:rPr>
            </w:pPr>
            <w:r>
              <w:rPr>
                <w:rFonts w:ascii="IBM Plex Sans Light" w:hAnsi="IBM Plex Sans Light"/>
                <w:color w:val="3D7FE0" w:themeColor="accent1"/>
                <w:szCs w:val="14"/>
              </w:rPr>
              <w:t>2023</w:t>
            </w:r>
            <w:r w:rsidR="002834EA" w:rsidRPr="00895810">
              <w:rPr>
                <w:rFonts w:ascii="IBM Plex Sans Light" w:hAnsi="IBM Plex Sans Light"/>
                <w:color w:val="3D7FE0" w:themeColor="accent1"/>
                <w:szCs w:val="14"/>
              </w:rPr>
              <w:t xml:space="preserve"> </w:t>
            </w:r>
          </w:p>
        </w:tc>
        <w:tc>
          <w:tcPr>
            <w:tcW w:w="1361" w:type="dxa"/>
            <w:tcMar>
              <w:left w:w="0" w:type="dxa"/>
              <w:right w:w="0" w:type="dxa"/>
            </w:tcMar>
            <w:vAlign w:val="bottom"/>
          </w:tcPr>
          <w:p w14:paraId="31581319" w14:textId="71FFC904" w:rsidR="002834EA" w:rsidRPr="00895810" w:rsidRDefault="006E7EB0" w:rsidP="005C25CE">
            <w:pPr>
              <w:pStyle w:val="TableColHeads"/>
              <w:rPr>
                <w:rFonts w:ascii="IBM Plex Sans Light" w:hAnsi="IBM Plex Sans Light"/>
                <w:szCs w:val="14"/>
              </w:rPr>
            </w:pPr>
            <w:r>
              <w:rPr>
                <w:rFonts w:ascii="IBM Plex Sans Light" w:hAnsi="IBM Plex Sans Light"/>
                <w:szCs w:val="14"/>
              </w:rPr>
              <w:t>2022</w:t>
            </w:r>
            <w:r w:rsidR="002834EA" w:rsidRPr="00895810">
              <w:rPr>
                <w:rFonts w:ascii="IBM Plex Sans Light" w:hAnsi="IBM Plex Sans Light"/>
                <w:szCs w:val="14"/>
              </w:rPr>
              <w:t xml:space="preserve"> </w:t>
            </w:r>
          </w:p>
        </w:tc>
      </w:tr>
      <w:tr w:rsidR="002834EA" w:rsidRPr="00895810" w14:paraId="6BA59AD7" w14:textId="77777777" w:rsidTr="00024B10">
        <w:tc>
          <w:tcPr>
            <w:tcW w:w="6521" w:type="dxa"/>
            <w:tcBorders>
              <w:bottom w:val="single" w:sz="2" w:space="0" w:color="3D7FE0" w:themeColor="accent1"/>
            </w:tcBorders>
            <w:tcMar>
              <w:left w:w="0" w:type="dxa"/>
              <w:right w:w="0" w:type="dxa"/>
            </w:tcMar>
            <w:vAlign w:val="bottom"/>
          </w:tcPr>
          <w:p w14:paraId="24B42FDC" w14:textId="77777777" w:rsidR="002834EA" w:rsidRPr="00895810" w:rsidRDefault="002834EA" w:rsidP="005C25CE">
            <w:pPr>
              <w:pStyle w:val="TableColHeads"/>
              <w:rPr>
                <w:rFonts w:ascii="IBM Plex Sans Light" w:hAnsi="IBM Plex Sans Light" w:cs="Arial"/>
                <w:sz w:val="16"/>
                <w:szCs w:val="16"/>
              </w:rPr>
            </w:pPr>
          </w:p>
        </w:tc>
        <w:tc>
          <w:tcPr>
            <w:tcW w:w="850" w:type="dxa"/>
            <w:tcBorders>
              <w:bottom w:val="single" w:sz="2" w:space="0" w:color="3D7FE0" w:themeColor="accent1"/>
            </w:tcBorders>
            <w:tcMar>
              <w:left w:w="0" w:type="dxa"/>
              <w:right w:w="0" w:type="dxa"/>
            </w:tcMar>
            <w:vAlign w:val="bottom"/>
          </w:tcPr>
          <w:p w14:paraId="2F9CDDA5" w14:textId="69C2F572" w:rsidR="002834EA" w:rsidRPr="00895810" w:rsidRDefault="006B6ABF" w:rsidP="006B6ABF">
            <w:pPr>
              <w:pStyle w:val="TableColHeads"/>
              <w:rPr>
                <w:rFonts w:ascii="IBM Plex Sans Light" w:hAnsi="IBM Plex Sans Light" w:cs="Arial"/>
                <w:sz w:val="16"/>
                <w:szCs w:val="16"/>
              </w:rPr>
            </w:pPr>
            <w:r w:rsidRPr="00D853E0">
              <w:rPr>
                <w:rFonts w:ascii="IBM Plex Sans Light" w:hAnsi="IBM Plex Sans Light"/>
                <w:bCs/>
              </w:rPr>
              <w:t>Footnote</w:t>
            </w:r>
          </w:p>
        </w:tc>
        <w:tc>
          <w:tcPr>
            <w:tcW w:w="1190" w:type="dxa"/>
            <w:tcBorders>
              <w:bottom w:val="single" w:sz="2" w:space="0" w:color="3D7FE0" w:themeColor="accent1"/>
            </w:tcBorders>
            <w:tcMar>
              <w:left w:w="0" w:type="dxa"/>
              <w:right w:w="0" w:type="dxa"/>
            </w:tcMar>
            <w:vAlign w:val="bottom"/>
          </w:tcPr>
          <w:p w14:paraId="2FEFCACD" w14:textId="77777777" w:rsidR="002834EA" w:rsidRPr="00895810" w:rsidRDefault="002834EA" w:rsidP="005C25CE">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c>
          <w:tcPr>
            <w:tcW w:w="1361" w:type="dxa"/>
            <w:tcBorders>
              <w:bottom w:val="single" w:sz="2" w:space="0" w:color="3D7FE0" w:themeColor="accent1"/>
            </w:tcBorders>
            <w:tcMar>
              <w:left w:w="0" w:type="dxa"/>
              <w:right w:w="0" w:type="dxa"/>
            </w:tcMar>
            <w:vAlign w:val="bottom"/>
          </w:tcPr>
          <w:p w14:paraId="4E5D4825" w14:textId="61665E88" w:rsidR="002834EA" w:rsidRPr="00895810" w:rsidRDefault="002834EA" w:rsidP="005C25CE">
            <w:pPr>
              <w:pStyle w:val="TableColHeads"/>
              <w:rPr>
                <w:rFonts w:ascii="IBM Plex Sans Light" w:hAnsi="IBM Plex Sans Light"/>
                <w:szCs w:val="14"/>
              </w:rPr>
            </w:pPr>
            <w:r w:rsidRPr="00895810">
              <w:rPr>
                <w:rFonts w:ascii="IBM Plex Sans Light" w:hAnsi="IBM Plex Sans Light"/>
                <w:szCs w:val="14"/>
              </w:rPr>
              <w:t xml:space="preserve">£m </w:t>
            </w:r>
          </w:p>
        </w:tc>
      </w:tr>
      <w:tr w:rsidR="002834EA" w:rsidRPr="00895810" w14:paraId="5E74E878" w14:textId="77777777" w:rsidTr="00024B10">
        <w:tc>
          <w:tcPr>
            <w:tcW w:w="6521" w:type="dxa"/>
            <w:tcBorders>
              <w:top w:val="single" w:sz="2" w:space="0" w:color="3D7FE0" w:themeColor="accent1"/>
            </w:tcBorders>
            <w:tcMar>
              <w:left w:w="0" w:type="dxa"/>
              <w:right w:w="0" w:type="dxa"/>
            </w:tcMar>
            <w:vAlign w:val="bottom"/>
          </w:tcPr>
          <w:p w14:paraId="5C9F80B0" w14:textId="16C3B7A7" w:rsidR="002834EA" w:rsidRPr="00895810" w:rsidRDefault="002834EA" w:rsidP="005C25CE">
            <w:pPr>
              <w:spacing w:after="0" w:line="240" w:lineRule="auto"/>
              <w:jc w:val="both"/>
              <w:rPr>
                <w:rFonts w:ascii="IBM Plex Sans Light" w:hAnsi="IBM Plex Sans Light" w:cs="Arial"/>
                <w:b/>
                <w:sz w:val="16"/>
                <w:szCs w:val="16"/>
              </w:rPr>
            </w:pPr>
            <w:r w:rsidRPr="00895810">
              <w:rPr>
                <w:rFonts w:ascii="IBM Plex Sans Light" w:hAnsi="IBM Plex Sans Light"/>
                <w:color w:val="3D7FE0" w:themeColor="accent1"/>
                <w:szCs w:val="16"/>
              </w:rPr>
              <w:t>Unsecured</w:t>
            </w:r>
          </w:p>
        </w:tc>
        <w:tc>
          <w:tcPr>
            <w:tcW w:w="850" w:type="dxa"/>
            <w:tcBorders>
              <w:top w:val="single" w:sz="2" w:space="0" w:color="3D7FE0" w:themeColor="accent1"/>
            </w:tcBorders>
            <w:tcMar>
              <w:left w:w="0" w:type="dxa"/>
              <w:right w:w="0" w:type="dxa"/>
            </w:tcMar>
            <w:vAlign w:val="bottom"/>
          </w:tcPr>
          <w:p w14:paraId="49534E28" w14:textId="77777777" w:rsidR="002834EA" w:rsidRPr="00895810" w:rsidRDefault="002834EA" w:rsidP="005C25CE">
            <w:pPr>
              <w:spacing w:after="0" w:line="240" w:lineRule="auto"/>
              <w:rPr>
                <w:rFonts w:ascii="IBM Plex Sans Light" w:hAnsi="IBM Plex Sans Light" w:cs="Arial"/>
                <w:sz w:val="16"/>
                <w:szCs w:val="16"/>
              </w:rPr>
            </w:pPr>
          </w:p>
        </w:tc>
        <w:tc>
          <w:tcPr>
            <w:tcW w:w="1190" w:type="dxa"/>
            <w:tcBorders>
              <w:top w:val="single" w:sz="2" w:space="0" w:color="3D7FE0" w:themeColor="accent1"/>
            </w:tcBorders>
            <w:tcMar>
              <w:left w:w="0" w:type="dxa"/>
              <w:right w:w="0" w:type="dxa"/>
            </w:tcMar>
            <w:vAlign w:val="bottom"/>
          </w:tcPr>
          <w:p w14:paraId="1BEA3F02" w14:textId="77777777" w:rsidR="002834EA" w:rsidRPr="00895810" w:rsidRDefault="002834EA" w:rsidP="005C25CE">
            <w:pPr>
              <w:pStyle w:val="TableFiguresBold"/>
              <w:rPr>
                <w:rFonts w:ascii="IBM Plex Sans Light" w:hAnsi="IBM Plex Sans Light" w:cs="Arial"/>
                <w:color w:val="3D7FE0" w:themeColor="accent1"/>
                <w:spacing w:val="-4"/>
                <w:szCs w:val="16"/>
              </w:rPr>
            </w:pPr>
          </w:p>
        </w:tc>
        <w:tc>
          <w:tcPr>
            <w:tcW w:w="1361" w:type="dxa"/>
            <w:tcBorders>
              <w:top w:val="single" w:sz="2" w:space="0" w:color="3D7FE0" w:themeColor="accent1"/>
            </w:tcBorders>
            <w:tcMar>
              <w:left w:w="0" w:type="dxa"/>
              <w:right w:w="0" w:type="dxa"/>
            </w:tcMar>
            <w:vAlign w:val="bottom"/>
          </w:tcPr>
          <w:p w14:paraId="39DFEC31" w14:textId="77777777" w:rsidR="002834EA" w:rsidRPr="00895810" w:rsidRDefault="002834EA" w:rsidP="005C25CE">
            <w:pPr>
              <w:pStyle w:val="TableFigures"/>
              <w:rPr>
                <w:rFonts w:ascii="IBM Plex Sans Light" w:hAnsi="IBM Plex Sans Light"/>
                <w:spacing w:val="-4"/>
                <w:szCs w:val="16"/>
              </w:rPr>
            </w:pPr>
          </w:p>
        </w:tc>
      </w:tr>
      <w:tr w:rsidR="008F57AD" w:rsidRPr="00895810" w14:paraId="09A3AC2B" w14:textId="77777777" w:rsidTr="00024B10">
        <w:tc>
          <w:tcPr>
            <w:tcW w:w="6521" w:type="dxa"/>
            <w:tcMar>
              <w:left w:w="0" w:type="dxa"/>
              <w:right w:w="0" w:type="dxa"/>
            </w:tcMar>
          </w:tcPr>
          <w:p w14:paraId="1B76AC30" w14:textId="399A92D3"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 xml:space="preserve">£300.0m (2022: £200m) 7.25% sterling bonds due 2028 </w:t>
            </w:r>
          </w:p>
        </w:tc>
        <w:tc>
          <w:tcPr>
            <w:tcW w:w="850" w:type="dxa"/>
            <w:tcMar>
              <w:left w:w="0" w:type="dxa"/>
              <w:right w:w="0" w:type="dxa"/>
            </w:tcMar>
          </w:tcPr>
          <w:p w14:paraId="32B861D0" w14:textId="36D375CC" w:rsidR="008F57AD" w:rsidRPr="00895810" w:rsidRDefault="008F57AD" w:rsidP="00024B10">
            <w:pPr>
              <w:pStyle w:val="Tabletext"/>
              <w:jc w:val="right"/>
              <w:rPr>
                <w:rFonts w:ascii="IBM Plex Sans Light" w:hAnsi="IBM Plex Sans Light"/>
                <w:spacing w:val="-4"/>
                <w:szCs w:val="16"/>
              </w:rPr>
            </w:pPr>
            <w:r w:rsidRPr="008F57AD">
              <w:rPr>
                <w:rFonts w:ascii="IBM Plex Sans Light" w:hAnsi="IBM Plex Sans Light"/>
                <w:spacing w:val="-4"/>
                <w:szCs w:val="16"/>
              </w:rPr>
              <w:t>a</w:t>
            </w:r>
          </w:p>
        </w:tc>
        <w:tc>
          <w:tcPr>
            <w:tcW w:w="1190" w:type="dxa"/>
            <w:tcMar>
              <w:left w:w="0" w:type="dxa"/>
              <w:right w:w="0" w:type="dxa"/>
            </w:tcMar>
          </w:tcPr>
          <w:p w14:paraId="668D4120" w14:textId="7303269F"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292.2</w:t>
            </w:r>
          </w:p>
        </w:tc>
        <w:tc>
          <w:tcPr>
            <w:tcW w:w="1361" w:type="dxa"/>
            <w:tcMar>
              <w:left w:w="0" w:type="dxa"/>
              <w:right w:w="0" w:type="dxa"/>
            </w:tcMar>
            <w:vAlign w:val="bottom"/>
          </w:tcPr>
          <w:p w14:paraId="5FEFB29A" w14:textId="7CB02846"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199.0</w:t>
            </w:r>
          </w:p>
        </w:tc>
      </w:tr>
      <w:tr w:rsidR="008F57AD" w:rsidRPr="00895810" w14:paraId="587855DC" w14:textId="77777777" w:rsidTr="00024B10">
        <w:tc>
          <w:tcPr>
            <w:tcW w:w="6521" w:type="dxa"/>
            <w:tcMar>
              <w:left w:w="0" w:type="dxa"/>
              <w:right w:w="0" w:type="dxa"/>
            </w:tcMar>
          </w:tcPr>
          <w:p w14:paraId="140C3F1E" w14:textId="5666D9AC"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 xml:space="preserve">€700.0m 1.75% </w:t>
            </w:r>
            <w:proofErr w:type="spellStart"/>
            <w:r w:rsidRPr="009A55A1">
              <w:rPr>
                <w:rFonts w:ascii="IBM Plex Sans Light" w:hAnsi="IBM Plex Sans Light"/>
                <w:spacing w:val="-4"/>
                <w:sz w:val="18"/>
                <w:szCs w:val="18"/>
              </w:rPr>
              <w:t>eurobonds</w:t>
            </w:r>
            <w:proofErr w:type="spellEnd"/>
            <w:r w:rsidRPr="009A55A1">
              <w:rPr>
                <w:rFonts w:ascii="IBM Plex Sans Light" w:hAnsi="IBM Plex Sans Light"/>
                <w:spacing w:val="-4"/>
                <w:sz w:val="18"/>
                <w:szCs w:val="18"/>
              </w:rPr>
              <w:t xml:space="preserve"> due 2027</w:t>
            </w:r>
          </w:p>
        </w:tc>
        <w:tc>
          <w:tcPr>
            <w:tcW w:w="850" w:type="dxa"/>
            <w:tcMar>
              <w:left w:w="0" w:type="dxa"/>
              <w:right w:w="0" w:type="dxa"/>
            </w:tcMar>
          </w:tcPr>
          <w:p w14:paraId="34DE14ED" w14:textId="5C55C515" w:rsidR="008F57AD" w:rsidRPr="00895810" w:rsidRDefault="008F57AD" w:rsidP="00024B10">
            <w:pPr>
              <w:pStyle w:val="Tabletext"/>
              <w:jc w:val="right"/>
              <w:rPr>
                <w:rFonts w:ascii="IBM Plex Sans Light" w:hAnsi="IBM Plex Sans Light"/>
                <w:spacing w:val="-4"/>
                <w:szCs w:val="16"/>
              </w:rPr>
            </w:pPr>
            <w:r w:rsidRPr="008F57AD">
              <w:rPr>
                <w:rFonts w:ascii="IBM Plex Sans Light" w:hAnsi="IBM Plex Sans Light"/>
                <w:spacing w:val="-4"/>
                <w:szCs w:val="16"/>
              </w:rPr>
              <w:t>b</w:t>
            </w:r>
          </w:p>
        </w:tc>
        <w:tc>
          <w:tcPr>
            <w:tcW w:w="1190" w:type="dxa"/>
            <w:tcMar>
              <w:left w:w="0" w:type="dxa"/>
              <w:right w:w="0" w:type="dxa"/>
            </w:tcMar>
          </w:tcPr>
          <w:p w14:paraId="46D59653" w14:textId="5AEDA629"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600.8</w:t>
            </w:r>
          </w:p>
        </w:tc>
        <w:tc>
          <w:tcPr>
            <w:tcW w:w="1361" w:type="dxa"/>
            <w:tcMar>
              <w:left w:w="0" w:type="dxa"/>
              <w:right w:w="0" w:type="dxa"/>
            </w:tcMar>
            <w:vAlign w:val="bottom"/>
          </w:tcPr>
          <w:p w14:paraId="698CC542" w14:textId="0C20F620"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612.3</w:t>
            </w:r>
          </w:p>
        </w:tc>
      </w:tr>
      <w:tr w:rsidR="008F57AD" w:rsidRPr="00895810" w14:paraId="765A62FA" w14:textId="77777777" w:rsidTr="00024B10">
        <w:tc>
          <w:tcPr>
            <w:tcW w:w="6521" w:type="dxa"/>
            <w:tcMar>
              <w:left w:w="0" w:type="dxa"/>
              <w:right w:w="0" w:type="dxa"/>
            </w:tcMar>
          </w:tcPr>
          <w:p w14:paraId="051DA0F4" w14:textId="640412B7"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£211.2m (2022: £300.0m) 6% sterling bonds due 2026</w:t>
            </w:r>
          </w:p>
        </w:tc>
        <w:tc>
          <w:tcPr>
            <w:tcW w:w="850" w:type="dxa"/>
            <w:tcMar>
              <w:left w:w="0" w:type="dxa"/>
              <w:right w:w="0" w:type="dxa"/>
            </w:tcMar>
          </w:tcPr>
          <w:p w14:paraId="5CB471AD" w14:textId="6176A2D3" w:rsidR="008F57AD" w:rsidRPr="00895810" w:rsidRDefault="008F57AD" w:rsidP="00024B10">
            <w:pPr>
              <w:pStyle w:val="Tabletext"/>
              <w:jc w:val="right"/>
              <w:rPr>
                <w:rFonts w:ascii="IBM Plex Sans Light" w:hAnsi="IBM Plex Sans Light"/>
                <w:spacing w:val="-4"/>
                <w:szCs w:val="16"/>
              </w:rPr>
            </w:pPr>
            <w:r w:rsidRPr="008F57AD">
              <w:rPr>
                <w:rFonts w:ascii="IBM Plex Sans Light" w:hAnsi="IBM Plex Sans Light"/>
                <w:spacing w:val="-4"/>
                <w:szCs w:val="16"/>
              </w:rPr>
              <w:t>a</w:t>
            </w:r>
          </w:p>
        </w:tc>
        <w:tc>
          <w:tcPr>
            <w:tcW w:w="1190" w:type="dxa"/>
            <w:tcMar>
              <w:left w:w="0" w:type="dxa"/>
              <w:right w:w="0" w:type="dxa"/>
            </w:tcMar>
          </w:tcPr>
          <w:p w14:paraId="1179ED2A" w14:textId="6A0C4B3C"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211.1</w:t>
            </w:r>
          </w:p>
        </w:tc>
        <w:tc>
          <w:tcPr>
            <w:tcW w:w="1361" w:type="dxa"/>
            <w:tcMar>
              <w:left w:w="0" w:type="dxa"/>
              <w:right w:w="0" w:type="dxa"/>
            </w:tcMar>
            <w:vAlign w:val="bottom"/>
          </w:tcPr>
          <w:p w14:paraId="559954E3" w14:textId="65AD91FD"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299.1</w:t>
            </w:r>
          </w:p>
        </w:tc>
      </w:tr>
      <w:tr w:rsidR="008F57AD" w:rsidRPr="00895810" w14:paraId="04A3A719" w14:textId="77777777" w:rsidTr="00024B10">
        <w:tc>
          <w:tcPr>
            <w:tcW w:w="6521" w:type="dxa"/>
            <w:tcMar>
              <w:left w:w="0" w:type="dxa"/>
              <w:right w:w="0" w:type="dxa"/>
            </w:tcMar>
          </w:tcPr>
          <w:p w14:paraId="3C0B0B35" w14:textId="69C2E9A6"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£338.3m (2022: £350.0m) 3.5% sterling bonds due 2025</w:t>
            </w:r>
          </w:p>
        </w:tc>
        <w:tc>
          <w:tcPr>
            <w:tcW w:w="850" w:type="dxa"/>
            <w:tcMar>
              <w:left w:w="0" w:type="dxa"/>
              <w:right w:w="0" w:type="dxa"/>
            </w:tcMar>
          </w:tcPr>
          <w:p w14:paraId="0EB9C8D3" w14:textId="1F515D95" w:rsidR="008F57AD" w:rsidRPr="00895810" w:rsidRDefault="008F57AD" w:rsidP="00024B10">
            <w:pPr>
              <w:pStyle w:val="Tabletext"/>
              <w:jc w:val="right"/>
              <w:rPr>
                <w:rFonts w:ascii="IBM Plex Sans Light" w:hAnsi="IBM Plex Sans Light"/>
                <w:spacing w:val="-4"/>
                <w:szCs w:val="16"/>
              </w:rPr>
            </w:pPr>
            <w:r w:rsidRPr="008F57AD">
              <w:rPr>
                <w:rFonts w:ascii="IBM Plex Sans Light" w:hAnsi="IBM Plex Sans Light"/>
                <w:spacing w:val="-4"/>
                <w:szCs w:val="16"/>
              </w:rPr>
              <w:t>a</w:t>
            </w:r>
          </w:p>
        </w:tc>
        <w:tc>
          <w:tcPr>
            <w:tcW w:w="1190" w:type="dxa"/>
            <w:tcMar>
              <w:left w:w="0" w:type="dxa"/>
              <w:right w:w="0" w:type="dxa"/>
            </w:tcMar>
          </w:tcPr>
          <w:p w14:paraId="0859EE98" w14:textId="74AF1C8D"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337.3</w:t>
            </w:r>
          </w:p>
        </w:tc>
        <w:tc>
          <w:tcPr>
            <w:tcW w:w="1361" w:type="dxa"/>
            <w:tcMar>
              <w:left w:w="0" w:type="dxa"/>
              <w:right w:w="0" w:type="dxa"/>
            </w:tcMar>
            <w:vAlign w:val="bottom"/>
          </w:tcPr>
          <w:p w14:paraId="3F679A9F" w14:textId="4DE65C38"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348.3</w:t>
            </w:r>
          </w:p>
        </w:tc>
      </w:tr>
      <w:tr w:rsidR="008F57AD" w:rsidRPr="00895810" w14:paraId="3FB49309" w14:textId="77777777" w:rsidTr="00024B10">
        <w:tc>
          <w:tcPr>
            <w:tcW w:w="6521" w:type="dxa"/>
            <w:tcMar>
              <w:left w:w="0" w:type="dxa"/>
              <w:right w:w="0" w:type="dxa"/>
            </w:tcMar>
          </w:tcPr>
          <w:p w14:paraId="445F7FBE" w14:textId="5B39C00A"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 xml:space="preserve">Unamortised facility fees </w:t>
            </w:r>
          </w:p>
        </w:tc>
        <w:tc>
          <w:tcPr>
            <w:tcW w:w="850" w:type="dxa"/>
            <w:tcMar>
              <w:left w:w="0" w:type="dxa"/>
              <w:right w:w="0" w:type="dxa"/>
            </w:tcMar>
          </w:tcPr>
          <w:p w14:paraId="1EB46A7A" w14:textId="0F7FEA4F" w:rsidR="008F57AD" w:rsidRPr="00895810" w:rsidRDefault="008F57AD" w:rsidP="008F57AD">
            <w:pPr>
              <w:pStyle w:val="Tabletext"/>
              <w:jc w:val="center"/>
              <w:rPr>
                <w:rFonts w:ascii="IBM Plex Sans Light" w:hAnsi="IBM Plex Sans Light"/>
                <w:spacing w:val="-4"/>
                <w:szCs w:val="16"/>
              </w:rPr>
            </w:pPr>
          </w:p>
        </w:tc>
        <w:tc>
          <w:tcPr>
            <w:tcW w:w="1190" w:type="dxa"/>
            <w:tcMar>
              <w:left w:w="0" w:type="dxa"/>
              <w:right w:w="0" w:type="dxa"/>
            </w:tcMar>
          </w:tcPr>
          <w:p w14:paraId="0A65849E" w14:textId="7CE752AB" w:rsidR="008F57AD" w:rsidRPr="004406E3" w:rsidRDefault="008F57AD"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(2.2)</w:t>
            </w:r>
          </w:p>
        </w:tc>
        <w:tc>
          <w:tcPr>
            <w:tcW w:w="1361" w:type="dxa"/>
            <w:tcMar>
              <w:left w:w="0" w:type="dxa"/>
              <w:right w:w="0" w:type="dxa"/>
            </w:tcMar>
            <w:vAlign w:val="bottom"/>
          </w:tcPr>
          <w:p w14:paraId="779F9218" w14:textId="273B17A3" w:rsidR="008F57AD" w:rsidRPr="00F82829" w:rsidRDefault="008F57AD" w:rsidP="008F57AD">
            <w:pPr>
              <w:pStyle w:val="TableFiguresBrackets"/>
              <w:rPr>
                <w:rFonts w:ascii="IBM Plex Sans Light" w:hAnsi="IBM Plex Sans Light"/>
                <w:bCs/>
                <w:color w:val="auto"/>
                <w:spacing w:val="-4"/>
                <w:sz w:val="18"/>
                <w:szCs w:val="18"/>
              </w:rPr>
            </w:pPr>
            <w:r w:rsidRPr="00F82829">
              <w:rPr>
                <w:rFonts w:ascii="IBM Plex Sans Light" w:hAnsi="IBM Plex Sans Light"/>
                <w:bCs/>
                <w:color w:val="auto"/>
                <w:spacing w:val="-4"/>
                <w:sz w:val="18"/>
                <w:szCs w:val="18"/>
              </w:rPr>
              <w:t>(3.1)</w:t>
            </w:r>
          </w:p>
        </w:tc>
      </w:tr>
      <w:tr w:rsidR="008F57AD" w:rsidRPr="00895810" w14:paraId="6621EB38" w14:textId="77777777" w:rsidTr="00024B10">
        <w:tc>
          <w:tcPr>
            <w:tcW w:w="6521" w:type="dxa"/>
            <w:tcMar>
              <w:left w:w="0" w:type="dxa"/>
              <w:right w:w="0" w:type="dxa"/>
            </w:tcMar>
          </w:tcPr>
          <w:p w14:paraId="0EB7E339" w14:textId="15A8715A"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Senior notes due 2031</w:t>
            </w:r>
          </w:p>
        </w:tc>
        <w:tc>
          <w:tcPr>
            <w:tcW w:w="850" w:type="dxa"/>
            <w:tcMar>
              <w:left w:w="0" w:type="dxa"/>
              <w:right w:w="0" w:type="dxa"/>
            </w:tcMar>
          </w:tcPr>
          <w:p w14:paraId="3F94C91D" w14:textId="3A2C0A87" w:rsidR="008F57AD" w:rsidRPr="00895810" w:rsidRDefault="008F57AD" w:rsidP="008F57AD">
            <w:pPr>
              <w:pStyle w:val="Tabletext"/>
              <w:jc w:val="center"/>
              <w:rPr>
                <w:rFonts w:ascii="IBM Plex Sans Light" w:hAnsi="IBM Plex Sans Light"/>
                <w:spacing w:val="-4"/>
                <w:szCs w:val="16"/>
              </w:rPr>
            </w:pPr>
          </w:p>
        </w:tc>
        <w:tc>
          <w:tcPr>
            <w:tcW w:w="1190" w:type="dxa"/>
            <w:tcMar>
              <w:left w:w="0" w:type="dxa"/>
              <w:right w:w="0" w:type="dxa"/>
            </w:tcMar>
          </w:tcPr>
          <w:p w14:paraId="49F43B58" w14:textId="515B574A"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5.0</w:t>
            </w:r>
          </w:p>
        </w:tc>
        <w:tc>
          <w:tcPr>
            <w:tcW w:w="1361" w:type="dxa"/>
            <w:tcMar>
              <w:left w:w="0" w:type="dxa"/>
              <w:right w:w="0" w:type="dxa"/>
            </w:tcMar>
            <w:vAlign w:val="bottom"/>
          </w:tcPr>
          <w:p w14:paraId="38A9D374" w14:textId="5FDD3F17"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5.1</w:t>
            </w:r>
          </w:p>
        </w:tc>
      </w:tr>
      <w:tr w:rsidR="008F57AD" w:rsidRPr="00895810" w14:paraId="20FF8E9D" w14:textId="77777777" w:rsidTr="00024B10">
        <w:tc>
          <w:tcPr>
            <w:tcW w:w="6521" w:type="dxa"/>
            <w:tcMar>
              <w:left w:w="0" w:type="dxa"/>
              <w:right w:w="0" w:type="dxa"/>
            </w:tcMar>
          </w:tcPr>
          <w:p w14:paraId="2D8992EC" w14:textId="0624A777"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Senior notes due 2028</w:t>
            </w:r>
          </w:p>
        </w:tc>
        <w:tc>
          <w:tcPr>
            <w:tcW w:w="850" w:type="dxa"/>
            <w:tcMar>
              <w:left w:w="0" w:type="dxa"/>
              <w:right w:w="0" w:type="dxa"/>
            </w:tcMar>
          </w:tcPr>
          <w:p w14:paraId="11D638CF" w14:textId="469CA559" w:rsidR="008F57AD" w:rsidRPr="008F57AD" w:rsidRDefault="008F57AD" w:rsidP="008F57AD">
            <w:pPr>
              <w:pStyle w:val="Tabletext"/>
              <w:jc w:val="center"/>
              <w:rPr>
                <w:rFonts w:ascii="IBM Plex Sans Light" w:hAnsi="IBM Plex Sans Light"/>
                <w:spacing w:val="-4"/>
                <w:szCs w:val="16"/>
              </w:rPr>
            </w:pPr>
          </w:p>
        </w:tc>
        <w:tc>
          <w:tcPr>
            <w:tcW w:w="1190" w:type="dxa"/>
            <w:tcMar>
              <w:left w:w="0" w:type="dxa"/>
              <w:right w:w="0" w:type="dxa"/>
            </w:tcMar>
          </w:tcPr>
          <w:p w14:paraId="624E2534" w14:textId="3830A4C0"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11.0</w:t>
            </w:r>
          </w:p>
        </w:tc>
        <w:tc>
          <w:tcPr>
            <w:tcW w:w="1361" w:type="dxa"/>
            <w:tcMar>
              <w:left w:w="0" w:type="dxa"/>
              <w:right w:w="0" w:type="dxa"/>
            </w:tcMar>
            <w:vAlign w:val="bottom"/>
          </w:tcPr>
          <w:p w14:paraId="00DFB3C0" w14:textId="19832DA2"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11.3</w:t>
            </w:r>
          </w:p>
        </w:tc>
      </w:tr>
      <w:tr w:rsidR="008F57AD" w:rsidRPr="00895810" w14:paraId="41E43F96" w14:textId="77777777" w:rsidTr="00024B10">
        <w:tc>
          <w:tcPr>
            <w:tcW w:w="6521" w:type="dxa"/>
            <w:tcMar>
              <w:left w:w="0" w:type="dxa"/>
              <w:right w:w="0" w:type="dxa"/>
            </w:tcMar>
          </w:tcPr>
          <w:p w14:paraId="623082EC" w14:textId="7922712E"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Senior notes due 2026</w:t>
            </w:r>
          </w:p>
        </w:tc>
        <w:tc>
          <w:tcPr>
            <w:tcW w:w="850" w:type="dxa"/>
            <w:tcMar>
              <w:left w:w="0" w:type="dxa"/>
              <w:right w:w="0" w:type="dxa"/>
            </w:tcMar>
          </w:tcPr>
          <w:p w14:paraId="7A1B6FCF" w14:textId="02802C0A" w:rsidR="008F57AD" w:rsidRPr="008F57AD" w:rsidRDefault="008F57AD" w:rsidP="008F57AD">
            <w:pPr>
              <w:pStyle w:val="Tabletext"/>
              <w:jc w:val="center"/>
              <w:rPr>
                <w:rFonts w:ascii="IBM Plex Sans Light" w:hAnsi="IBM Plex Sans Light"/>
                <w:spacing w:val="-4"/>
                <w:szCs w:val="16"/>
              </w:rPr>
            </w:pPr>
          </w:p>
        </w:tc>
        <w:tc>
          <w:tcPr>
            <w:tcW w:w="1190" w:type="dxa"/>
            <w:tcMar>
              <w:left w:w="0" w:type="dxa"/>
              <w:right w:w="0" w:type="dxa"/>
            </w:tcMar>
          </w:tcPr>
          <w:p w14:paraId="099D5914" w14:textId="3D2D1EAF"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60.7</w:t>
            </w:r>
          </w:p>
        </w:tc>
        <w:tc>
          <w:tcPr>
            <w:tcW w:w="1361" w:type="dxa"/>
            <w:tcMar>
              <w:left w:w="0" w:type="dxa"/>
              <w:right w:w="0" w:type="dxa"/>
            </w:tcMar>
            <w:vAlign w:val="bottom"/>
          </w:tcPr>
          <w:p w14:paraId="64F5B9C2" w14:textId="3D3FDD3A"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62.0</w:t>
            </w:r>
          </w:p>
        </w:tc>
      </w:tr>
      <w:tr w:rsidR="008F57AD" w:rsidRPr="00895810" w14:paraId="4818F48E" w14:textId="77777777" w:rsidTr="00024B10">
        <w:tc>
          <w:tcPr>
            <w:tcW w:w="6521" w:type="dxa"/>
            <w:tcBorders>
              <w:bottom w:val="single" w:sz="2" w:space="0" w:color="3D7FE0" w:themeColor="accent1"/>
            </w:tcBorders>
            <w:tcMar>
              <w:left w:w="0" w:type="dxa"/>
              <w:right w:w="0" w:type="dxa"/>
            </w:tcMar>
          </w:tcPr>
          <w:p w14:paraId="76199E4C" w14:textId="3D913191" w:rsidR="008F57AD" w:rsidRPr="009A55A1" w:rsidRDefault="008F57AD" w:rsidP="008F57AD">
            <w:pPr>
              <w:pStyle w:val="Tabletext"/>
              <w:spacing w:line="240" w:lineRule="auto"/>
              <w:rPr>
                <w:rFonts w:ascii="IBM Plex Sans Light" w:hAnsi="IBM Plex Sans Light"/>
                <w:spacing w:val="-4"/>
                <w:sz w:val="18"/>
                <w:szCs w:val="18"/>
              </w:rPr>
            </w:pPr>
            <w:r w:rsidRPr="009A55A1">
              <w:rPr>
                <w:rFonts w:ascii="IBM Plex Sans Light" w:hAnsi="IBM Plex Sans Light"/>
                <w:spacing w:val="-4"/>
                <w:sz w:val="18"/>
                <w:szCs w:val="18"/>
              </w:rPr>
              <w:t>Senior notes due 2024</w:t>
            </w:r>
          </w:p>
        </w:tc>
        <w:tc>
          <w:tcPr>
            <w:tcW w:w="850" w:type="dxa"/>
            <w:tcBorders>
              <w:bottom w:val="single" w:sz="2" w:space="0" w:color="3D7FE0" w:themeColor="accent1"/>
            </w:tcBorders>
            <w:tcMar>
              <w:left w:w="0" w:type="dxa"/>
              <w:right w:w="0" w:type="dxa"/>
            </w:tcMar>
          </w:tcPr>
          <w:p w14:paraId="4FDABC2D" w14:textId="0A2633E8" w:rsidR="008F57AD" w:rsidRPr="008F57AD" w:rsidRDefault="008F57AD" w:rsidP="008F57AD">
            <w:pPr>
              <w:pStyle w:val="Tabletext"/>
              <w:jc w:val="center"/>
              <w:rPr>
                <w:rFonts w:ascii="IBM Plex Sans Light" w:hAnsi="IBM Plex Sans Light"/>
                <w:spacing w:val="-4"/>
                <w:szCs w:val="16"/>
              </w:rPr>
            </w:pPr>
          </w:p>
        </w:tc>
        <w:tc>
          <w:tcPr>
            <w:tcW w:w="1190" w:type="dxa"/>
            <w:tcBorders>
              <w:bottom w:val="single" w:sz="2" w:space="0" w:color="3D7FE0" w:themeColor="accent1"/>
            </w:tcBorders>
            <w:tcMar>
              <w:left w:w="0" w:type="dxa"/>
              <w:right w:w="0" w:type="dxa"/>
            </w:tcMar>
          </w:tcPr>
          <w:p w14:paraId="1571D9D9" w14:textId="06FEFD9D"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 xml:space="preserve">– </w:t>
            </w:r>
          </w:p>
        </w:tc>
        <w:tc>
          <w:tcPr>
            <w:tcW w:w="1361" w:type="dxa"/>
            <w:tcBorders>
              <w:bottom w:val="single" w:sz="2" w:space="0" w:color="3D7FE0" w:themeColor="accent1"/>
            </w:tcBorders>
            <w:tcMar>
              <w:left w:w="0" w:type="dxa"/>
              <w:right w:w="0" w:type="dxa"/>
            </w:tcMar>
            <w:vAlign w:val="bottom"/>
          </w:tcPr>
          <w:p w14:paraId="7F9311A5" w14:textId="0362FC58" w:rsidR="008F57AD" w:rsidRPr="00F82829" w:rsidRDefault="008F57AD" w:rsidP="008F57AD">
            <w:pPr>
              <w:pStyle w:val="TableFiguresBold"/>
              <w:rPr>
                <w:rFonts w:ascii="IBM Plex Sans Light" w:hAnsi="IBM Plex Sans Light"/>
                <w:b w:val="0"/>
                <w:color w:val="auto"/>
                <w:sz w:val="18"/>
                <w:szCs w:val="22"/>
              </w:rPr>
            </w:pPr>
            <w:r w:rsidRPr="00F82829">
              <w:rPr>
                <w:rFonts w:ascii="IBM Plex Sans Light" w:hAnsi="IBM Plex Sans Light"/>
                <w:b w:val="0"/>
                <w:color w:val="auto"/>
                <w:sz w:val="18"/>
                <w:szCs w:val="22"/>
              </w:rPr>
              <w:t>112.4</w:t>
            </w:r>
          </w:p>
        </w:tc>
      </w:tr>
      <w:tr w:rsidR="008F57AD" w:rsidRPr="00895810" w14:paraId="4CF32A55" w14:textId="77777777" w:rsidTr="00024B10">
        <w:tc>
          <w:tcPr>
            <w:tcW w:w="6521" w:type="dxa"/>
            <w:tcBorders>
              <w:top w:val="single" w:sz="2" w:space="0" w:color="3D7FE0" w:themeColor="accent1"/>
              <w:bottom w:val="single" w:sz="2" w:space="0" w:color="3D7FE0" w:themeColor="accent1"/>
            </w:tcBorders>
            <w:tcMar>
              <w:left w:w="0" w:type="dxa"/>
              <w:right w:w="0" w:type="dxa"/>
            </w:tcMar>
            <w:vAlign w:val="bottom"/>
          </w:tcPr>
          <w:p w14:paraId="188481BA" w14:textId="77777777" w:rsidR="008F57AD" w:rsidRPr="00895810" w:rsidRDefault="008F57AD" w:rsidP="008F57AD">
            <w:pPr>
              <w:spacing w:after="0" w:line="240" w:lineRule="auto"/>
              <w:jc w:val="both"/>
              <w:rPr>
                <w:rFonts w:ascii="IBM Plex Sans Light" w:hAnsi="IBM Plex Sans Light"/>
                <w:b/>
                <w:szCs w:val="16"/>
              </w:rPr>
            </w:pPr>
          </w:p>
        </w:tc>
        <w:tc>
          <w:tcPr>
            <w:tcW w:w="850" w:type="dxa"/>
            <w:tcBorders>
              <w:top w:val="single" w:sz="2" w:space="0" w:color="3D7FE0" w:themeColor="accent1"/>
              <w:bottom w:val="single" w:sz="2" w:space="0" w:color="3D7FE0" w:themeColor="accent1"/>
            </w:tcBorders>
            <w:tcMar>
              <w:left w:w="0" w:type="dxa"/>
              <w:right w:w="0" w:type="dxa"/>
            </w:tcMar>
          </w:tcPr>
          <w:p w14:paraId="2E7168B4" w14:textId="4948533F" w:rsidR="008F57AD" w:rsidRPr="008F57AD" w:rsidRDefault="008F57AD" w:rsidP="008F57AD">
            <w:pPr>
              <w:pStyle w:val="Tabletext"/>
              <w:jc w:val="center"/>
              <w:rPr>
                <w:rFonts w:ascii="IBM Plex Sans Light" w:hAnsi="IBM Plex Sans Light"/>
                <w:spacing w:val="-4"/>
                <w:szCs w:val="16"/>
              </w:rPr>
            </w:pPr>
          </w:p>
        </w:tc>
        <w:tc>
          <w:tcPr>
            <w:tcW w:w="1190" w:type="dxa"/>
            <w:tcBorders>
              <w:top w:val="single" w:sz="2" w:space="0" w:color="3D7FE0" w:themeColor="accent1"/>
              <w:bottom w:val="single" w:sz="2" w:space="0" w:color="3D7FE0" w:themeColor="accent1"/>
            </w:tcBorders>
            <w:tcMar>
              <w:left w:w="0" w:type="dxa"/>
              <w:right w:w="0" w:type="dxa"/>
            </w:tcMar>
          </w:tcPr>
          <w:p w14:paraId="4FCA9AB4" w14:textId="25F6D64C" w:rsidR="008F57AD" w:rsidRPr="009A55A1" w:rsidRDefault="008F57AD" w:rsidP="008F57AD">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1,515.9</w:t>
            </w:r>
          </w:p>
        </w:tc>
        <w:tc>
          <w:tcPr>
            <w:tcW w:w="1361" w:type="dxa"/>
            <w:tcBorders>
              <w:top w:val="single" w:sz="2" w:space="0" w:color="3D7FE0" w:themeColor="accent1"/>
              <w:bottom w:val="single" w:sz="2" w:space="0" w:color="3D7FE0" w:themeColor="accent1"/>
            </w:tcBorders>
            <w:tcMar>
              <w:left w:w="0" w:type="dxa"/>
              <w:right w:w="0" w:type="dxa"/>
            </w:tcMar>
            <w:vAlign w:val="bottom"/>
          </w:tcPr>
          <w:p w14:paraId="049B17F8" w14:textId="06A96943" w:rsidR="008F57AD" w:rsidRPr="00024B10" w:rsidRDefault="008F57AD" w:rsidP="008F57AD">
            <w:pPr>
              <w:pStyle w:val="TableFiguresBold"/>
              <w:rPr>
                <w:rFonts w:ascii="IBM Plex Sans Light" w:hAnsi="IBM Plex Sans Light"/>
                <w:b w:val="0"/>
                <w:color w:val="auto"/>
                <w:sz w:val="18"/>
                <w:szCs w:val="22"/>
              </w:rPr>
            </w:pPr>
            <w:r w:rsidRPr="00024B10">
              <w:rPr>
                <w:rFonts w:ascii="IBM Plex Sans Light" w:hAnsi="IBM Plex Sans Light"/>
                <w:b w:val="0"/>
                <w:color w:val="auto"/>
                <w:sz w:val="18"/>
                <w:szCs w:val="22"/>
              </w:rPr>
              <w:t>1,646.4</w:t>
            </w:r>
          </w:p>
        </w:tc>
      </w:tr>
      <w:tr w:rsidR="009A55A1" w:rsidRPr="00895810" w14:paraId="695CF755" w14:textId="77777777" w:rsidTr="00024B10">
        <w:tc>
          <w:tcPr>
            <w:tcW w:w="6521" w:type="dxa"/>
            <w:tcBorders>
              <w:top w:val="single" w:sz="2" w:space="0" w:color="3D7FE0" w:themeColor="accent1"/>
              <w:bottom w:val="single" w:sz="2" w:space="0" w:color="3D7FE0" w:themeColor="accent1"/>
            </w:tcBorders>
            <w:tcMar>
              <w:left w:w="0" w:type="dxa"/>
              <w:right w:w="0" w:type="dxa"/>
            </w:tcMar>
            <w:vAlign w:val="bottom"/>
          </w:tcPr>
          <w:p w14:paraId="47633AAF" w14:textId="29FB1230" w:rsidR="009A55A1" w:rsidRPr="00895810" w:rsidRDefault="009A55A1" w:rsidP="009A55A1">
            <w:pPr>
              <w:pStyle w:val="Tabletext"/>
              <w:spacing w:line="240" w:lineRule="auto"/>
              <w:rPr>
                <w:rFonts w:ascii="IBM Plex Sans Light" w:hAnsi="IBM Plex Sans Light"/>
                <w:b/>
                <w:szCs w:val="16"/>
              </w:rPr>
            </w:pPr>
            <w:r w:rsidRPr="009A55A1">
              <w:rPr>
                <w:rFonts w:ascii="IBM Plex Sans Light" w:hAnsi="IBM Plex Sans Light"/>
                <w:spacing w:val="-4"/>
                <w:sz w:val="18"/>
                <w:szCs w:val="18"/>
              </w:rPr>
              <w:t>Senior notes due 2024 – shown in current liabilities</w:t>
            </w:r>
          </w:p>
        </w:tc>
        <w:tc>
          <w:tcPr>
            <w:tcW w:w="850" w:type="dxa"/>
            <w:tcBorders>
              <w:top w:val="single" w:sz="2" w:space="0" w:color="3D7FE0" w:themeColor="accent1"/>
              <w:bottom w:val="single" w:sz="2" w:space="0" w:color="3D7FE0" w:themeColor="accent1"/>
            </w:tcBorders>
            <w:tcMar>
              <w:left w:w="0" w:type="dxa"/>
              <w:right w:w="0" w:type="dxa"/>
            </w:tcMar>
            <w:vAlign w:val="bottom"/>
          </w:tcPr>
          <w:p w14:paraId="44CF3765" w14:textId="77777777" w:rsidR="009A55A1" w:rsidRDefault="009A55A1" w:rsidP="009A55A1">
            <w:pPr>
              <w:pStyle w:val="Tabletext"/>
              <w:jc w:val="center"/>
              <w:rPr>
                <w:rFonts w:ascii="IBM Plex Sans Light" w:hAnsi="IBM Plex Sans Light"/>
                <w:spacing w:val="-4"/>
                <w:szCs w:val="16"/>
              </w:rPr>
            </w:pPr>
          </w:p>
        </w:tc>
        <w:tc>
          <w:tcPr>
            <w:tcW w:w="1190" w:type="dxa"/>
            <w:tcBorders>
              <w:top w:val="single" w:sz="2" w:space="0" w:color="3D7FE0" w:themeColor="accent1"/>
              <w:bottom w:val="single" w:sz="2" w:space="0" w:color="3D7FE0" w:themeColor="accent1"/>
            </w:tcBorders>
            <w:tcMar>
              <w:left w:w="0" w:type="dxa"/>
              <w:right w:w="0" w:type="dxa"/>
            </w:tcMar>
          </w:tcPr>
          <w:p w14:paraId="5C8D0624" w14:textId="0987F861" w:rsidR="009A55A1" w:rsidRPr="009A55A1" w:rsidRDefault="009A55A1" w:rsidP="009A55A1">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108.6</w:t>
            </w:r>
          </w:p>
        </w:tc>
        <w:tc>
          <w:tcPr>
            <w:tcW w:w="1361" w:type="dxa"/>
            <w:tcBorders>
              <w:top w:val="single" w:sz="2" w:space="0" w:color="3D7FE0" w:themeColor="accent1"/>
              <w:bottom w:val="single" w:sz="2" w:space="0" w:color="3D7FE0" w:themeColor="accent1"/>
            </w:tcBorders>
            <w:tcMar>
              <w:left w:w="0" w:type="dxa"/>
              <w:right w:w="0" w:type="dxa"/>
            </w:tcMar>
            <w:vAlign w:val="bottom"/>
          </w:tcPr>
          <w:p w14:paraId="293174DC" w14:textId="7A03E496" w:rsidR="009A55A1" w:rsidRPr="00024B10" w:rsidRDefault="009A55A1" w:rsidP="009A55A1">
            <w:pPr>
              <w:pStyle w:val="TableFiguresBold"/>
              <w:rPr>
                <w:rFonts w:ascii="IBM Plex Sans Light" w:hAnsi="IBM Plex Sans Light"/>
                <w:b w:val="0"/>
                <w:color w:val="auto"/>
                <w:sz w:val="18"/>
                <w:szCs w:val="22"/>
              </w:rPr>
            </w:pPr>
            <w:r w:rsidRPr="00024B10">
              <w:rPr>
                <w:b w:val="0"/>
              </w:rPr>
              <w:t>–</w:t>
            </w:r>
          </w:p>
        </w:tc>
      </w:tr>
      <w:tr w:rsidR="009A55A1" w:rsidRPr="00895810" w14:paraId="13633328" w14:textId="77777777" w:rsidTr="00024B10">
        <w:tc>
          <w:tcPr>
            <w:tcW w:w="6521" w:type="dxa"/>
            <w:tcBorders>
              <w:top w:val="single" w:sz="2" w:space="0" w:color="3D7FE0" w:themeColor="accent1"/>
              <w:bottom w:val="single" w:sz="4" w:space="0" w:color="3D7FE0" w:themeColor="accent1"/>
            </w:tcBorders>
            <w:tcMar>
              <w:left w:w="0" w:type="dxa"/>
              <w:right w:w="0" w:type="dxa"/>
            </w:tcMar>
            <w:vAlign w:val="bottom"/>
          </w:tcPr>
          <w:p w14:paraId="2AD42B92" w14:textId="77777777" w:rsidR="009A55A1" w:rsidRPr="00895810" w:rsidRDefault="009A55A1" w:rsidP="009A55A1">
            <w:pPr>
              <w:spacing w:after="0" w:line="240" w:lineRule="auto"/>
              <w:jc w:val="both"/>
              <w:rPr>
                <w:rFonts w:ascii="IBM Plex Sans Light" w:hAnsi="IBM Plex Sans Light"/>
                <w:b/>
                <w:szCs w:val="16"/>
              </w:rPr>
            </w:pPr>
          </w:p>
        </w:tc>
        <w:tc>
          <w:tcPr>
            <w:tcW w:w="850" w:type="dxa"/>
            <w:tcBorders>
              <w:top w:val="single" w:sz="2" w:space="0" w:color="3D7FE0" w:themeColor="accent1"/>
              <w:bottom w:val="single" w:sz="4" w:space="0" w:color="3D7FE0" w:themeColor="accent1"/>
            </w:tcBorders>
            <w:tcMar>
              <w:left w:w="0" w:type="dxa"/>
              <w:right w:w="0" w:type="dxa"/>
            </w:tcMar>
            <w:vAlign w:val="bottom"/>
          </w:tcPr>
          <w:p w14:paraId="28983B9C" w14:textId="77777777" w:rsidR="009A55A1" w:rsidRDefault="009A55A1" w:rsidP="009A55A1">
            <w:pPr>
              <w:pStyle w:val="Tabletext"/>
              <w:jc w:val="center"/>
              <w:rPr>
                <w:rFonts w:ascii="IBM Plex Sans Light" w:hAnsi="IBM Plex Sans Light"/>
                <w:spacing w:val="-4"/>
                <w:szCs w:val="16"/>
              </w:rPr>
            </w:pPr>
          </w:p>
        </w:tc>
        <w:tc>
          <w:tcPr>
            <w:tcW w:w="1190" w:type="dxa"/>
            <w:tcBorders>
              <w:top w:val="single" w:sz="2" w:space="0" w:color="3D7FE0" w:themeColor="accent1"/>
              <w:bottom w:val="single" w:sz="4" w:space="0" w:color="3D7FE0" w:themeColor="accent1"/>
            </w:tcBorders>
            <w:tcMar>
              <w:left w:w="0" w:type="dxa"/>
              <w:right w:w="0" w:type="dxa"/>
            </w:tcMar>
          </w:tcPr>
          <w:p w14:paraId="733392A8" w14:textId="405061C0" w:rsidR="009A55A1" w:rsidRPr="009A55A1" w:rsidRDefault="009A55A1" w:rsidP="009A55A1">
            <w:pPr>
              <w:pStyle w:val="TableFiguresBold"/>
              <w:rPr>
                <w:rFonts w:ascii="IBM Plex Sans Medium" w:hAnsi="IBM Plex Sans Medium"/>
                <w:color w:val="3D7FE0" w:themeColor="accent1"/>
                <w:spacing w:val="-4"/>
                <w:sz w:val="18"/>
                <w:szCs w:val="18"/>
              </w:rPr>
            </w:pPr>
            <w:r w:rsidRPr="009A55A1">
              <w:rPr>
                <w:rFonts w:ascii="IBM Plex Sans Medium" w:hAnsi="IBM Plex Sans Medium"/>
                <w:color w:val="3D7FE0" w:themeColor="accent1"/>
                <w:spacing w:val="-4"/>
                <w:sz w:val="18"/>
                <w:szCs w:val="18"/>
              </w:rPr>
              <w:t>1,624.5</w:t>
            </w:r>
          </w:p>
        </w:tc>
        <w:tc>
          <w:tcPr>
            <w:tcW w:w="1361" w:type="dxa"/>
            <w:tcBorders>
              <w:top w:val="single" w:sz="2" w:space="0" w:color="3D7FE0" w:themeColor="accent1"/>
              <w:bottom w:val="single" w:sz="4" w:space="0" w:color="3D7FE0" w:themeColor="accent1"/>
            </w:tcBorders>
            <w:tcMar>
              <w:left w:w="0" w:type="dxa"/>
              <w:right w:w="0" w:type="dxa"/>
            </w:tcMar>
            <w:vAlign w:val="bottom"/>
          </w:tcPr>
          <w:p w14:paraId="1C8E1FB5" w14:textId="453E90F5" w:rsidR="009A55A1" w:rsidRPr="00024B10" w:rsidRDefault="009A55A1" w:rsidP="009A55A1">
            <w:pPr>
              <w:pStyle w:val="TableFiguresBold"/>
              <w:rPr>
                <w:rFonts w:ascii="IBM Plex Sans Light" w:hAnsi="IBM Plex Sans Light"/>
                <w:b w:val="0"/>
                <w:color w:val="auto"/>
                <w:sz w:val="18"/>
                <w:szCs w:val="22"/>
              </w:rPr>
            </w:pPr>
            <w:r w:rsidRPr="00024B10">
              <w:rPr>
                <w:rFonts w:ascii="IBM Plex Sans Light" w:hAnsi="IBM Plex Sans Light"/>
                <w:b w:val="0"/>
                <w:color w:val="auto"/>
                <w:sz w:val="18"/>
                <w:szCs w:val="22"/>
              </w:rPr>
              <w:t>1,646.4</w:t>
            </w:r>
          </w:p>
        </w:tc>
      </w:tr>
    </w:tbl>
    <w:p w14:paraId="5E98E240" w14:textId="77777777" w:rsidR="0093553D" w:rsidRDefault="0093553D" w:rsidP="0093553D">
      <w:pPr>
        <w:spacing w:after="60" w:line="240" w:lineRule="auto"/>
        <w:jc w:val="both"/>
        <w:rPr>
          <w:rFonts w:ascii="IBM Plex Sans Light" w:hAnsi="IBM Plex Sans Light" w:cs="Arial"/>
          <w:b/>
          <w:color w:val="3D7FE0" w:themeColor="accent1"/>
          <w:szCs w:val="18"/>
        </w:rPr>
      </w:pPr>
    </w:p>
    <w:p w14:paraId="2F3189BE" w14:textId="662DE51C" w:rsidR="008F57AD" w:rsidRPr="007C5135" w:rsidRDefault="008F57AD" w:rsidP="008F57AD">
      <w:pPr>
        <w:spacing w:after="120" w:line="240" w:lineRule="auto"/>
        <w:ind w:left="284" w:right="-255" w:hanging="284"/>
        <w:rPr>
          <w:rFonts w:ascii="IBM Plex Sans Light" w:hAnsi="IBM Plex Sans Light"/>
          <w:sz w:val="16"/>
          <w:szCs w:val="16"/>
        </w:rPr>
      </w:pPr>
      <w:proofErr w:type="spellStart"/>
      <w:r w:rsidRPr="007C5135">
        <w:rPr>
          <w:rFonts w:ascii="IBM Plex Sans Light" w:hAnsi="IBM Plex Sans Light"/>
          <w:sz w:val="16"/>
          <w:szCs w:val="16"/>
        </w:rPr>
        <w:t>a</w:t>
      </w:r>
      <w:proofErr w:type="spellEnd"/>
      <w:r w:rsidRPr="007C5135">
        <w:rPr>
          <w:rFonts w:ascii="IBM Plex Sans Light" w:hAnsi="IBM Plex Sans Light"/>
          <w:sz w:val="16"/>
          <w:szCs w:val="16"/>
        </w:rPr>
        <w:tab/>
        <w:t xml:space="preserve">On 31 August 2023 the Group issued £100m of bonds (at a discount of £6.7m), adding to the existing £200m, 7.25% sterling bond issue due 2028. The newly issued bonds therefore having an effective interest rate of 9.1%. The proceeds were used to redeem £88.8m of the 6% sterling bonds due in 2026, and £11.7m of the 3.5% sterling bonds due in 2025 by way of a tender. The tendered bonds were redeemed at a discount, and after associated costs, the Group recognised a net gain of £4.3m which is shown in finance income in note 6, this discount has been excluded from the Group’s </w:t>
      </w:r>
      <w:r w:rsidR="006B0B5A">
        <w:rPr>
          <w:rFonts w:ascii="IBM Plex Sans Light" w:hAnsi="IBM Plex Sans Light"/>
          <w:sz w:val="16"/>
          <w:szCs w:val="16"/>
        </w:rPr>
        <w:t>A</w:t>
      </w:r>
      <w:r w:rsidRPr="007C5135">
        <w:rPr>
          <w:rFonts w:ascii="IBM Plex Sans Light" w:hAnsi="IBM Plex Sans Light"/>
          <w:sz w:val="16"/>
          <w:szCs w:val="16"/>
        </w:rPr>
        <w:t xml:space="preserve">djusted earnings as shown in note 9A. </w:t>
      </w:r>
    </w:p>
    <w:p w14:paraId="1A7E0FC6" w14:textId="77777777" w:rsidR="008F57AD" w:rsidRPr="007C5135" w:rsidRDefault="008F57AD" w:rsidP="008F57AD">
      <w:pPr>
        <w:spacing w:after="120" w:line="240" w:lineRule="auto"/>
        <w:ind w:left="284" w:right="-255" w:hanging="284"/>
        <w:rPr>
          <w:rFonts w:ascii="IBM Plex Sans Light" w:hAnsi="IBM Plex Sans Light"/>
          <w:sz w:val="16"/>
          <w:szCs w:val="16"/>
        </w:rPr>
      </w:pPr>
      <w:r w:rsidRPr="007C5135">
        <w:rPr>
          <w:rFonts w:ascii="IBM Plex Sans Light" w:hAnsi="IBM Plex Sans Light"/>
          <w:sz w:val="16"/>
          <w:szCs w:val="16"/>
        </w:rPr>
        <w:t>b</w:t>
      </w:r>
      <w:r w:rsidRPr="007C5135">
        <w:rPr>
          <w:rFonts w:ascii="IBM Plex Sans Light" w:hAnsi="IBM Plex Sans Light"/>
          <w:sz w:val="16"/>
          <w:szCs w:val="16"/>
        </w:rPr>
        <w:tab/>
        <w:t>The coupon is linked to two sustainability performance targets, both of which will be tested in December 2025 against a 2019 benchmark. If the targets are not met, a total of 37.5 basis points per annum, or €2.625m (£2.3m) per target, will be payable in addition to the final year’s coupon. The Group has made certain assumptions which support not increasing the effective interest rate, as a result of the possibility of failing to meet the targets. Planned future initiatives which will assist the Group in achieving the targets include the introduction of energy efficient projects, the generation of additional on or offsite energy and driving compliance with relevant energy performance legislation. The Group continues to make steady progress against both targets.</w:t>
      </w:r>
    </w:p>
    <w:p w14:paraId="75B29689" w14:textId="77777777" w:rsidR="007B312D" w:rsidRDefault="007B312D" w:rsidP="00D00951">
      <w:pPr>
        <w:pStyle w:val="Heading2SpaceBefore"/>
        <w:spacing w:before="0"/>
        <w:rPr>
          <w:rFonts w:ascii="IBM Plex Sans Light" w:hAnsi="IBM Plex Sans Light"/>
          <w:color w:val="3D7FE0" w:themeColor="accent1"/>
        </w:rPr>
      </w:pPr>
    </w:p>
    <w:p w14:paraId="35A8EBA7" w14:textId="2DE1D0F7" w:rsidR="00C234F0" w:rsidRPr="00895810" w:rsidRDefault="00546749" w:rsidP="00D00951">
      <w:pPr>
        <w:pStyle w:val="Heading2SpaceBefore"/>
        <w:spacing w:before="0"/>
        <w:rPr>
          <w:rFonts w:ascii="IBM Plex Sans Light" w:hAnsi="IBM Plex Sans Light"/>
          <w:color w:val="3D7FE0" w:themeColor="accent1"/>
        </w:rPr>
      </w:pPr>
      <w:r w:rsidRPr="00895810">
        <w:rPr>
          <w:rFonts w:ascii="IBM Plex Sans Light" w:hAnsi="IBM Plex Sans Light"/>
          <w:color w:val="3D7FE0" w:themeColor="accent1"/>
        </w:rPr>
        <w:t>B</w:t>
      </w:r>
      <w:r w:rsidR="00C234F0" w:rsidRPr="00895810">
        <w:rPr>
          <w:rFonts w:ascii="IBM Plex Sans Light" w:hAnsi="IBM Plex Sans Light"/>
          <w:color w:val="3D7FE0" w:themeColor="accent1"/>
        </w:rPr>
        <w:t>.</w:t>
      </w:r>
      <w:r w:rsidR="003B5C8F" w:rsidRPr="00895810">
        <w:rPr>
          <w:rFonts w:ascii="IBM Plex Sans Light" w:hAnsi="IBM Plex Sans Light"/>
          <w:color w:val="3D7FE0" w:themeColor="accent1"/>
        </w:rPr>
        <w:t xml:space="preserve"> </w:t>
      </w:r>
      <w:r w:rsidR="00C62996" w:rsidRPr="00895810">
        <w:rPr>
          <w:rFonts w:ascii="IBM Plex Sans Light" w:hAnsi="IBM Plex Sans Light"/>
          <w:color w:val="3D7FE0" w:themeColor="accent1"/>
        </w:rPr>
        <w:t>UNDRAWN COMMITTED FACILITIES</w:t>
      </w:r>
    </w:p>
    <w:p w14:paraId="3C3127CD" w14:textId="59229A25" w:rsidR="006F0A78" w:rsidRPr="00895810" w:rsidRDefault="008F57AD" w:rsidP="006F0A78">
      <w:pPr>
        <w:rPr>
          <w:rFonts w:ascii="IBM Plex Sans Light" w:hAnsi="IBM Plex Sans Light"/>
        </w:rPr>
      </w:pPr>
      <w:r w:rsidRPr="008F57AD">
        <w:rPr>
          <w:rFonts w:ascii="IBM Plex Sans Light" w:hAnsi="IBM Plex Sans Light"/>
        </w:rPr>
        <w:t>The Group has the following revolving credit facilities (RCF), which are all in sterling unless otherwise indicated, expiring as follows:</w:t>
      </w:r>
    </w:p>
    <w:tbl>
      <w:tblPr>
        <w:tblW w:w="9922" w:type="dxa"/>
        <w:tblLayout w:type="fixed"/>
        <w:tblLook w:val="01E0" w:firstRow="1" w:lastRow="1" w:firstColumn="1" w:lastColumn="1" w:noHBand="0" w:noVBand="0"/>
      </w:tblPr>
      <w:tblGrid>
        <w:gridCol w:w="6521"/>
        <w:gridCol w:w="850"/>
        <w:gridCol w:w="1190"/>
        <w:gridCol w:w="1361"/>
      </w:tblGrid>
      <w:tr w:rsidR="00BE7574" w:rsidRPr="00895810" w14:paraId="01CAE450" w14:textId="77777777" w:rsidTr="00024B10">
        <w:tc>
          <w:tcPr>
            <w:tcW w:w="6521" w:type="dxa"/>
            <w:tcMar>
              <w:left w:w="0" w:type="dxa"/>
              <w:right w:w="0" w:type="dxa"/>
            </w:tcMar>
            <w:vAlign w:val="bottom"/>
          </w:tcPr>
          <w:p w14:paraId="5BDB2B1E" w14:textId="77777777" w:rsidR="00BE7574" w:rsidRPr="00895810" w:rsidRDefault="00BE7574" w:rsidP="003F2C4C">
            <w:pPr>
              <w:pStyle w:val="TableColHeads"/>
              <w:rPr>
                <w:rFonts w:ascii="IBM Plex Sans Light" w:hAnsi="IBM Plex Sans Light" w:cs="Arial"/>
                <w:sz w:val="16"/>
                <w:szCs w:val="16"/>
              </w:rPr>
            </w:pPr>
          </w:p>
        </w:tc>
        <w:tc>
          <w:tcPr>
            <w:tcW w:w="850" w:type="dxa"/>
            <w:tcMar>
              <w:left w:w="0" w:type="dxa"/>
              <w:right w:w="0" w:type="dxa"/>
            </w:tcMar>
            <w:vAlign w:val="bottom"/>
          </w:tcPr>
          <w:p w14:paraId="02120142" w14:textId="77777777" w:rsidR="00BE7574" w:rsidRPr="00895810" w:rsidRDefault="00BE7574" w:rsidP="00361E26">
            <w:pPr>
              <w:pStyle w:val="TableColHeads"/>
              <w:jc w:val="center"/>
              <w:rPr>
                <w:rFonts w:ascii="IBM Plex Sans Light" w:hAnsi="IBM Plex Sans Light" w:cs="Arial"/>
                <w:sz w:val="16"/>
                <w:szCs w:val="16"/>
              </w:rPr>
            </w:pPr>
          </w:p>
        </w:tc>
        <w:tc>
          <w:tcPr>
            <w:tcW w:w="1190" w:type="dxa"/>
            <w:tcMar>
              <w:left w:w="0" w:type="dxa"/>
              <w:right w:w="0" w:type="dxa"/>
            </w:tcMar>
            <w:vAlign w:val="bottom"/>
          </w:tcPr>
          <w:p w14:paraId="07C6FA60" w14:textId="0F10E9F1" w:rsidR="00BE7574" w:rsidRPr="00895810" w:rsidRDefault="00785AC2" w:rsidP="003F2C4C">
            <w:pPr>
              <w:pStyle w:val="TableColHeadsBold"/>
              <w:rPr>
                <w:rFonts w:ascii="IBM Plex Sans Light" w:hAnsi="IBM Plex Sans Light"/>
                <w:color w:val="3D7FE0" w:themeColor="accent1"/>
                <w:szCs w:val="14"/>
              </w:rPr>
            </w:pPr>
            <w:r>
              <w:rPr>
                <w:rFonts w:ascii="IBM Plex Sans Light" w:hAnsi="IBM Plex Sans Light"/>
                <w:color w:val="3D7FE0" w:themeColor="accent1"/>
                <w:szCs w:val="14"/>
              </w:rPr>
              <w:t>2023</w:t>
            </w:r>
            <w:r w:rsidR="00BE7574" w:rsidRPr="00895810">
              <w:rPr>
                <w:rFonts w:ascii="IBM Plex Sans Light" w:hAnsi="IBM Plex Sans Light"/>
                <w:color w:val="3D7FE0" w:themeColor="accent1"/>
                <w:szCs w:val="14"/>
              </w:rPr>
              <w:t xml:space="preserve"> </w:t>
            </w:r>
          </w:p>
        </w:tc>
        <w:tc>
          <w:tcPr>
            <w:tcW w:w="1361" w:type="dxa"/>
            <w:tcMar>
              <w:left w:w="0" w:type="dxa"/>
              <w:right w:w="0" w:type="dxa"/>
            </w:tcMar>
            <w:vAlign w:val="bottom"/>
          </w:tcPr>
          <w:p w14:paraId="777FED98" w14:textId="40D8E94D" w:rsidR="00BE7574" w:rsidRPr="00895810" w:rsidRDefault="006E7EB0" w:rsidP="003F2C4C">
            <w:pPr>
              <w:pStyle w:val="TableColHeads"/>
              <w:rPr>
                <w:rFonts w:ascii="IBM Plex Sans Light" w:hAnsi="IBM Plex Sans Light"/>
                <w:szCs w:val="14"/>
              </w:rPr>
            </w:pPr>
            <w:r>
              <w:rPr>
                <w:rFonts w:ascii="IBM Plex Sans Light" w:hAnsi="IBM Plex Sans Light"/>
                <w:szCs w:val="14"/>
              </w:rPr>
              <w:t>2022</w:t>
            </w:r>
            <w:r w:rsidR="00BE7574" w:rsidRPr="00895810">
              <w:rPr>
                <w:rFonts w:ascii="IBM Plex Sans Light" w:hAnsi="IBM Plex Sans Light"/>
                <w:szCs w:val="14"/>
              </w:rPr>
              <w:t xml:space="preserve"> </w:t>
            </w:r>
          </w:p>
        </w:tc>
      </w:tr>
      <w:tr w:rsidR="00BE7574" w:rsidRPr="00895810" w14:paraId="26B35ACD" w14:textId="77777777" w:rsidTr="00024B10">
        <w:tc>
          <w:tcPr>
            <w:tcW w:w="6521" w:type="dxa"/>
            <w:tcBorders>
              <w:bottom w:val="single" w:sz="2" w:space="0" w:color="3D7FE0" w:themeColor="accent1"/>
            </w:tcBorders>
            <w:tcMar>
              <w:left w:w="0" w:type="dxa"/>
              <w:right w:w="0" w:type="dxa"/>
            </w:tcMar>
            <w:vAlign w:val="bottom"/>
          </w:tcPr>
          <w:p w14:paraId="5FA57E3E" w14:textId="06E13842" w:rsidR="00BE7574" w:rsidRPr="00895810" w:rsidRDefault="00BE7574" w:rsidP="00705D22">
            <w:pPr>
              <w:pStyle w:val="TableColHeads"/>
              <w:jc w:val="left"/>
              <w:rPr>
                <w:rFonts w:ascii="IBM Plex Sans Light" w:hAnsi="IBM Plex Sans Light" w:cs="Arial"/>
                <w:b/>
                <w:bCs/>
                <w:sz w:val="16"/>
                <w:szCs w:val="16"/>
              </w:rPr>
            </w:pPr>
          </w:p>
        </w:tc>
        <w:tc>
          <w:tcPr>
            <w:tcW w:w="850" w:type="dxa"/>
            <w:tcBorders>
              <w:bottom w:val="single" w:sz="2" w:space="0" w:color="3D7FE0" w:themeColor="accent1"/>
            </w:tcBorders>
            <w:tcMar>
              <w:left w:w="0" w:type="dxa"/>
              <w:right w:w="0" w:type="dxa"/>
            </w:tcMar>
            <w:vAlign w:val="bottom"/>
          </w:tcPr>
          <w:p w14:paraId="6AE8FEAB" w14:textId="4BF16FFC" w:rsidR="00BE7574" w:rsidRPr="00895810" w:rsidRDefault="006B6ABF" w:rsidP="00024B10">
            <w:pPr>
              <w:pStyle w:val="TableColHeads"/>
              <w:rPr>
                <w:rFonts w:ascii="IBM Plex Sans Light" w:hAnsi="IBM Plex Sans Light" w:cs="Arial"/>
                <w:sz w:val="16"/>
                <w:szCs w:val="16"/>
              </w:rPr>
            </w:pPr>
            <w:r w:rsidRPr="00D853E0">
              <w:rPr>
                <w:rFonts w:ascii="IBM Plex Sans Light" w:hAnsi="IBM Plex Sans Light"/>
                <w:bCs/>
              </w:rPr>
              <w:t>Footnote</w:t>
            </w:r>
          </w:p>
        </w:tc>
        <w:tc>
          <w:tcPr>
            <w:tcW w:w="1190" w:type="dxa"/>
            <w:tcBorders>
              <w:bottom w:val="single" w:sz="2" w:space="0" w:color="3D7FE0" w:themeColor="accent1"/>
            </w:tcBorders>
            <w:tcMar>
              <w:left w:w="0" w:type="dxa"/>
              <w:right w:w="0" w:type="dxa"/>
            </w:tcMar>
            <w:vAlign w:val="bottom"/>
          </w:tcPr>
          <w:p w14:paraId="077ED76B" w14:textId="77777777" w:rsidR="00BE7574" w:rsidRPr="00895810" w:rsidRDefault="00BE7574" w:rsidP="003F2C4C">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c>
          <w:tcPr>
            <w:tcW w:w="1361" w:type="dxa"/>
            <w:tcBorders>
              <w:bottom w:val="single" w:sz="2" w:space="0" w:color="3D7FE0" w:themeColor="accent1"/>
            </w:tcBorders>
            <w:tcMar>
              <w:left w:w="0" w:type="dxa"/>
              <w:right w:w="0" w:type="dxa"/>
            </w:tcMar>
            <w:vAlign w:val="bottom"/>
          </w:tcPr>
          <w:p w14:paraId="281AC990" w14:textId="77777777" w:rsidR="00BE7574" w:rsidRPr="00895810" w:rsidRDefault="00BE7574" w:rsidP="003F2C4C">
            <w:pPr>
              <w:pStyle w:val="TableColHeads"/>
              <w:rPr>
                <w:rFonts w:ascii="IBM Plex Sans Light" w:hAnsi="IBM Plex Sans Light"/>
                <w:szCs w:val="14"/>
              </w:rPr>
            </w:pPr>
            <w:r w:rsidRPr="00895810">
              <w:rPr>
                <w:rFonts w:ascii="IBM Plex Sans Light" w:hAnsi="IBM Plex Sans Light"/>
                <w:szCs w:val="14"/>
              </w:rPr>
              <w:t xml:space="preserve">£m </w:t>
            </w:r>
          </w:p>
        </w:tc>
      </w:tr>
      <w:tr w:rsidR="008F57AD" w:rsidRPr="00895810" w14:paraId="726A47F2" w14:textId="77777777" w:rsidTr="00024B10">
        <w:tc>
          <w:tcPr>
            <w:tcW w:w="6521" w:type="dxa"/>
            <w:tcMar>
              <w:left w:w="0" w:type="dxa"/>
              <w:right w:w="0" w:type="dxa"/>
            </w:tcMar>
            <w:vAlign w:val="bottom"/>
          </w:tcPr>
          <w:p w14:paraId="24519736" w14:textId="2E1728E2" w:rsidR="008F57AD" w:rsidRPr="00895810" w:rsidRDefault="008F57AD" w:rsidP="008F57AD">
            <w:pPr>
              <w:pStyle w:val="Tabletext"/>
              <w:spacing w:line="240" w:lineRule="auto"/>
              <w:rPr>
                <w:rFonts w:ascii="IBM Plex Sans Light" w:hAnsi="IBM Plex Sans Light"/>
                <w:spacing w:val="-4"/>
                <w:sz w:val="18"/>
                <w:szCs w:val="18"/>
              </w:rPr>
            </w:pPr>
            <w:r w:rsidRPr="00895810">
              <w:rPr>
                <w:rFonts w:ascii="IBM Plex Sans Light" w:hAnsi="IBM Plex Sans Light"/>
                <w:spacing w:val="-4"/>
                <w:sz w:val="18"/>
                <w:szCs w:val="18"/>
              </w:rPr>
              <w:lastRenderedPageBreak/>
              <w:t>2021 RCF expiring 2024</w:t>
            </w:r>
          </w:p>
        </w:tc>
        <w:tc>
          <w:tcPr>
            <w:tcW w:w="850" w:type="dxa"/>
            <w:tcMar>
              <w:left w:w="0" w:type="dxa"/>
              <w:right w:w="0" w:type="dxa"/>
            </w:tcMar>
            <w:vAlign w:val="bottom"/>
          </w:tcPr>
          <w:p w14:paraId="6922C8C8" w14:textId="5F6F700B" w:rsidR="008F57AD" w:rsidRPr="00895810" w:rsidRDefault="008F57AD" w:rsidP="008F57AD">
            <w:pPr>
              <w:pStyle w:val="Tabletext"/>
              <w:jc w:val="center"/>
              <w:rPr>
                <w:rFonts w:ascii="IBM Plex Sans Light" w:hAnsi="IBM Plex Sans Light"/>
                <w:spacing w:val="-4"/>
                <w:szCs w:val="16"/>
              </w:rPr>
            </w:pPr>
          </w:p>
        </w:tc>
        <w:tc>
          <w:tcPr>
            <w:tcW w:w="1190" w:type="dxa"/>
            <w:tcMar>
              <w:left w:w="0" w:type="dxa"/>
              <w:right w:w="0" w:type="dxa"/>
            </w:tcMar>
          </w:tcPr>
          <w:p w14:paraId="767D9C82" w14:textId="380FBBF7" w:rsidR="008F57AD" w:rsidRPr="005C4469"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50.0</w:t>
            </w:r>
          </w:p>
        </w:tc>
        <w:tc>
          <w:tcPr>
            <w:tcW w:w="1361" w:type="dxa"/>
            <w:tcMar>
              <w:left w:w="0" w:type="dxa"/>
              <w:right w:w="0" w:type="dxa"/>
            </w:tcMar>
            <w:vAlign w:val="bottom"/>
          </w:tcPr>
          <w:p w14:paraId="4BEA3118" w14:textId="701BBFB0" w:rsidR="008F57AD" w:rsidRPr="005C4469" w:rsidRDefault="008F57AD" w:rsidP="008F57AD">
            <w:pPr>
              <w:pStyle w:val="TableFigures"/>
              <w:rPr>
                <w:rFonts w:ascii="IBM Plex Sans Light" w:hAnsi="IBM Plex Sans Light"/>
                <w:bCs/>
                <w:color w:val="auto"/>
                <w:spacing w:val="-4"/>
                <w:sz w:val="18"/>
                <w:szCs w:val="18"/>
              </w:rPr>
            </w:pPr>
            <w:r>
              <w:rPr>
                <w:rFonts w:ascii="IBM Plex Sans Light" w:hAnsi="IBM Plex Sans Light"/>
                <w:color w:val="auto"/>
                <w:spacing w:val="-4"/>
                <w:sz w:val="18"/>
                <w:szCs w:val="18"/>
              </w:rPr>
              <w:t>1</w:t>
            </w:r>
            <w:r w:rsidRPr="005C4469">
              <w:rPr>
                <w:rFonts w:ascii="IBM Plex Sans Light" w:hAnsi="IBM Plex Sans Light"/>
                <w:color w:val="auto"/>
                <w:spacing w:val="-4"/>
                <w:sz w:val="18"/>
                <w:szCs w:val="18"/>
              </w:rPr>
              <w:t>50.0</w:t>
            </w:r>
          </w:p>
        </w:tc>
      </w:tr>
      <w:tr w:rsidR="008F57AD" w:rsidRPr="00895810" w14:paraId="74342035" w14:textId="77777777" w:rsidTr="00024B10">
        <w:tc>
          <w:tcPr>
            <w:tcW w:w="6521" w:type="dxa"/>
            <w:tcMar>
              <w:left w:w="0" w:type="dxa"/>
              <w:right w:w="0" w:type="dxa"/>
            </w:tcMar>
            <w:vAlign w:val="bottom"/>
          </w:tcPr>
          <w:p w14:paraId="72571422" w14:textId="534A0279" w:rsidR="008F57AD" w:rsidRPr="00895810" w:rsidRDefault="008F57AD" w:rsidP="008F57AD">
            <w:pPr>
              <w:pStyle w:val="Tabletext"/>
              <w:spacing w:line="240" w:lineRule="auto"/>
              <w:rPr>
                <w:rFonts w:ascii="IBM Plex Sans Light" w:hAnsi="IBM Plex Sans Light"/>
                <w:spacing w:val="-4"/>
                <w:sz w:val="18"/>
                <w:szCs w:val="18"/>
              </w:rPr>
            </w:pPr>
            <w:r w:rsidRPr="00895810">
              <w:rPr>
                <w:rFonts w:ascii="IBM Plex Sans Light" w:hAnsi="IBM Plex Sans Light"/>
                <w:spacing w:val="-4"/>
                <w:sz w:val="18"/>
                <w:szCs w:val="18"/>
              </w:rPr>
              <w:t>2021 JPY7.7bn RCF expiring 202</w:t>
            </w:r>
            <w:r>
              <w:rPr>
                <w:rFonts w:ascii="IBM Plex Sans Light" w:hAnsi="IBM Plex Sans Light"/>
                <w:spacing w:val="-4"/>
                <w:sz w:val="18"/>
                <w:szCs w:val="18"/>
              </w:rPr>
              <w:t>6</w:t>
            </w:r>
          </w:p>
        </w:tc>
        <w:tc>
          <w:tcPr>
            <w:tcW w:w="850" w:type="dxa"/>
            <w:tcMar>
              <w:left w:w="0" w:type="dxa"/>
              <w:right w:w="0" w:type="dxa"/>
            </w:tcMar>
            <w:vAlign w:val="bottom"/>
          </w:tcPr>
          <w:p w14:paraId="11AC5B0F" w14:textId="499EBF90" w:rsidR="008F57AD" w:rsidRPr="00895810" w:rsidRDefault="008F57AD" w:rsidP="00024B10">
            <w:pPr>
              <w:pStyle w:val="Tabletext"/>
              <w:jc w:val="right"/>
              <w:rPr>
                <w:rFonts w:ascii="IBM Plex Sans Light" w:hAnsi="IBM Plex Sans Light"/>
                <w:spacing w:val="-4"/>
                <w:szCs w:val="16"/>
              </w:rPr>
            </w:pPr>
            <w:r>
              <w:rPr>
                <w:rFonts w:ascii="IBM Plex Sans Light" w:hAnsi="IBM Plex Sans Light"/>
                <w:spacing w:val="-4"/>
                <w:szCs w:val="16"/>
              </w:rPr>
              <w:t>a</w:t>
            </w:r>
          </w:p>
        </w:tc>
        <w:tc>
          <w:tcPr>
            <w:tcW w:w="1190" w:type="dxa"/>
            <w:tcMar>
              <w:left w:w="0" w:type="dxa"/>
              <w:right w:w="0" w:type="dxa"/>
            </w:tcMar>
          </w:tcPr>
          <w:p w14:paraId="1C2E07EC" w14:textId="08B077A3" w:rsidR="008F57AD" w:rsidRPr="005C4469"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43.2</w:t>
            </w:r>
          </w:p>
        </w:tc>
        <w:tc>
          <w:tcPr>
            <w:tcW w:w="1361" w:type="dxa"/>
            <w:tcMar>
              <w:left w:w="0" w:type="dxa"/>
              <w:right w:w="0" w:type="dxa"/>
            </w:tcMar>
            <w:vAlign w:val="bottom"/>
          </w:tcPr>
          <w:p w14:paraId="2CF2A86D" w14:textId="0299F5E6" w:rsidR="008F57AD" w:rsidRPr="005C4469" w:rsidRDefault="008F57AD" w:rsidP="008F57AD">
            <w:pPr>
              <w:pStyle w:val="TableFigures"/>
              <w:rPr>
                <w:rFonts w:ascii="IBM Plex Sans Light" w:hAnsi="IBM Plex Sans Light"/>
                <w:bCs/>
                <w:color w:val="auto"/>
                <w:spacing w:val="-4"/>
                <w:sz w:val="18"/>
                <w:szCs w:val="18"/>
              </w:rPr>
            </w:pPr>
            <w:r w:rsidRPr="005C4469">
              <w:rPr>
                <w:rFonts w:ascii="IBM Plex Sans Light" w:hAnsi="IBM Plex Sans Light"/>
                <w:color w:val="auto"/>
                <w:spacing w:val="-4"/>
                <w:sz w:val="18"/>
                <w:szCs w:val="18"/>
              </w:rPr>
              <w:t>48.9</w:t>
            </w:r>
          </w:p>
        </w:tc>
      </w:tr>
      <w:tr w:rsidR="008F57AD" w:rsidRPr="00895810" w14:paraId="676AF89A" w14:textId="77777777" w:rsidTr="00024B10">
        <w:tc>
          <w:tcPr>
            <w:tcW w:w="6521" w:type="dxa"/>
            <w:tcBorders>
              <w:bottom w:val="single" w:sz="2" w:space="0" w:color="3D7FE0" w:themeColor="accent1"/>
            </w:tcBorders>
            <w:tcMar>
              <w:left w:w="0" w:type="dxa"/>
              <w:right w:w="0" w:type="dxa"/>
            </w:tcMar>
            <w:vAlign w:val="bottom"/>
          </w:tcPr>
          <w:p w14:paraId="0DC252F8" w14:textId="190EDE62" w:rsidR="008F57AD" w:rsidRPr="00895810" w:rsidRDefault="008F57AD" w:rsidP="008F57AD">
            <w:pPr>
              <w:pStyle w:val="Tabletext"/>
              <w:spacing w:line="240" w:lineRule="auto"/>
              <w:rPr>
                <w:rFonts w:ascii="IBM Plex Sans Light" w:hAnsi="IBM Plex Sans Light"/>
                <w:spacing w:val="-4"/>
                <w:szCs w:val="16"/>
              </w:rPr>
            </w:pPr>
            <w:r w:rsidRPr="00895810">
              <w:rPr>
                <w:rFonts w:ascii="IBM Plex Sans Light" w:hAnsi="IBM Plex Sans Light"/>
                <w:spacing w:val="-4"/>
                <w:sz w:val="18"/>
                <w:szCs w:val="18"/>
              </w:rPr>
              <w:t>202</w:t>
            </w:r>
            <w:r w:rsidR="00A249B0">
              <w:rPr>
                <w:rFonts w:ascii="IBM Plex Sans Light" w:hAnsi="IBM Plex Sans Light"/>
                <w:spacing w:val="-4"/>
                <w:sz w:val="18"/>
                <w:szCs w:val="18"/>
              </w:rPr>
              <w:t>1/2</w:t>
            </w:r>
            <w:r w:rsidRPr="00895810">
              <w:rPr>
                <w:rFonts w:ascii="IBM Plex Sans Light" w:hAnsi="IBM Plex Sans Light"/>
                <w:spacing w:val="-4"/>
                <w:sz w:val="18"/>
                <w:szCs w:val="18"/>
              </w:rPr>
              <w:t>2 RCF expiring 202</w:t>
            </w:r>
            <w:r>
              <w:rPr>
                <w:rFonts w:ascii="IBM Plex Sans Light" w:hAnsi="IBM Plex Sans Light"/>
                <w:spacing w:val="-4"/>
                <w:sz w:val="18"/>
                <w:szCs w:val="18"/>
              </w:rPr>
              <w:t>6</w:t>
            </w:r>
          </w:p>
        </w:tc>
        <w:tc>
          <w:tcPr>
            <w:tcW w:w="850" w:type="dxa"/>
            <w:tcBorders>
              <w:bottom w:val="single" w:sz="2" w:space="0" w:color="3D7FE0" w:themeColor="accent1"/>
            </w:tcBorders>
            <w:tcMar>
              <w:left w:w="0" w:type="dxa"/>
              <w:right w:w="0" w:type="dxa"/>
            </w:tcMar>
            <w:vAlign w:val="bottom"/>
          </w:tcPr>
          <w:p w14:paraId="72F5A458" w14:textId="6A27DA5E" w:rsidR="008F57AD" w:rsidRPr="00895810" w:rsidRDefault="008F57AD" w:rsidP="00024B10">
            <w:pPr>
              <w:pStyle w:val="Tabletext"/>
              <w:jc w:val="right"/>
              <w:rPr>
                <w:rFonts w:ascii="IBM Plex Sans Light" w:hAnsi="IBM Plex Sans Light"/>
                <w:spacing w:val="-4"/>
                <w:szCs w:val="16"/>
              </w:rPr>
            </w:pPr>
            <w:r>
              <w:rPr>
                <w:rFonts w:ascii="IBM Plex Sans Light" w:hAnsi="IBM Plex Sans Light"/>
                <w:spacing w:val="-4"/>
                <w:szCs w:val="16"/>
              </w:rPr>
              <w:t>a</w:t>
            </w:r>
          </w:p>
        </w:tc>
        <w:tc>
          <w:tcPr>
            <w:tcW w:w="1190" w:type="dxa"/>
            <w:tcBorders>
              <w:bottom w:val="single" w:sz="2" w:space="0" w:color="3D7FE0" w:themeColor="accent1"/>
            </w:tcBorders>
            <w:tcMar>
              <w:left w:w="0" w:type="dxa"/>
              <w:right w:w="0" w:type="dxa"/>
            </w:tcMar>
          </w:tcPr>
          <w:p w14:paraId="54AEC345" w14:textId="6019AC76" w:rsidR="008F57AD" w:rsidRPr="005C4469"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563.0</w:t>
            </w:r>
          </w:p>
        </w:tc>
        <w:tc>
          <w:tcPr>
            <w:tcW w:w="1361" w:type="dxa"/>
            <w:tcBorders>
              <w:bottom w:val="single" w:sz="2" w:space="0" w:color="3D7FE0" w:themeColor="accent1"/>
            </w:tcBorders>
            <w:tcMar>
              <w:left w:w="0" w:type="dxa"/>
              <w:right w:w="0" w:type="dxa"/>
            </w:tcMar>
            <w:vAlign w:val="bottom"/>
          </w:tcPr>
          <w:p w14:paraId="4F861F48" w14:textId="57A95E0B" w:rsidR="008F57AD" w:rsidRPr="005C4469" w:rsidRDefault="008F57AD" w:rsidP="008F57AD">
            <w:pPr>
              <w:pStyle w:val="TableFigures"/>
              <w:rPr>
                <w:rFonts w:ascii="IBM Plex Sans Light" w:hAnsi="IBM Plex Sans Light"/>
                <w:bCs/>
                <w:color w:val="auto"/>
                <w:spacing w:val="-4"/>
                <w:sz w:val="18"/>
                <w:szCs w:val="18"/>
              </w:rPr>
            </w:pPr>
            <w:r w:rsidRPr="005C4469">
              <w:rPr>
                <w:rFonts w:ascii="IBM Plex Sans Light" w:hAnsi="IBM Plex Sans Light"/>
                <w:color w:val="auto"/>
                <w:spacing w:val="-4"/>
                <w:sz w:val="18"/>
                <w:szCs w:val="18"/>
              </w:rPr>
              <w:t>463.0</w:t>
            </w:r>
          </w:p>
        </w:tc>
      </w:tr>
      <w:tr w:rsidR="008F57AD" w:rsidRPr="00895810" w14:paraId="53289518" w14:textId="77777777" w:rsidTr="00024B10">
        <w:tc>
          <w:tcPr>
            <w:tcW w:w="6521" w:type="dxa"/>
            <w:tcBorders>
              <w:top w:val="single" w:sz="2" w:space="0" w:color="3D7FE0" w:themeColor="accent1"/>
              <w:bottom w:val="single" w:sz="8" w:space="0" w:color="3D7FE0" w:themeColor="accent1"/>
            </w:tcBorders>
            <w:tcMar>
              <w:left w:w="0" w:type="dxa"/>
              <w:right w:w="0" w:type="dxa"/>
            </w:tcMar>
            <w:vAlign w:val="bottom"/>
          </w:tcPr>
          <w:p w14:paraId="0DD017EC" w14:textId="77777777" w:rsidR="008F57AD" w:rsidRPr="00895810" w:rsidRDefault="008F57AD" w:rsidP="008F57AD">
            <w:pPr>
              <w:spacing w:after="0" w:line="240" w:lineRule="auto"/>
              <w:jc w:val="both"/>
              <w:rPr>
                <w:rFonts w:ascii="IBM Plex Sans Light" w:hAnsi="IBM Plex Sans Light"/>
                <w:b/>
                <w:szCs w:val="16"/>
              </w:rPr>
            </w:pPr>
          </w:p>
        </w:tc>
        <w:tc>
          <w:tcPr>
            <w:tcW w:w="850" w:type="dxa"/>
            <w:tcBorders>
              <w:top w:val="single" w:sz="2" w:space="0" w:color="3D7FE0" w:themeColor="accent1"/>
              <w:bottom w:val="single" w:sz="8" w:space="0" w:color="3D7FE0" w:themeColor="accent1"/>
            </w:tcBorders>
            <w:tcMar>
              <w:left w:w="0" w:type="dxa"/>
              <w:right w:w="0" w:type="dxa"/>
            </w:tcMar>
            <w:vAlign w:val="bottom"/>
          </w:tcPr>
          <w:p w14:paraId="03326266" w14:textId="15F126F0" w:rsidR="008F57AD" w:rsidRPr="006C591B" w:rsidRDefault="008F57AD" w:rsidP="00024B10">
            <w:pPr>
              <w:pStyle w:val="Tabletext"/>
              <w:jc w:val="right"/>
              <w:rPr>
                <w:rFonts w:ascii="IBM Plex Sans Light" w:hAnsi="IBM Plex Sans Light"/>
                <w:spacing w:val="-4"/>
                <w:szCs w:val="16"/>
              </w:rPr>
            </w:pPr>
            <w:r w:rsidRPr="006C591B">
              <w:rPr>
                <w:rFonts w:ascii="IBM Plex Sans Light" w:hAnsi="IBM Plex Sans Light"/>
                <w:spacing w:val="-4"/>
                <w:szCs w:val="16"/>
              </w:rPr>
              <w:t>b</w:t>
            </w:r>
          </w:p>
        </w:tc>
        <w:tc>
          <w:tcPr>
            <w:tcW w:w="1190" w:type="dxa"/>
            <w:tcBorders>
              <w:top w:val="single" w:sz="2" w:space="0" w:color="3D7FE0" w:themeColor="accent1"/>
              <w:bottom w:val="single" w:sz="8" w:space="0" w:color="3D7FE0" w:themeColor="accent1"/>
            </w:tcBorders>
            <w:tcMar>
              <w:left w:w="0" w:type="dxa"/>
              <w:right w:w="0" w:type="dxa"/>
            </w:tcMar>
          </w:tcPr>
          <w:p w14:paraId="3EF5963B" w14:textId="3965677F"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656.2</w:t>
            </w:r>
          </w:p>
        </w:tc>
        <w:tc>
          <w:tcPr>
            <w:tcW w:w="1361" w:type="dxa"/>
            <w:tcBorders>
              <w:top w:val="single" w:sz="2" w:space="0" w:color="3D7FE0" w:themeColor="accent1"/>
              <w:bottom w:val="single" w:sz="8" w:space="0" w:color="3D7FE0" w:themeColor="accent1"/>
            </w:tcBorders>
            <w:tcMar>
              <w:left w:w="0" w:type="dxa"/>
              <w:right w:w="0" w:type="dxa"/>
            </w:tcMar>
            <w:vAlign w:val="bottom"/>
          </w:tcPr>
          <w:p w14:paraId="6E913198" w14:textId="1824637A" w:rsidR="008F57AD" w:rsidRPr="005C4469" w:rsidRDefault="008F57AD" w:rsidP="008F57AD">
            <w:pPr>
              <w:pStyle w:val="TableFigures"/>
              <w:rPr>
                <w:rFonts w:ascii="IBM Plex Sans Light" w:hAnsi="IBM Plex Sans Light"/>
                <w:bCs/>
                <w:color w:val="auto"/>
                <w:spacing w:val="-4"/>
                <w:sz w:val="18"/>
                <w:szCs w:val="18"/>
              </w:rPr>
            </w:pPr>
            <w:r w:rsidRPr="005C4469">
              <w:rPr>
                <w:rFonts w:ascii="IBM Plex Sans Light" w:hAnsi="IBM Plex Sans Light"/>
                <w:color w:val="auto"/>
                <w:spacing w:val="-4"/>
                <w:sz w:val="18"/>
                <w:szCs w:val="18"/>
              </w:rPr>
              <w:t>66</w:t>
            </w:r>
            <w:r w:rsidRPr="005C4469">
              <w:rPr>
                <w:rFonts w:ascii="IBM Plex Sans Light" w:hAnsi="IBM Plex Sans Light"/>
                <w:bCs/>
                <w:color w:val="auto"/>
                <w:spacing w:val="-4"/>
                <w:sz w:val="18"/>
                <w:szCs w:val="18"/>
              </w:rPr>
              <w:t>1.9</w:t>
            </w:r>
          </w:p>
        </w:tc>
      </w:tr>
    </w:tbl>
    <w:p w14:paraId="4B0CAF65" w14:textId="77777777" w:rsidR="007C5135" w:rsidRDefault="007C5135" w:rsidP="00024B10">
      <w:pPr>
        <w:spacing w:after="0" w:line="240" w:lineRule="auto"/>
        <w:ind w:left="284" w:right="-255" w:hanging="284"/>
        <w:rPr>
          <w:rFonts w:ascii="IBM Plex Sans Light" w:hAnsi="IBM Plex Sans Light"/>
          <w:sz w:val="16"/>
          <w:szCs w:val="16"/>
        </w:rPr>
      </w:pPr>
    </w:p>
    <w:p w14:paraId="4C90DF5A" w14:textId="41C2037D" w:rsidR="008F57AD" w:rsidRPr="007C5135" w:rsidRDefault="008F57AD" w:rsidP="008F57AD">
      <w:pPr>
        <w:spacing w:after="120" w:line="240" w:lineRule="auto"/>
        <w:ind w:left="284" w:right="-255" w:hanging="284"/>
        <w:rPr>
          <w:rFonts w:ascii="IBM Plex Sans Light" w:hAnsi="IBM Plex Sans Light"/>
          <w:sz w:val="16"/>
          <w:szCs w:val="16"/>
        </w:rPr>
      </w:pPr>
      <w:proofErr w:type="spellStart"/>
      <w:r w:rsidRPr="007C5135">
        <w:rPr>
          <w:rFonts w:ascii="IBM Plex Sans Light" w:hAnsi="IBM Plex Sans Light"/>
          <w:sz w:val="16"/>
          <w:szCs w:val="16"/>
        </w:rPr>
        <w:t>a</w:t>
      </w:r>
      <w:proofErr w:type="spellEnd"/>
      <w:r w:rsidRPr="007C5135">
        <w:rPr>
          <w:rFonts w:ascii="IBM Plex Sans Light" w:hAnsi="IBM Plex Sans Light"/>
          <w:sz w:val="16"/>
          <w:szCs w:val="16"/>
        </w:rPr>
        <w:tab/>
        <w:t xml:space="preserve">On 29 April 2023, the Group exercised its option to extend the maturity of these RCFs by one year from 2025 to 2026. </w:t>
      </w:r>
    </w:p>
    <w:p w14:paraId="00AF3043" w14:textId="6CD54C32" w:rsidR="00BE7574" w:rsidRPr="007C5135" w:rsidRDefault="008F57AD" w:rsidP="008F57AD">
      <w:pPr>
        <w:spacing w:after="120" w:line="240" w:lineRule="auto"/>
        <w:ind w:left="284" w:right="-255" w:hanging="284"/>
        <w:rPr>
          <w:rFonts w:ascii="IBM Plex Sans Light" w:hAnsi="IBM Plex Sans Light"/>
          <w:sz w:val="16"/>
          <w:szCs w:val="16"/>
        </w:rPr>
      </w:pPr>
      <w:r w:rsidRPr="007C5135">
        <w:rPr>
          <w:rFonts w:ascii="IBM Plex Sans Light" w:hAnsi="IBM Plex Sans Light"/>
          <w:sz w:val="16"/>
          <w:szCs w:val="16"/>
        </w:rPr>
        <w:t>b</w:t>
      </w:r>
      <w:r w:rsidRPr="007C5135">
        <w:rPr>
          <w:rFonts w:ascii="IBM Plex Sans Light" w:hAnsi="IBM Plex Sans Light"/>
          <w:sz w:val="16"/>
          <w:szCs w:val="16"/>
        </w:rPr>
        <w:tab/>
        <w:t>£0.8m (2022: £2.1m) of RCFs have been utilised (although not drawn) to support ancillary facilities leaving £655.4m (2022: £659.8m) available to the Group.</w:t>
      </w:r>
    </w:p>
    <w:p w14:paraId="632B1AA1" w14:textId="7212228E" w:rsidR="00BD7B6D" w:rsidRPr="00895810" w:rsidRDefault="00546749" w:rsidP="00D00951">
      <w:pPr>
        <w:pStyle w:val="Heading2SpaceBefore"/>
        <w:spacing w:before="0"/>
        <w:rPr>
          <w:rFonts w:ascii="IBM Plex Sans Light" w:hAnsi="IBM Plex Sans Light"/>
          <w:color w:val="3D7FE0" w:themeColor="accent1"/>
        </w:rPr>
      </w:pPr>
      <w:r w:rsidRPr="00895810">
        <w:rPr>
          <w:rFonts w:ascii="IBM Plex Sans Light" w:hAnsi="IBM Plex Sans Light"/>
          <w:color w:val="3D7FE0" w:themeColor="accent1"/>
        </w:rPr>
        <w:t>C</w:t>
      </w:r>
      <w:r w:rsidR="00DA14E6" w:rsidRPr="00895810">
        <w:rPr>
          <w:rFonts w:ascii="IBM Plex Sans Light" w:hAnsi="IBM Plex Sans Light"/>
          <w:color w:val="3D7FE0" w:themeColor="accent1"/>
        </w:rPr>
        <w:t xml:space="preserve">. </w:t>
      </w:r>
      <w:r w:rsidR="00C62996" w:rsidRPr="00895810">
        <w:rPr>
          <w:rFonts w:ascii="IBM Plex Sans Light" w:hAnsi="IBM Plex Sans Light"/>
          <w:color w:val="3D7FE0" w:themeColor="accent1"/>
        </w:rPr>
        <w:t>MATURITY ANALYSIS OF UNDRAWN COMMITTED FACILITIES</w:t>
      </w:r>
    </w:p>
    <w:tbl>
      <w:tblPr>
        <w:tblW w:w="9922" w:type="dxa"/>
        <w:tblLayout w:type="fixed"/>
        <w:tblLook w:val="01E0" w:firstRow="1" w:lastRow="1" w:firstColumn="1" w:lastColumn="1" w:noHBand="0" w:noVBand="0"/>
      </w:tblPr>
      <w:tblGrid>
        <w:gridCol w:w="6803"/>
        <w:gridCol w:w="425"/>
        <w:gridCol w:w="1276"/>
        <w:gridCol w:w="1418"/>
      </w:tblGrid>
      <w:tr w:rsidR="00F05BF5" w:rsidRPr="00895810" w14:paraId="72196BB1" w14:textId="77777777" w:rsidTr="00B877C0">
        <w:tc>
          <w:tcPr>
            <w:tcW w:w="6803" w:type="dxa"/>
            <w:tcMar>
              <w:left w:w="0" w:type="dxa"/>
              <w:right w:w="0" w:type="dxa"/>
            </w:tcMar>
            <w:vAlign w:val="bottom"/>
          </w:tcPr>
          <w:p w14:paraId="43DAFEF5" w14:textId="77777777" w:rsidR="00F05BF5" w:rsidRPr="00895810" w:rsidRDefault="00F05BF5" w:rsidP="00F05BF5">
            <w:pPr>
              <w:pStyle w:val="TableColHeads"/>
              <w:rPr>
                <w:rFonts w:ascii="IBM Plex Sans Light" w:hAnsi="IBM Plex Sans Light" w:cs="Arial"/>
                <w:szCs w:val="18"/>
              </w:rPr>
            </w:pPr>
          </w:p>
        </w:tc>
        <w:tc>
          <w:tcPr>
            <w:tcW w:w="425" w:type="dxa"/>
            <w:tcMar>
              <w:left w:w="0" w:type="dxa"/>
              <w:right w:w="0" w:type="dxa"/>
            </w:tcMar>
            <w:vAlign w:val="bottom"/>
          </w:tcPr>
          <w:p w14:paraId="4373CB9B" w14:textId="2603DB5F" w:rsidR="00F05BF5" w:rsidRPr="00895810" w:rsidRDefault="00F05BF5" w:rsidP="00F05BF5">
            <w:pPr>
              <w:pStyle w:val="TableColHeads"/>
              <w:jc w:val="left"/>
              <w:rPr>
                <w:rFonts w:ascii="IBM Plex Sans Light" w:hAnsi="IBM Plex Sans Light" w:cs="Arial"/>
                <w:color w:val="3D7FE0" w:themeColor="accent1"/>
                <w:szCs w:val="18"/>
              </w:rPr>
            </w:pPr>
          </w:p>
        </w:tc>
        <w:tc>
          <w:tcPr>
            <w:tcW w:w="1276" w:type="dxa"/>
            <w:tcMar>
              <w:left w:w="0" w:type="dxa"/>
              <w:right w:w="0" w:type="dxa"/>
            </w:tcMar>
            <w:vAlign w:val="bottom"/>
          </w:tcPr>
          <w:p w14:paraId="4C56C18A" w14:textId="64DEDC66" w:rsidR="00F05BF5" w:rsidRPr="00895810" w:rsidRDefault="00785AC2" w:rsidP="00F05BF5">
            <w:pPr>
              <w:pStyle w:val="TableColHeadsBold"/>
              <w:rPr>
                <w:rFonts w:ascii="IBM Plex Sans Light" w:hAnsi="IBM Plex Sans Light"/>
                <w:color w:val="3D7FE0" w:themeColor="accent1"/>
                <w:szCs w:val="14"/>
              </w:rPr>
            </w:pPr>
            <w:r>
              <w:rPr>
                <w:rFonts w:ascii="IBM Plex Sans Light" w:hAnsi="IBM Plex Sans Light"/>
                <w:color w:val="3D7FE0" w:themeColor="accent1"/>
                <w:szCs w:val="14"/>
              </w:rPr>
              <w:t>2023</w:t>
            </w:r>
            <w:r w:rsidR="00F05BF5" w:rsidRPr="00895810">
              <w:rPr>
                <w:rFonts w:ascii="IBM Plex Sans Light" w:hAnsi="IBM Plex Sans Light"/>
                <w:color w:val="3D7FE0" w:themeColor="accent1"/>
                <w:szCs w:val="14"/>
              </w:rPr>
              <w:t xml:space="preserve"> </w:t>
            </w:r>
          </w:p>
        </w:tc>
        <w:tc>
          <w:tcPr>
            <w:tcW w:w="1418" w:type="dxa"/>
            <w:tcMar>
              <w:left w:w="0" w:type="dxa"/>
              <w:right w:w="0" w:type="dxa"/>
            </w:tcMar>
            <w:vAlign w:val="bottom"/>
          </w:tcPr>
          <w:p w14:paraId="6C9A2F67" w14:textId="794CCB5E" w:rsidR="00F05BF5" w:rsidRPr="00895810" w:rsidRDefault="00F05BF5" w:rsidP="00F05BF5">
            <w:pPr>
              <w:pStyle w:val="TableColHeads"/>
              <w:rPr>
                <w:rFonts w:ascii="IBM Plex Sans Light" w:hAnsi="IBM Plex Sans Light"/>
                <w:szCs w:val="14"/>
              </w:rPr>
            </w:pPr>
            <w:r w:rsidRPr="00895810">
              <w:rPr>
                <w:rFonts w:ascii="IBM Plex Sans Light" w:hAnsi="IBM Plex Sans Light"/>
                <w:szCs w:val="14"/>
              </w:rPr>
              <w:t xml:space="preserve"> </w:t>
            </w:r>
            <w:r w:rsidR="006E7EB0">
              <w:rPr>
                <w:rFonts w:ascii="IBM Plex Sans Light" w:hAnsi="IBM Plex Sans Light"/>
                <w:szCs w:val="14"/>
              </w:rPr>
              <w:t>2022</w:t>
            </w:r>
            <w:r w:rsidRPr="00895810">
              <w:rPr>
                <w:rFonts w:ascii="IBM Plex Sans Light" w:hAnsi="IBM Plex Sans Light"/>
                <w:szCs w:val="14"/>
              </w:rPr>
              <w:t xml:space="preserve"> </w:t>
            </w:r>
          </w:p>
        </w:tc>
      </w:tr>
      <w:tr w:rsidR="00F05BF5" w:rsidRPr="00895810" w14:paraId="05CDC44C" w14:textId="77777777" w:rsidTr="00B877C0">
        <w:trPr>
          <w:trHeight w:val="197"/>
        </w:trPr>
        <w:tc>
          <w:tcPr>
            <w:tcW w:w="6803" w:type="dxa"/>
            <w:tcBorders>
              <w:bottom w:val="single" w:sz="2" w:space="0" w:color="3D7FE0" w:themeColor="accent1"/>
            </w:tcBorders>
            <w:tcMar>
              <w:left w:w="0" w:type="dxa"/>
              <w:right w:w="0" w:type="dxa"/>
            </w:tcMar>
            <w:vAlign w:val="bottom"/>
          </w:tcPr>
          <w:p w14:paraId="00C4CC1F" w14:textId="4647F30F" w:rsidR="00F05BF5" w:rsidRPr="00895810" w:rsidRDefault="00F05BF5" w:rsidP="00D75ECB">
            <w:pPr>
              <w:pStyle w:val="TableColHeads"/>
              <w:spacing w:line="240" w:lineRule="auto"/>
              <w:jc w:val="left"/>
              <w:rPr>
                <w:rFonts w:ascii="IBM Plex Sans Light" w:hAnsi="IBM Plex Sans Light" w:cs="Arial"/>
                <w:sz w:val="18"/>
                <w:szCs w:val="18"/>
              </w:rPr>
            </w:pPr>
            <w:r w:rsidRPr="00895810">
              <w:rPr>
                <w:rFonts w:ascii="IBM Plex Sans Light" w:hAnsi="IBM Plex Sans Light" w:cs="Arial"/>
                <w:b/>
                <w:color w:val="3D7FE0" w:themeColor="accent1"/>
                <w:sz w:val="18"/>
                <w:szCs w:val="18"/>
              </w:rPr>
              <w:t>Expiry</w:t>
            </w:r>
          </w:p>
        </w:tc>
        <w:tc>
          <w:tcPr>
            <w:tcW w:w="425" w:type="dxa"/>
            <w:tcBorders>
              <w:bottom w:val="single" w:sz="2" w:space="0" w:color="3D7FE0" w:themeColor="accent1"/>
            </w:tcBorders>
            <w:tcMar>
              <w:left w:w="0" w:type="dxa"/>
              <w:right w:w="0" w:type="dxa"/>
            </w:tcMar>
            <w:vAlign w:val="bottom"/>
          </w:tcPr>
          <w:p w14:paraId="18D76C6C" w14:textId="77777777" w:rsidR="00F05BF5" w:rsidRPr="00895810" w:rsidRDefault="00F05BF5" w:rsidP="00F05BF5">
            <w:pPr>
              <w:pStyle w:val="TableColHeads"/>
              <w:rPr>
                <w:rFonts w:ascii="IBM Plex Sans Light" w:hAnsi="IBM Plex Sans Light" w:cs="Arial"/>
                <w:sz w:val="18"/>
                <w:szCs w:val="18"/>
              </w:rPr>
            </w:pPr>
          </w:p>
        </w:tc>
        <w:tc>
          <w:tcPr>
            <w:tcW w:w="1276" w:type="dxa"/>
            <w:tcBorders>
              <w:bottom w:val="single" w:sz="2" w:space="0" w:color="3D7FE0" w:themeColor="accent1"/>
            </w:tcBorders>
            <w:tcMar>
              <w:left w:w="0" w:type="dxa"/>
              <w:right w:w="0" w:type="dxa"/>
            </w:tcMar>
            <w:vAlign w:val="bottom"/>
          </w:tcPr>
          <w:p w14:paraId="1B6736B1" w14:textId="77777777" w:rsidR="00F05BF5" w:rsidRPr="00895810" w:rsidRDefault="00F05BF5" w:rsidP="00F05BF5">
            <w:pPr>
              <w:pStyle w:val="TableColHeadsBold"/>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£m </w:t>
            </w:r>
          </w:p>
        </w:tc>
        <w:tc>
          <w:tcPr>
            <w:tcW w:w="1418" w:type="dxa"/>
            <w:tcBorders>
              <w:bottom w:val="single" w:sz="2" w:space="0" w:color="3D7FE0" w:themeColor="accent1"/>
            </w:tcBorders>
            <w:tcMar>
              <w:left w:w="0" w:type="dxa"/>
              <w:right w:w="0" w:type="dxa"/>
            </w:tcMar>
            <w:vAlign w:val="bottom"/>
          </w:tcPr>
          <w:p w14:paraId="4CFFA0EF" w14:textId="69CB9204" w:rsidR="00F05BF5" w:rsidRPr="00895810" w:rsidRDefault="00F05BF5" w:rsidP="00F05BF5">
            <w:pPr>
              <w:pStyle w:val="TableColHeads"/>
              <w:rPr>
                <w:rFonts w:ascii="IBM Plex Sans Light" w:hAnsi="IBM Plex Sans Light"/>
                <w:szCs w:val="14"/>
              </w:rPr>
            </w:pPr>
            <w:r w:rsidRPr="00895810">
              <w:rPr>
                <w:rFonts w:ascii="IBM Plex Sans Light" w:hAnsi="IBM Plex Sans Light"/>
                <w:szCs w:val="14"/>
              </w:rPr>
              <w:t xml:space="preserve">£m </w:t>
            </w:r>
          </w:p>
        </w:tc>
      </w:tr>
      <w:tr w:rsidR="00007A5B" w:rsidRPr="00895810" w14:paraId="605DF3F4" w14:textId="77777777" w:rsidTr="00132414">
        <w:tc>
          <w:tcPr>
            <w:tcW w:w="6803" w:type="dxa"/>
            <w:tcBorders>
              <w:top w:val="single" w:sz="2" w:space="0" w:color="3D7FE0" w:themeColor="accent1"/>
            </w:tcBorders>
            <w:tcMar>
              <w:left w:w="0" w:type="dxa"/>
              <w:right w:w="0" w:type="dxa"/>
            </w:tcMar>
            <w:vAlign w:val="bottom"/>
          </w:tcPr>
          <w:p w14:paraId="4C5D3FC3" w14:textId="5059D940" w:rsidR="00007A5B" w:rsidRPr="00895810" w:rsidRDefault="00007A5B" w:rsidP="00007A5B">
            <w:pPr>
              <w:spacing w:after="0" w:line="240" w:lineRule="auto"/>
              <w:jc w:val="both"/>
              <w:rPr>
                <w:rFonts w:ascii="IBM Plex Sans Light" w:hAnsi="IBM Plex Sans Light" w:cs="Arial"/>
                <w:b/>
                <w:szCs w:val="18"/>
              </w:rPr>
            </w:pPr>
            <w:r w:rsidRPr="00895810">
              <w:rPr>
                <w:rFonts w:ascii="IBM Plex Sans Light" w:hAnsi="IBM Plex Sans Light" w:cs="Arial"/>
                <w:szCs w:val="18"/>
              </w:rPr>
              <w:t>Within one year</w:t>
            </w:r>
          </w:p>
        </w:tc>
        <w:tc>
          <w:tcPr>
            <w:tcW w:w="425" w:type="dxa"/>
            <w:tcBorders>
              <w:top w:val="single" w:sz="2" w:space="0" w:color="3D7FE0" w:themeColor="accent1"/>
            </w:tcBorders>
            <w:tcMar>
              <w:left w:w="0" w:type="dxa"/>
              <w:right w:w="0" w:type="dxa"/>
            </w:tcMar>
            <w:vAlign w:val="bottom"/>
          </w:tcPr>
          <w:p w14:paraId="3063F4B5" w14:textId="369508ED" w:rsidR="00007A5B" w:rsidRPr="00895810" w:rsidRDefault="00007A5B" w:rsidP="00007A5B">
            <w:pPr>
              <w:spacing w:after="0" w:line="240" w:lineRule="auto"/>
              <w:jc w:val="both"/>
              <w:rPr>
                <w:rFonts w:ascii="IBM Plex Sans Light" w:hAnsi="IBM Plex Sans Light" w:cs="Arial"/>
                <w:szCs w:val="18"/>
              </w:rPr>
            </w:pPr>
          </w:p>
        </w:tc>
        <w:tc>
          <w:tcPr>
            <w:tcW w:w="1276" w:type="dxa"/>
            <w:tcBorders>
              <w:top w:val="single" w:sz="2" w:space="0" w:color="3D7FE0" w:themeColor="accent1"/>
            </w:tcBorders>
            <w:tcMar>
              <w:left w:w="0" w:type="dxa"/>
              <w:right w:w="0" w:type="dxa"/>
            </w:tcMar>
          </w:tcPr>
          <w:p w14:paraId="05AF8791" w14:textId="39BDF57A" w:rsidR="00007A5B" w:rsidRPr="00007A5B" w:rsidRDefault="00933EF9" w:rsidP="00007A5B">
            <w:pPr>
              <w:pStyle w:val="TableFiguresBold"/>
              <w:rPr>
                <w:rFonts w:ascii="IBM Plex Sans Medium" w:hAnsi="IBM Plex Sans Medium"/>
                <w:color w:val="3D7FE0" w:themeColor="accent1"/>
                <w:spacing w:val="-4"/>
                <w:sz w:val="18"/>
                <w:szCs w:val="18"/>
              </w:rPr>
            </w:pPr>
            <w:r>
              <w:rPr>
                <w:rFonts w:ascii="IBM Plex Sans Medium" w:hAnsi="IBM Plex Sans Medium"/>
                <w:bCs w:val="0"/>
                <w:color w:val="3D7FE0" w:themeColor="accent1"/>
                <w:spacing w:val="-4"/>
                <w:sz w:val="18"/>
                <w:szCs w:val="18"/>
              </w:rPr>
              <w:t>50.0</w:t>
            </w:r>
          </w:p>
        </w:tc>
        <w:tc>
          <w:tcPr>
            <w:tcW w:w="1418" w:type="dxa"/>
            <w:tcBorders>
              <w:top w:val="single" w:sz="2" w:space="0" w:color="3D7FE0" w:themeColor="accent1"/>
            </w:tcBorders>
            <w:tcMar>
              <w:left w:w="0" w:type="dxa"/>
              <w:right w:w="0" w:type="dxa"/>
            </w:tcMar>
          </w:tcPr>
          <w:p w14:paraId="5B9AE55C" w14:textId="47FC6609" w:rsidR="00007A5B" w:rsidRPr="00007A5B" w:rsidRDefault="00007A5B" w:rsidP="00007A5B">
            <w:pPr>
              <w:pStyle w:val="TableFigures"/>
              <w:rPr>
                <w:rFonts w:ascii="IBM Plex Sans Light" w:hAnsi="IBM Plex Sans Light"/>
                <w:color w:val="auto"/>
                <w:spacing w:val="-4"/>
                <w:sz w:val="18"/>
                <w:szCs w:val="18"/>
              </w:rPr>
            </w:pPr>
            <w:r w:rsidRPr="00007A5B">
              <w:rPr>
                <w:rFonts w:ascii="IBM Plex Sans Light" w:hAnsi="IBM Plex Sans Light"/>
                <w:color w:val="auto"/>
                <w:spacing w:val="-4"/>
                <w:sz w:val="18"/>
                <w:szCs w:val="18"/>
              </w:rPr>
              <w:t>–</w:t>
            </w:r>
          </w:p>
        </w:tc>
      </w:tr>
      <w:tr w:rsidR="00933EF9" w:rsidRPr="00895810" w14:paraId="0481CD37" w14:textId="77777777" w:rsidTr="00132414">
        <w:tc>
          <w:tcPr>
            <w:tcW w:w="6803" w:type="dxa"/>
            <w:tcMar>
              <w:left w:w="0" w:type="dxa"/>
              <w:right w:w="0" w:type="dxa"/>
            </w:tcMar>
            <w:vAlign w:val="bottom"/>
          </w:tcPr>
          <w:p w14:paraId="22C3D035" w14:textId="0050D870" w:rsidR="00933EF9" w:rsidRPr="00895810" w:rsidRDefault="00933EF9" w:rsidP="00933EF9">
            <w:pPr>
              <w:spacing w:after="0" w:line="240" w:lineRule="auto"/>
              <w:jc w:val="both"/>
              <w:rPr>
                <w:rFonts w:ascii="IBM Plex Sans Light" w:hAnsi="IBM Plex Sans Light" w:cs="Arial"/>
                <w:b/>
                <w:szCs w:val="18"/>
              </w:rPr>
            </w:pPr>
            <w:r w:rsidRPr="00895810">
              <w:rPr>
                <w:rFonts w:ascii="IBM Plex Sans Light" w:hAnsi="IBM Plex Sans Light" w:cs="Arial"/>
                <w:szCs w:val="18"/>
              </w:rPr>
              <w:t>Within one to two years</w:t>
            </w:r>
          </w:p>
        </w:tc>
        <w:tc>
          <w:tcPr>
            <w:tcW w:w="425" w:type="dxa"/>
            <w:tcMar>
              <w:left w:w="0" w:type="dxa"/>
              <w:right w:w="0" w:type="dxa"/>
            </w:tcMar>
            <w:vAlign w:val="bottom"/>
          </w:tcPr>
          <w:p w14:paraId="4D17351B" w14:textId="0E8432C2" w:rsidR="00933EF9" w:rsidRPr="00895810" w:rsidRDefault="00933EF9" w:rsidP="00933EF9">
            <w:pPr>
              <w:spacing w:after="0" w:line="240" w:lineRule="auto"/>
              <w:jc w:val="both"/>
              <w:rPr>
                <w:rFonts w:ascii="IBM Plex Sans Light" w:hAnsi="IBM Plex Sans Light" w:cs="Arial"/>
                <w:szCs w:val="18"/>
              </w:rPr>
            </w:pPr>
          </w:p>
        </w:tc>
        <w:tc>
          <w:tcPr>
            <w:tcW w:w="1276" w:type="dxa"/>
            <w:tcMar>
              <w:left w:w="0" w:type="dxa"/>
              <w:right w:w="0" w:type="dxa"/>
            </w:tcMar>
          </w:tcPr>
          <w:p w14:paraId="0E5D1AF6" w14:textId="1B2A879B" w:rsidR="00933EF9" w:rsidRPr="00933EF9" w:rsidRDefault="00933EF9" w:rsidP="00933EF9">
            <w:pPr>
              <w:pStyle w:val="TableFiguresBold"/>
              <w:rPr>
                <w:rFonts w:ascii="IBM Plex Sans Medium" w:hAnsi="IBM Plex Sans Medium"/>
                <w:color w:val="3D7FE0" w:themeColor="accent1"/>
                <w:spacing w:val="-4"/>
                <w:sz w:val="18"/>
                <w:szCs w:val="18"/>
              </w:rPr>
            </w:pPr>
            <w:r w:rsidRPr="00933EF9">
              <w:rPr>
                <w:rFonts w:ascii="IBM Plex Sans Medium" w:hAnsi="IBM Plex Sans Medium"/>
                <w:bCs w:val="0"/>
                <w:color w:val="3D7FE0" w:themeColor="accent1"/>
                <w:spacing w:val="-4"/>
                <w:sz w:val="18"/>
                <w:szCs w:val="18"/>
              </w:rPr>
              <w:t>–</w:t>
            </w:r>
          </w:p>
        </w:tc>
        <w:tc>
          <w:tcPr>
            <w:tcW w:w="1418" w:type="dxa"/>
            <w:tcMar>
              <w:left w:w="0" w:type="dxa"/>
              <w:right w:w="0" w:type="dxa"/>
            </w:tcMar>
          </w:tcPr>
          <w:p w14:paraId="4371EC44" w14:textId="7F3D5840" w:rsidR="00933EF9" w:rsidRPr="00007A5B" w:rsidRDefault="00933EF9" w:rsidP="00933EF9">
            <w:pPr>
              <w:pStyle w:val="TableFigures"/>
              <w:rPr>
                <w:rFonts w:ascii="IBM Plex Sans Light" w:hAnsi="IBM Plex Sans Light"/>
                <w:color w:val="auto"/>
                <w:spacing w:val="-4"/>
                <w:sz w:val="18"/>
                <w:szCs w:val="18"/>
              </w:rPr>
            </w:pPr>
            <w:r w:rsidRPr="00007A5B">
              <w:rPr>
                <w:rFonts w:ascii="IBM Plex Sans Light" w:hAnsi="IBM Plex Sans Light"/>
                <w:color w:val="auto"/>
                <w:spacing w:val="-4"/>
                <w:sz w:val="18"/>
                <w:szCs w:val="18"/>
              </w:rPr>
              <w:t>50.0</w:t>
            </w:r>
          </w:p>
        </w:tc>
      </w:tr>
      <w:tr w:rsidR="00007A5B" w:rsidRPr="00895810" w14:paraId="7827D8E2" w14:textId="77777777" w:rsidTr="00B877C0">
        <w:tc>
          <w:tcPr>
            <w:tcW w:w="6803" w:type="dxa"/>
            <w:tcBorders>
              <w:bottom w:val="single" w:sz="2" w:space="0" w:color="3D7FE0" w:themeColor="accent1"/>
            </w:tcBorders>
            <w:tcMar>
              <w:left w:w="0" w:type="dxa"/>
              <w:right w:w="0" w:type="dxa"/>
            </w:tcMar>
            <w:vAlign w:val="bottom"/>
          </w:tcPr>
          <w:p w14:paraId="3C7D05A5" w14:textId="2CD9ECC9" w:rsidR="00007A5B" w:rsidRPr="00895810" w:rsidRDefault="00007A5B" w:rsidP="00007A5B">
            <w:pPr>
              <w:spacing w:after="0" w:line="240" w:lineRule="auto"/>
              <w:jc w:val="both"/>
              <w:rPr>
                <w:rFonts w:ascii="IBM Plex Sans Light" w:hAnsi="IBM Plex Sans Light" w:cs="Arial"/>
                <w:b/>
                <w:szCs w:val="18"/>
              </w:rPr>
            </w:pPr>
            <w:r w:rsidRPr="00895810">
              <w:rPr>
                <w:rFonts w:ascii="IBM Plex Sans Light" w:hAnsi="IBM Plex Sans Light" w:cs="Arial"/>
                <w:szCs w:val="18"/>
              </w:rPr>
              <w:t>Within two to five years</w:t>
            </w:r>
          </w:p>
        </w:tc>
        <w:tc>
          <w:tcPr>
            <w:tcW w:w="425" w:type="dxa"/>
            <w:tcBorders>
              <w:bottom w:val="single" w:sz="2" w:space="0" w:color="3D7FE0" w:themeColor="accent1"/>
            </w:tcBorders>
            <w:tcMar>
              <w:left w:w="0" w:type="dxa"/>
              <w:right w:w="0" w:type="dxa"/>
            </w:tcMar>
            <w:vAlign w:val="bottom"/>
          </w:tcPr>
          <w:p w14:paraId="234E5FB0" w14:textId="009BFAF9" w:rsidR="00007A5B" w:rsidRPr="00895810" w:rsidRDefault="00007A5B" w:rsidP="00007A5B">
            <w:pPr>
              <w:spacing w:after="0" w:line="240" w:lineRule="auto"/>
              <w:jc w:val="both"/>
              <w:rPr>
                <w:rFonts w:ascii="IBM Plex Sans Light" w:hAnsi="IBM Plex Sans Light" w:cs="Arial"/>
                <w:szCs w:val="18"/>
              </w:rPr>
            </w:pPr>
          </w:p>
        </w:tc>
        <w:tc>
          <w:tcPr>
            <w:tcW w:w="1276" w:type="dxa"/>
            <w:tcBorders>
              <w:bottom w:val="single" w:sz="2" w:space="0" w:color="3D7FE0" w:themeColor="accent1"/>
            </w:tcBorders>
            <w:tcMar>
              <w:left w:w="0" w:type="dxa"/>
              <w:right w:w="0" w:type="dxa"/>
            </w:tcMar>
            <w:vAlign w:val="bottom"/>
          </w:tcPr>
          <w:p w14:paraId="10B9A720" w14:textId="57311C6E" w:rsidR="00007A5B" w:rsidRPr="00007A5B" w:rsidRDefault="00007A5B" w:rsidP="00007A5B">
            <w:pPr>
              <w:pStyle w:val="TableFiguresBold"/>
              <w:rPr>
                <w:rFonts w:ascii="IBM Plex Sans Medium" w:hAnsi="IBM Plex Sans Medium"/>
                <w:color w:val="3D7FE0" w:themeColor="accent1"/>
                <w:spacing w:val="-4"/>
                <w:sz w:val="18"/>
                <w:szCs w:val="18"/>
              </w:rPr>
            </w:pPr>
            <w:r w:rsidRPr="00007A5B">
              <w:rPr>
                <w:rFonts w:ascii="IBM Plex Sans Medium" w:hAnsi="IBM Plex Sans Medium"/>
                <w:color w:val="3D7FE0" w:themeColor="accent1"/>
                <w:spacing w:val="-4"/>
                <w:sz w:val="18"/>
                <w:szCs w:val="18"/>
              </w:rPr>
              <w:t>6</w:t>
            </w:r>
            <w:r w:rsidR="008F57AD">
              <w:rPr>
                <w:rFonts w:ascii="IBM Plex Sans Medium" w:hAnsi="IBM Plex Sans Medium"/>
                <w:color w:val="3D7FE0" w:themeColor="accent1"/>
                <w:spacing w:val="-4"/>
                <w:sz w:val="18"/>
                <w:szCs w:val="18"/>
              </w:rPr>
              <w:t>06.2</w:t>
            </w:r>
          </w:p>
        </w:tc>
        <w:tc>
          <w:tcPr>
            <w:tcW w:w="1418" w:type="dxa"/>
            <w:tcBorders>
              <w:bottom w:val="single" w:sz="2" w:space="0" w:color="3D7FE0" w:themeColor="accent1"/>
            </w:tcBorders>
            <w:tcMar>
              <w:left w:w="0" w:type="dxa"/>
              <w:right w:w="0" w:type="dxa"/>
            </w:tcMar>
            <w:vAlign w:val="bottom"/>
          </w:tcPr>
          <w:p w14:paraId="560425B8" w14:textId="229AAC73" w:rsidR="00007A5B" w:rsidRPr="00007A5B" w:rsidRDefault="00007A5B" w:rsidP="00007A5B">
            <w:pPr>
              <w:pStyle w:val="TableFigures"/>
              <w:rPr>
                <w:rFonts w:ascii="IBM Plex Sans Light" w:hAnsi="IBM Plex Sans Light"/>
                <w:color w:val="auto"/>
                <w:spacing w:val="-4"/>
                <w:sz w:val="18"/>
                <w:szCs w:val="18"/>
              </w:rPr>
            </w:pPr>
            <w:r w:rsidRPr="00007A5B">
              <w:rPr>
                <w:rFonts w:ascii="IBM Plex Sans Light" w:hAnsi="IBM Plex Sans Light"/>
                <w:color w:val="auto"/>
                <w:spacing w:val="-4"/>
                <w:sz w:val="18"/>
                <w:szCs w:val="18"/>
              </w:rPr>
              <w:t>611.9</w:t>
            </w:r>
          </w:p>
        </w:tc>
      </w:tr>
      <w:tr w:rsidR="00007A5B" w:rsidRPr="00895810" w14:paraId="763E4555" w14:textId="77777777" w:rsidTr="00B877C0">
        <w:tc>
          <w:tcPr>
            <w:tcW w:w="6803" w:type="dxa"/>
            <w:tcBorders>
              <w:top w:val="single" w:sz="2" w:space="0" w:color="3D7FE0" w:themeColor="accent1"/>
              <w:bottom w:val="single" w:sz="8" w:space="0" w:color="3D7FE0" w:themeColor="accent1"/>
            </w:tcBorders>
            <w:tcMar>
              <w:left w:w="0" w:type="dxa"/>
              <w:right w:w="0" w:type="dxa"/>
            </w:tcMar>
            <w:vAlign w:val="bottom"/>
          </w:tcPr>
          <w:p w14:paraId="16462446" w14:textId="77777777" w:rsidR="00007A5B" w:rsidRPr="00895810" w:rsidRDefault="00007A5B" w:rsidP="00007A5B">
            <w:pPr>
              <w:spacing w:after="0" w:line="240" w:lineRule="auto"/>
              <w:jc w:val="both"/>
              <w:rPr>
                <w:rFonts w:ascii="IBM Plex Sans Light" w:hAnsi="IBM Plex Sans Light" w:cs="Arial"/>
                <w:b/>
                <w:szCs w:val="18"/>
              </w:rPr>
            </w:pPr>
          </w:p>
        </w:tc>
        <w:tc>
          <w:tcPr>
            <w:tcW w:w="425" w:type="dxa"/>
            <w:tcBorders>
              <w:top w:val="single" w:sz="2" w:space="0" w:color="3D7FE0" w:themeColor="accent1"/>
              <w:bottom w:val="single" w:sz="8" w:space="0" w:color="3D7FE0" w:themeColor="accent1"/>
            </w:tcBorders>
            <w:tcMar>
              <w:left w:w="0" w:type="dxa"/>
              <w:right w:w="0" w:type="dxa"/>
            </w:tcMar>
            <w:vAlign w:val="bottom"/>
          </w:tcPr>
          <w:p w14:paraId="1BEA407D" w14:textId="77777777" w:rsidR="00007A5B" w:rsidRPr="00895810" w:rsidRDefault="00007A5B" w:rsidP="00007A5B">
            <w:pPr>
              <w:spacing w:after="0" w:line="240" w:lineRule="auto"/>
              <w:jc w:val="both"/>
              <w:rPr>
                <w:rFonts w:ascii="IBM Plex Sans Light" w:hAnsi="IBM Plex Sans Light" w:cs="Arial"/>
                <w:szCs w:val="18"/>
              </w:rPr>
            </w:pPr>
          </w:p>
        </w:tc>
        <w:tc>
          <w:tcPr>
            <w:tcW w:w="1276" w:type="dxa"/>
            <w:tcBorders>
              <w:top w:val="single" w:sz="2" w:space="0" w:color="3D7FE0" w:themeColor="accent1"/>
              <w:bottom w:val="single" w:sz="8" w:space="0" w:color="3D7FE0" w:themeColor="accent1"/>
            </w:tcBorders>
            <w:tcMar>
              <w:left w:w="0" w:type="dxa"/>
              <w:right w:w="0" w:type="dxa"/>
            </w:tcMar>
            <w:vAlign w:val="bottom"/>
          </w:tcPr>
          <w:p w14:paraId="04B8B196" w14:textId="284B5AE5" w:rsidR="00007A5B" w:rsidRPr="00007A5B" w:rsidRDefault="00007A5B" w:rsidP="00007A5B">
            <w:pPr>
              <w:pStyle w:val="TableFiguresBold"/>
              <w:rPr>
                <w:rFonts w:ascii="IBM Plex Sans Medium" w:hAnsi="IBM Plex Sans Medium"/>
                <w:color w:val="3D7FE0" w:themeColor="accent1"/>
                <w:spacing w:val="-4"/>
                <w:sz w:val="18"/>
                <w:szCs w:val="18"/>
              </w:rPr>
            </w:pPr>
            <w:r w:rsidRPr="00007A5B">
              <w:rPr>
                <w:rFonts w:ascii="IBM Plex Sans Medium" w:hAnsi="IBM Plex Sans Medium"/>
                <w:color w:val="3D7FE0" w:themeColor="accent1"/>
                <w:spacing w:val="-4"/>
                <w:sz w:val="18"/>
                <w:szCs w:val="18"/>
              </w:rPr>
              <w:t>6</w:t>
            </w:r>
            <w:r w:rsidR="008F57AD">
              <w:rPr>
                <w:rFonts w:ascii="IBM Plex Sans Medium" w:hAnsi="IBM Plex Sans Medium"/>
                <w:color w:val="3D7FE0" w:themeColor="accent1"/>
                <w:spacing w:val="-4"/>
                <w:sz w:val="18"/>
                <w:szCs w:val="18"/>
              </w:rPr>
              <w:t>56.2</w:t>
            </w:r>
          </w:p>
        </w:tc>
        <w:tc>
          <w:tcPr>
            <w:tcW w:w="1418" w:type="dxa"/>
            <w:tcBorders>
              <w:top w:val="single" w:sz="2" w:space="0" w:color="3D7FE0" w:themeColor="accent1"/>
              <w:bottom w:val="single" w:sz="8" w:space="0" w:color="3D7FE0" w:themeColor="accent1"/>
            </w:tcBorders>
            <w:tcMar>
              <w:left w:w="0" w:type="dxa"/>
              <w:right w:w="0" w:type="dxa"/>
            </w:tcMar>
            <w:vAlign w:val="bottom"/>
          </w:tcPr>
          <w:p w14:paraId="5037582B" w14:textId="184D5DBC" w:rsidR="00007A5B" w:rsidRPr="00007A5B" w:rsidRDefault="00007A5B" w:rsidP="00007A5B">
            <w:pPr>
              <w:pStyle w:val="TableFigures"/>
              <w:rPr>
                <w:rFonts w:ascii="IBM Plex Sans Light" w:hAnsi="IBM Plex Sans Light"/>
                <w:color w:val="auto"/>
                <w:spacing w:val="-4"/>
                <w:sz w:val="18"/>
                <w:szCs w:val="18"/>
              </w:rPr>
            </w:pPr>
            <w:r w:rsidRPr="00007A5B">
              <w:rPr>
                <w:rFonts w:ascii="IBM Plex Sans Light" w:hAnsi="IBM Plex Sans Light"/>
                <w:color w:val="auto"/>
                <w:spacing w:val="-4"/>
                <w:sz w:val="18"/>
                <w:szCs w:val="18"/>
              </w:rPr>
              <w:t>661.9</w:t>
            </w:r>
          </w:p>
        </w:tc>
      </w:tr>
    </w:tbl>
    <w:p w14:paraId="6ED3A021" w14:textId="77777777" w:rsidR="00181825" w:rsidRDefault="00181825" w:rsidP="00AB6B6E">
      <w:pPr>
        <w:spacing w:after="80" w:line="240" w:lineRule="auto"/>
        <w:jc w:val="both"/>
        <w:rPr>
          <w:rFonts w:ascii="IBM Plex Sans Medium" w:hAnsi="IBM Plex Sans Medium" w:cs="Arial"/>
          <w:b/>
          <w:color w:val="3D7FE0" w:themeColor="accent1"/>
          <w:szCs w:val="18"/>
        </w:rPr>
      </w:pPr>
    </w:p>
    <w:p w14:paraId="6CC8AFBB" w14:textId="3AD0943C" w:rsidR="00CD4ABD" w:rsidRPr="00AB6B6E" w:rsidRDefault="00CD4ABD"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1</w:t>
      </w:r>
      <w:r w:rsidR="004406E3">
        <w:rPr>
          <w:rFonts w:ascii="IBM Plex Sans Medium" w:hAnsi="IBM Plex Sans Medium" w:cs="Arial"/>
          <w:b/>
          <w:color w:val="3D7FE0" w:themeColor="accent1"/>
          <w:szCs w:val="18"/>
        </w:rPr>
        <w:t>7</w:t>
      </w:r>
      <w:r w:rsidRPr="00AB6B6E">
        <w:rPr>
          <w:rFonts w:ascii="IBM Plex Sans Medium" w:hAnsi="IBM Plex Sans Medium" w:cs="Arial"/>
          <w:b/>
          <w:color w:val="3D7FE0" w:themeColor="accent1"/>
          <w:szCs w:val="18"/>
        </w:rPr>
        <w:t>. FINANCIAL INSTRUMENTS</w:t>
      </w:r>
      <w:r w:rsidR="00F516A3" w:rsidRPr="00AB6B6E">
        <w:rPr>
          <w:rFonts w:ascii="IBM Plex Sans Medium" w:hAnsi="IBM Plex Sans Medium" w:cs="Arial"/>
          <w:b/>
          <w:color w:val="3D7FE0" w:themeColor="accent1"/>
          <w:szCs w:val="18"/>
        </w:rPr>
        <w:t xml:space="preserve"> </w:t>
      </w:r>
      <w:r w:rsidR="00CA6F4D" w:rsidRPr="00AB6B6E">
        <w:rPr>
          <w:rFonts w:ascii="IBM Plex Sans Medium" w:hAnsi="IBM Plex Sans Medium" w:cs="Arial"/>
          <w:b/>
          <w:color w:val="3D7FE0" w:themeColor="accent1"/>
          <w:szCs w:val="18"/>
        </w:rPr>
        <w:t>AND RISK MANAGEMENT</w:t>
      </w:r>
    </w:p>
    <w:p w14:paraId="6E6D40AC" w14:textId="6D8A889C" w:rsidR="003E04EC" w:rsidRPr="00895810" w:rsidRDefault="003E04EC" w:rsidP="003E04EC">
      <w:pPr>
        <w:pStyle w:val="Heading2SpaceBefore"/>
        <w:spacing w:before="0"/>
        <w:rPr>
          <w:rFonts w:ascii="IBM Plex Sans Light" w:hAnsi="IBM Plex Sans Light"/>
          <w:color w:val="3D7FE0" w:themeColor="accent1"/>
        </w:rPr>
      </w:pPr>
      <w:bookmarkStart w:id="2" w:name="_Hlk113893233"/>
      <w:r w:rsidRPr="00895810">
        <w:rPr>
          <w:rFonts w:ascii="IBM Plex Sans Light" w:hAnsi="IBM Plex Sans Light"/>
          <w:color w:val="3D7FE0" w:themeColor="accent1"/>
        </w:rPr>
        <w:t xml:space="preserve">A:  </w:t>
      </w:r>
      <w:r w:rsidR="00C62996" w:rsidRPr="00895810">
        <w:rPr>
          <w:rFonts w:ascii="IBM Plex Sans Light" w:hAnsi="IBM Plex Sans Light"/>
          <w:color w:val="3D7FE0" w:themeColor="accent1"/>
        </w:rPr>
        <w:t>FINANCIAL RISK MANAGEMENT AND STRATEGY</w:t>
      </w:r>
    </w:p>
    <w:bookmarkEnd w:id="2"/>
    <w:p w14:paraId="71C9F6FF" w14:textId="77777777" w:rsidR="008F57AD" w:rsidRPr="008F57AD" w:rsidRDefault="008F57AD" w:rsidP="008F57AD">
      <w:pPr>
        <w:spacing w:after="0" w:line="240" w:lineRule="auto"/>
        <w:rPr>
          <w:rFonts w:ascii="IBM Plex Sans Light" w:hAnsi="IBM Plex Sans Light"/>
        </w:rPr>
      </w:pPr>
      <w:r w:rsidRPr="008F57AD">
        <w:rPr>
          <w:rFonts w:ascii="IBM Plex Sans Light" w:hAnsi="IBM Plex Sans Light"/>
        </w:rPr>
        <w:t>The Group’s financial risk management strategy seeks to set financial limits for treasury activity to ensure they are in line with the risk appetite of the Group. The Group’s activities expose it to certain financial risks comprising liquidity risk, market risk (comprising interest rate and foreign currency risk), credit risk and capital risk.</w:t>
      </w:r>
    </w:p>
    <w:p w14:paraId="6C157E5C" w14:textId="77777777" w:rsidR="008F57AD" w:rsidRPr="008F57AD" w:rsidRDefault="008F57AD" w:rsidP="008F57AD">
      <w:pPr>
        <w:spacing w:after="0" w:line="240" w:lineRule="auto"/>
        <w:rPr>
          <w:rFonts w:ascii="IBM Plex Sans Light" w:hAnsi="IBM Plex Sans Light"/>
        </w:rPr>
      </w:pPr>
    </w:p>
    <w:p w14:paraId="0F9D74A7" w14:textId="77777777" w:rsidR="008F57AD" w:rsidRPr="008F57AD" w:rsidRDefault="008F57AD" w:rsidP="008F57AD">
      <w:pPr>
        <w:spacing w:after="0" w:line="240" w:lineRule="auto"/>
        <w:rPr>
          <w:rFonts w:ascii="IBM Plex Sans Light" w:hAnsi="IBM Plex Sans Light"/>
        </w:rPr>
      </w:pPr>
      <w:r w:rsidRPr="008F57AD">
        <w:rPr>
          <w:rFonts w:ascii="IBM Plex Sans Light" w:hAnsi="IBM Plex Sans Light"/>
        </w:rPr>
        <w:t xml:space="preserve">The Group’s treasury function, which operates under treasury policies approved by the Board, maintains internal guidelines for interest cover, gearing, unencumbered assets and other credit ratios and both the current and projected financial position against these guidelines is monitored regularly. </w:t>
      </w:r>
    </w:p>
    <w:p w14:paraId="2690ED6E" w14:textId="77777777" w:rsidR="008F57AD" w:rsidRPr="008F57AD" w:rsidRDefault="008F57AD" w:rsidP="008F57AD">
      <w:pPr>
        <w:spacing w:after="0" w:line="240" w:lineRule="auto"/>
        <w:rPr>
          <w:rFonts w:ascii="IBM Plex Sans Light" w:hAnsi="IBM Plex Sans Light"/>
        </w:rPr>
      </w:pPr>
    </w:p>
    <w:p w14:paraId="44E12457" w14:textId="20F168BC" w:rsidR="00D43C62" w:rsidRDefault="008F57AD" w:rsidP="008F57AD">
      <w:pPr>
        <w:spacing w:after="0" w:line="240" w:lineRule="auto"/>
        <w:rPr>
          <w:rFonts w:ascii="IBM Plex Sans Light" w:hAnsi="IBM Plex Sans Light"/>
        </w:rPr>
      </w:pPr>
      <w:r w:rsidRPr="008F57AD">
        <w:rPr>
          <w:rFonts w:ascii="IBM Plex Sans Light" w:hAnsi="IBM Plex Sans Light"/>
        </w:rPr>
        <w:t>To manage the risks set out above, the Group uses certain derivative financial instruments to mitigate potentially adverse effects on the Group’s financial performance. Derivative financial instruments are used to manage exposure to fluctuations in foreign currency exchange rates and interest rates but are not employed for speculative purposes.</w:t>
      </w:r>
    </w:p>
    <w:p w14:paraId="39DD63B0" w14:textId="77777777" w:rsidR="008F57AD" w:rsidRPr="00895810" w:rsidRDefault="008F57AD" w:rsidP="008F57AD">
      <w:pPr>
        <w:spacing w:after="0" w:line="240" w:lineRule="auto"/>
        <w:rPr>
          <w:rFonts w:ascii="IBM Plex Sans Light" w:hAnsi="IBM Plex Sans Light"/>
          <w:b/>
          <w:color w:val="3D7FE0" w:themeColor="accent1"/>
          <w:szCs w:val="16"/>
        </w:rPr>
      </w:pPr>
    </w:p>
    <w:p w14:paraId="184CDBB0" w14:textId="128835FE" w:rsidR="004C139C" w:rsidRPr="00895810" w:rsidRDefault="008F57AD" w:rsidP="004C139C">
      <w:pPr>
        <w:pStyle w:val="Heading2SpaceBefore"/>
        <w:spacing w:before="0"/>
        <w:rPr>
          <w:rFonts w:ascii="IBM Plex Sans Light" w:hAnsi="IBM Plex Sans Light"/>
          <w:color w:val="3D7FE0" w:themeColor="accent1"/>
        </w:rPr>
      </w:pPr>
      <w:bookmarkStart w:id="3" w:name="_Hlk113893288"/>
      <w:r>
        <w:rPr>
          <w:rFonts w:ascii="IBM Plex Sans Light" w:hAnsi="IBM Plex Sans Light"/>
          <w:color w:val="3D7FE0" w:themeColor="accent1"/>
        </w:rPr>
        <w:t>B</w:t>
      </w:r>
      <w:r w:rsidR="004C139C" w:rsidRPr="00895810">
        <w:rPr>
          <w:rFonts w:ascii="IBM Plex Sans Light" w:hAnsi="IBM Plex Sans Light"/>
          <w:color w:val="3D7FE0" w:themeColor="accent1"/>
        </w:rPr>
        <w:t xml:space="preserve">. </w:t>
      </w:r>
      <w:r w:rsidR="00C62996" w:rsidRPr="00895810">
        <w:rPr>
          <w:rFonts w:ascii="IBM Plex Sans Light" w:hAnsi="IBM Plex Sans Light"/>
          <w:color w:val="3D7FE0" w:themeColor="accent1"/>
        </w:rPr>
        <w:t>FINANCIAL INSTRUMENTS HELD AT FAIR VALUE</w:t>
      </w:r>
    </w:p>
    <w:bookmarkEnd w:id="3"/>
    <w:p w14:paraId="31CE6075" w14:textId="3840F187" w:rsidR="004C139C" w:rsidRPr="00895810" w:rsidRDefault="004C139C" w:rsidP="004C139C">
      <w:pPr>
        <w:spacing w:after="0" w:line="240" w:lineRule="auto"/>
        <w:rPr>
          <w:rFonts w:ascii="IBM Plex Sans Light" w:hAnsi="IBM Plex Sans Light"/>
          <w:b/>
          <w:bCs/>
        </w:rPr>
      </w:pPr>
      <w:r w:rsidRPr="00895810">
        <w:rPr>
          <w:rFonts w:ascii="IBM Plex Sans Light" w:hAnsi="IBM Plex Sans Light"/>
          <w:b/>
          <w:bCs/>
        </w:rPr>
        <w:t>Definitions</w:t>
      </w:r>
    </w:p>
    <w:p w14:paraId="77923F03" w14:textId="63222F2C" w:rsidR="000655F2" w:rsidRPr="00895810" w:rsidRDefault="000655F2" w:rsidP="006D06CE">
      <w:pPr>
        <w:ind w:right="-255"/>
        <w:rPr>
          <w:rFonts w:ascii="IBM Plex Sans Light" w:hAnsi="IBM Plex Sans Light"/>
        </w:rPr>
      </w:pPr>
      <w:r w:rsidRPr="00895810">
        <w:rPr>
          <w:rFonts w:ascii="IBM Plex Sans Light" w:hAnsi="IBM Plex Sans Light"/>
        </w:rPr>
        <w:t xml:space="preserve">The Group’s </w:t>
      </w:r>
      <w:r w:rsidR="002872EE" w:rsidRPr="00895810">
        <w:rPr>
          <w:rFonts w:ascii="IBM Plex Sans Light" w:hAnsi="IBM Plex Sans Light"/>
        </w:rPr>
        <w:t xml:space="preserve">financial instruments </w:t>
      </w:r>
      <w:r w:rsidR="00BA58E5" w:rsidRPr="00895810">
        <w:rPr>
          <w:rFonts w:ascii="IBM Plex Sans Light" w:hAnsi="IBM Plex Sans Light"/>
        </w:rPr>
        <w:t xml:space="preserve">are categorised </w:t>
      </w:r>
      <w:r w:rsidRPr="00895810">
        <w:rPr>
          <w:rFonts w:ascii="IBM Plex Sans Light" w:hAnsi="IBM Plex Sans Light"/>
        </w:rPr>
        <w:t>by level of fair value hierarchy</w:t>
      </w:r>
      <w:r w:rsidR="0057030B" w:rsidRPr="00895810">
        <w:rPr>
          <w:rFonts w:ascii="IBM Plex Sans Light" w:hAnsi="IBM Plex Sans Light"/>
        </w:rPr>
        <w:t xml:space="preserve"> prescribed by accounting standards</w:t>
      </w:r>
      <w:r w:rsidR="002872EE" w:rsidRPr="00895810">
        <w:rPr>
          <w:rFonts w:ascii="IBM Plex Sans Light" w:hAnsi="IBM Plex Sans Light"/>
        </w:rPr>
        <w:t>. The different levels are defined as follows:</w:t>
      </w:r>
    </w:p>
    <w:p w14:paraId="4088431C" w14:textId="78B40364" w:rsidR="000655F2" w:rsidRPr="00895810" w:rsidRDefault="000655F2" w:rsidP="006B43AF">
      <w:pPr>
        <w:pStyle w:val="ListParagraph"/>
        <w:numPr>
          <w:ilvl w:val="0"/>
          <w:numId w:val="22"/>
        </w:numPr>
        <w:spacing w:before="120"/>
        <w:ind w:left="284" w:right="-255" w:hanging="284"/>
        <w:rPr>
          <w:rFonts w:ascii="IBM Plex Sans Light" w:hAnsi="IBM Plex Sans Light"/>
          <w:szCs w:val="18"/>
        </w:rPr>
      </w:pPr>
      <w:r w:rsidRPr="00895810">
        <w:rPr>
          <w:rFonts w:ascii="IBM Plex Sans Light" w:hAnsi="IBM Plex Sans Light"/>
          <w:sz w:val="18"/>
          <w:szCs w:val="18"/>
        </w:rPr>
        <w:t>Level 1: quoted prices (unadjusted) in active markets for identical assets or liabilities</w:t>
      </w:r>
      <w:r w:rsidR="0063029D" w:rsidRPr="00895810">
        <w:rPr>
          <w:rFonts w:ascii="IBM Plex Sans Light" w:hAnsi="IBM Plex Sans Light"/>
          <w:sz w:val="18"/>
          <w:szCs w:val="18"/>
        </w:rPr>
        <w:t>.</w:t>
      </w:r>
    </w:p>
    <w:p w14:paraId="46836E1A" w14:textId="2CF30DEA" w:rsidR="000655F2" w:rsidRPr="00895810" w:rsidRDefault="000655F2" w:rsidP="006B43AF">
      <w:pPr>
        <w:pStyle w:val="ListParagraph"/>
        <w:numPr>
          <w:ilvl w:val="0"/>
          <w:numId w:val="22"/>
        </w:numPr>
        <w:spacing w:before="120"/>
        <w:ind w:left="284" w:right="-255" w:hanging="284"/>
        <w:rPr>
          <w:rFonts w:ascii="IBM Plex Sans Light" w:hAnsi="IBM Plex Sans Light"/>
          <w:szCs w:val="18"/>
        </w:rPr>
      </w:pPr>
      <w:r w:rsidRPr="00895810">
        <w:rPr>
          <w:rFonts w:ascii="IBM Plex Sans Light" w:hAnsi="IBM Plex Sans Light"/>
          <w:sz w:val="18"/>
          <w:szCs w:val="18"/>
        </w:rPr>
        <w:t>Level 2: inputs other than quoted prices included within Level 1 that are observable for the asset or liability, either directly (</w:t>
      </w:r>
      <w:r w:rsidR="00BA58E5" w:rsidRPr="00895810">
        <w:rPr>
          <w:rFonts w:ascii="IBM Plex Sans Light" w:hAnsi="IBM Plex Sans Light"/>
          <w:sz w:val="18"/>
          <w:szCs w:val="18"/>
        </w:rPr>
        <w:t xml:space="preserve">actual </w:t>
      </w:r>
      <w:r w:rsidRPr="00895810">
        <w:rPr>
          <w:rFonts w:ascii="IBM Plex Sans Light" w:hAnsi="IBM Plex Sans Light"/>
          <w:sz w:val="18"/>
          <w:szCs w:val="18"/>
        </w:rPr>
        <w:t xml:space="preserve">prices) or indirectly (derived from </w:t>
      </w:r>
      <w:r w:rsidR="00BA58E5" w:rsidRPr="00895810">
        <w:rPr>
          <w:rFonts w:ascii="IBM Plex Sans Light" w:hAnsi="IBM Plex Sans Light"/>
          <w:sz w:val="18"/>
          <w:szCs w:val="18"/>
        </w:rPr>
        <w:t xml:space="preserve">actual </w:t>
      </w:r>
      <w:r w:rsidRPr="00895810">
        <w:rPr>
          <w:rFonts w:ascii="IBM Plex Sans Light" w:hAnsi="IBM Plex Sans Light"/>
          <w:sz w:val="18"/>
          <w:szCs w:val="18"/>
        </w:rPr>
        <w:t>prices)</w:t>
      </w:r>
      <w:r w:rsidR="0063029D" w:rsidRPr="00895810">
        <w:rPr>
          <w:rFonts w:ascii="IBM Plex Sans Light" w:hAnsi="IBM Plex Sans Light"/>
          <w:sz w:val="18"/>
          <w:szCs w:val="18"/>
        </w:rPr>
        <w:t>.</w:t>
      </w:r>
    </w:p>
    <w:p w14:paraId="3B23A89F" w14:textId="5D2E9D48" w:rsidR="000655F2" w:rsidRPr="00895810" w:rsidRDefault="000655F2" w:rsidP="006B43AF">
      <w:pPr>
        <w:pStyle w:val="ListParagraph"/>
        <w:numPr>
          <w:ilvl w:val="0"/>
          <w:numId w:val="22"/>
        </w:numPr>
        <w:spacing w:before="120"/>
        <w:ind w:left="284" w:right="-255" w:hanging="284"/>
        <w:rPr>
          <w:rFonts w:ascii="IBM Plex Sans Light" w:hAnsi="IBM Plex Sans Light"/>
          <w:szCs w:val="18"/>
        </w:rPr>
      </w:pPr>
      <w:r w:rsidRPr="00895810">
        <w:rPr>
          <w:rFonts w:ascii="IBM Plex Sans Light" w:hAnsi="IBM Plex Sans Light"/>
          <w:sz w:val="18"/>
          <w:szCs w:val="18"/>
        </w:rPr>
        <w:t>Level 3: inputs for the asset or liability that are not based on observable market data (from unobservable inputs).</w:t>
      </w:r>
    </w:p>
    <w:p w14:paraId="468B24F7" w14:textId="636C5A03" w:rsidR="00A24652" w:rsidRPr="00895810" w:rsidRDefault="00A24652">
      <w:pPr>
        <w:spacing w:after="0" w:line="240" w:lineRule="auto"/>
        <w:rPr>
          <w:rFonts w:ascii="IBM Plex Sans Light" w:hAnsi="IBM Plex Sans Light"/>
          <w:b/>
          <w:bCs/>
        </w:rPr>
      </w:pPr>
    </w:p>
    <w:p w14:paraId="79693559" w14:textId="2E7EA2A2" w:rsidR="00CA7BCD" w:rsidRPr="00895810" w:rsidRDefault="00CA7BCD" w:rsidP="00CA7BCD">
      <w:pPr>
        <w:spacing w:after="0" w:line="240" w:lineRule="auto"/>
        <w:rPr>
          <w:rFonts w:ascii="IBM Plex Sans Light" w:hAnsi="IBM Plex Sans Light"/>
          <w:b/>
          <w:bCs/>
        </w:rPr>
      </w:pPr>
      <w:r w:rsidRPr="00895810">
        <w:rPr>
          <w:rFonts w:ascii="IBM Plex Sans Light" w:hAnsi="IBM Plex Sans Light"/>
          <w:b/>
          <w:bCs/>
        </w:rPr>
        <w:t>Fair value valuation technique</w:t>
      </w:r>
    </w:p>
    <w:p w14:paraId="2DD7FAD3" w14:textId="77777777" w:rsidR="0081657A" w:rsidRPr="00895810" w:rsidRDefault="0081657A" w:rsidP="00D75ECB">
      <w:pPr>
        <w:pStyle w:val="Heading2SpaceBefore"/>
        <w:spacing w:before="0"/>
        <w:rPr>
          <w:rFonts w:ascii="IBM Plex Sans Light" w:hAnsi="IBM Plex Sans Light"/>
          <w:b w:val="0"/>
          <w:color w:val="3D7FE0" w:themeColor="accent1"/>
        </w:rPr>
      </w:pPr>
    </w:p>
    <w:tbl>
      <w:tblPr>
        <w:tblStyle w:val="TableGrid"/>
        <w:tblW w:w="9921" w:type="dxa"/>
        <w:tblLayout w:type="fixed"/>
        <w:tblLook w:val="04A0" w:firstRow="1" w:lastRow="0" w:firstColumn="1" w:lastColumn="0" w:noHBand="0" w:noVBand="1"/>
      </w:tblPr>
      <w:tblGrid>
        <w:gridCol w:w="4025"/>
        <w:gridCol w:w="5896"/>
      </w:tblGrid>
      <w:tr w:rsidR="00862AFC" w:rsidRPr="00895810" w14:paraId="72FE9F87" w14:textId="77777777" w:rsidTr="00281CE0">
        <w:tc>
          <w:tcPr>
            <w:tcW w:w="4025" w:type="dxa"/>
            <w:tcBorders>
              <w:bottom w:val="single" w:sz="2" w:space="0" w:color="3D7FE0" w:themeColor="accent1"/>
            </w:tcBorders>
          </w:tcPr>
          <w:p w14:paraId="0E50ABEA" w14:textId="77777777" w:rsidR="00862AFC" w:rsidRPr="00895810" w:rsidRDefault="00862AFC" w:rsidP="0063218B">
            <w:pPr>
              <w:pStyle w:val="TableColHeadsBold"/>
              <w:jc w:val="left"/>
              <w:rPr>
                <w:rFonts w:ascii="IBM Plex Sans Light" w:hAnsi="IBM Plex Sans Light"/>
                <w:color w:val="3D7FE0" w:themeColor="accent1"/>
              </w:rPr>
            </w:pPr>
            <w:r w:rsidRPr="00895810">
              <w:rPr>
                <w:rFonts w:ascii="IBM Plex Sans Light" w:hAnsi="IBM Plex Sans Light"/>
                <w:color w:val="3D7FE0" w:themeColor="accent1"/>
              </w:rPr>
              <w:t>Financial instrument</w:t>
            </w:r>
          </w:p>
        </w:tc>
        <w:tc>
          <w:tcPr>
            <w:tcW w:w="5896" w:type="dxa"/>
            <w:tcBorders>
              <w:bottom w:val="single" w:sz="2" w:space="0" w:color="3D7FE0" w:themeColor="accent1"/>
            </w:tcBorders>
          </w:tcPr>
          <w:p w14:paraId="47DFE26F" w14:textId="77777777" w:rsidR="00862AFC" w:rsidRPr="00895810" w:rsidRDefault="00862AFC" w:rsidP="0063218B">
            <w:pPr>
              <w:pStyle w:val="TableColHeadsBold"/>
              <w:jc w:val="left"/>
              <w:rPr>
                <w:rFonts w:ascii="IBM Plex Sans Light" w:hAnsi="IBM Plex Sans Light"/>
                <w:color w:val="3D7FE0" w:themeColor="accent1"/>
              </w:rPr>
            </w:pPr>
            <w:r w:rsidRPr="00895810">
              <w:rPr>
                <w:rFonts w:ascii="IBM Plex Sans Light" w:hAnsi="IBM Plex Sans Light"/>
                <w:color w:val="3D7FE0" w:themeColor="accent1"/>
              </w:rPr>
              <w:t>Valuation technique for determining fair value</w:t>
            </w:r>
          </w:p>
        </w:tc>
      </w:tr>
      <w:tr w:rsidR="00862AFC" w:rsidRPr="00895810" w14:paraId="535B03A3" w14:textId="77777777" w:rsidTr="00281CE0">
        <w:tc>
          <w:tcPr>
            <w:tcW w:w="4025" w:type="dxa"/>
            <w:tcBorders>
              <w:top w:val="single" w:sz="2" w:space="0" w:color="3D7FE0" w:themeColor="accent1"/>
              <w:bottom w:val="single" w:sz="2" w:space="0" w:color="3D7FE0" w:themeColor="accent1"/>
            </w:tcBorders>
          </w:tcPr>
          <w:p w14:paraId="2D3AEAC4" w14:textId="77777777" w:rsidR="00862AFC" w:rsidRPr="0089581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Unsecured bonds</w:t>
            </w:r>
          </w:p>
        </w:tc>
        <w:tc>
          <w:tcPr>
            <w:tcW w:w="5896" w:type="dxa"/>
            <w:tcBorders>
              <w:top w:val="single" w:sz="2" w:space="0" w:color="3D7FE0" w:themeColor="accent1"/>
              <w:bottom w:val="single" w:sz="2" w:space="0" w:color="3D7FE0" w:themeColor="accent1"/>
            </w:tcBorders>
          </w:tcPr>
          <w:p w14:paraId="484D2A42" w14:textId="77777777" w:rsidR="00862AFC" w:rsidRPr="0089581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Quoted market prices</w:t>
            </w:r>
          </w:p>
        </w:tc>
      </w:tr>
      <w:tr w:rsidR="00862AFC" w:rsidRPr="00895810" w14:paraId="5C467D06" w14:textId="77777777" w:rsidTr="00281CE0">
        <w:trPr>
          <w:trHeight w:val="226"/>
        </w:trPr>
        <w:tc>
          <w:tcPr>
            <w:tcW w:w="4025" w:type="dxa"/>
            <w:tcBorders>
              <w:top w:val="single" w:sz="2" w:space="0" w:color="3D7FE0" w:themeColor="accent1"/>
              <w:bottom w:val="single" w:sz="2" w:space="0" w:color="3D7FE0" w:themeColor="accent1"/>
            </w:tcBorders>
          </w:tcPr>
          <w:p w14:paraId="65A76000" w14:textId="77777777" w:rsidR="00862AFC" w:rsidRPr="0089581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Senior notes</w:t>
            </w:r>
          </w:p>
        </w:tc>
        <w:tc>
          <w:tcPr>
            <w:tcW w:w="5896" w:type="dxa"/>
            <w:tcBorders>
              <w:top w:val="single" w:sz="2" w:space="0" w:color="3D7FE0" w:themeColor="accent1"/>
              <w:bottom w:val="single" w:sz="2" w:space="0" w:color="3D7FE0" w:themeColor="accent1"/>
            </w:tcBorders>
          </w:tcPr>
          <w:p w14:paraId="611ACD65" w14:textId="77777777" w:rsidR="00862AFC" w:rsidRPr="0089581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Present value of cash flows discounted using prevailing market interest rates</w:t>
            </w:r>
          </w:p>
        </w:tc>
      </w:tr>
      <w:tr w:rsidR="00862AFC" w:rsidRPr="00895810" w14:paraId="38471B89" w14:textId="77777777" w:rsidTr="00281CE0">
        <w:trPr>
          <w:trHeight w:val="318"/>
        </w:trPr>
        <w:tc>
          <w:tcPr>
            <w:tcW w:w="4025" w:type="dxa"/>
            <w:tcBorders>
              <w:top w:val="single" w:sz="2" w:space="0" w:color="3D7FE0" w:themeColor="accent1"/>
              <w:bottom w:val="single" w:sz="2" w:space="0" w:color="3D7FE0" w:themeColor="accent1"/>
            </w:tcBorders>
          </w:tcPr>
          <w:p w14:paraId="17372726" w14:textId="57FB30F2" w:rsidR="00862AFC" w:rsidRPr="00895810" w:rsidRDefault="007F1B2A"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U</w:t>
            </w:r>
            <w:r w:rsidR="00862AFC" w:rsidRPr="00895810">
              <w:rPr>
                <w:rFonts w:ascii="IBM Plex Sans Light" w:hAnsi="IBM Plex Sans Light"/>
                <w:color w:val="auto"/>
                <w:spacing w:val="-4"/>
                <w:sz w:val="18"/>
                <w:szCs w:val="18"/>
              </w:rPr>
              <w:t>nsecured bank loans and overdrafts</w:t>
            </w:r>
          </w:p>
        </w:tc>
        <w:tc>
          <w:tcPr>
            <w:tcW w:w="5896" w:type="dxa"/>
            <w:tcBorders>
              <w:top w:val="single" w:sz="2" w:space="0" w:color="3D7FE0" w:themeColor="accent1"/>
              <w:bottom w:val="single" w:sz="2" w:space="0" w:color="3D7FE0" w:themeColor="accent1"/>
            </w:tcBorders>
          </w:tcPr>
          <w:p w14:paraId="39E599B9" w14:textId="77777777" w:rsidR="00862AFC" w:rsidRPr="00895810" w:rsidDel="00DB504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Present value of cash flows discounted using prevailing market interest rates</w:t>
            </w:r>
          </w:p>
        </w:tc>
      </w:tr>
      <w:tr w:rsidR="00862AFC" w:rsidRPr="00895810" w14:paraId="71F611F8" w14:textId="77777777" w:rsidTr="00281CE0">
        <w:trPr>
          <w:trHeight w:val="282"/>
        </w:trPr>
        <w:tc>
          <w:tcPr>
            <w:tcW w:w="4025" w:type="dxa"/>
            <w:tcBorders>
              <w:top w:val="single" w:sz="2" w:space="0" w:color="3D7FE0" w:themeColor="accent1"/>
              <w:bottom w:val="single" w:sz="2" w:space="0" w:color="3D7FE0" w:themeColor="accent1"/>
            </w:tcBorders>
          </w:tcPr>
          <w:p w14:paraId="1AF81BA2" w14:textId="18EB2ED2" w:rsidR="00862AFC" w:rsidRPr="00895810" w:rsidRDefault="007F1B2A"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F</w:t>
            </w:r>
            <w:r w:rsidR="00862AFC" w:rsidRPr="00895810">
              <w:rPr>
                <w:rFonts w:ascii="IBM Plex Sans Light" w:hAnsi="IBM Plex Sans Light"/>
                <w:color w:val="auto"/>
                <w:spacing w:val="-4"/>
                <w:sz w:val="18"/>
                <w:szCs w:val="18"/>
              </w:rPr>
              <w:t>air value of currency swaps and interest rate swaps</w:t>
            </w:r>
          </w:p>
        </w:tc>
        <w:tc>
          <w:tcPr>
            <w:tcW w:w="5896" w:type="dxa"/>
            <w:tcBorders>
              <w:top w:val="single" w:sz="2" w:space="0" w:color="3D7FE0" w:themeColor="accent1"/>
              <w:bottom w:val="single" w:sz="2" w:space="0" w:color="3D7FE0" w:themeColor="accent1"/>
            </w:tcBorders>
          </w:tcPr>
          <w:p w14:paraId="3B48C68E" w14:textId="77777777" w:rsidR="00862AFC" w:rsidRPr="00895810" w:rsidDel="00DB504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Present value of cash flows discounted using prevailing market interest rates</w:t>
            </w:r>
          </w:p>
        </w:tc>
      </w:tr>
      <w:tr w:rsidR="00862AFC" w:rsidRPr="00895810" w14:paraId="0F0257A0" w14:textId="77777777" w:rsidTr="00281CE0">
        <w:trPr>
          <w:trHeight w:val="324"/>
        </w:trPr>
        <w:tc>
          <w:tcPr>
            <w:tcW w:w="4025" w:type="dxa"/>
            <w:tcBorders>
              <w:top w:val="single" w:sz="2" w:space="0" w:color="3D7FE0" w:themeColor="accent1"/>
              <w:bottom w:val="single" w:sz="2" w:space="0" w:color="3D7FE0" w:themeColor="accent1"/>
            </w:tcBorders>
          </w:tcPr>
          <w:p w14:paraId="081C55E0" w14:textId="7E0EA121" w:rsidR="00862AFC" w:rsidRPr="0089581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 xml:space="preserve">Other investments including participative loans to </w:t>
            </w:r>
            <w:r w:rsidR="00452848">
              <w:rPr>
                <w:rFonts w:ascii="IBM Plex Sans Light" w:hAnsi="IBM Plex Sans Light"/>
                <w:color w:val="auto"/>
                <w:spacing w:val="-4"/>
                <w:sz w:val="18"/>
                <w:szCs w:val="18"/>
              </w:rPr>
              <w:t>Value Retail</w:t>
            </w:r>
          </w:p>
        </w:tc>
        <w:tc>
          <w:tcPr>
            <w:tcW w:w="5896" w:type="dxa"/>
            <w:tcBorders>
              <w:top w:val="single" w:sz="2" w:space="0" w:color="3D7FE0" w:themeColor="accent1"/>
              <w:bottom w:val="single" w:sz="2" w:space="0" w:color="3D7FE0" w:themeColor="accent1"/>
            </w:tcBorders>
          </w:tcPr>
          <w:p w14:paraId="421732BD" w14:textId="00AEF062" w:rsidR="00862AFC" w:rsidRPr="00895810" w:rsidRDefault="00862AFC" w:rsidP="0063218B">
            <w:pPr>
              <w:pStyle w:val="Tabletext"/>
              <w:rPr>
                <w:rFonts w:ascii="IBM Plex Sans Light" w:hAnsi="IBM Plex Sans Light"/>
                <w:color w:val="auto"/>
                <w:spacing w:val="-4"/>
                <w:sz w:val="18"/>
                <w:szCs w:val="18"/>
              </w:rPr>
            </w:pPr>
            <w:r w:rsidRPr="00895810">
              <w:rPr>
                <w:rFonts w:ascii="IBM Plex Sans Light" w:hAnsi="IBM Plex Sans Light"/>
                <w:color w:val="auto"/>
                <w:spacing w:val="-4"/>
                <w:sz w:val="18"/>
                <w:szCs w:val="18"/>
              </w:rPr>
              <w:t>Underlying net asset values of the interests in Villages/centre *</w:t>
            </w:r>
          </w:p>
        </w:tc>
      </w:tr>
    </w:tbl>
    <w:p w14:paraId="1F49C42B" w14:textId="77777777" w:rsidR="008F57AD" w:rsidRDefault="008F57AD" w:rsidP="00CA7BCD">
      <w:pPr>
        <w:spacing w:after="0" w:line="240" w:lineRule="auto"/>
        <w:rPr>
          <w:rFonts w:ascii="IBM Plex Sans Light" w:hAnsi="IBM Plex Sans Light"/>
          <w:sz w:val="16"/>
          <w:szCs w:val="16"/>
        </w:rPr>
      </w:pPr>
    </w:p>
    <w:p w14:paraId="0B3D1407" w14:textId="3DFFF43E" w:rsidR="009E725D" w:rsidRPr="008F57AD" w:rsidRDefault="008F57AD" w:rsidP="008F57AD">
      <w:pPr>
        <w:spacing w:after="0" w:line="240" w:lineRule="auto"/>
        <w:ind w:left="284" w:hanging="284"/>
        <w:rPr>
          <w:rFonts w:ascii="IBM Plex Sans Light" w:hAnsi="IBM Plex Sans Light"/>
          <w:color w:val="3D7FE0" w:themeColor="accent1"/>
          <w:szCs w:val="18"/>
        </w:rPr>
      </w:pPr>
      <w:r w:rsidRPr="008F57AD">
        <w:rPr>
          <w:rFonts w:ascii="IBM Plex Sans Light" w:hAnsi="IBM Plex Sans Light"/>
          <w:szCs w:val="18"/>
        </w:rPr>
        <w:t xml:space="preserve">* </w:t>
      </w:r>
      <w:r w:rsidRPr="008F57AD">
        <w:rPr>
          <w:rFonts w:ascii="IBM Plex Sans Light" w:hAnsi="IBM Plex Sans Light"/>
          <w:szCs w:val="18"/>
        </w:rPr>
        <w:tab/>
        <w:t>The assets of the Villages/centre comprise mainly investment properties held at fair value determined by professional valuers.</w:t>
      </w:r>
    </w:p>
    <w:p w14:paraId="0EAB5D05" w14:textId="77777777" w:rsidR="008F57AD" w:rsidRDefault="008F57AD" w:rsidP="00CA7BCD">
      <w:pPr>
        <w:spacing w:after="0" w:line="240" w:lineRule="auto"/>
        <w:rPr>
          <w:rFonts w:ascii="IBM Plex Sans Light" w:hAnsi="IBM Plex Sans Light"/>
          <w:b/>
          <w:bCs/>
        </w:rPr>
      </w:pPr>
    </w:p>
    <w:p w14:paraId="0F084B29" w14:textId="6BF770B2" w:rsidR="00CA7BCD" w:rsidRPr="00895810" w:rsidRDefault="00CA7BCD" w:rsidP="00CA7BCD">
      <w:pPr>
        <w:spacing w:after="0" w:line="240" w:lineRule="auto"/>
        <w:rPr>
          <w:rFonts w:ascii="IBM Plex Sans Light" w:hAnsi="IBM Plex Sans Light"/>
          <w:b/>
          <w:bCs/>
        </w:rPr>
      </w:pPr>
      <w:r w:rsidRPr="00895810">
        <w:rPr>
          <w:rFonts w:ascii="IBM Plex Sans Light" w:hAnsi="IBM Plex Sans Light"/>
          <w:b/>
          <w:bCs/>
        </w:rPr>
        <w:t>Fair value hierarchy analysis</w:t>
      </w:r>
    </w:p>
    <w:tbl>
      <w:tblPr>
        <w:tblW w:w="9894" w:type="dxa"/>
        <w:tblLayout w:type="fixed"/>
        <w:tblLook w:val="01E0" w:firstRow="1" w:lastRow="1" w:firstColumn="1" w:lastColumn="1" w:noHBand="0" w:noVBand="0"/>
      </w:tblPr>
      <w:tblGrid>
        <w:gridCol w:w="2948"/>
        <w:gridCol w:w="425"/>
        <w:gridCol w:w="992"/>
        <w:gridCol w:w="993"/>
        <w:gridCol w:w="992"/>
        <w:gridCol w:w="992"/>
        <w:gridCol w:w="851"/>
        <w:gridCol w:w="850"/>
        <w:gridCol w:w="851"/>
      </w:tblGrid>
      <w:tr w:rsidR="009039C3" w:rsidRPr="00895810" w14:paraId="4A935D6D" w14:textId="77777777" w:rsidTr="009A5203">
        <w:trPr>
          <w:trHeight w:hRule="exact" w:val="170"/>
        </w:trPr>
        <w:tc>
          <w:tcPr>
            <w:tcW w:w="2948" w:type="dxa"/>
            <w:tcMar>
              <w:left w:w="0" w:type="dxa"/>
              <w:right w:w="0" w:type="dxa"/>
            </w:tcMar>
            <w:vAlign w:val="bottom"/>
          </w:tcPr>
          <w:p w14:paraId="0D1D1C04" w14:textId="77777777" w:rsidR="009039C3" w:rsidRPr="00895810" w:rsidRDefault="009039C3" w:rsidP="009039C3">
            <w:pPr>
              <w:pStyle w:val="TableColHeadsBold"/>
              <w:rPr>
                <w:rFonts w:ascii="IBM Plex Sans Light" w:hAnsi="IBM Plex Sans Light"/>
              </w:rPr>
            </w:pPr>
          </w:p>
        </w:tc>
        <w:tc>
          <w:tcPr>
            <w:tcW w:w="425" w:type="dxa"/>
            <w:vAlign w:val="bottom"/>
          </w:tcPr>
          <w:p w14:paraId="30C874BC" w14:textId="77777777" w:rsidR="009039C3" w:rsidRPr="00895810" w:rsidRDefault="009039C3" w:rsidP="009039C3">
            <w:pPr>
              <w:pStyle w:val="TableColHeadsBold"/>
              <w:tabs>
                <w:tab w:val="clear" w:pos="284"/>
              </w:tabs>
              <w:ind w:right="-107"/>
              <w:rPr>
                <w:rFonts w:ascii="IBM Plex Sans Light" w:hAnsi="IBM Plex Sans Light"/>
              </w:rPr>
            </w:pPr>
          </w:p>
        </w:tc>
        <w:tc>
          <w:tcPr>
            <w:tcW w:w="992" w:type="dxa"/>
            <w:vAlign w:val="bottom"/>
          </w:tcPr>
          <w:p w14:paraId="15331B61" w14:textId="77777777" w:rsidR="009039C3" w:rsidRPr="00895810" w:rsidRDefault="009039C3" w:rsidP="009039C3">
            <w:pPr>
              <w:pStyle w:val="TableColHeadsBold"/>
              <w:rPr>
                <w:rFonts w:ascii="IBM Plex Sans Light" w:hAnsi="IBM Plex Sans Light"/>
                <w:bCs w:val="0"/>
              </w:rPr>
            </w:pPr>
          </w:p>
        </w:tc>
        <w:tc>
          <w:tcPr>
            <w:tcW w:w="993" w:type="dxa"/>
            <w:tcMar>
              <w:left w:w="0" w:type="dxa"/>
              <w:right w:w="0" w:type="dxa"/>
            </w:tcMar>
            <w:vAlign w:val="bottom"/>
          </w:tcPr>
          <w:p w14:paraId="64AE0BDD" w14:textId="77777777" w:rsidR="009039C3" w:rsidRPr="00895810" w:rsidRDefault="009039C3" w:rsidP="009039C3">
            <w:pPr>
              <w:pStyle w:val="TableColHeadsBold"/>
              <w:rPr>
                <w:rFonts w:ascii="IBM Plex Sans Light" w:hAnsi="IBM Plex Sans Light"/>
                <w:color w:val="3D7FE0" w:themeColor="accent1"/>
              </w:rPr>
            </w:pPr>
          </w:p>
        </w:tc>
        <w:tc>
          <w:tcPr>
            <w:tcW w:w="992" w:type="dxa"/>
            <w:tcMar>
              <w:left w:w="0" w:type="dxa"/>
              <w:right w:w="0" w:type="dxa"/>
            </w:tcMar>
            <w:vAlign w:val="bottom"/>
          </w:tcPr>
          <w:p w14:paraId="0409FCE6" w14:textId="77777777" w:rsidR="009039C3" w:rsidRPr="00895810" w:rsidRDefault="009039C3" w:rsidP="009039C3">
            <w:pPr>
              <w:pStyle w:val="TableColHeadsBold"/>
              <w:rPr>
                <w:rFonts w:ascii="IBM Plex Sans Light" w:hAnsi="IBM Plex Sans Light"/>
                <w:color w:val="3D7FE0" w:themeColor="accent1"/>
              </w:rPr>
            </w:pPr>
          </w:p>
        </w:tc>
        <w:tc>
          <w:tcPr>
            <w:tcW w:w="1843" w:type="dxa"/>
            <w:gridSpan w:val="2"/>
            <w:tcMar>
              <w:left w:w="0" w:type="dxa"/>
              <w:right w:w="0" w:type="dxa"/>
            </w:tcMar>
            <w:vAlign w:val="bottom"/>
          </w:tcPr>
          <w:p w14:paraId="09280E95" w14:textId="799C88D4" w:rsidR="009039C3" w:rsidRPr="00895810" w:rsidRDefault="00785AC2" w:rsidP="009039C3">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1701" w:type="dxa"/>
            <w:gridSpan w:val="2"/>
            <w:tcMar>
              <w:left w:w="0" w:type="dxa"/>
              <w:right w:w="0" w:type="dxa"/>
            </w:tcMar>
            <w:vAlign w:val="bottom"/>
          </w:tcPr>
          <w:p w14:paraId="6145B73C" w14:textId="4320CD61" w:rsidR="009039C3" w:rsidRPr="00895810" w:rsidRDefault="006E7EB0" w:rsidP="009039C3">
            <w:pPr>
              <w:pStyle w:val="TableColHeadsBold"/>
              <w:rPr>
                <w:rFonts w:ascii="IBM Plex Sans Light" w:hAnsi="IBM Plex Sans Light"/>
                <w:b w:val="0"/>
              </w:rPr>
            </w:pPr>
            <w:r>
              <w:rPr>
                <w:rFonts w:ascii="IBM Plex Sans Light" w:hAnsi="IBM Plex Sans Light"/>
                <w:b w:val="0"/>
              </w:rPr>
              <w:t>2022</w:t>
            </w:r>
          </w:p>
        </w:tc>
      </w:tr>
      <w:tr w:rsidR="009039C3" w:rsidRPr="00895810" w14:paraId="287ACE8D" w14:textId="77777777" w:rsidTr="009A5203">
        <w:trPr>
          <w:trHeight w:hRule="exact" w:val="331"/>
        </w:trPr>
        <w:tc>
          <w:tcPr>
            <w:tcW w:w="2948" w:type="dxa"/>
            <w:tcBorders>
              <w:top w:val="single" w:sz="2" w:space="0" w:color="3D7FE0" w:themeColor="accent1"/>
            </w:tcBorders>
            <w:tcMar>
              <w:left w:w="0" w:type="dxa"/>
              <w:right w:w="0" w:type="dxa"/>
            </w:tcMar>
            <w:vAlign w:val="bottom"/>
          </w:tcPr>
          <w:p w14:paraId="63A1307D" w14:textId="77777777" w:rsidR="009039C3" w:rsidRPr="00895810" w:rsidRDefault="009039C3" w:rsidP="009039C3">
            <w:pPr>
              <w:pStyle w:val="TableColHeadsBold"/>
              <w:rPr>
                <w:rFonts w:ascii="IBM Plex Sans Light" w:hAnsi="IBM Plex Sans Light"/>
              </w:rPr>
            </w:pPr>
          </w:p>
        </w:tc>
        <w:tc>
          <w:tcPr>
            <w:tcW w:w="425" w:type="dxa"/>
            <w:tcBorders>
              <w:top w:val="single" w:sz="2" w:space="0" w:color="3D7FE0" w:themeColor="accent1"/>
            </w:tcBorders>
            <w:vAlign w:val="bottom"/>
          </w:tcPr>
          <w:p w14:paraId="06E3189E" w14:textId="1BC4B003" w:rsidR="009039C3" w:rsidRPr="00895810" w:rsidRDefault="009039C3" w:rsidP="009039C3">
            <w:pPr>
              <w:pStyle w:val="TableColHeadsBold"/>
              <w:tabs>
                <w:tab w:val="clear" w:pos="284"/>
              </w:tabs>
              <w:ind w:right="-107"/>
              <w:rPr>
                <w:rFonts w:ascii="IBM Plex Sans Light" w:hAnsi="IBM Plex Sans Light"/>
              </w:rPr>
            </w:pPr>
          </w:p>
        </w:tc>
        <w:tc>
          <w:tcPr>
            <w:tcW w:w="992" w:type="dxa"/>
            <w:tcBorders>
              <w:top w:val="single" w:sz="2" w:space="0" w:color="3D7FE0" w:themeColor="accent1"/>
            </w:tcBorders>
            <w:vAlign w:val="bottom"/>
          </w:tcPr>
          <w:p w14:paraId="51341726" w14:textId="77777777" w:rsidR="009039C3" w:rsidRPr="00895810" w:rsidRDefault="009039C3" w:rsidP="009039C3">
            <w:pPr>
              <w:pStyle w:val="TableColHeadsBold"/>
              <w:rPr>
                <w:rFonts w:ascii="IBM Plex Sans Light" w:hAnsi="IBM Plex Sans Light"/>
                <w:bCs w:val="0"/>
              </w:rPr>
            </w:pPr>
            <w:r w:rsidRPr="00895810">
              <w:rPr>
                <w:rFonts w:ascii="IBM Plex Sans Light" w:hAnsi="IBM Plex Sans Light"/>
                <w:bCs w:val="0"/>
              </w:rPr>
              <w:t>Hierarchy</w:t>
            </w:r>
          </w:p>
        </w:tc>
        <w:tc>
          <w:tcPr>
            <w:tcW w:w="993" w:type="dxa"/>
            <w:tcBorders>
              <w:top w:val="single" w:sz="2" w:space="0" w:color="3D7FE0" w:themeColor="accent1"/>
            </w:tcBorders>
            <w:tcMar>
              <w:left w:w="0" w:type="dxa"/>
              <w:right w:w="0" w:type="dxa"/>
            </w:tcMar>
            <w:vAlign w:val="bottom"/>
          </w:tcPr>
          <w:p w14:paraId="5668FE05" w14:textId="5360170A" w:rsidR="009039C3" w:rsidRPr="00895810" w:rsidRDefault="009039C3" w:rsidP="009039C3">
            <w:pPr>
              <w:pStyle w:val="TableColHeadsBold"/>
              <w:rPr>
                <w:rFonts w:ascii="IBM Plex Sans Light" w:hAnsi="IBM Plex Sans Light"/>
                <w:color w:val="3D7FE0" w:themeColor="accent1"/>
              </w:rPr>
            </w:pPr>
          </w:p>
        </w:tc>
        <w:tc>
          <w:tcPr>
            <w:tcW w:w="992" w:type="dxa"/>
            <w:tcBorders>
              <w:top w:val="single" w:sz="2" w:space="0" w:color="3D7FE0" w:themeColor="accent1"/>
            </w:tcBorders>
            <w:tcMar>
              <w:left w:w="0" w:type="dxa"/>
              <w:right w:w="0" w:type="dxa"/>
            </w:tcMar>
            <w:vAlign w:val="bottom"/>
          </w:tcPr>
          <w:p w14:paraId="14E5F144" w14:textId="2860CFE6" w:rsidR="009039C3" w:rsidRPr="00895810" w:rsidRDefault="009039C3" w:rsidP="009039C3">
            <w:pPr>
              <w:pStyle w:val="TableColHeadsBold"/>
              <w:rPr>
                <w:rFonts w:ascii="IBM Plex Sans Light" w:hAnsi="IBM Plex Sans Light"/>
                <w:color w:val="3D7FE0" w:themeColor="accent1"/>
              </w:rPr>
            </w:pPr>
          </w:p>
        </w:tc>
        <w:tc>
          <w:tcPr>
            <w:tcW w:w="992" w:type="dxa"/>
            <w:tcBorders>
              <w:top w:val="single" w:sz="2" w:space="0" w:color="3D7FE0" w:themeColor="accent1"/>
            </w:tcBorders>
            <w:tcMar>
              <w:left w:w="0" w:type="dxa"/>
              <w:right w:w="0" w:type="dxa"/>
            </w:tcMar>
            <w:vAlign w:val="bottom"/>
          </w:tcPr>
          <w:p w14:paraId="54658350" w14:textId="2514684C" w:rsidR="009039C3" w:rsidRPr="00895810" w:rsidRDefault="006C613A" w:rsidP="009039C3">
            <w:pPr>
              <w:pStyle w:val="TableColHeadsBold"/>
              <w:rPr>
                <w:rFonts w:ascii="IBM Plex Sans Light" w:hAnsi="IBM Plex Sans Light"/>
                <w:bCs w:val="0"/>
                <w:color w:val="3D7FE0" w:themeColor="accent1"/>
              </w:rPr>
            </w:pPr>
            <w:r w:rsidRPr="00895810">
              <w:rPr>
                <w:rFonts w:ascii="IBM Plex Sans Light" w:hAnsi="IBM Plex Sans Light"/>
                <w:bCs w:val="0"/>
                <w:color w:val="3D7FE0" w:themeColor="accent1"/>
              </w:rPr>
              <w:t>Carrying amount</w:t>
            </w:r>
          </w:p>
        </w:tc>
        <w:tc>
          <w:tcPr>
            <w:tcW w:w="851" w:type="dxa"/>
            <w:tcBorders>
              <w:top w:val="single" w:sz="2" w:space="0" w:color="3D7FE0" w:themeColor="accent1"/>
            </w:tcBorders>
            <w:tcMar>
              <w:left w:w="0" w:type="dxa"/>
              <w:right w:w="0" w:type="dxa"/>
            </w:tcMar>
            <w:vAlign w:val="bottom"/>
          </w:tcPr>
          <w:p w14:paraId="556B6416" w14:textId="1AF1F8DD" w:rsidR="009039C3" w:rsidRPr="00895810" w:rsidRDefault="006C613A" w:rsidP="009039C3">
            <w:pPr>
              <w:pStyle w:val="TableColHeadsBold"/>
              <w:rPr>
                <w:rFonts w:ascii="IBM Plex Sans Light" w:hAnsi="IBM Plex Sans Light"/>
                <w:bCs w:val="0"/>
                <w:color w:val="3D7FE0" w:themeColor="accent1"/>
              </w:rPr>
            </w:pPr>
            <w:r w:rsidRPr="00895810">
              <w:rPr>
                <w:rFonts w:ascii="IBM Plex Sans Light" w:hAnsi="IBM Plex Sans Light"/>
                <w:bCs w:val="0"/>
                <w:color w:val="3D7FE0" w:themeColor="accent1"/>
              </w:rPr>
              <w:t>Fair value</w:t>
            </w:r>
          </w:p>
        </w:tc>
        <w:tc>
          <w:tcPr>
            <w:tcW w:w="850" w:type="dxa"/>
            <w:tcBorders>
              <w:top w:val="single" w:sz="2" w:space="0" w:color="3D7FE0" w:themeColor="accent1"/>
            </w:tcBorders>
            <w:tcMar>
              <w:left w:w="0" w:type="dxa"/>
              <w:right w:w="0" w:type="dxa"/>
            </w:tcMar>
            <w:vAlign w:val="bottom"/>
          </w:tcPr>
          <w:p w14:paraId="13EB7989" w14:textId="4FE4F42D" w:rsidR="009039C3" w:rsidRPr="00895810" w:rsidRDefault="006C613A" w:rsidP="009039C3">
            <w:pPr>
              <w:pStyle w:val="TableColHeadsBold"/>
              <w:rPr>
                <w:rFonts w:ascii="IBM Plex Sans Light" w:hAnsi="IBM Plex Sans Light"/>
                <w:b w:val="0"/>
              </w:rPr>
            </w:pPr>
            <w:r w:rsidRPr="00895810">
              <w:rPr>
                <w:rFonts w:ascii="IBM Plex Sans Light" w:hAnsi="IBM Plex Sans Light"/>
                <w:b w:val="0"/>
              </w:rPr>
              <w:t>Carrying amount</w:t>
            </w:r>
          </w:p>
        </w:tc>
        <w:tc>
          <w:tcPr>
            <w:tcW w:w="851" w:type="dxa"/>
            <w:tcBorders>
              <w:top w:val="single" w:sz="2" w:space="0" w:color="3D7FE0" w:themeColor="accent1"/>
            </w:tcBorders>
            <w:tcMar>
              <w:left w:w="0" w:type="dxa"/>
              <w:right w:w="0" w:type="dxa"/>
            </w:tcMar>
            <w:vAlign w:val="bottom"/>
          </w:tcPr>
          <w:p w14:paraId="4BA23291" w14:textId="1D783D8A" w:rsidR="009039C3" w:rsidRPr="00895810" w:rsidRDefault="006C613A" w:rsidP="009039C3">
            <w:pPr>
              <w:pStyle w:val="TableColHeadsBold"/>
              <w:rPr>
                <w:rFonts w:ascii="IBM Plex Sans Light" w:hAnsi="IBM Plex Sans Light"/>
                <w:b w:val="0"/>
              </w:rPr>
            </w:pPr>
            <w:r w:rsidRPr="00895810">
              <w:rPr>
                <w:rFonts w:ascii="IBM Plex Sans Light" w:hAnsi="IBM Plex Sans Light"/>
                <w:b w:val="0"/>
              </w:rPr>
              <w:t>Fair value</w:t>
            </w:r>
          </w:p>
        </w:tc>
      </w:tr>
      <w:tr w:rsidR="009039C3" w:rsidRPr="00895810" w14:paraId="112F3AC4" w14:textId="77777777" w:rsidTr="009A5203">
        <w:tc>
          <w:tcPr>
            <w:tcW w:w="2948" w:type="dxa"/>
            <w:tcBorders>
              <w:bottom w:val="single" w:sz="2" w:space="0" w:color="3D7FE0" w:themeColor="accent1"/>
            </w:tcBorders>
            <w:tcMar>
              <w:left w:w="0" w:type="dxa"/>
              <w:bottom w:w="28" w:type="dxa"/>
              <w:right w:w="0" w:type="dxa"/>
            </w:tcMar>
            <w:vAlign w:val="bottom"/>
          </w:tcPr>
          <w:p w14:paraId="6CFF5DF7" w14:textId="77777777" w:rsidR="009039C3" w:rsidRPr="00895810" w:rsidRDefault="009039C3" w:rsidP="009039C3">
            <w:pPr>
              <w:pStyle w:val="TableColHeadsBold"/>
              <w:rPr>
                <w:rFonts w:ascii="IBM Plex Sans Light" w:hAnsi="IBM Plex Sans Light"/>
              </w:rPr>
            </w:pPr>
          </w:p>
        </w:tc>
        <w:tc>
          <w:tcPr>
            <w:tcW w:w="425" w:type="dxa"/>
            <w:tcBorders>
              <w:bottom w:val="single" w:sz="2" w:space="0" w:color="3D7FE0" w:themeColor="accent1"/>
            </w:tcBorders>
            <w:vAlign w:val="bottom"/>
          </w:tcPr>
          <w:p w14:paraId="021B3344" w14:textId="6D9E4D10" w:rsidR="009039C3" w:rsidRPr="00895810" w:rsidRDefault="009039C3" w:rsidP="009039C3">
            <w:pPr>
              <w:pStyle w:val="TableColHeadsBold"/>
              <w:tabs>
                <w:tab w:val="clear" w:pos="284"/>
              </w:tabs>
              <w:ind w:right="-107"/>
              <w:rPr>
                <w:rFonts w:ascii="IBM Plex Sans Light" w:hAnsi="IBM Plex Sans Light"/>
              </w:rPr>
            </w:pPr>
          </w:p>
        </w:tc>
        <w:tc>
          <w:tcPr>
            <w:tcW w:w="992" w:type="dxa"/>
            <w:tcBorders>
              <w:bottom w:val="single" w:sz="2" w:space="0" w:color="3D7FE0" w:themeColor="accent1"/>
            </w:tcBorders>
            <w:vAlign w:val="bottom"/>
          </w:tcPr>
          <w:p w14:paraId="688A640F" w14:textId="048ABE04" w:rsidR="009039C3" w:rsidRPr="00895810" w:rsidRDefault="009039C3" w:rsidP="009039C3">
            <w:pPr>
              <w:pStyle w:val="TableColHeadsBold"/>
              <w:rPr>
                <w:rFonts w:ascii="IBM Plex Sans Light" w:hAnsi="IBM Plex Sans Light"/>
                <w:b w:val="0"/>
              </w:rPr>
            </w:pPr>
          </w:p>
        </w:tc>
        <w:tc>
          <w:tcPr>
            <w:tcW w:w="993" w:type="dxa"/>
            <w:tcBorders>
              <w:bottom w:val="single" w:sz="2" w:space="0" w:color="3D7FE0" w:themeColor="accent1"/>
            </w:tcBorders>
            <w:tcMar>
              <w:left w:w="0" w:type="dxa"/>
              <w:bottom w:w="28" w:type="dxa"/>
              <w:right w:w="0" w:type="dxa"/>
            </w:tcMar>
            <w:vAlign w:val="bottom"/>
          </w:tcPr>
          <w:p w14:paraId="202D81AC" w14:textId="28DD8CC9" w:rsidR="009039C3" w:rsidRPr="00895810" w:rsidRDefault="009039C3" w:rsidP="009039C3">
            <w:pPr>
              <w:pStyle w:val="TableColHeadsBold"/>
              <w:rPr>
                <w:rFonts w:ascii="IBM Plex Sans Light" w:hAnsi="IBM Plex Sans Light"/>
                <w:color w:val="3D7FE0" w:themeColor="accent1"/>
              </w:rPr>
            </w:pPr>
          </w:p>
        </w:tc>
        <w:tc>
          <w:tcPr>
            <w:tcW w:w="992" w:type="dxa"/>
            <w:tcBorders>
              <w:bottom w:val="single" w:sz="2" w:space="0" w:color="3D7FE0" w:themeColor="accent1"/>
            </w:tcBorders>
            <w:tcMar>
              <w:left w:w="0" w:type="dxa"/>
              <w:bottom w:w="28" w:type="dxa"/>
              <w:right w:w="0" w:type="dxa"/>
            </w:tcMar>
            <w:vAlign w:val="bottom"/>
          </w:tcPr>
          <w:p w14:paraId="0CD47562" w14:textId="566EB098" w:rsidR="009039C3" w:rsidRPr="00895810" w:rsidRDefault="009039C3" w:rsidP="009039C3">
            <w:pPr>
              <w:pStyle w:val="TableColHeadsBold"/>
              <w:rPr>
                <w:rFonts w:ascii="IBM Plex Sans Light" w:hAnsi="IBM Plex Sans Light"/>
                <w:color w:val="3D7FE0" w:themeColor="accent1"/>
              </w:rPr>
            </w:pPr>
          </w:p>
        </w:tc>
        <w:tc>
          <w:tcPr>
            <w:tcW w:w="992" w:type="dxa"/>
            <w:tcBorders>
              <w:bottom w:val="single" w:sz="2" w:space="0" w:color="3D7FE0" w:themeColor="accent1"/>
            </w:tcBorders>
            <w:tcMar>
              <w:left w:w="0" w:type="dxa"/>
              <w:bottom w:w="28" w:type="dxa"/>
              <w:right w:w="0" w:type="dxa"/>
            </w:tcMar>
            <w:vAlign w:val="bottom"/>
          </w:tcPr>
          <w:p w14:paraId="4DA7F888" w14:textId="77777777" w:rsidR="009039C3" w:rsidRPr="00895810" w:rsidRDefault="009039C3" w:rsidP="009039C3">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1" w:type="dxa"/>
            <w:tcBorders>
              <w:bottom w:val="single" w:sz="2" w:space="0" w:color="3D7FE0" w:themeColor="accent1"/>
            </w:tcBorders>
            <w:tcMar>
              <w:left w:w="0" w:type="dxa"/>
              <w:bottom w:w="28" w:type="dxa"/>
              <w:right w:w="0" w:type="dxa"/>
            </w:tcMar>
            <w:vAlign w:val="bottom"/>
          </w:tcPr>
          <w:p w14:paraId="3FF661A2" w14:textId="0328BF38" w:rsidR="009039C3" w:rsidRPr="00895810" w:rsidRDefault="009039C3" w:rsidP="009039C3">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0" w:type="dxa"/>
            <w:tcBorders>
              <w:bottom w:val="single" w:sz="2" w:space="0" w:color="3D7FE0" w:themeColor="accent1"/>
            </w:tcBorders>
            <w:tcMar>
              <w:left w:w="0" w:type="dxa"/>
              <w:bottom w:w="28" w:type="dxa"/>
              <w:right w:w="0" w:type="dxa"/>
            </w:tcMar>
            <w:vAlign w:val="bottom"/>
          </w:tcPr>
          <w:p w14:paraId="6A0C50BA" w14:textId="4D3C80F7" w:rsidR="009039C3" w:rsidRPr="00895810" w:rsidRDefault="009039C3" w:rsidP="009039C3">
            <w:pPr>
              <w:pStyle w:val="TableColHeadsBold"/>
              <w:rPr>
                <w:rFonts w:ascii="IBM Plex Sans Light" w:hAnsi="IBM Plex Sans Light"/>
                <w:b w:val="0"/>
              </w:rPr>
            </w:pPr>
            <w:r w:rsidRPr="00895810">
              <w:rPr>
                <w:rFonts w:ascii="IBM Plex Sans Light" w:hAnsi="IBM Plex Sans Light"/>
                <w:b w:val="0"/>
              </w:rPr>
              <w:t xml:space="preserve">£m </w:t>
            </w:r>
          </w:p>
        </w:tc>
        <w:tc>
          <w:tcPr>
            <w:tcW w:w="851" w:type="dxa"/>
            <w:tcBorders>
              <w:bottom w:val="single" w:sz="2" w:space="0" w:color="3D7FE0" w:themeColor="accent1"/>
            </w:tcBorders>
            <w:tcMar>
              <w:left w:w="0" w:type="dxa"/>
              <w:bottom w:w="28" w:type="dxa"/>
              <w:right w:w="0" w:type="dxa"/>
            </w:tcMar>
            <w:vAlign w:val="bottom"/>
          </w:tcPr>
          <w:p w14:paraId="7581D758" w14:textId="252C515C" w:rsidR="009039C3" w:rsidRPr="00895810" w:rsidRDefault="009039C3" w:rsidP="009039C3">
            <w:pPr>
              <w:pStyle w:val="TableColHeadsBold"/>
              <w:rPr>
                <w:rFonts w:ascii="IBM Plex Sans Light" w:hAnsi="IBM Plex Sans Light"/>
                <w:b w:val="0"/>
              </w:rPr>
            </w:pPr>
            <w:r w:rsidRPr="00895810">
              <w:rPr>
                <w:rFonts w:ascii="IBM Plex Sans Light" w:hAnsi="IBM Plex Sans Light"/>
                <w:b w:val="0"/>
              </w:rPr>
              <w:t xml:space="preserve">£m </w:t>
            </w:r>
          </w:p>
        </w:tc>
      </w:tr>
      <w:tr w:rsidR="008F57AD" w:rsidRPr="00895810" w14:paraId="5BC66FC4" w14:textId="77777777" w:rsidTr="004A1C35">
        <w:trPr>
          <w:trHeight w:val="283"/>
        </w:trPr>
        <w:tc>
          <w:tcPr>
            <w:tcW w:w="2948" w:type="dxa"/>
            <w:tcBorders>
              <w:top w:val="single" w:sz="2" w:space="0" w:color="3D7FE0" w:themeColor="accent1"/>
            </w:tcBorders>
            <w:tcMar>
              <w:left w:w="0" w:type="dxa"/>
              <w:right w:w="0" w:type="dxa"/>
            </w:tcMar>
            <w:vAlign w:val="bottom"/>
          </w:tcPr>
          <w:p w14:paraId="3636C131" w14:textId="77777777" w:rsidR="008F57AD" w:rsidRPr="00895810" w:rsidRDefault="008F57AD" w:rsidP="008F57AD">
            <w:pPr>
              <w:pStyle w:val="Tabletext"/>
              <w:rPr>
                <w:rFonts w:ascii="IBM Plex Sans Light" w:hAnsi="IBM Plex Sans Light"/>
                <w:spacing w:val="-4"/>
                <w:sz w:val="18"/>
                <w:szCs w:val="18"/>
              </w:rPr>
            </w:pPr>
            <w:r w:rsidRPr="00895810">
              <w:rPr>
                <w:rFonts w:ascii="IBM Plex Sans Light" w:hAnsi="IBM Plex Sans Light"/>
                <w:spacing w:val="-4"/>
                <w:sz w:val="18"/>
                <w:szCs w:val="18"/>
              </w:rPr>
              <w:t>Unsecured bonds</w:t>
            </w:r>
          </w:p>
        </w:tc>
        <w:tc>
          <w:tcPr>
            <w:tcW w:w="425" w:type="dxa"/>
            <w:tcBorders>
              <w:top w:val="single" w:sz="2" w:space="0" w:color="3D7FE0" w:themeColor="accent1"/>
            </w:tcBorders>
            <w:vAlign w:val="bottom"/>
          </w:tcPr>
          <w:p w14:paraId="1F1723D0" w14:textId="4657ED48" w:rsidR="008F57AD" w:rsidRPr="00895810" w:rsidRDefault="008F57AD" w:rsidP="008F57AD">
            <w:pPr>
              <w:pStyle w:val="Tabletext"/>
              <w:ind w:right="-107"/>
              <w:rPr>
                <w:rFonts w:ascii="IBM Plex Sans Light" w:hAnsi="IBM Plex Sans Light"/>
                <w:spacing w:val="-4"/>
                <w:sz w:val="18"/>
                <w:szCs w:val="18"/>
              </w:rPr>
            </w:pPr>
          </w:p>
        </w:tc>
        <w:tc>
          <w:tcPr>
            <w:tcW w:w="992" w:type="dxa"/>
            <w:tcBorders>
              <w:top w:val="single" w:sz="2" w:space="0" w:color="3D7FE0" w:themeColor="accent1"/>
            </w:tcBorders>
            <w:vAlign w:val="bottom"/>
          </w:tcPr>
          <w:p w14:paraId="55C5A03A" w14:textId="69B2A862"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1</w:t>
            </w:r>
          </w:p>
        </w:tc>
        <w:tc>
          <w:tcPr>
            <w:tcW w:w="993" w:type="dxa"/>
            <w:tcBorders>
              <w:top w:val="single" w:sz="2" w:space="0" w:color="3D7FE0" w:themeColor="accent1"/>
            </w:tcBorders>
            <w:tcMar>
              <w:left w:w="0" w:type="dxa"/>
              <w:right w:w="0" w:type="dxa"/>
            </w:tcMar>
            <w:vAlign w:val="bottom"/>
          </w:tcPr>
          <w:p w14:paraId="19A0BDB8" w14:textId="6F798C2F"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Borders>
              <w:top w:val="single" w:sz="2" w:space="0" w:color="3D7FE0" w:themeColor="accent1"/>
            </w:tcBorders>
            <w:tcMar>
              <w:left w:w="0" w:type="dxa"/>
              <w:right w:w="0" w:type="dxa"/>
            </w:tcMar>
            <w:vAlign w:val="bottom"/>
          </w:tcPr>
          <w:p w14:paraId="469AFDDB" w14:textId="2503E687"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Borders>
              <w:top w:val="single" w:sz="2" w:space="0" w:color="3D7FE0" w:themeColor="accent1"/>
            </w:tcBorders>
            <w:tcMar>
              <w:left w:w="0" w:type="dxa"/>
              <w:right w:w="0" w:type="dxa"/>
            </w:tcMar>
          </w:tcPr>
          <w:p w14:paraId="4309955F" w14:textId="5DC43F1E"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1,441.4</w:t>
            </w:r>
          </w:p>
        </w:tc>
        <w:tc>
          <w:tcPr>
            <w:tcW w:w="851" w:type="dxa"/>
            <w:tcBorders>
              <w:top w:val="single" w:sz="2" w:space="0" w:color="3D7FE0" w:themeColor="accent1"/>
            </w:tcBorders>
            <w:tcMar>
              <w:left w:w="0" w:type="dxa"/>
              <w:right w:w="0" w:type="dxa"/>
            </w:tcMar>
          </w:tcPr>
          <w:p w14:paraId="61B43D0B" w14:textId="4CB6446E"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1,407.4</w:t>
            </w:r>
          </w:p>
        </w:tc>
        <w:tc>
          <w:tcPr>
            <w:tcW w:w="850" w:type="dxa"/>
            <w:tcBorders>
              <w:top w:val="single" w:sz="2" w:space="0" w:color="3D7FE0" w:themeColor="accent1"/>
            </w:tcBorders>
            <w:tcMar>
              <w:left w:w="0" w:type="dxa"/>
              <w:right w:w="0" w:type="dxa"/>
            </w:tcMar>
          </w:tcPr>
          <w:p w14:paraId="5A96BF89" w14:textId="60A93888"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1,458.7</w:t>
            </w:r>
          </w:p>
        </w:tc>
        <w:tc>
          <w:tcPr>
            <w:tcW w:w="851" w:type="dxa"/>
            <w:tcBorders>
              <w:top w:val="single" w:sz="2" w:space="0" w:color="3D7FE0" w:themeColor="accent1"/>
            </w:tcBorders>
            <w:tcMar>
              <w:left w:w="0" w:type="dxa"/>
              <w:right w:w="0" w:type="dxa"/>
            </w:tcMar>
          </w:tcPr>
          <w:p w14:paraId="643EE43A" w14:textId="0158FB77"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1,249.5</w:t>
            </w:r>
          </w:p>
        </w:tc>
      </w:tr>
      <w:tr w:rsidR="008F57AD" w:rsidRPr="00895810" w14:paraId="332DA3C9" w14:textId="77777777" w:rsidTr="004A1C35">
        <w:trPr>
          <w:trHeight w:val="283"/>
        </w:trPr>
        <w:tc>
          <w:tcPr>
            <w:tcW w:w="2948" w:type="dxa"/>
            <w:tcMar>
              <w:left w:w="0" w:type="dxa"/>
              <w:right w:w="0" w:type="dxa"/>
            </w:tcMar>
            <w:vAlign w:val="bottom"/>
          </w:tcPr>
          <w:p w14:paraId="7ED1813D" w14:textId="77777777" w:rsidR="008F57AD" w:rsidRPr="00895810" w:rsidRDefault="008F57AD" w:rsidP="008F57AD">
            <w:pPr>
              <w:pStyle w:val="Tabletext"/>
              <w:rPr>
                <w:rFonts w:ascii="IBM Plex Sans Light" w:hAnsi="IBM Plex Sans Light" w:cs="MyriadPro-Light"/>
                <w:spacing w:val="-4"/>
                <w:sz w:val="18"/>
                <w:szCs w:val="18"/>
              </w:rPr>
            </w:pPr>
            <w:r w:rsidRPr="00895810">
              <w:rPr>
                <w:rFonts w:ascii="IBM Plex Sans Light" w:hAnsi="IBM Plex Sans Light"/>
                <w:spacing w:val="-4"/>
                <w:sz w:val="18"/>
                <w:szCs w:val="18"/>
              </w:rPr>
              <w:t>Senior notes</w:t>
            </w:r>
            <w:r w:rsidRPr="00895810">
              <w:rPr>
                <w:rFonts w:ascii="IBM Plex Sans Light" w:hAnsi="IBM Plex Sans Light"/>
                <w:spacing w:val="-4"/>
                <w:sz w:val="18"/>
                <w:szCs w:val="18"/>
                <w:vertAlign w:val="superscript"/>
              </w:rPr>
              <w:t xml:space="preserve"> </w:t>
            </w:r>
          </w:p>
        </w:tc>
        <w:tc>
          <w:tcPr>
            <w:tcW w:w="425" w:type="dxa"/>
            <w:vAlign w:val="bottom"/>
          </w:tcPr>
          <w:p w14:paraId="5A74D3F1" w14:textId="6F327C25" w:rsidR="008F57AD" w:rsidRPr="00895810" w:rsidRDefault="008F57AD" w:rsidP="008F57AD">
            <w:pPr>
              <w:pStyle w:val="Tabletext"/>
              <w:ind w:right="-107"/>
              <w:rPr>
                <w:rFonts w:ascii="IBM Plex Sans Light" w:hAnsi="IBM Plex Sans Light" w:cs="MyriadPro-Light"/>
                <w:color w:val="auto"/>
                <w:spacing w:val="-4"/>
                <w:sz w:val="18"/>
                <w:szCs w:val="18"/>
              </w:rPr>
            </w:pPr>
          </w:p>
        </w:tc>
        <w:tc>
          <w:tcPr>
            <w:tcW w:w="992" w:type="dxa"/>
            <w:vAlign w:val="bottom"/>
          </w:tcPr>
          <w:p w14:paraId="4EF3BCA9" w14:textId="465F7EEE"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2</w:t>
            </w:r>
          </w:p>
        </w:tc>
        <w:tc>
          <w:tcPr>
            <w:tcW w:w="993" w:type="dxa"/>
            <w:tcMar>
              <w:left w:w="0" w:type="dxa"/>
              <w:right w:w="0" w:type="dxa"/>
            </w:tcMar>
            <w:vAlign w:val="bottom"/>
          </w:tcPr>
          <w:p w14:paraId="77997FC0" w14:textId="6BB5700A"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Mar>
              <w:left w:w="0" w:type="dxa"/>
              <w:right w:w="0" w:type="dxa"/>
            </w:tcMar>
            <w:vAlign w:val="bottom"/>
          </w:tcPr>
          <w:p w14:paraId="56C6D937" w14:textId="2A980F8B"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Mar>
              <w:left w:w="0" w:type="dxa"/>
              <w:right w:w="0" w:type="dxa"/>
            </w:tcMar>
          </w:tcPr>
          <w:p w14:paraId="2588058C" w14:textId="076C0455"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185.3</w:t>
            </w:r>
          </w:p>
        </w:tc>
        <w:tc>
          <w:tcPr>
            <w:tcW w:w="851" w:type="dxa"/>
            <w:tcMar>
              <w:left w:w="0" w:type="dxa"/>
              <w:right w:w="0" w:type="dxa"/>
            </w:tcMar>
          </w:tcPr>
          <w:p w14:paraId="6E499B48" w14:textId="55EEF896"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180.4</w:t>
            </w:r>
          </w:p>
        </w:tc>
        <w:tc>
          <w:tcPr>
            <w:tcW w:w="850" w:type="dxa"/>
            <w:tcMar>
              <w:left w:w="0" w:type="dxa"/>
              <w:right w:w="0" w:type="dxa"/>
            </w:tcMar>
          </w:tcPr>
          <w:p w14:paraId="18D707AE" w14:textId="043679F0"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190.8</w:t>
            </w:r>
          </w:p>
        </w:tc>
        <w:tc>
          <w:tcPr>
            <w:tcW w:w="851" w:type="dxa"/>
            <w:tcMar>
              <w:left w:w="0" w:type="dxa"/>
              <w:right w:w="0" w:type="dxa"/>
            </w:tcMar>
          </w:tcPr>
          <w:p w14:paraId="0C4E4EB1" w14:textId="01BCD359"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180.7</w:t>
            </w:r>
          </w:p>
        </w:tc>
      </w:tr>
      <w:tr w:rsidR="008F57AD" w:rsidRPr="00895810" w14:paraId="78189006" w14:textId="77777777" w:rsidTr="004A1C35">
        <w:trPr>
          <w:trHeight w:val="283"/>
        </w:trPr>
        <w:tc>
          <w:tcPr>
            <w:tcW w:w="2948" w:type="dxa"/>
            <w:tcMar>
              <w:left w:w="0" w:type="dxa"/>
              <w:right w:w="0" w:type="dxa"/>
            </w:tcMar>
            <w:vAlign w:val="bottom"/>
          </w:tcPr>
          <w:p w14:paraId="3070B73D" w14:textId="12487929" w:rsidR="008F57AD" w:rsidRPr="00895810" w:rsidRDefault="008F57AD" w:rsidP="008F57AD">
            <w:pPr>
              <w:pStyle w:val="Tabletext"/>
              <w:spacing w:before="0"/>
              <w:rPr>
                <w:rFonts w:ascii="IBM Plex Sans Light" w:hAnsi="IBM Plex Sans Light"/>
                <w:spacing w:val="-4"/>
                <w:sz w:val="18"/>
                <w:szCs w:val="18"/>
              </w:rPr>
            </w:pPr>
            <w:r w:rsidRPr="00895810">
              <w:rPr>
                <w:rFonts w:ascii="IBM Plex Sans Light" w:hAnsi="IBM Plex Sans Light"/>
                <w:spacing w:val="-4"/>
                <w:sz w:val="18"/>
                <w:szCs w:val="18"/>
              </w:rPr>
              <w:lastRenderedPageBreak/>
              <w:t xml:space="preserve">Unsecured </w:t>
            </w:r>
            <w:r w:rsidR="00452848">
              <w:rPr>
                <w:rFonts w:ascii="IBM Plex Sans Light" w:hAnsi="IBM Plex Sans Light"/>
                <w:spacing w:val="-4"/>
                <w:sz w:val="18"/>
                <w:szCs w:val="18"/>
              </w:rPr>
              <w:t>facility fees</w:t>
            </w:r>
          </w:p>
        </w:tc>
        <w:tc>
          <w:tcPr>
            <w:tcW w:w="425" w:type="dxa"/>
            <w:vAlign w:val="bottom"/>
          </w:tcPr>
          <w:p w14:paraId="2B8060B0" w14:textId="39263870" w:rsidR="008F57AD" w:rsidRPr="00895810" w:rsidRDefault="008F57AD" w:rsidP="008F57AD">
            <w:pPr>
              <w:pStyle w:val="Tabletext"/>
              <w:spacing w:before="0"/>
              <w:ind w:right="-107"/>
              <w:rPr>
                <w:rFonts w:ascii="IBM Plex Sans Light" w:hAnsi="IBM Plex Sans Light"/>
                <w:color w:val="auto"/>
                <w:spacing w:val="-4"/>
                <w:sz w:val="18"/>
                <w:szCs w:val="18"/>
              </w:rPr>
            </w:pPr>
          </w:p>
        </w:tc>
        <w:tc>
          <w:tcPr>
            <w:tcW w:w="992" w:type="dxa"/>
            <w:vAlign w:val="bottom"/>
          </w:tcPr>
          <w:p w14:paraId="7709FC40" w14:textId="2E07327A"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2</w:t>
            </w:r>
          </w:p>
        </w:tc>
        <w:tc>
          <w:tcPr>
            <w:tcW w:w="993" w:type="dxa"/>
            <w:tcMar>
              <w:left w:w="0" w:type="dxa"/>
              <w:right w:w="0" w:type="dxa"/>
            </w:tcMar>
            <w:vAlign w:val="bottom"/>
          </w:tcPr>
          <w:p w14:paraId="551F2BEB" w14:textId="04AAC173" w:rsidR="008F57AD" w:rsidRPr="00895810" w:rsidRDefault="008F57AD" w:rsidP="008F57AD">
            <w:pPr>
              <w:pStyle w:val="TableFiguresBracketsBold"/>
              <w:rPr>
                <w:rFonts w:ascii="IBM Plex Sans Light" w:hAnsi="IBM Plex Sans Light"/>
                <w:color w:val="3D7FE0" w:themeColor="accent1"/>
                <w:spacing w:val="-4"/>
                <w:sz w:val="18"/>
                <w:szCs w:val="18"/>
              </w:rPr>
            </w:pPr>
          </w:p>
        </w:tc>
        <w:tc>
          <w:tcPr>
            <w:tcW w:w="992" w:type="dxa"/>
            <w:tcMar>
              <w:left w:w="0" w:type="dxa"/>
              <w:right w:w="0" w:type="dxa"/>
            </w:tcMar>
            <w:vAlign w:val="bottom"/>
          </w:tcPr>
          <w:p w14:paraId="27E4BC33" w14:textId="25CC11A6"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Mar>
              <w:left w:w="0" w:type="dxa"/>
              <w:right w:w="0" w:type="dxa"/>
            </w:tcMar>
          </w:tcPr>
          <w:p w14:paraId="0D14C49A" w14:textId="4BC365D0" w:rsidR="008F57AD" w:rsidRPr="004406E3" w:rsidRDefault="008F57AD" w:rsidP="004406E3">
            <w:pPr>
              <w:pStyle w:val="TableFiguresBrackets"/>
              <w:rPr>
                <w:rFonts w:ascii="IBM Plex Sans Medium" w:hAnsi="IBM Plex Sans Medium"/>
                <w:b/>
                <w:bCs/>
                <w:color w:val="3D7FE0" w:themeColor="accent1"/>
                <w:spacing w:val="-4"/>
                <w:sz w:val="18"/>
                <w:szCs w:val="18"/>
              </w:rPr>
            </w:pPr>
            <w:r w:rsidRPr="004406E3">
              <w:rPr>
                <w:rFonts w:ascii="IBM Plex Sans Medium" w:hAnsi="IBM Plex Sans Medium"/>
                <w:b/>
                <w:bCs/>
                <w:color w:val="3D7FE0" w:themeColor="accent1"/>
                <w:spacing w:val="-4"/>
                <w:sz w:val="18"/>
                <w:szCs w:val="18"/>
              </w:rPr>
              <w:t>(2.2)</w:t>
            </w:r>
          </w:p>
        </w:tc>
        <w:tc>
          <w:tcPr>
            <w:tcW w:w="851" w:type="dxa"/>
            <w:tcMar>
              <w:left w:w="0" w:type="dxa"/>
              <w:right w:w="0" w:type="dxa"/>
            </w:tcMar>
          </w:tcPr>
          <w:p w14:paraId="70C6F3C7" w14:textId="2225B5CE" w:rsidR="008F57AD" w:rsidRPr="004406E3" w:rsidRDefault="008F57AD" w:rsidP="004406E3">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w:t>
            </w:r>
          </w:p>
        </w:tc>
        <w:tc>
          <w:tcPr>
            <w:tcW w:w="850" w:type="dxa"/>
            <w:tcMar>
              <w:left w:w="0" w:type="dxa"/>
              <w:right w:w="0" w:type="dxa"/>
            </w:tcMar>
          </w:tcPr>
          <w:p w14:paraId="1B82FD1A" w14:textId="03674239" w:rsidR="008F57AD" w:rsidRPr="00895810" w:rsidRDefault="008F57AD" w:rsidP="008F57AD">
            <w:pPr>
              <w:pStyle w:val="TableFiguresBrackets"/>
              <w:rPr>
                <w:rFonts w:ascii="IBM Plex Sans Light" w:hAnsi="IBM Plex Sans Light"/>
                <w:color w:val="auto"/>
                <w:spacing w:val="-4"/>
                <w:sz w:val="18"/>
                <w:szCs w:val="18"/>
              </w:rPr>
            </w:pPr>
            <w:r w:rsidRPr="00FA7E14">
              <w:rPr>
                <w:rFonts w:ascii="IBM Plex Sans Light" w:hAnsi="IBM Plex Sans Light"/>
                <w:color w:val="auto"/>
                <w:spacing w:val="-4"/>
                <w:sz w:val="18"/>
                <w:szCs w:val="18"/>
              </w:rPr>
              <w:t>(3.1)</w:t>
            </w:r>
          </w:p>
        </w:tc>
        <w:tc>
          <w:tcPr>
            <w:tcW w:w="851" w:type="dxa"/>
            <w:tcMar>
              <w:left w:w="0" w:type="dxa"/>
              <w:right w:w="0" w:type="dxa"/>
            </w:tcMar>
          </w:tcPr>
          <w:p w14:paraId="0B347FD4" w14:textId="3D31273D"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w:t>
            </w:r>
          </w:p>
        </w:tc>
      </w:tr>
      <w:tr w:rsidR="008F57AD" w:rsidRPr="00895810" w14:paraId="3A5C8B7C" w14:textId="77777777" w:rsidTr="004A1C35">
        <w:trPr>
          <w:trHeight w:val="283"/>
        </w:trPr>
        <w:tc>
          <w:tcPr>
            <w:tcW w:w="2948" w:type="dxa"/>
            <w:tcBorders>
              <w:bottom w:val="single" w:sz="4" w:space="0" w:color="3D7FE0" w:themeColor="accent1"/>
            </w:tcBorders>
            <w:tcMar>
              <w:left w:w="0" w:type="dxa"/>
              <w:right w:w="0" w:type="dxa"/>
            </w:tcMar>
            <w:vAlign w:val="bottom"/>
          </w:tcPr>
          <w:p w14:paraId="27EB9DF2" w14:textId="77777777" w:rsidR="008F57AD" w:rsidRPr="00895810" w:rsidRDefault="008F57AD" w:rsidP="008F57AD">
            <w:pPr>
              <w:pStyle w:val="Tabletext"/>
              <w:rPr>
                <w:rFonts w:ascii="IBM Plex Sans Light" w:hAnsi="IBM Plex Sans Light"/>
                <w:spacing w:val="-4"/>
                <w:sz w:val="18"/>
                <w:szCs w:val="18"/>
              </w:rPr>
            </w:pPr>
            <w:r w:rsidRPr="00895810">
              <w:rPr>
                <w:rFonts w:ascii="IBM Plex Sans Light" w:hAnsi="IBM Plex Sans Light"/>
                <w:spacing w:val="-4"/>
                <w:sz w:val="18"/>
                <w:szCs w:val="18"/>
              </w:rPr>
              <w:t>Fair value of currency swaps</w:t>
            </w:r>
          </w:p>
        </w:tc>
        <w:tc>
          <w:tcPr>
            <w:tcW w:w="425" w:type="dxa"/>
            <w:tcBorders>
              <w:bottom w:val="single" w:sz="4" w:space="0" w:color="3D7FE0" w:themeColor="accent1"/>
            </w:tcBorders>
            <w:vAlign w:val="bottom"/>
          </w:tcPr>
          <w:p w14:paraId="09E0A501" w14:textId="6BDD67FF" w:rsidR="008F57AD" w:rsidRPr="00895810" w:rsidRDefault="008F57AD" w:rsidP="008F57AD">
            <w:pPr>
              <w:pStyle w:val="Tabletext"/>
              <w:ind w:right="-107"/>
              <w:rPr>
                <w:rFonts w:ascii="IBM Plex Sans Light" w:hAnsi="IBM Plex Sans Light"/>
                <w:color w:val="auto"/>
                <w:spacing w:val="-4"/>
                <w:sz w:val="18"/>
                <w:szCs w:val="18"/>
              </w:rPr>
            </w:pPr>
          </w:p>
        </w:tc>
        <w:tc>
          <w:tcPr>
            <w:tcW w:w="992" w:type="dxa"/>
            <w:tcBorders>
              <w:bottom w:val="single" w:sz="4" w:space="0" w:color="3D7FE0" w:themeColor="accent1"/>
            </w:tcBorders>
            <w:vAlign w:val="bottom"/>
          </w:tcPr>
          <w:p w14:paraId="0A26C42D" w14:textId="13277B4D"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2</w:t>
            </w:r>
          </w:p>
        </w:tc>
        <w:tc>
          <w:tcPr>
            <w:tcW w:w="993" w:type="dxa"/>
            <w:tcBorders>
              <w:bottom w:val="single" w:sz="4" w:space="0" w:color="3D7FE0" w:themeColor="accent1"/>
            </w:tcBorders>
            <w:tcMar>
              <w:left w:w="0" w:type="dxa"/>
              <w:right w:w="0" w:type="dxa"/>
            </w:tcMar>
            <w:vAlign w:val="bottom"/>
          </w:tcPr>
          <w:p w14:paraId="0C40A5AB" w14:textId="6633DA71"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Borders>
              <w:bottom w:val="single" w:sz="4" w:space="0" w:color="3D7FE0" w:themeColor="accent1"/>
            </w:tcBorders>
            <w:tcMar>
              <w:left w:w="0" w:type="dxa"/>
              <w:right w:w="0" w:type="dxa"/>
            </w:tcMar>
            <w:vAlign w:val="bottom"/>
          </w:tcPr>
          <w:p w14:paraId="2720459A" w14:textId="6E5015B6"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Borders>
              <w:bottom w:val="single" w:sz="4" w:space="0" w:color="3D7FE0" w:themeColor="accent1"/>
            </w:tcBorders>
            <w:tcMar>
              <w:left w:w="0" w:type="dxa"/>
              <w:right w:w="0" w:type="dxa"/>
            </w:tcMar>
          </w:tcPr>
          <w:p w14:paraId="1C1AE587" w14:textId="1BBC6021"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11.4</w:t>
            </w:r>
          </w:p>
        </w:tc>
        <w:tc>
          <w:tcPr>
            <w:tcW w:w="851" w:type="dxa"/>
            <w:tcBorders>
              <w:bottom w:val="single" w:sz="4" w:space="0" w:color="3D7FE0" w:themeColor="accent1"/>
            </w:tcBorders>
            <w:tcMar>
              <w:left w:w="0" w:type="dxa"/>
              <w:right w:w="0" w:type="dxa"/>
            </w:tcMar>
          </w:tcPr>
          <w:p w14:paraId="4EE4264D" w14:textId="24C07F9F" w:rsidR="008F57AD" w:rsidRPr="008F57AD" w:rsidRDefault="008F57AD" w:rsidP="008F57AD">
            <w:pPr>
              <w:pStyle w:val="TableFigures"/>
              <w:rPr>
                <w:rFonts w:ascii="IBM Plex Sans Medium" w:hAnsi="IBM Plex Sans Medium"/>
                <w:b/>
                <w:bCs/>
                <w:color w:val="3D7FE0" w:themeColor="accent1"/>
                <w:spacing w:val="-4"/>
                <w:sz w:val="18"/>
                <w:szCs w:val="18"/>
              </w:rPr>
            </w:pPr>
            <w:r w:rsidRPr="008F57AD">
              <w:rPr>
                <w:rFonts w:ascii="IBM Plex Sans Medium" w:hAnsi="IBM Plex Sans Medium"/>
                <w:b/>
                <w:bCs/>
                <w:color w:val="3D7FE0" w:themeColor="accent1"/>
                <w:spacing w:val="-4"/>
                <w:sz w:val="18"/>
                <w:szCs w:val="18"/>
              </w:rPr>
              <w:t>11.4</w:t>
            </w:r>
          </w:p>
        </w:tc>
        <w:tc>
          <w:tcPr>
            <w:tcW w:w="850" w:type="dxa"/>
            <w:tcBorders>
              <w:bottom w:val="single" w:sz="4" w:space="0" w:color="3D7FE0" w:themeColor="accent1"/>
            </w:tcBorders>
            <w:tcMar>
              <w:left w:w="0" w:type="dxa"/>
              <w:right w:w="0" w:type="dxa"/>
            </w:tcMar>
          </w:tcPr>
          <w:p w14:paraId="219E2749" w14:textId="26233F86"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30.6</w:t>
            </w:r>
          </w:p>
        </w:tc>
        <w:tc>
          <w:tcPr>
            <w:tcW w:w="851" w:type="dxa"/>
            <w:tcBorders>
              <w:bottom w:val="single" w:sz="4" w:space="0" w:color="3D7FE0" w:themeColor="accent1"/>
            </w:tcBorders>
            <w:tcMar>
              <w:left w:w="0" w:type="dxa"/>
              <w:right w:w="0" w:type="dxa"/>
            </w:tcMar>
          </w:tcPr>
          <w:p w14:paraId="4B55EC71" w14:textId="50391CE5" w:rsidR="008F57AD" w:rsidRPr="00895810"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30.6</w:t>
            </w:r>
          </w:p>
        </w:tc>
      </w:tr>
      <w:tr w:rsidR="008F57AD" w:rsidRPr="00895810" w14:paraId="62711B96" w14:textId="77777777" w:rsidTr="004A1C35">
        <w:trPr>
          <w:trHeight w:val="283"/>
        </w:trPr>
        <w:tc>
          <w:tcPr>
            <w:tcW w:w="2948" w:type="dxa"/>
            <w:tcBorders>
              <w:top w:val="single" w:sz="4" w:space="0" w:color="3D7FE0" w:themeColor="accent1"/>
            </w:tcBorders>
            <w:tcMar>
              <w:left w:w="0" w:type="dxa"/>
              <w:right w:w="0" w:type="dxa"/>
            </w:tcMar>
            <w:vAlign w:val="bottom"/>
          </w:tcPr>
          <w:p w14:paraId="1EBE7006" w14:textId="6F07F50C" w:rsidR="008F57AD" w:rsidRPr="00895810" w:rsidRDefault="008F57AD" w:rsidP="008F57AD">
            <w:pPr>
              <w:pStyle w:val="Tabletext"/>
              <w:rPr>
                <w:rFonts w:ascii="IBM Plex Sans Light" w:hAnsi="IBM Plex Sans Light"/>
                <w:b/>
                <w:bCs/>
                <w:color w:val="3D7FE0" w:themeColor="accent1"/>
                <w:spacing w:val="-4"/>
                <w:sz w:val="18"/>
                <w:szCs w:val="18"/>
              </w:rPr>
            </w:pPr>
            <w:r w:rsidRPr="00895810">
              <w:rPr>
                <w:rFonts w:ascii="IBM Plex Sans Light" w:hAnsi="IBM Plex Sans Light"/>
                <w:b/>
                <w:bCs/>
                <w:color w:val="3D7FE0" w:themeColor="accent1"/>
                <w:spacing w:val="-4"/>
                <w:sz w:val="18"/>
                <w:szCs w:val="18"/>
              </w:rPr>
              <w:t>Borrowings</w:t>
            </w:r>
          </w:p>
        </w:tc>
        <w:tc>
          <w:tcPr>
            <w:tcW w:w="425" w:type="dxa"/>
            <w:tcBorders>
              <w:top w:val="single" w:sz="4" w:space="0" w:color="3D7FE0" w:themeColor="accent1"/>
            </w:tcBorders>
            <w:vAlign w:val="bottom"/>
          </w:tcPr>
          <w:p w14:paraId="0ADC6289" w14:textId="77777777" w:rsidR="008F57AD" w:rsidRPr="00895810" w:rsidRDefault="008F57AD" w:rsidP="008F57AD">
            <w:pPr>
              <w:pStyle w:val="TabletextBold"/>
              <w:ind w:right="-107"/>
              <w:rPr>
                <w:rFonts w:ascii="IBM Plex Sans Light" w:hAnsi="IBM Plex Sans Light"/>
                <w:b w:val="0"/>
                <w:color w:val="auto"/>
                <w:sz w:val="18"/>
                <w:szCs w:val="18"/>
              </w:rPr>
            </w:pPr>
          </w:p>
        </w:tc>
        <w:tc>
          <w:tcPr>
            <w:tcW w:w="992" w:type="dxa"/>
            <w:tcBorders>
              <w:top w:val="single" w:sz="4" w:space="0" w:color="3D7FE0" w:themeColor="accent1"/>
            </w:tcBorders>
            <w:vAlign w:val="bottom"/>
          </w:tcPr>
          <w:p w14:paraId="43BCD8C4" w14:textId="77777777" w:rsidR="008F57AD" w:rsidRPr="00895810" w:rsidRDefault="008F57AD" w:rsidP="008F57AD">
            <w:pPr>
              <w:pStyle w:val="TableFigures"/>
              <w:rPr>
                <w:rFonts w:ascii="IBM Plex Sans Light" w:hAnsi="IBM Plex Sans Light"/>
                <w:color w:val="auto"/>
                <w:spacing w:val="-4"/>
                <w:sz w:val="18"/>
                <w:szCs w:val="18"/>
              </w:rPr>
            </w:pPr>
          </w:p>
        </w:tc>
        <w:tc>
          <w:tcPr>
            <w:tcW w:w="993" w:type="dxa"/>
            <w:tcBorders>
              <w:top w:val="single" w:sz="4" w:space="0" w:color="3D7FE0" w:themeColor="accent1"/>
            </w:tcBorders>
            <w:tcMar>
              <w:left w:w="0" w:type="dxa"/>
              <w:right w:w="0" w:type="dxa"/>
            </w:tcMar>
            <w:vAlign w:val="bottom"/>
          </w:tcPr>
          <w:p w14:paraId="3ED4BD7B" w14:textId="77777777" w:rsidR="008F57AD" w:rsidRPr="00895810" w:rsidRDefault="008F57AD" w:rsidP="008F57AD">
            <w:pPr>
              <w:pStyle w:val="TableFiguresBracketsBold"/>
              <w:rPr>
                <w:rFonts w:ascii="IBM Plex Sans Light" w:hAnsi="IBM Plex Sans Light"/>
                <w:color w:val="3D7FE0" w:themeColor="accent1"/>
                <w:spacing w:val="-4"/>
                <w:sz w:val="18"/>
                <w:szCs w:val="18"/>
              </w:rPr>
            </w:pPr>
          </w:p>
        </w:tc>
        <w:tc>
          <w:tcPr>
            <w:tcW w:w="992" w:type="dxa"/>
            <w:tcBorders>
              <w:top w:val="single" w:sz="4" w:space="0" w:color="3D7FE0" w:themeColor="accent1"/>
            </w:tcBorders>
            <w:tcMar>
              <w:left w:w="0" w:type="dxa"/>
              <w:right w:w="0" w:type="dxa"/>
            </w:tcMar>
            <w:vAlign w:val="bottom"/>
          </w:tcPr>
          <w:p w14:paraId="0275EF34" w14:textId="77777777" w:rsidR="008F57AD" w:rsidRPr="00895810" w:rsidRDefault="008F57AD" w:rsidP="008F57AD">
            <w:pPr>
              <w:pStyle w:val="TableFiguresBracketsBold"/>
              <w:rPr>
                <w:rFonts w:ascii="IBM Plex Sans Light" w:hAnsi="IBM Plex Sans Light"/>
                <w:color w:val="3D7FE0" w:themeColor="accent1"/>
                <w:spacing w:val="-4"/>
                <w:sz w:val="18"/>
                <w:szCs w:val="18"/>
              </w:rPr>
            </w:pPr>
          </w:p>
        </w:tc>
        <w:tc>
          <w:tcPr>
            <w:tcW w:w="992" w:type="dxa"/>
            <w:tcBorders>
              <w:top w:val="single" w:sz="4" w:space="0" w:color="3D7FE0" w:themeColor="accent1"/>
            </w:tcBorders>
            <w:tcMar>
              <w:left w:w="0" w:type="dxa"/>
              <w:right w:w="0" w:type="dxa"/>
            </w:tcMar>
          </w:tcPr>
          <w:p w14:paraId="0166575D" w14:textId="07ECC1FE"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1,635.9</w:t>
            </w:r>
          </w:p>
        </w:tc>
        <w:tc>
          <w:tcPr>
            <w:tcW w:w="851" w:type="dxa"/>
            <w:tcBorders>
              <w:top w:val="single" w:sz="4" w:space="0" w:color="3D7FE0" w:themeColor="accent1"/>
            </w:tcBorders>
            <w:tcMar>
              <w:left w:w="0" w:type="dxa"/>
              <w:right w:w="0" w:type="dxa"/>
            </w:tcMar>
          </w:tcPr>
          <w:p w14:paraId="4E324A7A" w14:textId="20DAEED7" w:rsidR="008F57AD" w:rsidRPr="00F82829" w:rsidRDefault="008F57AD" w:rsidP="00024B10">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1,599.2</w:t>
            </w:r>
          </w:p>
        </w:tc>
        <w:tc>
          <w:tcPr>
            <w:tcW w:w="850" w:type="dxa"/>
            <w:tcBorders>
              <w:top w:val="single" w:sz="4" w:space="0" w:color="3D7FE0" w:themeColor="accent1"/>
            </w:tcBorders>
            <w:tcMar>
              <w:left w:w="0" w:type="dxa"/>
              <w:right w:w="0" w:type="dxa"/>
            </w:tcMar>
          </w:tcPr>
          <w:p w14:paraId="7A6003ED" w14:textId="073DB243" w:rsidR="008F57AD" w:rsidRPr="00FA7E14"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1,677.0</w:t>
            </w:r>
          </w:p>
        </w:tc>
        <w:tc>
          <w:tcPr>
            <w:tcW w:w="851" w:type="dxa"/>
            <w:tcBorders>
              <w:top w:val="single" w:sz="4" w:space="0" w:color="3D7FE0" w:themeColor="accent1"/>
            </w:tcBorders>
            <w:tcMar>
              <w:left w:w="0" w:type="dxa"/>
              <w:right w:w="0" w:type="dxa"/>
            </w:tcMar>
          </w:tcPr>
          <w:p w14:paraId="5083917C" w14:textId="5BE773A4" w:rsidR="008F57AD" w:rsidRPr="00FA7E14" w:rsidRDefault="008F57AD" w:rsidP="008F57AD">
            <w:pPr>
              <w:pStyle w:val="TableFigures"/>
              <w:rPr>
                <w:rFonts w:ascii="IBM Plex Sans Light" w:hAnsi="IBM Plex Sans Light"/>
                <w:color w:val="auto"/>
                <w:spacing w:val="-4"/>
                <w:sz w:val="18"/>
                <w:szCs w:val="18"/>
              </w:rPr>
            </w:pPr>
            <w:r w:rsidRPr="00FA7E14">
              <w:rPr>
                <w:rFonts w:ascii="IBM Plex Sans Light" w:hAnsi="IBM Plex Sans Light"/>
                <w:color w:val="auto"/>
                <w:spacing w:val="-4"/>
                <w:sz w:val="18"/>
                <w:szCs w:val="18"/>
              </w:rPr>
              <w:t>1,460.8</w:t>
            </w:r>
          </w:p>
        </w:tc>
      </w:tr>
      <w:tr w:rsidR="008F57AD" w:rsidRPr="00895810" w14:paraId="5083A11B" w14:textId="77777777" w:rsidTr="004A1C35">
        <w:trPr>
          <w:trHeight w:val="283"/>
        </w:trPr>
        <w:tc>
          <w:tcPr>
            <w:tcW w:w="2948" w:type="dxa"/>
            <w:tcMar>
              <w:left w:w="0" w:type="dxa"/>
              <w:right w:w="0" w:type="dxa"/>
            </w:tcMar>
            <w:vAlign w:val="bottom"/>
          </w:tcPr>
          <w:p w14:paraId="14791DF5" w14:textId="38CC03BD" w:rsidR="008F57AD" w:rsidRPr="00895810" w:rsidRDefault="008F57AD" w:rsidP="008F57AD">
            <w:pPr>
              <w:pStyle w:val="Tabletext"/>
              <w:rPr>
                <w:rFonts w:ascii="IBM Plex Sans Light" w:hAnsi="IBM Plex Sans Light"/>
                <w:spacing w:val="-4"/>
                <w:sz w:val="18"/>
                <w:szCs w:val="18"/>
              </w:rPr>
            </w:pPr>
            <w:r w:rsidRPr="00895810">
              <w:rPr>
                <w:rFonts w:ascii="IBM Plex Sans Light" w:hAnsi="IBM Plex Sans Light"/>
                <w:spacing w:val="-4"/>
                <w:sz w:val="18"/>
                <w:szCs w:val="18"/>
              </w:rPr>
              <w:t>Fair value of interest rate swaps</w:t>
            </w:r>
          </w:p>
        </w:tc>
        <w:tc>
          <w:tcPr>
            <w:tcW w:w="425" w:type="dxa"/>
            <w:vAlign w:val="bottom"/>
          </w:tcPr>
          <w:p w14:paraId="38EC4895" w14:textId="01B0D481" w:rsidR="008F57AD" w:rsidRPr="00895810" w:rsidRDefault="008F57AD" w:rsidP="008F57AD">
            <w:pPr>
              <w:pStyle w:val="TabletextBold"/>
              <w:ind w:right="-107"/>
              <w:rPr>
                <w:rFonts w:ascii="IBM Plex Sans Light" w:hAnsi="IBM Plex Sans Light"/>
                <w:b w:val="0"/>
                <w:color w:val="auto"/>
                <w:sz w:val="18"/>
                <w:szCs w:val="18"/>
              </w:rPr>
            </w:pPr>
          </w:p>
        </w:tc>
        <w:tc>
          <w:tcPr>
            <w:tcW w:w="992" w:type="dxa"/>
            <w:vAlign w:val="bottom"/>
          </w:tcPr>
          <w:p w14:paraId="5BA95AB0" w14:textId="3650CDA2"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2</w:t>
            </w:r>
          </w:p>
        </w:tc>
        <w:tc>
          <w:tcPr>
            <w:tcW w:w="993" w:type="dxa"/>
            <w:tcMar>
              <w:left w:w="0" w:type="dxa"/>
              <w:right w:w="0" w:type="dxa"/>
            </w:tcMar>
            <w:vAlign w:val="bottom"/>
          </w:tcPr>
          <w:p w14:paraId="0B08F49F" w14:textId="63A03A96" w:rsidR="008F57AD" w:rsidRPr="00895810" w:rsidRDefault="008F57AD" w:rsidP="008F57AD">
            <w:pPr>
              <w:pStyle w:val="TableFiguresBracketsBold"/>
              <w:rPr>
                <w:rFonts w:ascii="IBM Plex Sans Light" w:hAnsi="IBM Plex Sans Light"/>
                <w:color w:val="3D7FE0" w:themeColor="accent1"/>
                <w:spacing w:val="-4"/>
                <w:sz w:val="18"/>
                <w:szCs w:val="18"/>
              </w:rPr>
            </w:pPr>
          </w:p>
        </w:tc>
        <w:tc>
          <w:tcPr>
            <w:tcW w:w="992" w:type="dxa"/>
            <w:tcMar>
              <w:left w:w="0" w:type="dxa"/>
              <w:right w:w="0" w:type="dxa"/>
            </w:tcMar>
            <w:vAlign w:val="bottom"/>
          </w:tcPr>
          <w:p w14:paraId="719D33B4" w14:textId="14F47FCF" w:rsidR="008F57AD" w:rsidRPr="00895810" w:rsidRDefault="008F57AD" w:rsidP="008F57AD">
            <w:pPr>
              <w:pStyle w:val="TableFiguresBracketsBold"/>
              <w:rPr>
                <w:rFonts w:ascii="IBM Plex Sans Light" w:hAnsi="IBM Plex Sans Light"/>
                <w:color w:val="3D7FE0" w:themeColor="accent1"/>
                <w:spacing w:val="-4"/>
                <w:sz w:val="18"/>
                <w:szCs w:val="18"/>
              </w:rPr>
            </w:pPr>
          </w:p>
        </w:tc>
        <w:tc>
          <w:tcPr>
            <w:tcW w:w="992" w:type="dxa"/>
            <w:tcMar>
              <w:left w:w="0" w:type="dxa"/>
              <w:right w:w="0" w:type="dxa"/>
            </w:tcMar>
          </w:tcPr>
          <w:p w14:paraId="36D56638" w14:textId="0A095F1D"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0.7</w:t>
            </w:r>
          </w:p>
        </w:tc>
        <w:tc>
          <w:tcPr>
            <w:tcW w:w="851" w:type="dxa"/>
            <w:tcMar>
              <w:left w:w="0" w:type="dxa"/>
              <w:right w:w="0" w:type="dxa"/>
            </w:tcMar>
          </w:tcPr>
          <w:p w14:paraId="33BF467D" w14:textId="24928712" w:rsidR="008F57AD" w:rsidRPr="00F82829" w:rsidRDefault="008F57AD" w:rsidP="00024B10">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0.7</w:t>
            </w:r>
          </w:p>
        </w:tc>
        <w:tc>
          <w:tcPr>
            <w:tcW w:w="850" w:type="dxa"/>
            <w:tcMar>
              <w:left w:w="0" w:type="dxa"/>
              <w:right w:w="0" w:type="dxa"/>
            </w:tcMar>
          </w:tcPr>
          <w:p w14:paraId="4C000293" w14:textId="2A12DFE0" w:rsidR="008F57AD" w:rsidRPr="00895810" w:rsidRDefault="008F57AD" w:rsidP="008F57AD">
            <w:pPr>
              <w:pStyle w:val="TableFigures"/>
              <w:rPr>
                <w:rFonts w:ascii="IBM Plex Sans Light" w:hAnsi="IBM Plex Sans Light"/>
                <w:color w:val="auto"/>
                <w:spacing w:val="-4"/>
                <w:sz w:val="18"/>
                <w:szCs w:val="18"/>
              </w:rPr>
            </w:pPr>
            <w:r w:rsidRPr="009C7339">
              <w:rPr>
                <w:rFonts w:ascii="IBM Plex Sans Light" w:hAnsi="IBM Plex Sans Light"/>
                <w:color w:val="auto"/>
                <w:spacing w:val="-4"/>
                <w:sz w:val="18"/>
                <w:szCs w:val="18"/>
              </w:rPr>
              <w:t>2.1</w:t>
            </w:r>
          </w:p>
        </w:tc>
        <w:tc>
          <w:tcPr>
            <w:tcW w:w="851" w:type="dxa"/>
            <w:tcMar>
              <w:left w:w="0" w:type="dxa"/>
              <w:right w:w="0" w:type="dxa"/>
            </w:tcMar>
          </w:tcPr>
          <w:p w14:paraId="376FA116" w14:textId="36CC6B37" w:rsidR="008F57AD" w:rsidRPr="00895810" w:rsidRDefault="008F57AD" w:rsidP="008F57AD">
            <w:pPr>
              <w:pStyle w:val="TableFigures"/>
              <w:rPr>
                <w:rFonts w:ascii="IBM Plex Sans Light" w:hAnsi="IBM Plex Sans Light"/>
                <w:color w:val="auto"/>
                <w:spacing w:val="-4"/>
                <w:sz w:val="18"/>
                <w:szCs w:val="18"/>
              </w:rPr>
            </w:pPr>
            <w:r w:rsidRPr="009C7339">
              <w:rPr>
                <w:rFonts w:ascii="IBM Plex Sans Light" w:hAnsi="IBM Plex Sans Light"/>
                <w:color w:val="auto"/>
                <w:spacing w:val="-4"/>
                <w:sz w:val="18"/>
                <w:szCs w:val="18"/>
              </w:rPr>
              <w:t>2.1</w:t>
            </w:r>
          </w:p>
        </w:tc>
      </w:tr>
      <w:tr w:rsidR="008F57AD" w:rsidRPr="00895810" w14:paraId="70EDB451" w14:textId="77777777" w:rsidTr="004A1C35">
        <w:trPr>
          <w:trHeight w:val="283"/>
        </w:trPr>
        <w:tc>
          <w:tcPr>
            <w:tcW w:w="2948" w:type="dxa"/>
            <w:tcMar>
              <w:left w:w="0" w:type="dxa"/>
              <w:right w:w="0" w:type="dxa"/>
            </w:tcMar>
            <w:vAlign w:val="bottom"/>
          </w:tcPr>
          <w:p w14:paraId="3D118CDA" w14:textId="015CD6D1" w:rsidR="008F57AD" w:rsidRPr="00895810" w:rsidRDefault="008F57AD" w:rsidP="008F57AD">
            <w:pPr>
              <w:pStyle w:val="Tabletext"/>
              <w:rPr>
                <w:rFonts w:ascii="IBM Plex Sans Light" w:hAnsi="IBM Plex Sans Light"/>
                <w:spacing w:val="-4"/>
                <w:sz w:val="18"/>
                <w:szCs w:val="18"/>
              </w:rPr>
            </w:pPr>
            <w:r w:rsidRPr="00895810">
              <w:rPr>
                <w:rFonts w:ascii="IBM Plex Sans Light" w:hAnsi="IBM Plex Sans Light"/>
                <w:spacing w:val="-4"/>
                <w:sz w:val="18"/>
                <w:szCs w:val="18"/>
              </w:rPr>
              <w:t xml:space="preserve">Participative loans to </w:t>
            </w:r>
            <w:r w:rsidR="00452848">
              <w:rPr>
                <w:rFonts w:ascii="IBM Plex Sans Light" w:hAnsi="IBM Plex Sans Light"/>
                <w:spacing w:val="-4"/>
                <w:sz w:val="18"/>
                <w:szCs w:val="18"/>
              </w:rPr>
              <w:t>Value Retail</w:t>
            </w:r>
          </w:p>
        </w:tc>
        <w:tc>
          <w:tcPr>
            <w:tcW w:w="425" w:type="dxa"/>
            <w:vAlign w:val="bottom"/>
          </w:tcPr>
          <w:p w14:paraId="65556B99" w14:textId="77777777" w:rsidR="008F57AD" w:rsidRPr="00895810" w:rsidRDefault="008F57AD" w:rsidP="008F57AD">
            <w:pPr>
              <w:pStyle w:val="TabletextBold"/>
              <w:ind w:right="-107"/>
              <w:rPr>
                <w:rFonts w:ascii="IBM Plex Sans Light" w:hAnsi="IBM Plex Sans Light"/>
                <w:bCs/>
                <w:color w:val="3D7FE0" w:themeColor="accent1"/>
                <w:sz w:val="18"/>
                <w:szCs w:val="18"/>
              </w:rPr>
            </w:pPr>
          </w:p>
        </w:tc>
        <w:tc>
          <w:tcPr>
            <w:tcW w:w="992" w:type="dxa"/>
            <w:vAlign w:val="bottom"/>
          </w:tcPr>
          <w:p w14:paraId="190DB5B6" w14:textId="77777777"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3</w:t>
            </w:r>
          </w:p>
        </w:tc>
        <w:tc>
          <w:tcPr>
            <w:tcW w:w="993" w:type="dxa"/>
            <w:tcMar>
              <w:left w:w="0" w:type="dxa"/>
              <w:right w:w="0" w:type="dxa"/>
            </w:tcMar>
            <w:vAlign w:val="bottom"/>
          </w:tcPr>
          <w:p w14:paraId="3E00B486" w14:textId="0CCE7230"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Mar>
              <w:left w:w="0" w:type="dxa"/>
              <w:right w:w="0" w:type="dxa"/>
            </w:tcMar>
            <w:vAlign w:val="bottom"/>
          </w:tcPr>
          <w:p w14:paraId="3C1A555E" w14:textId="66FF477E"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Mar>
              <w:left w:w="0" w:type="dxa"/>
              <w:right w:w="0" w:type="dxa"/>
            </w:tcMar>
          </w:tcPr>
          <w:p w14:paraId="5949C513" w14:textId="24548579"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212.4</w:t>
            </w:r>
          </w:p>
        </w:tc>
        <w:tc>
          <w:tcPr>
            <w:tcW w:w="851" w:type="dxa"/>
            <w:tcMar>
              <w:left w:w="0" w:type="dxa"/>
              <w:right w:w="0" w:type="dxa"/>
            </w:tcMar>
          </w:tcPr>
          <w:p w14:paraId="7E1A4024" w14:textId="599134D1" w:rsidR="008F57AD" w:rsidRPr="00F82829" w:rsidRDefault="008F57AD" w:rsidP="00024B10">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212.4</w:t>
            </w:r>
          </w:p>
        </w:tc>
        <w:tc>
          <w:tcPr>
            <w:tcW w:w="850" w:type="dxa"/>
            <w:tcMar>
              <w:left w:w="0" w:type="dxa"/>
              <w:right w:w="0" w:type="dxa"/>
            </w:tcMar>
          </w:tcPr>
          <w:p w14:paraId="501BA7E7" w14:textId="577CE1F4" w:rsidR="008F57AD" w:rsidRPr="00895810" w:rsidRDefault="008F57AD" w:rsidP="008F57AD">
            <w:pPr>
              <w:pStyle w:val="TableFigures"/>
              <w:rPr>
                <w:rFonts w:ascii="IBM Plex Sans Light" w:hAnsi="IBM Plex Sans Light"/>
                <w:color w:val="auto"/>
                <w:spacing w:val="-4"/>
                <w:sz w:val="18"/>
                <w:szCs w:val="18"/>
              </w:rPr>
            </w:pPr>
            <w:r w:rsidRPr="009C7339">
              <w:rPr>
                <w:rFonts w:ascii="IBM Plex Sans Light" w:hAnsi="IBM Plex Sans Light"/>
                <w:color w:val="auto"/>
                <w:spacing w:val="-4"/>
                <w:sz w:val="18"/>
                <w:szCs w:val="18"/>
              </w:rPr>
              <w:t>205.9</w:t>
            </w:r>
          </w:p>
        </w:tc>
        <w:tc>
          <w:tcPr>
            <w:tcW w:w="851" w:type="dxa"/>
            <w:tcMar>
              <w:left w:w="0" w:type="dxa"/>
              <w:right w:w="0" w:type="dxa"/>
            </w:tcMar>
          </w:tcPr>
          <w:p w14:paraId="50052873" w14:textId="174E24F3" w:rsidR="008F57AD" w:rsidRPr="00895810" w:rsidRDefault="008F57AD" w:rsidP="008F57AD">
            <w:pPr>
              <w:pStyle w:val="TableFigures"/>
              <w:rPr>
                <w:rFonts w:ascii="IBM Plex Sans Light" w:hAnsi="IBM Plex Sans Light"/>
                <w:color w:val="auto"/>
                <w:spacing w:val="-4"/>
                <w:sz w:val="18"/>
                <w:szCs w:val="18"/>
              </w:rPr>
            </w:pPr>
            <w:r w:rsidRPr="009C7339">
              <w:rPr>
                <w:rFonts w:ascii="IBM Plex Sans Light" w:hAnsi="IBM Plex Sans Light"/>
                <w:color w:val="auto"/>
                <w:spacing w:val="-4"/>
                <w:sz w:val="18"/>
                <w:szCs w:val="18"/>
              </w:rPr>
              <w:t>205.9</w:t>
            </w:r>
          </w:p>
        </w:tc>
      </w:tr>
      <w:tr w:rsidR="008F57AD" w:rsidRPr="00895810" w14:paraId="4C7ACD4C" w14:textId="77777777" w:rsidTr="004A1C35">
        <w:trPr>
          <w:trHeight w:val="283"/>
        </w:trPr>
        <w:tc>
          <w:tcPr>
            <w:tcW w:w="2948" w:type="dxa"/>
            <w:tcBorders>
              <w:bottom w:val="single" w:sz="8" w:space="0" w:color="3D7FE0" w:themeColor="accent1"/>
            </w:tcBorders>
            <w:tcMar>
              <w:left w:w="0" w:type="dxa"/>
              <w:right w:w="0" w:type="dxa"/>
            </w:tcMar>
            <w:vAlign w:val="bottom"/>
          </w:tcPr>
          <w:p w14:paraId="15AAA0DA" w14:textId="77777777" w:rsidR="008F57AD" w:rsidRPr="00895810" w:rsidRDefault="008F57AD" w:rsidP="008F57AD">
            <w:pPr>
              <w:pStyle w:val="Tabletext"/>
              <w:rPr>
                <w:rFonts w:ascii="IBM Plex Sans Light" w:hAnsi="IBM Plex Sans Light"/>
                <w:spacing w:val="-4"/>
                <w:sz w:val="18"/>
                <w:szCs w:val="18"/>
              </w:rPr>
            </w:pPr>
            <w:r w:rsidRPr="00895810">
              <w:rPr>
                <w:rFonts w:ascii="IBM Plex Sans Light" w:hAnsi="IBM Plex Sans Light"/>
                <w:spacing w:val="-4"/>
                <w:sz w:val="18"/>
                <w:szCs w:val="18"/>
              </w:rPr>
              <w:t>Fair value of other investments</w:t>
            </w:r>
          </w:p>
        </w:tc>
        <w:tc>
          <w:tcPr>
            <w:tcW w:w="425" w:type="dxa"/>
            <w:tcBorders>
              <w:bottom w:val="single" w:sz="8" w:space="0" w:color="3D7FE0" w:themeColor="accent1"/>
            </w:tcBorders>
            <w:vAlign w:val="bottom"/>
          </w:tcPr>
          <w:p w14:paraId="36B99D96" w14:textId="49351D1C" w:rsidR="008F57AD" w:rsidRPr="00895810" w:rsidRDefault="008F57AD" w:rsidP="008F57AD">
            <w:pPr>
              <w:pStyle w:val="TabletextBold"/>
              <w:ind w:right="-107"/>
              <w:rPr>
                <w:rFonts w:ascii="IBM Plex Sans Light" w:hAnsi="IBM Plex Sans Light"/>
                <w:bCs/>
                <w:color w:val="3D7FE0" w:themeColor="accent1"/>
                <w:sz w:val="18"/>
                <w:szCs w:val="18"/>
              </w:rPr>
            </w:pPr>
          </w:p>
        </w:tc>
        <w:tc>
          <w:tcPr>
            <w:tcW w:w="992" w:type="dxa"/>
            <w:tcBorders>
              <w:bottom w:val="single" w:sz="8" w:space="0" w:color="3D7FE0" w:themeColor="accent1"/>
            </w:tcBorders>
            <w:vAlign w:val="bottom"/>
          </w:tcPr>
          <w:p w14:paraId="09DF4FC6" w14:textId="72517F6B" w:rsidR="008F57AD" w:rsidRPr="00895810" w:rsidRDefault="008F57AD" w:rsidP="008F57AD">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Level 3</w:t>
            </w:r>
          </w:p>
        </w:tc>
        <w:tc>
          <w:tcPr>
            <w:tcW w:w="993" w:type="dxa"/>
            <w:tcBorders>
              <w:bottom w:val="single" w:sz="8" w:space="0" w:color="3D7FE0" w:themeColor="accent1"/>
            </w:tcBorders>
            <w:tcMar>
              <w:left w:w="0" w:type="dxa"/>
              <w:right w:w="0" w:type="dxa"/>
            </w:tcMar>
            <w:vAlign w:val="bottom"/>
          </w:tcPr>
          <w:p w14:paraId="57040EF5" w14:textId="432EDBC5"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Borders>
              <w:bottom w:val="single" w:sz="8" w:space="0" w:color="3D7FE0" w:themeColor="accent1"/>
            </w:tcBorders>
            <w:tcMar>
              <w:left w:w="0" w:type="dxa"/>
              <w:right w:w="0" w:type="dxa"/>
            </w:tcMar>
            <w:vAlign w:val="bottom"/>
          </w:tcPr>
          <w:p w14:paraId="51BEB767" w14:textId="77B1F7B2" w:rsidR="008F57AD" w:rsidRPr="00895810" w:rsidRDefault="008F57AD" w:rsidP="008F57AD">
            <w:pPr>
              <w:pStyle w:val="TableFiguresBold"/>
              <w:rPr>
                <w:rFonts w:ascii="IBM Plex Sans Light" w:hAnsi="IBM Plex Sans Light"/>
                <w:color w:val="3D7FE0" w:themeColor="accent1"/>
                <w:spacing w:val="-4"/>
                <w:sz w:val="18"/>
                <w:szCs w:val="18"/>
              </w:rPr>
            </w:pPr>
          </w:p>
        </w:tc>
        <w:tc>
          <w:tcPr>
            <w:tcW w:w="992" w:type="dxa"/>
            <w:tcBorders>
              <w:bottom w:val="single" w:sz="8" w:space="0" w:color="3D7FE0" w:themeColor="accent1"/>
            </w:tcBorders>
            <w:tcMar>
              <w:left w:w="0" w:type="dxa"/>
              <w:right w:w="0" w:type="dxa"/>
            </w:tcMar>
          </w:tcPr>
          <w:p w14:paraId="1C8EC190" w14:textId="32A4292B" w:rsidR="008F57AD"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8.8</w:t>
            </w:r>
          </w:p>
        </w:tc>
        <w:tc>
          <w:tcPr>
            <w:tcW w:w="851" w:type="dxa"/>
            <w:tcBorders>
              <w:bottom w:val="single" w:sz="8" w:space="0" w:color="3D7FE0" w:themeColor="accent1"/>
            </w:tcBorders>
            <w:tcMar>
              <w:left w:w="0" w:type="dxa"/>
              <w:right w:w="0" w:type="dxa"/>
            </w:tcMar>
          </w:tcPr>
          <w:p w14:paraId="2BA46E4E" w14:textId="5ECC1808" w:rsidR="008F57AD" w:rsidRPr="00F82829" w:rsidRDefault="008F57AD" w:rsidP="00024B10">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8.8</w:t>
            </w:r>
          </w:p>
        </w:tc>
        <w:tc>
          <w:tcPr>
            <w:tcW w:w="850" w:type="dxa"/>
            <w:tcBorders>
              <w:bottom w:val="single" w:sz="8" w:space="0" w:color="3D7FE0" w:themeColor="accent1"/>
            </w:tcBorders>
            <w:tcMar>
              <w:left w:w="0" w:type="dxa"/>
              <w:right w:w="0" w:type="dxa"/>
            </w:tcMar>
          </w:tcPr>
          <w:p w14:paraId="5E287AA1" w14:textId="1FBC0519" w:rsidR="008F57AD" w:rsidRPr="00895810" w:rsidRDefault="008F57AD" w:rsidP="008F57AD">
            <w:pPr>
              <w:pStyle w:val="TableFigures"/>
              <w:rPr>
                <w:rFonts w:ascii="IBM Plex Sans Light" w:hAnsi="IBM Plex Sans Light"/>
                <w:color w:val="auto"/>
                <w:spacing w:val="-4"/>
                <w:sz w:val="18"/>
                <w:szCs w:val="18"/>
              </w:rPr>
            </w:pPr>
            <w:r w:rsidRPr="009C7339">
              <w:rPr>
                <w:rFonts w:ascii="IBM Plex Sans Light" w:hAnsi="IBM Plex Sans Light"/>
                <w:color w:val="auto"/>
                <w:spacing w:val="-4"/>
                <w:sz w:val="18"/>
                <w:szCs w:val="18"/>
              </w:rPr>
              <w:t>9.8</w:t>
            </w:r>
          </w:p>
        </w:tc>
        <w:tc>
          <w:tcPr>
            <w:tcW w:w="851" w:type="dxa"/>
            <w:tcBorders>
              <w:bottom w:val="single" w:sz="8" w:space="0" w:color="3D7FE0" w:themeColor="accent1"/>
            </w:tcBorders>
            <w:tcMar>
              <w:left w:w="0" w:type="dxa"/>
              <w:right w:w="0" w:type="dxa"/>
            </w:tcMar>
          </w:tcPr>
          <w:p w14:paraId="51F55997" w14:textId="57D9C54A" w:rsidR="008F57AD" w:rsidRPr="00895810" w:rsidRDefault="008F57AD" w:rsidP="008F57AD">
            <w:pPr>
              <w:pStyle w:val="TableFigures"/>
              <w:rPr>
                <w:rFonts w:ascii="IBM Plex Sans Light" w:hAnsi="IBM Plex Sans Light"/>
                <w:color w:val="auto"/>
                <w:spacing w:val="-4"/>
                <w:sz w:val="18"/>
                <w:szCs w:val="18"/>
              </w:rPr>
            </w:pPr>
            <w:r w:rsidRPr="009C7339">
              <w:rPr>
                <w:rFonts w:ascii="IBM Plex Sans Light" w:hAnsi="IBM Plex Sans Light"/>
                <w:color w:val="auto"/>
                <w:spacing w:val="-4"/>
                <w:sz w:val="18"/>
                <w:szCs w:val="18"/>
              </w:rPr>
              <w:t>9.8</w:t>
            </w:r>
          </w:p>
        </w:tc>
      </w:tr>
    </w:tbl>
    <w:p w14:paraId="5CEC93AF" w14:textId="77777777" w:rsidR="00D74334" w:rsidRPr="00895810" w:rsidRDefault="00D74334" w:rsidP="00807219">
      <w:pPr>
        <w:spacing w:after="0"/>
        <w:rPr>
          <w:rFonts w:ascii="IBM Plex Sans Light" w:hAnsi="IBM Plex Sans Light"/>
          <w:sz w:val="14"/>
          <w:szCs w:val="14"/>
        </w:rPr>
      </w:pPr>
    </w:p>
    <w:p w14:paraId="15041A6A" w14:textId="480EB598" w:rsidR="00A75F6C" w:rsidRPr="00AB6B6E" w:rsidRDefault="004406E3" w:rsidP="00AB6B6E">
      <w:pPr>
        <w:spacing w:after="80" w:line="240" w:lineRule="auto"/>
        <w:jc w:val="both"/>
        <w:rPr>
          <w:rFonts w:ascii="IBM Plex Sans Medium" w:hAnsi="IBM Plex Sans Medium" w:cs="Arial"/>
          <w:b/>
          <w:color w:val="3D7FE0" w:themeColor="accent1"/>
          <w:szCs w:val="18"/>
        </w:rPr>
      </w:pPr>
      <w:r>
        <w:rPr>
          <w:rFonts w:ascii="IBM Plex Sans Medium" w:hAnsi="IBM Plex Sans Medium" w:cs="Arial"/>
          <w:b/>
          <w:color w:val="3D7FE0" w:themeColor="accent1"/>
          <w:szCs w:val="18"/>
        </w:rPr>
        <w:t>18</w:t>
      </w:r>
      <w:r w:rsidR="00A75F6C" w:rsidRPr="00AB6B6E">
        <w:rPr>
          <w:rFonts w:ascii="IBM Plex Sans Medium" w:hAnsi="IBM Plex Sans Medium" w:cs="Arial"/>
          <w:b/>
          <w:color w:val="3D7FE0" w:themeColor="accent1"/>
          <w:szCs w:val="18"/>
        </w:rPr>
        <w:t>. DIVIDENDS</w:t>
      </w:r>
    </w:p>
    <w:tbl>
      <w:tblPr>
        <w:tblW w:w="9923" w:type="dxa"/>
        <w:tblLayout w:type="fixed"/>
        <w:tblLook w:val="01E0" w:firstRow="1" w:lastRow="1" w:firstColumn="1" w:lastColumn="1" w:noHBand="0" w:noVBand="0"/>
      </w:tblPr>
      <w:tblGrid>
        <w:gridCol w:w="1842"/>
        <w:gridCol w:w="2552"/>
        <w:gridCol w:w="1134"/>
        <w:gridCol w:w="1134"/>
        <w:gridCol w:w="708"/>
        <w:gridCol w:w="1276"/>
        <w:gridCol w:w="1277"/>
      </w:tblGrid>
      <w:tr w:rsidR="00A75F6C" w:rsidRPr="00895810" w14:paraId="0B4B8B3E" w14:textId="77777777" w:rsidTr="003F2C4C">
        <w:trPr>
          <w:trHeight w:val="462"/>
        </w:trPr>
        <w:tc>
          <w:tcPr>
            <w:tcW w:w="1842" w:type="dxa"/>
            <w:tcMar>
              <w:left w:w="0" w:type="dxa"/>
              <w:right w:w="0" w:type="dxa"/>
            </w:tcMar>
            <w:vAlign w:val="bottom"/>
          </w:tcPr>
          <w:p w14:paraId="59760D14" w14:textId="77777777" w:rsidR="00A75F6C" w:rsidRPr="00895810" w:rsidRDefault="00A75F6C" w:rsidP="003F2C4C">
            <w:pPr>
              <w:pStyle w:val="TableColHeadsBold"/>
              <w:rPr>
                <w:rFonts w:ascii="IBM Plex Sans Light" w:hAnsi="IBM Plex Sans Light"/>
              </w:rPr>
            </w:pPr>
          </w:p>
        </w:tc>
        <w:tc>
          <w:tcPr>
            <w:tcW w:w="2552" w:type="dxa"/>
            <w:tcMar>
              <w:left w:w="0" w:type="dxa"/>
              <w:right w:w="0" w:type="dxa"/>
            </w:tcMar>
            <w:vAlign w:val="bottom"/>
          </w:tcPr>
          <w:p w14:paraId="20E0976D" w14:textId="77777777" w:rsidR="00A75F6C" w:rsidRPr="00895810" w:rsidRDefault="00A75F6C" w:rsidP="003F2C4C">
            <w:pPr>
              <w:pStyle w:val="TableColHeadsBold"/>
              <w:rPr>
                <w:rFonts w:ascii="IBM Plex Sans Light" w:hAnsi="IBM Plex Sans Light"/>
                <w:color w:val="3D7FE0" w:themeColor="accent1"/>
              </w:rPr>
            </w:pPr>
          </w:p>
        </w:tc>
        <w:tc>
          <w:tcPr>
            <w:tcW w:w="1134" w:type="dxa"/>
            <w:tcMar>
              <w:left w:w="0" w:type="dxa"/>
              <w:right w:w="0" w:type="dxa"/>
            </w:tcMar>
            <w:vAlign w:val="bottom"/>
          </w:tcPr>
          <w:p w14:paraId="631DFE4C" w14:textId="77777777" w:rsidR="00A75F6C" w:rsidRPr="00895810" w:rsidRDefault="00A75F6C"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Cash dividend per share</w:t>
            </w:r>
          </w:p>
        </w:tc>
        <w:tc>
          <w:tcPr>
            <w:tcW w:w="1134" w:type="dxa"/>
            <w:tcMar>
              <w:left w:w="0" w:type="dxa"/>
              <w:right w:w="0" w:type="dxa"/>
            </w:tcMar>
            <w:vAlign w:val="bottom"/>
          </w:tcPr>
          <w:p w14:paraId="10B19150" w14:textId="77777777" w:rsidR="00A75F6C" w:rsidRPr="00895810" w:rsidRDefault="00A75F6C"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Enhanced scrip alternative</w:t>
            </w:r>
          </w:p>
          <w:p w14:paraId="07206C87" w14:textId="77777777" w:rsidR="00A75F6C" w:rsidRPr="00895810" w:rsidRDefault="00A75F6C" w:rsidP="003F2C4C">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 per share </w:t>
            </w:r>
          </w:p>
        </w:tc>
        <w:tc>
          <w:tcPr>
            <w:tcW w:w="708" w:type="dxa"/>
            <w:tcMar>
              <w:left w:w="0" w:type="dxa"/>
              <w:right w:w="0" w:type="dxa"/>
            </w:tcMar>
            <w:vAlign w:val="bottom"/>
          </w:tcPr>
          <w:p w14:paraId="01F02EF2" w14:textId="61A9B6E3" w:rsidR="00A75F6C" w:rsidRPr="00895810" w:rsidRDefault="006B6ABF" w:rsidP="003F2C4C">
            <w:pPr>
              <w:pStyle w:val="TableColHeadsBold"/>
              <w:rPr>
                <w:rFonts w:ascii="IBM Plex Sans Light" w:hAnsi="IBM Plex Sans Light"/>
                <w:bCs w:val="0"/>
              </w:rPr>
            </w:pPr>
            <w:r>
              <w:rPr>
                <w:rFonts w:ascii="IBM Plex Sans Light" w:hAnsi="IBM Plex Sans Light"/>
                <w:bCs w:val="0"/>
              </w:rPr>
              <w:t>Footn</w:t>
            </w:r>
            <w:r w:rsidR="00A75F6C" w:rsidRPr="00895810">
              <w:rPr>
                <w:rFonts w:ascii="IBM Plex Sans Light" w:hAnsi="IBM Plex Sans Light"/>
                <w:bCs w:val="0"/>
              </w:rPr>
              <w:t>ote</w:t>
            </w:r>
          </w:p>
        </w:tc>
        <w:tc>
          <w:tcPr>
            <w:tcW w:w="1276" w:type="dxa"/>
            <w:tcMar>
              <w:left w:w="0" w:type="dxa"/>
              <w:right w:w="0" w:type="dxa"/>
            </w:tcMar>
            <w:vAlign w:val="bottom"/>
          </w:tcPr>
          <w:p w14:paraId="308D23A8" w14:textId="25B0F61C" w:rsidR="00801982" w:rsidRPr="00895810" w:rsidRDefault="00785AC2" w:rsidP="003F2C4C">
            <w:pPr>
              <w:pStyle w:val="TableColHeads"/>
              <w:rPr>
                <w:rFonts w:ascii="IBM Plex Sans Light" w:hAnsi="IBM Plex Sans Light"/>
                <w:b/>
                <w:color w:val="3D7FE0" w:themeColor="accent1"/>
              </w:rPr>
            </w:pPr>
            <w:r>
              <w:rPr>
                <w:rFonts w:ascii="IBM Plex Sans Light" w:hAnsi="IBM Plex Sans Light"/>
                <w:b/>
                <w:color w:val="3D7FE0" w:themeColor="accent1"/>
              </w:rPr>
              <w:t>2023</w:t>
            </w:r>
          </w:p>
          <w:p w14:paraId="76459A5B" w14:textId="07A47290" w:rsidR="00A75F6C" w:rsidRPr="00895810" w:rsidRDefault="00801982" w:rsidP="003F2C4C">
            <w:pPr>
              <w:pStyle w:val="TableColHeads"/>
              <w:rPr>
                <w:rFonts w:ascii="IBM Plex Sans Light" w:hAnsi="IBM Plex Sans Light"/>
                <w:b/>
              </w:rPr>
            </w:pPr>
            <w:r w:rsidRPr="00895810">
              <w:rPr>
                <w:rFonts w:ascii="IBM Plex Sans Light" w:hAnsi="IBM Plex Sans Light"/>
                <w:b/>
                <w:color w:val="3D7FE0" w:themeColor="accent1"/>
              </w:rPr>
              <w:t>£m</w:t>
            </w:r>
            <w:r w:rsidR="00A75F6C" w:rsidRPr="00895810">
              <w:rPr>
                <w:rFonts w:ascii="IBM Plex Sans Light" w:hAnsi="IBM Plex Sans Light"/>
                <w:b/>
                <w:color w:val="3D7FE0" w:themeColor="accent1"/>
              </w:rPr>
              <w:t xml:space="preserve"> </w:t>
            </w:r>
          </w:p>
        </w:tc>
        <w:tc>
          <w:tcPr>
            <w:tcW w:w="1277" w:type="dxa"/>
            <w:tcMar>
              <w:left w:w="0" w:type="dxa"/>
              <w:right w:w="0" w:type="dxa"/>
            </w:tcMar>
            <w:vAlign w:val="bottom"/>
          </w:tcPr>
          <w:p w14:paraId="04F47299" w14:textId="0D7577BC" w:rsidR="00801982" w:rsidRPr="00895810" w:rsidRDefault="006E7EB0" w:rsidP="003F2C4C">
            <w:pPr>
              <w:pStyle w:val="TableColHeads"/>
              <w:rPr>
                <w:rFonts w:ascii="IBM Plex Sans Light" w:hAnsi="IBM Plex Sans Light"/>
              </w:rPr>
            </w:pPr>
            <w:r>
              <w:rPr>
                <w:rFonts w:ascii="IBM Plex Sans Light" w:hAnsi="IBM Plex Sans Light"/>
              </w:rPr>
              <w:t>2022</w:t>
            </w:r>
          </w:p>
          <w:p w14:paraId="673F87D9" w14:textId="2DC9CFEC" w:rsidR="00A75F6C" w:rsidRPr="00895810" w:rsidRDefault="00801982" w:rsidP="003F2C4C">
            <w:pPr>
              <w:pStyle w:val="TableColHeads"/>
              <w:rPr>
                <w:rFonts w:ascii="IBM Plex Sans Light" w:hAnsi="IBM Plex Sans Light"/>
              </w:rPr>
            </w:pPr>
            <w:r w:rsidRPr="00895810">
              <w:rPr>
                <w:rFonts w:ascii="IBM Plex Sans Light" w:hAnsi="IBM Plex Sans Light"/>
              </w:rPr>
              <w:t>£m</w:t>
            </w:r>
            <w:r w:rsidR="00A75F6C" w:rsidRPr="00895810">
              <w:rPr>
                <w:rFonts w:ascii="IBM Plex Sans Light" w:hAnsi="IBM Plex Sans Light"/>
              </w:rPr>
              <w:t xml:space="preserve"> </w:t>
            </w:r>
          </w:p>
        </w:tc>
      </w:tr>
      <w:tr w:rsidR="00A75F6C" w:rsidRPr="00895810" w14:paraId="06820758" w14:textId="77777777" w:rsidTr="003F2C4C">
        <w:tc>
          <w:tcPr>
            <w:tcW w:w="1842" w:type="dxa"/>
            <w:tcBorders>
              <w:top w:val="single" w:sz="2" w:space="0" w:color="3D7FE0" w:themeColor="accent1"/>
            </w:tcBorders>
            <w:tcMar>
              <w:left w:w="0" w:type="dxa"/>
              <w:right w:w="0" w:type="dxa"/>
            </w:tcMar>
            <w:vAlign w:val="bottom"/>
          </w:tcPr>
          <w:p w14:paraId="4F19F300" w14:textId="6B34BC7F" w:rsidR="00A75F6C" w:rsidRPr="00895810" w:rsidRDefault="00A75F6C" w:rsidP="003F2C4C">
            <w:pPr>
              <w:spacing w:after="0" w:line="240" w:lineRule="auto"/>
              <w:rPr>
                <w:rFonts w:ascii="IBM Plex Sans Light" w:hAnsi="IBM Plex Sans Light" w:cs="Arial"/>
                <w:b/>
                <w:bCs/>
                <w:color w:val="3D7FE0" w:themeColor="accent1"/>
                <w:sz w:val="16"/>
                <w:szCs w:val="16"/>
              </w:rPr>
            </w:pPr>
            <w:r w:rsidRPr="00895810">
              <w:rPr>
                <w:rFonts w:ascii="IBM Plex Sans Light" w:hAnsi="IBM Plex Sans Light" w:cs="Arial"/>
                <w:b/>
                <w:bCs/>
                <w:color w:val="3D7FE0" w:themeColor="accent1"/>
                <w:sz w:val="16"/>
                <w:szCs w:val="16"/>
              </w:rPr>
              <w:t>Prior period</w:t>
            </w:r>
            <w:r w:rsidR="00314264">
              <w:rPr>
                <w:rFonts w:ascii="IBM Plex Sans Light" w:hAnsi="IBM Plex Sans Light" w:cs="Arial"/>
                <w:b/>
                <w:bCs/>
                <w:color w:val="3D7FE0" w:themeColor="accent1"/>
                <w:sz w:val="16"/>
                <w:szCs w:val="16"/>
              </w:rPr>
              <w:t xml:space="preserve"> dividends</w:t>
            </w:r>
          </w:p>
        </w:tc>
        <w:tc>
          <w:tcPr>
            <w:tcW w:w="2552" w:type="dxa"/>
            <w:tcBorders>
              <w:top w:val="single" w:sz="2" w:space="0" w:color="3D7FE0" w:themeColor="accent1"/>
            </w:tcBorders>
            <w:tcMar>
              <w:left w:w="0" w:type="dxa"/>
              <w:right w:w="0" w:type="dxa"/>
            </w:tcMar>
            <w:vAlign w:val="bottom"/>
          </w:tcPr>
          <w:p w14:paraId="318C2D6E" w14:textId="77777777" w:rsidR="00A75F6C" w:rsidRPr="00895810" w:rsidRDefault="00A75F6C" w:rsidP="003F2C4C">
            <w:pPr>
              <w:spacing w:after="0" w:line="240" w:lineRule="auto"/>
              <w:jc w:val="right"/>
              <w:rPr>
                <w:rFonts w:ascii="IBM Plex Sans Light" w:hAnsi="IBM Plex Sans Light" w:cs="Arial"/>
                <w:bCs/>
                <w:color w:val="3D7FE0" w:themeColor="accent1"/>
                <w:sz w:val="16"/>
                <w:szCs w:val="16"/>
              </w:rPr>
            </w:pPr>
          </w:p>
        </w:tc>
        <w:tc>
          <w:tcPr>
            <w:tcW w:w="1134" w:type="dxa"/>
            <w:tcBorders>
              <w:top w:val="single" w:sz="2" w:space="0" w:color="3D7FE0" w:themeColor="accent1"/>
            </w:tcBorders>
            <w:tcMar>
              <w:left w:w="0" w:type="dxa"/>
              <w:right w:w="0" w:type="dxa"/>
            </w:tcMar>
            <w:vAlign w:val="bottom"/>
          </w:tcPr>
          <w:p w14:paraId="69B7940C" w14:textId="77777777" w:rsidR="00A75F6C" w:rsidRPr="00895810" w:rsidRDefault="00A75F6C" w:rsidP="003F2C4C">
            <w:pPr>
              <w:spacing w:after="0" w:line="240" w:lineRule="auto"/>
              <w:jc w:val="right"/>
              <w:rPr>
                <w:rFonts w:ascii="IBM Plex Sans Light" w:hAnsi="IBM Plex Sans Light" w:cs="Arial"/>
                <w:bCs/>
                <w:color w:val="3D7FE0" w:themeColor="accent1"/>
                <w:sz w:val="16"/>
                <w:szCs w:val="16"/>
              </w:rPr>
            </w:pPr>
          </w:p>
        </w:tc>
        <w:tc>
          <w:tcPr>
            <w:tcW w:w="1134" w:type="dxa"/>
            <w:tcBorders>
              <w:top w:val="single" w:sz="2" w:space="0" w:color="3D7FE0" w:themeColor="accent1"/>
            </w:tcBorders>
            <w:tcMar>
              <w:left w:w="0" w:type="dxa"/>
              <w:right w:w="0" w:type="dxa"/>
            </w:tcMar>
            <w:vAlign w:val="bottom"/>
          </w:tcPr>
          <w:p w14:paraId="42B78E50" w14:textId="77777777" w:rsidR="00A75F6C" w:rsidRPr="00895810" w:rsidRDefault="00A75F6C" w:rsidP="003F2C4C">
            <w:pPr>
              <w:pStyle w:val="TableFiguresBold"/>
              <w:rPr>
                <w:rFonts w:ascii="IBM Plex Sans Light" w:hAnsi="IBM Plex Sans Light"/>
                <w:color w:val="3D7FE0" w:themeColor="accent1"/>
                <w:spacing w:val="-4"/>
                <w:sz w:val="18"/>
              </w:rPr>
            </w:pPr>
            <w:r w:rsidRPr="00895810">
              <w:rPr>
                <w:rFonts w:ascii="IBM Plex Sans Light" w:hAnsi="IBM Plex Sans Light"/>
                <w:color w:val="3D7FE0" w:themeColor="accent1"/>
                <w:spacing w:val="-4"/>
                <w:sz w:val="18"/>
              </w:rPr>
              <w:t xml:space="preserve"> </w:t>
            </w:r>
          </w:p>
        </w:tc>
        <w:tc>
          <w:tcPr>
            <w:tcW w:w="708" w:type="dxa"/>
            <w:tcBorders>
              <w:top w:val="single" w:sz="2" w:space="0" w:color="3D7FE0" w:themeColor="accent1"/>
            </w:tcBorders>
            <w:tcMar>
              <w:left w:w="0" w:type="dxa"/>
              <w:right w:w="0" w:type="dxa"/>
            </w:tcMar>
          </w:tcPr>
          <w:p w14:paraId="16DB79DE" w14:textId="77777777" w:rsidR="00A75F6C" w:rsidRPr="00895810" w:rsidRDefault="00A75F6C" w:rsidP="003F2C4C">
            <w:pPr>
              <w:pStyle w:val="TableFigures"/>
              <w:rPr>
                <w:rFonts w:ascii="IBM Plex Sans Light" w:hAnsi="IBM Plex Sans Light"/>
                <w:color w:val="auto"/>
                <w:spacing w:val="-4"/>
                <w:sz w:val="18"/>
              </w:rPr>
            </w:pPr>
          </w:p>
        </w:tc>
        <w:tc>
          <w:tcPr>
            <w:tcW w:w="1276" w:type="dxa"/>
            <w:tcBorders>
              <w:top w:val="single" w:sz="2" w:space="0" w:color="3D7FE0" w:themeColor="accent1"/>
            </w:tcBorders>
            <w:tcMar>
              <w:left w:w="0" w:type="dxa"/>
              <w:right w:w="0" w:type="dxa"/>
            </w:tcMar>
            <w:vAlign w:val="bottom"/>
          </w:tcPr>
          <w:p w14:paraId="7CDEF537" w14:textId="77777777" w:rsidR="00A75F6C" w:rsidRPr="00895810" w:rsidRDefault="00A75F6C" w:rsidP="003F2C4C">
            <w:pPr>
              <w:spacing w:after="0" w:line="240" w:lineRule="auto"/>
              <w:jc w:val="right"/>
              <w:rPr>
                <w:rFonts w:ascii="IBM Plex Sans Light" w:hAnsi="IBM Plex Sans Light" w:cs="Arial"/>
                <w:bCs/>
                <w:sz w:val="16"/>
                <w:szCs w:val="16"/>
              </w:rPr>
            </w:pPr>
          </w:p>
        </w:tc>
        <w:tc>
          <w:tcPr>
            <w:tcW w:w="1277" w:type="dxa"/>
            <w:tcBorders>
              <w:top w:val="single" w:sz="2" w:space="0" w:color="3D7FE0" w:themeColor="accent1"/>
            </w:tcBorders>
            <w:tcMar>
              <w:left w:w="0" w:type="dxa"/>
              <w:right w:w="0" w:type="dxa"/>
            </w:tcMar>
            <w:vAlign w:val="bottom"/>
          </w:tcPr>
          <w:p w14:paraId="10722855" w14:textId="77777777" w:rsidR="00A75F6C" w:rsidRPr="00895810" w:rsidRDefault="00A75F6C" w:rsidP="003F2C4C">
            <w:pPr>
              <w:pStyle w:val="TableFiguresBold"/>
              <w:rPr>
                <w:rFonts w:ascii="IBM Plex Sans Light" w:hAnsi="IBM Plex Sans Light" w:cs="Arial"/>
                <w:b w:val="0"/>
                <w:spacing w:val="-4"/>
                <w:szCs w:val="16"/>
              </w:rPr>
            </w:pPr>
          </w:p>
        </w:tc>
      </w:tr>
      <w:tr w:rsidR="00314264" w:rsidRPr="00895810" w14:paraId="148B4539" w14:textId="77777777" w:rsidTr="00B92940">
        <w:tc>
          <w:tcPr>
            <w:tcW w:w="1842" w:type="dxa"/>
            <w:tcMar>
              <w:left w:w="0" w:type="dxa"/>
              <w:right w:w="0" w:type="dxa"/>
            </w:tcMar>
            <w:vAlign w:val="bottom"/>
          </w:tcPr>
          <w:p w14:paraId="456072DE" w14:textId="77777777" w:rsidR="00314264" w:rsidRPr="00895810" w:rsidRDefault="00314264" w:rsidP="00314264">
            <w:pPr>
              <w:pStyle w:val="Tabletext"/>
              <w:rPr>
                <w:rFonts w:ascii="IBM Plex Sans Light" w:hAnsi="IBM Plex Sans Light"/>
                <w:spacing w:val="-4"/>
                <w:sz w:val="18"/>
              </w:rPr>
            </w:pPr>
            <w:r w:rsidRPr="00895810">
              <w:rPr>
                <w:rFonts w:ascii="IBM Plex Sans Light" w:hAnsi="IBM Plex Sans Light"/>
                <w:spacing w:val="-4"/>
                <w:sz w:val="18"/>
              </w:rPr>
              <w:t>2021 final dividend</w:t>
            </w:r>
          </w:p>
        </w:tc>
        <w:tc>
          <w:tcPr>
            <w:tcW w:w="2552" w:type="dxa"/>
            <w:tcMar>
              <w:left w:w="0" w:type="dxa"/>
              <w:right w:w="0" w:type="dxa"/>
            </w:tcMar>
            <w:vAlign w:val="bottom"/>
          </w:tcPr>
          <w:p w14:paraId="20237575" w14:textId="77777777" w:rsidR="00314264" w:rsidRPr="00895810" w:rsidRDefault="00314264" w:rsidP="00314264">
            <w:pPr>
              <w:pStyle w:val="Tabletext"/>
              <w:rPr>
                <w:rFonts w:ascii="IBM Plex Sans Light" w:hAnsi="IBM Plex Sans Light"/>
                <w:color w:val="auto"/>
                <w:spacing w:val="-4"/>
                <w:sz w:val="18"/>
              </w:rPr>
            </w:pPr>
            <w:r w:rsidRPr="00895810">
              <w:rPr>
                <w:rFonts w:ascii="IBM Plex Sans Light" w:hAnsi="IBM Plex Sans Light"/>
                <w:color w:val="auto"/>
                <w:spacing w:val="-4"/>
                <w:sz w:val="18"/>
              </w:rPr>
              <w:t xml:space="preserve"> - Cash</w:t>
            </w:r>
          </w:p>
        </w:tc>
        <w:tc>
          <w:tcPr>
            <w:tcW w:w="1134" w:type="dxa"/>
            <w:vAlign w:val="bottom"/>
          </w:tcPr>
          <w:p w14:paraId="0B5DD5EF" w14:textId="77777777" w:rsidR="00314264" w:rsidRPr="00895810" w:rsidRDefault="00314264" w:rsidP="00314264">
            <w:pPr>
              <w:pStyle w:val="Tabletext"/>
              <w:ind w:right="-57"/>
              <w:jc w:val="right"/>
              <w:rPr>
                <w:rFonts w:ascii="IBM Plex Sans Light" w:hAnsi="IBM Plex Sans Light"/>
                <w:color w:val="auto"/>
                <w:spacing w:val="-4"/>
                <w:sz w:val="18"/>
              </w:rPr>
            </w:pPr>
            <w:r w:rsidRPr="00895810">
              <w:rPr>
                <w:rFonts w:ascii="IBM Plex Sans Light" w:hAnsi="IBM Plex Sans Light"/>
                <w:color w:val="auto"/>
                <w:spacing w:val="-4"/>
                <w:sz w:val="18"/>
              </w:rPr>
              <w:t>0.2p</w:t>
            </w:r>
          </w:p>
        </w:tc>
        <w:tc>
          <w:tcPr>
            <w:tcW w:w="1134" w:type="dxa"/>
            <w:vAlign w:val="bottom"/>
          </w:tcPr>
          <w:p w14:paraId="29E4EFCB" w14:textId="77777777" w:rsidR="00314264" w:rsidRPr="00895810" w:rsidRDefault="00314264" w:rsidP="00314264">
            <w:pPr>
              <w:pStyle w:val="Tabletext"/>
              <w:jc w:val="right"/>
              <w:rPr>
                <w:rFonts w:ascii="IBM Plex Sans Light" w:hAnsi="IBM Plex Sans Light"/>
                <w:color w:val="auto"/>
                <w:spacing w:val="-4"/>
                <w:sz w:val="18"/>
              </w:rPr>
            </w:pPr>
          </w:p>
        </w:tc>
        <w:tc>
          <w:tcPr>
            <w:tcW w:w="708" w:type="dxa"/>
            <w:tcMar>
              <w:left w:w="0" w:type="dxa"/>
              <w:right w:w="0" w:type="dxa"/>
            </w:tcMar>
          </w:tcPr>
          <w:p w14:paraId="4ECFFA8A" w14:textId="3B383E91" w:rsidR="00314264" w:rsidRPr="00895810" w:rsidRDefault="00314264" w:rsidP="00314264">
            <w:pPr>
              <w:pStyle w:val="TableFigures"/>
              <w:ind w:right="57"/>
              <w:rPr>
                <w:rFonts w:ascii="IBM Plex Sans Light" w:hAnsi="IBM Plex Sans Light"/>
                <w:color w:val="auto"/>
                <w:spacing w:val="-4"/>
                <w:szCs w:val="18"/>
              </w:rPr>
            </w:pPr>
            <w:r w:rsidRPr="00895810">
              <w:rPr>
                <w:rFonts w:ascii="IBM Plex Sans Light" w:hAnsi="IBM Plex Sans Light"/>
                <w:color w:val="auto"/>
                <w:spacing w:val="-4"/>
                <w:szCs w:val="18"/>
              </w:rPr>
              <w:t>a</w:t>
            </w:r>
          </w:p>
        </w:tc>
        <w:tc>
          <w:tcPr>
            <w:tcW w:w="1276" w:type="dxa"/>
            <w:tcMar>
              <w:left w:w="0" w:type="dxa"/>
              <w:right w:w="0" w:type="dxa"/>
            </w:tcMar>
          </w:tcPr>
          <w:p w14:paraId="1BCB5807" w14:textId="2450FBCD" w:rsidR="00314264" w:rsidRPr="008F57AD" w:rsidRDefault="00314264" w:rsidP="00314264">
            <w:pPr>
              <w:pStyle w:val="TableFiguresBold"/>
              <w:rPr>
                <w:rFonts w:ascii="IBM Plex Sans Medium" w:hAnsi="IBM Plex Sans Medium"/>
                <w:color w:val="3D7FE0" w:themeColor="accent1"/>
                <w:spacing w:val="-4"/>
                <w:sz w:val="18"/>
                <w:szCs w:val="18"/>
              </w:rPr>
            </w:pPr>
            <w:r w:rsidRPr="008F57AD" w:rsidDel="006F6E7C">
              <w:rPr>
                <w:rFonts w:ascii="IBM Plex Sans Medium" w:hAnsi="IBM Plex Sans Medium"/>
                <w:color w:val="3D7FE0" w:themeColor="accent1"/>
                <w:spacing w:val="-4"/>
                <w:sz w:val="18"/>
                <w:szCs w:val="18"/>
              </w:rPr>
              <w:t>–</w:t>
            </w:r>
          </w:p>
        </w:tc>
        <w:tc>
          <w:tcPr>
            <w:tcW w:w="1277" w:type="dxa"/>
            <w:shd w:val="clear" w:color="auto" w:fill="auto"/>
            <w:tcMar>
              <w:left w:w="0" w:type="dxa"/>
              <w:right w:w="0" w:type="dxa"/>
            </w:tcMar>
          </w:tcPr>
          <w:p w14:paraId="62FCBA7D" w14:textId="2A338A3C" w:rsidR="00314264" w:rsidRPr="00314264" w:rsidRDefault="00314264" w:rsidP="00314264">
            <w:pPr>
              <w:pStyle w:val="TableFiguresBold"/>
              <w:rPr>
                <w:rFonts w:ascii="IBM Plex Sans Light" w:hAnsi="IBM Plex Sans Light"/>
                <w:b w:val="0"/>
                <w:bCs w:val="0"/>
                <w:color w:val="auto"/>
                <w:spacing w:val="-4"/>
                <w:sz w:val="18"/>
              </w:rPr>
            </w:pPr>
            <w:r w:rsidRPr="00314264">
              <w:rPr>
                <w:rFonts w:ascii="IBM Plex Sans Light" w:hAnsi="IBM Plex Sans Light"/>
                <w:b w:val="0"/>
                <w:bCs w:val="0"/>
                <w:color w:val="auto"/>
                <w:spacing w:val="-4"/>
                <w:sz w:val="18"/>
                <w:szCs w:val="18"/>
              </w:rPr>
              <w:t>11.8</w:t>
            </w:r>
          </w:p>
        </w:tc>
      </w:tr>
      <w:tr w:rsidR="00314264" w:rsidRPr="00895810" w14:paraId="3C5FD316" w14:textId="77777777" w:rsidTr="00B92940">
        <w:tc>
          <w:tcPr>
            <w:tcW w:w="1842" w:type="dxa"/>
            <w:tcMar>
              <w:left w:w="0" w:type="dxa"/>
              <w:right w:w="0" w:type="dxa"/>
            </w:tcMar>
            <w:vAlign w:val="bottom"/>
          </w:tcPr>
          <w:p w14:paraId="3DEB6031" w14:textId="77777777" w:rsidR="00314264" w:rsidRPr="00895810" w:rsidDel="008C5DCD" w:rsidRDefault="00314264" w:rsidP="00314264">
            <w:pPr>
              <w:pStyle w:val="Tabletext"/>
              <w:rPr>
                <w:rFonts w:ascii="IBM Plex Sans Light" w:hAnsi="IBM Plex Sans Light"/>
                <w:color w:val="3D7FE0" w:themeColor="accent1"/>
                <w:spacing w:val="-4"/>
                <w:sz w:val="18"/>
              </w:rPr>
            </w:pPr>
          </w:p>
        </w:tc>
        <w:tc>
          <w:tcPr>
            <w:tcW w:w="2552" w:type="dxa"/>
            <w:tcMar>
              <w:left w:w="0" w:type="dxa"/>
              <w:right w:w="0" w:type="dxa"/>
            </w:tcMar>
            <w:vAlign w:val="bottom"/>
          </w:tcPr>
          <w:p w14:paraId="09D61265" w14:textId="77777777" w:rsidR="00314264" w:rsidRPr="00895810" w:rsidRDefault="00314264" w:rsidP="00314264">
            <w:pPr>
              <w:pStyle w:val="Tabletext"/>
              <w:rPr>
                <w:rFonts w:ascii="IBM Plex Sans Light" w:hAnsi="IBM Plex Sans Light"/>
                <w:color w:val="auto"/>
                <w:spacing w:val="-4"/>
                <w:sz w:val="18"/>
              </w:rPr>
            </w:pPr>
            <w:r w:rsidRPr="00895810">
              <w:rPr>
                <w:rFonts w:ascii="IBM Plex Sans Light" w:hAnsi="IBM Plex Sans Light"/>
                <w:color w:val="auto"/>
                <w:spacing w:val="-4"/>
                <w:sz w:val="18"/>
              </w:rPr>
              <w:t xml:space="preserve"> - Enhanced scrip alternative</w:t>
            </w:r>
          </w:p>
        </w:tc>
        <w:tc>
          <w:tcPr>
            <w:tcW w:w="1134" w:type="dxa"/>
            <w:vAlign w:val="bottom"/>
          </w:tcPr>
          <w:p w14:paraId="748C50F4" w14:textId="77777777" w:rsidR="00314264" w:rsidRPr="00895810" w:rsidRDefault="00314264" w:rsidP="00314264">
            <w:pPr>
              <w:pStyle w:val="Tabletext"/>
              <w:ind w:right="-57"/>
              <w:jc w:val="right"/>
              <w:rPr>
                <w:rFonts w:ascii="IBM Plex Sans Light" w:hAnsi="IBM Plex Sans Light"/>
                <w:color w:val="auto"/>
                <w:spacing w:val="-4"/>
                <w:sz w:val="18"/>
              </w:rPr>
            </w:pPr>
          </w:p>
        </w:tc>
        <w:tc>
          <w:tcPr>
            <w:tcW w:w="1134" w:type="dxa"/>
            <w:vAlign w:val="bottom"/>
          </w:tcPr>
          <w:p w14:paraId="460A9D8C" w14:textId="77777777" w:rsidR="00314264" w:rsidRPr="00895810" w:rsidRDefault="00314264" w:rsidP="00314264">
            <w:pPr>
              <w:pStyle w:val="Tabletext"/>
              <w:ind w:right="-57"/>
              <w:jc w:val="right"/>
              <w:rPr>
                <w:rFonts w:ascii="IBM Plex Sans Light" w:hAnsi="IBM Plex Sans Light"/>
                <w:color w:val="auto"/>
                <w:spacing w:val="-4"/>
                <w:sz w:val="18"/>
              </w:rPr>
            </w:pPr>
            <w:r w:rsidRPr="00895810">
              <w:rPr>
                <w:rFonts w:ascii="IBM Plex Sans Light" w:hAnsi="IBM Plex Sans Light"/>
                <w:color w:val="auto"/>
                <w:spacing w:val="-4"/>
                <w:sz w:val="18"/>
              </w:rPr>
              <w:t>2.0p</w:t>
            </w:r>
          </w:p>
        </w:tc>
        <w:tc>
          <w:tcPr>
            <w:tcW w:w="708" w:type="dxa"/>
            <w:tcMar>
              <w:left w:w="0" w:type="dxa"/>
              <w:right w:w="0" w:type="dxa"/>
            </w:tcMar>
          </w:tcPr>
          <w:p w14:paraId="204AD5E8" w14:textId="5C722FD6" w:rsidR="00314264" w:rsidRPr="00895810" w:rsidDel="00636EEA" w:rsidRDefault="00314264" w:rsidP="00314264">
            <w:pPr>
              <w:pStyle w:val="TableFigures"/>
              <w:ind w:right="57"/>
              <w:rPr>
                <w:rFonts w:ascii="IBM Plex Sans Light" w:hAnsi="IBM Plex Sans Light"/>
                <w:color w:val="auto"/>
                <w:spacing w:val="-4"/>
                <w:szCs w:val="18"/>
              </w:rPr>
            </w:pPr>
            <w:r w:rsidRPr="00895810">
              <w:rPr>
                <w:rFonts w:ascii="IBM Plex Sans Light" w:hAnsi="IBM Plex Sans Light"/>
                <w:color w:val="auto"/>
                <w:spacing w:val="-4"/>
                <w:szCs w:val="18"/>
              </w:rPr>
              <w:t>b</w:t>
            </w:r>
          </w:p>
        </w:tc>
        <w:tc>
          <w:tcPr>
            <w:tcW w:w="1276" w:type="dxa"/>
            <w:tcMar>
              <w:left w:w="0" w:type="dxa"/>
              <w:right w:w="0" w:type="dxa"/>
            </w:tcMar>
          </w:tcPr>
          <w:p w14:paraId="71FCFB25" w14:textId="00694F2D" w:rsidR="00314264" w:rsidRPr="008F57AD" w:rsidDel="00EF4477" w:rsidRDefault="00314264" w:rsidP="008F57AD">
            <w:pPr>
              <w:pStyle w:val="TableFiguresBold"/>
              <w:rPr>
                <w:rFonts w:ascii="IBM Plex Sans Medium" w:hAnsi="IBM Plex Sans Medium"/>
                <w:color w:val="3D7FE0" w:themeColor="accent1"/>
                <w:spacing w:val="-4"/>
                <w:sz w:val="18"/>
                <w:szCs w:val="18"/>
              </w:rPr>
            </w:pPr>
            <w:r w:rsidRPr="008F57AD" w:rsidDel="006F6E7C">
              <w:rPr>
                <w:rFonts w:ascii="IBM Plex Sans Medium" w:hAnsi="IBM Plex Sans Medium"/>
                <w:color w:val="3D7FE0" w:themeColor="accent1"/>
                <w:spacing w:val="-4"/>
                <w:sz w:val="18"/>
                <w:szCs w:val="18"/>
              </w:rPr>
              <w:t>–</w:t>
            </w:r>
          </w:p>
        </w:tc>
        <w:tc>
          <w:tcPr>
            <w:tcW w:w="1277" w:type="dxa"/>
            <w:shd w:val="clear" w:color="auto" w:fill="auto"/>
            <w:tcMar>
              <w:left w:w="0" w:type="dxa"/>
              <w:right w:w="0" w:type="dxa"/>
            </w:tcMar>
          </w:tcPr>
          <w:p w14:paraId="113BC0CB" w14:textId="501F1006" w:rsidR="00314264" w:rsidRPr="00314264" w:rsidRDefault="00314264" w:rsidP="00314264">
            <w:pPr>
              <w:pStyle w:val="TableFigures"/>
              <w:rPr>
                <w:rFonts w:ascii="IBM Plex Sans Light" w:hAnsi="IBM Plex Sans Light"/>
                <w:color w:val="auto"/>
                <w:spacing w:val="-4"/>
                <w:sz w:val="18"/>
              </w:rPr>
            </w:pPr>
            <w:r w:rsidRPr="00314264">
              <w:rPr>
                <w:rFonts w:ascii="IBM Plex Sans Light" w:hAnsi="IBM Plex Sans Light"/>
                <w:color w:val="auto"/>
                <w:spacing w:val="-4"/>
                <w:sz w:val="18"/>
                <w:szCs w:val="18"/>
              </w:rPr>
              <w:t>51.4</w:t>
            </w:r>
          </w:p>
        </w:tc>
      </w:tr>
      <w:tr w:rsidR="006D62E1" w:rsidRPr="00895810" w14:paraId="6502244D" w14:textId="77777777" w:rsidTr="0055686D">
        <w:tc>
          <w:tcPr>
            <w:tcW w:w="1842" w:type="dxa"/>
            <w:tcMar>
              <w:left w:w="0" w:type="dxa"/>
              <w:right w:w="0" w:type="dxa"/>
            </w:tcMar>
            <w:vAlign w:val="bottom"/>
          </w:tcPr>
          <w:p w14:paraId="4331B454" w14:textId="77777777" w:rsidR="006D62E1" w:rsidRPr="006D62E1" w:rsidRDefault="006D62E1" w:rsidP="006D62E1">
            <w:pPr>
              <w:pStyle w:val="Tabletext"/>
              <w:rPr>
                <w:rFonts w:ascii="IBM Plex Sans Light" w:hAnsi="IBM Plex Sans Light"/>
                <w:color w:val="auto"/>
                <w:spacing w:val="-4"/>
                <w:sz w:val="18"/>
              </w:rPr>
            </w:pPr>
            <w:r w:rsidRPr="006D62E1">
              <w:rPr>
                <w:rFonts w:ascii="IBM Plex Sans Light" w:hAnsi="IBM Plex Sans Light"/>
                <w:color w:val="auto"/>
                <w:spacing w:val="-4"/>
                <w:sz w:val="18"/>
              </w:rPr>
              <w:t>2022 interim dividend</w:t>
            </w:r>
          </w:p>
        </w:tc>
        <w:tc>
          <w:tcPr>
            <w:tcW w:w="2552" w:type="dxa"/>
            <w:tcMar>
              <w:left w:w="0" w:type="dxa"/>
              <w:right w:w="0" w:type="dxa"/>
            </w:tcMar>
            <w:vAlign w:val="bottom"/>
          </w:tcPr>
          <w:p w14:paraId="64DFE357" w14:textId="77777777" w:rsidR="006D62E1" w:rsidRPr="006D62E1" w:rsidRDefault="006D62E1" w:rsidP="006D62E1">
            <w:pPr>
              <w:pStyle w:val="Tabletext"/>
              <w:rPr>
                <w:rFonts w:ascii="IBM Plex Sans Light" w:hAnsi="IBM Plex Sans Light"/>
                <w:color w:val="auto"/>
                <w:spacing w:val="-4"/>
                <w:sz w:val="18"/>
              </w:rPr>
            </w:pPr>
            <w:r w:rsidRPr="006D62E1">
              <w:rPr>
                <w:rFonts w:ascii="IBM Plex Sans Light" w:hAnsi="IBM Plex Sans Light"/>
                <w:color w:val="auto"/>
                <w:spacing w:val="-4"/>
                <w:sz w:val="18"/>
              </w:rPr>
              <w:t xml:space="preserve"> - Cash</w:t>
            </w:r>
          </w:p>
        </w:tc>
        <w:tc>
          <w:tcPr>
            <w:tcW w:w="1134" w:type="dxa"/>
            <w:vAlign w:val="bottom"/>
          </w:tcPr>
          <w:p w14:paraId="7C215EDD" w14:textId="77777777" w:rsidR="006D62E1" w:rsidRPr="004406E3" w:rsidRDefault="006D62E1" w:rsidP="004406E3">
            <w:pPr>
              <w:pStyle w:val="Tabletext"/>
              <w:ind w:right="-57"/>
              <w:jc w:val="right"/>
              <w:rPr>
                <w:rFonts w:ascii="IBM Plex Sans Light" w:hAnsi="IBM Plex Sans Light"/>
                <w:color w:val="auto"/>
                <w:spacing w:val="-4"/>
                <w:sz w:val="18"/>
              </w:rPr>
            </w:pPr>
            <w:r w:rsidRPr="004406E3">
              <w:rPr>
                <w:rFonts w:ascii="IBM Plex Sans Light" w:hAnsi="IBM Plex Sans Light"/>
                <w:color w:val="auto"/>
                <w:spacing w:val="-4"/>
                <w:sz w:val="18"/>
              </w:rPr>
              <w:t>0.2p</w:t>
            </w:r>
          </w:p>
        </w:tc>
        <w:tc>
          <w:tcPr>
            <w:tcW w:w="1134" w:type="dxa"/>
            <w:vAlign w:val="bottom"/>
          </w:tcPr>
          <w:p w14:paraId="27413175" w14:textId="77777777" w:rsidR="006D62E1" w:rsidRPr="004406E3" w:rsidRDefault="006D62E1" w:rsidP="004406E3">
            <w:pPr>
              <w:pStyle w:val="Tabletext"/>
              <w:ind w:right="-57"/>
              <w:jc w:val="right"/>
              <w:rPr>
                <w:rFonts w:ascii="IBM Plex Sans Light" w:hAnsi="IBM Plex Sans Light"/>
                <w:color w:val="auto"/>
                <w:spacing w:val="-4"/>
                <w:sz w:val="18"/>
              </w:rPr>
            </w:pPr>
          </w:p>
        </w:tc>
        <w:tc>
          <w:tcPr>
            <w:tcW w:w="708" w:type="dxa"/>
            <w:tcMar>
              <w:left w:w="0" w:type="dxa"/>
              <w:right w:w="0" w:type="dxa"/>
            </w:tcMar>
          </w:tcPr>
          <w:p w14:paraId="0B132202" w14:textId="5B3FC0E9" w:rsidR="006D62E1" w:rsidRPr="00895810" w:rsidRDefault="006D62E1" w:rsidP="006D62E1">
            <w:pPr>
              <w:pStyle w:val="TableFigures"/>
              <w:ind w:right="57"/>
              <w:rPr>
                <w:rFonts w:ascii="IBM Plex Sans Light" w:hAnsi="IBM Plex Sans Light"/>
                <w:color w:val="auto"/>
                <w:spacing w:val="-4"/>
                <w:szCs w:val="18"/>
              </w:rPr>
            </w:pPr>
          </w:p>
        </w:tc>
        <w:tc>
          <w:tcPr>
            <w:tcW w:w="1276" w:type="dxa"/>
            <w:tcMar>
              <w:left w:w="0" w:type="dxa"/>
              <w:right w:w="0" w:type="dxa"/>
            </w:tcMar>
          </w:tcPr>
          <w:p w14:paraId="780C6BA8" w14:textId="633BAAAC" w:rsidR="006D62E1" w:rsidRPr="008F57AD" w:rsidRDefault="006D62E1" w:rsidP="008F57AD">
            <w:pPr>
              <w:pStyle w:val="TableFiguresBold"/>
              <w:rPr>
                <w:rFonts w:ascii="IBM Plex Sans Medium" w:hAnsi="IBM Plex Sans Medium"/>
                <w:color w:val="3D7FE0" w:themeColor="accent1"/>
                <w:spacing w:val="-4"/>
                <w:sz w:val="18"/>
                <w:szCs w:val="18"/>
              </w:rPr>
            </w:pPr>
            <w:r w:rsidRPr="008F57AD" w:rsidDel="006F6E7C">
              <w:rPr>
                <w:rFonts w:ascii="IBM Plex Sans Medium" w:hAnsi="IBM Plex Sans Medium"/>
                <w:color w:val="3D7FE0" w:themeColor="accent1"/>
                <w:spacing w:val="-4"/>
                <w:sz w:val="18"/>
                <w:szCs w:val="18"/>
              </w:rPr>
              <w:t>–</w:t>
            </w:r>
          </w:p>
        </w:tc>
        <w:tc>
          <w:tcPr>
            <w:tcW w:w="1277" w:type="dxa"/>
            <w:shd w:val="clear" w:color="auto" w:fill="auto"/>
            <w:tcMar>
              <w:left w:w="0" w:type="dxa"/>
              <w:right w:w="0" w:type="dxa"/>
            </w:tcMar>
          </w:tcPr>
          <w:p w14:paraId="0F8B106F" w14:textId="02D0DB81" w:rsidR="006D62E1" w:rsidRPr="006D62E1" w:rsidRDefault="006D62E1" w:rsidP="006D62E1">
            <w:pPr>
              <w:pStyle w:val="TableFigures"/>
              <w:rPr>
                <w:rFonts w:ascii="IBM Plex Sans Light" w:hAnsi="IBM Plex Sans Light"/>
                <w:color w:val="auto"/>
                <w:spacing w:val="-4"/>
                <w:sz w:val="18"/>
              </w:rPr>
            </w:pPr>
            <w:r w:rsidRPr="006D62E1">
              <w:rPr>
                <w:rFonts w:ascii="IBM Plex Sans Light" w:hAnsi="IBM Plex Sans Light"/>
                <w:color w:val="auto"/>
                <w:spacing w:val="-4"/>
                <w:sz w:val="18"/>
              </w:rPr>
              <w:t>1.4</w:t>
            </w:r>
          </w:p>
        </w:tc>
      </w:tr>
      <w:tr w:rsidR="00230EE3" w:rsidRPr="00895810" w14:paraId="3AB809F8" w14:textId="77777777" w:rsidTr="00CE41CB">
        <w:tc>
          <w:tcPr>
            <w:tcW w:w="1842" w:type="dxa"/>
            <w:tcMar>
              <w:left w:w="0" w:type="dxa"/>
              <w:right w:w="0" w:type="dxa"/>
            </w:tcMar>
            <w:vAlign w:val="bottom"/>
          </w:tcPr>
          <w:p w14:paraId="1685B852" w14:textId="77777777" w:rsidR="00230EE3" w:rsidRPr="006D62E1" w:rsidRDefault="00230EE3" w:rsidP="00230EE3">
            <w:pPr>
              <w:pStyle w:val="Tabletext"/>
              <w:rPr>
                <w:rFonts w:ascii="IBM Plex Sans Light" w:hAnsi="IBM Plex Sans Light"/>
                <w:color w:val="auto"/>
                <w:spacing w:val="-4"/>
                <w:sz w:val="18"/>
              </w:rPr>
            </w:pPr>
          </w:p>
        </w:tc>
        <w:tc>
          <w:tcPr>
            <w:tcW w:w="2552" w:type="dxa"/>
            <w:tcMar>
              <w:left w:w="0" w:type="dxa"/>
              <w:right w:w="0" w:type="dxa"/>
            </w:tcMar>
            <w:vAlign w:val="bottom"/>
          </w:tcPr>
          <w:p w14:paraId="22FCCC93" w14:textId="3EDAB215" w:rsidR="00230EE3" w:rsidRPr="006D62E1" w:rsidRDefault="00230EE3" w:rsidP="00230EE3">
            <w:pPr>
              <w:pStyle w:val="Tabletext"/>
              <w:rPr>
                <w:rFonts w:ascii="IBM Plex Sans Light" w:hAnsi="IBM Plex Sans Light"/>
                <w:color w:val="auto"/>
                <w:spacing w:val="-4"/>
                <w:sz w:val="18"/>
              </w:rPr>
            </w:pPr>
            <w:r w:rsidRPr="006D62E1">
              <w:rPr>
                <w:rFonts w:ascii="IBM Plex Sans Light" w:hAnsi="IBM Plex Sans Light"/>
                <w:color w:val="auto"/>
                <w:spacing w:val="-4"/>
                <w:sz w:val="18"/>
              </w:rPr>
              <w:t xml:space="preserve"> - Enhanced scrip alternative</w:t>
            </w:r>
          </w:p>
        </w:tc>
        <w:tc>
          <w:tcPr>
            <w:tcW w:w="1134" w:type="dxa"/>
            <w:vAlign w:val="bottom"/>
          </w:tcPr>
          <w:p w14:paraId="5740F260" w14:textId="77777777" w:rsidR="00230EE3" w:rsidRPr="004406E3" w:rsidRDefault="00230EE3" w:rsidP="004406E3">
            <w:pPr>
              <w:pStyle w:val="Tabletext"/>
              <w:ind w:right="-57"/>
              <w:jc w:val="right"/>
              <w:rPr>
                <w:rFonts w:ascii="IBM Plex Sans Light" w:hAnsi="IBM Plex Sans Light"/>
                <w:color w:val="auto"/>
                <w:spacing w:val="-4"/>
                <w:sz w:val="18"/>
              </w:rPr>
            </w:pPr>
          </w:p>
        </w:tc>
        <w:tc>
          <w:tcPr>
            <w:tcW w:w="1134" w:type="dxa"/>
            <w:vAlign w:val="bottom"/>
          </w:tcPr>
          <w:p w14:paraId="719F37F2" w14:textId="66EEAB30" w:rsidR="00230EE3" w:rsidRPr="004406E3" w:rsidRDefault="00230EE3" w:rsidP="004406E3">
            <w:pPr>
              <w:pStyle w:val="Tabletext"/>
              <w:ind w:right="-57"/>
              <w:jc w:val="right"/>
              <w:rPr>
                <w:rFonts w:ascii="IBM Plex Sans Light" w:hAnsi="IBM Plex Sans Light"/>
                <w:color w:val="auto"/>
                <w:spacing w:val="-4"/>
                <w:sz w:val="18"/>
              </w:rPr>
            </w:pPr>
            <w:r w:rsidRPr="004406E3">
              <w:rPr>
                <w:rFonts w:ascii="IBM Plex Sans Light" w:hAnsi="IBM Plex Sans Light"/>
                <w:color w:val="auto"/>
                <w:spacing w:val="-4"/>
                <w:sz w:val="18"/>
              </w:rPr>
              <w:t>2.0p</w:t>
            </w:r>
          </w:p>
        </w:tc>
        <w:tc>
          <w:tcPr>
            <w:tcW w:w="708" w:type="dxa"/>
            <w:tcMar>
              <w:left w:w="0" w:type="dxa"/>
              <w:right w:w="0" w:type="dxa"/>
            </w:tcMar>
            <w:vAlign w:val="bottom"/>
          </w:tcPr>
          <w:p w14:paraId="04322E69" w14:textId="1917E726" w:rsidR="00230EE3" w:rsidRPr="00895810" w:rsidRDefault="00230EE3" w:rsidP="00230EE3">
            <w:pPr>
              <w:pStyle w:val="TableFigures"/>
              <w:ind w:right="57"/>
              <w:rPr>
                <w:rFonts w:ascii="IBM Plex Sans Light" w:hAnsi="IBM Plex Sans Light"/>
                <w:color w:val="auto"/>
                <w:spacing w:val="-4"/>
                <w:szCs w:val="18"/>
              </w:rPr>
            </w:pPr>
            <w:r w:rsidRPr="00895810">
              <w:rPr>
                <w:rFonts w:ascii="IBM Plex Sans Light" w:hAnsi="IBM Plex Sans Light"/>
                <w:color w:val="auto"/>
                <w:spacing w:val="-4"/>
                <w:szCs w:val="18"/>
              </w:rPr>
              <w:t>b</w:t>
            </w:r>
          </w:p>
        </w:tc>
        <w:tc>
          <w:tcPr>
            <w:tcW w:w="1276" w:type="dxa"/>
            <w:tcMar>
              <w:left w:w="0" w:type="dxa"/>
              <w:right w:w="0" w:type="dxa"/>
            </w:tcMar>
          </w:tcPr>
          <w:p w14:paraId="142B306A" w14:textId="0B30B795" w:rsidR="00230EE3" w:rsidRPr="008F57AD" w:rsidDel="006F6E7C" w:rsidRDefault="00230EE3" w:rsidP="008F57AD">
            <w:pPr>
              <w:pStyle w:val="TableFiguresBold"/>
              <w:rPr>
                <w:rFonts w:ascii="IBM Plex Sans Medium" w:hAnsi="IBM Plex Sans Medium"/>
                <w:color w:val="3D7FE0" w:themeColor="accent1"/>
                <w:spacing w:val="-4"/>
                <w:sz w:val="18"/>
                <w:szCs w:val="18"/>
              </w:rPr>
            </w:pPr>
            <w:r w:rsidRPr="008F57AD" w:rsidDel="006F6E7C">
              <w:rPr>
                <w:rFonts w:ascii="IBM Plex Sans Medium" w:hAnsi="IBM Plex Sans Medium"/>
                <w:color w:val="3D7FE0" w:themeColor="accent1"/>
                <w:spacing w:val="-4"/>
                <w:sz w:val="18"/>
                <w:szCs w:val="18"/>
              </w:rPr>
              <w:t>–</w:t>
            </w:r>
          </w:p>
        </w:tc>
        <w:tc>
          <w:tcPr>
            <w:tcW w:w="1277" w:type="dxa"/>
            <w:shd w:val="clear" w:color="auto" w:fill="auto"/>
            <w:tcMar>
              <w:left w:w="0" w:type="dxa"/>
              <w:right w:w="0" w:type="dxa"/>
            </w:tcMar>
            <w:vAlign w:val="bottom"/>
          </w:tcPr>
          <w:p w14:paraId="57ED03CF" w14:textId="66FF7F9B" w:rsidR="00230EE3" w:rsidRPr="006D62E1" w:rsidRDefault="00230EE3" w:rsidP="00230EE3">
            <w:pPr>
              <w:pStyle w:val="TableFigures"/>
              <w:rPr>
                <w:rFonts w:ascii="IBM Plex Sans Light" w:hAnsi="IBM Plex Sans Light"/>
                <w:color w:val="auto"/>
                <w:spacing w:val="-4"/>
                <w:sz w:val="18"/>
              </w:rPr>
            </w:pPr>
            <w:r w:rsidRPr="006D62E1">
              <w:rPr>
                <w:rFonts w:ascii="IBM Plex Sans Light" w:hAnsi="IBM Plex Sans Light"/>
                <w:color w:val="auto"/>
                <w:spacing w:val="-4"/>
                <w:sz w:val="18"/>
              </w:rPr>
              <w:t>75.7</w:t>
            </w:r>
          </w:p>
        </w:tc>
      </w:tr>
      <w:tr w:rsidR="00230EE3" w:rsidRPr="00895810" w14:paraId="5321C7E1" w14:textId="77777777" w:rsidTr="009B0396">
        <w:tc>
          <w:tcPr>
            <w:tcW w:w="1842" w:type="dxa"/>
            <w:tcMar>
              <w:left w:w="0" w:type="dxa"/>
              <w:right w:w="0" w:type="dxa"/>
            </w:tcMar>
            <w:vAlign w:val="bottom"/>
          </w:tcPr>
          <w:p w14:paraId="6DD81CCE" w14:textId="7A90F6E2" w:rsidR="00230EE3" w:rsidRPr="008F57AD" w:rsidRDefault="00230EE3" w:rsidP="00230EE3">
            <w:pPr>
              <w:pStyle w:val="Tabletext"/>
              <w:rPr>
                <w:rFonts w:ascii="IBM Plex Sans Light" w:hAnsi="IBM Plex Sans Light"/>
                <w:b/>
                <w:bCs/>
                <w:color w:val="auto"/>
                <w:spacing w:val="-4"/>
                <w:sz w:val="18"/>
              </w:rPr>
            </w:pPr>
            <w:r w:rsidRPr="008F57AD">
              <w:rPr>
                <w:rFonts w:ascii="IBM Plex Sans Light" w:hAnsi="IBM Plex Sans Light"/>
                <w:b/>
                <w:bCs/>
                <w:color w:val="auto"/>
                <w:spacing w:val="-4"/>
                <w:sz w:val="18"/>
              </w:rPr>
              <w:t>2023 interim dividend</w:t>
            </w:r>
          </w:p>
        </w:tc>
        <w:tc>
          <w:tcPr>
            <w:tcW w:w="2552" w:type="dxa"/>
            <w:tcMar>
              <w:left w:w="0" w:type="dxa"/>
              <w:right w:w="0" w:type="dxa"/>
            </w:tcMar>
            <w:vAlign w:val="bottom"/>
          </w:tcPr>
          <w:p w14:paraId="16D5EECB" w14:textId="1A6B2D7F" w:rsidR="00230EE3" w:rsidRPr="008F57AD" w:rsidRDefault="00230EE3" w:rsidP="00230EE3">
            <w:pPr>
              <w:pStyle w:val="Tabletext"/>
              <w:rPr>
                <w:rFonts w:ascii="IBM Plex Sans Light" w:hAnsi="IBM Plex Sans Light"/>
                <w:b/>
                <w:bCs/>
                <w:color w:val="auto"/>
                <w:spacing w:val="-4"/>
                <w:sz w:val="18"/>
              </w:rPr>
            </w:pPr>
            <w:r w:rsidRPr="008F57AD">
              <w:rPr>
                <w:rFonts w:ascii="IBM Plex Sans Light" w:hAnsi="IBM Plex Sans Light"/>
                <w:b/>
                <w:bCs/>
                <w:color w:val="auto"/>
                <w:spacing w:val="-4"/>
                <w:sz w:val="18"/>
              </w:rPr>
              <w:t xml:space="preserve"> - Cash</w:t>
            </w:r>
          </w:p>
        </w:tc>
        <w:tc>
          <w:tcPr>
            <w:tcW w:w="1134" w:type="dxa"/>
            <w:vAlign w:val="bottom"/>
          </w:tcPr>
          <w:p w14:paraId="2836A136" w14:textId="15A8FA14" w:rsidR="00230EE3" w:rsidRPr="004406E3" w:rsidRDefault="008F57AD" w:rsidP="00230EE3">
            <w:pPr>
              <w:pStyle w:val="TableFigures"/>
              <w:ind w:right="-57"/>
              <w:rPr>
                <w:rFonts w:ascii="IBM Plex Sans Light" w:hAnsi="IBM Plex Sans Light"/>
                <w:b/>
                <w:bCs/>
                <w:color w:val="3D7FE0" w:themeColor="accent1"/>
                <w:spacing w:val="-4"/>
                <w:sz w:val="18"/>
              </w:rPr>
            </w:pPr>
            <w:r w:rsidRPr="004406E3">
              <w:rPr>
                <w:rFonts w:ascii="IBM Plex Sans Light" w:hAnsi="IBM Plex Sans Light"/>
                <w:b/>
                <w:bCs/>
                <w:color w:val="3D7FE0" w:themeColor="accent1"/>
                <w:spacing w:val="-4"/>
                <w:sz w:val="18"/>
              </w:rPr>
              <w:t>0.72</w:t>
            </w:r>
            <w:r w:rsidR="00230EE3" w:rsidRPr="004406E3">
              <w:rPr>
                <w:rFonts w:ascii="IBM Plex Sans Light" w:hAnsi="IBM Plex Sans Light"/>
                <w:b/>
                <w:bCs/>
                <w:color w:val="3D7FE0" w:themeColor="accent1"/>
                <w:spacing w:val="-4"/>
                <w:sz w:val="18"/>
              </w:rPr>
              <w:t>p</w:t>
            </w:r>
          </w:p>
        </w:tc>
        <w:tc>
          <w:tcPr>
            <w:tcW w:w="1134" w:type="dxa"/>
            <w:vAlign w:val="bottom"/>
          </w:tcPr>
          <w:p w14:paraId="52D368B0" w14:textId="57249BFD" w:rsidR="00230EE3" w:rsidRPr="00895810" w:rsidRDefault="00230EE3" w:rsidP="00230EE3">
            <w:pPr>
              <w:pStyle w:val="TableFigures"/>
              <w:ind w:right="-57"/>
              <w:rPr>
                <w:rFonts w:ascii="IBM Plex Sans Light" w:hAnsi="IBM Plex Sans Light"/>
                <w:b/>
                <w:bCs/>
                <w:color w:val="3D7FE0" w:themeColor="accent1"/>
                <w:spacing w:val="-4"/>
                <w:sz w:val="18"/>
              </w:rPr>
            </w:pPr>
          </w:p>
        </w:tc>
        <w:tc>
          <w:tcPr>
            <w:tcW w:w="708" w:type="dxa"/>
            <w:tcMar>
              <w:left w:w="0" w:type="dxa"/>
              <w:right w:w="0" w:type="dxa"/>
            </w:tcMar>
            <w:vAlign w:val="bottom"/>
          </w:tcPr>
          <w:p w14:paraId="1363FA23" w14:textId="77CED87A" w:rsidR="00230EE3" w:rsidRPr="00895810" w:rsidRDefault="007C5135" w:rsidP="00230EE3">
            <w:pPr>
              <w:pStyle w:val="TableFigures"/>
              <w:ind w:right="57"/>
              <w:rPr>
                <w:rFonts w:ascii="IBM Plex Sans Light" w:hAnsi="IBM Plex Sans Light"/>
                <w:color w:val="auto"/>
                <w:spacing w:val="-4"/>
                <w:szCs w:val="18"/>
              </w:rPr>
            </w:pPr>
            <w:proofErr w:type="spellStart"/>
            <w:r>
              <w:rPr>
                <w:rFonts w:ascii="IBM Plex Sans Light" w:hAnsi="IBM Plex Sans Light"/>
                <w:color w:val="auto"/>
                <w:spacing w:val="-4"/>
                <w:szCs w:val="18"/>
              </w:rPr>
              <w:t>a,c</w:t>
            </w:r>
            <w:proofErr w:type="spellEnd"/>
          </w:p>
        </w:tc>
        <w:tc>
          <w:tcPr>
            <w:tcW w:w="1276" w:type="dxa"/>
            <w:tcMar>
              <w:left w:w="0" w:type="dxa"/>
              <w:right w:w="0" w:type="dxa"/>
            </w:tcMar>
          </w:tcPr>
          <w:p w14:paraId="7D7FCE27" w14:textId="09AF869D" w:rsidR="00230EE3"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35.9</w:t>
            </w:r>
          </w:p>
        </w:tc>
        <w:tc>
          <w:tcPr>
            <w:tcW w:w="1277" w:type="dxa"/>
            <w:shd w:val="clear" w:color="auto" w:fill="auto"/>
            <w:tcMar>
              <w:left w:w="0" w:type="dxa"/>
              <w:right w:w="0" w:type="dxa"/>
            </w:tcMar>
            <w:vAlign w:val="bottom"/>
          </w:tcPr>
          <w:p w14:paraId="2B14AC46" w14:textId="06E7BD81" w:rsidR="00230EE3" w:rsidRPr="006D62E1" w:rsidRDefault="00230EE3" w:rsidP="00230EE3">
            <w:pPr>
              <w:pStyle w:val="TableFigures"/>
              <w:rPr>
                <w:rFonts w:ascii="IBM Plex Sans Light" w:hAnsi="IBM Plex Sans Light"/>
                <w:color w:val="auto"/>
                <w:spacing w:val="-4"/>
                <w:sz w:val="18"/>
              </w:rPr>
            </w:pPr>
            <w:r w:rsidRPr="00895810">
              <w:rPr>
                <w:rFonts w:ascii="IBM Plex Sans Light" w:hAnsi="IBM Plex Sans Light"/>
                <w:color w:val="auto"/>
                <w:spacing w:val="-4"/>
                <w:sz w:val="18"/>
              </w:rPr>
              <w:t>–</w:t>
            </w:r>
          </w:p>
        </w:tc>
      </w:tr>
      <w:tr w:rsidR="00230EE3" w:rsidRPr="00895810" w14:paraId="6D394BF9" w14:textId="77777777" w:rsidTr="006A53BF">
        <w:tc>
          <w:tcPr>
            <w:tcW w:w="6662" w:type="dxa"/>
            <w:gridSpan w:val="4"/>
            <w:tcBorders>
              <w:top w:val="single" w:sz="2" w:space="0" w:color="3D7FE0" w:themeColor="accent1"/>
              <w:bottom w:val="single" w:sz="8" w:space="0" w:color="3D7FE0" w:themeColor="accent1"/>
            </w:tcBorders>
            <w:tcMar>
              <w:left w:w="0" w:type="dxa"/>
              <w:right w:w="0" w:type="dxa"/>
            </w:tcMar>
            <w:vAlign w:val="bottom"/>
          </w:tcPr>
          <w:p w14:paraId="1EA05FA3" w14:textId="77777777" w:rsidR="00230EE3" w:rsidRPr="00895810" w:rsidRDefault="00230EE3" w:rsidP="00230EE3">
            <w:pPr>
              <w:spacing w:after="0" w:line="240" w:lineRule="auto"/>
              <w:rPr>
                <w:rFonts w:ascii="IBM Plex Sans Light" w:hAnsi="IBM Plex Sans Light" w:cs="Arial"/>
                <w:b/>
                <w:bCs/>
                <w:color w:val="3D7FE0" w:themeColor="accent1"/>
                <w:sz w:val="16"/>
                <w:szCs w:val="16"/>
                <w:vertAlign w:val="superscript"/>
              </w:rPr>
            </w:pPr>
          </w:p>
        </w:tc>
        <w:tc>
          <w:tcPr>
            <w:tcW w:w="708" w:type="dxa"/>
            <w:tcBorders>
              <w:top w:val="single" w:sz="2" w:space="0" w:color="3D7FE0" w:themeColor="accent1"/>
              <w:bottom w:val="single" w:sz="8" w:space="0" w:color="3D7FE0" w:themeColor="accent1"/>
            </w:tcBorders>
            <w:tcMar>
              <w:left w:w="0" w:type="dxa"/>
              <w:right w:w="0" w:type="dxa"/>
            </w:tcMar>
            <w:vAlign w:val="bottom"/>
          </w:tcPr>
          <w:p w14:paraId="0981B1B5" w14:textId="77777777" w:rsidR="00230EE3" w:rsidRPr="00895810" w:rsidRDefault="00230EE3" w:rsidP="00230EE3">
            <w:pPr>
              <w:pStyle w:val="TableFiguresBold"/>
              <w:rPr>
                <w:rFonts w:ascii="IBM Plex Sans Light" w:hAnsi="IBM Plex Sans Light"/>
                <w:b w:val="0"/>
                <w:bCs w:val="0"/>
                <w:color w:val="auto"/>
                <w:spacing w:val="-4"/>
                <w:szCs w:val="18"/>
              </w:rPr>
            </w:pPr>
          </w:p>
        </w:tc>
        <w:tc>
          <w:tcPr>
            <w:tcW w:w="1276" w:type="dxa"/>
            <w:tcBorders>
              <w:top w:val="single" w:sz="2" w:space="0" w:color="3D7FE0" w:themeColor="accent1"/>
              <w:bottom w:val="single" w:sz="8" w:space="0" w:color="3D7FE0" w:themeColor="accent1"/>
            </w:tcBorders>
            <w:tcMar>
              <w:left w:w="0" w:type="dxa"/>
              <w:right w:w="0" w:type="dxa"/>
            </w:tcMar>
          </w:tcPr>
          <w:p w14:paraId="4F8B16CA" w14:textId="0215988B" w:rsidR="00230EE3" w:rsidRPr="008F57AD" w:rsidRDefault="008F57AD" w:rsidP="008F57AD">
            <w:pPr>
              <w:pStyle w:val="TableFiguresBold"/>
              <w:rPr>
                <w:rFonts w:ascii="IBM Plex Sans Medium" w:hAnsi="IBM Plex Sans Medium"/>
                <w:color w:val="3D7FE0" w:themeColor="accent1"/>
                <w:spacing w:val="-4"/>
                <w:sz w:val="18"/>
                <w:szCs w:val="18"/>
              </w:rPr>
            </w:pPr>
            <w:r w:rsidRPr="008F57AD">
              <w:rPr>
                <w:rFonts w:ascii="IBM Plex Sans Medium" w:hAnsi="IBM Plex Sans Medium"/>
                <w:color w:val="3D7FE0" w:themeColor="accent1"/>
                <w:spacing w:val="-4"/>
                <w:sz w:val="18"/>
                <w:szCs w:val="18"/>
              </w:rPr>
              <w:t>35.9</w:t>
            </w:r>
          </w:p>
        </w:tc>
        <w:tc>
          <w:tcPr>
            <w:tcW w:w="1277" w:type="dxa"/>
            <w:tcBorders>
              <w:top w:val="single" w:sz="2" w:space="0" w:color="3D7FE0" w:themeColor="accent1"/>
              <w:bottom w:val="single" w:sz="8" w:space="0" w:color="3D7FE0" w:themeColor="accent1"/>
            </w:tcBorders>
            <w:tcMar>
              <w:left w:w="0" w:type="dxa"/>
              <w:right w:w="0" w:type="dxa"/>
            </w:tcMar>
            <w:vAlign w:val="bottom"/>
          </w:tcPr>
          <w:p w14:paraId="25F61967" w14:textId="07AD9698" w:rsidR="00230EE3" w:rsidRPr="00895810" w:rsidRDefault="00230EE3" w:rsidP="00230EE3">
            <w:pPr>
              <w:pStyle w:val="TableFigures"/>
              <w:rPr>
                <w:rFonts w:ascii="IBM Plex Sans Light" w:hAnsi="IBM Plex Sans Light"/>
                <w:color w:val="auto"/>
                <w:spacing w:val="-4"/>
                <w:sz w:val="18"/>
              </w:rPr>
            </w:pPr>
            <w:r>
              <w:rPr>
                <w:rFonts w:ascii="IBM Plex Sans Light" w:hAnsi="IBM Plex Sans Light"/>
                <w:color w:val="auto"/>
                <w:spacing w:val="-4"/>
                <w:sz w:val="18"/>
              </w:rPr>
              <w:t>140.3</w:t>
            </w:r>
          </w:p>
        </w:tc>
      </w:tr>
      <w:tr w:rsidR="00230EE3" w:rsidRPr="00895810" w14:paraId="74B34B27" w14:textId="77777777" w:rsidTr="003F2C4C">
        <w:tc>
          <w:tcPr>
            <w:tcW w:w="6662" w:type="dxa"/>
            <w:gridSpan w:val="4"/>
            <w:tcBorders>
              <w:top w:val="single" w:sz="8" w:space="0" w:color="3D7FE0" w:themeColor="accent1"/>
            </w:tcBorders>
            <w:tcMar>
              <w:left w:w="0" w:type="dxa"/>
              <w:right w:w="0" w:type="dxa"/>
            </w:tcMar>
            <w:vAlign w:val="bottom"/>
          </w:tcPr>
          <w:p w14:paraId="4A247B34" w14:textId="77777777" w:rsidR="00230EE3" w:rsidRPr="00895810" w:rsidRDefault="00230EE3" w:rsidP="00230EE3">
            <w:pPr>
              <w:pStyle w:val="Tabletext"/>
              <w:rPr>
                <w:rFonts w:ascii="IBM Plex Sans Light" w:hAnsi="IBM Plex Sans Light"/>
                <w:b/>
                <w:bCs/>
                <w:color w:val="3D7FE0" w:themeColor="accent1"/>
                <w:spacing w:val="-4"/>
                <w:sz w:val="18"/>
                <w:szCs w:val="24"/>
              </w:rPr>
            </w:pPr>
          </w:p>
        </w:tc>
        <w:tc>
          <w:tcPr>
            <w:tcW w:w="708" w:type="dxa"/>
            <w:tcBorders>
              <w:top w:val="single" w:sz="8" w:space="0" w:color="3D7FE0" w:themeColor="accent1"/>
            </w:tcBorders>
            <w:tcMar>
              <w:left w:w="0" w:type="dxa"/>
              <w:right w:w="0" w:type="dxa"/>
            </w:tcMar>
            <w:vAlign w:val="bottom"/>
          </w:tcPr>
          <w:p w14:paraId="74975B85" w14:textId="77777777" w:rsidR="00230EE3" w:rsidRPr="00895810" w:rsidRDefault="00230EE3" w:rsidP="00230EE3">
            <w:pPr>
              <w:pStyle w:val="TableFiguresBold"/>
              <w:rPr>
                <w:rFonts w:ascii="IBM Plex Sans Light" w:hAnsi="IBM Plex Sans Light"/>
                <w:color w:val="auto"/>
                <w:spacing w:val="-4"/>
                <w:szCs w:val="18"/>
              </w:rPr>
            </w:pPr>
          </w:p>
        </w:tc>
        <w:tc>
          <w:tcPr>
            <w:tcW w:w="1276" w:type="dxa"/>
            <w:tcBorders>
              <w:top w:val="single" w:sz="8" w:space="0" w:color="3D7FE0" w:themeColor="accent1"/>
            </w:tcBorders>
            <w:tcMar>
              <w:left w:w="0" w:type="dxa"/>
              <w:right w:w="0" w:type="dxa"/>
            </w:tcMar>
            <w:vAlign w:val="bottom"/>
          </w:tcPr>
          <w:p w14:paraId="6D9EF127" w14:textId="77777777" w:rsidR="00230EE3" w:rsidRPr="008F57AD" w:rsidRDefault="00230EE3" w:rsidP="008F57AD">
            <w:pPr>
              <w:pStyle w:val="TableFiguresBold"/>
              <w:rPr>
                <w:rFonts w:ascii="IBM Plex Sans Medium" w:hAnsi="IBM Plex Sans Medium"/>
                <w:color w:val="3D7FE0" w:themeColor="accent1"/>
                <w:spacing w:val="-4"/>
                <w:sz w:val="18"/>
                <w:szCs w:val="18"/>
              </w:rPr>
            </w:pPr>
          </w:p>
        </w:tc>
        <w:tc>
          <w:tcPr>
            <w:tcW w:w="1277" w:type="dxa"/>
            <w:tcBorders>
              <w:top w:val="single" w:sz="8" w:space="0" w:color="3D7FE0" w:themeColor="accent1"/>
            </w:tcBorders>
            <w:tcMar>
              <w:left w:w="0" w:type="dxa"/>
              <w:right w:w="0" w:type="dxa"/>
            </w:tcMar>
            <w:vAlign w:val="bottom"/>
          </w:tcPr>
          <w:p w14:paraId="05965E7B" w14:textId="77777777" w:rsidR="00230EE3" w:rsidRPr="00895810" w:rsidRDefault="00230EE3" w:rsidP="00230EE3">
            <w:pPr>
              <w:pStyle w:val="TableFigures"/>
              <w:rPr>
                <w:rFonts w:ascii="IBM Plex Sans Light" w:hAnsi="IBM Plex Sans Light"/>
                <w:color w:val="auto"/>
                <w:spacing w:val="-4"/>
                <w:sz w:val="18"/>
                <w:highlight w:val="yellow"/>
              </w:rPr>
            </w:pPr>
          </w:p>
        </w:tc>
      </w:tr>
      <w:tr w:rsidR="00230EE3" w:rsidRPr="00895810" w14:paraId="5BC4F3A0" w14:textId="77777777" w:rsidTr="003F2C4C">
        <w:tc>
          <w:tcPr>
            <w:tcW w:w="6662" w:type="dxa"/>
            <w:gridSpan w:val="4"/>
            <w:tcMar>
              <w:left w:w="0" w:type="dxa"/>
              <w:right w:w="0" w:type="dxa"/>
            </w:tcMar>
            <w:vAlign w:val="bottom"/>
          </w:tcPr>
          <w:p w14:paraId="1D571965" w14:textId="77777777" w:rsidR="00230EE3" w:rsidRPr="00895810" w:rsidRDefault="00230EE3" w:rsidP="00230EE3">
            <w:pPr>
              <w:pStyle w:val="Tabletext"/>
              <w:rPr>
                <w:rFonts w:ascii="IBM Plex Sans Light" w:hAnsi="IBM Plex Sans Light"/>
                <w:b/>
                <w:bCs/>
                <w:color w:val="3D7FE0" w:themeColor="accent1"/>
                <w:spacing w:val="-4"/>
                <w:sz w:val="18"/>
                <w:szCs w:val="24"/>
              </w:rPr>
            </w:pPr>
            <w:r w:rsidRPr="00895810">
              <w:rPr>
                <w:rFonts w:ascii="IBM Plex Sans Light" w:hAnsi="IBM Plex Sans Light"/>
                <w:b/>
                <w:bCs/>
                <w:color w:val="3D7FE0" w:themeColor="accent1"/>
                <w:spacing w:val="-4"/>
                <w:sz w:val="18"/>
                <w:szCs w:val="24"/>
              </w:rPr>
              <w:t xml:space="preserve">Cash flow analysis: </w:t>
            </w:r>
          </w:p>
        </w:tc>
        <w:tc>
          <w:tcPr>
            <w:tcW w:w="708" w:type="dxa"/>
            <w:tcMar>
              <w:left w:w="0" w:type="dxa"/>
              <w:right w:w="0" w:type="dxa"/>
            </w:tcMar>
            <w:vAlign w:val="bottom"/>
          </w:tcPr>
          <w:p w14:paraId="317605D8" w14:textId="77777777" w:rsidR="00230EE3" w:rsidRPr="00895810" w:rsidRDefault="00230EE3" w:rsidP="00230EE3">
            <w:pPr>
              <w:pStyle w:val="TableFiguresBold"/>
              <w:rPr>
                <w:rFonts w:ascii="IBM Plex Sans Light" w:hAnsi="IBM Plex Sans Light"/>
                <w:color w:val="auto"/>
                <w:spacing w:val="-4"/>
                <w:szCs w:val="18"/>
              </w:rPr>
            </w:pPr>
          </w:p>
        </w:tc>
        <w:tc>
          <w:tcPr>
            <w:tcW w:w="1276" w:type="dxa"/>
            <w:tcMar>
              <w:left w:w="0" w:type="dxa"/>
              <w:right w:w="0" w:type="dxa"/>
            </w:tcMar>
            <w:vAlign w:val="bottom"/>
          </w:tcPr>
          <w:p w14:paraId="17CAF441" w14:textId="77777777" w:rsidR="00230EE3" w:rsidRPr="008F57AD" w:rsidRDefault="00230EE3" w:rsidP="008F57AD">
            <w:pPr>
              <w:pStyle w:val="TableFiguresBold"/>
              <w:rPr>
                <w:rFonts w:ascii="IBM Plex Sans Medium" w:hAnsi="IBM Plex Sans Medium"/>
                <w:color w:val="3D7FE0" w:themeColor="accent1"/>
                <w:spacing w:val="-4"/>
                <w:sz w:val="18"/>
                <w:szCs w:val="18"/>
              </w:rPr>
            </w:pPr>
          </w:p>
        </w:tc>
        <w:tc>
          <w:tcPr>
            <w:tcW w:w="1277" w:type="dxa"/>
            <w:tcMar>
              <w:left w:w="0" w:type="dxa"/>
              <w:right w:w="0" w:type="dxa"/>
            </w:tcMar>
            <w:vAlign w:val="bottom"/>
          </w:tcPr>
          <w:p w14:paraId="600931B6" w14:textId="77777777" w:rsidR="00230EE3" w:rsidRPr="00895810" w:rsidRDefault="00230EE3" w:rsidP="00230EE3">
            <w:pPr>
              <w:pStyle w:val="TableFigures"/>
              <w:rPr>
                <w:rFonts w:ascii="IBM Plex Sans Light" w:hAnsi="IBM Plex Sans Light"/>
                <w:color w:val="auto"/>
                <w:spacing w:val="-4"/>
                <w:sz w:val="18"/>
                <w:highlight w:val="yellow"/>
              </w:rPr>
            </w:pPr>
          </w:p>
        </w:tc>
      </w:tr>
      <w:tr w:rsidR="00230EE3" w:rsidRPr="00895810" w14:paraId="5FC2827E" w14:textId="77777777" w:rsidTr="00DC7A08">
        <w:tc>
          <w:tcPr>
            <w:tcW w:w="6662" w:type="dxa"/>
            <w:gridSpan w:val="4"/>
            <w:tcMar>
              <w:left w:w="0" w:type="dxa"/>
              <w:right w:w="0" w:type="dxa"/>
            </w:tcMar>
            <w:vAlign w:val="bottom"/>
          </w:tcPr>
          <w:p w14:paraId="2DC3192B" w14:textId="77777777" w:rsidR="00230EE3" w:rsidRPr="00024B10" w:rsidRDefault="00230EE3" w:rsidP="00230EE3">
            <w:pPr>
              <w:pStyle w:val="Tabletext"/>
              <w:rPr>
                <w:rFonts w:ascii="IBM Plex Sans Light" w:hAnsi="IBM Plex Sans Light"/>
                <w:color w:val="auto"/>
                <w:spacing w:val="-4"/>
                <w:sz w:val="18"/>
                <w:szCs w:val="24"/>
              </w:rPr>
            </w:pPr>
            <w:r w:rsidRPr="00024B10">
              <w:rPr>
                <w:rFonts w:ascii="IBM Plex Sans Light" w:hAnsi="IBM Plex Sans Light"/>
                <w:color w:val="auto"/>
                <w:spacing w:val="-4"/>
                <w:sz w:val="18"/>
                <w:szCs w:val="24"/>
              </w:rPr>
              <w:t>Cash dividend</w:t>
            </w:r>
          </w:p>
        </w:tc>
        <w:tc>
          <w:tcPr>
            <w:tcW w:w="708" w:type="dxa"/>
            <w:tcMar>
              <w:left w:w="0" w:type="dxa"/>
              <w:right w:w="0" w:type="dxa"/>
            </w:tcMar>
            <w:vAlign w:val="bottom"/>
          </w:tcPr>
          <w:p w14:paraId="30A94A82" w14:textId="07CBB4EA" w:rsidR="00230EE3" w:rsidRPr="00895810" w:rsidRDefault="007C5135" w:rsidP="00230EE3">
            <w:pPr>
              <w:pStyle w:val="TableFigures"/>
              <w:ind w:right="57"/>
              <w:rPr>
                <w:rFonts w:ascii="IBM Plex Sans Light" w:hAnsi="IBM Plex Sans Light"/>
                <w:color w:val="auto"/>
                <w:spacing w:val="-4"/>
                <w:szCs w:val="18"/>
              </w:rPr>
            </w:pPr>
            <w:r>
              <w:rPr>
                <w:rFonts w:ascii="IBM Plex Sans Light" w:hAnsi="IBM Plex Sans Light"/>
                <w:color w:val="auto"/>
                <w:spacing w:val="-4"/>
                <w:szCs w:val="18"/>
              </w:rPr>
              <w:t>d</w:t>
            </w:r>
          </w:p>
        </w:tc>
        <w:tc>
          <w:tcPr>
            <w:tcW w:w="1276" w:type="dxa"/>
            <w:tcMar>
              <w:left w:w="0" w:type="dxa"/>
              <w:right w:w="0" w:type="dxa"/>
            </w:tcMar>
          </w:tcPr>
          <w:p w14:paraId="699C266E" w14:textId="1658D7CE" w:rsidR="00230EE3" w:rsidRPr="008F57AD" w:rsidRDefault="008F57AD" w:rsidP="008F57A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29.9</w:t>
            </w:r>
          </w:p>
        </w:tc>
        <w:tc>
          <w:tcPr>
            <w:tcW w:w="1277" w:type="dxa"/>
            <w:tcMar>
              <w:left w:w="0" w:type="dxa"/>
              <w:right w:w="0" w:type="dxa"/>
            </w:tcMar>
            <w:vAlign w:val="bottom"/>
          </w:tcPr>
          <w:p w14:paraId="267B358F" w14:textId="3BD9C211" w:rsidR="00230EE3" w:rsidRPr="006B6ABF" w:rsidRDefault="00230EE3" w:rsidP="00230EE3">
            <w:pPr>
              <w:pStyle w:val="TableFigures"/>
              <w:rPr>
                <w:rFonts w:ascii="IBM Plex Sans Light" w:hAnsi="IBM Plex Sans Light"/>
                <w:color w:val="auto"/>
                <w:spacing w:val="-4"/>
                <w:sz w:val="18"/>
              </w:rPr>
            </w:pPr>
            <w:r w:rsidRPr="00024B10">
              <w:rPr>
                <w:rFonts w:ascii="IBM Plex Sans Light" w:hAnsi="IBM Plex Sans Light"/>
                <w:color w:val="auto"/>
                <w:spacing w:val="-4"/>
                <w:sz w:val="18"/>
              </w:rPr>
              <w:t>2.6</w:t>
            </w:r>
          </w:p>
        </w:tc>
      </w:tr>
      <w:tr w:rsidR="00230EE3" w:rsidRPr="00895810" w14:paraId="7F6B72C0" w14:textId="77777777" w:rsidTr="00D37E12">
        <w:tc>
          <w:tcPr>
            <w:tcW w:w="6662" w:type="dxa"/>
            <w:gridSpan w:val="4"/>
            <w:tcBorders>
              <w:bottom w:val="single" w:sz="2" w:space="0" w:color="3D7FE0" w:themeColor="accent1"/>
            </w:tcBorders>
            <w:tcMar>
              <w:left w:w="0" w:type="dxa"/>
              <w:right w:w="0" w:type="dxa"/>
            </w:tcMar>
            <w:vAlign w:val="bottom"/>
          </w:tcPr>
          <w:p w14:paraId="0C6DBAEF" w14:textId="64220853" w:rsidR="00230EE3" w:rsidRPr="00895810" w:rsidRDefault="008F57AD" w:rsidP="00230EE3">
            <w:pPr>
              <w:pStyle w:val="Tabletext"/>
              <w:rPr>
                <w:rFonts w:ascii="IBM Plex Sans Light" w:hAnsi="IBM Plex Sans Light"/>
                <w:color w:val="auto"/>
                <w:spacing w:val="-4"/>
                <w:sz w:val="18"/>
              </w:rPr>
            </w:pPr>
            <w:r>
              <w:rPr>
                <w:rFonts w:ascii="IBM Plex Sans Light" w:hAnsi="IBM Plex Sans Light" w:cs="Arial"/>
                <w:sz w:val="18"/>
                <w:szCs w:val="18"/>
              </w:rPr>
              <w:t xml:space="preserve">Withholding tax - </w:t>
            </w:r>
            <w:r w:rsidR="00230EE3" w:rsidRPr="00895810">
              <w:rPr>
                <w:rFonts w:ascii="IBM Plex Sans Light" w:hAnsi="IBM Plex Sans Light" w:cs="Arial"/>
                <w:sz w:val="18"/>
                <w:szCs w:val="18"/>
              </w:rPr>
              <w:t>2021 final dividend</w:t>
            </w:r>
          </w:p>
        </w:tc>
        <w:tc>
          <w:tcPr>
            <w:tcW w:w="708" w:type="dxa"/>
            <w:tcBorders>
              <w:bottom w:val="single" w:sz="2" w:space="0" w:color="3D7FE0" w:themeColor="accent1"/>
            </w:tcBorders>
            <w:tcMar>
              <w:left w:w="0" w:type="dxa"/>
              <w:right w:w="0" w:type="dxa"/>
            </w:tcMar>
            <w:vAlign w:val="bottom"/>
          </w:tcPr>
          <w:p w14:paraId="68A927E8" w14:textId="2CE83034" w:rsidR="00230EE3" w:rsidRPr="00895810" w:rsidDel="00636EEA" w:rsidRDefault="007C5135" w:rsidP="00230EE3">
            <w:pPr>
              <w:pStyle w:val="TableFiguresBold"/>
              <w:ind w:right="57"/>
              <w:rPr>
                <w:rFonts w:ascii="IBM Plex Sans Light" w:hAnsi="IBM Plex Sans Light"/>
                <w:b w:val="0"/>
                <w:bCs w:val="0"/>
                <w:color w:val="auto"/>
                <w:spacing w:val="-4"/>
                <w:szCs w:val="18"/>
              </w:rPr>
            </w:pPr>
            <w:r>
              <w:rPr>
                <w:rFonts w:ascii="IBM Plex Sans Light" w:hAnsi="IBM Plex Sans Light"/>
                <w:b w:val="0"/>
                <w:bCs w:val="0"/>
                <w:color w:val="auto"/>
                <w:spacing w:val="-4"/>
                <w:szCs w:val="18"/>
              </w:rPr>
              <w:t>a</w:t>
            </w:r>
          </w:p>
        </w:tc>
        <w:tc>
          <w:tcPr>
            <w:tcW w:w="1276" w:type="dxa"/>
            <w:tcBorders>
              <w:bottom w:val="single" w:sz="2" w:space="0" w:color="3D7FE0" w:themeColor="accent1"/>
            </w:tcBorders>
            <w:tcMar>
              <w:left w:w="0" w:type="dxa"/>
              <w:right w:w="0" w:type="dxa"/>
            </w:tcMar>
          </w:tcPr>
          <w:p w14:paraId="3C6CDB41" w14:textId="5505B855" w:rsidR="00230EE3" w:rsidRPr="008F57AD" w:rsidDel="0053536E" w:rsidRDefault="00230EE3" w:rsidP="008F57AD">
            <w:pPr>
              <w:pStyle w:val="TableFiguresBold"/>
              <w:rPr>
                <w:rFonts w:ascii="IBM Plex Sans Medium" w:hAnsi="IBM Plex Sans Medium"/>
                <w:color w:val="3D7FE0" w:themeColor="accent1"/>
                <w:spacing w:val="-4"/>
                <w:sz w:val="18"/>
                <w:szCs w:val="18"/>
              </w:rPr>
            </w:pPr>
            <w:r w:rsidRPr="008F57AD" w:rsidDel="006F6E7C">
              <w:rPr>
                <w:rFonts w:ascii="IBM Plex Sans Medium" w:hAnsi="IBM Plex Sans Medium"/>
                <w:color w:val="3D7FE0" w:themeColor="accent1"/>
                <w:spacing w:val="-4"/>
                <w:sz w:val="18"/>
                <w:szCs w:val="18"/>
              </w:rPr>
              <w:t>–</w:t>
            </w:r>
          </w:p>
        </w:tc>
        <w:tc>
          <w:tcPr>
            <w:tcW w:w="1277" w:type="dxa"/>
            <w:tcBorders>
              <w:bottom w:val="single" w:sz="2" w:space="0" w:color="3D7FE0" w:themeColor="accent1"/>
            </w:tcBorders>
            <w:tcMar>
              <w:left w:w="0" w:type="dxa"/>
              <w:right w:w="0" w:type="dxa"/>
            </w:tcMar>
            <w:vAlign w:val="bottom"/>
          </w:tcPr>
          <w:p w14:paraId="37241CA3" w14:textId="6844604C" w:rsidR="00230EE3" w:rsidRPr="006B6ABF" w:rsidRDefault="00230EE3" w:rsidP="00230EE3">
            <w:pPr>
              <w:pStyle w:val="TableFigures"/>
              <w:rPr>
                <w:rFonts w:ascii="IBM Plex Sans Light" w:hAnsi="IBM Plex Sans Light"/>
                <w:color w:val="auto"/>
                <w:spacing w:val="-4"/>
                <w:sz w:val="18"/>
              </w:rPr>
            </w:pPr>
            <w:r w:rsidRPr="00024B10">
              <w:rPr>
                <w:rFonts w:ascii="IBM Plex Sans Light" w:hAnsi="IBM Plex Sans Light"/>
                <w:color w:val="auto"/>
                <w:spacing w:val="-4"/>
                <w:sz w:val="18"/>
              </w:rPr>
              <w:t>10.6</w:t>
            </w:r>
          </w:p>
        </w:tc>
      </w:tr>
      <w:tr w:rsidR="00230EE3" w:rsidRPr="00895810" w14:paraId="62D755BE" w14:textId="77777777" w:rsidTr="00D37E12">
        <w:tc>
          <w:tcPr>
            <w:tcW w:w="6662" w:type="dxa"/>
            <w:gridSpan w:val="4"/>
            <w:tcBorders>
              <w:top w:val="single" w:sz="2" w:space="0" w:color="3D7FE0" w:themeColor="accent1"/>
              <w:bottom w:val="single" w:sz="8" w:space="0" w:color="3D7FE0" w:themeColor="accent1"/>
            </w:tcBorders>
            <w:tcMar>
              <w:left w:w="0" w:type="dxa"/>
              <w:right w:w="0" w:type="dxa"/>
            </w:tcMar>
            <w:vAlign w:val="bottom"/>
          </w:tcPr>
          <w:p w14:paraId="581E3246" w14:textId="77777777" w:rsidR="00230EE3" w:rsidRPr="00895810" w:rsidRDefault="00230EE3" w:rsidP="00230EE3">
            <w:pPr>
              <w:spacing w:after="0" w:line="240" w:lineRule="auto"/>
              <w:rPr>
                <w:rFonts w:ascii="IBM Plex Sans Light" w:hAnsi="IBM Plex Sans Light" w:cs="Arial"/>
                <w:b/>
                <w:bCs/>
                <w:color w:val="3D7FE0" w:themeColor="accent1"/>
                <w:sz w:val="16"/>
                <w:szCs w:val="16"/>
              </w:rPr>
            </w:pPr>
          </w:p>
        </w:tc>
        <w:tc>
          <w:tcPr>
            <w:tcW w:w="708" w:type="dxa"/>
            <w:tcBorders>
              <w:top w:val="single" w:sz="2" w:space="0" w:color="3D7FE0" w:themeColor="accent1"/>
              <w:bottom w:val="single" w:sz="8" w:space="0" w:color="3D7FE0" w:themeColor="accent1"/>
            </w:tcBorders>
            <w:tcMar>
              <w:left w:w="0" w:type="dxa"/>
              <w:right w:w="0" w:type="dxa"/>
            </w:tcMar>
            <w:vAlign w:val="bottom"/>
          </w:tcPr>
          <w:p w14:paraId="197B9175" w14:textId="77777777" w:rsidR="00230EE3" w:rsidRPr="00895810" w:rsidRDefault="00230EE3" w:rsidP="00230EE3">
            <w:pPr>
              <w:pStyle w:val="TableFiguresBold"/>
              <w:rPr>
                <w:rFonts w:ascii="IBM Plex Sans Light" w:hAnsi="IBM Plex Sans Light"/>
                <w:color w:val="auto"/>
                <w:spacing w:val="-4"/>
                <w:szCs w:val="18"/>
              </w:rPr>
            </w:pPr>
          </w:p>
        </w:tc>
        <w:tc>
          <w:tcPr>
            <w:tcW w:w="1276" w:type="dxa"/>
            <w:tcBorders>
              <w:top w:val="single" w:sz="2" w:space="0" w:color="3D7FE0" w:themeColor="accent1"/>
              <w:bottom w:val="single" w:sz="8" w:space="0" w:color="3D7FE0" w:themeColor="accent1"/>
            </w:tcBorders>
            <w:tcMar>
              <w:left w:w="0" w:type="dxa"/>
              <w:right w:w="0" w:type="dxa"/>
            </w:tcMar>
          </w:tcPr>
          <w:p w14:paraId="3487E9CE" w14:textId="178409FF" w:rsidR="00230EE3" w:rsidRPr="008F57AD" w:rsidRDefault="008F57AD" w:rsidP="008F57A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29.9</w:t>
            </w:r>
          </w:p>
        </w:tc>
        <w:tc>
          <w:tcPr>
            <w:tcW w:w="1277" w:type="dxa"/>
            <w:tcBorders>
              <w:top w:val="single" w:sz="2" w:space="0" w:color="3D7FE0" w:themeColor="accent1"/>
              <w:bottom w:val="single" w:sz="8" w:space="0" w:color="3D7FE0" w:themeColor="accent1"/>
            </w:tcBorders>
            <w:tcMar>
              <w:left w:w="0" w:type="dxa"/>
              <w:right w:w="0" w:type="dxa"/>
            </w:tcMar>
            <w:vAlign w:val="bottom"/>
          </w:tcPr>
          <w:p w14:paraId="5D21556E" w14:textId="098E7CA5" w:rsidR="00230EE3" w:rsidRPr="006B6ABF" w:rsidRDefault="00230EE3" w:rsidP="00230EE3">
            <w:pPr>
              <w:pStyle w:val="TableFigures"/>
              <w:rPr>
                <w:rFonts w:ascii="IBM Plex Sans Light" w:hAnsi="IBM Plex Sans Light"/>
                <w:color w:val="auto"/>
                <w:spacing w:val="-4"/>
                <w:sz w:val="18"/>
              </w:rPr>
            </w:pPr>
            <w:r w:rsidRPr="00024B10">
              <w:rPr>
                <w:rFonts w:ascii="IBM Plex Sans Light" w:hAnsi="IBM Plex Sans Light"/>
                <w:color w:val="auto"/>
                <w:spacing w:val="-4"/>
                <w:sz w:val="18"/>
              </w:rPr>
              <w:t>13.2</w:t>
            </w:r>
          </w:p>
        </w:tc>
      </w:tr>
      <w:tr w:rsidR="00230EE3" w:rsidRPr="00895810" w14:paraId="60B500EE" w14:textId="77777777" w:rsidTr="00C32F7C">
        <w:tc>
          <w:tcPr>
            <w:tcW w:w="6662" w:type="dxa"/>
            <w:gridSpan w:val="4"/>
            <w:tcBorders>
              <w:top w:val="single" w:sz="8" w:space="0" w:color="3D7FE0" w:themeColor="accent1"/>
            </w:tcBorders>
            <w:tcMar>
              <w:left w:w="0" w:type="dxa"/>
              <w:right w:w="0" w:type="dxa"/>
            </w:tcMar>
            <w:vAlign w:val="bottom"/>
          </w:tcPr>
          <w:p w14:paraId="7A0152BB" w14:textId="77777777" w:rsidR="00230EE3" w:rsidRPr="00895810" w:rsidRDefault="00230EE3" w:rsidP="00230EE3">
            <w:pPr>
              <w:spacing w:after="0" w:line="240" w:lineRule="auto"/>
              <w:rPr>
                <w:rFonts w:ascii="IBM Plex Sans Light" w:hAnsi="IBM Plex Sans Light"/>
                <w:b/>
                <w:bCs/>
                <w:color w:val="3D7FE0" w:themeColor="accent1"/>
              </w:rPr>
            </w:pPr>
          </w:p>
        </w:tc>
        <w:tc>
          <w:tcPr>
            <w:tcW w:w="708" w:type="dxa"/>
            <w:tcBorders>
              <w:top w:val="single" w:sz="8" w:space="0" w:color="3D7FE0" w:themeColor="accent1"/>
            </w:tcBorders>
            <w:tcMar>
              <w:left w:w="0" w:type="dxa"/>
              <w:right w:w="0" w:type="dxa"/>
            </w:tcMar>
            <w:vAlign w:val="bottom"/>
          </w:tcPr>
          <w:p w14:paraId="1FCFC1AD" w14:textId="77777777" w:rsidR="00230EE3" w:rsidRPr="00895810" w:rsidDel="00636EEA" w:rsidRDefault="00230EE3" w:rsidP="00230EE3">
            <w:pPr>
              <w:pStyle w:val="TableFiguresBold"/>
              <w:rPr>
                <w:rFonts w:ascii="IBM Plex Sans Light" w:hAnsi="IBM Plex Sans Light"/>
                <w:color w:val="auto"/>
                <w:spacing w:val="-4"/>
                <w:szCs w:val="18"/>
              </w:rPr>
            </w:pPr>
          </w:p>
        </w:tc>
        <w:tc>
          <w:tcPr>
            <w:tcW w:w="1276" w:type="dxa"/>
            <w:tcBorders>
              <w:top w:val="single" w:sz="8" w:space="0" w:color="3D7FE0" w:themeColor="accent1"/>
            </w:tcBorders>
            <w:tcMar>
              <w:left w:w="0" w:type="dxa"/>
              <w:right w:w="0" w:type="dxa"/>
            </w:tcMar>
            <w:vAlign w:val="bottom"/>
          </w:tcPr>
          <w:p w14:paraId="0045D980" w14:textId="77777777" w:rsidR="00230EE3" w:rsidRPr="008F57AD" w:rsidDel="0053536E" w:rsidRDefault="00230EE3" w:rsidP="008F57AD">
            <w:pPr>
              <w:pStyle w:val="TableFiguresBold"/>
              <w:rPr>
                <w:rFonts w:ascii="IBM Plex Sans Medium" w:hAnsi="IBM Plex Sans Medium"/>
                <w:color w:val="3D7FE0" w:themeColor="accent1"/>
                <w:spacing w:val="-4"/>
                <w:sz w:val="18"/>
                <w:szCs w:val="18"/>
              </w:rPr>
            </w:pPr>
          </w:p>
        </w:tc>
        <w:tc>
          <w:tcPr>
            <w:tcW w:w="1277" w:type="dxa"/>
            <w:tcBorders>
              <w:top w:val="single" w:sz="8" w:space="0" w:color="3D7FE0" w:themeColor="accent1"/>
            </w:tcBorders>
            <w:tcMar>
              <w:left w:w="0" w:type="dxa"/>
              <w:right w:w="0" w:type="dxa"/>
            </w:tcMar>
            <w:vAlign w:val="bottom"/>
          </w:tcPr>
          <w:p w14:paraId="12B5BA33" w14:textId="77777777" w:rsidR="00230EE3" w:rsidRPr="006B6ABF" w:rsidRDefault="00230EE3" w:rsidP="00230EE3">
            <w:pPr>
              <w:pStyle w:val="TableFigures"/>
              <w:rPr>
                <w:rFonts w:ascii="IBM Plex Sans Light" w:hAnsi="IBM Plex Sans Light"/>
                <w:color w:val="auto"/>
                <w:spacing w:val="-4"/>
                <w:sz w:val="18"/>
              </w:rPr>
            </w:pPr>
          </w:p>
        </w:tc>
      </w:tr>
      <w:tr w:rsidR="00230EE3" w:rsidRPr="00895810" w14:paraId="32F1CA86" w14:textId="77777777" w:rsidTr="00C32F7C">
        <w:tc>
          <w:tcPr>
            <w:tcW w:w="4394" w:type="dxa"/>
            <w:gridSpan w:val="2"/>
            <w:tcBorders>
              <w:top w:val="single" w:sz="2" w:space="0" w:color="3D7FE0" w:themeColor="accent1"/>
              <w:bottom w:val="single" w:sz="8" w:space="0" w:color="3D7FE0" w:themeColor="accent1"/>
            </w:tcBorders>
            <w:tcMar>
              <w:left w:w="0" w:type="dxa"/>
              <w:right w:w="0" w:type="dxa"/>
            </w:tcMar>
            <w:vAlign w:val="bottom"/>
          </w:tcPr>
          <w:p w14:paraId="0B912A70" w14:textId="4CCCDB9B" w:rsidR="00230EE3" w:rsidRPr="00895810" w:rsidRDefault="00230EE3" w:rsidP="00230EE3">
            <w:pPr>
              <w:spacing w:after="0" w:line="240" w:lineRule="auto"/>
              <w:rPr>
                <w:rFonts w:ascii="IBM Plex Sans Light" w:hAnsi="IBM Plex Sans Light"/>
                <w:b/>
                <w:bCs/>
                <w:color w:val="3D7FE0" w:themeColor="accent1"/>
              </w:rPr>
            </w:pPr>
            <w:r w:rsidRPr="00895810">
              <w:rPr>
                <w:rFonts w:ascii="IBM Plex Sans Light" w:hAnsi="IBM Plex Sans Light"/>
                <w:b/>
                <w:bCs/>
                <w:color w:val="3D7FE0" w:themeColor="accent1"/>
              </w:rPr>
              <w:t>Total cash dividends per share in respect of the year</w:t>
            </w:r>
          </w:p>
        </w:tc>
        <w:tc>
          <w:tcPr>
            <w:tcW w:w="1134" w:type="dxa"/>
            <w:tcBorders>
              <w:top w:val="single" w:sz="2" w:space="0" w:color="3D7FE0" w:themeColor="accent1"/>
              <w:bottom w:val="single" w:sz="8" w:space="0" w:color="3D7FE0" w:themeColor="accent1"/>
            </w:tcBorders>
            <w:vAlign w:val="bottom"/>
          </w:tcPr>
          <w:p w14:paraId="5B15C1FC" w14:textId="77777777" w:rsidR="00230EE3" w:rsidRPr="00895810" w:rsidRDefault="00230EE3" w:rsidP="00230EE3">
            <w:pPr>
              <w:spacing w:after="0" w:line="240" w:lineRule="auto"/>
              <w:jc w:val="right"/>
              <w:rPr>
                <w:rFonts w:ascii="IBM Plex Sans Light" w:hAnsi="IBM Plex Sans Light"/>
                <w:b/>
                <w:bCs/>
                <w:color w:val="3D7FE0" w:themeColor="accent1"/>
              </w:rPr>
            </w:pPr>
          </w:p>
        </w:tc>
        <w:tc>
          <w:tcPr>
            <w:tcW w:w="1134" w:type="dxa"/>
            <w:tcBorders>
              <w:top w:val="single" w:sz="2" w:space="0" w:color="3D7FE0" w:themeColor="accent1"/>
              <w:bottom w:val="single" w:sz="8" w:space="0" w:color="3D7FE0" w:themeColor="accent1"/>
            </w:tcBorders>
            <w:vAlign w:val="bottom"/>
          </w:tcPr>
          <w:p w14:paraId="6CBFCA2A" w14:textId="77777777" w:rsidR="00230EE3" w:rsidRPr="00895810" w:rsidRDefault="00230EE3" w:rsidP="00230EE3">
            <w:pPr>
              <w:spacing w:after="0" w:line="240" w:lineRule="auto"/>
              <w:jc w:val="right"/>
              <w:rPr>
                <w:rFonts w:ascii="IBM Plex Sans Light" w:hAnsi="IBM Plex Sans Light"/>
                <w:b/>
                <w:bCs/>
                <w:color w:val="3D7FE0" w:themeColor="accent1"/>
              </w:rPr>
            </w:pPr>
          </w:p>
        </w:tc>
        <w:tc>
          <w:tcPr>
            <w:tcW w:w="708" w:type="dxa"/>
            <w:tcBorders>
              <w:top w:val="single" w:sz="2" w:space="0" w:color="3D7FE0" w:themeColor="accent1"/>
              <w:bottom w:val="single" w:sz="8" w:space="0" w:color="3D7FE0" w:themeColor="accent1"/>
            </w:tcBorders>
            <w:tcMar>
              <w:left w:w="0" w:type="dxa"/>
              <w:right w:w="0" w:type="dxa"/>
            </w:tcMar>
            <w:vAlign w:val="bottom"/>
          </w:tcPr>
          <w:p w14:paraId="14BBAA64" w14:textId="77777777" w:rsidR="00230EE3" w:rsidRPr="00895810" w:rsidRDefault="00230EE3" w:rsidP="00230EE3">
            <w:pPr>
              <w:pStyle w:val="TableFiguresBold"/>
              <w:ind w:right="57"/>
              <w:rPr>
                <w:rFonts w:ascii="IBM Plex Sans Light" w:hAnsi="IBM Plex Sans Light"/>
                <w:b w:val="0"/>
                <w:bCs w:val="0"/>
                <w:color w:val="auto"/>
                <w:spacing w:val="-4"/>
                <w:szCs w:val="18"/>
              </w:rPr>
            </w:pPr>
          </w:p>
        </w:tc>
        <w:tc>
          <w:tcPr>
            <w:tcW w:w="1276" w:type="dxa"/>
            <w:tcBorders>
              <w:top w:val="single" w:sz="2" w:space="0" w:color="3D7FE0" w:themeColor="accent1"/>
              <w:bottom w:val="single" w:sz="8" w:space="0" w:color="3D7FE0" w:themeColor="accent1"/>
            </w:tcBorders>
            <w:tcMar>
              <w:left w:w="0" w:type="dxa"/>
              <w:right w:w="0" w:type="dxa"/>
            </w:tcMar>
            <w:vAlign w:val="bottom"/>
          </w:tcPr>
          <w:p w14:paraId="7E847EFD" w14:textId="364BFB78" w:rsidR="00230EE3" w:rsidRPr="00895810" w:rsidDel="009D04A4" w:rsidRDefault="006B7177" w:rsidP="00230EE3">
            <w:pPr>
              <w:pStyle w:val="TableFigures"/>
              <w:rPr>
                <w:rFonts w:ascii="IBM Plex Sans Light" w:hAnsi="IBM Plex Sans Light"/>
                <w:b/>
                <w:bCs/>
                <w:color w:val="3D7FE0" w:themeColor="accent1"/>
                <w:spacing w:val="-4"/>
                <w:sz w:val="18"/>
              </w:rPr>
            </w:pPr>
            <w:r>
              <w:rPr>
                <w:rFonts w:ascii="IBM Plex Sans Light" w:hAnsi="IBM Plex Sans Light"/>
                <w:b/>
                <w:bCs/>
                <w:color w:val="3D7FE0" w:themeColor="accent1"/>
                <w:spacing w:val="-4"/>
                <w:sz w:val="18"/>
              </w:rPr>
              <w:t>0.72p</w:t>
            </w:r>
          </w:p>
        </w:tc>
        <w:tc>
          <w:tcPr>
            <w:tcW w:w="1277" w:type="dxa"/>
            <w:tcBorders>
              <w:top w:val="single" w:sz="2" w:space="0" w:color="3D7FE0" w:themeColor="accent1"/>
              <w:bottom w:val="single" w:sz="8" w:space="0" w:color="3D7FE0" w:themeColor="accent1"/>
            </w:tcBorders>
            <w:tcMar>
              <w:left w:w="0" w:type="dxa"/>
              <w:right w:w="0" w:type="dxa"/>
            </w:tcMar>
            <w:vAlign w:val="bottom"/>
          </w:tcPr>
          <w:p w14:paraId="3C08A6BF" w14:textId="736C67A5" w:rsidR="00230EE3" w:rsidRPr="006B6ABF" w:rsidRDefault="00230EE3" w:rsidP="00230EE3">
            <w:pPr>
              <w:pStyle w:val="TableFigures"/>
              <w:rPr>
                <w:rFonts w:ascii="IBM Plex Sans Light" w:hAnsi="IBM Plex Sans Light"/>
                <w:color w:val="auto"/>
                <w:spacing w:val="-4"/>
                <w:sz w:val="18"/>
              </w:rPr>
            </w:pPr>
            <w:r w:rsidRPr="006B6ABF">
              <w:rPr>
                <w:rFonts w:ascii="IBM Plex Sans Light" w:hAnsi="IBM Plex Sans Light"/>
                <w:color w:val="auto"/>
                <w:spacing w:val="-4"/>
                <w:sz w:val="18"/>
              </w:rPr>
              <w:t>0.</w:t>
            </w:r>
            <w:r w:rsidR="0064071A">
              <w:rPr>
                <w:rFonts w:ascii="IBM Plex Sans Light" w:hAnsi="IBM Plex Sans Light"/>
                <w:color w:val="auto"/>
                <w:spacing w:val="-4"/>
                <w:sz w:val="18"/>
              </w:rPr>
              <w:t>2</w:t>
            </w:r>
            <w:r w:rsidRPr="006B6ABF">
              <w:rPr>
                <w:rFonts w:ascii="IBM Plex Sans Light" w:hAnsi="IBM Plex Sans Light"/>
                <w:color w:val="auto"/>
                <w:spacing w:val="-4"/>
                <w:sz w:val="18"/>
              </w:rPr>
              <w:t>p</w:t>
            </w:r>
          </w:p>
        </w:tc>
      </w:tr>
    </w:tbl>
    <w:p w14:paraId="6E89C12C" w14:textId="77777777" w:rsidR="00F77F93" w:rsidRDefault="00F77F93">
      <w:pPr>
        <w:spacing w:after="0" w:line="240" w:lineRule="auto"/>
        <w:rPr>
          <w:rFonts w:ascii="IBM Plex Sans Light" w:hAnsi="IBM Plex Sans Light" w:cs="Arial"/>
          <w:b/>
          <w:color w:val="3D7FE0" w:themeColor="accent1"/>
          <w:szCs w:val="18"/>
        </w:rPr>
      </w:pPr>
    </w:p>
    <w:p w14:paraId="79FB1790" w14:textId="77777777" w:rsidR="00F77F93" w:rsidRPr="007C5135" w:rsidRDefault="00F77F93" w:rsidP="00024B10">
      <w:pPr>
        <w:spacing w:after="0" w:line="360" w:lineRule="auto"/>
        <w:ind w:left="284" w:right="-255" w:hanging="284"/>
        <w:rPr>
          <w:rFonts w:ascii="IBM Plex Sans Light" w:hAnsi="IBM Plex Sans Light"/>
          <w:sz w:val="16"/>
          <w:szCs w:val="16"/>
        </w:rPr>
      </w:pPr>
      <w:r w:rsidRPr="007C5135">
        <w:rPr>
          <w:rFonts w:ascii="IBM Plex Sans Light" w:hAnsi="IBM Plex Sans Light"/>
          <w:sz w:val="16"/>
          <w:szCs w:val="16"/>
        </w:rPr>
        <w:t>a</w:t>
      </w:r>
      <w:r w:rsidRPr="007C5135">
        <w:rPr>
          <w:rFonts w:ascii="IBM Plex Sans Light" w:hAnsi="IBM Plex Sans Light"/>
          <w:sz w:val="16"/>
          <w:szCs w:val="16"/>
        </w:rPr>
        <w:tab/>
        <w:t>Dividends paid as a PID are subject to withholding tax which is paid approximately two months after the dividend itself is paid.</w:t>
      </w:r>
    </w:p>
    <w:p w14:paraId="30C3ED6B" w14:textId="77777777" w:rsidR="00F77F93" w:rsidRPr="007C5135" w:rsidRDefault="00F77F93" w:rsidP="00024B10">
      <w:pPr>
        <w:spacing w:after="0" w:line="360" w:lineRule="auto"/>
        <w:ind w:left="284" w:right="-255" w:hanging="284"/>
        <w:rPr>
          <w:rFonts w:ascii="IBM Plex Sans Light" w:hAnsi="IBM Plex Sans Light"/>
          <w:sz w:val="16"/>
          <w:szCs w:val="16"/>
        </w:rPr>
      </w:pPr>
      <w:r w:rsidRPr="007C5135">
        <w:rPr>
          <w:rFonts w:ascii="IBM Plex Sans Light" w:hAnsi="IBM Plex Sans Light"/>
          <w:sz w:val="16"/>
          <w:szCs w:val="16"/>
        </w:rPr>
        <w:t>b</w:t>
      </w:r>
      <w:r w:rsidRPr="007C5135">
        <w:rPr>
          <w:rFonts w:ascii="IBM Plex Sans Light" w:hAnsi="IBM Plex Sans Light"/>
          <w:sz w:val="16"/>
          <w:szCs w:val="16"/>
        </w:rPr>
        <w:tab/>
        <w:t>Calculated as the market value of shares issued to satisfy the enhanced scrip dividend alternative.</w:t>
      </w:r>
    </w:p>
    <w:p w14:paraId="6777F052" w14:textId="77777777" w:rsidR="00F77F93" w:rsidRPr="007C5135" w:rsidRDefault="00F77F93" w:rsidP="00024B10">
      <w:pPr>
        <w:spacing w:after="0" w:line="360" w:lineRule="auto"/>
        <w:ind w:left="284" w:right="-255" w:hanging="284"/>
        <w:rPr>
          <w:rFonts w:ascii="IBM Plex Sans Light" w:hAnsi="IBM Plex Sans Light"/>
          <w:sz w:val="16"/>
          <w:szCs w:val="16"/>
        </w:rPr>
      </w:pPr>
      <w:r w:rsidRPr="007C5135">
        <w:rPr>
          <w:rFonts w:ascii="IBM Plex Sans Light" w:hAnsi="IBM Plex Sans Light"/>
          <w:sz w:val="16"/>
          <w:szCs w:val="16"/>
        </w:rPr>
        <w:t>c</w:t>
      </w:r>
      <w:r w:rsidRPr="007C5135">
        <w:rPr>
          <w:rFonts w:ascii="IBM Plex Sans Light" w:hAnsi="IBM Plex Sans Light"/>
          <w:sz w:val="16"/>
          <w:szCs w:val="16"/>
        </w:rPr>
        <w:tab/>
        <w:t xml:space="preserve">2023 interim dividend paid on 2 October 2023 less £6.0m of withholding tax which was paid in January 2024. No final 2022 dividend was paid as the Group had </w:t>
      </w:r>
      <w:proofErr w:type="spellStart"/>
      <w:r w:rsidRPr="007C5135">
        <w:rPr>
          <w:rFonts w:ascii="IBM Plex Sans Light" w:hAnsi="IBM Plex Sans Light"/>
          <w:sz w:val="16"/>
          <w:szCs w:val="16"/>
        </w:rPr>
        <w:t>satsified</w:t>
      </w:r>
      <w:proofErr w:type="spellEnd"/>
      <w:r w:rsidRPr="007C5135">
        <w:rPr>
          <w:rFonts w:ascii="IBM Plex Sans Light" w:hAnsi="IBM Plex Sans Light"/>
          <w:sz w:val="16"/>
          <w:szCs w:val="16"/>
        </w:rPr>
        <w:t xml:space="preserve"> its 2022 PID obligations.</w:t>
      </w:r>
    </w:p>
    <w:p w14:paraId="7F4B5A71" w14:textId="77777777" w:rsidR="00F77F93" w:rsidRPr="007C5135" w:rsidRDefault="00F77F93" w:rsidP="00024B10">
      <w:pPr>
        <w:spacing w:after="0" w:line="360" w:lineRule="auto"/>
        <w:ind w:left="284" w:right="-255" w:hanging="284"/>
        <w:rPr>
          <w:rFonts w:ascii="IBM Plex Sans Light" w:hAnsi="IBM Plex Sans Light"/>
          <w:sz w:val="16"/>
          <w:szCs w:val="16"/>
        </w:rPr>
      </w:pPr>
      <w:r w:rsidRPr="007C5135">
        <w:rPr>
          <w:rFonts w:ascii="IBM Plex Sans Light" w:hAnsi="IBM Plex Sans Light"/>
          <w:sz w:val="16"/>
          <w:szCs w:val="16"/>
        </w:rPr>
        <w:t>d</w:t>
      </w:r>
      <w:r w:rsidRPr="007C5135">
        <w:rPr>
          <w:rFonts w:ascii="IBM Plex Sans Light" w:hAnsi="IBM Plex Sans Light"/>
          <w:sz w:val="16"/>
          <w:szCs w:val="16"/>
        </w:rPr>
        <w:tab/>
        <w:t xml:space="preserve">Comprises cash payments after deduction of withholding tax (see note c above), where applicable. </w:t>
      </w:r>
    </w:p>
    <w:p w14:paraId="28DCEC22" w14:textId="29497F99" w:rsidR="00F61C44" w:rsidRDefault="00F77F93" w:rsidP="00F77F93">
      <w:pPr>
        <w:spacing w:after="0" w:line="240" w:lineRule="auto"/>
        <w:rPr>
          <w:rFonts w:ascii="IBM Plex Sans Light" w:hAnsi="IBM Plex Sans Light"/>
        </w:rPr>
      </w:pPr>
      <w:r w:rsidRPr="00F77F93">
        <w:rPr>
          <w:rFonts w:ascii="IBM Plex Sans Light" w:hAnsi="IBM Plex Sans Light"/>
        </w:rPr>
        <w:t>A final 2023 dividend of 0.</w:t>
      </w:r>
      <w:r w:rsidR="006B7177">
        <w:rPr>
          <w:rFonts w:ascii="IBM Plex Sans Light" w:hAnsi="IBM Plex Sans Light"/>
        </w:rPr>
        <w:t>78</w:t>
      </w:r>
      <w:r w:rsidRPr="00F77F93">
        <w:rPr>
          <w:rFonts w:ascii="IBM Plex Sans Light" w:hAnsi="IBM Plex Sans Light"/>
        </w:rPr>
        <w:t xml:space="preserve"> pence per share payable in cash, was recommended by the Board on 28 February 2024 and, subject to approval by shareholders at the 2024 AGM, is payable on </w:t>
      </w:r>
      <w:r w:rsidR="006B7177">
        <w:rPr>
          <w:rFonts w:ascii="IBM Plex Sans Light" w:hAnsi="IBM Plex Sans Light"/>
        </w:rPr>
        <w:t>10</w:t>
      </w:r>
      <w:r w:rsidRPr="00F77F93">
        <w:rPr>
          <w:rFonts w:ascii="IBM Plex Sans Light" w:hAnsi="IBM Plex Sans Light"/>
        </w:rPr>
        <w:t xml:space="preserve"> May 2024 to shareholders on the register at the close of business on </w:t>
      </w:r>
      <w:r w:rsidR="006B7177">
        <w:rPr>
          <w:rFonts w:ascii="IBM Plex Sans Light" w:hAnsi="IBM Plex Sans Light"/>
        </w:rPr>
        <w:t>5 April</w:t>
      </w:r>
      <w:r w:rsidRPr="00F77F93">
        <w:rPr>
          <w:rFonts w:ascii="IBM Plex Sans Light" w:hAnsi="IBM Plex Sans Light"/>
        </w:rPr>
        <w:t xml:space="preserve"> 2024. The dividend will be paid entirely as a non-PID, and treated as an ordinary company dividend.</w:t>
      </w:r>
    </w:p>
    <w:p w14:paraId="07E42A8B" w14:textId="77777777" w:rsidR="00F61C44" w:rsidRDefault="00F61C44" w:rsidP="00F77F93">
      <w:pPr>
        <w:spacing w:after="0" w:line="240" w:lineRule="auto"/>
        <w:rPr>
          <w:rFonts w:ascii="IBM Plex Sans Light" w:hAnsi="IBM Plex Sans Light"/>
        </w:rPr>
      </w:pPr>
    </w:p>
    <w:p w14:paraId="64D98054" w14:textId="77777777" w:rsidR="00F61C44" w:rsidRPr="00AB6B6E" w:rsidRDefault="00F61C44" w:rsidP="00F61C44">
      <w:pPr>
        <w:spacing w:after="80" w:line="240" w:lineRule="auto"/>
        <w:jc w:val="both"/>
        <w:rPr>
          <w:rFonts w:ascii="IBM Plex Sans Medium" w:hAnsi="IBM Plex Sans Medium" w:cs="Arial"/>
          <w:b/>
          <w:color w:val="3D7FE0" w:themeColor="accent1"/>
          <w:szCs w:val="18"/>
        </w:rPr>
      </w:pPr>
      <w:r>
        <w:rPr>
          <w:rFonts w:ascii="IBM Plex Sans Medium" w:hAnsi="IBM Plex Sans Medium" w:cs="Arial"/>
          <w:b/>
          <w:color w:val="3D7FE0" w:themeColor="accent1"/>
          <w:szCs w:val="18"/>
        </w:rPr>
        <w:t>19</w:t>
      </w:r>
      <w:r w:rsidRPr="00AB6B6E">
        <w:rPr>
          <w:rFonts w:ascii="IBM Plex Sans Medium" w:hAnsi="IBM Plex Sans Medium" w:cs="Arial"/>
          <w:b/>
          <w:color w:val="3D7FE0" w:themeColor="accent1"/>
          <w:szCs w:val="18"/>
        </w:rPr>
        <w:t>. NOTES TO THE CASH FLOW STATEMENT</w:t>
      </w:r>
    </w:p>
    <w:p w14:paraId="071D1466" w14:textId="7AC7B2E9" w:rsidR="00F61C44" w:rsidRPr="00895810" w:rsidRDefault="00F61C44" w:rsidP="00F61C44">
      <w:pPr>
        <w:pStyle w:val="Heading2SpaceBefore"/>
        <w:spacing w:before="0"/>
        <w:rPr>
          <w:rFonts w:ascii="IBM Plex Sans Light" w:hAnsi="IBM Plex Sans Light"/>
          <w:color w:val="3D7FE0" w:themeColor="accent1"/>
        </w:rPr>
      </w:pPr>
      <w:r w:rsidRPr="00895810">
        <w:rPr>
          <w:rFonts w:ascii="IBM Plex Sans Light" w:hAnsi="IBM Plex Sans Light"/>
          <w:color w:val="3D7FE0" w:themeColor="accent1"/>
        </w:rPr>
        <w:t xml:space="preserve">A. </w:t>
      </w:r>
      <w:r w:rsidR="00C62996" w:rsidRPr="00895810">
        <w:rPr>
          <w:rFonts w:ascii="IBM Plex Sans Light" w:hAnsi="IBM Plex Sans Light"/>
          <w:color w:val="3D7FE0" w:themeColor="accent1"/>
        </w:rPr>
        <w:t>ANALYSIS OF ITEMS INCLUDED IN OPERATING CASH FLOWS</w:t>
      </w:r>
    </w:p>
    <w:tbl>
      <w:tblPr>
        <w:tblW w:w="9920" w:type="dxa"/>
        <w:tblLayout w:type="fixed"/>
        <w:tblLook w:val="01E0" w:firstRow="1" w:lastRow="1" w:firstColumn="1" w:lastColumn="1" w:noHBand="0" w:noVBand="0"/>
      </w:tblPr>
      <w:tblGrid>
        <w:gridCol w:w="6379"/>
        <w:gridCol w:w="851"/>
        <w:gridCol w:w="1331"/>
        <w:gridCol w:w="1359"/>
      </w:tblGrid>
      <w:tr w:rsidR="00F61C44" w:rsidRPr="00895810" w14:paraId="60B368F1" w14:textId="77777777" w:rsidTr="00024B10">
        <w:tc>
          <w:tcPr>
            <w:tcW w:w="6379" w:type="dxa"/>
            <w:tcBorders>
              <w:bottom w:val="single" w:sz="2" w:space="0" w:color="3D7FE0" w:themeColor="accent1"/>
            </w:tcBorders>
            <w:tcMar>
              <w:left w:w="0" w:type="dxa"/>
              <w:right w:w="0" w:type="dxa"/>
            </w:tcMar>
            <w:vAlign w:val="bottom"/>
          </w:tcPr>
          <w:p w14:paraId="01A44687" w14:textId="77777777" w:rsidR="00F61C44" w:rsidRPr="00895810" w:rsidRDefault="00F61C44" w:rsidP="00017BB3">
            <w:pPr>
              <w:spacing w:after="0" w:line="240" w:lineRule="auto"/>
              <w:rPr>
                <w:rFonts w:ascii="IBM Plex Sans Light" w:hAnsi="IBM Plex Sans Light" w:cs="Arial"/>
                <w:b/>
                <w:sz w:val="17"/>
                <w:szCs w:val="17"/>
              </w:rPr>
            </w:pPr>
          </w:p>
        </w:tc>
        <w:tc>
          <w:tcPr>
            <w:tcW w:w="851" w:type="dxa"/>
            <w:tcBorders>
              <w:bottom w:val="single" w:sz="2" w:space="0" w:color="3D7FE0" w:themeColor="accent1"/>
            </w:tcBorders>
            <w:tcMar>
              <w:left w:w="0" w:type="dxa"/>
              <w:right w:w="0" w:type="dxa"/>
            </w:tcMar>
            <w:vAlign w:val="bottom"/>
          </w:tcPr>
          <w:p w14:paraId="163268BC" w14:textId="1E61493B" w:rsidR="00F61C44" w:rsidRPr="00895810" w:rsidRDefault="006B6ABF" w:rsidP="00024B10">
            <w:pPr>
              <w:pStyle w:val="TableColHeadsBold"/>
              <w:rPr>
                <w:rFonts w:ascii="IBM Plex Sans Light" w:hAnsi="IBM Plex Sans Light" w:cs="Arial"/>
                <w:color w:val="3D7FE0" w:themeColor="accent1"/>
                <w:sz w:val="17"/>
                <w:szCs w:val="17"/>
              </w:rPr>
            </w:pPr>
            <w:r>
              <w:rPr>
                <w:rFonts w:ascii="IBM Plex Sans Light" w:hAnsi="IBM Plex Sans Light"/>
                <w:bCs w:val="0"/>
              </w:rPr>
              <w:t>Footn</w:t>
            </w:r>
            <w:r w:rsidRPr="00895810">
              <w:rPr>
                <w:rFonts w:ascii="IBM Plex Sans Light" w:hAnsi="IBM Plex Sans Light"/>
                <w:bCs w:val="0"/>
              </w:rPr>
              <w:t>ote</w:t>
            </w:r>
          </w:p>
        </w:tc>
        <w:tc>
          <w:tcPr>
            <w:tcW w:w="1331" w:type="dxa"/>
            <w:tcBorders>
              <w:bottom w:val="single" w:sz="2" w:space="0" w:color="3D7FE0" w:themeColor="accent1"/>
            </w:tcBorders>
            <w:tcMar>
              <w:left w:w="0" w:type="dxa"/>
              <w:right w:w="0" w:type="dxa"/>
            </w:tcMar>
            <w:vAlign w:val="bottom"/>
          </w:tcPr>
          <w:p w14:paraId="26E8B6E9" w14:textId="77777777" w:rsidR="00F61C44" w:rsidRPr="00895810" w:rsidRDefault="00F61C44" w:rsidP="00017BB3">
            <w:pPr>
              <w:pStyle w:val="TableColHeadsBold"/>
              <w:spacing w:line="240" w:lineRule="auto"/>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 </w:t>
            </w:r>
            <w:r>
              <w:rPr>
                <w:rFonts w:ascii="IBM Plex Sans Light" w:hAnsi="IBM Plex Sans Light"/>
                <w:color w:val="3D7FE0" w:themeColor="accent1"/>
                <w:szCs w:val="14"/>
              </w:rPr>
              <w:t>2023</w:t>
            </w:r>
            <w:r w:rsidRPr="00895810">
              <w:rPr>
                <w:rFonts w:ascii="IBM Plex Sans Light" w:hAnsi="IBM Plex Sans Light"/>
                <w:color w:val="3D7FE0" w:themeColor="accent1"/>
                <w:szCs w:val="14"/>
              </w:rPr>
              <w:t xml:space="preserve"> </w:t>
            </w:r>
          </w:p>
          <w:p w14:paraId="48BDD9FB" w14:textId="77777777" w:rsidR="00F61C44" w:rsidRPr="00895810" w:rsidRDefault="00F61C44" w:rsidP="00017BB3">
            <w:pPr>
              <w:spacing w:after="0" w:line="240" w:lineRule="auto"/>
              <w:ind w:right="68"/>
              <w:jc w:val="right"/>
              <w:rPr>
                <w:rFonts w:ascii="IBM Plex Sans Light" w:hAnsi="IBM Plex Sans Light" w:cs="Arial"/>
                <w:b/>
                <w:bCs/>
                <w:sz w:val="14"/>
                <w:szCs w:val="14"/>
              </w:rPr>
            </w:pPr>
            <w:r w:rsidRPr="00895810">
              <w:rPr>
                <w:rFonts w:ascii="IBM Plex Sans Light" w:hAnsi="IBM Plex Sans Light"/>
                <w:b/>
                <w:bCs/>
                <w:color w:val="3D7FE0" w:themeColor="accent1"/>
                <w:sz w:val="14"/>
                <w:szCs w:val="14"/>
              </w:rPr>
              <w:t xml:space="preserve">£m </w:t>
            </w:r>
          </w:p>
        </w:tc>
        <w:tc>
          <w:tcPr>
            <w:tcW w:w="1359" w:type="dxa"/>
            <w:tcBorders>
              <w:bottom w:val="single" w:sz="2" w:space="0" w:color="3D7FE0" w:themeColor="accent1"/>
            </w:tcBorders>
            <w:vAlign w:val="bottom"/>
          </w:tcPr>
          <w:p w14:paraId="36603F66" w14:textId="77777777" w:rsidR="00F61C44" w:rsidRPr="00895810" w:rsidRDefault="00F61C44" w:rsidP="00017BB3">
            <w:pPr>
              <w:pStyle w:val="TableColHeads"/>
              <w:tabs>
                <w:tab w:val="clear" w:pos="284"/>
              </w:tabs>
              <w:spacing w:line="240" w:lineRule="auto"/>
              <w:ind w:right="0"/>
              <w:rPr>
                <w:rFonts w:ascii="IBM Plex Sans Light" w:hAnsi="IBM Plex Sans Light"/>
                <w:szCs w:val="14"/>
              </w:rPr>
            </w:pPr>
            <w:r>
              <w:rPr>
                <w:rFonts w:ascii="IBM Plex Sans Light" w:hAnsi="IBM Plex Sans Light"/>
                <w:szCs w:val="14"/>
              </w:rPr>
              <w:t>2022</w:t>
            </w:r>
            <w:r w:rsidRPr="00895810">
              <w:rPr>
                <w:rFonts w:ascii="IBM Plex Sans Light" w:hAnsi="IBM Plex Sans Light"/>
                <w:szCs w:val="14"/>
              </w:rPr>
              <w:t xml:space="preserve"> </w:t>
            </w:r>
          </w:p>
          <w:p w14:paraId="256CF9AF" w14:textId="77777777" w:rsidR="00F61C44" w:rsidRPr="00895810" w:rsidRDefault="00F61C44" w:rsidP="00017BB3">
            <w:pPr>
              <w:spacing w:after="0" w:line="240" w:lineRule="auto"/>
              <w:jc w:val="right"/>
              <w:rPr>
                <w:rFonts w:ascii="IBM Plex Sans Light" w:hAnsi="IBM Plex Sans Light" w:cs="Arial"/>
                <w:sz w:val="14"/>
                <w:szCs w:val="14"/>
              </w:rPr>
            </w:pPr>
            <w:r w:rsidRPr="00895810">
              <w:rPr>
                <w:rFonts w:ascii="IBM Plex Sans Light" w:hAnsi="IBM Plex Sans Light"/>
                <w:sz w:val="14"/>
                <w:szCs w:val="14"/>
              </w:rPr>
              <w:t xml:space="preserve">£m </w:t>
            </w:r>
          </w:p>
        </w:tc>
      </w:tr>
      <w:tr w:rsidR="00F61C44" w:rsidRPr="00895810" w14:paraId="16055283" w14:textId="77777777" w:rsidTr="00024B10">
        <w:trPr>
          <w:trHeight w:val="379"/>
        </w:trPr>
        <w:tc>
          <w:tcPr>
            <w:tcW w:w="6379" w:type="dxa"/>
            <w:tcBorders>
              <w:top w:val="single" w:sz="2" w:space="0" w:color="3D7FE0" w:themeColor="accent1"/>
            </w:tcBorders>
            <w:tcMar>
              <w:left w:w="0" w:type="dxa"/>
              <w:right w:w="0" w:type="dxa"/>
            </w:tcMar>
            <w:vAlign w:val="bottom"/>
          </w:tcPr>
          <w:p w14:paraId="5DCDD27F" w14:textId="77777777" w:rsidR="00F61C44" w:rsidRPr="00895810" w:rsidRDefault="00F61C44" w:rsidP="00017BB3">
            <w:pPr>
              <w:spacing w:after="0" w:line="240" w:lineRule="auto"/>
              <w:rPr>
                <w:rFonts w:ascii="IBM Plex Sans Light" w:hAnsi="IBM Plex Sans Light"/>
                <w:szCs w:val="18"/>
              </w:rPr>
            </w:pPr>
            <w:r w:rsidRPr="00895810">
              <w:rPr>
                <w:rFonts w:ascii="IBM Plex Sans Light" w:hAnsi="IBM Plex Sans Light"/>
                <w:b/>
                <w:bCs/>
                <w:szCs w:val="18"/>
              </w:rPr>
              <w:t>Net movements in working capital and restricted monetary assets</w:t>
            </w:r>
          </w:p>
        </w:tc>
        <w:tc>
          <w:tcPr>
            <w:tcW w:w="851" w:type="dxa"/>
            <w:tcBorders>
              <w:top w:val="single" w:sz="2" w:space="0" w:color="3D7FE0" w:themeColor="accent1"/>
            </w:tcBorders>
            <w:tcMar>
              <w:left w:w="0" w:type="dxa"/>
              <w:right w:w="0" w:type="dxa"/>
            </w:tcMar>
            <w:vAlign w:val="bottom"/>
          </w:tcPr>
          <w:p w14:paraId="3C113006" w14:textId="77777777" w:rsidR="00F61C44" w:rsidRPr="00895810" w:rsidRDefault="00F61C44" w:rsidP="00017BB3">
            <w:pPr>
              <w:pStyle w:val="TableFiguresBold"/>
              <w:jc w:val="center"/>
              <w:rPr>
                <w:rFonts w:ascii="IBM Plex Sans Light" w:hAnsi="IBM Plex Sans Light"/>
                <w:b w:val="0"/>
                <w:bCs w:val="0"/>
                <w:color w:val="3D7FE0" w:themeColor="accent1"/>
                <w:spacing w:val="-4"/>
                <w:sz w:val="18"/>
                <w:szCs w:val="18"/>
              </w:rPr>
            </w:pPr>
          </w:p>
        </w:tc>
        <w:tc>
          <w:tcPr>
            <w:tcW w:w="1331" w:type="dxa"/>
            <w:tcBorders>
              <w:top w:val="single" w:sz="2" w:space="0" w:color="3D7FE0" w:themeColor="accent1"/>
            </w:tcBorders>
            <w:tcMar>
              <w:left w:w="0" w:type="dxa"/>
              <w:right w:w="0" w:type="dxa"/>
            </w:tcMar>
            <w:vAlign w:val="bottom"/>
          </w:tcPr>
          <w:p w14:paraId="7A6C2081" w14:textId="77777777" w:rsidR="00F61C44" w:rsidRPr="00895810" w:rsidRDefault="00F61C44" w:rsidP="00017BB3">
            <w:pPr>
              <w:pStyle w:val="TableFiguresBold"/>
              <w:rPr>
                <w:rFonts w:ascii="IBM Plex Sans Light" w:hAnsi="IBM Plex Sans Light"/>
                <w:b w:val="0"/>
                <w:spacing w:val="-4"/>
                <w:sz w:val="18"/>
                <w:szCs w:val="18"/>
              </w:rPr>
            </w:pPr>
          </w:p>
        </w:tc>
        <w:tc>
          <w:tcPr>
            <w:tcW w:w="1359" w:type="dxa"/>
            <w:tcBorders>
              <w:top w:val="single" w:sz="2" w:space="0" w:color="3D7FE0" w:themeColor="accent1"/>
            </w:tcBorders>
            <w:vAlign w:val="bottom"/>
          </w:tcPr>
          <w:p w14:paraId="2127FC43" w14:textId="77777777" w:rsidR="00F61C44" w:rsidRPr="00895810" w:rsidRDefault="00F61C44" w:rsidP="00017BB3">
            <w:pPr>
              <w:pStyle w:val="TableFiguresBold"/>
              <w:rPr>
                <w:rFonts w:ascii="IBM Plex Sans Light" w:hAnsi="IBM Plex Sans Light"/>
                <w:b w:val="0"/>
                <w:spacing w:val="-4"/>
                <w:sz w:val="18"/>
                <w:szCs w:val="18"/>
              </w:rPr>
            </w:pPr>
            <w:r w:rsidRPr="00895810">
              <w:rPr>
                <w:rFonts w:ascii="IBM Plex Sans Light" w:hAnsi="IBM Plex Sans Light"/>
                <w:b w:val="0"/>
                <w:spacing w:val="-4"/>
                <w:sz w:val="18"/>
                <w:szCs w:val="18"/>
              </w:rPr>
              <w:t xml:space="preserve"> </w:t>
            </w:r>
          </w:p>
        </w:tc>
      </w:tr>
      <w:tr w:rsidR="00F61C44" w:rsidRPr="00895810" w14:paraId="2DDB18A4" w14:textId="77777777" w:rsidTr="00024B10">
        <w:tc>
          <w:tcPr>
            <w:tcW w:w="6379" w:type="dxa"/>
            <w:shd w:val="clear" w:color="auto" w:fill="auto"/>
            <w:tcMar>
              <w:left w:w="0" w:type="dxa"/>
              <w:right w:w="0" w:type="dxa"/>
            </w:tcMar>
            <w:vAlign w:val="bottom"/>
          </w:tcPr>
          <w:p w14:paraId="653B1998" w14:textId="77777777" w:rsidR="00F61C44" w:rsidRPr="00895810" w:rsidRDefault="00F61C44" w:rsidP="00017BB3">
            <w:pPr>
              <w:spacing w:after="0" w:line="240" w:lineRule="auto"/>
              <w:rPr>
                <w:rFonts w:ascii="IBM Plex Sans Light" w:hAnsi="IBM Plex Sans Light" w:cs="Arial"/>
                <w:szCs w:val="18"/>
              </w:rPr>
            </w:pPr>
            <w:r w:rsidRPr="00895810">
              <w:rPr>
                <w:rFonts w:ascii="IBM Plex Sans Light" w:hAnsi="IBM Plex Sans Light" w:cs="Arial"/>
                <w:szCs w:val="18"/>
              </w:rPr>
              <w:t>Movements in working capital:</w:t>
            </w:r>
          </w:p>
        </w:tc>
        <w:tc>
          <w:tcPr>
            <w:tcW w:w="851" w:type="dxa"/>
            <w:tcMar>
              <w:left w:w="0" w:type="dxa"/>
              <w:right w:w="0" w:type="dxa"/>
            </w:tcMar>
            <w:vAlign w:val="bottom"/>
          </w:tcPr>
          <w:p w14:paraId="2751CA4A" w14:textId="77777777" w:rsidR="00F61C44" w:rsidRPr="00895810" w:rsidRDefault="00F61C44" w:rsidP="00017BB3">
            <w:pPr>
              <w:pStyle w:val="TableFiguresBold"/>
              <w:jc w:val="center"/>
              <w:rPr>
                <w:rFonts w:ascii="IBM Plex Sans Light" w:hAnsi="IBM Plex Sans Light"/>
                <w:b w:val="0"/>
                <w:bCs w:val="0"/>
                <w:color w:val="3D7FE0" w:themeColor="accent1"/>
                <w:spacing w:val="-4"/>
                <w:sz w:val="18"/>
                <w:szCs w:val="18"/>
              </w:rPr>
            </w:pPr>
          </w:p>
        </w:tc>
        <w:tc>
          <w:tcPr>
            <w:tcW w:w="1331" w:type="dxa"/>
            <w:tcMar>
              <w:left w:w="0" w:type="dxa"/>
              <w:right w:w="0" w:type="dxa"/>
            </w:tcMar>
            <w:vAlign w:val="bottom"/>
          </w:tcPr>
          <w:p w14:paraId="07CA4C35" w14:textId="77777777" w:rsidR="00F61C44" w:rsidRPr="00895810" w:rsidRDefault="00F61C44" w:rsidP="00017BB3">
            <w:pPr>
              <w:pStyle w:val="TableFiguresBold"/>
              <w:rPr>
                <w:rFonts w:ascii="IBM Plex Sans Light" w:hAnsi="IBM Plex Sans Light"/>
                <w:b w:val="0"/>
                <w:spacing w:val="-4"/>
                <w:sz w:val="18"/>
                <w:szCs w:val="18"/>
              </w:rPr>
            </w:pPr>
          </w:p>
        </w:tc>
        <w:tc>
          <w:tcPr>
            <w:tcW w:w="1359" w:type="dxa"/>
            <w:vAlign w:val="bottom"/>
          </w:tcPr>
          <w:p w14:paraId="76DA4021" w14:textId="77777777" w:rsidR="00F61C44" w:rsidRPr="00895810" w:rsidRDefault="00F61C44" w:rsidP="00017BB3">
            <w:pPr>
              <w:pStyle w:val="TableFiguresBold"/>
              <w:rPr>
                <w:rFonts w:ascii="IBM Plex Sans Light" w:hAnsi="IBM Plex Sans Light"/>
                <w:b w:val="0"/>
                <w:bCs w:val="0"/>
                <w:color w:val="auto"/>
                <w:spacing w:val="-4"/>
                <w:sz w:val="18"/>
                <w:szCs w:val="18"/>
              </w:rPr>
            </w:pPr>
          </w:p>
        </w:tc>
      </w:tr>
      <w:tr w:rsidR="00F61C44" w:rsidRPr="00895810" w14:paraId="757DF802" w14:textId="77777777" w:rsidTr="00024B10">
        <w:tc>
          <w:tcPr>
            <w:tcW w:w="6379" w:type="dxa"/>
            <w:tcMar>
              <w:left w:w="0" w:type="dxa"/>
              <w:right w:w="0" w:type="dxa"/>
            </w:tcMar>
            <w:vAlign w:val="bottom"/>
          </w:tcPr>
          <w:p w14:paraId="494D1FB9" w14:textId="77777777" w:rsidR="00F61C44" w:rsidRPr="00895810" w:rsidRDefault="00F61C44" w:rsidP="00017BB3">
            <w:pPr>
              <w:spacing w:after="0" w:line="240" w:lineRule="auto"/>
              <w:rPr>
                <w:rFonts w:ascii="IBM Plex Sans Light" w:hAnsi="IBM Plex Sans Light" w:cs="Arial"/>
                <w:szCs w:val="18"/>
              </w:rPr>
            </w:pPr>
            <w:r w:rsidRPr="00895810">
              <w:rPr>
                <w:rFonts w:ascii="IBM Plex Sans Light" w:hAnsi="IBM Plex Sans Light"/>
                <w:szCs w:val="18"/>
              </w:rPr>
              <w:t xml:space="preserve">– </w:t>
            </w:r>
            <w:r>
              <w:rPr>
                <w:rFonts w:ascii="IBM Plex Sans Light" w:hAnsi="IBM Plex Sans Light"/>
                <w:szCs w:val="18"/>
              </w:rPr>
              <w:t>Decrease/</w:t>
            </w:r>
            <w:r w:rsidRPr="00895810">
              <w:rPr>
                <w:rFonts w:ascii="IBM Plex Sans Light" w:hAnsi="IBM Plex Sans Light" w:cs="Arial"/>
                <w:szCs w:val="18"/>
              </w:rPr>
              <w:t>(</w:t>
            </w:r>
            <w:r>
              <w:rPr>
                <w:rFonts w:ascii="IBM Plex Sans Light" w:hAnsi="IBM Plex Sans Light" w:cs="Arial"/>
                <w:szCs w:val="18"/>
              </w:rPr>
              <w:t>i</w:t>
            </w:r>
            <w:r w:rsidRPr="00895810">
              <w:rPr>
                <w:rFonts w:ascii="IBM Plex Sans Light" w:hAnsi="IBM Plex Sans Light" w:cs="Arial"/>
                <w:szCs w:val="18"/>
              </w:rPr>
              <w:t>ncrease) in receivables</w:t>
            </w:r>
          </w:p>
        </w:tc>
        <w:tc>
          <w:tcPr>
            <w:tcW w:w="851" w:type="dxa"/>
            <w:tcMar>
              <w:left w:w="0" w:type="dxa"/>
              <w:right w:w="0" w:type="dxa"/>
            </w:tcMar>
            <w:vAlign w:val="bottom"/>
          </w:tcPr>
          <w:p w14:paraId="2EC6D560" w14:textId="77777777" w:rsidR="00F61C44" w:rsidRPr="00895810" w:rsidRDefault="00F61C44" w:rsidP="00017BB3">
            <w:pPr>
              <w:pStyle w:val="TableFiguresBold"/>
              <w:jc w:val="center"/>
              <w:rPr>
                <w:rFonts w:ascii="IBM Plex Sans Light" w:hAnsi="IBM Plex Sans Light"/>
                <w:b w:val="0"/>
                <w:bCs w:val="0"/>
                <w:color w:val="3D7FE0" w:themeColor="accent1"/>
                <w:spacing w:val="-4"/>
                <w:sz w:val="18"/>
                <w:szCs w:val="18"/>
              </w:rPr>
            </w:pPr>
          </w:p>
        </w:tc>
        <w:tc>
          <w:tcPr>
            <w:tcW w:w="1331" w:type="dxa"/>
            <w:tcMar>
              <w:left w:w="0" w:type="dxa"/>
              <w:right w:w="0" w:type="dxa"/>
            </w:tcMar>
          </w:tcPr>
          <w:p w14:paraId="1CF47D33" w14:textId="77777777" w:rsidR="00F61C44" w:rsidRPr="007C5135" w:rsidRDefault="00F61C44" w:rsidP="00017BB3">
            <w:pPr>
              <w:pStyle w:val="TableFiguresBold"/>
              <w:rPr>
                <w:rFonts w:ascii="IBM Plex Sans Medium" w:hAnsi="IBM Plex Sans Medium"/>
                <w:color w:val="3D7FE0" w:themeColor="accent1"/>
                <w:spacing w:val="-4"/>
                <w:sz w:val="18"/>
                <w:szCs w:val="18"/>
              </w:rPr>
            </w:pPr>
            <w:r w:rsidRPr="007C5135">
              <w:rPr>
                <w:rFonts w:ascii="IBM Plex Sans Medium" w:hAnsi="IBM Plex Sans Medium"/>
                <w:color w:val="3D7FE0" w:themeColor="accent1"/>
                <w:spacing w:val="-4"/>
                <w:sz w:val="18"/>
                <w:szCs w:val="18"/>
              </w:rPr>
              <w:t>8.8</w:t>
            </w:r>
          </w:p>
        </w:tc>
        <w:tc>
          <w:tcPr>
            <w:tcW w:w="1359" w:type="dxa"/>
            <w:vAlign w:val="bottom"/>
          </w:tcPr>
          <w:p w14:paraId="6A73BF47" w14:textId="77777777" w:rsidR="00F61C44" w:rsidRPr="00024B10" w:rsidRDefault="00F61C44" w:rsidP="00024B10">
            <w:pPr>
              <w:pStyle w:val="TableFiguresBrackets"/>
              <w:rPr>
                <w:rFonts w:ascii="IBM Plex Sans Light" w:hAnsi="IBM Plex Sans Light"/>
                <w:b/>
                <w:bCs/>
                <w:spacing w:val="-4"/>
                <w:sz w:val="18"/>
                <w:szCs w:val="18"/>
              </w:rPr>
            </w:pPr>
            <w:r w:rsidRPr="00024B10">
              <w:rPr>
                <w:rFonts w:ascii="IBM Plex Sans Light" w:hAnsi="IBM Plex Sans Light"/>
                <w:spacing w:val="-4"/>
                <w:sz w:val="18"/>
                <w:szCs w:val="18"/>
              </w:rPr>
              <w:t>(6.0)</w:t>
            </w:r>
          </w:p>
        </w:tc>
      </w:tr>
      <w:tr w:rsidR="00F61C44" w:rsidRPr="00895810" w14:paraId="15787817" w14:textId="77777777" w:rsidTr="00024B10">
        <w:tc>
          <w:tcPr>
            <w:tcW w:w="6379" w:type="dxa"/>
            <w:tcBorders>
              <w:bottom w:val="single" w:sz="2" w:space="0" w:color="3D7FE0" w:themeColor="accent1"/>
            </w:tcBorders>
            <w:tcMar>
              <w:left w:w="0" w:type="dxa"/>
              <w:right w:w="0" w:type="dxa"/>
            </w:tcMar>
            <w:vAlign w:val="bottom"/>
          </w:tcPr>
          <w:p w14:paraId="7CA0502C" w14:textId="77777777" w:rsidR="00F61C44" w:rsidRPr="00895810" w:rsidRDefault="00F61C44" w:rsidP="00017BB3">
            <w:pPr>
              <w:spacing w:after="0" w:line="240" w:lineRule="auto"/>
              <w:rPr>
                <w:rFonts w:ascii="IBM Plex Sans Light" w:hAnsi="IBM Plex Sans Light" w:cs="Arial"/>
                <w:szCs w:val="18"/>
              </w:rPr>
            </w:pPr>
            <w:r w:rsidRPr="00895810">
              <w:rPr>
                <w:rFonts w:ascii="IBM Plex Sans Light" w:hAnsi="IBM Plex Sans Light"/>
                <w:szCs w:val="18"/>
              </w:rPr>
              <w:t xml:space="preserve">– </w:t>
            </w:r>
            <w:r w:rsidRPr="00895810">
              <w:rPr>
                <w:rFonts w:ascii="IBM Plex Sans Light" w:hAnsi="IBM Plex Sans Light" w:cs="Arial"/>
                <w:szCs w:val="18"/>
              </w:rPr>
              <w:t>Decrease in payables</w:t>
            </w:r>
          </w:p>
        </w:tc>
        <w:tc>
          <w:tcPr>
            <w:tcW w:w="851" w:type="dxa"/>
            <w:tcBorders>
              <w:bottom w:val="single" w:sz="2" w:space="0" w:color="3D7FE0" w:themeColor="accent1"/>
            </w:tcBorders>
            <w:tcMar>
              <w:left w:w="0" w:type="dxa"/>
              <w:right w:w="0" w:type="dxa"/>
            </w:tcMar>
            <w:vAlign w:val="bottom"/>
          </w:tcPr>
          <w:p w14:paraId="2D30941B" w14:textId="77777777" w:rsidR="00F61C44" w:rsidRPr="00895810" w:rsidRDefault="00F61C44" w:rsidP="00017BB3">
            <w:pPr>
              <w:pStyle w:val="TableFiguresBracketsBold"/>
              <w:jc w:val="center"/>
              <w:rPr>
                <w:rFonts w:ascii="IBM Plex Sans Light" w:hAnsi="IBM Plex Sans Light"/>
                <w:b w:val="0"/>
                <w:bCs w:val="0"/>
                <w:color w:val="auto"/>
                <w:spacing w:val="-4"/>
                <w:sz w:val="18"/>
                <w:szCs w:val="18"/>
              </w:rPr>
            </w:pPr>
          </w:p>
        </w:tc>
        <w:tc>
          <w:tcPr>
            <w:tcW w:w="1331" w:type="dxa"/>
            <w:tcBorders>
              <w:bottom w:val="single" w:sz="2" w:space="0" w:color="3D7FE0" w:themeColor="accent1"/>
            </w:tcBorders>
            <w:tcMar>
              <w:left w:w="0" w:type="dxa"/>
              <w:right w:w="0" w:type="dxa"/>
            </w:tcMar>
          </w:tcPr>
          <w:p w14:paraId="3BAEADD8" w14:textId="77777777" w:rsidR="00F61C44" w:rsidRPr="007C5135" w:rsidRDefault="00F61C44" w:rsidP="00017BB3">
            <w:pPr>
              <w:pStyle w:val="TableFiguresBrackets"/>
              <w:rPr>
                <w:rFonts w:ascii="IBM Plex Sans Medium" w:hAnsi="IBM Plex Sans Medium"/>
                <w:b/>
                <w:bCs/>
                <w:color w:val="3D7FE0" w:themeColor="accent1"/>
                <w:spacing w:val="-4"/>
                <w:sz w:val="18"/>
                <w:szCs w:val="18"/>
              </w:rPr>
            </w:pPr>
            <w:r w:rsidRPr="007C5135">
              <w:rPr>
                <w:rFonts w:ascii="IBM Plex Sans Medium" w:hAnsi="IBM Plex Sans Medium"/>
                <w:b/>
                <w:bCs/>
                <w:color w:val="3D7FE0" w:themeColor="accent1"/>
                <w:spacing w:val="-4"/>
                <w:sz w:val="18"/>
                <w:szCs w:val="18"/>
              </w:rPr>
              <w:t>(19.8)</w:t>
            </w:r>
          </w:p>
        </w:tc>
        <w:tc>
          <w:tcPr>
            <w:tcW w:w="1359" w:type="dxa"/>
            <w:tcBorders>
              <w:bottom w:val="single" w:sz="2" w:space="0" w:color="3D7FE0" w:themeColor="accent1"/>
            </w:tcBorders>
            <w:vAlign w:val="bottom"/>
          </w:tcPr>
          <w:p w14:paraId="37500FBC" w14:textId="77777777" w:rsidR="00F61C44" w:rsidRPr="007C5135" w:rsidRDefault="00F61C44" w:rsidP="00024B10">
            <w:pPr>
              <w:pStyle w:val="TableFiguresBrackets"/>
              <w:rPr>
                <w:rFonts w:ascii="IBM Plex Sans Light" w:hAnsi="IBM Plex Sans Light"/>
                <w:spacing w:val="-4"/>
                <w:sz w:val="18"/>
                <w:szCs w:val="18"/>
              </w:rPr>
            </w:pPr>
            <w:r w:rsidRPr="007C5135">
              <w:rPr>
                <w:rFonts w:ascii="IBM Plex Sans Light" w:hAnsi="IBM Plex Sans Light"/>
                <w:spacing w:val="-4"/>
                <w:sz w:val="18"/>
                <w:szCs w:val="18"/>
              </w:rPr>
              <w:t>(17.4)</w:t>
            </w:r>
          </w:p>
        </w:tc>
      </w:tr>
      <w:tr w:rsidR="00F61C44" w:rsidRPr="00895810" w14:paraId="7A0C25B7" w14:textId="77777777" w:rsidTr="00024B10">
        <w:tc>
          <w:tcPr>
            <w:tcW w:w="6379" w:type="dxa"/>
            <w:tcBorders>
              <w:top w:val="single" w:sz="2" w:space="0" w:color="3D7FE0" w:themeColor="accent1"/>
            </w:tcBorders>
            <w:tcMar>
              <w:left w:w="0" w:type="dxa"/>
              <w:right w:w="0" w:type="dxa"/>
            </w:tcMar>
            <w:vAlign w:val="bottom"/>
          </w:tcPr>
          <w:p w14:paraId="49A3C732" w14:textId="77777777" w:rsidR="00F61C44" w:rsidRPr="00895810" w:rsidRDefault="00F61C44" w:rsidP="00017BB3">
            <w:pPr>
              <w:spacing w:after="0" w:line="240" w:lineRule="auto"/>
              <w:rPr>
                <w:rFonts w:ascii="IBM Plex Sans Light" w:hAnsi="IBM Plex Sans Light"/>
                <w:szCs w:val="18"/>
              </w:rPr>
            </w:pPr>
          </w:p>
        </w:tc>
        <w:tc>
          <w:tcPr>
            <w:tcW w:w="851" w:type="dxa"/>
            <w:tcBorders>
              <w:top w:val="single" w:sz="2" w:space="0" w:color="3D7FE0" w:themeColor="accent1"/>
            </w:tcBorders>
            <w:tcMar>
              <w:left w:w="0" w:type="dxa"/>
              <w:right w:w="0" w:type="dxa"/>
            </w:tcMar>
            <w:vAlign w:val="bottom"/>
          </w:tcPr>
          <w:p w14:paraId="2B1DB5E3" w14:textId="77777777" w:rsidR="00F61C44" w:rsidRPr="00895810" w:rsidRDefault="00F61C44" w:rsidP="00017BB3">
            <w:pPr>
              <w:pStyle w:val="TableFiguresBold"/>
              <w:jc w:val="center"/>
              <w:rPr>
                <w:rFonts w:ascii="IBM Plex Sans Light" w:hAnsi="IBM Plex Sans Light"/>
                <w:b w:val="0"/>
                <w:bCs w:val="0"/>
                <w:color w:val="auto"/>
                <w:spacing w:val="-4"/>
                <w:sz w:val="18"/>
                <w:szCs w:val="18"/>
              </w:rPr>
            </w:pPr>
          </w:p>
        </w:tc>
        <w:tc>
          <w:tcPr>
            <w:tcW w:w="1331" w:type="dxa"/>
            <w:tcBorders>
              <w:top w:val="single" w:sz="2" w:space="0" w:color="3D7FE0" w:themeColor="accent1"/>
            </w:tcBorders>
            <w:tcMar>
              <w:left w:w="0" w:type="dxa"/>
              <w:right w:w="0" w:type="dxa"/>
            </w:tcMar>
          </w:tcPr>
          <w:p w14:paraId="2DD78E72" w14:textId="77777777" w:rsidR="00F61C44" w:rsidRPr="007C5135" w:rsidRDefault="00F61C44" w:rsidP="00017BB3">
            <w:pPr>
              <w:pStyle w:val="TableFiguresBrackets"/>
              <w:rPr>
                <w:rFonts w:ascii="IBM Plex Sans Medium" w:hAnsi="IBM Plex Sans Medium"/>
                <w:b/>
                <w:bCs/>
                <w:color w:val="3D7FE0" w:themeColor="accent1"/>
                <w:spacing w:val="-4"/>
                <w:sz w:val="18"/>
                <w:szCs w:val="18"/>
              </w:rPr>
            </w:pPr>
            <w:r w:rsidRPr="007C5135">
              <w:rPr>
                <w:rFonts w:ascii="IBM Plex Sans Medium" w:hAnsi="IBM Plex Sans Medium"/>
                <w:b/>
                <w:bCs/>
                <w:color w:val="3D7FE0" w:themeColor="accent1"/>
                <w:spacing w:val="-4"/>
                <w:sz w:val="18"/>
                <w:szCs w:val="18"/>
              </w:rPr>
              <w:t>(11.0)</w:t>
            </w:r>
          </w:p>
        </w:tc>
        <w:tc>
          <w:tcPr>
            <w:tcW w:w="1359" w:type="dxa"/>
            <w:tcBorders>
              <w:top w:val="single" w:sz="2" w:space="0" w:color="3D7FE0" w:themeColor="accent1"/>
            </w:tcBorders>
            <w:vAlign w:val="bottom"/>
          </w:tcPr>
          <w:p w14:paraId="4180821B" w14:textId="77777777" w:rsidR="00F61C44" w:rsidRPr="007C5135" w:rsidRDefault="00F61C44" w:rsidP="00017BB3">
            <w:pPr>
              <w:pStyle w:val="TableFiguresBracketsBold"/>
              <w:rPr>
                <w:rFonts w:ascii="IBM Plex Sans Light" w:hAnsi="IBM Plex Sans Light"/>
                <w:b w:val="0"/>
                <w:bCs w:val="0"/>
                <w:color w:val="auto"/>
                <w:spacing w:val="-4"/>
                <w:sz w:val="18"/>
                <w:szCs w:val="18"/>
              </w:rPr>
            </w:pPr>
            <w:r w:rsidRPr="007C5135">
              <w:rPr>
                <w:rFonts w:ascii="IBM Plex Sans Light" w:hAnsi="IBM Plex Sans Light"/>
                <w:b w:val="0"/>
                <w:bCs w:val="0"/>
                <w:color w:val="auto"/>
                <w:spacing w:val="-4"/>
                <w:sz w:val="18"/>
                <w:szCs w:val="18"/>
              </w:rPr>
              <w:t>(23.4)</w:t>
            </w:r>
          </w:p>
        </w:tc>
      </w:tr>
      <w:tr w:rsidR="00F61C44" w:rsidRPr="00895810" w14:paraId="564EA54F" w14:textId="77777777" w:rsidTr="00024B10">
        <w:tc>
          <w:tcPr>
            <w:tcW w:w="6379" w:type="dxa"/>
            <w:tcBorders>
              <w:bottom w:val="single" w:sz="2" w:space="0" w:color="3D7FE0" w:themeColor="accent1"/>
            </w:tcBorders>
            <w:tcMar>
              <w:left w:w="0" w:type="dxa"/>
              <w:right w:w="0" w:type="dxa"/>
            </w:tcMar>
            <w:vAlign w:val="bottom"/>
          </w:tcPr>
          <w:p w14:paraId="3F0FCA80" w14:textId="77777777" w:rsidR="00F61C44" w:rsidRPr="00895810" w:rsidRDefault="00F61C44" w:rsidP="00017BB3">
            <w:pPr>
              <w:spacing w:after="0" w:line="240" w:lineRule="auto"/>
              <w:rPr>
                <w:rFonts w:ascii="IBM Plex Sans Light" w:hAnsi="IBM Plex Sans Light" w:cs="Arial"/>
                <w:szCs w:val="18"/>
              </w:rPr>
            </w:pPr>
            <w:r>
              <w:rPr>
                <w:rFonts w:ascii="IBM Plex Sans Light" w:hAnsi="IBM Plex Sans Light"/>
                <w:szCs w:val="18"/>
              </w:rPr>
              <w:t>D</w:t>
            </w:r>
            <w:r w:rsidRPr="00895810">
              <w:rPr>
                <w:rFonts w:ascii="IBM Plex Sans Light" w:hAnsi="IBM Plex Sans Light"/>
                <w:szCs w:val="18"/>
              </w:rPr>
              <w:t>ecrease in restricted monetary assets</w:t>
            </w:r>
          </w:p>
        </w:tc>
        <w:tc>
          <w:tcPr>
            <w:tcW w:w="851" w:type="dxa"/>
            <w:tcBorders>
              <w:bottom w:val="single" w:sz="2" w:space="0" w:color="3D7FE0" w:themeColor="accent1"/>
            </w:tcBorders>
            <w:tcMar>
              <w:left w:w="0" w:type="dxa"/>
              <w:right w:w="0" w:type="dxa"/>
            </w:tcMar>
            <w:vAlign w:val="bottom"/>
          </w:tcPr>
          <w:p w14:paraId="5BD8756D" w14:textId="77777777" w:rsidR="00F61C44" w:rsidRPr="00895810" w:rsidRDefault="00F61C44" w:rsidP="00017BB3">
            <w:pPr>
              <w:pStyle w:val="TableFiguresBold"/>
              <w:jc w:val="center"/>
              <w:rPr>
                <w:rFonts w:ascii="IBM Plex Sans Light" w:hAnsi="IBM Plex Sans Light"/>
                <w:b w:val="0"/>
                <w:bCs w:val="0"/>
                <w:color w:val="auto"/>
                <w:spacing w:val="-4"/>
                <w:sz w:val="18"/>
                <w:szCs w:val="18"/>
              </w:rPr>
            </w:pPr>
          </w:p>
        </w:tc>
        <w:tc>
          <w:tcPr>
            <w:tcW w:w="1331" w:type="dxa"/>
            <w:tcBorders>
              <w:bottom w:val="single" w:sz="2" w:space="0" w:color="3D7FE0" w:themeColor="accent1"/>
            </w:tcBorders>
            <w:tcMar>
              <w:left w:w="0" w:type="dxa"/>
              <w:right w:w="0" w:type="dxa"/>
            </w:tcMar>
          </w:tcPr>
          <w:p w14:paraId="1A1DCA24" w14:textId="77777777" w:rsidR="00F61C44" w:rsidRPr="007C5135" w:rsidRDefault="00F61C44" w:rsidP="00017BB3">
            <w:pPr>
              <w:pStyle w:val="TableFiguresBold"/>
              <w:rPr>
                <w:rFonts w:ascii="IBM Plex Sans Medium" w:hAnsi="IBM Plex Sans Medium"/>
                <w:color w:val="3D7FE0" w:themeColor="accent1"/>
                <w:spacing w:val="-4"/>
                <w:sz w:val="18"/>
                <w:szCs w:val="18"/>
              </w:rPr>
            </w:pPr>
            <w:r w:rsidRPr="007C5135">
              <w:rPr>
                <w:rFonts w:ascii="IBM Plex Sans Medium" w:hAnsi="IBM Plex Sans Medium"/>
                <w:color w:val="3D7FE0" w:themeColor="accent1"/>
                <w:spacing w:val="-4"/>
                <w:sz w:val="18"/>
                <w:szCs w:val="18"/>
              </w:rPr>
              <w:t>6.3</w:t>
            </w:r>
          </w:p>
        </w:tc>
        <w:tc>
          <w:tcPr>
            <w:tcW w:w="1359" w:type="dxa"/>
            <w:tcBorders>
              <w:bottom w:val="single" w:sz="2" w:space="0" w:color="3D7FE0" w:themeColor="accent1"/>
            </w:tcBorders>
            <w:vAlign w:val="center"/>
          </w:tcPr>
          <w:p w14:paraId="03E07E01" w14:textId="77777777" w:rsidR="00F61C44" w:rsidRPr="00024B10" w:rsidRDefault="00F61C44" w:rsidP="00024B10">
            <w:pPr>
              <w:pStyle w:val="TableFigures"/>
              <w:rPr>
                <w:rFonts w:ascii="IBM Plex Sans Light" w:hAnsi="IBM Plex Sans Light"/>
                <w:color w:val="auto"/>
                <w:spacing w:val="-4"/>
                <w:sz w:val="18"/>
                <w:szCs w:val="18"/>
              </w:rPr>
            </w:pPr>
            <w:r w:rsidRPr="00024B10">
              <w:rPr>
                <w:rFonts w:ascii="IBM Plex Sans Light" w:hAnsi="IBM Plex Sans Light"/>
                <w:color w:val="auto"/>
                <w:spacing w:val="-4"/>
                <w:sz w:val="18"/>
                <w:szCs w:val="18"/>
              </w:rPr>
              <w:t>26.0</w:t>
            </w:r>
          </w:p>
        </w:tc>
      </w:tr>
      <w:tr w:rsidR="00F61C44" w:rsidRPr="00895810" w14:paraId="61D2E737" w14:textId="77777777" w:rsidTr="00024B10">
        <w:tc>
          <w:tcPr>
            <w:tcW w:w="6379" w:type="dxa"/>
            <w:tcBorders>
              <w:top w:val="single" w:sz="2" w:space="0" w:color="3D7FE0" w:themeColor="accent1"/>
              <w:bottom w:val="single" w:sz="8" w:space="0" w:color="3D7FE0" w:themeColor="accent1"/>
            </w:tcBorders>
            <w:tcMar>
              <w:left w:w="0" w:type="dxa"/>
              <w:right w:w="0" w:type="dxa"/>
            </w:tcMar>
            <w:vAlign w:val="bottom"/>
          </w:tcPr>
          <w:p w14:paraId="2228A357" w14:textId="77777777" w:rsidR="00F61C44" w:rsidRPr="00895810" w:rsidRDefault="00F61C44" w:rsidP="00017BB3">
            <w:pPr>
              <w:spacing w:after="0" w:line="240" w:lineRule="auto"/>
              <w:rPr>
                <w:rFonts w:ascii="IBM Plex Sans Light" w:hAnsi="IBM Plex Sans Light"/>
                <w:szCs w:val="18"/>
              </w:rPr>
            </w:pPr>
          </w:p>
        </w:tc>
        <w:tc>
          <w:tcPr>
            <w:tcW w:w="851" w:type="dxa"/>
            <w:tcBorders>
              <w:top w:val="single" w:sz="2" w:space="0" w:color="3D7FE0" w:themeColor="accent1"/>
              <w:bottom w:val="single" w:sz="8" w:space="0" w:color="3D7FE0" w:themeColor="accent1"/>
            </w:tcBorders>
            <w:tcMar>
              <w:left w:w="0" w:type="dxa"/>
              <w:right w:w="0" w:type="dxa"/>
            </w:tcMar>
            <w:vAlign w:val="bottom"/>
          </w:tcPr>
          <w:p w14:paraId="0C0EF9B4" w14:textId="77777777" w:rsidR="00F61C44" w:rsidRPr="00895810" w:rsidRDefault="00F61C44" w:rsidP="00017BB3">
            <w:pPr>
              <w:pStyle w:val="TableFiguresBold"/>
              <w:jc w:val="center"/>
              <w:rPr>
                <w:rFonts w:ascii="IBM Plex Sans Light" w:hAnsi="IBM Plex Sans Light"/>
                <w:b w:val="0"/>
                <w:bCs w:val="0"/>
                <w:color w:val="auto"/>
                <w:spacing w:val="-4"/>
                <w:sz w:val="18"/>
                <w:szCs w:val="18"/>
              </w:rPr>
            </w:pPr>
          </w:p>
        </w:tc>
        <w:tc>
          <w:tcPr>
            <w:tcW w:w="1331" w:type="dxa"/>
            <w:tcBorders>
              <w:top w:val="single" w:sz="2" w:space="0" w:color="3D7FE0" w:themeColor="accent1"/>
              <w:bottom w:val="single" w:sz="8" w:space="0" w:color="3D7FE0" w:themeColor="accent1"/>
            </w:tcBorders>
            <w:tcMar>
              <w:left w:w="0" w:type="dxa"/>
              <w:right w:w="0" w:type="dxa"/>
            </w:tcMar>
          </w:tcPr>
          <w:p w14:paraId="358E319A" w14:textId="77777777" w:rsidR="00F61C44" w:rsidRPr="007C5135" w:rsidRDefault="00F61C44" w:rsidP="00017BB3">
            <w:pPr>
              <w:pStyle w:val="TableFiguresBrackets"/>
              <w:rPr>
                <w:rFonts w:ascii="IBM Plex Sans Medium" w:hAnsi="IBM Plex Sans Medium"/>
                <w:b/>
                <w:bCs/>
                <w:color w:val="3D7FE0" w:themeColor="accent1"/>
                <w:spacing w:val="-4"/>
                <w:sz w:val="18"/>
                <w:szCs w:val="18"/>
              </w:rPr>
            </w:pPr>
            <w:r w:rsidRPr="007C5135">
              <w:rPr>
                <w:rFonts w:ascii="IBM Plex Sans Medium" w:hAnsi="IBM Plex Sans Medium"/>
                <w:b/>
                <w:bCs/>
                <w:color w:val="3D7FE0" w:themeColor="accent1"/>
                <w:spacing w:val="-4"/>
                <w:sz w:val="18"/>
                <w:szCs w:val="18"/>
              </w:rPr>
              <w:t>(4.7)</w:t>
            </w:r>
          </w:p>
        </w:tc>
        <w:tc>
          <w:tcPr>
            <w:tcW w:w="1359" w:type="dxa"/>
            <w:tcBorders>
              <w:top w:val="single" w:sz="2" w:space="0" w:color="3D7FE0" w:themeColor="accent1"/>
              <w:bottom w:val="single" w:sz="8" w:space="0" w:color="3D7FE0" w:themeColor="accent1"/>
            </w:tcBorders>
            <w:vAlign w:val="center"/>
          </w:tcPr>
          <w:p w14:paraId="2B11B82A" w14:textId="03B0DBD0" w:rsidR="00F61C44" w:rsidRPr="007C5135" w:rsidRDefault="00F61C44" w:rsidP="00024B10">
            <w:pPr>
              <w:pStyle w:val="TableFigures"/>
              <w:rPr>
                <w:rFonts w:ascii="IBM Plex Sans Light" w:hAnsi="IBM Plex Sans Light"/>
                <w:color w:val="auto"/>
                <w:spacing w:val="-4"/>
                <w:sz w:val="18"/>
                <w:szCs w:val="18"/>
              </w:rPr>
            </w:pPr>
            <w:r w:rsidRPr="007C5135">
              <w:rPr>
                <w:rFonts w:ascii="IBM Plex Sans Light" w:hAnsi="IBM Plex Sans Light"/>
                <w:color w:val="auto"/>
                <w:spacing w:val="-4"/>
                <w:sz w:val="18"/>
                <w:szCs w:val="18"/>
              </w:rPr>
              <w:t>2.6</w:t>
            </w:r>
          </w:p>
        </w:tc>
      </w:tr>
    </w:tbl>
    <w:p w14:paraId="72FD1F84" w14:textId="77777777" w:rsidR="00F61C44" w:rsidRPr="00895810" w:rsidRDefault="00F61C44" w:rsidP="00F61C44">
      <w:pPr>
        <w:spacing w:after="0"/>
        <w:rPr>
          <w:rFonts w:ascii="IBM Plex Sans Light" w:hAnsi="IBM Plex Sans Light"/>
          <w:szCs w:val="18"/>
        </w:rPr>
      </w:pPr>
    </w:p>
    <w:tbl>
      <w:tblPr>
        <w:tblW w:w="9920" w:type="dxa"/>
        <w:tblLayout w:type="fixed"/>
        <w:tblLook w:val="01E0" w:firstRow="1" w:lastRow="1" w:firstColumn="1" w:lastColumn="1" w:noHBand="0" w:noVBand="0"/>
      </w:tblPr>
      <w:tblGrid>
        <w:gridCol w:w="6379"/>
        <w:gridCol w:w="851"/>
        <w:gridCol w:w="1331"/>
        <w:gridCol w:w="1359"/>
      </w:tblGrid>
      <w:tr w:rsidR="00F61C44" w:rsidRPr="00895810" w14:paraId="1EF69CAE" w14:textId="77777777" w:rsidTr="00024B10">
        <w:tc>
          <w:tcPr>
            <w:tcW w:w="6379" w:type="dxa"/>
            <w:tcMar>
              <w:left w:w="0" w:type="dxa"/>
              <w:right w:w="0" w:type="dxa"/>
            </w:tcMar>
            <w:vAlign w:val="bottom"/>
          </w:tcPr>
          <w:p w14:paraId="73AEF26D" w14:textId="77777777" w:rsidR="00F61C44" w:rsidRPr="00895810" w:rsidRDefault="00F61C44" w:rsidP="00017BB3">
            <w:pPr>
              <w:spacing w:after="0" w:line="240" w:lineRule="auto"/>
              <w:rPr>
                <w:rFonts w:ascii="IBM Plex Sans Light" w:hAnsi="IBM Plex Sans Light"/>
                <w:szCs w:val="18"/>
              </w:rPr>
            </w:pPr>
            <w:r w:rsidRPr="00895810">
              <w:rPr>
                <w:rFonts w:ascii="IBM Plex Sans Light" w:hAnsi="IBM Plex Sans Light"/>
                <w:b/>
                <w:bCs/>
                <w:szCs w:val="18"/>
              </w:rPr>
              <w:t>Non-cash items</w:t>
            </w:r>
          </w:p>
        </w:tc>
        <w:tc>
          <w:tcPr>
            <w:tcW w:w="851" w:type="dxa"/>
            <w:tcMar>
              <w:left w:w="0" w:type="dxa"/>
              <w:right w:w="0" w:type="dxa"/>
            </w:tcMar>
            <w:vAlign w:val="bottom"/>
          </w:tcPr>
          <w:p w14:paraId="199739F5" w14:textId="77777777" w:rsidR="00F61C44" w:rsidRPr="00895810" w:rsidRDefault="00F61C44" w:rsidP="00017BB3">
            <w:pPr>
              <w:pStyle w:val="TableFiguresBold"/>
              <w:jc w:val="center"/>
              <w:rPr>
                <w:rFonts w:ascii="IBM Plex Sans Light" w:hAnsi="IBM Plex Sans Light"/>
                <w:b w:val="0"/>
                <w:bCs w:val="0"/>
                <w:color w:val="auto"/>
                <w:spacing w:val="-4"/>
                <w:sz w:val="18"/>
                <w:szCs w:val="18"/>
              </w:rPr>
            </w:pPr>
          </w:p>
        </w:tc>
        <w:tc>
          <w:tcPr>
            <w:tcW w:w="1331" w:type="dxa"/>
            <w:tcMar>
              <w:left w:w="0" w:type="dxa"/>
              <w:right w:w="0" w:type="dxa"/>
            </w:tcMar>
            <w:vAlign w:val="bottom"/>
          </w:tcPr>
          <w:p w14:paraId="5997374E" w14:textId="77777777" w:rsidR="00F61C44" w:rsidRPr="00895810" w:rsidRDefault="00F61C44" w:rsidP="00017BB3">
            <w:pPr>
              <w:pStyle w:val="TableFiguresBracketsBold"/>
              <w:rPr>
                <w:rFonts w:ascii="IBM Plex Sans Light" w:hAnsi="IBM Plex Sans Light"/>
                <w:b w:val="0"/>
                <w:spacing w:val="-4"/>
                <w:sz w:val="18"/>
                <w:szCs w:val="18"/>
              </w:rPr>
            </w:pPr>
          </w:p>
        </w:tc>
        <w:tc>
          <w:tcPr>
            <w:tcW w:w="1359" w:type="dxa"/>
            <w:vAlign w:val="bottom"/>
          </w:tcPr>
          <w:p w14:paraId="19319A3C" w14:textId="77777777" w:rsidR="00F61C44" w:rsidRPr="00895810" w:rsidRDefault="00F61C44" w:rsidP="00017BB3">
            <w:pPr>
              <w:pStyle w:val="TableFiguresBracketsBold"/>
              <w:rPr>
                <w:rFonts w:ascii="IBM Plex Sans Light" w:hAnsi="IBM Plex Sans Light"/>
                <w:b w:val="0"/>
                <w:bCs w:val="0"/>
                <w:color w:val="auto"/>
                <w:spacing w:val="-4"/>
                <w:sz w:val="18"/>
                <w:szCs w:val="18"/>
              </w:rPr>
            </w:pPr>
          </w:p>
        </w:tc>
      </w:tr>
      <w:tr w:rsidR="00F61C44" w:rsidRPr="00895810" w14:paraId="724C05EF" w14:textId="77777777" w:rsidTr="00024B10">
        <w:tc>
          <w:tcPr>
            <w:tcW w:w="6379" w:type="dxa"/>
            <w:tcMar>
              <w:left w:w="0" w:type="dxa"/>
              <w:right w:w="0" w:type="dxa"/>
            </w:tcMar>
          </w:tcPr>
          <w:p w14:paraId="75E5917B" w14:textId="77777777" w:rsidR="00F61C44" w:rsidRPr="00895810" w:rsidRDefault="00F61C44" w:rsidP="00017BB3">
            <w:pPr>
              <w:spacing w:after="0" w:line="240" w:lineRule="auto"/>
              <w:rPr>
                <w:rFonts w:ascii="IBM Plex Sans Light" w:hAnsi="IBM Plex Sans Light"/>
                <w:szCs w:val="18"/>
              </w:rPr>
            </w:pPr>
            <w:r w:rsidRPr="007C5135">
              <w:rPr>
                <w:rFonts w:ascii="IBM Plex Sans Light" w:hAnsi="IBM Plex Sans Light"/>
                <w:szCs w:val="18"/>
              </w:rPr>
              <w:t>Increase in accrued rents receivable</w:t>
            </w:r>
          </w:p>
        </w:tc>
        <w:tc>
          <w:tcPr>
            <w:tcW w:w="851" w:type="dxa"/>
            <w:tcMar>
              <w:left w:w="0" w:type="dxa"/>
              <w:right w:w="0" w:type="dxa"/>
            </w:tcMar>
            <w:vAlign w:val="bottom"/>
          </w:tcPr>
          <w:p w14:paraId="030B0676" w14:textId="77777777" w:rsidR="00F61C44" w:rsidRPr="00895810" w:rsidRDefault="00F61C44" w:rsidP="00017BB3">
            <w:pPr>
              <w:pStyle w:val="TableFiguresBracketsBold"/>
              <w:jc w:val="center"/>
              <w:rPr>
                <w:rFonts w:ascii="IBM Plex Sans Light" w:hAnsi="IBM Plex Sans Light"/>
                <w:b w:val="0"/>
                <w:bCs w:val="0"/>
                <w:color w:val="auto"/>
                <w:spacing w:val="-4"/>
                <w:sz w:val="18"/>
                <w:szCs w:val="18"/>
              </w:rPr>
            </w:pPr>
          </w:p>
        </w:tc>
        <w:tc>
          <w:tcPr>
            <w:tcW w:w="1331" w:type="dxa"/>
            <w:tcMar>
              <w:left w:w="0" w:type="dxa"/>
              <w:right w:w="0" w:type="dxa"/>
            </w:tcMar>
          </w:tcPr>
          <w:p w14:paraId="59038A33" w14:textId="77777777" w:rsidR="00F61C44" w:rsidRPr="007C5135" w:rsidRDefault="00F61C44" w:rsidP="00017BB3">
            <w:pPr>
              <w:pStyle w:val="TableFiguresBrackets"/>
              <w:rPr>
                <w:rFonts w:ascii="IBM Plex Sans Medium" w:hAnsi="IBM Plex Sans Medium"/>
                <w:b/>
                <w:bCs/>
                <w:color w:val="3D7FE0" w:themeColor="accent1"/>
                <w:spacing w:val="-4"/>
                <w:sz w:val="18"/>
                <w:szCs w:val="18"/>
              </w:rPr>
            </w:pPr>
            <w:r w:rsidRPr="007C5135">
              <w:rPr>
                <w:rFonts w:ascii="IBM Plex Sans Medium" w:hAnsi="IBM Plex Sans Medium"/>
                <w:b/>
                <w:bCs/>
                <w:color w:val="3D7FE0" w:themeColor="accent1"/>
                <w:spacing w:val="-4"/>
                <w:sz w:val="18"/>
                <w:szCs w:val="18"/>
              </w:rPr>
              <w:t>(3.2)</w:t>
            </w:r>
          </w:p>
        </w:tc>
        <w:tc>
          <w:tcPr>
            <w:tcW w:w="1359" w:type="dxa"/>
            <w:shd w:val="clear" w:color="auto" w:fill="auto"/>
            <w:vAlign w:val="bottom"/>
          </w:tcPr>
          <w:p w14:paraId="77D99C3F" w14:textId="77777777" w:rsidR="00F61C44" w:rsidRPr="00895810" w:rsidRDefault="00F61C44" w:rsidP="00024B10">
            <w:pPr>
              <w:pStyle w:val="TableFiguresBrackets"/>
              <w:rPr>
                <w:rFonts w:ascii="IBM Plex Sans Light" w:hAnsi="IBM Plex Sans Light"/>
                <w:spacing w:val="-4"/>
                <w:sz w:val="18"/>
                <w:szCs w:val="18"/>
              </w:rPr>
            </w:pPr>
            <w:r w:rsidRPr="00895810">
              <w:rPr>
                <w:rFonts w:ascii="IBM Plex Sans Light" w:hAnsi="IBM Plex Sans Light"/>
                <w:spacing w:val="-4"/>
                <w:sz w:val="18"/>
                <w:szCs w:val="18"/>
              </w:rPr>
              <w:t>(</w:t>
            </w:r>
            <w:r>
              <w:rPr>
                <w:rFonts w:ascii="IBM Plex Sans Light" w:hAnsi="IBM Plex Sans Light"/>
                <w:spacing w:val="-4"/>
                <w:sz w:val="18"/>
                <w:szCs w:val="18"/>
              </w:rPr>
              <w:t>3.5</w:t>
            </w:r>
            <w:r w:rsidRPr="00895810">
              <w:rPr>
                <w:rFonts w:ascii="IBM Plex Sans Light" w:hAnsi="IBM Plex Sans Light"/>
                <w:spacing w:val="-4"/>
                <w:sz w:val="18"/>
                <w:szCs w:val="18"/>
              </w:rPr>
              <w:t>)</w:t>
            </w:r>
          </w:p>
        </w:tc>
      </w:tr>
      <w:tr w:rsidR="00F61C44" w:rsidRPr="00895810" w14:paraId="5CF10439" w14:textId="77777777" w:rsidTr="00024B10">
        <w:tc>
          <w:tcPr>
            <w:tcW w:w="6379" w:type="dxa"/>
            <w:tcMar>
              <w:left w:w="0" w:type="dxa"/>
              <w:right w:w="0" w:type="dxa"/>
            </w:tcMar>
          </w:tcPr>
          <w:p w14:paraId="698C9523" w14:textId="77777777" w:rsidR="00F61C44" w:rsidRPr="00895810" w:rsidRDefault="00F61C44" w:rsidP="00017BB3">
            <w:pPr>
              <w:spacing w:after="0" w:line="240" w:lineRule="auto"/>
              <w:rPr>
                <w:rFonts w:ascii="IBM Plex Sans Light" w:hAnsi="IBM Plex Sans Light"/>
                <w:szCs w:val="18"/>
              </w:rPr>
            </w:pPr>
            <w:r w:rsidRPr="007C5135">
              <w:rPr>
                <w:rFonts w:ascii="IBM Plex Sans Light" w:hAnsi="IBM Plex Sans Light"/>
                <w:szCs w:val="18"/>
              </w:rPr>
              <w:t>Increase/(decrease) in loss allowance provisions</w:t>
            </w:r>
          </w:p>
        </w:tc>
        <w:tc>
          <w:tcPr>
            <w:tcW w:w="851" w:type="dxa"/>
            <w:tcMar>
              <w:left w:w="0" w:type="dxa"/>
              <w:right w:w="0" w:type="dxa"/>
            </w:tcMar>
            <w:vAlign w:val="bottom"/>
          </w:tcPr>
          <w:p w14:paraId="51424E88" w14:textId="32ED7C20" w:rsidR="00F61C44" w:rsidRPr="00895810" w:rsidRDefault="006B6ABF" w:rsidP="00024B10">
            <w:pPr>
              <w:pStyle w:val="TableFiguresBracketsBold"/>
              <w:jc w:val="center"/>
              <w:rPr>
                <w:rFonts w:ascii="IBM Plex Sans Light" w:hAnsi="IBM Plex Sans Light"/>
                <w:b w:val="0"/>
                <w:bCs w:val="0"/>
                <w:color w:val="auto"/>
                <w:spacing w:val="-4"/>
                <w:sz w:val="18"/>
                <w:szCs w:val="18"/>
              </w:rPr>
            </w:pPr>
            <w:r>
              <w:rPr>
                <w:rFonts w:ascii="IBM Plex Sans Light" w:hAnsi="IBM Plex Sans Light"/>
                <w:b w:val="0"/>
                <w:bCs w:val="0"/>
                <w:color w:val="auto"/>
                <w:spacing w:val="-4"/>
                <w:sz w:val="18"/>
                <w:szCs w:val="18"/>
              </w:rPr>
              <w:t>a</w:t>
            </w:r>
          </w:p>
        </w:tc>
        <w:tc>
          <w:tcPr>
            <w:tcW w:w="1331" w:type="dxa"/>
            <w:tcMar>
              <w:left w:w="0" w:type="dxa"/>
              <w:right w:w="0" w:type="dxa"/>
            </w:tcMar>
          </w:tcPr>
          <w:p w14:paraId="77CBAA0B" w14:textId="77777777" w:rsidR="00F61C44" w:rsidRPr="00F77F93" w:rsidRDefault="00F61C44" w:rsidP="00017BB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1.0</w:t>
            </w:r>
          </w:p>
        </w:tc>
        <w:tc>
          <w:tcPr>
            <w:tcW w:w="1359" w:type="dxa"/>
            <w:shd w:val="clear" w:color="auto" w:fill="auto"/>
            <w:vAlign w:val="bottom"/>
          </w:tcPr>
          <w:p w14:paraId="5B4764C0" w14:textId="77777777" w:rsidR="00F61C44" w:rsidRPr="00024B10" w:rsidRDefault="00F61C44" w:rsidP="00024B10">
            <w:pPr>
              <w:pStyle w:val="TableFiguresBrackets"/>
              <w:rPr>
                <w:rFonts w:ascii="IBM Plex Sans Light" w:hAnsi="IBM Plex Sans Light"/>
                <w:spacing w:val="-4"/>
                <w:sz w:val="18"/>
                <w:szCs w:val="18"/>
              </w:rPr>
            </w:pPr>
            <w:r w:rsidRPr="00024B10">
              <w:rPr>
                <w:rFonts w:ascii="IBM Plex Sans Light" w:hAnsi="IBM Plex Sans Light"/>
                <w:spacing w:val="-4"/>
                <w:sz w:val="18"/>
                <w:szCs w:val="18"/>
              </w:rPr>
              <w:t>(2.6)</w:t>
            </w:r>
          </w:p>
        </w:tc>
      </w:tr>
      <w:tr w:rsidR="00F61C44" w:rsidRPr="00895810" w14:paraId="0BA06108" w14:textId="77777777" w:rsidTr="00024B10">
        <w:tc>
          <w:tcPr>
            <w:tcW w:w="6379" w:type="dxa"/>
            <w:tcMar>
              <w:left w:w="0" w:type="dxa"/>
              <w:right w:w="0" w:type="dxa"/>
            </w:tcMar>
            <w:vAlign w:val="center"/>
          </w:tcPr>
          <w:p w14:paraId="253BDCD2" w14:textId="77777777" w:rsidR="00F61C44" w:rsidRPr="00895810" w:rsidRDefault="00F61C44" w:rsidP="00017BB3">
            <w:pPr>
              <w:spacing w:after="0" w:line="240" w:lineRule="auto"/>
              <w:rPr>
                <w:rFonts w:ascii="IBM Plex Sans Light" w:hAnsi="IBM Plex Sans Light"/>
                <w:szCs w:val="18"/>
              </w:rPr>
            </w:pPr>
            <w:r w:rsidRPr="00895810">
              <w:rPr>
                <w:rFonts w:ascii="IBM Plex Sans Light" w:hAnsi="IBM Plex Sans Light"/>
                <w:szCs w:val="18"/>
              </w:rPr>
              <w:t>Amortisation of lease incentives and other costs</w:t>
            </w:r>
          </w:p>
        </w:tc>
        <w:tc>
          <w:tcPr>
            <w:tcW w:w="851" w:type="dxa"/>
            <w:tcMar>
              <w:left w:w="0" w:type="dxa"/>
              <w:right w:w="0" w:type="dxa"/>
            </w:tcMar>
            <w:vAlign w:val="bottom"/>
          </w:tcPr>
          <w:p w14:paraId="04931D2A" w14:textId="77777777" w:rsidR="00F61C44" w:rsidRPr="00895810" w:rsidRDefault="00F61C44" w:rsidP="00017BB3">
            <w:pPr>
              <w:pStyle w:val="TableFiguresBracketsBold"/>
              <w:jc w:val="center"/>
              <w:rPr>
                <w:rFonts w:ascii="IBM Plex Sans Light" w:hAnsi="IBM Plex Sans Light"/>
                <w:b w:val="0"/>
                <w:bCs w:val="0"/>
                <w:color w:val="auto"/>
                <w:spacing w:val="-4"/>
                <w:sz w:val="18"/>
                <w:szCs w:val="18"/>
              </w:rPr>
            </w:pPr>
          </w:p>
        </w:tc>
        <w:tc>
          <w:tcPr>
            <w:tcW w:w="1331" w:type="dxa"/>
            <w:tcMar>
              <w:left w:w="0" w:type="dxa"/>
              <w:right w:w="0" w:type="dxa"/>
            </w:tcMar>
          </w:tcPr>
          <w:p w14:paraId="1AD28291" w14:textId="77777777" w:rsidR="00F61C44" w:rsidRPr="00F77F93" w:rsidRDefault="00F61C44" w:rsidP="00017BB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0.6</w:t>
            </w:r>
          </w:p>
        </w:tc>
        <w:tc>
          <w:tcPr>
            <w:tcW w:w="1359" w:type="dxa"/>
            <w:shd w:val="clear" w:color="auto" w:fill="auto"/>
            <w:vAlign w:val="bottom"/>
          </w:tcPr>
          <w:p w14:paraId="18E7B1E5" w14:textId="77777777" w:rsidR="00F61C44" w:rsidRPr="00C62996" w:rsidRDefault="00F61C44" w:rsidP="00024B10">
            <w:pPr>
              <w:pStyle w:val="TableFigures"/>
              <w:rPr>
                <w:rFonts w:ascii="IBM Plex Sans Light" w:hAnsi="IBM Plex Sans Light"/>
                <w:color w:val="auto"/>
                <w:spacing w:val="-4"/>
                <w:sz w:val="18"/>
                <w:szCs w:val="18"/>
              </w:rPr>
            </w:pPr>
            <w:r>
              <w:rPr>
                <w:rFonts w:ascii="IBM Plex Sans Light" w:hAnsi="IBM Plex Sans Light"/>
                <w:color w:val="auto"/>
                <w:spacing w:val="-4"/>
                <w:sz w:val="18"/>
                <w:szCs w:val="18"/>
              </w:rPr>
              <w:t>1.2</w:t>
            </w:r>
          </w:p>
        </w:tc>
      </w:tr>
      <w:tr w:rsidR="00F61C44" w:rsidRPr="00895810" w14:paraId="43DEB822" w14:textId="77777777" w:rsidTr="00024B10">
        <w:tc>
          <w:tcPr>
            <w:tcW w:w="6379" w:type="dxa"/>
            <w:tcMar>
              <w:left w:w="0" w:type="dxa"/>
              <w:right w:w="0" w:type="dxa"/>
            </w:tcMar>
            <w:vAlign w:val="center"/>
          </w:tcPr>
          <w:p w14:paraId="22B72449" w14:textId="6965FA70" w:rsidR="00F61C44" w:rsidRPr="00895810" w:rsidRDefault="00F61C44" w:rsidP="00017BB3">
            <w:pPr>
              <w:spacing w:after="0" w:line="240" w:lineRule="auto"/>
              <w:rPr>
                <w:rFonts w:ascii="IBM Plex Sans Light" w:hAnsi="IBM Plex Sans Light"/>
                <w:szCs w:val="18"/>
              </w:rPr>
            </w:pPr>
            <w:r w:rsidRPr="00895810">
              <w:rPr>
                <w:rFonts w:ascii="IBM Plex Sans Light" w:hAnsi="IBM Plex Sans Light"/>
                <w:szCs w:val="18"/>
              </w:rPr>
              <w:t>Depreciation</w:t>
            </w:r>
            <w:r w:rsidR="00452848">
              <w:rPr>
                <w:rFonts w:ascii="IBM Plex Sans Light" w:hAnsi="IBM Plex Sans Light"/>
                <w:szCs w:val="18"/>
              </w:rPr>
              <w:t xml:space="preserve"> (note 5)</w:t>
            </w:r>
          </w:p>
        </w:tc>
        <w:tc>
          <w:tcPr>
            <w:tcW w:w="851" w:type="dxa"/>
            <w:tcMar>
              <w:left w:w="0" w:type="dxa"/>
              <w:right w:w="0" w:type="dxa"/>
            </w:tcMar>
            <w:vAlign w:val="bottom"/>
          </w:tcPr>
          <w:p w14:paraId="66F7B6B8" w14:textId="77777777" w:rsidR="00F61C44" w:rsidRPr="00895810" w:rsidRDefault="00F61C44" w:rsidP="00017BB3">
            <w:pPr>
              <w:pStyle w:val="TableFiguresBracketsBold"/>
              <w:jc w:val="center"/>
              <w:rPr>
                <w:rFonts w:ascii="IBM Plex Sans Light" w:hAnsi="IBM Plex Sans Light"/>
                <w:b w:val="0"/>
                <w:bCs w:val="0"/>
                <w:color w:val="auto"/>
                <w:spacing w:val="-4"/>
                <w:sz w:val="18"/>
                <w:szCs w:val="18"/>
              </w:rPr>
            </w:pPr>
          </w:p>
        </w:tc>
        <w:tc>
          <w:tcPr>
            <w:tcW w:w="1331" w:type="dxa"/>
            <w:tcMar>
              <w:left w:w="0" w:type="dxa"/>
              <w:right w:w="0" w:type="dxa"/>
            </w:tcMar>
          </w:tcPr>
          <w:p w14:paraId="4829A582" w14:textId="77777777" w:rsidR="00F61C44" w:rsidRPr="00F77F93" w:rsidRDefault="00F61C44" w:rsidP="00017BB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3.0</w:t>
            </w:r>
          </w:p>
        </w:tc>
        <w:tc>
          <w:tcPr>
            <w:tcW w:w="1359" w:type="dxa"/>
            <w:shd w:val="clear" w:color="auto" w:fill="auto"/>
            <w:vAlign w:val="bottom"/>
          </w:tcPr>
          <w:p w14:paraId="00BF3EF4" w14:textId="77777777" w:rsidR="00F61C44" w:rsidRPr="00C62996" w:rsidRDefault="00F61C44" w:rsidP="00024B10">
            <w:pPr>
              <w:pStyle w:val="TableFigures"/>
              <w:rPr>
                <w:rFonts w:ascii="IBM Plex Sans Light" w:hAnsi="IBM Plex Sans Light"/>
                <w:color w:val="auto"/>
                <w:spacing w:val="-4"/>
                <w:sz w:val="18"/>
                <w:szCs w:val="18"/>
              </w:rPr>
            </w:pPr>
            <w:r w:rsidRPr="00895810">
              <w:rPr>
                <w:rFonts w:ascii="IBM Plex Sans Light" w:hAnsi="IBM Plex Sans Light"/>
                <w:color w:val="auto"/>
                <w:spacing w:val="-4"/>
                <w:sz w:val="18"/>
                <w:szCs w:val="18"/>
              </w:rPr>
              <w:t>4.</w:t>
            </w:r>
            <w:r>
              <w:rPr>
                <w:rFonts w:ascii="IBM Plex Sans Light" w:hAnsi="IBM Plex Sans Light"/>
                <w:color w:val="auto"/>
                <w:spacing w:val="-4"/>
                <w:sz w:val="18"/>
                <w:szCs w:val="18"/>
              </w:rPr>
              <w:t>1</w:t>
            </w:r>
          </w:p>
        </w:tc>
      </w:tr>
      <w:tr w:rsidR="00F61C44" w:rsidRPr="00895810" w14:paraId="662C5041" w14:textId="77777777" w:rsidTr="00024B10">
        <w:tc>
          <w:tcPr>
            <w:tcW w:w="6379" w:type="dxa"/>
            <w:tcBorders>
              <w:bottom w:val="single" w:sz="2" w:space="0" w:color="3D7FE0" w:themeColor="accent1"/>
            </w:tcBorders>
            <w:tcMar>
              <w:left w:w="0" w:type="dxa"/>
              <w:right w:w="0" w:type="dxa"/>
            </w:tcMar>
            <w:vAlign w:val="center"/>
          </w:tcPr>
          <w:p w14:paraId="524AD19C" w14:textId="77777777" w:rsidR="00F61C44" w:rsidRPr="00895810" w:rsidRDefault="00F61C44" w:rsidP="00017BB3">
            <w:pPr>
              <w:spacing w:after="0" w:line="240" w:lineRule="auto"/>
              <w:rPr>
                <w:rFonts w:ascii="IBM Plex Sans Light" w:hAnsi="IBM Plex Sans Light"/>
                <w:szCs w:val="18"/>
              </w:rPr>
            </w:pPr>
            <w:r w:rsidRPr="00895810">
              <w:rPr>
                <w:rFonts w:ascii="IBM Plex Sans Light" w:hAnsi="IBM Plex Sans Light"/>
                <w:szCs w:val="18"/>
              </w:rPr>
              <w:t>Other non-cash items including share-based payment charge</w:t>
            </w:r>
          </w:p>
        </w:tc>
        <w:tc>
          <w:tcPr>
            <w:tcW w:w="851" w:type="dxa"/>
            <w:tcBorders>
              <w:bottom w:val="single" w:sz="2" w:space="0" w:color="3D7FE0" w:themeColor="accent1"/>
            </w:tcBorders>
            <w:tcMar>
              <w:left w:w="0" w:type="dxa"/>
              <w:right w:w="0" w:type="dxa"/>
            </w:tcMar>
            <w:vAlign w:val="bottom"/>
          </w:tcPr>
          <w:p w14:paraId="1B582A23" w14:textId="77777777" w:rsidR="00F61C44" w:rsidRPr="00895810" w:rsidRDefault="00F61C44" w:rsidP="00017BB3">
            <w:pPr>
              <w:pStyle w:val="TableFiguresBracketsBold"/>
              <w:jc w:val="center"/>
              <w:rPr>
                <w:rFonts w:ascii="IBM Plex Sans Light" w:hAnsi="IBM Plex Sans Light"/>
                <w:b w:val="0"/>
                <w:bCs w:val="0"/>
                <w:color w:val="auto"/>
                <w:spacing w:val="-4"/>
                <w:sz w:val="18"/>
                <w:szCs w:val="18"/>
              </w:rPr>
            </w:pPr>
          </w:p>
        </w:tc>
        <w:tc>
          <w:tcPr>
            <w:tcW w:w="1331" w:type="dxa"/>
            <w:tcBorders>
              <w:bottom w:val="single" w:sz="2" w:space="0" w:color="3D7FE0" w:themeColor="accent1"/>
            </w:tcBorders>
            <w:tcMar>
              <w:left w:w="0" w:type="dxa"/>
              <w:right w:w="0" w:type="dxa"/>
            </w:tcMar>
          </w:tcPr>
          <w:p w14:paraId="205539BD" w14:textId="77777777" w:rsidR="00F61C44" w:rsidRPr="00F77F93" w:rsidRDefault="00F61C44" w:rsidP="00017BB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1.4</w:t>
            </w:r>
          </w:p>
        </w:tc>
        <w:tc>
          <w:tcPr>
            <w:tcW w:w="1359" w:type="dxa"/>
            <w:tcBorders>
              <w:bottom w:val="single" w:sz="2" w:space="0" w:color="3D7FE0" w:themeColor="accent1"/>
            </w:tcBorders>
            <w:shd w:val="clear" w:color="auto" w:fill="auto"/>
            <w:vAlign w:val="bottom"/>
          </w:tcPr>
          <w:p w14:paraId="0094C3E8" w14:textId="77777777" w:rsidR="00F61C44" w:rsidRPr="00024B10" w:rsidRDefault="00F61C44" w:rsidP="00024B10">
            <w:pPr>
              <w:pStyle w:val="TableFigures"/>
              <w:rPr>
                <w:rFonts w:ascii="IBM Plex Sans Light" w:hAnsi="IBM Plex Sans Light"/>
                <w:color w:val="auto"/>
                <w:spacing w:val="-4"/>
                <w:sz w:val="18"/>
                <w:szCs w:val="18"/>
              </w:rPr>
            </w:pPr>
            <w:r w:rsidRPr="00C62996">
              <w:rPr>
                <w:rFonts w:ascii="IBM Plex Sans Light" w:hAnsi="IBM Plex Sans Light"/>
                <w:color w:val="auto"/>
                <w:spacing w:val="-4"/>
                <w:sz w:val="18"/>
                <w:szCs w:val="18"/>
              </w:rPr>
              <w:t>–</w:t>
            </w:r>
          </w:p>
        </w:tc>
      </w:tr>
      <w:tr w:rsidR="00F61C44" w:rsidRPr="00895810" w14:paraId="68AF5FA0" w14:textId="77777777" w:rsidTr="00024B10">
        <w:tc>
          <w:tcPr>
            <w:tcW w:w="6379" w:type="dxa"/>
            <w:tcBorders>
              <w:top w:val="single" w:sz="2" w:space="0" w:color="3D7FE0" w:themeColor="accent1"/>
              <w:bottom w:val="single" w:sz="8" w:space="0" w:color="3D7FE0" w:themeColor="accent1"/>
            </w:tcBorders>
            <w:tcMar>
              <w:left w:w="0" w:type="dxa"/>
              <w:right w:w="0" w:type="dxa"/>
            </w:tcMar>
            <w:vAlign w:val="bottom"/>
          </w:tcPr>
          <w:p w14:paraId="4D0FB790" w14:textId="77777777" w:rsidR="00F61C44" w:rsidRPr="00895810" w:rsidRDefault="00F61C44" w:rsidP="00017BB3">
            <w:pPr>
              <w:spacing w:after="0" w:line="240" w:lineRule="auto"/>
              <w:rPr>
                <w:rFonts w:ascii="IBM Plex Sans Light" w:hAnsi="IBM Plex Sans Light" w:cs="Arial"/>
                <w:b/>
                <w:bCs/>
                <w:szCs w:val="18"/>
              </w:rPr>
            </w:pPr>
          </w:p>
        </w:tc>
        <w:tc>
          <w:tcPr>
            <w:tcW w:w="851" w:type="dxa"/>
            <w:tcBorders>
              <w:top w:val="single" w:sz="2" w:space="0" w:color="3D7FE0" w:themeColor="accent1"/>
              <w:bottom w:val="single" w:sz="8" w:space="0" w:color="3D7FE0" w:themeColor="accent1"/>
            </w:tcBorders>
            <w:tcMar>
              <w:left w:w="0" w:type="dxa"/>
              <w:right w:w="0" w:type="dxa"/>
            </w:tcMar>
            <w:vAlign w:val="bottom"/>
          </w:tcPr>
          <w:p w14:paraId="6F01EE78" w14:textId="77777777" w:rsidR="00F61C44" w:rsidRPr="00895810" w:rsidRDefault="00F61C44" w:rsidP="00017BB3">
            <w:pPr>
              <w:pStyle w:val="TableFiguresBold"/>
              <w:jc w:val="center"/>
              <w:rPr>
                <w:rFonts w:ascii="IBM Plex Sans Light" w:hAnsi="IBM Plex Sans Light"/>
                <w:b w:val="0"/>
                <w:bCs w:val="0"/>
                <w:color w:val="3D7FE0" w:themeColor="accent1"/>
                <w:spacing w:val="-4"/>
                <w:sz w:val="18"/>
                <w:szCs w:val="18"/>
              </w:rPr>
            </w:pPr>
          </w:p>
        </w:tc>
        <w:tc>
          <w:tcPr>
            <w:tcW w:w="1331" w:type="dxa"/>
            <w:tcBorders>
              <w:top w:val="single" w:sz="2" w:space="0" w:color="3D7FE0" w:themeColor="accent1"/>
              <w:bottom w:val="single" w:sz="8" w:space="0" w:color="3D7FE0" w:themeColor="accent1"/>
            </w:tcBorders>
            <w:tcMar>
              <w:left w:w="0" w:type="dxa"/>
              <w:right w:w="0" w:type="dxa"/>
            </w:tcMar>
          </w:tcPr>
          <w:p w14:paraId="382665A9" w14:textId="77777777" w:rsidR="00F61C44" w:rsidRPr="00F77F93" w:rsidRDefault="00F61C44" w:rsidP="00017BB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2.8</w:t>
            </w:r>
          </w:p>
        </w:tc>
        <w:tc>
          <w:tcPr>
            <w:tcW w:w="1359" w:type="dxa"/>
            <w:tcBorders>
              <w:top w:val="single" w:sz="2" w:space="0" w:color="3D7FE0" w:themeColor="accent1"/>
              <w:bottom w:val="single" w:sz="8" w:space="0" w:color="3D7FE0" w:themeColor="accent1"/>
            </w:tcBorders>
            <w:vAlign w:val="bottom"/>
          </w:tcPr>
          <w:p w14:paraId="3416C5CF" w14:textId="77777777" w:rsidR="00F61C44" w:rsidRPr="00895810" w:rsidRDefault="00F61C44" w:rsidP="00024B10">
            <w:pPr>
              <w:pStyle w:val="TableFiguresBrackets"/>
              <w:rPr>
                <w:rFonts w:ascii="IBM Plex Sans Light" w:hAnsi="IBM Plex Sans Light"/>
                <w:spacing w:val="-4"/>
                <w:sz w:val="18"/>
                <w:szCs w:val="18"/>
              </w:rPr>
            </w:pPr>
            <w:r w:rsidRPr="00895810">
              <w:rPr>
                <w:rFonts w:ascii="IBM Plex Sans Light" w:hAnsi="IBM Plex Sans Light"/>
                <w:spacing w:val="-4"/>
                <w:sz w:val="18"/>
                <w:szCs w:val="18"/>
              </w:rPr>
              <w:t>(</w:t>
            </w:r>
            <w:r>
              <w:rPr>
                <w:rFonts w:ascii="IBM Plex Sans Light" w:hAnsi="IBM Plex Sans Light"/>
                <w:spacing w:val="-4"/>
                <w:sz w:val="18"/>
                <w:szCs w:val="18"/>
              </w:rPr>
              <w:t>0.8</w:t>
            </w:r>
            <w:r w:rsidRPr="00895810">
              <w:rPr>
                <w:rFonts w:ascii="IBM Plex Sans Light" w:hAnsi="IBM Plex Sans Light"/>
                <w:spacing w:val="-4"/>
                <w:sz w:val="18"/>
                <w:szCs w:val="18"/>
              </w:rPr>
              <w:t>)</w:t>
            </w:r>
          </w:p>
        </w:tc>
      </w:tr>
    </w:tbl>
    <w:p w14:paraId="2AF47DA1" w14:textId="5BBFAEFD" w:rsidR="00F61C44" w:rsidRPr="007C5135" w:rsidRDefault="006B6ABF" w:rsidP="00F61C44">
      <w:pPr>
        <w:pStyle w:val="Footnotes"/>
        <w:spacing w:before="100" w:after="120" w:line="240" w:lineRule="auto"/>
        <w:ind w:left="284" w:hanging="284"/>
        <w:rPr>
          <w:rFonts w:ascii="IBM Plex Sans Light" w:hAnsi="IBM Plex Sans Light"/>
          <w:sz w:val="16"/>
          <w:szCs w:val="16"/>
        </w:rPr>
      </w:pPr>
      <w:r>
        <w:rPr>
          <w:rFonts w:ascii="IBM Plex Sans Light" w:hAnsi="IBM Plex Sans Light"/>
          <w:sz w:val="16"/>
          <w:szCs w:val="16"/>
        </w:rPr>
        <w:lastRenderedPageBreak/>
        <w:t>a</w:t>
      </w:r>
      <w:r w:rsidR="00F61C44" w:rsidRPr="007C5135">
        <w:rPr>
          <w:rFonts w:ascii="IBM Plex Sans Light" w:hAnsi="IBM Plex Sans Light"/>
          <w:sz w:val="16"/>
          <w:szCs w:val="16"/>
        </w:rPr>
        <w:t xml:space="preserve">  </w:t>
      </w:r>
      <w:r w:rsidR="00F61C44" w:rsidRPr="007C5135">
        <w:rPr>
          <w:rFonts w:ascii="IBM Plex Sans Light" w:hAnsi="IBM Plex Sans Light"/>
          <w:sz w:val="16"/>
          <w:szCs w:val="16"/>
        </w:rPr>
        <w:tab/>
        <w:t>Comprises movement in provisions against trade (tenant) receivables and unamortised tenant incentives.</w:t>
      </w:r>
    </w:p>
    <w:p w14:paraId="174B1AF3" w14:textId="36D441B2" w:rsidR="00ED3ECC" w:rsidRPr="00895810" w:rsidRDefault="00ED3ECC" w:rsidP="00F77F93">
      <w:pPr>
        <w:spacing w:after="0" w:line="240" w:lineRule="auto"/>
        <w:rPr>
          <w:rFonts w:ascii="IBM Plex Sans Light" w:hAnsi="IBM Plex Sans Light" w:cs="Arial"/>
          <w:b/>
          <w:color w:val="3D7FE0" w:themeColor="accent1"/>
          <w:szCs w:val="18"/>
        </w:rPr>
      </w:pPr>
    </w:p>
    <w:p w14:paraId="7F4EC690" w14:textId="0EB46F95" w:rsidR="0013296F" w:rsidRPr="00895810" w:rsidRDefault="0013296F" w:rsidP="00FF6AC0">
      <w:pPr>
        <w:pStyle w:val="Heading2SpaceBefore"/>
        <w:spacing w:before="0"/>
        <w:rPr>
          <w:rFonts w:ascii="IBM Plex Sans Light" w:hAnsi="IBM Plex Sans Light" w:cs="Arial"/>
          <w:color w:val="3D7FE0" w:themeColor="accent1"/>
          <w:szCs w:val="18"/>
        </w:rPr>
      </w:pPr>
      <w:r w:rsidRPr="00895810">
        <w:rPr>
          <w:rFonts w:ascii="IBM Plex Sans Light" w:hAnsi="IBM Plex Sans Light"/>
          <w:color w:val="3D7FE0" w:themeColor="accent1"/>
        </w:rPr>
        <w:t xml:space="preserve">B. </w:t>
      </w:r>
      <w:r w:rsidR="00C62996" w:rsidRPr="00895810">
        <w:rPr>
          <w:rFonts w:ascii="IBM Plex Sans Light" w:hAnsi="IBM Plex Sans Light"/>
          <w:color w:val="3D7FE0" w:themeColor="accent1"/>
        </w:rPr>
        <w:t>ANALYSIS OF MOVEMENTS IN NET DEBT</w:t>
      </w:r>
    </w:p>
    <w:tbl>
      <w:tblPr>
        <w:tblW w:w="9922" w:type="dxa"/>
        <w:tblLayout w:type="fixed"/>
        <w:tblLook w:val="01E0" w:firstRow="1" w:lastRow="1" w:firstColumn="1" w:lastColumn="1" w:noHBand="0" w:noVBand="0"/>
      </w:tblPr>
      <w:tblGrid>
        <w:gridCol w:w="4111"/>
        <w:gridCol w:w="284"/>
        <w:gridCol w:w="850"/>
        <w:gridCol w:w="992"/>
        <w:gridCol w:w="851"/>
        <w:gridCol w:w="850"/>
        <w:gridCol w:w="993"/>
        <w:gridCol w:w="991"/>
      </w:tblGrid>
      <w:tr w:rsidR="00112921" w:rsidRPr="00895810" w14:paraId="5BBD8EA7" w14:textId="77777777" w:rsidTr="00EF2EF7">
        <w:trPr>
          <w:trHeight w:val="244"/>
        </w:trPr>
        <w:tc>
          <w:tcPr>
            <w:tcW w:w="4111" w:type="dxa"/>
            <w:tcBorders>
              <w:bottom w:val="single" w:sz="2" w:space="0" w:color="3D7FE0" w:themeColor="accent1"/>
            </w:tcBorders>
            <w:tcMar>
              <w:left w:w="0" w:type="dxa"/>
              <w:bottom w:w="57" w:type="dxa"/>
              <w:right w:w="0" w:type="dxa"/>
            </w:tcMar>
            <w:vAlign w:val="bottom"/>
          </w:tcPr>
          <w:p w14:paraId="2AE6BF4A" w14:textId="77777777" w:rsidR="00112921" w:rsidRPr="00895810" w:rsidRDefault="00112921" w:rsidP="0063218B">
            <w:pPr>
              <w:pStyle w:val="TableColHeadsBold"/>
              <w:rPr>
                <w:rFonts w:ascii="IBM Plex Sans Light" w:hAnsi="IBM Plex Sans Light"/>
              </w:rPr>
            </w:pPr>
          </w:p>
        </w:tc>
        <w:tc>
          <w:tcPr>
            <w:tcW w:w="284" w:type="dxa"/>
            <w:tcBorders>
              <w:bottom w:val="single" w:sz="2" w:space="0" w:color="3D7FE0" w:themeColor="accent1"/>
            </w:tcBorders>
          </w:tcPr>
          <w:p w14:paraId="71453F30" w14:textId="77777777" w:rsidR="00112921" w:rsidRPr="00895810" w:rsidRDefault="00112921" w:rsidP="0063218B">
            <w:pPr>
              <w:pStyle w:val="TableColHeadsBold"/>
              <w:rPr>
                <w:rFonts w:ascii="IBM Plex Sans Light" w:hAnsi="IBM Plex Sans Light"/>
                <w:color w:val="3D7FE0" w:themeColor="accent1"/>
              </w:rPr>
            </w:pPr>
          </w:p>
        </w:tc>
        <w:tc>
          <w:tcPr>
            <w:tcW w:w="2693" w:type="dxa"/>
            <w:gridSpan w:val="3"/>
            <w:tcBorders>
              <w:bottom w:val="single" w:sz="2" w:space="0" w:color="3D7FE0" w:themeColor="accent1"/>
            </w:tcBorders>
            <w:tcMar>
              <w:left w:w="0" w:type="dxa"/>
              <w:bottom w:w="57" w:type="dxa"/>
              <w:right w:w="0" w:type="dxa"/>
            </w:tcMar>
            <w:vAlign w:val="bottom"/>
          </w:tcPr>
          <w:p w14:paraId="08961551" w14:textId="1568EC48" w:rsidR="00112921" w:rsidRPr="00895810" w:rsidRDefault="00785AC2" w:rsidP="0063218B">
            <w:pPr>
              <w:pStyle w:val="TableColHeadsBold"/>
              <w:rPr>
                <w:rFonts w:ascii="IBM Plex Sans Light" w:hAnsi="IBM Plex Sans Light"/>
                <w:color w:val="3D7FE0" w:themeColor="accent1"/>
              </w:rPr>
            </w:pPr>
            <w:r>
              <w:rPr>
                <w:rFonts w:ascii="IBM Plex Sans Light" w:hAnsi="IBM Plex Sans Light"/>
                <w:color w:val="3D7FE0" w:themeColor="accent1"/>
              </w:rPr>
              <w:t>2023</w:t>
            </w:r>
          </w:p>
        </w:tc>
        <w:tc>
          <w:tcPr>
            <w:tcW w:w="2834" w:type="dxa"/>
            <w:gridSpan w:val="3"/>
            <w:tcBorders>
              <w:bottom w:val="single" w:sz="2" w:space="0" w:color="3D7FE0" w:themeColor="accent1"/>
            </w:tcBorders>
            <w:tcMar>
              <w:left w:w="0" w:type="dxa"/>
              <w:bottom w:w="57" w:type="dxa"/>
              <w:right w:w="0" w:type="dxa"/>
            </w:tcMar>
            <w:vAlign w:val="bottom"/>
          </w:tcPr>
          <w:p w14:paraId="00BC8817" w14:textId="48BDB0D7" w:rsidR="00112921" w:rsidRPr="00895810" w:rsidRDefault="006E7EB0" w:rsidP="0063218B">
            <w:pPr>
              <w:pStyle w:val="TableColHeadsBold"/>
              <w:rPr>
                <w:rFonts w:ascii="IBM Plex Sans Light" w:hAnsi="IBM Plex Sans Light"/>
                <w:b w:val="0"/>
              </w:rPr>
            </w:pPr>
            <w:r>
              <w:rPr>
                <w:rFonts w:ascii="IBM Plex Sans Light" w:hAnsi="IBM Plex Sans Light"/>
                <w:b w:val="0"/>
              </w:rPr>
              <w:t>2022</w:t>
            </w:r>
          </w:p>
        </w:tc>
      </w:tr>
      <w:tr w:rsidR="00112921" w:rsidRPr="00895810" w14:paraId="519A3025" w14:textId="77777777" w:rsidTr="00B13AD8">
        <w:trPr>
          <w:trHeight w:hRule="exact" w:val="521"/>
        </w:trPr>
        <w:tc>
          <w:tcPr>
            <w:tcW w:w="4111" w:type="dxa"/>
            <w:tcBorders>
              <w:top w:val="single" w:sz="2" w:space="0" w:color="3D7FE0" w:themeColor="accent1"/>
            </w:tcBorders>
            <w:tcMar>
              <w:left w:w="0" w:type="dxa"/>
              <w:right w:w="0" w:type="dxa"/>
            </w:tcMar>
            <w:vAlign w:val="bottom"/>
          </w:tcPr>
          <w:p w14:paraId="121694A2" w14:textId="77777777" w:rsidR="00112921" w:rsidRPr="00895810" w:rsidRDefault="00112921" w:rsidP="00112921">
            <w:pPr>
              <w:pStyle w:val="TableColHeadsBold"/>
              <w:rPr>
                <w:rFonts w:ascii="IBM Plex Sans Light" w:hAnsi="IBM Plex Sans Light"/>
              </w:rPr>
            </w:pPr>
          </w:p>
        </w:tc>
        <w:tc>
          <w:tcPr>
            <w:tcW w:w="284" w:type="dxa"/>
            <w:tcBorders>
              <w:top w:val="single" w:sz="2" w:space="0" w:color="3D7FE0" w:themeColor="accent1"/>
            </w:tcBorders>
            <w:vAlign w:val="bottom"/>
          </w:tcPr>
          <w:p w14:paraId="0750C261" w14:textId="77777777" w:rsidR="00112921" w:rsidRPr="00895810" w:rsidRDefault="00112921" w:rsidP="00112921">
            <w:pPr>
              <w:pStyle w:val="TableColHeadsBold"/>
              <w:rPr>
                <w:rFonts w:ascii="IBM Plex Sans Light" w:hAnsi="IBM Plex Sans Light"/>
                <w:b w:val="0"/>
              </w:rPr>
            </w:pPr>
          </w:p>
        </w:tc>
        <w:tc>
          <w:tcPr>
            <w:tcW w:w="850" w:type="dxa"/>
            <w:tcBorders>
              <w:top w:val="single" w:sz="2" w:space="0" w:color="3D7FE0" w:themeColor="accent1"/>
            </w:tcBorders>
            <w:tcMar>
              <w:left w:w="0" w:type="dxa"/>
              <w:right w:w="0" w:type="dxa"/>
            </w:tcMar>
            <w:vAlign w:val="bottom"/>
          </w:tcPr>
          <w:p w14:paraId="403DA734" w14:textId="6EADB862" w:rsidR="00112921" w:rsidRPr="00895810" w:rsidRDefault="00112921" w:rsidP="00112921">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Cash and </w:t>
            </w:r>
            <w:r w:rsidR="00897933" w:rsidRPr="00895810">
              <w:rPr>
                <w:rFonts w:ascii="IBM Plex Sans Light" w:hAnsi="IBM Plex Sans Light"/>
                <w:color w:val="3D7FE0" w:themeColor="accent1"/>
              </w:rPr>
              <w:t xml:space="preserve">cash equivalents </w:t>
            </w:r>
          </w:p>
        </w:tc>
        <w:tc>
          <w:tcPr>
            <w:tcW w:w="992" w:type="dxa"/>
            <w:tcBorders>
              <w:top w:val="single" w:sz="2" w:space="0" w:color="3D7FE0" w:themeColor="accent1"/>
            </w:tcBorders>
            <w:tcMar>
              <w:left w:w="0" w:type="dxa"/>
              <w:right w:w="0" w:type="dxa"/>
            </w:tcMar>
            <w:vAlign w:val="bottom"/>
          </w:tcPr>
          <w:p w14:paraId="184456ED" w14:textId="56BDA20F" w:rsidR="00112921" w:rsidRPr="00895810" w:rsidRDefault="00112921" w:rsidP="00112921">
            <w:pPr>
              <w:pStyle w:val="TableColHeadsBold"/>
              <w:rPr>
                <w:rFonts w:ascii="IBM Plex Sans Light" w:hAnsi="IBM Plex Sans Light"/>
                <w:color w:val="3D7FE0" w:themeColor="accent1"/>
              </w:rPr>
            </w:pPr>
            <w:r w:rsidRPr="00895810">
              <w:rPr>
                <w:rFonts w:ascii="IBM Plex Sans Light" w:hAnsi="IBM Plex Sans Light"/>
                <w:color w:val="3D7FE0" w:themeColor="accent1"/>
              </w:rPr>
              <w:t>Borrowings</w:t>
            </w:r>
          </w:p>
        </w:tc>
        <w:tc>
          <w:tcPr>
            <w:tcW w:w="851" w:type="dxa"/>
            <w:tcBorders>
              <w:top w:val="single" w:sz="2" w:space="0" w:color="3D7FE0" w:themeColor="accent1"/>
            </w:tcBorders>
            <w:tcMar>
              <w:left w:w="0" w:type="dxa"/>
              <w:right w:w="0" w:type="dxa"/>
            </w:tcMar>
            <w:vAlign w:val="bottom"/>
          </w:tcPr>
          <w:p w14:paraId="10C77E31" w14:textId="26B13097" w:rsidR="00112921" w:rsidRPr="00895810" w:rsidRDefault="00112921" w:rsidP="00112921">
            <w:pPr>
              <w:pStyle w:val="TableColHeadsBold"/>
              <w:rPr>
                <w:rFonts w:ascii="IBM Plex Sans Light" w:hAnsi="IBM Plex Sans Light"/>
                <w:color w:val="3D7FE0" w:themeColor="accent1"/>
              </w:rPr>
            </w:pPr>
            <w:r w:rsidRPr="00895810">
              <w:rPr>
                <w:rFonts w:ascii="IBM Plex Sans Light" w:hAnsi="IBM Plex Sans Light"/>
                <w:color w:val="3D7FE0" w:themeColor="accent1"/>
              </w:rPr>
              <w:t>Net debt</w:t>
            </w:r>
          </w:p>
        </w:tc>
        <w:tc>
          <w:tcPr>
            <w:tcW w:w="850" w:type="dxa"/>
            <w:tcBorders>
              <w:top w:val="single" w:sz="2" w:space="0" w:color="3D7FE0" w:themeColor="accent1"/>
            </w:tcBorders>
            <w:tcMar>
              <w:left w:w="0" w:type="dxa"/>
              <w:right w:w="0" w:type="dxa"/>
            </w:tcMar>
            <w:vAlign w:val="bottom"/>
          </w:tcPr>
          <w:p w14:paraId="5040EB33" w14:textId="7FA57940" w:rsidR="00112921" w:rsidRPr="00895810" w:rsidRDefault="00112921" w:rsidP="00112921">
            <w:pPr>
              <w:pStyle w:val="TableColHeadsBold"/>
              <w:rPr>
                <w:rFonts w:ascii="IBM Plex Sans Light" w:hAnsi="IBM Plex Sans Light"/>
                <w:b w:val="0"/>
              </w:rPr>
            </w:pPr>
            <w:r w:rsidRPr="00895810">
              <w:rPr>
                <w:rFonts w:ascii="IBM Plex Sans Light" w:hAnsi="IBM Plex Sans Light"/>
                <w:b w:val="0"/>
              </w:rPr>
              <w:t xml:space="preserve">Cash and </w:t>
            </w:r>
            <w:r w:rsidR="00897933" w:rsidRPr="00895810">
              <w:rPr>
                <w:rFonts w:ascii="IBM Plex Sans Light" w:hAnsi="IBM Plex Sans Light"/>
                <w:b w:val="0"/>
              </w:rPr>
              <w:t xml:space="preserve">cash equivalents </w:t>
            </w:r>
          </w:p>
        </w:tc>
        <w:tc>
          <w:tcPr>
            <w:tcW w:w="993" w:type="dxa"/>
            <w:tcBorders>
              <w:top w:val="single" w:sz="2" w:space="0" w:color="3D7FE0" w:themeColor="accent1"/>
            </w:tcBorders>
            <w:tcMar>
              <w:left w:w="0" w:type="dxa"/>
              <w:right w:w="0" w:type="dxa"/>
            </w:tcMar>
            <w:vAlign w:val="bottom"/>
          </w:tcPr>
          <w:p w14:paraId="658BF5B7" w14:textId="546A8F05" w:rsidR="00112921" w:rsidRPr="00895810" w:rsidRDefault="00112921" w:rsidP="00112921">
            <w:pPr>
              <w:pStyle w:val="TableColHeadsBold"/>
              <w:rPr>
                <w:rFonts w:ascii="IBM Plex Sans Light" w:hAnsi="IBM Plex Sans Light"/>
                <w:b w:val="0"/>
              </w:rPr>
            </w:pPr>
            <w:r w:rsidRPr="00895810">
              <w:rPr>
                <w:rFonts w:ascii="IBM Plex Sans Light" w:hAnsi="IBM Plex Sans Light"/>
                <w:b w:val="0"/>
              </w:rPr>
              <w:t>Borrowings</w:t>
            </w:r>
          </w:p>
        </w:tc>
        <w:tc>
          <w:tcPr>
            <w:tcW w:w="991" w:type="dxa"/>
            <w:tcBorders>
              <w:top w:val="single" w:sz="2" w:space="0" w:color="3D7FE0" w:themeColor="accent1"/>
            </w:tcBorders>
            <w:tcMar>
              <w:left w:w="0" w:type="dxa"/>
              <w:right w:w="0" w:type="dxa"/>
            </w:tcMar>
            <w:vAlign w:val="bottom"/>
          </w:tcPr>
          <w:p w14:paraId="455E66CA" w14:textId="1823B98B" w:rsidR="00112921" w:rsidRPr="00895810" w:rsidRDefault="00112921" w:rsidP="00112921">
            <w:pPr>
              <w:pStyle w:val="TableColHeadsBold"/>
              <w:rPr>
                <w:rFonts w:ascii="IBM Plex Sans Light" w:hAnsi="IBM Plex Sans Light"/>
                <w:b w:val="0"/>
              </w:rPr>
            </w:pPr>
            <w:r w:rsidRPr="00895810">
              <w:rPr>
                <w:rFonts w:ascii="IBM Plex Sans Light" w:hAnsi="IBM Plex Sans Light"/>
                <w:b w:val="0"/>
              </w:rPr>
              <w:t>Net debt</w:t>
            </w:r>
          </w:p>
        </w:tc>
      </w:tr>
      <w:tr w:rsidR="00112921" w:rsidRPr="00895810" w14:paraId="14EF680D" w14:textId="77777777" w:rsidTr="00EF2EF7">
        <w:tc>
          <w:tcPr>
            <w:tcW w:w="4111" w:type="dxa"/>
            <w:tcBorders>
              <w:bottom w:val="single" w:sz="2" w:space="0" w:color="3D7FE0" w:themeColor="accent1"/>
            </w:tcBorders>
            <w:tcMar>
              <w:left w:w="0" w:type="dxa"/>
              <w:bottom w:w="28" w:type="dxa"/>
              <w:right w:w="0" w:type="dxa"/>
            </w:tcMar>
            <w:vAlign w:val="bottom"/>
          </w:tcPr>
          <w:p w14:paraId="2335D056" w14:textId="2D91BDCC" w:rsidR="00112921" w:rsidRPr="00895810" w:rsidRDefault="00112921" w:rsidP="0063218B">
            <w:pPr>
              <w:pStyle w:val="TableColHeadsBold"/>
              <w:jc w:val="left"/>
              <w:rPr>
                <w:rFonts w:ascii="IBM Plex Sans Light" w:hAnsi="IBM Plex Sans Light"/>
              </w:rPr>
            </w:pPr>
          </w:p>
        </w:tc>
        <w:tc>
          <w:tcPr>
            <w:tcW w:w="284" w:type="dxa"/>
            <w:tcBorders>
              <w:bottom w:val="single" w:sz="2" w:space="0" w:color="3D7FE0" w:themeColor="accent1"/>
            </w:tcBorders>
            <w:vAlign w:val="bottom"/>
          </w:tcPr>
          <w:p w14:paraId="6286455D" w14:textId="77777777" w:rsidR="00112921" w:rsidRPr="00895810" w:rsidRDefault="00112921" w:rsidP="0063218B">
            <w:pPr>
              <w:pStyle w:val="TableColHeadsBold"/>
              <w:rPr>
                <w:rFonts w:ascii="IBM Plex Sans Light" w:hAnsi="IBM Plex Sans Light"/>
                <w:b w:val="0"/>
              </w:rPr>
            </w:pPr>
          </w:p>
        </w:tc>
        <w:tc>
          <w:tcPr>
            <w:tcW w:w="850" w:type="dxa"/>
            <w:tcBorders>
              <w:bottom w:val="single" w:sz="2" w:space="0" w:color="3D7FE0" w:themeColor="accent1"/>
            </w:tcBorders>
            <w:tcMar>
              <w:left w:w="0" w:type="dxa"/>
              <w:bottom w:w="28" w:type="dxa"/>
              <w:right w:w="0" w:type="dxa"/>
            </w:tcMar>
            <w:vAlign w:val="bottom"/>
          </w:tcPr>
          <w:p w14:paraId="541FDD9F" w14:textId="77777777" w:rsidR="00112921" w:rsidRPr="00895810" w:rsidRDefault="00112921"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992" w:type="dxa"/>
            <w:tcBorders>
              <w:bottom w:val="single" w:sz="2" w:space="0" w:color="3D7FE0" w:themeColor="accent1"/>
            </w:tcBorders>
            <w:tcMar>
              <w:left w:w="0" w:type="dxa"/>
              <w:bottom w:w="28" w:type="dxa"/>
              <w:right w:w="0" w:type="dxa"/>
            </w:tcMar>
            <w:vAlign w:val="bottom"/>
          </w:tcPr>
          <w:p w14:paraId="6585F89F" w14:textId="77777777" w:rsidR="00112921" w:rsidRPr="00895810" w:rsidRDefault="00112921"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1" w:type="dxa"/>
            <w:tcBorders>
              <w:bottom w:val="single" w:sz="2" w:space="0" w:color="3D7FE0" w:themeColor="accent1"/>
            </w:tcBorders>
            <w:tcMar>
              <w:left w:w="0" w:type="dxa"/>
              <w:bottom w:w="28" w:type="dxa"/>
              <w:right w:w="0" w:type="dxa"/>
            </w:tcMar>
            <w:vAlign w:val="bottom"/>
          </w:tcPr>
          <w:p w14:paraId="5F9FE020" w14:textId="77777777" w:rsidR="00112921" w:rsidRPr="00895810" w:rsidRDefault="00112921" w:rsidP="0063218B">
            <w:pPr>
              <w:pStyle w:val="TableColHeadsBold"/>
              <w:rPr>
                <w:rFonts w:ascii="IBM Plex Sans Light" w:hAnsi="IBM Plex Sans Light"/>
                <w:color w:val="3D7FE0" w:themeColor="accent1"/>
              </w:rPr>
            </w:pPr>
            <w:r w:rsidRPr="00895810">
              <w:rPr>
                <w:rFonts w:ascii="IBM Plex Sans Light" w:hAnsi="IBM Plex Sans Light"/>
                <w:color w:val="3D7FE0" w:themeColor="accent1"/>
              </w:rPr>
              <w:t xml:space="preserve">£m </w:t>
            </w:r>
          </w:p>
        </w:tc>
        <w:tc>
          <w:tcPr>
            <w:tcW w:w="850" w:type="dxa"/>
            <w:tcBorders>
              <w:bottom w:val="single" w:sz="2" w:space="0" w:color="3D7FE0" w:themeColor="accent1"/>
            </w:tcBorders>
            <w:tcMar>
              <w:left w:w="0" w:type="dxa"/>
              <w:bottom w:w="28" w:type="dxa"/>
              <w:right w:w="0" w:type="dxa"/>
            </w:tcMar>
            <w:vAlign w:val="bottom"/>
          </w:tcPr>
          <w:p w14:paraId="136608D7" w14:textId="77777777" w:rsidR="00112921" w:rsidRPr="00895810" w:rsidRDefault="00112921" w:rsidP="0063218B">
            <w:pPr>
              <w:pStyle w:val="TableColHeadsBold"/>
              <w:rPr>
                <w:rFonts w:ascii="IBM Plex Sans Light" w:hAnsi="IBM Plex Sans Light"/>
                <w:b w:val="0"/>
              </w:rPr>
            </w:pPr>
            <w:r w:rsidRPr="00895810">
              <w:rPr>
                <w:rFonts w:ascii="IBM Plex Sans Light" w:hAnsi="IBM Plex Sans Light"/>
                <w:b w:val="0"/>
              </w:rPr>
              <w:t xml:space="preserve">£m </w:t>
            </w:r>
          </w:p>
        </w:tc>
        <w:tc>
          <w:tcPr>
            <w:tcW w:w="993" w:type="dxa"/>
            <w:tcBorders>
              <w:bottom w:val="single" w:sz="2" w:space="0" w:color="3D7FE0" w:themeColor="accent1"/>
            </w:tcBorders>
            <w:tcMar>
              <w:left w:w="0" w:type="dxa"/>
              <w:bottom w:w="28" w:type="dxa"/>
              <w:right w:w="0" w:type="dxa"/>
            </w:tcMar>
            <w:vAlign w:val="bottom"/>
          </w:tcPr>
          <w:p w14:paraId="4C6DD215" w14:textId="0F364C80" w:rsidR="00112921" w:rsidRPr="00895810" w:rsidRDefault="00112921" w:rsidP="0063218B">
            <w:pPr>
              <w:pStyle w:val="TableColHeadsBold"/>
              <w:rPr>
                <w:rFonts w:ascii="IBM Plex Sans Light" w:hAnsi="IBM Plex Sans Light"/>
                <w:b w:val="0"/>
              </w:rPr>
            </w:pPr>
            <w:r w:rsidRPr="00895810">
              <w:rPr>
                <w:rFonts w:ascii="IBM Plex Sans Light" w:hAnsi="IBM Plex Sans Light"/>
                <w:b w:val="0"/>
              </w:rPr>
              <w:t xml:space="preserve">£m </w:t>
            </w:r>
          </w:p>
        </w:tc>
        <w:tc>
          <w:tcPr>
            <w:tcW w:w="991" w:type="dxa"/>
            <w:tcBorders>
              <w:bottom w:val="single" w:sz="2" w:space="0" w:color="3D7FE0" w:themeColor="accent1"/>
            </w:tcBorders>
            <w:tcMar>
              <w:left w:w="0" w:type="dxa"/>
              <w:bottom w:w="28" w:type="dxa"/>
              <w:right w:w="0" w:type="dxa"/>
            </w:tcMar>
            <w:vAlign w:val="bottom"/>
          </w:tcPr>
          <w:p w14:paraId="2C214F64" w14:textId="77777777" w:rsidR="00112921" w:rsidRPr="00895810" w:rsidRDefault="00112921" w:rsidP="0063218B">
            <w:pPr>
              <w:pStyle w:val="TableColHeadsBold"/>
              <w:rPr>
                <w:rFonts w:ascii="IBM Plex Sans Light" w:hAnsi="IBM Plex Sans Light"/>
                <w:b w:val="0"/>
              </w:rPr>
            </w:pPr>
            <w:r w:rsidRPr="00895810">
              <w:rPr>
                <w:rFonts w:ascii="IBM Plex Sans Light" w:hAnsi="IBM Plex Sans Light"/>
                <w:b w:val="0"/>
              </w:rPr>
              <w:t xml:space="preserve">£m </w:t>
            </w:r>
          </w:p>
        </w:tc>
      </w:tr>
      <w:tr w:rsidR="00F77F93" w:rsidRPr="00895810" w14:paraId="0F1FCC8B" w14:textId="77777777" w:rsidTr="00871202">
        <w:trPr>
          <w:trHeight w:val="283"/>
        </w:trPr>
        <w:tc>
          <w:tcPr>
            <w:tcW w:w="4111" w:type="dxa"/>
            <w:tcBorders>
              <w:top w:val="single" w:sz="2" w:space="0" w:color="3D7FE0" w:themeColor="accent1"/>
            </w:tcBorders>
            <w:tcMar>
              <w:left w:w="0" w:type="dxa"/>
              <w:right w:w="0" w:type="dxa"/>
            </w:tcMar>
            <w:vAlign w:val="bottom"/>
          </w:tcPr>
          <w:p w14:paraId="3F778175" w14:textId="6AE7AF33" w:rsidR="00F77F93" w:rsidRPr="00895810" w:rsidRDefault="00F77F93" w:rsidP="00F77F93">
            <w:pPr>
              <w:pStyle w:val="TabletextBold"/>
              <w:rPr>
                <w:rFonts w:ascii="IBM Plex Sans Light" w:hAnsi="IBM Plex Sans Light"/>
                <w:sz w:val="18"/>
                <w:szCs w:val="18"/>
              </w:rPr>
            </w:pPr>
            <w:r w:rsidRPr="00895810">
              <w:rPr>
                <w:rFonts w:ascii="IBM Plex Sans Light" w:hAnsi="IBM Plex Sans Light"/>
                <w:bCs/>
                <w:color w:val="3D7FE0" w:themeColor="accent1"/>
                <w:sz w:val="18"/>
                <w:szCs w:val="18"/>
              </w:rPr>
              <w:t>At 1 January</w:t>
            </w:r>
          </w:p>
        </w:tc>
        <w:tc>
          <w:tcPr>
            <w:tcW w:w="284" w:type="dxa"/>
            <w:tcBorders>
              <w:top w:val="single" w:sz="2" w:space="0" w:color="3D7FE0" w:themeColor="accent1"/>
            </w:tcBorders>
            <w:vAlign w:val="bottom"/>
          </w:tcPr>
          <w:p w14:paraId="66AE2AF6" w14:textId="79EE533A" w:rsidR="00F77F93" w:rsidRPr="00895810" w:rsidRDefault="00F77F93" w:rsidP="00F77F93">
            <w:pPr>
              <w:pStyle w:val="TableFigures"/>
              <w:rPr>
                <w:rFonts w:ascii="IBM Plex Sans Light" w:hAnsi="IBM Plex Sans Light"/>
                <w:color w:val="auto"/>
                <w:spacing w:val="-4"/>
                <w:sz w:val="18"/>
                <w:szCs w:val="18"/>
              </w:rPr>
            </w:pPr>
          </w:p>
        </w:tc>
        <w:tc>
          <w:tcPr>
            <w:tcW w:w="850" w:type="dxa"/>
            <w:tcBorders>
              <w:top w:val="single" w:sz="2" w:space="0" w:color="3D7FE0" w:themeColor="accent1"/>
            </w:tcBorders>
            <w:tcMar>
              <w:left w:w="0" w:type="dxa"/>
              <w:right w:w="0" w:type="dxa"/>
            </w:tcMar>
          </w:tcPr>
          <w:p w14:paraId="42B307D1" w14:textId="1BFBE58D" w:rsidR="00F77F93" w:rsidRPr="00F82829" w:rsidRDefault="00F77F93" w:rsidP="00F77F93">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218.8</w:t>
            </w:r>
          </w:p>
        </w:tc>
        <w:tc>
          <w:tcPr>
            <w:tcW w:w="992" w:type="dxa"/>
            <w:tcBorders>
              <w:top w:val="single" w:sz="2" w:space="0" w:color="3D7FE0" w:themeColor="accent1"/>
            </w:tcBorders>
            <w:tcMar>
              <w:left w:w="0" w:type="dxa"/>
              <w:right w:w="0" w:type="dxa"/>
            </w:tcMar>
          </w:tcPr>
          <w:p w14:paraId="693FBEB4" w14:textId="29A20972"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(1,677.0)</w:t>
            </w:r>
          </w:p>
        </w:tc>
        <w:tc>
          <w:tcPr>
            <w:tcW w:w="851" w:type="dxa"/>
            <w:tcBorders>
              <w:top w:val="single" w:sz="2" w:space="0" w:color="3D7FE0" w:themeColor="accent1"/>
            </w:tcBorders>
            <w:tcMar>
              <w:left w:w="0" w:type="dxa"/>
              <w:right w:w="0" w:type="dxa"/>
            </w:tcMar>
          </w:tcPr>
          <w:p w14:paraId="4D84012A" w14:textId="48512F3C" w:rsidR="00F77F93" w:rsidRPr="00024B10" w:rsidRDefault="00F77F93" w:rsidP="007C5135">
            <w:pPr>
              <w:pStyle w:val="TableFiguresBrackets"/>
              <w:rPr>
                <w:rFonts w:ascii="IBM Plex Sans Medium" w:hAnsi="IBM Plex Sans Medium"/>
                <w:b/>
                <w:bCs/>
                <w:color w:val="3D7FE0" w:themeColor="accent1"/>
                <w:spacing w:val="-4"/>
                <w:sz w:val="18"/>
                <w:szCs w:val="18"/>
              </w:rPr>
            </w:pPr>
            <w:r w:rsidRPr="00024B10">
              <w:rPr>
                <w:rFonts w:ascii="IBM Plex Sans Medium" w:hAnsi="IBM Plex Sans Medium"/>
                <w:b/>
                <w:bCs/>
                <w:color w:val="3D7FE0" w:themeColor="accent1"/>
                <w:spacing w:val="-4"/>
                <w:sz w:val="18"/>
                <w:szCs w:val="18"/>
              </w:rPr>
              <w:t>(1,</w:t>
            </w:r>
            <w:r w:rsidRPr="00F82829">
              <w:rPr>
                <w:rFonts w:ascii="IBM Plex Sans Medium" w:hAnsi="IBM Plex Sans Medium"/>
                <w:b/>
                <w:bCs/>
                <w:color w:val="3D7FE0" w:themeColor="accent1"/>
                <w:spacing w:val="-4"/>
                <w:sz w:val="18"/>
                <w:szCs w:val="18"/>
              </w:rPr>
              <w:t>458</w:t>
            </w:r>
            <w:r w:rsidRPr="00024B10">
              <w:rPr>
                <w:rFonts w:ascii="IBM Plex Sans Medium" w:hAnsi="IBM Plex Sans Medium"/>
                <w:b/>
                <w:bCs/>
                <w:color w:val="3D7FE0" w:themeColor="accent1"/>
                <w:spacing w:val="-4"/>
                <w:sz w:val="18"/>
                <w:szCs w:val="18"/>
              </w:rPr>
              <w:t>.2)</w:t>
            </w:r>
          </w:p>
        </w:tc>
        <w:tc>
          <w:tcPr>
            <w:tcW w:w="850" w:type="dxa"/>
            <w:tcBorders>
              <w:top w:val="single" w:sz="2" w:space="0" w:color="3D7FE0" w:themeColor="accent1"/>
            </w:tcBorders>
            <w:tcMar>
              <w:left w:w="0" w:type="dxa"/>
              <w:right w:w="0" w:type="dxa"/>
            </w:tcMar>
          </w:tcPr>
          <w:p w14:paraId="5C2D992C" w14:textId="66B3EC07" w:rsidR="00F77F93" w:rsidRPr="00895810" w:rsidRDefault="00F77F93" w:rsidP="00F77F93">
            <w:pPr>
              <w:pStyle w:val="TableFigures"/>
              <w:rPr>
                <w:rFonts w:ascii="IBM Plex Sans Light" w:hAnsi="IBM Plex Sans Light"/>
                <w:color w:val="auto"/>
                <w:spacing w:val="-4"/>
                <w:sz w:val="18"/>
                <w:szCs w:val="18"/>
              </w:rPr>
            </w:pPr>
            <w:r w:rsidRPr="00302FCC">
              <w:rPr>
                <w:rFonts w:ascii="IBM Plex Sans Light" w:hAnsi="IBM Plex Sans Light"/>
                <w:color w:val="auto"/>
                <w:spacing w:val="-4"/>
                <w:sz w:val="18"/>
                <w:szCs w:val="18"/>
              </w:rPr>
              <w:t>315.1</w:t>
            </w:r>
          </w:p>
        </w:tc>
        <w:tc>
          <w:tcPr>
            <w:tcW w:w="993" w:type="dxa"/>
            <w:tcBorders>
              <w:top w:val="single" w:sz="2" w:space="0" w:color="3D7FE0" w:themeColor="accent1"/>
            </w:tcBorders>
            <w:tcMar>
              <w:left w:w="0" w:type="dxa"/>
              <w:right w:w="0" w:type="dxa"/>
            </w:tcMar>
          </w:tcPr>
          <w:p w14:paraId="5C5A22EC" w14:textId="0F307438" w:rsidR="00F77F93" w:rsidRPr="00895810" w:rsidRDefault="00F77F93" w:rsidP="00F77F93">
            <w:pPr>
              <w:pStyle w:val="TableFiguresBrackets"/>
              <w:rPr>
                <w:rFonts w:ascii="IBM Plex Sans Light" w:hAnsi="IBM Plex Sans Light"/>
                <w:spacing w:val="-4"/>
                <w:sz w:val="18"/>
                <w:szCs w:val="18"/>
              </w:rPr>
            </w:pPr>
            <w:r w:rsidRPr="00302FCC">
              <w:rPr>
                <w:rFonts w:ascii="IBM Plex Sans Light" w:hAnsi="IBM Plex Sans Light"/>
                <w:spacing w:val="-4"/>
                <w:sz w:val="18"/>
                <w:szCs w:val="18"/>
              </w:rPr>
              <w:t>(1,878.9)</w:t>
            </w:r>
          </w:p>
        </w:tc>
        <w:tc>
          <w:tcPr>
            <w:tcW w:w="991" w:type="dxa"/>
            <w:tcBorders>
              <w:top w:val="single" w:sz="2" w:space="0" w:color="3D7FE0" w:themeColor="accent1"/>
            </w:tcBorders>
            <w:tcMar>
              <w:left w:w="0" w:type="dxa"/>
              <w:right w:w="0" w:type="dxa"/>
            </w:tcMar>
          </w:tcPr>
          <w:p w14:paraId="08FA8DD5" w14:textId="551394C0" w:rsidR="00F77F93" w:rsidRPr="00895810" w:rsidRDefault="00F77F93" w:rsidP="00F77F93">
            <w:pPr>
              <w:pStyle w:val="TableFiguresBrackets"/>
              <w:rPr>
                <w:rFonts w:ascii="IBM Plex Sans Light" w:hAnsi="IBM Plex Sans Light"/>
                <w:spacing w:val="-4"/>
                <w:sz w:val="18"/>
                <w:szCs w:val="18"/>
              </w:rPr>
            </w:pPr>
            <w:r w:rsidRPr="00302FCC">
              <w:rPr>
                <w:rFonts w:ascii="IBM Plex Sans Light" w:hAnsi="IBM Plex Sans Light"/>
                <w:spacing w:val="-4"/>
                <w:sz w:val="18"/>
                <w:szCs w:val="18"/>
              </w:rPr>
              <w:t>(1,563.8)</w:t>
            </w:r>
          </w:p>
        </w:tc>
      </w:tr>
      <w:tr w:rsidR="00F77F93" w:rsidRPr="00895810" w14:paraId="05831553" w14:textId="77777777" w:rsidTr="00871202">
        <w:trPr>
          <w:trHeight w:val="283"/>
        </w:trPr>
        <w:tc>
          <w:tcPr>
            <w:tcW w:w="4111" w:type="dxa"/>
            <w:tcMar>
              <w:left w:w="0" w:type="dxa"/>
              <w:right w:w="0" w:type="dxa"/>
            </w:tcMar>
            <w:vAlign w:val="bottom"/>
          </w:tcPr>
          <w:p w14:paraId="7619475E" w14:textId="648B677D" w:rsidR="00F77F93" w:rsidRPr="00895810" w:rsidRDefault="00F77F93" w:rsidP="00F77F93">
            <w:pPr>
              <w:pStyle w:val="Tabletext"/>
              <w:rPr>
                <w:rFonts w:ascii="IBM Plex Sans Light" w:hAnsi="IBM Plex Sans Light"/>
                <w:sz w:val="18"/>
                <w:szCs w:val="18"/>
              </w:rPr>
            </w:pPr>
            <w:r w:rsidRPr="00895810">
              <w:rPr>
                <w:rFonts w:ascii="IBM Plex Sans Light" w:hAnsi="IBM Plex Sans Light"/>
                <w:spacing w:val="-4"/>
                <w:sz w:val="18"/>
                <w:szCs w:val="18"/>
              </w:rPr>
              <w:t>Cash flow</w:t>
            </w:r>
          </w:p>
        </w:tc>
        <w:tc>
          <w:tcPr>
            <w:tcW w:w="284" w:type="dxa"/>
            <w:vAlign w:val="bottom"/>
          </w:tcPr>
          <w:p w14:paraId="42D3CD58" w14:textId="46FBD666" w:rsidR="00F77F93" w:rsidRPr="00895810" w:rsidRDefault="00F77F93" w:rsidP="00F77F93">
            <w:pPr>
              <w:pStyle w:val="TableFigures"/>
              <w:rPr>
                <w:rFonts w:ascii="IBM Plex Sans Light" w:hAnsi="IBM Plex Sans Light"/>
                <w:color w:val="auto"/>
                <w:spacing w:val="-4"/>
                <w:sz w:val="18"/>
                <w:szCs w:val="18"/>
              </w:rPr>
            </w:pPr>
          </w:p>
        </w:tc>
        <w:tc>
          <w:tcPr>
            <w:tcW w:w="850" w:type="dxa"/>
            <w:tcMar>
              <w:left w:w="0" w:type="dxa"/>
              <w:right w:w="0" w:type="dxa"/>
            </w:tcMar>
          </w:tcPr>
          <w:p w14:paraId="52798DE5" w14:textId="6D8DDBF3" w:rsidR="00F77F93" w:rsidRPr="00F82829" w:rsidRDefault="00F77F93" w:rsidP="00F77F93">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254.6</w:t>
            </w:r>
          </w:p>
        </w:tc>
        <w:tc>
          <w:tcPr>
            <w:tcW w:w="992" w:type="dxa"/>
            <w:tcMar>
              <w:left w:w="0" w:type="dxa"/>
              <w:right w:w="0" w:type="dxa"/>
            </w:tcMar>
          </w:tcPr>
          <w:p w14:paraId="1C457DBC" w14:textId="763BDA3B"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(15.1)</w:t>
            </w:r>
          </w:p>
        </w:tc>
        <w:tc>
          <w:tcPr>
            <w:tcW w:w="851" w:type="dxa"/>
            <w:tcMar>
              <w:left w:w="0" w:type="dxa"/>
              <w:right w:w="0" w:type="dxa"/>
            </w:tcMar>
          </w:tcPr>
          <w:p w14:paraId="30F54C38" w14:textId="71300B6E" w:rsidR="00F77F93" w:rsidRPr="00F82829" w:rsidRDefault="00F77F93" w:rsidP="00F77F93">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239.5</w:t>
            </w:r>
          </w:p>
        </w:tc>
        <w:tc>
          <w:tcPr>
            <w:tcW w:w="850" w:type="dxa"/>
            <w:tcMar>
              <w:left w:w="0" w:type="dxa"/>
              <w:right w:w="0" w:type="dxa"/>
            </w:tcMar>
          </w:tcPr>
          <w:p w14:paraId="4D79DFA7" w14:textId="73395272" w:rsidR="00F77F93" w:rsidRPr="00895810" w:rsidRDefault="00F77F93" w:rsidP="00F77F93">
            <w:pPr>
              <w:pStyle w:val="TableFiguresBrackets"/>
              <w:rPr>
                <w:rFonts w:ascii="IBM Plex Sans Light" w:hAnsi="IBM Plex Sans Light"/>
                <w:spacing w:val="-4"/>
                <w:sz w:val="18"/>
                <w:szCs w:val="18"/>
              </w:rPr>
            </w:pPr>
            <w:r w:rsidRPr="006D6C87">
              <w:rPr>
                <w:rFonts w:ascii="IBM Plex Sans Light" w:hAnsi="IBM Plex Sans Light"/>
                <w:spacing w:val="-4"/>
                <w:sz w:val="18"/>
                <w:szCs w:val="18"/>
              </w:rPr>
              <w:t>(99.0)</w:t>
            </w:r>
          </w:p>
        </w:tc>
        <w:tc>
          <w:tcPr>
            <w:tcW w:w="993" w:type="dxa"/>
            <w:tcMar>
              <w:left w:w="0" w:type="dxa"/>
              <w:right w:w="0" w:type="dxa"/>
            </w:tcMar>
          </w:tcPr>
          <w:p w14:paraId="5785E54E" w14:textId="6037CAB3" w:rsidR="00F77F93" w:rsidRPr="00895810" w:rsidRDefault="00F77F93" w:rsidP="00F77F93">
            <w:pPr>
              <w:pStyle w:val="TableFigures"/>
              <w:rPr>
                <w:rFonts w:ascii="IBM Plex Sans Light" w:hAnsi="IBM Plex Sans Light"/>
                <w:color w:val="auto"/>
                <w:spacing w:val="-4"/>
                <w:sz w:val="18"/>
                <w:szCs w:val="18"/>
              </w:rPr>
            </w:pPr>
            <w:r w:rsidRPr="006D6C87">
              <w:rPr>
                <w:rFonts w:ascii="IBM Plex Sans Light" w:hAnsi="IBM Plex Sans Light"/>
                <w:color w:val="auto"/>
                <w:spacing w:val="-4"/>
                <w:sz w:val="18"/>
                <w:szCs w:val="18"/>
              </w:rPr>
              <w:t>302.4</w:t>
            </w:r>
          </w:p>
        </w:tc>
        <w:tc>
          <w:tcPr>
            <w:tcW w:w="991" w:type="dxa"/>
            <w:tcMar>
              <w:left w:w="0" w:type="dxa"/>
              <w:right w:w="0" w:type="dxa"/>
            </w:tcMar>
          </w:tcPr>
          <w:p w14:paraId="46BAC0CB" w14:textId="4DECADDF" w:rsidR="00F77F93" w:rsidRPr="00895810" w:rsidRDefault="00F77F93" w:rsidP="00F77F93">
            <w:pPr>
              <w:pStyle w:val="TableFigures"/>
              <w:rPr>
                <w:rFonts w:ascii="IBM Plex Sans Light" w:hAnsi="IBM Plex Sans Light"/>
                <w:color w:val="auto"/>
                <w:spacing w:val="-4"/>
                <w:sz w:val="18"/>
                <w:szCs w:val="18"/>
              </w:rPr>
            </w:pPr>
            <w:r w:rsidRPr="006D6C87">
              <w:rPr>
                <w:rFonts w:ascii="IBM Plex Sans Light" w:hAnsi="IBM Plex Sans Light"/>
                <w:color w:val="auto"/>
                <w:spacing w:val="-4"/>
                <w:sz w:val="18"/>
                <w:szCs w:val="18"/>
              </w:rPr>
              <w:t>203.4</w:t>
            </w:r>
          </w:p>
        </w:tc>
      </w:tr>
      <w:tr w:rsidR="00F77F93" w:rsidRPr="00895810" w14:paraId="796B8704" w14:textId="77777777" w:rsidTr="00871202">
        <w:trPr>
          <w:trHeight w:val="283"/>
        </w:trPr>
        <w:tc>
          <w:tcPr>
            <w:tcW w:w="4111" w:type="dxa"/>
            <w:tcMar>
              <w:left w:w="0" w:type="dxa"/>
              <w:right w:w="0" w:type="dxa"/>
            </w:tcMar>
            <w:vAlign w:val="bottom"/>
          </w:tcPr>
          <w:p w14:paraId="0EF4F038" w14:textId="530E2470" w:rsidR="00F77F93" w:rsidRPr="00895810" w:rsidRDefault="00F77F93" w:rsidP="00F77F93">
            <w:pPr>
              <w:pStyle w:val="Tabletext"/>
              <w:rPr>
                <w:rFonts w:ascii="IBM Plex Sans Light" w:hAnsi="IBM Plex Sans Light"/>
                <w:sz w:val="18"/>
                <w:szCs w:val="18"/>
              </w:rPr>
            </w:pPr>
            <w:r w:rsidRPr="00895810">
              <w:rPr>
                <w:rFonts w:ascii="IBM Plex Sans Light" w:hAnsi="IBM Plex Sans Light"/>
                <w:spacing w:val="-4"/>
                <w:sz w:val="18"/>
                <w:szCs w:val="18"/>
              </w:rPr>
              <w:t>Change in fair value of currency swaps</w:t>
            </w:r>
          </w:p>
        </w:tc>
        <w:tc>
          <w:tcPr>
            <w:tcW w:w="284" w:type="dxa"/>
            <w:vAlign w:val="bottom"/>
          </w:tcPr>
          <w:p w14:paraId="65B05036" w14:textId="77777777" w:rsidR="00F77F93" w:rsidRPr="00895810" w:rsidRDefault="00F77F93" w:rsidP="00F77F93">
            <w:pPr>
              <w:pStyle w:val="TableFigures"/>
              <w:rPr>
                <w:rFonts w:ascii="IBM Plex Sans Light" w:hAnsi="IBM Plex Sans Light"/>
                <w:color w:val="auto"/>
                <w:spacing w:val="-4"/>
                <w:sz w:val="18"/>
                <w:szCs w:val="18"/>
              </w:rPr>
            </w:pPr>
          </w:p>
        </w:tc>
        <w:tc>
          <w:tcPr>
            <w:tcW w:w="850" w:type="dxa"/>
            <w:tcMar>
              <w:left w:w="0" w:type="dxa"/>
              <w:right w:w="0" w:type="dxa"/>
            </w:tcMar>
          </w:tcPr>
          <w:p w14:paraId="3802067A" w14:textId="5B3380DB" w:rsidR="00F77F93" w:rsidRPr="00F82829" w:rsidRDefault="00F77F93" w:rsidP="00F77F93">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w:t>
            </w:r>
          </w:p>
        </w:tc>
        <w:tc>
          <w:tcPr>
            <w:tcW w:w="992" w:type="dxa"/>
            <w:tcMar>
              <w:left w:w="0" w:type="dxa"/>
              <w:right w:w="0" w:type="dxa"/>
            </w:tcMar>
          </w:tcPr>
          <w:p w14:paraId="40BF4E83" w14:textId="61E3422D"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(1.9)</w:t>
            </w:r>
          </w:p>
        </w:tc>
        <w:tc>
          <w:tcPr>
            <w:tcW w:w="851" w:type="dxa"/>
            <w:tcMar>
              <w:left w:w="0" w:type="dxa"/>
              <w:right w:w="0" w:type="dxa"/>
            </w:tcMar>
          </w:tcPr>
          <w:p w14:paraId="0633C96A" w14:textId="666E9269"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(1.9)</w:t>
            </w:r>
          </w:p>
        </w:tc>
        <w:tc>
          <w:tcPr>
            <w:tcW w:w="850" w:type="dxa"/>
            <w:tcMar>
              <w:left w:w="0" w:type="dxa"/>
              <w:right w:w="0" w:type="dxa"/>
            </w:tcMar>
          </w:tcPr>
          <w:p w14:paraId="0BC2A879" w14:textId="59059BA7" w:rsidR="00F77F93" w:rsidRPr="00895810" w:rsidRDefault="00F77F93" w:rsidP="00F77F93">
            <w:pPr>
              <w:pStyle w:val="TableFigures"/>
              <w:rPr>
                <w:rFonts w:ascii="IBM Plex Sans Light" w:hAnsi="IBM Plex Sans Light"/>
                <w:color w:val="auto"/>
                <w:spacing w:val="-4"/>
                <w:sz w:val="18"/>
                <w:szCs w:val="18"/>
              </w:rPr>
            </w:pPr>
            <w:r w:rsidRPr="00E00F68">
              <w:rPr>
                <w:rFonts w:ascii="IBM Plex Sans Light" w:hAnsi="IBM Plex Sans Light"/>
                <w:color w:val="auto"/>
                <w:spacing w:val="-4"/>
                <w:sz w:val="18"/>
                <w:szCs w:val="18"/>
              </w:rPr>
              <w:t>–</w:t>
            </w:r>
          </w:p>
        </w:tc>
        <w:tc>
          <w:tcPr>
            <w:tcW w:w="993" w:type="dxa"/>
            <w:tcMar>
              <w:left w:w="0" w:type="dxa"/>
              <w:right w:w="0" w:type="dxa"/>
            </w:tcMar>
          </w:tcPr>
          <w:p w14:paraId="45C5EFF1" w14:textId="47FABD3D" w:rsidR="00F77F93" w:rsidRPr="00E00F68" w:rsidRDefault="00F77F93" w:rsidP="00F77F93">
            <w:pPr>
              <w:pStyle w:val="TableFigures"/>
              <w:rPr>
                <w:rFonts w:ascii="IBM Plex Sans Light" w:hAnsi="IBM Plex Sans Light"/>
                <w:color w:val="auto"/>
                <w:spacing w:val="-4"/>
                <w:sz w:val="18"/>
                <w:szCs w:val="18"/>
              </w:rPr>
            </w:pPr>
            <w:r w:rsidRPr="00E00F68">
              <w:rPr>
                <w:rFonts w:ascii="IBM Plex Sans Light" w:hAnsi="IBM Plex Sans Light"/>
                <w:color w:val="auto"/>
                <w:spacing w:val="-4"/>
                <w:sz w:val="18"/>
                <w:szCs w:val="18"/>
              </w:rPr>
              <w:t>8.4</w:t>
            </w:r>
          </w:p>
        </w:tc>
        <w:tc>
          <w:tcPr>
            <w:tcW w:w="991" w:type="dxa"/>
            <w:tcMar>
              <w:left w:w="0" w:type="dxa"/>
              <w:right w:w="0" w:type="dxa"/>
            </w:tcMar>
          </w:tcPr>
          <w:p w14:paraId="5592BD0D" w14:textId="5B4AAF7B" w:rsidR="00F77F93" w:rsidRPr="00E00F68" w:rsidRDefault="00F77F93" w:rsidP="00F77F93">
            <w:pPr>
              <w:pStyle w:val="TableFigures"/>
              <w:rPr>
                <w:rFonts w:ascii="IBM Plex Sans Light" w:hAnsi="IBM Plex Sans Light"/>
                <w:color w:val="auto"/>
                <w:spacing w:val="-4"/>
                <w:sz w:val="18"/>
                <w:szCs w:val="18"/>
              </w:rPr>
            </w:pPr>
            <w:r w:rsidRPr="00E00F68">
              <w:rPr>
                <w:rFonts w:ascii="IBM Plex Sans Light" w:hAnsi="IBM Plex Sans Light"/>
                <w:color w:val="auto"/>
                <w:spacing w:val="-4"/>
                <w:sz w:val="18"/>
                <w:szCs w:val="18"/>
              </w:rPr>
              <w:t>8.4</w:t>
            </w:r>
          </w:p>
        </w:tc>
      </w:tr>
      <w:tr w:rsidR="00F77F93" w:rsidRPr="00895810" w14:paraId="171D5B5F" w14:textId="77777777" w:rsidTr="00871202">
        <w:trPr>
          <w:trHeight w:val="283"/>
        </w:trPr>
        <w:tc>
          <w:tcPr>
            <w:tcW w:w="4111" w:type="dxa"/>
            <w:tcBorders>
              <w:bottom w:val="single" w:sz="2" w:space="0" w:color="3D7FE0" w:themeColor="accent1"/>
            </w:tcBorders>
            <w:tcMar>
              <w:left w:w="0" w:type="dxa"/>
              <w:right w:w="0" w:type="dxa"/>
            </w:tcMar>
            <w:vAlign w:val="bottom"/>
          </w:tcPr>
          <w:p w14:paraId="612AEC74" w14:textId="4743C510" w:rsidR="00F77F93" w:rsidRPr="00895810" w:rsidRDefault="00F77F93" w:rsidP="00F77F93">
            <w:pPr>
              <w:pStyle w:val="Tabletext"/>
              <w:rPr>
                <w:rFonts w:ascii="IBM Plex Sans Light" w:hAnsi="IBM Plex Sans Light"/>
                <w:sz w:val="18"/>
                <w:szCs w:val="18"/>
              </w:rPr>
            </w:pPr>
            <w:r w:rsidRPr="00895810">
              <w:rPr>
                <w:rFonts w:ascii="IBM Plex Sans Light" w:hAnsi="IBM Plex Sans Light"/>
                <w:spacing w:val="-4"/>
                <w:sz w:val="18"/>
                <w:szCs w:val="18"/>
              </w:rPr>
              <w:t>Exchange</w:t>
            </w:r>
            <w:r w:rsidR="00452848">
              <w:rPr>
                <w:rFonts w:ascii="IBM Plex Sans Light" w:hAnsi="IBM Plex Sans Light"/>
                <w:spacing w:val="-4"/>
                <w:sz w:val="18"/>
                <w:szCs w:val="18"/>
              </w:rPr>
              <w:t xml:space="preserve"> and other non-cash movements</w:t>
            </w:r>
          </w:p>
        </w:tc>
        <w:tc>
          <w:tcPr>
            <w:tcW w:w="284" w:type="dxa"/>
            <w:tcBorders>
              <w:bottom w:val="single" w:sz="2" w:space="0" w:color="3D7FE0" w:themeColor="accent1"/>
            </w:tcBorders>
            <w:vAlign w:val="bottom"/>
          </w:tcPr>
          <w:p w14:paraId="46BE017F" w14:textId="77777777" w:rsidR="00F77F93" w:rsidRPr="00895810" w:rsidRDefault="00F77F93" w:rsidP="00F77F93">
            <w:pPr>
              <w:pStyle w:val="TableFigures"/>
              <w:rPr>
                <w:rFonts w:ascii="IBM Plex Sans Light" w:hAnsi="IBM Plex Sans Light"/>
                <w:color w:val="auto"/>
                <w:spacing w:val="-4"/>
                <w:sz w:val="18"/>
                <w:szCs w:val="18"/>
              </w:rPr>
            </w:pPr>
          </w:p>
        </w:tc>
        <w:tc>
          <w:tcPr>
            <w:tcW w:w="850" w:type="dxa"/>
            <w:tcBorders>
              <w:bottom w:val="single" w:sz="2" w:space="0" w:color="3D7FE0" w:themeColor="accent1"/>
            </w:tcBorders>
            <w:tcMar>
              <w:left w:w="0" w:type="dxa"/>
              <w:right w:w="0" w:type="dxa"/>
            </w:tcMar>
          </w:tcPr>
          <w:p w14:paraId="024C396F" w14:textId="3AF3ACB9"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(1.1)</w:t>
            </w:r>
          </w:p>
        </w:tc>
        <w:tc>
          <w:tcPr>
            <w:tcW w:w="992" w:type="dxa"/>
            <w:tcBorders>
              <w:bottom w:val="single" w:sz="2" w:space="0" w:color="3D7FE0" w:themeColor="accent1"/>
            </w:tcBorders>
            <w:tcMar>
              <w:left w:w="0" w:type="dxa"/>
              <w:right w:w="0" w:type="dxa"/>
            </w:tcMar>
          </w:tcPr>
          <w:p w14:paraId="41441810" w14:textId="3136023C" w:rsidR="00F77F93" w:rsidRPr="00F82829" w:rsidRDefault="00F77F93" w:rsidP="007C5135">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58.1</w:t>
            </w:r>
          </w:p>
        </w:tc>
        <w:tc>
          <w:tcPr>
            <w:tcW w:w="851" w:type="dxa"/>
            <w:tcBorders>
              <w:bottom w:val="single" w:sz="2" w:space="0" w:color="3D7FE0" w:themeColor="accent1"/>
            </w:tcBorders>
            <w:tcMar>
              <w:left w:w="0" w:type="dxa"/>
              <w:right w:w="0" w:type="dxa"/>
            </w:tcMar>
          </w:tcPr>
          <w:p w14:paraId="6C5BF541" w14:textId="00008726" w:rsidR="00F77F93" w:rsidRPr="00F82829" w:rsidRDefault="00F77F93" w:rsidP="007C5135">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57.0</w:t>
            </w:r>
          </w:p>
        </w:tc>
        <w:tc>
          <w:tcPr>
            <w:tcW w:w="850" w:type="dxa"/>
            <w:tcBorders>
              <w:bottom w:val="single" w:sz="2" w:space="0" w:color="3D7FE0" w:themeColor="accent1"/>
            </w:tcBorders>
            <w:tcMar>
              <w:left w:w="0" w:type="dxa"/>
              <w:right w:w="0" w:type="dxa"/>
            </w:tcMar>
          </w:tcPr>
          <w:p w14:paraId="1EDCAE7C" w14:textId="6B336D80" w:rsidR="00F77F93" w:rsidRPr="00E00F68" w:rsidRDefault="00F77F93" w:rsidP="00F77F93">
            <w:pPr>
              <w:pStyle w:val="TableFigures"/>
              <w:rPr>
                <w:rFonts w:ascii="IBM Plex Sans Light" w:hAnsi="IBM Plex Sans Light"/>
                <w:color w:val="auto"/>
                <w:spacing w:val="-4"/>
                <w:sz w:val="18"/>
                <w:szCs w:val="18"/>
              </w:rPr>
            </w:pPr>
            <w:r w:rsidRPr="00E00F68">
              <w:rPr>
                <w:rFonts w:ascii="IBM Plex Sans Light" w:hAnsi="IBM Plex Sans Light"/>
                <w:color w:val="auto"/>
                <w:spacing w:val="-4"/>
                <w:sz w:val="18"/>
                <w:szCs w:val="18"/>
              </w:rPr>
              <w:t>2.7</w:t>
            </w:r>
          </w:p>
        </w:tc>
        <w:tc>
          <w:tcPr>
            <w:tcW w:w="993" w:type="dxa"/>
            <w:tcBorders>
              <w:bottom w:val="single" w:sz="2" w:space="0" w:color="3D7FE0" w:themeColor="accent1"/>
            </w:tcBorders>
            <w:tcMar>
              <w:left w:w="0" w:type="dxa"/>
              <w:right w:w="0" w:type="dxa"/>
            </w:tcMar>
          </w:tcPr>
          <w:p w14:paraId="131E85DE" w14:textId="328EB5D3" w:rsidR="00F77F93" w:rsidRPr="00E00F68" w:rsidRDefault="00F77F93" w:rsidP="00F77F93">
            <w:pPr>
              <w:pStyle w:val="TableFiguresBrackets"/>
              <w:rPr>
                <w:rFonts w:ascii="IBM Plex Sans Light" w:hAnsi="IBM Plex Sans Light"/>
                <w:spacing w:val="-4"/>
                <w:sz w:val="18"/>
                <w:szCs w:val="18"/>
              </w:rPr>
            </w:pPr>
            <w:r w:rsidRPr="00E00F68">
              <w:rPr>
                <w:rFonts w:ascii="IBM Plex Sans Light" w:hAnsi="IBM Plex Sans Light"/>
                <w:spacing w:val="-4"/>
                <w:sz w:val="18"/>
                <w:szCs w:val="18"/>
              </w:rPr>
              <w:t>(108.9)</w:t>
            </w:r>
          </w:p>
        </w:tc>
        <w:tc>
          <w:tcPr>
            <w:tcW w:w="991" w:type="dxa"/>
            <w:tcBorders>
              <w:bottom w:val="single" w:sz="2" w:space="0" w:color="3D7FE0" w:themeColor="accent1"/>
            </w:tcBorders>
            <w:tcMar>
              <w:left w:w="0" w:type="dxa"/>
              <w:right w:w="0" w:type="dxa"/>
            </w:tcMar>
          </w:tcPr>
          <w:p w14:paraId="15025FAE" w14:textId="2CEF8682" w:rsidR="00F77F93" w:rsidRPr="00E00F68" w:rsidRDefault="00F77F93" w:rsidP="00F77F93">
            <w:pPr>
              <w:pStyle w:val="TableFiguresBrackets"/>
              <w:rPr>
                <w:rFonts w:ascii="IBM Plex Sans Light" w:hAnsi="IBM Plex Sans Light"/>
                <w:spacing w:val="-4"/>
                <w:sz w:val="18"/>
                <w:szCs w:val="18"/>
              </w:rPr>
            </w:pPr>
            <w:r w:rsidRPr="00E00F68">
              <w:rPr>
                <w:rFonts w:ascii="IBM Plex Sans Light" w:hAnsi="IBM Plex Sans Light"/>
                <w:spacing w:val="-4"/>
                <w:sz w:val="18"/>
                <w:szCs w:val="18"/>
              </w:rPr>
              <w:t>(106.2)</w:t>
            </w:r>
          </w:p>
        </w:tc>
      </w:tr>
      <w:tr w:rsidR="00F77F93" w:rsidRPr="00895810" w14:paraId="7694C6F3" w14:textId="77777777" w:rsidTr="00871202">
        <w:trPr>
          <w:trHeight w:val="283"/>
        </w:trPr>
        <w:tc>
          <w:tcPr>
            <w:tcW w:w="4111" w:type="dxa"/>
            <w:tcBorders>
              <w:top w:val="single" w:sz="2" w:space="0" w:color="3D7FE0" w:themeColor="accent1"/>
              <w:bottom w:val="single" w:sz="4" w:space="0" w:color="3D7FE0" w:themeColor="accent1"/>
            </w:tcBorders>
            <w:tcMar>
              <w:left w:w="0" w:type="dxa"/>
              <w:right w:w="0" w:type="dxa"/>
            </w:tcMar>
            <w:vAlign w:val="bottom"/>
          </w:tcPr>
          <w:p w14:paraId="4B8F655C" w14:textId="15835398" w:rsidR="00F77F93" w:rsidRPr="00895810" w:rsidRDefault="00F77F93" w:rsidP="00F77F93">
            <w:pPr>
              <w:pStyle w:val="TabletextBold"/>
              <w:rPr>
                <w:rFonts w:ascii="IBM Plex Sans Light" w:hAnsi="IBM Plex Sans Light"/>
                <w:bCs/>
                <w:color w:val="3D7FE0" w:themeColor="accent1"/>
                <w:sz w:val="18"/>
                <w:szCs w:val="18"/>
              </w:rPr>
            </w:pPr>
            <w:r w:rsidRPr="00895810">
              <w:rPr>
                <w:rFonts w:ascii="IBM Plex Sans Light" w:hAnsi="IBM Plex Sans Light"/>
                <w:bCs/>
                <w:color w:val="3D7FE0" w:themeColor="accent1"/>
                <w:sz w:val="18"/>
                <w:szCs w:val="18"/>
              </w:rPr>
              <w:t xml:space="preserve">At 31 December </w:t>
            </w:r>
          </w:p>
        </w:tc>
        <w:tc>
          <w:tcPr>
            <w:tcW w:w="284" w:type="dxa"/>
            <w:tcBorders>
              <w:top w:val="single" w:sz="2" w:space="0" w:color="3D7FE0" w:themeColor="accent1"/>
              <w:bottom w:val="single" w:sz="4" w:space="0" w:color="3D7FE0" w:themeColor="accent1"/>
            </w:tcBorders>
            <w:vAlign w:val="bottom"/>
          </w:tcPr>
          <w:p w14:paraId="57305CBA" w14:textId="465CEA7C" w:rsidR="00F77F93" w:rsidRPr="00895810" w:rsidRDefault="00F77F93" w:rsidP="00F77F93">
            <w:pPr>
              <w:pStyle w:val="TableFigures"/>
              <w:rPr>
                <w:rFonts w:ascii="IBM Plex Sans Light" w:hAnsi="IBM Plex Sans Light"/>
                <w:color w:val="auto"/>
                <w:spacing w:val="-4"/>
                <w:sz w:val="18"/>
                <w:szCs w:val="18"/>
              </w:rPr>
            </w:pPr>
          </w:p>
        </w:tc>
        <w:tc>
          <w:tcPr>
            <w:tcW w:w="850" w:type="dxa"/>
            <w:tcBorders>
              <w:top w:val="single" w:sz="2" w:space="0" w:color="3D7FE0" w:themeColor="accent1"/>
              <w:bottom w:val="single" w:sz="4" w:space="0" w:color="3D7FE0" w:themeColor="accent1"/>
            </w:tcBorders>
            <w:tcMar>
              <w:left w:w="0" w:type="dxa"/>
              <w:right w:w="0" w:type="dxa"/>
            </w:tcMar>
          </w:tcPr>
          <w:p w14:paraId="75623165" w14:textId="2F4D7DFE" w:rsidR="00F77F93" w:rsidRPr="00F82829" w:rsidRDefault="00F77F93" w:rsidP="00F77F93">
            <w:pPr>
              <w:pStyle w:val="TableFiguresBold"/>
              <w:rPr>
                <w:rFonts w:ascii="IBM Plex Sans Medium" w:hAnsi="IBM Plex Sans Medium"/>
                <w:color w:val="3D7FE0" w:themeColor="accent1"/>
                <w:spacing w:val="-4"/>
                <w:sz w:val="18"/>
                <w:szCs w:val="18"/>
              </w:rPr>
            </w:pPr>
            <w:r w:rsidRPr="00F82829">
              <w:rPr>
                <w:rFonts w:ascii="IBM Plex Sans Medium" w:hAnsi="IBM Plex Sans Medium"/>
                <w:color w:val="3D7FE0" w:themeColor="accent1"/>
                <w:spacing w:val="-4"/>
                <w:sz w:val="18"/>
                <w:szCs w:val="18"/>
              </w:rPr>
              <w:t>472.3</w:t>
            </w:r>
          </w:p>
        </w:tc>
        <w:tc>
          <w:tcPr>
            <w:tcW w:w="992" w:type="dxa"/>
            <w:tcBorders>
              <w:top w:val="single" w:sz="2" w:space="0" w:color="3D7FE0" w:themeColor="accent1"/>
              <w:bottom w:val="single" w:sz="4" w:space="0" w:color="3D7FE0" w:themeColor="accent1"/>
            </w:tcBorders>
            <w:tcMar>
              <w:left w:w="0" w:type="dxa"/>
              <w:right w:w="0" w:type="dxa"/>
            </w:tcMar>
          </w:tcPr>
          <w:p w14:paraId="530DEA20" w14:textId="4AE7542A"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(1,635.9)</w:t>
            </w:r>
          </w:p>
        </w:tc>
        <w:tc>
          <w:tcPr>
            <w:tcW w:w="851" w:type="dxa"/>
            <w:tcBorders>
              <w:top w:val="single" w:sz="2" w:space="0" w:color="3D7FE0" w:themeColor="accent1"/>
              <w:bottom w:val="single" w:sz="4" w:space="0" w:color="3D7FE0" w:themeColor="accent1"/>
            </w:tcBorders>
            <w:tcMar>
              <w:left w:w="0" w:type="dxa"/>
              <w:right w:w="0" w:type="dxa"/>
            </w:tcMar>
          </w:tcPr>
          <w:p w14:paraId="57DB9FF8" w14:textId="27949D2F" w:rsidR="00F77F93" w:rsidRPr="00F82829" w:rsidRDefault="00F77F93" w:rsidP="007C5135">
            <w:pPr>
              <w:pStyle w:val="TableFiguresBrackets"/>
              <w:rPr>
                <w:rFonts w:ascii="IBM Plex Sans Medium" w:hAnsi="IBM Plex Sans Medium"/>
                <w:b/>
                <w:bCs/>
                <w:color w:val="3D7FE0" w:themeColor="accent1"/>
                <w:spacing w:val="-4"/>
                <w:sz w:val="18"/>
                <w:szCs w:val="18"/>
              </w:rPr>
            </w:pPr>
            <w:r w:rsidRPr="00F82829">
              <w:rPr>
                <w:rFonts w:ascii="IBM Plex Sans Medium" w:hAnsi="IBM Plex Sans Medium"/>
                <w:b/>
                <w:bCs/>
                <w:color w:val="3D7FE0" w:themeColor="accent1"/>
                <w:spacing w:val="-4"/>
                <w:sz w:val="18"/>
                <w:szCs w:val="18"/>
              </w:rPr>
              <w:t>(1,163.6)</w:t>
            </w:r>
          </w:p>
        </w:tc>
        <w:tc>
          <w:tcPr>
            <w:tcW w:w="850" w:type="dxa"/>
            <w:tcBorders>
              <w:top w:val="single" w:sz="2" w:space="0" w:color="3D7FE0" w:themeColor="accent1"/>
              <w:bottom w:val="single" w:sz="4" w:space="0" w:color="3D7FE0" w:themeColor="accent1"/>
            </w:tcBorders>
            <w:tcMar>
              <w:left w:w="0" w:type="dxa"/>
              <w:right w:w="0" w:type="dxa"/>
            </w:tcMar>
          </w:tcPr>
          <w:p w14:paraId="1F94DED6" w14:textId="28477B7E" w:rsidR="00F77F93" w:rsidRPr="00895810" w:rsidRDefault="00F77F93" w:rsidP="00F77F93">
            <w:pPr>
              <w:pStyle w:val="TableFigures"/>
              <w:rPr>
                <w:rFonts w:ascii="IBM Plex Sans Light" w:hAnsi="IBM Plex Sans Light"/>
                <w:color w:val="auto"/>
                <w:spacing w:val="-4"/>
                <w:sz w:val="18"/>
                <w:szCs w:val="18"/>
              </w:rPr>
            </w:pPr>
            <w:r w:rsidRPr="00E00F68">
              <w:rPr>
                <w:rFonts w:ascii="IBM Plex Sans Light" w:hAnsi="IBM Plex Sans Light"/>
                <w:color w:val="auto"/>
                <w:spacing w:val="-4"/>
                <w:sz w:val="18"/>
                <w:szCs w:val="18"/>
              </w:rPr>
              <w:t>218.8</w:t>
            </w:r>
          </w:p>
        </w:tc>
        <w:tc>
          <w:tcPr>
            <w:tcW w:w="993" w:type="dxa"/>
            <w:tcBorders>
              <w:top w:val="single" w:sz="2" w:space="0" w:color="3D7FE0" w:themeColor="accent1"/>
              <w:bottom w:val="single" w:sz="4" w:space="0" w:color="3D7FE0" w:themeColor="accent1"/>
            </w:tcBorders>
            <w:tcMar>
              <w:left w:w="0" w:type="dxa"/>
              <w:right w:w="0" w:type="dxa"/>
            </w:tcMar>
          </w:tcPr>
          <w:p w14:paraId="2D35873E" w14:textId="531D2015" w:rsidR="00F77F93" w:rsidRPr="00895810" w:rsidRDefault="00F77F93" w:rsidP="00F77F93">
            <w:pPr>
              <w:pStyle w:val="TableFiguresBrackets"/>
              <w:rPr>
                <w:rFonts w:ascii="IBM Plex Sans Light" w:hAnsi="IBM Plex Sans Light"/>
                <w:spacing w:val="-4"/>
                <w:sz w:val="18"/>
                <w:szCs w:val="18"/>
              </w:rPr>
            </w:pPr>
            <w:r w:rsidRPr="00E00F68">
              <w:rPr>
                <w:rFonts w:ascii="IBM Plex Sans Light" w:hAnsi="IBM Plex Sans Light"/>
                <w:spacing w:val="-4"/>
                <w:sz w:val="18"/>
                <w:szCs w:val="18"/>
              </w:rPr>
              <w:t>(1,677.0)</w:t>
            </w:r>
          </w:p>
        </w:tc>
        <w:tc>
          <w:tcPr>
            <w:tcW w:w="991" w:type="dxa"/>
            <w:tcBorders>
              <w:top w:val="single" w:sz="2" w:space="0" w:color="3D7FE0" w:themeColor="accent1"/>
              <w:bottom w:val="single" w:sz="4" w:space="0" w:color="3D7FE0" w:themeColor="accent1"/>
            </w:tcBorders>
            <w:tcMar>
              <w:left w:w="0" w:type="dxa"/>
              <w:right w:w="0" w:type="dxa"/>
            </w:tcMar>
          </w:tcPr>
          <w:p w14:paraId="799224A5" w14:textId="72776E10" w:rsidR="00F77F93" w:rsidRPr="00895810" w:rsidRDefault="00F77F93" w:rsidP="00F77F93">
            <w:pPr>
              <w:pStyle w:val="TableFiguresBrackets"/>
              <w:rPr>
                <w:rFonts w:ascii="IBM Plex Sans Light" w:hAnsi="IBM Plex Sans Light"/>
                <w:spacing w:val="-4"/>
                <w:sz w:val="18"/>
                <w:szCs w:val="18"/>
              </w:rPr>
            </w:pPr>
            <w:r w:rsidRPr="00E00F68">
              <w:rPr>
                <w:rFonts w:ascii="IBM Plex Sans Light" w:hAnsi="IBM Plex Sans Light"/>
                <w:spacing w:val="-4"/>
                <w:sz w:val="18"/>
                <w:szCs w:val="18"/>
              </w:rPr>
              <w:t>(1,458.2)</w:t>
            </w:r>
          </w:p>
        </w:tc>
      </w:tr>
    </w:tbl>
    <w:p w14:paraId="62187957" w14:textId="77777777" w:rsidR="00F77F93" w:rsidRDefault="00F77F93" w:rsidP="00F77F93">
      <w:pPr>
        <w:spacing w:after="0" w:line="240" w:lineRule="auto"/>
        <w:rPr>
          <w:rFonts w:ascii="IBM Plex Sans Light" w:hAnsi="IBM Plex Sans Light"/>
        </w:rPr>
      </w:pPr>
      <w:bookmarkStart w:id="4" w:name="_Hlk77954287"/>
    </w:p>
    <w:p w14:paraId="788C9E03" w14:textId="19BF7C83" w:rsidR="001E118C" w:rsidRPr="00F77F93" w:rsidRDefault="00F77F93" w:rsidP="00F77F93">
      <w:pPr>
        <w:spacing w:after="0" w:line="240" w:lineRule="auto"/>
        <w:rPr>
          <w:rFonts w:ascii="IBM Plex Sans Light" w:hAnsi="IBM Plex Sans Light"/>
        </w:rPr>
      </w:pPr>
      <w:r w:rsidRPr="00F77F93">
        <w:rPr>
          <w:rFonts w:ascii="IBM Plex Sans Light" w:hAnsi="IBM Plex Sans Light"/>
        </w:rPr>
        <w:t>Borrowings at 31 December 2023 reflects loans of £1,624.5m (2022: £1,646.4m) and fair value of currency swaps of £11.4m (2022: £30.6m).</w:t>
      </w:r>
    </w:p>
    <w:p w14:paraId="37720862" w14:textId="6B42C6C1" w:rsidR="00AB6B6E" w:rsidRDefault="00AB6B6E">
      <w:pPr>
        <w:spacing w:after="0" w:line="240" w:lineRule="auto"/>
        <w:rPr>
          <w:rFonts w:ascii="IBM Plex Sans Medium" w:hAnsi="IBM Plex Sans Medium" w:cs="Arial"/>
          <w:b/>
          <w:color w:val="3D7FE0" w:themeColor="accent1"/>
          <w:szCs w:val="18"/>
        </w:rPr>
      </w:pPr>
    </w:p>
    <w:p w14:paraId="53EACCA8" w14:textId="516DDE9D" w:rsidR="00552E3C" w:rsidRPr="00AB6B6E" w:rsidRDefault="00717CFB" w:rsidP="00AB6B6E">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2</w:t>
      </w:r>
      <w:r w:rsidR="007C5135">
        <w:rPr>
          <w:rFonts w:ascii="IBM Plex Sans Medium" w:hAnsi="IBM Plex Sans Medium" w:cs="Arial"/>
          <w:b/>
          <w:color w:val="3D7FE0" w:themeColor="accent1"/>
          <w:szCs w:val="18"/>
        </w:rPr>
        <w:t>0</w:t>
      </w:r>
      <w:r w:rsidR="00552E3C" w:rsidRPr="00AB6B6E">
        <w:rPr>
          <w:rFonts w:ascii="IBM Plex Sans Medium" w:hAnsi="IBM Plex Sans Medium" w:cs="Arial"/>
          <w:b/>
          <w:color w:val="3D7FE0" w:themeColor="accent1"/>
          <w:szCs w:val="18"/>
        </w:rPr>
        <w:t>. CONTINGENT LIABILITIES</w:t>
      </w:r>
      <w:r w:rsidR="00D74334" w:rsidRPr="00AB6B6E">
        <w:rPr>
          <w:rFonts w:ascii="IBM Plex Sans Medium" w:hAnsi="IBM Plex Sans Medium" w:cs="Arial"/>
          <w:b/>
          <w:color w:val="3D7FE0" w:themeColor="accent1"/>
          <w:szCs w:val="18"/>
        </w:rPr>
        <w:t xml:space="preserve"> AND COMMITMENTS</w:t>
      </w:r>
    </w:p>
    <w:p w14:paraId="0CF1CF55" w14:textId="5C97DD85" w:rsidR="003606C8" w:rsidRPr="00AB6B6E" w:rsidRDefault="00AB6B6E" w:rsidP="00AB6B6E">
      <w:pPr>
        <w:spacing w:after="60" w:line="240" w:lineRule="auto"/>
        <w:jc w:val="both"/>
        <w:rPr>
          <w:rFonts w:ascii="IBM Plex Sans Light" w:hAnsi="IBM Plex Sans Light" w:cs="Arial"/>
          <w:b/>
          <w:color w:val="3D7FE0" w:themeColor="accent1"/>
          <w:szCs w:val="18"/>
        </w:rPr>
      </w:pPr>
      <w:r>
        <w:rPr>
          <w:rFonts w:ascii="IBM Plex Sans Light" w:hAnsi="IBM Plex Sans Light" w:cs="Arial"/>
          <w:b/>
          <w:color w:val="3D7FE0" w:themeColor="accent1"/>
          <w:szCs w:val="18"/>
        </w:rPr>
        <w:t xml:space="preserve">A: </w:t>
      </w:r>
      <w:r w:rsidR="00C62996" w:rsidRPr="00AB6B6E">
        <w:rPr>
          <w:rFonts w:ascii="IBM Plex Sans Light" w:hAnsi="IBM Plex Sans Light" w:cs="Arial"/>
          <w:b/>
          <w:color w:val="3D7FE0" w:themeColor="accent1"/>
          <w:szCs w:val="18"/>
        </w:rPr>
        <w:t>CONTINGENT LIABILITIES</w:t>
      </w:r>
    </w:p>
    <w:tbl>
      <w:tblPr>
        <w:tblW w:w="9920" w:type="dxa"/>
        <w:tblLayout w:type="fixed"/>
        <w:tblLook w:val="01E0" w:firstRow="1" w:lastRow="1" w:firstColumn="1" w:lastColumn="1" w:noHBand="0" w:noVBand="0"/>
      </w:tblPr>
      <w:tblGrid>
        <w:gridCol w:w="6804"/>
        <w:gridCol w:w="426"/>
        <w:gridCol w:w="1331"/>
        <w:gridCol w:w="1359"/>
      </w:tblGrid>
      <w:tr w:rsidR="002F0A17" w:rsidRPr="00895810" w14:paraId="6AE82F97" w14:textId="77777777" w:rsidTr="00624EE3">
        <w:tc>
          <w:tcPr>
            <w:tcW w:w="6804" w:type="dxa"/>
            <w:tcBorders>
              <w:bottom w:val="single" w:sz="2" w:space="0" w:color="3D7FE0" w:themeColor="accent1"/>
            </w:tcBorders>
            <w:tcMar>
              <w:left w:w="0" w:type="dxa"/>
              <w:right w:w="0" w:type="dxa"/>
            </w:tcMar>
            <w:vAlign w:val="bottom"/>
          </w:tcPr>
          <w:p w14:paraId="06412B97" w14:textId="77777777" w:rsidR="002F0A17" w:rsidRPr="00895810" w:rsidRDefault="002F0A17" w:rsidP="00624EE3">
            <w:pPr>
              <w:spacing w:after="0" w:line="240" w:lineRule="auto"/>
              <w:rPr>
                <w:rFonts w:ascii="IBM Plex Sans Light" w:hAnsi="IBM Plex Sans Light" w:cs="Arial"/>
                <w:b/>
                <w:sz w:val="17"/>
                <w:szCs w:val="17"/>
              </w:rPr>
            </w:pPr>
          </w:p>
        </w:tc>
        <w:tc>
          <w:tcPr>
            <w:tcW w:w="426" w:type="dxa"/>
            <w:tcBorders>
              <w:bottom w:val="single" w:sz="2" w:space="0" w:color="3D7FE0" w:themeColor="accent1"/>
            </w:tcBorders>
            <w:tcMar>
              <w:left w:w="0" w:type="dxa"/>
              <w:right w:w="0" w:type="dxa"/>
            </w:tcMar>
            <w:vAlign w:val="bottom"/>
          </w:tcPr>
          <w:p w14:paraId="0D31EE9D" w14:textId="77777777" w:rsidR="002F0A17" w:rsidRPr="00895810" w:rsidRDefault="002F0A17" w:rsidP="00624EE3">
            <w:pPr>
              <w:spacing w:after="0" w:line="240" w:lineRule="auto"/>
              <w:jc w:val="center"/>
              <w:rPr>
                <w:rFonts w:ascii="IBM Plex Sans Light" w:hAnsi="IBM Plex Sans Light" w:cs="Arial"/>
                <w:color w:val="3D7FE0" w:themeColor="accent1"/>
                <w:sz w:val="17"/>
                <w:szCs w:val="17"/>
              </w:rPr>
            </w:pPr>
          </w:p>
        </w:tc>
        <w:tc>
          <w:tcPr>
            <w:tcW w:w="1331" w:type="dxa"/>
            <w:tcBorders>
              <w:bottom w:val="single" w:sz="2" w:space="0" w:color="3D7FE0" w:themeColor="accent1"/>
            </w:tcBorders>
            <w:tcMar>
              <w:left w:w="0" w:type="dxa"/>
              <w:right w:w="0" w:type="dxa"/>
            </w:tcMar>
            <w:vAlign w:val="bottom"/>
          </w:tcPr>
          <w:p w14:paraId="4F9BBDB3" w14:textId="499964DC" w:rsidR="002F0A17" w:rsidRPr="00895810" w:rsidRDefault="002F0A17" w:rsidP="00624EE3">
            <w:pPr>
              <w:pStyle w:val="TableColHeadsBold"/>
              <w:spacing w:line="240" w:lineRule="auto"/>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 </w:t>
            </w:r>
            <w:r w:rsidR="00785AC2">
              <w:rPr>
                <w:rFonts w:ascii="IBM Plex Sans Light" w:hAnsi="IBM Plex Sans Light"/>
                <w:color w:val="3D7FE0" w:themeColor="accent1"/>
                <w:szCs w:val="14"/>
              </w:rPr>
              <w:t>2023</w:t>
            </w:r>
            <w:r w:rsidRPr="00895810">
              <w:rPr>
                <w:rFonts w:ascii="IBM Plex Sans Light" w:hAnsi="IBM Plex Sans Light"/>
                <w:color w:val="3D7FE0" w:themeColor="accent1"/>
                <w:szCs w:val="14"/>
              </w:rPr>
              <w:t xml:space="preserve"> </w:t>
            </w:r>
          </w:p>
          <w:p w14:paraId="24C94C81" w14:textId="77777777" w:rsidR="002F0A17" w:rsidRPr="00895810" w:rsidRDefault="002F0A17" w:rsidP="00624EE3">
            <w:pPr>
              <w:spacing w:after="0" w:line="240" w:lineRule="auto"/>
              <w:ind w:right="68"/>
              <w:jc w:val="right"/>
              <w:rPr>
                <w:rFonts w:ascii="IBM Plex Sans Light" w:hAnsi="IBM Plex Sans Light" w:cs="Arial"/>
                <w:b/>
                <w:bCs/>
                <w:sz w:val="14"/>
                <w:szCs w:val="14"/>
              </w:rPr>
            </w:pPr>
            <w:r w:rsidRPr="00895810">
              <w:rPr>
                <w:rFonts w:ascii="IBM Plex Sans Light" w:hAnsi="IBM Plex Sans Light"/>
                <w:b/>
                <w:bCs/>
                <w:color w:val="3D7FE0" w:themeColor="accent1"/>
                <w:sz w:val="14"/>
                <w:szCs w:val="14"/>
              </w:rPr>
              <w:t xml:space="preserve">£m </w:t>
            </w:r>
          </w:p>
        </w:tc>
        <w:tc>
          <w:tcPr>
            <w:tcW w:w="1359" w:type="dxa"/>
            <w:tcBorders>
              <w:bottom w:val="single" w:sz="2" w:space="0" w:color="3D7FE0" w:themeColor="accent1"/>
            </w:tcBorders>
            <w:vAlign w:val="bottom"/>
          </w:tcPr>
          <w:p w14:paraId="5988A77C" w14:textId="6A92197F" w:rsidR="002F0A17" w:rsidRPr="00895810" w:rsidRDefault="004376EB" w:rsidP="00624EE3">
            <w:pPr>
              <w:pStyle w:val="TableColHeads"/>
              <w:tabs>
                <w:tab w:val="clear" w:pos="284"/>
              </w:tabs>
              <w:spacing w:line="240" w:lineRule="auto"/>
              <w:ind w:right="0"/>
              <w:rPr>
                <w:rFonts w:ascii="IBM Plex Sans Light" w:hAnsi="IBM Plex Sans Light"/>
                <w:szCs w:val="14"/>
              </w:rPr>
            </w:pPr>
            <w:r>
              <w:rPr>
                <w:rFonts w:ascii="IBM Plex Sans Light" w:hAnsi="IBM Plex Sans Light"/>
                <w:szCs w:val="14"/>
              </w:rPr>
              <w:t>2022</w:t>
            </w:r>
            <w:r w:rsidR="002F0A17" w:rsidRPr="00895810">
              <w:rPr>
                <w:rFonts w:ascii="IBM Plex Sans Light" w:hAnsi="IBM Plex Sans Light"/>
                <w:szCs w:val="14"/>
              </w:rPr>
              <w:t xml:space="preserve"> </w:t>
            </w:r>
          </w:p>
          <w:p w14:paraId="6A8E29D8" w14:textId="77777777" w:rsidR="002F0A17" w:rsidRPr="00895810" w:rsidRDefault="002F0A17" w:rsidP="00624EE3">
            <w:pPr>
              <w:spacing w:after="0" w:line="240" w:lineRule="auto"/>
              <w:jc w:val="right"/>
              <w:rPr>
                <w:rFonts w:ascii="IBM Plex Sans Light" w:hAnsi="IBM Plex Sans Light" w:cs="Arial"/>
                <w:sz w:val="14"/>
                <w:szCs w:val="14"/>
              </w:rPr>
            </w:pPr>
            <w:r w:rsidRPr="00895810">
              <w:rPr>
                <w:rFonts w:ascii="IBM Plex Sans Light" w:hAnsi="IBM Plex Sans Light"/>
                <w:sz w:val="14"/>
                <w:szCs w:val="14"/>
              </w:rPr>
              <w:t xml:space="preserve">£m </w:t>
            </w:r>
          </w:p>
        </w:tc>
      </w:tr>
      <w:tr w:rsidR="002F0A17" w:rsidRPr="00895810" w14:paraId="773BEE54" w14:textId="77777777" w:rsidTr="00624EE3">
        <w:tc>
          <w:tcPr>
            <w:tcW w:w="6804" w:type="dxa"/>
            <w:shd w:val="clear" w:color="auto" w:fill="auto"/>
            <w:tcMar>
              <w:left w:w="0" w:type="dxa"/>
              <w:right w:w="0" w:type="dxa"/>
            </w:tcMar>
            <w:vAlign w:val="bottom"/>
          </w:tcPr>
          <w:p w14:paraId="3F61E963" w14:textId="691117EA" w:rsidR="002F0A17" w:rsidRPr="00895810" w:rsidRDefault="006B6ABF" w:rsidP="00624EE3">
            <w:pPr>
              <w:spacing w:after="0" w:line="240" w:lineRule="auto"/>
              <w:rPr>
                <w:rFonts w:ascii="IBM Plex Sans Light" w:hAnsi="IBM Plex Sans Light" w:cs="Arial"/>
                <w:szCs w:val="18"/>
              </w:rPr>
            </w:pPr>
            <w:r>
              <w:rPr>
                <w:rFonts w:ascii="IBM Plex Sans Light" w:hAnsi="IBM Plex Sans Light" w:cs="Arial"/>
                <w:szCs w:val="18"/>
              </w:rPr>
              <w:t>Reported</w:t>
            </w:r>
            <w:r w:rsidR="002F0A17" w:rsidRPr="00895810">
              <w:rPr>
                <w:rFonts w:ascii="IBM Plex Sans Light" w:hAnsi="IBM Plex Sans Light" w:cs="Arial"/>
                <w:szCs w:val="18"/>
              </w:rPr>
              <w:t xml:space="preserve"> Group</w:t>
            </w:r>
            <w:r>
              <w:rPr>
                <w:rFonts w:ascii="IBM Plex Sans Light" w:hAnsi="IBM Plex Sans Light" w:cs="Arial"/>
                <w:szCs w:val="18"/>
              </w:rPr>
              <w:t>:</w:t>
            </w:r>
          </w:p>
        </w:tc>
        <w:tc>
          <w:tcPr>
            <w:tcW w:w="426" w:type="dxa"/>
            <w:tcMar>
              <w:left w:w="0" w:type="dxa"/>
              <w:right w:w="0" w:type="dxa"/>
            </w:tcMar>
            <w:vAlign w:val="bottom"/>
          </w:tcPr>
          <w:p w14:paraId="2A434CF0" w14:textId="385738F9" w:rsidR="002F0A17" w:rsidRPr="00895810" w:rsidRDefault="002F0A17" w:rsidP="00624EE3">
            <w:pPr>
              <w:pStyle w:val="TableFiguresBold"/>
              <w:jc w:val="center"/>
              <w:rPr>
                <w:rFonts w:ascii="IBM Plex Sans Light" w:hAnsi="IBM Plex Sans Light"/>
                <w:b w:val="0"/>
                <w:bCs w:val="0"/>
                <w:color w:val="auto"/>
                <w:spacing w:val="-4"/>
                <w:szCs w:val="16"/>
              </w:rPr>
            </w:pPr>
          </w:p>
        </w:tc>
        <w:tc>
          <w:tcPr>
            <w:tcW w:w="1331" w:type="dxa"/>
            <w:tcMar>
              <w:left w:w="0" w:type="dxa"/>
              <w:right w:w="0" w:type="dxa"/>
            </w:tcMar>
            <w:vAlign w:val="bottom"/>
          </w:tcPr>
          <w:p w14:paraId="72EB6216" w14:textId="77777777" w:rsidR="002F0A17" w:rsidRPr="00895810" w:rsidRDefault="002F0A17" w:rsidP="00624EE3">
            <w:pPr>
              <w:pStyle w:val="TableFiguresBold"/>
              <w:rPr>
                <w:rFonts w:ascii="IBM Plex Sans Light" w:hAnsi="IBM Plex Sans Light"/>
                <w:b w:val="0"/>
                <w:spacing w:val="-4"/>
                <w:sz w:val="18"/>
                <w:szCs w:val="18"/>
              </w:rPr>
            </w:pPr>
          </w:p>
        </w:tc>
        <w:tc>
          <w:tcPr>
            <w:tcW w:w="1359" w:type="dxa"/>
            <w:vAlign w:val="bottom"/>
          </w:tcPr>
          <w:p w14:paraId="4B1ECA19" w14:textId="3DA354E6" w:rsidR="002F0A17" w:rsidRPr="00895810" w:rsidRDefault="002F0A17" w:rsidP="00D91739">
            <w:pPr>
              <w:pStyle w:val="TableFiguresBrackets"/>
              <w:ind w:right="0"/>
              <w:rPr>
                <w:rFonts w:ascii="IBM Plex Sans Light" w:hAnsi="IBM Plex Sans Light"/>
                <w:b/>
                <w:bCs/>
                <w:spacing w:val="-4"/>
                <w:sz w:val="18"/>
                <w:szCs w:val="18"/>
              </w:rPr>
            </w:pPr>
          </w:p>
        </w:tc>
      </w:tr>
      <w:tr w:rsidR="00F77F93" w:rsidRPr="00895810" w14:paraId="6C1E8686" w14:textId="77777777" w:rsidTr="002C491D">
        <w:tc>
          <w:tcPr>
            <w:tcW w:w="6804" w:type="dxa"/>
            <w:tcMar>
              <w:left w:w="0" w:type="dxa"/>
              <w:right w:w="0" w:type="dxa"/>
            </w:tcMar>
            <w:vAlign w:val="bottom"/>
          </w:tcPr>
          <w:p w14:paraId="107EB957" w14:textId="69F68707" w:rsidR="00F77F93" w:rsidRPr="00895810" w:rsidRDefault="00F77F93" w:rsidP="00F77F93">
            <w:pPr>
              <w:spacing w:after="0" w:line="240" w:lineRule="auto"/>
              <w:rPr>
                <w:rFonts w:ascii="IBM Plex Sans Light" w:hAnsi="IBM Plex Sans Light" w:cs="Arial"/>
                <w:szCs w:val="18"/>
              </w:rPr>
            </w:pPr>
            <w:r w:rsidRPr="00895810">
              <w:rPr>
                <w:rFonts w:ascii="IBM Plex Sans Light" w:hAnsi="IBM Plex Sans Light"/>
                <w:szCs w:val="18"/>
              </w:rPr>
              <w:t xml:space="preserve">– </w:t>
            </w:r>
            <w:r w:rsidRPr="00895810">
              <w:rPr>
                <w:rFonts w:ascii="IBM Plex Sans Light" w:hAnsi="IBM Plex Sans Light" w:cs="Arial"/>
                <w:szCs w:val="18"/>
              </w:rPr>
              <w:t>guarantees given</w:t>
            </w:r>
          </w:p>
        </w:tc>
        <w:tc>
          <w:tcPr>
            <w:tcW w:w="426" w:type="dxa"/>
            <w:tcMar>
              <w:left w:w="0" w:type="dxa"/>
              <w:right w:w="0" w:type="dxa"/>
            </w:tcMar>
            <w:vAlign w:val="bottom"/>
          </w:tcPr>
          <w:p w14:paraId="6898F53A" w14:textId="77777777" w:rsidR="00F77F93" w:rsidRPr="00895810" w:rsidRDefault="00F77F93" w:rsidP="00F77F93">
            <w:pPr>
              <w:pStyle w:val="TableFiguresBold"/>
              <w:jc w:val="center"/>
              <w:rPr>
                <w:rFonts w:ascii="IBM Plex Sans Light" w:hAnsi="IBM Plex Sans Light"/>
                <w:b w:val="0"/>
                <w:bCs w:val="0"/>
                <w:color w:val="auto"/>
                <w:spacing w:val="-4"/>
                <w:szCs w:val="16"/>
              </w:rPr>
            </w:pPr>
          </w:p>
        </w:tc>
        <w:tc>
          <w:tcPr>
            <w:tcW w:w="1331" w:type="dxa"/>
            <w:tcMar>
              <w:left w:w="0" w:type="dxa"/>
              <w:right w:w="0" w:type="dxa"/>
            </w:tcMar>
          </w:tcPr>
          <w:p w14:paraId="4F049BDE" w14:textId="05541B36" w:rsidR="00F77F93" w:rsidRPr="00F77F93" w:rsidRDefault="00F77F93" w:rsidP="00F77F9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23</w:t>
            </w:r>
            <w:r w:rsidR="009F56BD">
              <w:rPr>
                <w:rFonts w:ascii="IBM Plex Sans Medium" w:hAnsi="IBM Plex Sans Medium"/>
                <w:color w:val="3D7FE0" w:themeColor="accent1"/>
                <w:spacing w:val="-4"/>
                <w:sz w:val="18"/>
                <w:szCs w:val="18"/>
              </w:rPr>
              <w:t>.1</w:t>
            </w:r>
          </w:p>
        </w:tc>
        <w:tc>
          <w:tcPr>
            <w:tcW w:w="1359" w:type="dxa"/>
            <w:vAlign w:val="bottom"/>
          </w:tcPr>
          <w:p w14:paraId="7EDC7FC4" w14:textId="11746ECC" w:rsidR="00F77F93" w:rsidRPr="00895810" w:rsidRDefault="00F77F93" w:rsidP="00F77F93">
            <w:pPr>
              <w:pStyle w:val="TableFiguresBrackets"/>
              <w:ind w:right="0"/>
              <w:rPr>
                <w:rFonts w:ascii="IBM Plex Sans Light" w:hAnsi="IBM Plex Sans Light"/>
                <w:spacing w:val="-4"/>
                <w:sz w:val="18"/>
                <w:szCs w:val="18"/>
              </w:rPr>
            </w:pPr>
            <w:r>
              <w:rPr>
                <w:rFonts w:ascii="IBM Plex Sans Light" w:hAnsi="IBM Plex Sans Light"/>
                <w:spacing w:val="-4"/>
                <w:sz w:val="18"/>
                <w:szCs w:val="18"/>
              </w:rPr>
              <w:t>45</w:t>
            </w:r>
            <w:r w:rsidR="009F56BD">
              <w:rPr>
                <w:rFonts w:ascii="IBM Plex Sans Light" w:hAnsi="IBM Plex Sans Light"/>
                <w:spacing w:val="-4"/>
                <w:sz w:val="18"/>
                <w:szCs w:val="18"/>
              </w:rPr>
              <w:t>.3</w:t>
            </w:r>
          </w:p>
        </w:tc>
      </w:tr>
      <w:tr w:rsidR="00F77F93" w:rsidRPr="00895810" w14:paraId="55605604" w14:textId="77777777" w:rsidTr="002C491D">
        <w:tc>
          <w:tcPr>
            <w:tcW w:w="6804" w:type="dxa"/>
            <w:tcMar>
              <w:left w:w="0" w:type="dxa"/>
              <w:right w:w="0" w:type="dxa"/>
            </w:tcMar>
            <w:vAlign w:val="bottom"/>
          </w:tcPr>
          <w:p w14:paraId="5BDE61F3" w14:textId="3DBD1B56" w:rsidR="00F77F93" w:rsidRPr="00895810" w:rsidRDefault="00F77F93" w:rsidP="00F77F93">
            <w:pPr>
              <w:spacing w:after="0" w:line="240" w:lineRule="auto"/>
              <w:rPr>
                <w:rFonts w:ascii="IBM Plex Sans Light" w:hAnsi="IBM Plex Sans Light" w:cs="Arial"/>
                <w:szCs w:val="18"/>
              </w:rPr>
            </w:pPr>
            <w:r w:rsidRPr="00895810">
              <w:rPr>
                <w:rFonts w:ascii="IBM Plex Sans Light" w:hAnsi="IBM Plex Sans Light"/>
                <w:szCs w:val="18"/>
              </w:rPr>
              <w:t>– claims arising in the normal course of business</w:t>
            </w:r>
          </w:p>
        </w:tc>
        <w:tc>
          <w:tcPr>
            <w:tcW w:w="426" w:type="dxa"/>
            <w:tcMar>
              <w:left w:w="0" w:type="dxa"/>
              <w:right w:w="0" w:type="dxa"/>
            </w:tcMar>
            <w:vAlign w:val="bottom"/>
          </w:tcPr>
          <w:p w14:paraId="7D6088D5" w14:textId="77777777" w:rsidR="00F77F93" w:rsidRPr="00895810" w:rsidRDefault="00F77F93" w:rsidP="00F77F93">
            <w:pPr>
              <w:pStyle w:val="TableFiguresBold"/>
              <w:jc w:val="center"/>
              <w:rPr>
                <w:rFonts w:ascii="IBM Plex Sans Light" w:hAnsi="IBM Plex Sans Light"/>
                <w:b w:val="0"/>
                <w:bCs w:val="0"/>
                <w:color w:val="auto"/>
                <w:spacing w:val="-4"/>
                <w:szCs w:val="16"/>
              </w:rPr>
            </w:pPr>
          </w:p>
        </w:tc>
        <w:tc>
          <w:tcPr>
            <w:tcW w:w="1331" w:type="dxa"/>
            <w:tcMar>
              <w:left w:w="0" w:type="dxa"/>
              <w:right w:w="0" w:type="dxa"/>
            </w:tcMar>
          </w:tcPr>
          <w:p w14:paraId="7B6E403F" w14:textId="0845A130" w:rsidR="00F77F93" w:rsidRPr="00F77F93" w:rsidRDefault="00F77F93" w:rsidP="00F77F9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1</w:t>
            </w:r>
            <w:r w:rsidR="009F56BD">
              <w:rPr>
                <w:rFonts w:ascii="IBM Plex Sans Medium" w:hAnsi="IBM Plex Sans Medium"/>
                <w:color w:val="3D7FE0" w:themeColor="accent1"/>
                <w:spacing w:val="-4"/>
                <w:sz w:val="18"/>
                <w:szCs w:val="18"/>
              </w:rPr>
              <w:t>5.6</w:t>
            </w:r>
          </w:p>
        </w:tc>
        <w:tc>
          <w:tcPr>
            <w:tcW w:w="1359" w:type="dxa"/>
            <w:vAlign w:val="bottom"/>
          </w:tcPr>
          <w:p w14:paraId="4FA3AE3E" w14:textId="2326CABE" w:rsidR="00F77F93" w:rsidRPr="00895810" w:rsidRDefault="00F77F93" w:rsidP="00F77F93">
            <w:pPr>
              <w:pStyle w:val="TableFiguresBrackets"/>
              <w:ind w:right="0"/>
              <w:rPr>
                <w:rFonts w:ascii="IBM Plex Sans Light" w:hAnsi="IBM Plex Sans Light"/>
                <w:spacing w:val="-4"/>
                <w:sz w:val="18"/>
                <w:szCs w:val="18"/>
              </w:rPr>
            </w:pPr>
            <w:r>
              <w:rPr>
                <w:rFonts w:ascii="IBM Plex Sans Light" w:hAnsi="IBM Plex Sans Light"/>
                <w:spacing w:val="-4"/>
                <w:sz w:val="18"/>
                <w:szCs w:val="18"/>
              </w:rPr>
              <w:t>34</w:t>
            </w:r>
            <w:r w:rsidR="009F56BD">
              <w:rPr>
                <w:rFonts w:ascii="IBM Plex Sans Light" w:hAnsi="IBM Plex Sans Light"/>
                <w:spacing w:val="-4"/>
                <w:sz w:val="18"/>
                <w:szCs w:val="18"/>
              </w:rPr>
              <w:t>.0</w:t>
            </w:r>
          </w:p>
        </w:tc>
      </w:tr>
      <w:tr w:rsidR="00F77F93" w:rsidRPr="00895810" w14:paraId="480D499D" w14:textId="77777777" w:rsidTr="002C491D">
        <w:tc>
          <w:tcPr>
            <w:tcW w:w="6804" w:type="dxa"/>
            <w:tcMar>
              <w:left w:w="0" w:type="dxa"/>
              <w:right w:w="0" w:type="dxa"/>
            </w:tcMar>
            <w:vAlign w:val="bottom"/>
          </w:tcPr>
          <w:p w14:paraId="51331722" w14:textId="14DA0443" w:rsidR="00F77F93" w:rsidRPr="00895810" w:rsidRDefault="006B6ABF" w:rsidP="00F77F93">
            <w:pPr>
              <w:spacing w:after="0" w:line="240" w:lineRule="auto"/>
              <w:rPr>
                <w:rFonts w:ascii="IBM Plex Sans Light" w:hAnsi="IBM Plex Sans Light" w:cs="Arial"/>
                <w:szCs w:val="18"/>
              </w:rPr>
            </w:pPr>
            <w:r>
              <w:rPr>
                <w:rFonts w:ascii="IBM Plex Sans Light" w:hAnsi="IBM Plex Sans Light"/>
                <w:szCs w:val="18"/>
              </w:rPr>
              <w:t>S</w:t>
            </w:r>
            <w:r w:rsidR="00F77F93" w:rsidRPr="00895810">
              <w:rPr>
                <w:rFonts w:ascii="IBM Plex Sans Light" w:hAnsi="IBM Plex Sans Light"/>
                <w:szCs w:val="18"/>
              </w:rPr>
              <w:t xml:space="preserve">hare </w:t>
            </w:r>
            <w:r w:rsidR="00F77F93">
              <w:rPr>
                <w:rFonts w:ascii="IBM Plex Sans Light" w:hAnsi="IBM Plex Sans Light"/>
                <w:szCs w:val="18"/>
              </w:rPr>
              <w:t xml:space="preserve">of Property </w:t>
            </w:r>
            <w:r>
              <w:rPr>
                <w:rFonts w:ascii="IBM Plex Sans Light" w:hAnsi="IBM Plex Sans Light"/>
                <w:szCs w:val="18"/>
              </w:rPr>
              <w:t>i</w:t>
            </w:r>
            <w:r w:rsidR="00F77F93">
              <w:rPr>
                <w:rFonts w:ascii="IBM Plex Sans Light" w:hAnsi="IBM Plex Sans Light"/>
                <w:szCs w:val="18"/>
              </w:rPr>
              <w:t>nterests</w:t>
            </w:r>
            <w:r w:rsidR="00F77F93" w:rsidRPr="00895810">
              <w:rPr>
                <w:rFonts w:ascii="IBM Plex Sans Light" w:hAnsi="IBM Plex Sans Light"/>
                <w:szCs w:val="18"/>
              </w:rPr>
              <w:t xml:space="preserve"> </w:t>
            </w:r>
            <w:r w:rsidR="00452848" w:rsidRPr="00895810">
              <w:rPr>
                <w:rFonts w:ascii="IBM Plex Sans Light" w:hAnsi="IBM Plex Sans Light"/>
                <w:szCs w:val="18"/>
              </w:rPr>
              <w:t>– claims arising in the normal course of business</w:t>
            </w:r>
          </w:p>
        </w:tc>
        <w:tc>
          <w:tcPr>
            <w:tcW w:w="426" w:type="dxa"/>
            <w:tcMar>
              <w:left w:w="0" w:type="dxa"/>
              <w:right w:w="0" w:type="dxa"/>
            </w:tcMar>
            <w:vAlign w:val="bottom"/>
          </w:tcPr>
          <w:p w14:paraId="300B4EB1" w14:textId="77777777" w:rsidR="00F77F93" w:rsidRPr="00895810" w:rsidRDefault="00F77F93" w:rsidP="00F77F93">
            <w:pPr>
              <w:pStyle w:val="TableFiguresBold"/>
              <w:jc w:val="center"/>
              <w:rPr>
                <w:rFonts w:ascii="IBM Plex Sans Light" w:hAnsi="IBM Plex Sans Light"/>
                <w:b w:val="0"/>
                <w:bCs w:val="0"/>
                <w:color w:val="auto"/>
                <w:spacing w:val="-4"/>
                <w:szCs w:val="16"/>
              </w:rPr>
            </w:pPr>
          </w:p>
        </w:tc>
        <w:tc>
          <w:tcPr>
            <w:tcW w:w="1331" w:type="dxa"/>
            <w:tcMar>
              <w:left w:w="0" w:type="dxa"/>
              <w:right w:w="0" w:type="dxa"/>
            </w:tcMar>
          </w:tcPr>
          <w:p w14:paraId="3CD69FE3" w14:textId="743116F5" w:rsidR="00F77F93" w:rsidRPr="00F77F93" w:rsidRDefault="00F77F93" w:rsidP="00F77F9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12</w:t>
            </w:r>
            <w:r w:rsidR="009F56BD">
              <w:rPr>
                <w:rFonts w:ascii="IBM Plex Sans Medium" w:hAnsi="IBM Plex Sans Medium"/>
                <w:color w:val="3D7FE0" w:themeColor="accent1"/>
                <w:spacing w:val="-4"/>
                <w:sz w:val="18"/>
                <w:szCs w:val="18"/>
              </w:rPr>
              <w:t>.4</w:t>
            </w:r>
          </w:p>
        </w:tc>
        <w:tc>
          <w:tcPr>
            <w:tcW w:w="1359" w:type="dxa"/>
            <w:vAlign w:val="bottom"/>
          </w:tcPr>
          <w:p w14:paraId="10C09B2A" w14:textId="0BF377FE" w:rsidR="00F77F93" w:rsidRPr="00895810" w:rsidRDefault="009F56BD" w:rsidP="00F77F93">
            <w:pPr>
              <w:pStyle w:val="TableFiguresBrackets"/>
              <w:ind w:right="0"/>
              <w:rPr>
                <w:rFonts w:ascii="IBM Plex Sans Light" w:hAnsi="IBM Plex Sans Light"/>
                <w:b/>
                <w:bCs/>
                <w:spacing w:val="-4"/>
                <w:sz w:val="18"/>
                <w:szCs w:val="18"/>
              </w:rPr>
            </w:pPr>
            <w:r>
              <w:rPr>
                <w:rFonts w:ascii="IBM Plex Sans Light" w:hAnsi="IBM Plex Sans Light"/>
                <w:spacing w:val="-4"/>
                <w:sz w:val="18"/>
                <w:szCs w:val="18"/>
              </w:rPr>
              <w:t>6.5</w:t>
            </w:r>
          </w:p>
        </w:tc>
      </w:tr>
      <w:tr w:rsidR="00F77F93" w:rsidRPr="00895810" w14:paraId="1B3000BA" w14:textId="77777777" w:rsidTr="002C491D">
        <w:tc>
          <w:tcPr>
            <w:tcW w:w="6804" w:type="dxa"/>
            <w:tcBorders>
              <w:top w:val="single" w:sz="2" w:space="0" w:color="3D7FE0" w:themeColor="accent1"/>
              <w:bottom w:val="single" w:sz="8" w:space="0" w:color="3D7FE0" w:themeColor="accent1"/>
            </w:tcBorders>
            <w:tcMar>
              <w:left w:w="0" w:type="dxa"/>
              <w:right w:w="0" w:type="dxa"/>
            </w:tcMar>
            <w:vAlign w:val="bottom"/>
          </w:tcPr>
          <w:p w14:paraId="12468AD1" w14:textId="77777777" w:rsidR="00F77F93" w:rsidRPr="00895810" w:rsidRDefault="00F77F93" w:rsidP="00F77F93">
            <w:pPr>
              <w:spacing w:after="0" w:line="240" w:lineRule="auto"/>
              <w:rPr>
                <w:rFonts w:ascii="IBM Plex Sans Light" w:hAnsi="IBM Plex Sans Light"/>
                <w:szCs w:val="18"/>
              </w:rPr>
            </w:pPr>
          </w:p>
        </w:tc>
        <w:tc>
          <w:tcPr>
            <w:tcW w:w="426" w:type="dxa"/>
            <w:tcBorders>
              <w:top w:val="single" w:sz="2" w:space="0" w:color="3D7FE0" w:themeColor="accent1"/>
              <w:bottom w:val="single" w:sz="8" w:space="0" w:color="3D7FE0" w:themeColor="accent1"/>
            </w:tcBorders>
            <w:tcMar>
              <w:left w:w="0" w:type="dxa"/>
              <w:right w:w="0" w:type="dxa"/>
            </w:tcMar>
            <w:vAlign w:val="bottom"/>
          </w:tcPr>
          <w:p w14:paraId="37482A66" w14:textId="77777777" w:rsidR="00F77F93" w:rsidRPr="00895810" w:rsidRDefault="00F77F93" w:rsidP="00F77F93">
            <w:pPr>
              <w:pStyle w:val="TableFiguresBold"/>
              <w:jc w:val="center"/>
              <w:rPr>
                <w:rFonts w:ascii="IBM Plex Sans Light" w:hAnsi="IBM Plex Sans Light"/>
                <w:b w:val="0"/>
                <w:bCs w:val="0"/>
                <w:color w:val="auto"/>
                <w:spacing w:val="-4"/>
                <w:szCs w:val="16"/>
              </w:rPr>
            </w:pPr>
          </w:p>
        </w:tc>
        <w:tc>
          <w:tcPr>
            <w:tcW w:w="1331" w:type="dxa"/>
            <w:tcBorders>
              <w:top w:val="single" w:sz="2" w:space="0" w:color="3D7FE0" w:themeColor="accent1"/>
              <w:bottom w:val="single" w:sz="8" w:space="0" w:color="3D7FE0" w:themeColor="accent1"/>
            </w:tcBorders>
            <w:tcMar>
              <w:left w:w="0" w:type="dxa"/>
              <w:right w:w="0" w:type="dxa"/>
            </w:tcMar>
          </w:tcPr>
          <w:p w14:paraId="668F66EA" w14:textId="6C344F62" w:rsidR="00F77F93" w:rsidRPr="00F77F93" w:rsidRDefault="00F77F93" w:rsidP="00F77F93">
            <w:pPr>
              <w:pStyle w:val="TableFiguresBold"/>
              <w:rPr>
                <w:rFonts w:ascii="IBM Plex Sans Medium" w:hAnsi="IBM Plex Sans Medium"/>
                <w:color w:val="3D7FE0" w:themeColor="accent1"/>
                <w:spacing w:val="-4"/>
                <w:sz w:val="18"/>
                <w:szCs w:val="18"/>
              </w:rPr>
            </w:pPr>
            <w:r w:rsidRPr="00F77F93">
              <w:rPr>
                <w:rFonts w:ascii="IBM Plex Sans Medium" w:hAnsi="IBM Plex Sans Medium"/>
                <w:color w:val="3D7FE0" w:themeColor="accent1"/>
                <w:spacing w:val="-4"/>
                <w:sz w:val="18"/>
                <w:szCs w:val="18"/>
              </w:rPr>
              <w:t>51</w:t>
            </w:r>
            <w:r w:rsidR="009F56BD">
              <w:rPr>
                <w:rFonts w:ascii="IBM Plex Sans Medium" w:hAnsi="IBM Plex Sans Medium"/>
                <w:color w:val="3D7FE0" w:themeColor="accent1"/>
                <w:spacing w:val="-4"/>
                <w:sz w:val="18"/>
                <w:szCs w:val="18"/>
              </w:rPr>
              <w:t>.1</w:t>
            </w:r>
          </w:p>
        </w:tc>
        <w:tc>
          <w:tcPr>
            <w:tcW w:w="1359" w:type="dxa"/>
            <w:tcBorders>
              <w:top w:val="single" w:sz="2" w:space="0" w:color="3D7FE0" w:themeColor="accent1"/>
              <w:bottom w:val="single" w:sz="8" w:space="0" w:color="3D7FE0" w:themeColor="accent1"/>
            </w:tcBorders>
            <w:vAlign w:val="bottom"/>
          </w:tcPr>
          <w:p w14:paraId="266C1360" w14:textId="02043D94" w:rsidR="00F77F93" w:rsidRPr="00895810" w:rsidRDefault="00F77F93" w:rsidP="00F77F93">
            <w:pPr>
              <w:pStyle w:val="TableFiguresBrackets"/>
              <w:ind w:right="0"/>
              <w:rPr>
                <w:rFonts w:ascii="IBM Plex Sans Light" w:hAnsi="IBM Plex Sans Light"/>
                <w:spacing w:val="-4"/>
                <w:sz w:val="18"/>
                <w:szCs w:val="18"/>
              </w:rPr>
            </w:pPr>
            <w:r>
              <w:rPr>
                <w:rFonts w:ascii="IBM Plex Sans Light" w:hAnsi="IBM Plex Sans Light"/>
                <w:spacing w:val="-4"/>
                <w:sz w:val="18"/>
                <w:szCs w:val="18"/>
              </w:rPr>
              <w:t>8</w:t>
            </w:r>
            <w:r w:rsidR="009F56BD">
              <w:rPr>
                <w:rFonts w:ascii="IBM Plex Sans Light" w:hAnsi="IBM Plex Sans Light"/>
                <w:spacing w:val="-4"/>
                <w:sz w:val="18"/>
                <w:szCs w:val="18"/>
              </w:rPr>
              <w:t>5.8</w:t>
            </w:r>
          </w:p>
        </w:tc>
      </w:tr>
    </w:tbl>
    <w:p w14:paraId="50466CD5" w14:textId="77777777" w:rsidR="00F77F93" w:rsidRPr="00F77F93" w:rsidRDefault="00F77F93" w:rsidP="00F77F93">
      <w:pPr>
        <w:spacing w:after="0" w:line="240" w:lineRule="auto"/>
        <w:rPr>
          <w:rFonts w:ascii="IBM Plex Sans Light" w:hAnsi="IBM Plex Sans Light"/>
        </w:rPr>
      </w:pPr>
    </w:p>
    <w:p w14:paraId="3AC57A30" w14:textId="6BE98AFC" w:rsidR="00F77F93" w:rsidRDefault="00F77F93" w:rsidP="00F77F93">
      <w:pPr>
        <w:spacing w:after="0" w:line="240" w:lineRule="auto"/>
        <w:rPr>
          <w:rFonts w:ascii="IBM Plex Sans Light" w:hAnsi="IBM Plex Sans Light"/>
        </w:rPr>
      </w:pPr>
      <w:r w:rsidRPr="00F77F93">
        <w:rPr>
          <w:rFonts w:ascii="IBM Plex Sans Light" w:hAnsi="IBM Plex Sans Light"/>
        </w:rPr>
        <w:t>In addition, the Group operates in a number of jurisdictions and is subject to periodic challenges by local tax authorities on a range of tax matters during the normal course of business. The tax impact can be uncertain until a conclusion is reached with the relevant tax authority or through a legal process. The Group addresses this by closely monitoring these potential instances, seeking independent advice and maintaining transparency with the authorities it deals with as and when any enquiries are made. As a result, the Group has identified a potential tax exposure attributable to the ongoing applicability of tax treatments adopted in respect of certain tax structures within the Group. The range of potential outcomes is a possible outflow of minimum £nil and maximum £122m (2022: minimum £nil and maximum £145m). The Directors have not provided for this amount because they do not believe an outflow is probable.</w:t>
      </w:r>
    </w:p>
    <w:p w14:paraId="1D185DE3" w14:textId="77777777" w:rsidR="00F77F93" w:rsidRPr="00F77F93" w:rsidRDefault="00F77F93" w:rsidP="00F77F93">
      <w:pPr>
        <w:spacing w:after="0" w:line="240" w:lineRule="auto"/>
        <w:rPr>
          <w:rFonts w:ascii="IBM Plex Sans Light" w:hAnsi="IBM Plex Sans Light"/>
        </w:rPr>
      </w:pPr>
    </w:p>
    <w:p w14:paraId="0176BD7D" w14:textId="76EA8CCE" w:rsidR="00F61C44" w:rsidRPr="00AB6B6E" w:rsidRDefault="00F61C44" w:rsidP="00F61C44">
      <w:pPr>
        <w:spacing w:after="60" w:line="240" w:lineRule="auto"/>
        <w:jc w:val="both"/>
        <w:rPr>
          <w:rFonts w:ascii="IBM Plex Sans Light" w:hAnsi="IBM Plex Sans Light" w:cs="Arial"/>
          <w:b/>
          <w:color w:val="3D7FE0" w:themeColor="accent1"/>
          <w:szCs w:val="18"/>
        </w:rPr>
      </w:pPr>
      <w:r>
        <w:rPr>
          <w:rFonts w:ascii="IBM Plex Sans Light" w:hAnsi="IBM Plex Sans Light" w:cs="Arial"/>
          <w:b/>
          <w:color w:val="3D7FE0" w:themeColor="accent1"/>
          <w:szCs w:val="18"/>
        </w:rPr>
        <w:t xml:space="preserve">B: </w:t>
      </w:r>
      <w:r w:rsidR="00C62996" w:rsidRPr="00AB6B6E">
        <w:rPr>
          <w:rFonts w:ascii="IBM Plex Sans Light" w:hAnsi="IBM Plex Sans Light" w:cs="Arial"/>
          <w:b/>
          <w:color w:val="3D7FE0" w:themeColor="accent1"/>
          <w:szCs w:val="18"/>
        </w:rPr>
        <w:t>CAPITAL COMMITMENTS ON INVESTMENT PROPERTIES</w:t>
      </w:r>
    </w:p>
    <w:tbl>
      <w:tblPr>
        <w:tblW w:w="9920" w:type="dxa"/>
        <w:tblLayout w:type="fixed"/>
        <w:tblLook w:val="01E0" w:firstRow="1" w:lastRow="1" w:firstColumn="1" w:lastColumn="1" w:noHBand="0" w:noVBand="0"/>
      </w:tblPr>
      <w:tblGrid>
        <w:gridCol w:w="6804"/>
        <w:gridCol w:w="426"/>
        <w:gridCol w:w="1331"/>
        <w:gridCol w:w="1359"/>
      </w:tblGrid>
      <w:tr w:rsidR="00F61C44" w:rsidRPr="00895810" w14:paraId="32D9F98F" w14:textId="77777777" w:rsidTr="00E121A7">
        <w:tc>
          <w:tcPr>
            <w:tcW w:w="6804" w:type="dxa"/>
            <w:tcBorders>
              <w:bottom w:val="single" w:sz="2" w:space="0" w:color="3D7FE0" w:themeColor="accent1"/>
            </w:tcBorders>
            <w:tcMar>
              <w:left w:w="0" w:type="dxa"/>
              <w:right w:w="0" w:type="dxa"/>
            </w:tcMar>
            <w:vAlign w:val="bottom"/>
          </w:tcPr>
          <w:p w14:paraId="43501543" w14:textId="77777777" w:rsidR="00F61C44" w:rsidRPr="00895810" w:rsidRDefault="00F61C44" w:rsidP="00017BB3">
            <w:pPr>
              <w:spacing w:after="0" w:line="240" w:lineRule="auto"/>
              <w:rPr>
                <w:rFonts w:ascii="IBM Plex Sans Light" w:hAnsi="IBM Plex Sans Light" w:cs="Arial"/>
                <w:b/>
                <w:sz w:val="17"/>
                <w:szCs w:val="17"/>
              </w:rPr>
            </w:pPr>
          </w:p>
        </w:tc>
        <w:tc>
          <w:tcPr>
            <w:tcW w:w="426" w:type="dxa"/>
            <w:tcBorders>
              <w:bottom w:val="single" w:sz="2" w:space="0" w:color="3D7FE0" w:themeColor="accent1"/>
            </w:tcBorders>
            <w:tcMar>
              <w:left w:w="0" w:type="dxa"/>
              <w:right w:w="0" w:type="dxa"/>
            </w:tcMar>
            <w:vAlign w:val="bottom"/>
          </w:tcPr>
          <w:p w14:paraId="724C95A9" w14:textId="77777777" w:rsidR="00F61C44" w:rsidRPr="00895810" w:rsidRDefault="00F61C44" w:rsidP="00017BB3">
            <w:pPr>
              <w:spacing w:after="0" w:line="240" w:lineRule="auto"/>
              <w:jc w:val="center"/>
              <w:rPr>
                <w:rFonts w:ascii="IBM Plex Sans Light" w:hAnsi="IBM Plex Sans Light" w:cs="Arial"/>
                <w:color w:val="3D7FE0" w:themeColor="accent1"/>
                <w:sz w:val="17"/>
                <w:szCs w:val="17"/>
              </w:rPr>
            </w:pPr>
          </w:p>
        </w:tc>
        <w:tc>
          <w:tcPr>
            <w:tcW w:w="1331" w:type="dxa"/>
            <w:tcBorders>
              <w:bottom w:val="single" w:sz="2" w:space="0" w:color="3D7FE0" w:themeColor="accent1"/>
            </w:tcBorders>
            <w:tcMar>
              <w:left w:w="0" w:type="dxa"/>
              <w:right w:w="0" w:type="dxa"/>
            </w:tcMar>
            <w:vAlign w:val="bottom"/>
          </w:tcPr>
          <w:p w14:paraId="7F167664" w14:textId="77777777" w:rsidR="00F61C44" w:rsidRPr="00895810" w:rsidRDefault="00F61C44" w:rsidP="00017BB3">
            <w:pPr>
              <w:pStyle w:val="TableColHeadsBold"/>
              <w:spacing w:line="240" w:lineRule="auto"/>
              <w:rPr>
                <w:rFonts w:ascii="IBM Plex Sans Light" w:hAnsi="IBM Plex Sans Light"/>
                <w:color w:val="3D7FE0" w:themeColor="accent1"/>
                <w:szCs w:val="14"/>
              </w:rPr>
            </w:pPr>
            <w:r w:rsidRPr="00895810">
              <w:rPr>
                <w:rFonts w:ascii="IBM Plex Sans Light" w:hAnsi="IBM Plex Sans Light"/>
                <w:color w:val="3D7FE0" w:themeColor="accent1"/>
                <w:szCs w:val="14"/>
              </w:rPr>
              <w:t xml:space="preserve"> </w:t>
            </w:r>
            <w:r>
              <w:rPr>
                <w:rFonts w:ascii="IBM Plex Sans Light" w:hAnsi="IBM Plex Sans Light"/>
                <w:color w:val="3D7FE0" w:themeColor="accent1"/>
                <w:szCs w:val="14"/>
              </w:rPr>
              <w:t>2023</w:t>
            </w:r>
            <w:r w:rsidRPr="00895810">
              <w:rPr>
                <w:rFonts w:ascii="IBM Plex Sans Light" w:hAnsi="IBM Plex Sans Light"/>
                <w:color w:val="3D7FE0" w:themeColor="accent1"/>
                <w:szCs w:val="14"/>
              </w:rPr>
              <w:t xml:space="preserve"> </w:t>
            </w:r>
          </w:p>
          <w:p w14:paraId="1BC8E03A" w14:textId="77777777" w:rsidR="00F61C44" w:rsidRPr="00895810" w:rsidRDefault="00F61C44" w:rsidP="00017BB3">
            <w:pPr>
              <w:spacing w:after="0" w:line="240" w:lineRule="auto"/>
              <w:ind w:right="68"/>
              <w:jc w:val="right"/>
              <w:rPr>
                <w:rFonts w:ascii="IBM Plex Sans Light" w:hAnsi="IBM Plex Sans Light" w:cs="Arial"/>
                <w:b/>
                <w:bCs/>
                <w:sz w:val="14"/>
                <w:szCs w:val="14"/>
              </w:rPr>
            </w:pPr>
            <w:r w:rsidRPr="00895810">
              <w:rPr>
                <w:rFonts w:ascii="IBM Plex Sans Light" w:hAnsi="IBM Plex Sans Light"/>
                <w:b/>
                <w:bCs/>
                <w:color w:val="3D7FE0" w:themeColor="accent1"/>
                <w:sz w:val="14"/>
                <w:szCs w:val="14"/>
              </w:rPr>
              <w:t xml:space="preserve">£m </w:t>
            </w:r>
          </w:p>
        </w:tc>
        <w:tc>
          <w:tcPr>
            <w:tcW w:w="1359" w:type="dxa"/>
            <w:tcBorders>
              <w:bottom w:val="single" w:sz="2" w:space="0" w:color="3D7FE0" w:themeColor="accent1"/>
            </w:tcBorders>
            <w:vAlign w:val="bottom"/>
          </w:tcPr>
          <w:p w14:paraId="044EDB54" w14:textId="77777777" w:rsidR="00F61C44" w:rsidRPr="00895810" w:rsidRDefault="00F61C44" w:rsidP="00017BB3">
            <w:pPr>
              <w:pStyle w:val="TableColHeads"/>
              <w:tabs>
                <w:tab w:val="clear" w:pos="284"/>
              </w:tabs>
              <w:spacing w:line="240" w:lineRule="auto"/>
              <w:ind w:right="0"/>
              <w:rPr>
                <w:rFonts w:ascii="IBM Plex Sans Light" w:hAnsi="IBM Plex Sans Light"/>
                <w:szCs w:val="14"/>
              </w:rPr>
            </w:pPr>
            <w:r>
              <w:rPr>
                <w:rFonts w:ascii="IBM Plex Sans Light" w:hAnsi="IBM Plex Sans Light"/>
                <w:szCs w:val="14"/>
              </w:rPr>
              <w:t>2022</w:t>
            </w:r>
            <w:r w:rsidRPr="00895810">
              <w:rPr>
                <w:rFonts w:ascii="IBM Plex Sans Light" w:hAnsi="IBM Plex Sans Light"/>
                <w:szCs w:val="14"/>
              </w:rPr>
              <w:t xml:space="preserve"> </w:t>
            </w:r>
          </w:p>
          <w:p w14:paraId="6040D937" w14:textId="77777777" w:rsidR="00F61C44" w:rsidRPr="00895810" w:rsidRDefault="00F61C44" w:rsidP="00017BB3">
            <w:pPr>
              <w:spacing w:after="0" w:line="240" w:lineRule="auto"/>
              <w:jc w:val="right"/>
              <w:rPr>
                <w:rFonts w:ascii="IBM Plex Sans Light" w:hAnsi="IBM Plex Sans Light" w:cs="Arial"/>
                <w:sz w:val="14"/>
                <w:szCs w:val="14"/>
              </w:rPr>
            </w:pPr>
            <w:r w:rsidRPr="00895810">
              <w:rPr>
                <w:rFonts w:ascii="IBM Plex Sans Light" w:hAnsi="IBM Plex Sans Light"/>
                <w:sz w:val="14"/>
                <w:szCs w:val="14"/>
              </w:rPr>
              <w:t xml:space="preserve">£m </w:t>
            </w:r>
          </w:p>
        </w:tc>
      </w:tr>
      <w:tr w:rsidR="00E121A7" w:rsidRPr="00895810" w14:paraId="7E498487" w14:textId="77777777" w:rsidTr="00024B10">
        <w:tc>
          <w:tcPr>
            <w:tcW w:w="6804" w:type="dxa"/>
            <w:tcBorders>
              <w:top w:val="single" w:sz="2" w:space="0" w:color="3D7FE0" w:themeColor="accent1"/>
            </w:tcBorders>
            <w:tcMar>
              <w:left w:w="0" w:type="dxa"/>
              <w:right w:w="0" w:type="dxa"/>
            </w:tcMar>
            <w:vAlign w:val="bottom"/>
          </w:tcPr>
          <w:p w14:paraId="4123C662" w14:textId="5C6E2C4F" w:rsidR="00E121A7" w:rsidRDefault="00E121A7" w:rsidP="00017BB3">
            <w:pPr>
              <w:spacing w:after="0" w:line="240" w:lineRule="auto"/>
              <w:rPr>
                <w:rFonts w:ascii="IBM Plex Sans Light" w:hAnsi="IBM Plex Sans Light"/>
                <w:szCs w:val="18"/>
              </w:rPr>
            </w:pPr>
            <w:r>
              <w:rPr>
                <w:rFonts w:ascii="IBM Plex Sans Light" w:hAnsi="IBM Plex Sans Light"/>
                <w:szCs w:val="18"/>
              </w:rPr>
              <w:t>Reported Group</w:t>
            </w:r>
          </w:p>
        </w:tc>
        <w:tc>
          <w:tcPr>
            <w:tcW w:w="426" w:type="dxa"/>
            <w:tcBorders>
              <w:top w:val="single" w:sz="2" w:space="0" w:color="3D7FE0" w:themeColor="accent1"/>
            </w:tcBorders>
            <w:tcMar>
              <w:left w:w="0" w:type="dxa"/>
              <w:right w:w="0" w:type="dxa"/>
            </w:tcMar>
            <w:vAlign w:val="bottom"/>
          </w:tcPr>
          <w:p w14:paraId="147E6FF3" w14:textId="77777777" w:rsidR="00E121A7" w:rsidRPr="00895810" w:rsidRDefault="00E121A7" w:rsidP="00017BB3">
            <w:pPr>
              <w:pStyle w:val="TableFiguresBold"/>
              <w:jc w:val="center"/>
              <w:rPr>
                <w:rFonts w:ascii="IBM Plex Sans Light" w:hAnsi="IBM Plex Sans Light"/>
                <w:b w:val="0"/>
                <w:bCs w:val="0"/>
                <w:color w:val="auto"/>
                <w:spacing w:val="-4"/>
                <w:szCs w:val="16"/>
              </w:rPr>
            </w:pPr>
          </w:p>
        </w:tc>
        <w:tc>
          <w:tcPr>
            <w:tcW w:w="1331" w:type="dxa"/>
            <w:tcBorders>
              <w:top w:val="single" w:sz="2" w:space="0" w:color="3D7FE0" w:themeColor="accent1"/>
            </w:tcBorders>
            <w:tcMar>
              <w:left w:w="0" w:type="dxa"/>
              <w:right w:w="0" w:type="dxa"/>
            </w:tcMar>
            <w:vAlign w:val="bottom"/>
          </w:tcPr>
          <w:p w14:paraId="519988A8" w14:textId="41C2F06E" w:rsidR="00E121A7" w:rsidRPr="0078185E" w:rsidRDefault="00E121A7" w:rsidP="00C62996">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0.4</w:t>
            </w:r>
          </w:p>
        </w:tc>
        <w:tc>
          <w:tcPr>
            <w:tcW w:w="1359" w:type="dxa"/>
            <w:tcBorders>
              <w:top w:val="single" w:sz="2" w:space="0" w:color="3D7FE0" w:themeColor="accent1"/>
            </w:tcBorders>
            <w:vAlign w:val="bottom"/>
          </w:tcPr>
          <w:p w14:paraId="0A1C6489" w14:textId="41303103" w:rsidR="00E121A7" w:rsidRDefault="00E121A7" w:rsidP="00017BB3">
            <w:pPr>
              <w:pStyle w:val="TableFiguresBrackets"/>
              <w:ind w:right="0"/>
              <w:rPr>
                <w:rFonts w:ascii="IBM Plex Sans Light" w:hAnsi="IBM Plex Sans Light"/>
                <w:spacing w:val="-4"/>
                <w:sz w:val="18"/>
                <w:szCs w:val="18"/>
              </w:rPr>
            </w:pPr>
            <w:r>
              <w:rPr>
                <w:rFonts w:ascii="IBM Plex Sans Light" w:hAnsi="IBM Plex Sans Light"/>
                <w:spacing w:val="-4"/>
                <w:sz w:val="18"/>
                <w:szCs w:val="18"/>
              </w:rPr>
              <w:t>0.4</w:t>
            </w:r>
          </w:p>
        </w:tc>
      </w:tr>
      <w:tr w:rsidR="00F61C44" w:rsidRPr="00895810" w14:paraId="45F14367" w14:textId="77777777" w:rsidTr="00024B10">
        <w:tc>
          <w:tcPr>
            <w:tcW w:w="6804" w:type="dxa"/>
            <w:tcBorders>
              <w:bottom w:val="single" w:sz="2" w:space="0" w:color="3D7FE0" w:themeColor="accent1"/>
            </w:tcBorders>
            <w:tcMar>
              <w:left w:w="0" w:type="dxa"/>
              <w:right w:w="0" w:type="dxa"/>
            </w:tcMar>
            <w:vAlign w:val="bottom"/>
          </w:tcPr>
          <w:p w14:paraId="6F47AFF9" w14:textId="0AE247C6" w:rsidR="00F61C44" w:rsidRPr="00895810" w:rsidRDefault="00F61C44" w:rsidP="00017BB3">
            <w:pPr>
              <w:spacing w:after="0" w:line="240" w:lineRule="auto"/>
              <w:rPr>
                <w:rFonts w:ascii="IBM Plex Sans Light" w:hAnsi="IBM Plex Sans Light" w:cs="Arial"/>
                <w:szCs w:val="18"/>
              </w:rPr>
            </w:pPr>
            <w:r>
              <w:rPr>
                <w:rFonts w:ascii="IBM Plex Sans Light" w:hAnsi="IBM Plex Sans Light"/>
                <w:szCs w:val="18"/>
              </w:rPr>
              <w:t xml:space="preserve">Share of Property </w:t>
            </w:r>
            <w:r w:rsidR="00D642D1">
              <w:rPr>
                <w:rFonts w:ascii="IBM Plex Sans Light" w:hAnsi="IBM Plex Sans Light"/>
                <w:szCs w:val="18"/>
              </w:rPr>
              <w:t>i</w:t>
            </w:r>
            <w:r>
              <w:rPr>
                <w:rFonts w:ascii="IBM Plex Sans Light" w:hAnsi="IBM Plex Sans Light"/>
                <w:szCs w:val="18"/>
              </w:rPr>
              <w:t>nterests</w:t>
            </w:r>
            <w:r w:rsidRPr="00895810">
              <w:rPr>
                <w:rFonts w:ascii="IBM Plex Sans Light" w:hAnsi="IBM Plex Sans Light"/>
                <w:szCs w:val="18"/>
              </w:rPr>
              <w:t xml:space="preserve"> </w:t>
            </w:r>
          </w:p>
        </w:tc>
        <w:tc>
          <w:tcPr>
            <w:tcW w:w="426" w:type="dxa"/>
            <w:tcBorders>
              <w:bottom w:val="single" w:sz="2" w:space="0" w:color="3D7FE0" w:themeColor="accent1"/>
            </w:tcBorders>
            <w:tcMar>
              <w:left w:w="0" w:type="dxa"/>
              <w:right w:w="0" w:type="dxa"/>
            </w:tcMar>
            <w:vAlign w:val="bottom"/>
          </w:tcPr>
          <w:p w14:paraId="2C36D92C" w14:textId="77777777" w:rsidR="00F61C44" w:rsidRPr="00895810" w:rsidRDefault="00F61C44" w:rsidP="00017BB3">
            <w:pPr>
              <w:pStyle w:val="TableFiguresBold"/>
              <w:jc w:val="center"/>
              <w:rPr>
                <w:rFonts w:ascii="IBM Plex Sans Light" w:hAnsi="IBM Plex Sans Light"/>
                <w:b w:val="0"/>
                <w:bCs w:val="0"/>
                <w:color w:val="auto"/>
                <w:spacing w:val="-4"/>
                <w:szCs w:val="16"/>
              </w:rPr>
            </w:pPr>
          </w:p>
        </w:tc>
        <w:tc>
          <w:tcPr>
            <w:tcW w:w="1331" w:type="dxa"/>
            <w:tcBorders>
              <w:bottom w:val="single" w:sz="2" w:space="0" w:color="3D7FE0" w:themeColor="accent1"/>
            </w:tcBorders>
            <w:tcMar>
              <w:left w:w="0" w:type="dxa"/>
              <w:right w:w="0" w:type="dxa"/>
            </w:tcMar>
            <w:vAlign w:val="bottom"/>
          </w:tcPr>
          <w:p w14:paraId="4F362E3F" w14:textId="246DB741" w:rsidR="00F61C44" w:rsidRPr="0078185E" w:rsidRDefault="00E121A7" w:rsidP="00C62996">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45.5</w:t>
            </w:r>
          </w:p>
        </w:tc>
        <w:tc>
          <w:tcPr>
            <w:tcW w:w="1359" w:type="dxa"/>
            <w:tcBorders>
              <w:bottom w:val="single" w:sz="2" w:space="0" w:color="3D7FE0" w:themeColor="accent1"/>
            </w:tcBorders>
            <w:vAlign w:val="bottom"/>
          </w:tcPr>
          <w:p w14:paraId="6C9908BE" w14:textId="38A59FC2" w:rsidR="00F61C44" w:rsidRPr="00895810" w:rsidRDefault="00F61C44" w:rsidP="00017BB3">
            <w:pPr>
              <w:pStyle w:val="TableFiguresBrackets"/>
              <w:ind w:right="0"/>
              <w:rPr>
                <w:rFonts w:ascii="IBM Plex Sans Light" w:hAnsi="IBM Plex Sans Light"/>
                <w:spacing w:val="-4"/>
                <w:sz w:val="18"/>
                <w:szCs w:val="18"/>
              </w:rPr>
            </w:pPr>
            <w:r>
              <w:rPr>
                <w:rFonts w:ascii="IBM Plex Sans Light" w:hAnsi="IBM Plex Sans Light"/>
                <w:spacing w:val="-4"/>
                <w:sz w:val="18"/>
                <w:szCs w:val="18"/>
              </w:rPr>
              <w:t>5</w:t>
            </w:r>
            <w:r w:rsidR="00E121A7">
              <w:rPr>
                <w:rFonts w:ascii="IBM Plex Sans Light" w:hAnsi="IBM Plex Sans Light"/>
                <w:spacing w:val="-4"/>
                <w:sz w:val="18"/>
                <w:szCs w:val="18"/>
              </w:rPr>
              <w:t>1.4</w:t>
            </w:r>
          </w:p>
        </w:tc>
      </w:tr>
      <w:tr w:rsidR="00E121A7" w:rsidRPr="00895810" w14:paraId="590E06F0" w14:textId="77777777" w:rsidTr="00024B10">
        <w:trPr>
          <w:trHeight w:val="221"/>
        </w:trPr>
        <w:tc>
          <w:tcPr>
            <w:tcW w:w="6804" w:type="dxa"/>
            <w:tcBorders>
              <w:top w:val="single" w:sz="2" w:space="0" w:color="3D7FE0" w:themeColor="accent1"/>
              <w:bottom w:val="single" w:sz="4" w:space="0" w:color="3D7FE0" w:themeColor="accent1"/>
            </w:tcBorders>
            <w:tcMar>
              <w:left w:w="0" w:type="dxa"/>
              <w:right w:w="0" w:type="dxa"/>
            </w:tcMar>
            <w:vAlign w:val="bottom"/>
          </w:tcPr>
          <w:p w14:paraId="5F594F93" w14:textId="77777777" w:rsidR="00E121A7" w:rsidRDefault="00E121A7" w:rsidP="00017BB3">
            <w:pPr>
              <w:spacing w:after="0" w:line="240" w:lineRule="auto"/>
              <w:rPr>
                <w:rFonts w:ascii="IBM Plex Sans Light" w:hAnsi="IBM Plex Sans Light"/>
                <w:szCs w:val="18"/>
              </w:rPr>
            </w:pPr>
          </w:p>
        </w:tc>
        <w:tc>
          <w:tcPr>
            <w:tcW w:w="426" w:type="dxa"/>
            <w:tcBorders>
              <w:top w:val="single" w:sz="2" w:space="0" w:color="3D7FE0" w:themeColor="accent1"/>
              <w:bottom w:val="single" w:sz="4" w:space="0" w:color="3D7FE0" w:themeColor="accent1"/>
            </w:tcBorders>
            <w:tcMar>
              <w:left w:w="0" w:type="dxa"/>
              <w:right w:w="0" w:type="dxa"/>
            </w:tcMar>
            <w:vAlign w:val="bottom"/>
          </w:tcPr>
          <w:p w14:paraId="004EA2EE" w14:textId="77777777" w:rsidR="00E121A7" w:rsidRPr="00895810" w:rsidRDefault="00E121A7" w:rsidP="00017BB3">
            <w:pPr>
              <w:pStyle w:val="TableFiguresBold"/>
              <w:jc w:val="center"/>
              <w:rPr>
                <w:rFonts w:ascii="IBM Plex Sans Light" w:hAnsi="IBM Plex Sans Light"/>
                <w:b w:val="0"/>
                <w:bCs w:val="0"/>
                <w:color w:val="auto"/>
                <w:spacing w:val="-4"/>
                <w:szCs w:val="16"/>
              </w:rPr>
            </w:pPr>
          </w:p>
        </w:tc>
        <w:tc>
          <w:tcPr>
            <w:tcW w:w="1331" w:type="dxa"/>
            <w:tcBorders>
              <w:top w:val="single" w:sz="2" w:space="0" w:color="3D7FE0" w:themeColor="accent1"/>
              <w:bottom w:val="single" w:sz="4" w:space="0" w:color="3D7FE0" w:themeColor="accent1"/>
            </w:tcBorders>
            <w:tcMar>
              <w:left w:w="0" w:type="dxa"/>
              <w:right w:w="0" w:type="dxa"/>
            </w:tcMar>
            <w:vAlign w:val="bottom"/>
          </w:tcPr>
          <w:p w14:paraId="63CD46D8" w14:textId="48802D61" w:rsidR="00E121A7" w:rsidRPr="0078185E" w:rsidRDefault="00E121A7" w:rsidP="00C62996">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45.9</w:t>
            </w:r>
          </w:p>
        </w:tc>
        <w:tc>
          <w:tcPr>
            <w:tcW w:w="1359" w:type="dxa"/>
            <w:tcBorders>
              <w:top w:val="single" w:sz="2" w:space="0" w:color="3D7FE0" w:themeColor="accent1"/>
              <w:bottom w:val="single" w:sz="4" w:space="0" w:color="3D7FE0" w:themeColor="accent1"/>
            </w:tcBorders>
            <w:vAlign w:val="bottom"/>
          </w:tcPr>
          <w:p w14:paraId="5523CA20" w14:textId="0B9DCAD7" w:rsidR="00E121A7" w:rsidRDefault="00E121A7" w:rsidP="00017BB3">
            <w:pPr>
              <w:pStyle w:val="TableFiguresBrackets"/>
              <w:ind w:right="0"/>
              <w:rPr>
                <w:rFonts w:ascii="IBM Plex Sans Light" w:hAnsi="IBM Plex Sans Light"/>
                <w:spacing w:val="-4"/>
                <w:sz w:val="18"/>
                <w:szCs w:val="18"/>
              </w:rPr>
            </w:pPr>
            <w:r>
              <w:rPr>
                <w:rFonts w:ascii="IBM Plex Sans Light" w:hAnsi="IBM Plex Sans Light"/>
                <w:spacing w:val="-4"/>
                <w:sz w:val="18"/>
                <w:szCs w:val="18"/>
              </w:rPr>
              <w:t>51.8</w:t>
            </w:r>
          </w:p>
        </w:tc>
      </w:tr>
    </w:tbl>
    <w:p w14:paraId="27EEBF28" w14:textId="77777777" w:rsidR="00D57F97" w:rsidRDefault="00D57F97" w:rsidP="00F61C44">
      <w:pPr>
        <w:spacing w:after="80" w:line="240" w:lineRule="auto"/>
        <w:jc w:val="both"/>
        <w:rPr>
          <w:rFonts w:ascii="IBM Plex Sans Medium" w:hAnsi="IBM Plex Sans Medium" w:cs="Arial"/>
          <w:b/>
          <w:color w:val="3D7FE0" w:themeColor="accent1"/>
          <w:szCs w:val="18"/>
        </w:rPr>
      </w:pPr>
    </w:p>
    <w:p w14:paraId="2FF1F4CD" w14:textId="16CBEA78" w:rsidR="00F61C44" w:rsidRPr="00AB6B6E" w:rsidRDefault="00F61C44" w:rsidP="00F61C44">
      <w:pPr>
        <w:spacing w:after="80" w:line="240" w:lineRule="auto"/>
        <w:jc w:val="both"/>
        <w:rPr>
          <w:rFonts w:ascii="IBM Plex Sans Medium" w:hAnsi="IBM Plex Sans Medium" w:cs="Arial"/>
          <w:b/>
          <w:color w:val="3D7FE0" w:themeColor="accent1"/>
          <w:szCs w:val="18"/>
        </w:rPr>
      </w:pPr>
      <w:r w:rsidRPr="00AB6B6E">
        <w:rPr>
          <w:rFonts w:ascii="IBM Plex Sans Medium" w:hAnsi="IBM Plex Sans Medium" w:cs="Arial"/>
          <w:b/>
          <w:color w:val="3D7FE0" w:themeColor="accent1"/>
          <w:szCs w:val="18"/>
        </w:rPr>
        <w:t>2</w:t>
      </w:r>
      <w:r>
        <w:rPr>
          <w:rFonts w:ascii="IBM Plex Sans Medium" w:hAnsi="IBM Plex Sans Medium" w:cs="Arial"/>
          <w:b/>
          <w:color w:val="3D7FE0" w:themeColor="accent1"/>
          <w:szCs w:val="18"/>
        </w:rPr>
        <w:t>1</w:t>
      </w:r>
      <w:r w:rsidRPr="00AB6B6E">
        <w:rPr>
          <w:rFonts w:ascii="IBM Plex Sans Medium" w:hAnsi="IBM Plex Sans Medium" w:cs="Arial"/>
          <w:b/>
          <w:color w:val="3D7FE0" w:themeColor="accent1"/>
          <w:szCs w:val="18"/>
        </w:rPr>
        <w:t xml:space="preserve">. POST BALANCE SHEET EVENTS </w:t>
      </w:r>
    </w:p>
    <w:p w14:paraId="70492AEC" w14:textId="25E82AB5" w:rsidR="00F61C44" w:rsidRDefault="00F61C44" w:rsidP="00F61C44">
      <w:pPr>
        <w:spacing w:after="0" w:line="240" w:lineRule="auto"/>
        <w:rPr>
          <w:rFonts w:ascii="IBM Plex Sans Light" w:hAnsi="IBM Plex Sans Light"/>
        </w:rPr>
      </w:pPr>
      <w:r w:rsidRPr="0078185E">
        <w:rPr>
          <w:rFonts w:ascii="IBM Plex Sans Light" w:hAnsi="IBM Plex Sans Light"/>
        </w:rPr>
        <w:t xml:space="preserve">On </w:t>
      </w:r>
      <w:r w:rsidR="00B2340B">
        <w:rPr>
          <w:rFonts w:ascii="IBM Plex Sans Light" w:hAnsi="IBM Plex Sans Light"/>
        </w:rPr>
        <w:t>2</w:t>
      </w:r>
      <w:r w:rsidR="00321BE8">
        <w:rPr>
          <w:rFonts w:ascii="IBM Plex Sans Light" w:hAnsi="IBM Plex Sans Light"/>
        </w:rPr>
        <w:t>3</w:t>
      </w:r>
      <w:r w:rsidR="00B2340B">
        <w:rPr>
          <w:rFonts w:ascii="IBM Plex Sans Light" w:hAnsi="IBM Plex Sans Light"/>
        </w:rPr>
        <w:t xml:space="preserve"> </w:t>
      </w:r>
      <w:r w:rsidRPr="0078185E">
        <w:rPr>
          <w:rFonts w:ascii="IBM Plex Sans Light" w:hAnsi="IBM Plex Sans Light"/>
        </w:rPr>
        <w:t>February 2024, the Group exchanged contracts for the sale of Union Square, Aberdeen for gross proceeds of £</w:t>
      </w:r>
      <w:r w:rsidR="00B2340B">
        <w:rPr>
          <w:rFonts w:ascii="IBM Plex Sans Light" w:hAnsi="IBM Plex Sans Light"/>
        </w:rPr>
        <w:t>111</w:t>
      </w:r>
      <w:r w:rsidRPr="0078185E">
        <w:rPr>
          <w:rFonts w:ascii="IBM Plex Sans Light" w:hAnsi="IBM Plex Sans Light"/>
        </w:rPr>
        <w:t>m, with completion due in March 2024. At the balance sheet date this asset did not meet the criteria for reclassification to assets held for sale under IFRS 5 as it was not being actively marketed and substantive terms had yet to be agreed</w:t>
      </w:r>
      <w:r w:rsidR="00D57F97">
        <w:rPr>
          <w:rFonts w:ascii="IBM Plex Sans Light" w:hAnsi="IBM Plex Sans Light"/>
        </w:rPr>
        <w:t xml:space="preserve"> such that a sale was not considered highly probable</w:t>
      </w:r>
      <w:r w:rsidRPr="0078185E">
        <w:rPr>
          <w:rFonts w:ascii="IBM Plex Sans Light" w:hAnsi="IBM Plex Sans Light"/>
        </w:rPr>
        <w:t>. Consequently as at 31 December 2023 it was included within investment properties at its fair value of £121m.</w:t>
      </w:r>
    </w:p>
    <w:p w14:paraId="1F995E13" w14:textId="7F1FD61D" w:rsidR="006B43AF" w:rsidRDefault="006B43AF">
      <w:pPr>
        <w:spacing w:after="0" w:line="240" w:lineRule="auto"/>
        <w:rPr>
          <w:rFonts w:ascii="IBM Plex Sans Medium" w:hAnsi="IBM Plex Sans Medium" w:cs="Arial"/>
          <w:b/>
          <w:caps/>
          <w:sz w:val="24"/>
        </w:rPr>
      </w:pPr>
      <w:bookmarkStart w:id="5" w:name="_Hlk128578802"/>
      <w:bookmarkEnd w:id="4"/>
    </w:p>
    <w:p w14:paraId="7FA3668B" w14:textId="41EF97A5" w:rsidR="006B43AF" w:rsidRPr="007C4035" w:rsidRDefault="006B43AF" w:rsidP="006B43AF">
      <w:pPr>
        <w:spacing w:after="0" w:line="240" w:lineRule="auto"/>
        <w:rPr>
          <w:rFonts w:ascii="IBM Plex Sans Medium" w:hAnsi="IBM Plex Sans Medium"/>
        </w:rPr>
      </w:pPr>
      <w:r w:rsidRPr="007C4035">
        <w:rPr>
          <w:rFonts w:ascii="IBM Plex Sans Medium" w:hAnsi="IBM Plex Sans Medium" w:cs="Arial"/>
          <w:b/>
          <w:caps/>
          <w:sz w:val="24"/>
        </w:rPr>
        <w:t>ADDITIONAL INFORMATION</w:t>
      </w:r>
      <w:r>
        <w:rPr>
          <w:rFonts w:ascii="IBM Plex Sans Medium" w:hAnsi="IBM Plex Sans Medium" w:cs="Arial"/>
          <w:b/>
          <w:caps/>
          <w:sz w:val="24"/>
        </w:rPr>
        <w:t xml:space="preserve"> - UnAudited</w:t>
      </w:r>
    </w:p>
    <w:p w14:paraId="3AA1E459" w14:textId="77777777" w:rsidR="006B43AF" w:rsidRPr="005907D3" w:rsidRDefault="006B43AF" w:rsidP="006B43AF">
      <w:pPr>
        <w:pStyle w:val="Heading2"/>
        <w:spacing w:before="0" w:after="0"/>
        <w:rPr>
          <w:rFonts w:ascii="IBM Plex Sans Light" w:hAnsi="IBM Plex Sans Light"/>
        </w:rPr>
      </w:pPr>
    </w:p>
    <w:tbl>
      <w:tblPr>
        <w:tblW w:w="9893" w:type="dxa"/>
        <w:tblLayout w:type="fixed"/>
        <w:tblCellMar>
          <w:left w:w="0" w:type="dxa"/>
          <w:right w:w="57" w:type="dxa"/>
        </w:tblCellMar>
        <w:tblLook w:val="04A0" w:firstRow="1" w:lastRow="0" w:firstColumn="1" w:lastColumn="0" w:noHBand="0" w:noVBand="1"/>
      </w:tblPr>
      <w:tblGrid>
        <w:gridCol w:w="3969"/>
        <w:gridCol w:w="567"/>
        <w:gridCol w:w="284"/>
        <w:gridCol w:w="4365"/>
        <w:gridCol w:w="708"/>
      </w:tblGrid>
      <w:tr w:rsidR="006B43AF" w:rsidRPr="005907D3" w14:paraId="2347CBEC" w14:textId="77777777" w:rsidTr="004203CD">
        <w:trPr>
          <w:trHeight w:val="20"/>
        </w:trPr>
        <w:tc>
          <w:tcPr>
            <w:tcW w:w="3969" w:type="dxa"/>
            <w:tcBorders>
              <w:bottom w:val="single" w:sz="2" w:space="0" w:color="3D7FE0" w:themeColor="accent1"/>
            </w:tcBorders>
          </w:tcPr>
          <w:p w14:paraId="6FC1FBED" w14:textId="77777777" w:rsidR="006B43AF" w:rsidRPr="005907D3" w:rsidRDefault="006B43AF" w:rsidP="004203CD">
            <w:pPr>
              <w:pStyle w:val="TablesTColHeadsLeft"/>
              <w:rPr>
                <w:rFonts w:ascii="IBM Plex Sans Light" w:hAnsi="IBM Plex Sans Light"/>
              </w:rPr>
            </w:pPr>
          </w:p>
        </w:tc>
        <w:tc>
          <w:tcPr>
            <w:tcW w:w="567" w:type="dxa"/>
            <w:tcBorders>
              <w:bottom w:val="single" w:sz="2" w:space="0" w:color="3D7FE0" w:themeColor="accent1"/>
            </w:tcBorders>
            <w:shd w:val="clear" w:color="auto" w:fill="auto"/>
            <w:vAlign w:val="bottom"/>
          </w:tcPr>
          <w:p w14:paraId="7FEAABE1" w14:textId="77777777" w:rsidR="006B43AF" w:rsidRPr="005907D3" w:rsidRDefault="006B43AF" w:rsidP="004203CD">
            <w:pPr>
              <w:pStyle w:val="TablesTColHeadsLeft"/>
              <w:jc w:val="right"/>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Table</w:t>
            </w:r>
          </w:p>
        </w:tc>
        <w:tc>
          <w:tcPr>
            <w:tcW w:w="284" w:type="dxa"/>
            <w:tcBorders>
              <w:bottom w:val="single" w:sz="2" w:space="0" w:color="3D7FE0" w:themeColor="accent1"/>
            </w:tcBorders>
          </w:tcPr>
          <w:p w14:paraId="68D0CF72" w14:textId="77777777" w:rsidR="006B43AF" w:rsidRPr="005907D3" w:rsidRDefault="006B43AF" w:rsidP="004203CD">
            <w:pPr>
              <w:pStyle w:val="TablesTColHeadsLeft"/>
              <w:jc w:val="right"/>
              <w:rPr>
                <w:rFonts w:ascii="IBM Plex Sans Light" w:hAnsi="IBM Plex Sans Light"/>
                <w:b/>
                <w:bCs/>
                <w:color w:val="3D7FE0" w:themeColor="accent1"/>
                <w:sz w:val="14"/>
                <w:szCs w:val="24"/>
              </w:rPr>
            </w:pPr>
          </w:p>
        </w:tc>
        <w:tc>
          <w:tcPr>
            <w:tcW w:w="4365" w:type="dxa"/>
            <w:tcBorders>
              <w:bottom w:val="single" w:sz="2" w:space="0" w:color="3D7FE0" w:themeColor="accent1"/>
            </w:tcBorders>
            <w:shd w:val="clear" w:color="auto" w:fill="auto"/>
            <w:vAlign w:val="bottom"/>
          </w:tcPr>
          <w:p w14:paraId="2DB33A3B" w14:textId="77777777" w:rsidR="006B43AF" w:rsidRPr="005907D3" w:rsidRDefault="006B43AF" w:rsidP="004203CD">
            <w:pPr>
              <w:pStyle w:val="TablesTColHeadsBold"/>
              <w:rPr>
                <w:rFonts w:ascii="IBM Plex Sans Light" w:hAnsi="IBM Plex Sans Light"/>
                <w:bCs/>
                <w:color w:val="3D7FE0" w:themeColor="accent1"/>
                <w:sz w:val="14"/>
                <w:szCs w:val="24"/>
              </w:rPr>
            </w:pPr>
          </w:p>
        </w:tc>
        <w:tc>
          <w:tcPr>
            <w:tcW w:w="708" w:type="dxa"/>
            <w:tcBorders>
              <w:bottom w:val="single" w:sz="2" w:space="0" w:color="3D7FE0" w:themeColor="accent1"/>
            </w:tcBorders>
            <w:shd w:val="clear" w:color="auto" w:fill="auto"/>
            <w:vAlign w:val="bottom"/>
          </w:tcPr>
          <w:p w14:paraId="4FCDBFE6" w14:textId="77777777" w:rsidR="006B43AF" w:rsidRPr="005907D3" w:rsidRDefault="006B43AF" w:rsidP="004203CD">
            <w:pPr>
              <w:pStyle w:val="TablesTColHeadsLeft"/>
              <w:jc w:val="right"/>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Table</w:t>
            </w:r>
          </w:p>
        </w:tc>
      </w:tr>
      <w:tr w:rsidR="006B43AF" w:rsidRPr="005907D3" w14:paraId="0C527D9D" w14:textId="77777777" w:rsidTr="004203CD">
        <w:trPr>
          <w:trHeight w:val="20"/>
        </w:trPr>
        <w:tc>
          <w:tcPr>
            <w:tcW w:w="3969" w:type="dxa"/>
            <w:tcBorders>
              <w:top w:val="single" w:sz="2" w:space="0" w:color="3D7FE0" w:themeColor="accent1"/>
            </w:tcBorders>
            <w:vAlign w:val="bottom"/>
          </w:tcPr>
          <w:p w14:paraId="1466EFC2" w14:textId="77777777" w:rsidR="006B43AF" w:rsidRPr="00A04876" w:rsidRDefault="006B43AF" w:rsidP="004203CD">
            <w:pPr>
              <w:pStyle w:val="TablesTText"/>
              <w:rPr>
                <w:rFonts w:ascii="IBM Plex Sans Medium" w:hAnsi="IBM Plex Sans Medium"/>
                <w:color w:val="3D7FE0" w:themeColor="accent1"/>
                <w:sz w:val="18"/>
                <w:szCs w:val="18"/>
              </w:rPr>
            </w:pPr>
            <w:r w:rsidRPr="00A04876">
              <w:rPr>
                <w:rFonts w:ascii="IBM Plex Sans Medium" w:eastAsia="Yu Gothic Light" w:hAnsi="IBM Plex Sans Medium" w:cs="Times New Roman"/>
                <w:b/>
                <w:color w:val="3D7FE0" w:themeColor="accent1"/>
                <w:sz w:val="18"/>
                <w:szCs w:val="18"/>
              </w:rPr>
              <w:t>Summary EPRA performance measures</w:t>
            </w:r>
          </w:p>
        </w:tc>
        <w:tc>
          <w:tcPr>
            <w:tcW w:w="567" w:type="dxa"/>
            <w:tcBorders>
              <w:top w:val="single" w:sz="2" w:space="0" w:color="3D7FE0" w:themeColor="accent1"/>
            </w:tcBorders>
            <w:shd w:val="clear" w:color="auto" w:fill="auto"/>
            <w:vAlign w:val="bottom"/>
          </w:tcPr>
          <w:p w14:paraId="4C08A2D8"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w:t>
            </w:r>
          </w:p>
        </w:tc>
        <w:tc>
          <w:tcPr>
            <w:tcW w:w="284" w:type="dxa"/>
            <w:tcBorders>
              <w:top w:val="single" w:sz="2" w:space="0" w:color="3D7FE0" w:themeColor="accent1"/>
            </w:tcBorders>
            <w:shd w:val="clear" w:color="auto" w:fill="auto"/>
            <w:vAlign w:val="bottom"/>
          </w:tcPr>
          <w:p w14:paraId="025C093F"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tcBorders>
              <w:top w:val="single" w:sz="2" w:space="0" w:color="3D7FE0" w:themeColor="accent1"/>
            </w:tcBorders>
            <w:shd w:val="clear" w:color="auto" w:fill="auto"/>
            <w:vAlign w:val="bottom"/>
          </w:tcPr>
          <w:p w14:paraId="1FDB6206" w14:textId="77777777" w:rsidR="006B43AF" w:rsidRPr="00A04876" w:rsidRDefault="006B43AF" w:rsidP="004203CD">
            <w:pPr>
              <w:pStyle w:val="TablesTText"/>
              <w:rPr>
                <w:rFonts w:ascii="IBM Plex Sans Light" w:eastAsia="Yu Gothic Light" w:hAnsi="IBM Plex Sans Light" w:cs="Times New Roman"/>
                <w:b/>
                <w:color w:val="3D7FE0" w:themeColor="accent1"/>
                <w:sz w:val="18"/>
                <w:szCs w:val="18"/>
              </w:rPr>
            </w:pPr>
            <w:r w:rsidRPr="00A04876">
              <w:rPr>
                <w:rFonts w:ascii="IBM Plex Sans Medium" w:eastAsia="Yu Gothic Light" w:hAnsi="IBM Plex Sans Medium" w:cs="Times New Roman"/>
                <w:b/>
                <w:color w:val="3D7FE0" w:themeColor="accent1"/>
                <w:sz w:val="18"/>
                <w:szCs w:val="18"/>
              </w:rPr>
              <w:t>Balance sheet information</w:t>
            </w:r>
          </w:p>
        </w:tc>
        <w:tc>
          <w:tcPr>
            <w:tcW w:w="708" w:type="dxa"/>
            <w:tcBorders>
              <w:top w:val="single" w:sz="2" w:space="0" w:color="3D7FE0" w:themeColor="accent1"/>
            </w:tcBorders>
            <w:vAlign w:val="bottom"/>
          </w:tcPr>
          <w:p w14:paraId="3E4C3322" w14:textId="77777777" w:rsidR="006B43AF" w:rsidRPr="00A04876" w:rsidRDefault="006B43AF" w:rsidP="004203CD">
            <w:pPr>
              <w:pStyle w:val="TablesTFigures"/>
              <w:spacing w:line="240" w:lineRule="exact"/>
              <w:rPr>
                <w:rFonts w:ascii="IBM Plex Sans Light" w:hAnsi="IBM Plex Sans Light"/>
                <w:sz w:val="18"/>
                <w:szCs w:val="18"/>
              </w:rPr>
            </w:pPr>
          </w:p>
        </w:tc>
      </w:tr>
      <w:tr w:rsidR="006B43AF" w:rsidRPr="005907D3" w14:paraId="429BB6E3" w14:textId="77777777" w:rsidTr="004203CD">
        <w:trPr>
          <w:trHeight w:val="20"/>
        </w:trPr>
        <w:tc>
          <w:tcPr>
            <w:tcW w:w="3969" w:type="dxa"/>
            <w:vAlign w:val="bottom"/>
          </w:tcPr>
          <w:p w14:paraId="53A9B6D7" w14:textId="77777777" w:rsidR="006B43AF" w:rsidRPr="00A04876" w:rsidRDefault="006B43AF" w:rsidP="004203CD">
            <w:pPr>
              <w:pStyle w:val="TablesTText"/>
              <w:rPr>
                <w:rFonts w:ascii="IBM Plex Sans Medium" w:hAnsi="IBM Plex Sans Medium"/>
                <w:sz w:val="18"/>
                <w:szCs w:val="18"/>
              </w:rPr>
            </w:pPr>
          </w:p>
        </w:tc>
        <w:tc>
          <w:tcPr>
            <w:tcW w:w="567" w:type="dxa"/>
            <w:shd w:val="clear" w:color="auto" w:fill="auto"/>
            <w:vAlign w:val="bottom"/>
          </w:tcPr>
          <w:p w14:paraId="30D848E6" w14:textId="77777777" w:rsidR="006B43AF" w:rsidRPr="00A04876" w:rsidRDefault="006B43AF" w:rsidP="004203CD">
            <w:pPr>
              <w:pStyle w:val="TablesTText"/>
              <w:jc w:val="right"/>
              <w:rPr>
                <w:rFonts w:ascii="IBM Plex Sans Light" w:hAnsi="IBM Plex Sans Light"/>
                <w:sz w:val="18"/>
                <w:szCs w:val="18"/>
              </w:rPr>
            </w:pPr>
          </w:p>
        </w:tc>
        <w:tc>
          <w:tcPr>
            <w:tcW w:w="284" w:type="dxa"/>
            <w:shd w:val="clear" w:color="auto" w:fill="auto"/>
            <w:vAlign w:val="bottom"/>
          </w:tcPr>
          <w:p w14:paraId="74715D84"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3C1D9979" w14:textId="77777777" w:rsidR="006B43AF" w:rsidRPr="00A04876" w:rsidRDefault="006B43AF" w:rsidP="004203CD">
            <w:pPr>
              <w:pStyle w:val="TablesTFigures"/>
              <w:spacing w:line="240" w:lineRule="exact"/>
              <w:jc w:val="left"/>
              <w:rPr>
                <w:rFonts w:ascii="IBM Plex Sans Light" w:hAnsi="IBM Plex Sans Light"/>
                <w:sz w:val="18"/>
                <w:szCs w:val="18"/>
              </w:rPr>
            </w:pPr>
            <w:r w:rsidRPr="00A04876">
              <w:rPr>
                <w:rFonts w:ascii="IBM Plex Sans Light" w:hAnsi="IBM Plex Sans Light"/>
                <w:sz w:val="18"/>
                <w:szCs w:val="18"/>
              </w:rPr>
              <w:t>Balance sheet</w:t>
            </w:r>
          </w:p>
        </w:tc>
        <w:tc>
          <w:tcPr>
            <w:tcW w:w="708" w:type="dxa"/>
            <w:vAlign w:val="bottom"/>
          </w:tcPr>
          <w:p w14:paraId="56958EFF"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12</w:t>
            </w:r>
          </w:p>
        </w:tc>
      </w:tr>
      <w:tr w:rsidR="006B43AF" w:rsidRPr="005907D3" w14:paraId="12B515C0" w14:textId="77777777" w:rsidTr="004203CD">
        <w:trPr>
          <w:trHeight w:val="20"/>
        </w:trPr>
        <w:tc>
          <w:tcPr>
            <w:tcW w:w="3969" w:type="dxa"/>
            <w:vAlign w:val="bottom"/>
          </w:tcPr>
          <w:p w14:paraId="6AC3EBAB" w14:textId="77777777" w:rsidR="006B43AF" w:rsidRPr="00A04876" w:rsidRDefault="006B43AF" w:rsidP="004203CD">
            <w:pPr>
              <w:pStyle w:val="TablesTText"/>
              <w:rPr>
                <w:rFonts w:ascii="IBM Plex Sans Light" w:eastAsia="Yu Gothic Light" w:hAnsi="IBM Plex Sans Light" w:cs="Times New Roman"/>
                <w:b/>
                <w:color w:val="3D7FE0" w:themeColor="accent1"/>
                <w:sz w:val="18"/>
                <w:szCs w:val="18"/>
              </w:rPr>
            </w:pPr>
            <w:r w:rsidRPr="00A04876">
              <w:rPr>
                <w:rFonts w:ascii="IBM Plex Sans Medium" w:eastAsia="Yu Gothic Light" w:hAnsi="IBM Plex Sans Medium" w:cs="Times New Roman"/>
                <w:b/>
                <w:color w:val="3D7FE0" w:themeColor="accent1"/>
                <w:sz w:val="18"/>
                <w:szCs w:val="18"/>
              </w:rPr>
              <w:t xml:space="preserve">Portfolio analysis </w:t>
            </w:r>
          </w:p>
        </w:tc>
        <w:tc>
          <w:tcPr>
            <w:tcW w:w="567" w:type="dxa"/>
            <w:shd w:val="clear" w:color="auto" w:fill="auto"/>
            <w:vAlign w:val="bottom"/>
          </w:tcPr>
          <w:p w14:paraId="7934EAB7" w14:textId="77777777" w:rsidR="006B43AF" w:rsidRPr="00A04876" w:rsidRDefault="006B43AF" w:rsidP="004203CD">
            <w:pPr>
              <w:pStyle w:val="TablesTText"/>
              <w:jc w:val="right"/>
              <w:rPr>
                <w:rFonts w:ascii="IBM Plex Sans Light" w:hAnsi="IBM Plex Sans Light"/>
                <w:sz w:val="18"/>
                <w:szCs w:val="18"/>
              </w:rPr>
            </w:pPr>
          </w:p>
        </w:tc>
        <w:tc>
          <w:tcPr>
            <w:tcW w:w="284" w:type="dxa"/>
            <w:shd w:val="clear" w:color="auto" w:fill="auto"/>
            <w:vAlign w:val="bottom"/>
          </w:tcPr>
          <w:p w14:paraId="7E1D6863"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493A8C2F" w14:textId="77777777" w:rsidR="006B43AF" w:rsidRPr="00A04876" w:rsidRDefault="006B43AF" w:rsidP="004203CD">
            <w:pPr>
              <w:pStyle w:val="TablesTFigures"/>
              <w:spacing w:line="240" w:lineRule="exact"/>
              <w:jc w:val="left"/>
              <w:rPr>
                <w:rFonts w:ascii="IBM Plex Sans Light" w:hAnsi="IBM Plex Sans Light"/>
                <w:sz w:val="18"/>
                <w:szCs w:val="18"/>
              </w:rPr>
            </w:pPr>
            <w:r w:rsidRPr="00A04876">
              <w:rPr>
                <w:rFonts w:ascii="IBM Plex Sans Light" w:hAnsi="IBM Plex Sans Light"/>
                <w:sz w:val="18"/>
                <w:szCs w:val="18"/>
              </w:rPr>
              <w:t>Net debt</w:t>
            </w:r>
          </w:p>
        </w:tc>
        <w:tc>
          <w:tcPr>
            <w:tcW w:w="708" w:type="dxa"/>
            <w:vAlign w:val="bottom"/>
          </w:tcPr>
          <w:p w14:paraId="6620C867"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13</w:t>
            </w:r>
          </w:p>
        </w:tc>
      </w:tr>
      <w:tr w:rsidR="006B43AF" w:rsidRPr="005907D3" w14:paraId="1747C2EA" w14:textId="77777777" w:rsidTr="004203CD">
        <w:trPr>
          <w:trHeight w:val="20"/>
        </w:trPr>
        <w:tc>
          <w:tcPr>
            <w:tcW w:w="3969" w:type="dxa"/>
            <w:vAlign w:val="bottom"/>
          </w:tcPr>
          <w:p w14:paraId="481023AB" w14:textId="77777777" w:rsidR="006B43AF" w:rsidRPr="00A04876" w:rsidRDefault="006B43AF" w:rsidP="004203CD">
            <w:pPr>
              <w:pStyle w:val="TablesTText"/>
              <w:rPr>
                <w:rFonts w:ascii="IBM Plex Sans Light" w:hAnsi="IBM Plex Sans Light"/>
                <w:sz w:val="18"/>
                <w:szCs w:val="18"/>
              </w:rPr>
            </w:pPr>
            <w:r>
              <w:rPr>
                <w:rFonts w:ascii="IBM Plex Sans Light" w:hAnsi="IBM Plex Sans Light"/>
                <w:sz w:val="18"/>
                <w:szCs w:val="18"/>
              </w:rPr>
              <w:t>Adjusted net rental income</w:t>
            </w:r>
          </w:p>
        </w:tc>
        <w:tc>
          <w:tcPr>
            <w:tcW w:w="567" w:type="dxa"/>
            <w:shd w:val="clear" w:color="auto" w:fill="auto"/>
            <w:vAlign w:val="bottom"/>
          </w:tcPr>
          <w:p w14:paraId="2E352473"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2</w:t>
            </w:r>
          </w:p>
        </w:tc>
        <w:tc>
          <w:tcPr>
            <w:tcW w:w="284" w:type="dxa"/>
            <w:shd w:val="clear" w:color="auto" w:fill="auto"/>
            <w:vAlign w:val="bottom"/>
          </w:tcPr>
          <w:p w14:paraId="47C414A3"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48588848" w14:textId="77777777" w:rsidR="006B43AF" w:rsidRPr="00A04876" w:rsidRDefault="006B43AF" w:rsidP="004203CD">
            <w:pPr>
              <w:pStyle w:val="TablesTText"/>
              <w:rPr>
                <w:rFonts w:ascii="IBM Plex Sans Light" w:eastAsia="Yu Gothic Light" w:hAnsi="IBM Plex Sans Light" w:cs="Times New Roman"/>
                <w:b/>
                <w:color w:val="3C75BA"/>
                <w:sz w:val="18"/>
                <w:szCs w:val="18"/>
              </w:rPr>
            </w:pPr>
            <w:r w:rsidRPr="00A04876">
              <w:rPr>
                <w:rFonts w:ascii="IBM Plex Sans Light" w:hAnsi="IBM Plex Sans Light"/>
                <w:sz w:val="18"/>
                <w:szCs w:val="18"/>
              </w:rPr>
              <w:t>Movement in net debt</w:t>
            </w:r>
          </w:p>
        </w:tc>
        <w:tc>
          <w:tcPr>
            <w:tcW w:w="708" w:type="dxa"/>
            <w:vAlign w:val="bottom"/>
          </w:tcPr>
          <w:p w14:paraId="07710E8C"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14</w:t>
            </w:r>
          </w:p>
        </w:tc>
      </w:tr>
      <w:tr w:rsidR="006B43AF" w:rsidRPr="005907D3" w14:paraId="277ED1B6" w14:textId="77777777" w:rsidTr="004203CD">
        <w:trPr>
          <w:trHeight w:val="20"/>
        </w:trPr>
        <w:tc>
          <w:tcPr>
            <w:tcW w:w="3969" w:type="dxa"/>
            <w:vAlign w:val="bottom"/>
          </w:tcPr>
          <w:p w14:paraId="370D4B5F" w14:textId="77777777" w:rsidR="006B43AF" w:rsidRPr="00A04876" w:rsidRDefault="006B43AF" w:rsidP="004203CD">
            <w:pPr>
              <w:pStyle w:val="TablesTText"/>
              <w:rPr>
                <w:rFonts w:ascii="IBM Plex Sans Light" w:hAnsi="IBM Plex Sans Light"/>
                <w:sz w:val="18"/>
                <w:szCs w:val="18"/>
              </w:rPr>
            </w:pPr>
            <w:r>
              <w:rPr>
                <w:rFonts w:ascii="IBM Plex Sans Light" w:hAnsi="IBM Plex Sans Light"/>
                <w:sz w:val="18"/>
                <w:szCs w:val="18"/>
              </w:rPr>
              <w:t>Net</w:t>
            </w:r>
            <w:r w:rsidRPr="00A04876">
              <w:rPr>
                <w:rFonts w:ascii="IBM Plex Sans Light" w:hAnsi="IBM Plex Sans Light"/>
                <w:sz w:val="18"/>
                <w:szCs w:val="18"/>
              </w:rPr>
              <w:t xml:space="preserve"> rental income</w:t>
            </w:r>
          </w:p>
        </w:tc>
        <w:tc>
          <w:tcPr>
            <w:tcW w:w="567" w:type="dxa"/>
            <w:shd w:val="clear" w:color="auto" w:fill="auto"/>
            <w:vAlign w:val="bottom"/>
          </w:tcPr>
          <w:p w14:paraId="1411567A"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3</w:t>
            </w:r>
          </w:p>
        </w:tc>
        <w:tc>
          <w:tcPr>
            <w:tcW w:w="284" w:type="dxa"/>
            <w:shd w:val="clear" w:color="auto" w:fill="auto"/>
            <w:vAlign w:val="bottom"/>
          </w:tcPr>
          <w:p w14:paraId="782F4D6D"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49BA36E6" w14:textId="77777777" w:rsidR="006B43AF" w:rsidRPr="00A04876" w:rsidRDefault="006B43AF" w:rsidP="004203CD">
            <w:pPr>
              <w:pStyle w:val="TablesTFigures"/>
              <w:spacing w:line="240" w:lineRule="exact"/>
              <w:jc w:val="left"/>
              <w:rPr>
                <w:rFonts w:ascii="IBM Plex Sans Light" w:hAnsi="IBM Plex Sans Light"/>
                <w:color w:val="3D7FE0" w:themeColor="accent1"/>
                <w:sz w:val="18"/>
                <w:szCs w:val="18"/>
              </w:rPr>
            </w:pPr>
            <w:r w:rsidRPr="00A04876">
              <w:rPr>
                <w:rFonts w:ascii="IBM Plex Sans Light" w:hAnsi="IBM Plex Sans Light"/>
                <w:sz w:val="18"/>
                <w:szCs w:val="18"/>
              </w:rPr>
              <w:t>Total accounting return</w:t>
            </w:r>
          </w:p>
        </w:tc>
        <w:tc>
          <w:tcPr>
            <w:tcW w:w="708" w:type="dxa"/>
            <w:vAlign w:val="bottom"/>
          </w:tcPr>
          <w:p w14:paraId="07D8E967"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15</w:t>
            </w:r>
          </w:p>
        </w:tc>
      </w:tr>
      <w:tr w:rsidR="006B43AF" w:rsidRPr="005907D3" w14:paraId="497C5BBC" w14:textId="77777777" w:rsidTr="004203CD">
        <w:trPr>
          <w:trHeight w:val="20"/>
        </w:trPr>
        <w:tc>
          <w:tcPr>
            <w:tcW w:w="3969" w:type="dxa"/>
            <w:vAlign w:val="bottom"/>
          </w:tcPr>
          <w:p w14:paraId="473FFCEC" w14:textId="77777777" w:rsidR="006B43AF" w:rsidRPr="00A04876" w:rsidRDefault="006B43AF" w:rsidP="004203CD">
            <w:pPr>
              <w:pStyle w:val="TablesTText"/>
              <w:rPr>
                <w:rFonts w:ascii="IBM Plex Sans Light" w:hAnsi="IBM Plex Sans Light"/>
                <w:sz w:val="18"/>
                <w:szCs w:val="18"/>
              </w:rPr>
            </w:pPr>
            <w:r>
              <w:rPr>
                <w:rFonts w:ascii="IBM Plex Sans Light" w:hAnsi="IBM Plex Sans Light"/>
                <w:sz w:val="18"/>
                <w:szCs w:val="18"/>
              </w:rPr>
              <w:t>Rental data</w:t>
            </w:r>
            <w:r w:rsidRPr="00A04876">
              <w:rPr>
                <w:rFonts w:ascii="IBM Plex Sans Light" w:hAnsi="IBM Plex Sans Light"/>
                <w:sz w:val="18"/>
                <w:szCs w:val="18"/>
              </w:rPr>
              <w:t xml:space="preserve"> </w:t>
            </w:r>
          </w:p>
        </w:tc>
        <w:tc>
          <w:tcPr>
            <w:tcW w:w="567" w:type="dxa"/>
            <w:shd w:val="clear" w:color="auto" w:fill="auto"/>
            <w:vAlign w:val="bottom"/>
          </w:tcPr>
          <w:p w14:paraId="7CD6C059"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4</w:t>
            </w:r>
          </w:p>
        </w:tc>
        <w:tc>
          <w:tcPr>
            <w:tcW w:w="284" w:type="dxa"/>
            <w:shd w:val="clear" w:color="auto" w:fill="auto"/>
            <w:vAlign w:val="bottom"/>
          </w:tcPr>
          <w:p w14:paraId="559E15A2"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2CB0D912" w14:textId="77777777" w:rsidR="006B43AF" w:rsidRPr="00A04876" w:rsidRDefault="006B43AF" w:rsidP="004203CD">
            <w:pPr>
              <w:pStyle w:val="TablesTText"/>
              <w:rPr>
                <w:rFonts w:ascii="IBM Plex Sans Light" w:hAnsi="IBM Plex Sans Light"/>
                <w:sz w:val="18"/>
                <w:szCs w:val="18"/>
              </w:rPr>
            </w:pPr>
            <w:r w:rsidRPr="00A04876">
              <w:rPr>
                <w:rFonts w:ascii="IBM Plex Sans Medium" w:eastAsia="Yu Gothic Light" w:hAnsi="IBM Plex Sans Medium" w:cs="Times New Roman"/>
                <w:b/>
                <w:color w:val="3D7FE0" w:themeColor="accent1"/>
                <w:sz w:val="18"/>
                <w:szCs w:val="18"/>
              </w:rPr>
              <w:t>Financing metrics</w:t>
            </w:r>
          </w:p>
        </w:tc>
        <w:tc>
          <w:tcPr>
            <w:tcW w:w="708" w:type="dxa"/>
            <w:vAlign w:val="bottom"/>
          </w:tcPr>
          <w:p w14:paraId="17844CA0" w14:textId="77777777" w:rsidR="006B43AF" w:rsidRPr="00A04876" w:rsidRDefault="006B43AF" w:rsidP="004203CD">
            <w:pPr>
              <w:pStyle w:val="TablesTText"/>
              <w:jc w:val="right"/>
              <w:rPr>
                <w:rFonts w:ascii="IBM Plex Sans Light" w:hAnsi="IBM Plex Sans Light"/>
                <w:sz w:val="18"/>
                <w:szCs w:val="18"/>
              </w:rPr>
            </w:pPr>
          </w:p>
        </w:tc>
      </w:tr>
      <w:tr w:rsidR="006B43AF" w:rsidRPr="005907D3" w14:paraId="7FEFD171" w14:textId="77777777" w:rsidTr="004203CD">
        <w:trPr>
          <w:trHeight w:val="20"/>
        </w:trPr>
        <w:tc>
          <w:tcPr>
            <w:tcW w:w="3969" w:type="dxa"/>
            <w:vAlign w:val="bottom"/>
          </w:tcPr>
          <w:p w14:paraId="42D80B52" w14:textId="77777777" w:rsidR="006B43AF" w:rsidRPr="00A04876" w:rsidRDefault="006B43AF" w:rsidP="004203CD">
            <w:pPr>
              <w:pStyle w:val="TablesTText"/>
              <w:rPr>
                <w:rFonts w:ascii="IBM Plex Sans Light" w:hAnsi="IBM Plex Sans Light"/>
                <w:sz w:val="18"/>
                <w:szCs w:val="18"/>
              </w:rPr>
            </w:pPr>
            <w:r>
              <w:rPr>
                <w:rFonts w:ascii="IBM Plex Sans Light" w:hAnsi="IBM Plex Sans Light"/>
                <w:sz w:val="18"/>
                <w:szCs w:val="18"/>
              </w:rPr>
              <w:lastRenderedPageBreak/>
              <w:t>Vacancy</w:t>
            </w:r>
          </w:p>
        </w:tc>
        <w:tc>
          <w:tcPr>
            <w:tcW w:w="567" w:type="dxa"/>
            <w:shd w:val="clear" w:color="auto" w:fill="auto"/>
            <w:vAlign w:val="bottom"/>
          </w:tcPr>
          <w:p w14:paraId="75372253"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5</w:t>
            </w:r>
          </w:p>
        </w:tc>
        <w:tc>
          <w:tcPr>
            <w:tcW w:w="284" w:type="dxa"/>
            <w:shd w:val="clear" w:color="auto" w:fill="auto"/>
            <w:vAlign w:val="bottom"/>
          </w:tcPr>
          <w:p w14:paraId="5F2CCCAD"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54B4F2DF" w14:textId="77777777" w:rsidR="006B43AF" w:rsidRPr="000167C0" w:rsidRDefault="006B43AF" w:rsidP="004203CD">
            <w:pPr>
              <w:pStyle w:val="TablesTText"/>
              <w:rPr>
                <w:rFonts w:ascii="IBM Plex Sans Light" w:eastAsia="Yu Gothic Light" w:hAnsi="IBM Plex Sans Light" w:cs="Times New Roman"/>
                <w:b/>
                <w:color w:val="3C75BA"/>
                <w:sz w:val="18"/>
                <w:szCs w:val="18"/>
              </w:rPr>
            </w:pPr>
            <w:r w:rsidRPr="00A04876">
              <w:rPr>
                <w:rFonts w:ascii="IBM Plex Sans Light" w:hAnsi="IBM Plex Sans Light"/>
                <w:sz w:val="18"/>
                <w:szCs w:val="18"/>
              </w:rPr>
              <w:t>Net debt : EBITDA</w:t>
            </w:r>
          </w:p>
        </w:tc>
        <w:tc>
          <w:tcPr>
            <w:tcW w:w="708" w:type="dxa"/>
            <w:vAlign w:val="bottom"/>
          </w:tcPr>
          <w:p w14:paraId="3CD62FAD"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16</w:t>
            </w:r>
          </w:p>
        </w:tc>
      </w:tr>
      <w:tr w:rsidR="006B43AF" w:rsidRPr="005907D3" w14:paraId="00A69951" w14:textId="77777777" w:rsidTr="004203CD">
        <w:trPr>
          <w:trHeight w:val="20"/>
        </w:trPr>
        <w:tc>
          <w:tcPr>
            <w:tcW w:w="3969" w:type="dxa"/>
            <w:vAlign w:val="bottom"/>
          </w:tcPr>
          <w:p w14:paraId="2E42D4D6" w14:textId="77777777" w:rsidR="006B43AF" w:rsidRPr="00A04876" w:rsidRDefault="006B43AF" w:rsidP="004203CD">
            <w:pPr>
              <w:pStyle w:val="TablesTText"/>
              <w:rPr>
                <w:rFonts w:ascii="IBM Plex Sans Light" w:hAnsi="IBM Plex Sans Light"/>
                <w:sz w:val="18"/>
                <w:szCs w:val="18"/>
              </w:rPr>
            </w:pPr>
            <w:r>
              <w:rPr>
                <w:rFonts w:ascii="IBM Plex Sans Light" w:hAnsi="IBM Plex Sans Light"/>
                <w:sz w:val="18"/>
                <w:szCs w:val="18"/>
              </w:rPr>
              <w:t>Lease expiries and breaks</w:t>
            </w:r>
          </w:p>
        </w:tc>
        <w:tc>
          <w:tcPr>
            <w:tcW w:w="567" w:type="dxa"/>
            <w:shd w:val="clear" w:color="auto" w:fill="auto"/>
            <w:vAlign w:val="bottom"/>
          </w:tcPr>
          <w:p w14:paraId="54EBE816"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6</w:t>
            </w:r>
          </w:p>
        </w:tc>
        <w:tc>
          <w:tcPr>
            <w:tcW w:w="284" w:type="dxa"/>
            <w:shd w:val="clear" w:color="auto" w:fill="auto"/>
            <w:vAlign w:val="bottom"/>
          </w:tcPr>
          <w:p w14:paraId="793385BB"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489E4CCC" w14:textId="77777777" w:rsidR="006B43AF" w:rsidRPr="00A04876" w:rsidRDefault="006B43AF" w:rsidP="004203CD">
            <w:pPr>
              <w:pStyle w:val="TablesTFigures"/>
              <w:spacing w:line="240" w:lineRule="exact"/>
              <w:jc w:val="left"/>
              <w:rPr>
                <w:rFonts w:ascii="IBM Plex Sans Light" w:hAnsi="IBM Plex Sans Light"/>
                <w:sz w:val="18"/>
                <w:szCs w:val="18"/>
              </w:rPr>
            </w:pPr>
            <w:r w:rsidRPr="00A04876">
              <w:rPr>
                <w:rFonts w:ascii="IBM Plex Sans Light" w:hAnsi="IBM Plex Sans Light"/>
                <w:sz w:val="18"/>
                <w:szCs w:val="18"/>
              </w:rPr>
              <w:t>Interest cover</w:t>
            </w:r>
          </w:p>
        </w:tc>
        <w:tc>
          <w:tcPr>
            <w:tcW w:w="708" w:type="dxa"/>
            <w:vAlign w:val="bottom"/>
          </w:tcPr>
          <w:p w14:paraId="7BF4FD4E"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17</w:t>
            </w:r>
          </w:p>
        </w:tc>
      </w:tr>
      <w:tr w:rsidR="006B43AF" w:rsidRPr="005907D3" w14:paraId="55B13254" w14:textId="77777777" w:rsidTr="004203CD">
        <w:trPr>
          <w:trHeight w:val="20"/>
        </w:trPr>
        <w:tc>
          <w:tcPr>
            <w:tcW w:w="3969" w:type="dxa"/>
            <w:vAlign w:val="bottom"/>
          </w:tcPr>
          <w:p w14:paraId="12547532" w14:textId="77777777" w:rsidR="006B43AF" w:rsidRPr="00A04876" w:rsidRDefault="006B43AF" w:rsidP="004203CD">
            <w:pPr>
              <w:pStyle w:val="TablesTText"/>
              <w:rPr>
                <w:rFonts w:ascii="IBM Plex Sans Light" w:hAnsi="IBM Plex Sans Light"/>
                <w:sz w:val="18"/>
                <w:szCs w:val="18"/>
              </w:rPr>
            </w:pPr>
            <w:r w:rsidRPr="00A04876">
              <w:rPr>
                <w:rFonts w:ascii="IBM Plex Sans Light" w:hAnsi="IBM Plex Sans Light"/>
                <w:sz w:val="18"/>
                <w:szCs w:val="18"/>
              </w:rPr>
              <w:t>Top ten tenants</w:t>
            </w:r>
          </w:p>
        </w:tc>
        <w:tc>
          <w:tcPr>
            <w:tcW w:w="567" w:type="dxa"/>
            <w:shd w:val="clear" w:color="auto" w:fill="auto"/>
            <w:vAlign w:val="bottom"/>
          </w:tcPr>
          <w:p w14:paraId="4D20BE8E"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7</w:t>
            </w:r>
          </w:p>
        </w:tc>
        <w:tc>
          <w:tcPr>
            <w:tcW w:w="284" w:type="dxa"/>
            <w:shd w:val="clear" w:color="auto" w:fill="auto"/>
            <w:vAlign w:val="bottom"/>
          </w:tcPr>
          <w:p w14:paraId="7C3B262F"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0434E472" w14:textId="77777777" w:rsidR="006B43AF" w:rsidRPr="00A04876" w:rsidRDefault="006B43AF" w:rsidP="004203CD">
            <w:pPr>
              <w:pStyle w:val="TablesTFigures"/>
              <w:spacing w:line="240" w:lineRule="exact"/>
              <w:jc w:val="left"/>
              <w:rPr>
                <w:rFonts w:ascii="IBM Plex Sans Light" w:hAnsi="IBM Plex Sans Light"/>
                <w:sz w:val="18"/>
                <w:szCs w:val="18"/>
              </w:rPr>
            </w:pPr>
            <w:r>
              <w:rPr>
                <w:rFonts w:ascii="IBM Plex Sans Light" w:hAnsi="IBM Plex Sans Light"/>
                <w:sz w:val="18"/>
                <w:szCs w:val="18"/>
              </w:rPr>
              <w:t>Gearing</w:t>
            </w:r>
          </w:p>
        </w:tc>
        <w:tc>
          <w:tcPr>
            <w:tcW w:w="708" w:type="dxa"/>
            <w:vAlign w:val="bottom"/>
          </w:tcPr>
          <w:p w14:paraId="7C2C9731"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18</w:t>
            </w:r>
          </w:p>
        </w:tc>
      </w:tr>
      <w:tr w:rsidR="006B43AF" w:rsidRPr="005907D3" w14:paraId="0C2897C5" w14:textId="77777777" w:rsidTr="004203CD">
        <w:trPr>
          <w:trHeight w:val="20"/>
        </w:trPr>
        <w:tc>
          <w:tcPr>
            <w:tcW w:w="3969" w:type="dxa"/>
            <w:vAlign w:val="bottom"/>
          </w:tcPr>
          <w:p w14:paraId="09E4A05A" w14:textId="77777777" w:rsidR="006B43AF" w:rsidRPr="00A04876" w:rsidRDefault="006B43AF" w:rsidP="004203CD">
            <w:pPr>
              <w:pStyle w:val="TablesTText"/>
              <w:rPr>
                <w:rFonts w:ascii="IBM Plex Sans Light" w:hAnsi="IBM Plex Sans Light"/>
                <w:sz w:val="18"/>
                <w:szCs w:val="18"/>
              </w:rPr>
            </w:pPr>
            <w:r w:rsidRPr="00A04876">
              <w:rPr>
                <w:rFonts w:ascii="IBM Plex Sans Light" w:hAnsi="IBM Plex Sans Light"/>
                <w:sz w:val="18"/>
                <w:szCs w:val="18"/>
              </w:rPr>
              <w:t>Cost ratio</w:t>
            </w:r>
          </w:p>
        </w:tc>
        <w:tc>
          <w:tcPr>
            <w:tcW w:w="567" w:type="dxa"/>
            <w:shd w:val="clear" w:color="auto" w:fill="auto"/>
            <w:vAlign w:val="bottom"/>
          </w:tcPr>
          <w:p w14:paraId="22E85C63"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8</w:t>
            </w:r>
          </w:p>
        </w:tc>
        <w:tc>
          <w:tcPr>
            <w:tcW w:w="284" w:type="dxa"/>
            <w:shd w:val="clear" w:color="auto" w:fill="auto"/>
            <w:vAlign w:val="bottom"/>
          </w:tcPr>
          <w:p w14:paraId="472D0493"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2515679A" w14:textId="77777777" w:rsidR="006B43AF" w:rsidRPr="00A04876" w:rsidRDefault="006B43AF" w:rsidP="004203CD">
            <w:pPr>
              <w:pStyle w:val="TablesTFigures"/>
              <w:spacing w:line="240" w:lineRule="exact"/>
              <w:jc w:val="left"/>
              <w:rPr>
                <w:rFonts w:ascii="IBM Plex Sans Light" w:hAnsi="IBM Plex Sans Light"/>
                <w:sz w:val="18"/>
                <w:szCs w:val="18"/>
              </w:rPr>
            </w:pPr>
            <w:r>
              <w:rPr>
                <w:rFonts w:ascii="IBM Plex Sans Light" w:hAnsi="IBM Plex Sans Light"/>
                <w:sz w:val="18"/>
                <w:szCs w:val="18"/>
              </w:rPr>
              <w:t>Loan to value</w:t>
            </w:r>
          </w:p>
        </w:tc>
        <w:tc>
          <w:tcPr>
            <w:tcW w:w="708" w:type="dxa"/>
            <w:vAlign w:val="bottom"/>
          </w:tcPr>
          <w:p w14:paraId="41343D83"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19</w:t>
            </w:r>
          </w:p>
        </w:tc>
      </w:tr>
      <w:tr w:rsidR="006B43AF" w:rsidRPr="005907D3" w14:paraId="35D79CE3" w14:textId="77777777" w:rsidTr="004203CD">
        <w:trPr>
          <w:trHeight w:val="20"/>
        </w:trPr>
        <w:tc>
          <w:tcPr>
            <w:tcW w:w="3969" w:type="dxa"/>
            <w:vAlign w:val="bottom"/>
          </w:tcPr>
          <w:p w14:paraId="0C53177E" w14:textId="77777777" w:rsidR="006B43AF" w:rsidRPr="00A04876" w:rsidRDefault="006B43AF" w:rsidP="004203CD">
            <w:pPr>
              <w:pStyle w:val="TablesTText"/>
              <w:rPr>
                <w:rFonts w:ascii="IBM Plex Sans Light" w:hAnsi="IBM Plex Sans Light"/>
                <w:sz w:val="18"/>
                <w:szCs w:val="18"/>
              </w:rPr>
            </w:pPr>
            <w:r w:rsidRPr="00A04876">
              <w:rPr>
                <w:rFonts w:ascii="IBM Plex Sans Light" w:hAnsi="IBM Plex Sans Light"/>
                <w:sz w:val="18"/>
                <w:szCs w:val="18"/>
              </w:rPr>
              <w:t>Valuation analysis</w:t>
            </w:r>
          </w:p>
        </w:tc>
        <w:tc>
          <w:tcPr>
            <w:tcW w:w="567" w:type="dxa"/>
            <w:shd w:val="clear" w:color="auto" w:fill="auto"/>
            <w:vAlign w:val="bottom"/>
          </w:tcPr>
          <w:p w14:paraId="6AB8F5B7"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9</w:t>
            </w:r>
          </w:p>
        </w:tc>
        <w:tc>
          <w:tcPr>
            <w:tcW w:w="284" w:type="dxa"/>
            <w:shd w:val="clear" w:color="auto" w:fill="auto"/>
            <w:vAlign w:val="bottom"/>
          </w:tcPr>
          <w:p w14:paraId="54B76F7B"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1C3CA125" w14:textId="77777777" w:rsidR="006B43AF" w:rsidRPr="00A04876" w:rsidRDefault="006B43AF" w:rsidP="004203CD">
            <w:pPr>
              <w:pStyle w:val="TablesTFigures"/>
              <w:spacing w:line="240" w:lineRule="exact"/>
              <w:jc w:val="left"/>
              <w:rPr>
                <w:rFonts w:ascii="IBM Plex Sans Light" w:hAnsi="IBM Plex Sans Light"/>
                <w:sz w:val="18"/>
                <w:szCs w:val="18"/>
              </w:rPr>
            </w:pPr>
            <w:r w:rsidRPr="00A04876">
              <w:rPr>
                <w:rFonts w:ascii="IBM Plex Sans Light" w:hAnsi="IBM Plex Sans Light"/>
                <w:sz w:val="18"/>
                <w:szCs w:val="18"/>
              </w:rPr>
              <w:t>Unencumbered asset ratio</w:t>
            </w:r>
          </w:p>
        </w:tc>
        <w:tc>
          <w:tcPr>
            <w:tcW w:w="708" w:type="dxa"/>
            <w:vAlign w:val="bottom"/>
          </w:tcPr>
          <w:p w14:paraId="5CFECBA7"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20</w:t>
            </w:r>
          </w:p>
        </w:tc>
      </w:tr>
      <w:tr w:rsidR="006B43AF" w:rsidRPr="005907D3" w14:paraId="422EF689" w14:textId="77777777" w:rsidTr="004203CD">
        <w:trPr>
          <w:trHeight w:val="267"/>
        </w:trPr>
        <w:tc>
          <w:tcPr>
            <w:tcW w:w="3969" w:type="dxa"/>
            <w:vAlign w:val="bottom"/>
          </w:tcPr>
          <w:p w14:paraId="2BAA746D" w14:textId="77777777" w:rsidR="006B43AF" w:rsidRPr="00A04876" w:rsidRDefault="006B43AF" w:rsidP="004203CD">
            <w:pPr>
              <w:pStyle w:val="TablesTText"/>
              <w:rPr>
                <w:rFonts w:ascii="IBM Plex Sans Light" w:hAnsi="IBM Plex Sans Light"/>
                <w:sz w:val="18"/>
                <w:szCs w:val="18"/>
              </w:rPr>
            </w:pPr>
            <w:r w:rsidRPr="00A04876">
              <w:rPr>
                <w:rFonts w:ascii="IBM Plex Sans Light" w:hAnsi="IBM Plex Sans Light"/>
                <w:sz w:val="18"/>
                <w:szCs w:val="18"/>
              </w:rPr>
              <w:t>Net initial yield</w:t>
            </w:r>
          </w:p>
        </w:tc>
        <w:tc>
          <w:tcPr>
            <w:tcW w:w="567" w:type="dxa"/>
            <w:shd w:val="clear" w:color="auto" w:fill="auto"/>
            <w:vAlign w:val="bottom"/>
          </w:tcPr>
          <w:p w14:paraId="454149C5"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10</w:t>
            </w:r>
          </w:p>
        </w:tc>
        <w:tc>
          <w:tcPr>
            <w:tcW w:w="284" w:type="dxa"/>
            <w:shd w:val="clear" w:color="auto" w:fill="auto"/>
            <w:vAlign w:val="bottom"/>
          </w:tcPr>
          <w:p w14:paraId="74B7F20A"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shd w:val="clear" w:color="auto" w:fill="auto"/>
            <w:vAlign w:val="bottom"/>
          </w:tcPr>
          <w:p w14:paraId="4FCD63EA" w14:textId="1DF0CD2F" w:rsidR="006B43AF" w:rsidRPr="00DC3C8B" w:rsidRDefault="006B43AF" w:rsidP="004203CD">
            <w:pPr>
              <w:pStyle w:val="TablesTText"/>
              <w:rPr>
                <w:rFonts w:ascii="IBM Plex Sans Light" w:hAnsi="IBM Plex Sans Light"/>
                <w:sz w:val="18"/>
                <w:szCs w:val="18"/>
              </w:rPr>
            </w:pPr>
            <w:r w:rsidRPr="00DC3C8B">
              <w:rPr>
                <w:rFonts w:ascii="IBM Plex Sans Light" w:hAnsi="IBM Plex Sans Light"/>
                <w:sz w:val="18"/>
                <w:szCs w:val="18"/>
              </w:rPr>
              <w:t xml:space="preserve">EPRA </w:t>
            </w:r>
            <w:r w:rsidR="00C05EEC">
              <w:rPr>
                <w:rFonts w:ascii="IBM Plex Sans Light" w:hAnsi="IBM Plex Sans Light"/>
                <w:sz w:val="18"/>
                <w:szCs w:val="18"/>
              </w:rPr>
              <w:t>l</w:t>
            </w:r>
            <w:r w:rsidRPr="00DC3C8B">
              <w:rPr>
                <w:rFonts w:ascii="IBM Plex Sans Light" w:hAnsi="IBM Plex Sans Light"/>
                <w:sz w:val="18"/>
                <w:szCs w:val="18"/>
              </w:rPr>
              <w:t>oan to value</w:t>
            </w:r>
          </w:p>
        </w:tc>
        <w:tc>
          <w:tcPr>
            <w:tcW w:w="708" w:type="dxa"/>
            <w:vAlign w:val="bottom"/>
          </w:tcPr>
          <w:p w14:paraId="157EF2A2"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21</w:t>
            </w:r>
          </w:p>
        </w:tc>
      </w:tr>
      <w:tr w:rsidR="006B43AF" w:rsidRPr="005907D3" w14:paraId="2041F9FC" w14:textId="77777777" w:rsidTr="004203CD">
        <w:trPr>
          <w:trHeight w:val="267"/>
        </w:trPr>
        <w:tc>
          <w:tcPr>
            <w:tcW w:w="3969" w:type="dxa"/>
            <w:tcBorders>
              <w:bottom w:val="single" w:sz="8" w:space="0" w:color="3D7FE0" w:themeColor="accent1"/>
            </w:tcBorders>
            <w:vAlign w:val="bottom"/>
          </w:tcPr>
          <w:p w14:paraId="1EB4BCC3" w14:textId="77777777" w:rsidR="006B43AF" w:rsidRPr="00A04876" w:rsidRDefault="006B43AF" w:rsidP="004203CD">
            <w:pPr>
              <w:pStyle w:val="TablesTText"/>
              <w:rPr>
                <w:rFonts w:ascii="IBM Plex Sans Light" w:hAnsi="IBM Plex Sans Light"/>
                <w:sz w:val="18"/>
                <w:szCs w:val="18"/>
              </w:rPr>
            </w:pPr>
            <w:r w:rsidRPr="00A04876">
              <w:rPr>
                <w:rFonts w:ascii="IBM Plex Sans Light" w:hAnsi="IBM Plex Sans Light"/>
                <w:sz w:val="18"/>
                <w:szCs w:val="18"/>
              </w:rPr>
              <w:t>Capital expenditure</w:t>
            </w:r>
          </w:p>
        </w:tc>
        <w:tc>
          <w:tcPr>
            <w:tcW w:w="567" w:type="dxa"/>
            <w:tcBorders>
              <w:bottom w:val="single" w:sz="8" w:space="0" w:color="3D7FE0" w:themeColor="accent1"/>
            </w:tcBorders>
            <w:shd w:val="clear" w:color="auto" w:fill="auto"/>
            <w:vAlign w:val="bottom"/>
          </w:tcPr>
          <w:p w14:paraId="16BA5A43"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11</w:t>
            </w:r>
          </w:p>
        </w:tc>
        <w:tc>
          <w:tcPr>
            <w:tcW w:w="284" w:type="dxa"/>
            <w:tcBorders>
              <w:bottom w:val="single" w:sz="8" w:space="0" w:color="3D7FE0" w:themeColor="accent1"/>
            </w:tcBorders>
            <w:shd w:val="clear" w:color="auto" w:fill="auto"/>
            <w:vAlign w:val="bottom"/>
          </w:tcPr>
          <w:p w14:paraId="06257284" w14:textId="77777777" w:rsidR="006B43AF" w:rsidRPr="00A04876" w:rsidRDefault="006B43AF" w:rsidP="004203CD">
            <w:pPr>
              <w:pStyle w:val="TablesTFigures"/>
              <w:spacing w:line="240" w:lineRule="exact"/>
              <w:rPr>
                <w:rFonts w:ascii="IBM Plex Sans Light" w:hAnsi="IBM Plex Sans Light"/>
                <w:sz w:val="18"/>
                <w:szCs w:val="18"/>
              </w:rPr>
            </w:pPr>
          </w:p>
        </w:tc>
        <w:tc>
          <w:tcPr>
            <w:tcW w:w="4365" w:type="dxa"/>
            <w:tcBorders>
              <w:bottom w:val="single" w:sz="8" w:space="0" w:color="3D7FE0" w:themeColor="accent1"/>
            </w:tcBorders>
            <w:shd w:val="clear" w:color="auto" w:fill="auto"/>
            <w:vAlign w:val="bottom"/>
          </w:tcPr>
          <w:p w14:paraId="65A6F1F1" w14:textId="77777777" w:rsidR="006B43AF" w:rsidRPr="00A04876" w:rsidRDefault="006B43AF" w:rsidP="004203CD">
            <w:pPr>
              <w:pStyle w:val="TablesTText"/>
              <w:rPr>
                <w:rFonts w:ascii="IBM Plex Sans Medium" w:eastAsia="Yu Gothic Light" w:hAnsi="IBM Plex Sans Medium" w:cs="Times New Roman"/>
                <w:b/>
                <w:color w:val="3D7FE0" w:themeColor="accent1"/>
                <w:sz w:val="18"/>
                <w:szCs w:val="18"/>
              </w:rPr>
            </w:pPr>
            <w:r w:rsidRPr="00A04876">
              <w:rPr>
                <w:rFonts w:ascii="IBM Plex Sans Medium" w:eastAsia="Yu Gothic Light" w:hAnsi="IBM Plex Sans Medium" w:cs="Times New Roman"/>
                <w:b/>
                <w:color w:val="3D7FE0" w:themeColor="accent1"/>
                <w:sz w:val="18"/>
                <w:szCs w:val="18"/>
              </w:rPr>
              <w:t>Key properties</w:t>
            </w:r>
          </w:p>
        </w:tc>
        <w:tc>
          <w:tcPr>
            <w:tcW w:w="708" w:type="dxa"/>
            <w:tcBorders>
              <w:bottom w:val="single" w:sz="8" w:space="0" w:color="3D7FE0" w:themeColor="accent1"/>
            </w:tcBorders>
            <w:vAlign w:val="bottom"/>
          </w:tcPr>
          <w:p w14:paraId="509C8909" w14:textId="77777777" w:rsidR="006B43AF" w:rsidRPr="00A04876" w:rsidRDefault="006B43AF" w:rsidP="004203CD">
            <w:pPr>
              <w:pStyle w:val="TablesTText"/>
              <w:jc w:val="right"/>
              <w:rPr>
                <w:rFonts w:ascii="IBM Plex Sans Light" w:hAnsi="IBM Plex Sans Light"/>
                <w:sz w:val="18"/>
                <w:szCs w:val="18"/>
              </w:rPr>
            </w:pPr>
            <w:r w:rsidRPr="00A04876">
              <w:rPr>
                <w:rFonts w:ascii="IBM Plex Sans Light" w:hAnsi="IBM Plex Sans Light"/>
                <w:sz w:val="18"/>
                <w:szCs w:val="18"/>
              </w:rPr>
              <w:t>22</w:t>
            </w:r>
          </w:p>
        </w:tc>
      </w:tr>
    </w:tbl>
    <w:p w14:paraId="1E1FF89D" w14:textId="77777777" w:rsidR="006B43AF" w:rsidRPr="005907D3" w:rsidRDefault="006B43AF" w:rsidP="006B43AF">
      <w:pPr>
        <w:spacing w:after="0"/>
        <w:rPr>
          <w:rFonts w:ascii="IBM Plex Sans Light" w:hAnsi="IBM Plex Sans Light"/>
        </w:rPr>
      </w:pPr>
    </w:p>
    <w:p w14:paraId="4B915E20" w14:textId="77777777" w:rsidR="006B43AF" w:rsidRPr="005907D3" w:rsidRDefault="006B43AF" w:rsidP="006B43AF">
      <w:pPr>
        <w:spacing w:after="0"/>
        <w:rPr>
          <w:rFonts w:ascii="IBM Plex Sans Light" w:hAnsi="IBM Plex Sans Light"/>
        </w:rPr>
      </w:pPr>
      <w:r w:rsidRPr="005907D3">
        <w:rPr>
          <w:rFonts w:ascii="IBM Plex Sans Light" w:hAnsi="IBM Plex Sans Light"/>
        </w:rPr>
        <w:t>Hammerson is a member of the European Public Real Estate Association (EPRA) and has representatives who actively participate in a number of EPRA committees and initiatives. This includes working with peer group companies, real estate investors and analysts and the large audit firms, to improve the transparency, comparability and relevance of the published results of listed real estate companies in Europe.</w:t>
      </w:r>
    </w:p>
    <w:p w14:paraId="22D4C938" w14:textId="77777777" w:rsidR="006B43AF" w:rsidRPr="005907D3" w:rsidRDefault="006B43AF" w:rsidP="006B43AF">
      <w:pPr>
        <w:spacing w:after="0"/>
        <w:rPr>
          <w:rFonts w:ascii="IBM Plex Sans Light" w:hAnsi="IBM Plex Sans Light"/>
        </w:rPr>
      </w:pPr>
    </w:p>
    <w:p w14:paraId="583829C8" w14:textId="41F3580D" w:rsidR="006B43AF" w:rsidRPr="005907D3" w:rsidRDefault="006B43AF" w:rsidP="006B43AF">
      <w:pPr>
        <w:rPr>
          <w:rFonts w:ascii="IBM Plex Sans Light" w:hAnsi="IBM Plex Sans Light"/>
        </w:rPr>
      </w:pPr>
      <w:r w:rsidRPr="00580D9D">
        <w:rPr>
          <w:rFonts w:ascii="IBM Plex Sans Light" w:hAnsi="IBM Plex Sans Light"/>
        </w:rPr>
        <w:t>As with other real estate companies, we have adopted the EPRA Best Practice Recommendations (BPR) and were again awarded a Gold Award for compliance with the EPRA BPR for our 202</w:t>
      </w:r>
      <w:r w:rsidR="00321BE8">
        <w:rPr>
          <w:rFonts w:ascii="IBM Plex Sans Light" w:hAnsi="IBM Plex Sans Light"/>
        </w:rPr>
        <w:t>2</w:t>
      </w:r>
      <w:r w:rsidRPr="00580D9D">
        <w:rPr>
          <w:rFonts w:ascii="IBM Plex Sans Light" w:hAnsi="IBM Plex Sans Light"/>
        </w:rPr>
        <w:t xml:space="preserve"> Annual Report. Further information on EPRA and the EPRA BPR can be found on their website www.epra.com. Details of our key EPRA metrics are shown in Table 1</w:t>
      </w:r>
      <w:r w:rsidRPr="005907D3">
        <w:rPr>
          <w:rFonts w:ascii="IBM Plex Sans Light" w:hAnsi="IBM Plex Sans Light"/>
        </w:rPr>
        <w:t xml:space="preserve">. </w:t>
      </w:r>
    </w:p>
    <w:p w14:paraId="7DA7BF96" w14:textId="77777777" w:rsidR="006B43AF" w:rsidRPr="005907D3" w:rsidRDefault="006B43AF" w:rsidP="006B43AF">
      <w:pPr>
        <w:rPr>
          <w:rFonts w:ascii="IBM Plex Sans Light" w:hAnsi="IBM Plex Sans Light"/>
        </w:rPr>
      </w:pPr>
    </w:p>
    <w:p w14:paraId="276DC6D8" w14:textId="77777777" w:rsidR="006B43AF" w:rsidRPr="00C06C7F"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 w:val="20"/>
        </w:rPr>
      </w:pPr>
      <w:r w:rsidRPr="00C06C7F">
        <w:rPr>
          <w:rFonts w:ascii="IBM Plex Sans Medium" w:eastAsia="Yu Gothic Light" w:hAnsi="IBM Plex Sans Medium"/>
          <w:b/>
          <w:color w:val="3D7FE0" w:themeColor="accent1"/>
          <w:spacing w:val="0"/>
          <w:sz w:val="20"/>
        </w:rPr>
        <w:t>SUMMARY EPRA PERFORMANCE MEASURES</w:t>
      </w:r>
    </w:p>
    <w:p w14:paraId="39720EEE" w14:textId="77777777" w:rsidR="006B43AF" w:rsidRPr="00280504" w:rsidRDefault="006B43AF" w:rsidP="006B43AF">
      <w:pPr>
        <w:rPr>
          <w:rFonts w:ascii="IBM Plex Sans Light" w:hAnsi="IBM Plex Sans Light"/>
          <w:b/>
        </w:rPr>
      </w:pPr>
      <w:r w:rsidRPr="00280504">
        <w:rPr>
          <w:rFonts w:ascii="IBM Plex Sans Light" w:hAnsi="IBM Plex Sans Light"/>
          <w:b/>
        </w:rPr>
        <w:t>Table 1</w:t>
      </w:r>
    </w:p>
    <w:tbl>
      <w:tblPr>
        <w:tblW w:w="9781" w:type="dxa"/>
        <w:tblLayout w:type="fixed"/>
        <w:tblCellMar>
          <w:left w:w="0" w:type="dxa"/>
          <w:right w:w="0" w:type="dxa"/>
        </w:tblCellMar>
        <w:tblLook w:val="04A0" w:firstRow="1" w:lastRow="0" w:firstColumn="1" w:lastColumn="0" w:noHBand="0" w:noVBand="1"/>
      </w:tblPr>
      <w:tblGrid>
        <w:gridCol w:w="5329"/>
        <w:gridCol w:w="312"/>
        <w:gridCol w:w="2014"/>
        <w:gridCol w:w="1134"/>
        <w:gridCol w:w="971"/>
        <w:gridCol w:w="21"/>
      </w:tblGrid>
      <w:tr w:rsidR="006B43AF" w:rsidRPr="005907D3" w14:paraId="38258453" w14:textId="77777777" w:rsidTr="004203CD">
        <w:trPr>
          <w:trHeight w:val="20"/>
        </w:trPr>
        <w:tc>
          <w:tcPr>
            <w:tcW w:w="5329" w:type="dxa"/>
            <w:tcBorders>
              <w:bottom w:val="single" w:sz="4" w:space="0" w:color="3D7FE0" w:themeColor="accent1"/>
            </w:tcBorders>
            <w:shd w:val="clear" w:color="auto" w:fill="auto"/>
            <w:vAlign w:val="bottom"/>
          </w:tcPr>
          <w:p w14:paraId="67B39EB8" w14:textId="77777777" w:rsidR="006B43AF" w:rsidRPr="00A04876" w:rsidRDefault="006B43AF" w:rsidP="004203CD">
            <w:pPr>
              <w:pStyle w:val="TablesTColHeadsLeft"/>
              <w:rPr>
                <w:rFonts w:ascii="IBM Plex Sans Medium" w:hAnsi="IBM Plex Sans Medium"/>
                <w:b/>
                <w:bCs/>
                <w:color w:val="3D7FE0" w:themeColor="accent1"/>
                <w:sz w:val="16"/>
                <w:szCs w:val="28"/>
              </w:rPr>
            </w:pPr>
            <w:r w:rsidRPr="00A04876">
              <w:rPr>
                <w:rFonts w:ascii="IBM Plex Sans Medium" w:hAnsi="IBM Plex Sans Medium"/>
                <w:b/>
                <w:bCs/>
                <w:color w:val="3D7FE0" w:themeColor="accent1"/>
                <w:sz w:val="16"/>
                <w:szCs w:val="28"/>
              </w:rPr>
              <w:t>Performance measure</w:t>
            </w:r>
          </w:p>
        </w:tc>
        <w:tc>
          <w:tcPr>
            <w:tcW w:w="312" w:type="dxa"/>
            <w:tcBorders>
              <w:bottom w:val="single" w:sz="4" w:space="0" w:color="3D7FE0" w:themeColor="accent1"/>
            </w:tcBorders>
            <w:shd w:val="clear" w:color="auto" w:fill="auto"/>
          </w:tcPr>
          <w:p w14:paraId="70DCE603" w14:textId="77777777" w:rsidR="006B43AF" w:rsidRPr="005907D3" w:rsidRDefault="006B43AF" w:rsidP="004203CD">
            <w:pPr>
              <w:pStyle w:val="TablesTColHeadsBold"/>
              <w:rPr>
                <w:rFonts w:ascii="IBM Plex Sans Light" w:hAnsi="IBM Plex Sans Light"/>
              </w:rPr>
            </w:pPr>
          </w:p>
        </w:tc>
        <w:tc>
          <w:tcPr>
            <w:tcW w:w="2014" w:type="dxa"/>
            <w:tcBorders>
              <w:bottom w:val="single" w:sz="4" w:space="0" w:color="3D7FE0" w:themeColor="accent1"/>
            </w:tcBorders>
            <w:shd w:val="clear" w:color="auto" w:fill="auto"/>
          </w:tcPr>
          <w:p w14:paraId="6570F3E1" w14:textId="50B8A2E9" w:rsidR="006B43AF" w:rsidRPr="00024B10" w:rsidRDefault="006B43AF" w:rsidP="004203CD">
            <w:pPr>
              <w:pStyle w:val="TablesTColHead"/>
              <w:rPr>
                <w:rFonts w:ascii="IBM Plex Sans Light" w:hAnsi="IBM Plex Sans Light"/>
                <w:b/>
                <w:bCs/>
                <w:color w:val="3D7FE0" w:themeColor="accent1"/>
                <w:sz w:val="14"/>
                <w:szCs w:val="14"/>
              </w:rPr>
            </w:pPr>
            <w:r w:rsidRPr="00024B10">
              <w:rPr>
                <w:rFonts w:ascii="IBM Plex Sans Light" w:hAnsi="IBM Plex Sans Light"/>
                <w:b/>
                <w:bCs/>
                <w:color w:val="3D7FE0" w:themeColor="accent1"/>
                <w:sz w:val="14"/>
                <w:szCs w:val="14"/>
              </w:rPr>
              <w:t>Note/</w:t>
            </w:r>
          </w:p>
          <w:p w14:paraId="3948E311" w14:textId="77777777" w:rsidR="006B43AF" w:rsidRPr="005907D3" w:rsidRDefault="006B43AF" w:rsidP="004203CD">
            <w:pPr>
              <w:pStyle w:val="TablesTColHeadsBold"/>
              <w:rPr>
                <w:rFonts w:ascii="IBM Plex Sans Light" w:hAnsi="IBM Plex Sans Light"/>
              </w:rPr>
            </w:pPr>
            <w:r w:rsidRPr="005907D3">
              <w:rPr>
                <w:rFonts w:ascii="IBM Plex Sans Light" w:hAnsi="IBM Plex Sans Light"/>
                <w:bCs/>
                <w:sz w:val="14"/>
                <w:szCs w:val="14"/>
              </w:rPr>
              <w:t>Table</w:t>
            </w:r>
          </w:p>
        </w:tc>
        <w:tc>
          <w:tcPr>
            <w:tcW w:w="1134" w:type="dxa"/>
            <w:tcBorders>
              <w:bottom w:val="single" w:sz="4" w:space="0" w:color="3D7FE0" w:themeColor="accent1"/>
            </w:tcBorders>
          </w:tcPr>
          <w:p w14:paraId="3C3BE555" w14:textId="77777777" w:rsidR="006B43AF" w:rsidRPr="005907D3" w:rsidRDefault="006B43AF" w:rsidP="004203CD">
            <w:pPr>
              <w:pStyle w:val="TablesTColHeadsBold"/>
              <w:rPr>
                <w:rFonts w:ascii="IBM Plex Sans Light" w:hAnsi="IBM Plex Sans Light"/>
                <w:color w:val="3D7FE0" w:themeColor="accent1"/>
                <w:sz w:val="14"/>
                <w:szCs w:val="24"/>
              </w:rPr>
            </w:pPr>
          </w:p>
          <w:p w14:paraId="60D9C5C5" w14:textId="77777777" w:rsidR="006B43AF" w:rsidRPr="005907D3" w:rsidRDefault="006B43AF" w:rsidP="004203CD">
            <w:pPr>
              <w:pStyle w:val="TablesTColHeadsBold"/>
              <w:rPr>
                <w:rFonts w:ascii="IBM Plex Sans Light" w:eastAsia="Times New Roman" w:hAnsi="IBM Plex Sans Light" w:cs="Times New Roman"/>
                <w:b w:val="0"/>
                <w:bCs/>
                <w:color w:val="3D7FE0" w:themeColor="accent1"/>
                <w:sz w:val="14"/>
                <w:szCs w:val="20"/>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p>
        </w:tc>
        <w:tc>
          <w:tcPr>
            <w:tcW w:w="971" w:type="dxa"/>
            <w:tcBorders>
              <w:bottom w:val="single" w:sz="4" w:space="0" w:color="3D7FE0" w:themeColor="accent1"/>
            </w:tcBorders>
            <w:shd w:val="clear" w:color="auto" w:fill="auto"/>
          </w:tcPr>
          <w:p w14:paraId="1D84F2E1" w14:textId="77777777" w:rsidR="006B43AF" w:rsidRPr="005907D3" w:rsidRDefault="006B43AF" w:rsidP="004203CD">
            <w:pPr>
              <w:pStyle w:val="TablesTColHeadsBold"/>
              <w:rPr>
                <w:rFonts w:ascii="IBM Plex Sans Light" w:eastAsia="Times New Roman" w:hAnsi="IBM Plex Sans Light" w:cs="Times New Roman"/>
                <w:b w:val="0"/>
                <w:bCs/>
                <w:color w:val="auto"/>
                <w:sz w:val="14"/>
                <w:szCs w:val="20"/>
              </w:rPr>
            </w:pPr>
          </w:p>
          <w:p w14:paraId="10667330" w14:textId="77777777" w:rsidR="006B43AF" w:rsidRPr="005907D3" w:rsidRDefault="006B43AF" w:rsidP="004203CD">
            <w:pPr>
              <w:pStyle w:val="TablesTColHeadsBold"/>
              <w:rPr>
                <w:rFonts w:ascii="IBM Plex Sans Light" w:eastAsia="Times New Roman" w:hAnsi="IBM Plex Sans Light" w:cs="Times New Roman"/>
                <w:b w:val="0"/>
                <w:bCs/>
                <w:color w:val="auto"/>
                <w:sz w:val="14"/>
                <w:szCs w:val="20"/>
              </w:rPr>
            </w:pPr>
            <w:r w:rsidRPr="005907D3">
              <w:rPr>
                <w:rFonts w:ascii="IBM Plex Sans Light" w:eastAsia="Times New Roman" w:hAnsi="IBM Plex Sans Light" w:cs="Times New Roman"/>
                <w:b w:val="0"/>
                <w:bCs/>
                <w:color w:val="auto"/>
                <w:sz w:val="14"/>
                <w:szCs w:val="20"/>
              </w:rPr>
              <w:t>202</w:t>
            </w:r>
            <w:r>
              <w:rPr>
                <w:rFonts w:ascii="IBM Plex Sans Light" w:eastAsia="Times New Roman" w:hAnsi="IBM Plex Sans Light" w:cs="Times New Roman"/>
                <w:b w:val="0"/>
                <w:bCs/>
                <w:color w:val="auto"/>
                <w:sz w:val="14"/>
                <w:szCs w:val="20"/>
              </w:rPr>
              <w:t>2</w:t>
            </w:r>
          </w:p>
        </w:tc>
        <w:tc>
          <w:tcPr>
            <w:tcW w:w="21" w:type="dxa"/>
            <w:tcBorders>
              <w:bottom w:val="single" w:sz="4" w:space="0" w:color="3D7FE0" w:themeColor="accent1"/>
            </w:tcBorders>
            <w:shd w:val="clear" w:color="auto" w:fill="auto"/>
          </w:tcPr>
          <w:p w14:paraId="455DBCEC" w14:textId="77777777" w:rsidR="006B43AF" w:rsidRPr="005907D3" w:rsidRDefault="006B43AF" w:rsidP="004203CD">
            <w:pPr>
              <w:pStyle w:val="TablesTColHeadsLeft"/>
              <w:rPr>
                <w:rFonts w:ascii="IBM Plex Sans Light" w:hAnsi="IBM Plex Sans Light"/>
              </w:rPr>
            </w:pPr>
          </w:p>
        </w:tc>
      </w:tr>
      <w:tr w:rsidR="006B43AF" w:rsidRPr="005907D3" w14:paraId="5253B72D" w14:textId="77777777" w:rsidTr="004203CD">
        <w:trPr>
          <w:trHeight w:val="20"/>
        </w:trPr>
        <w:tc>
          <w:tcPr>
            <w:tcW w:w="5329" w:type="dxa"/>
            <w:tcBorders>
              <w:top w:val="single" w:sz="4" w:space="0" w:color="3D7FE0" w:themeColor="accent1"/>
              <w:bottom w:val="single" w:sz="4" w:space="0" w:color="3D7FE0" w:themeColor="accent1"/>
            </w:tcBorders>
            <w:shd w:val="clear" w:color="auto" w:fill="auto"/>
          </w:tcPr>
          <w:p w14:paraId="12522EC9" w14:textId="77777777" w:rsidR="006B43AF" w:rsidRPr="005907D3" w:rsidRDefault="006B43AF" w:rsidP="004203CD">
            <w:pPr>
              <w:pStyle w:val="TablesTText"/>
              <w:rPr>
                <w:rFonts w:ascii="IBM Plex Sans Light" w:hAnsi="IBM Plex Sans Light"/>
              </w:rPr>
            </w:pPr>
          </w:p>
        </w:tc>
        <w:tc>
          <w:tcPr>
            <w:tcW w:w="312" w:type="dxa"/>
            <w:tcBorders>
              <w:top w:val="single" w:sz="4" w:space="0" w:color="3D7FE0" w:themeColor="accent1"/>
              <w:bottom w:val="single" w:sz="4" w:space="0" w:color="3D7FE0" w:themeColor="accent1"/>
            </w:tcBorders>
            <w:shd w:val="clear" w:color="auto" w:fill="auto"/>
          </w:tcPr>
          <w:p w14:paraId="75D98532" w14:textId="77777777" w:rsidR="006B43AF" w:rsidRPr="005907D3" w:rsidRDefault="006B43AF" w:rsidP="004203CD">
            <w:pPr>
              <w:pStyle w:val="TablesTFigureBold"/>
              <w:rPr>
                <w:rFonts w:ascii="IBM Plex Sans Light" w:eastAsia="Chronicle Text G1" w:hAnsi="IBM Plex Sans Light" w:cs="Chronicle Text G1"/>
                <w:b/>
              </w:rPr>
            </w:pPr>
          </w:p>
        </w:tc>
        <w:tc>
          <w:tcPr>
            <w:tcW w:w="2014" w:type="dxa"/>
            <w:tcBorders>
              <w:top w:val="single" w:sz="4" w:space="0" w:color="3D7FE0" w:themeColor="accent1"/>
              <w:bottom w:val="single" w:sz="4" w:space="0" w:color="3D7FE0" w:themeColor="accent1"/>
            </w:tcBorders>
            <w:shd w:val="clear" w:color="auto" w:fill="auto"/>
          </w:tcPr>
          <w:p w14:paraId="34D7C780" w14:textId="77777777" w:rsidR="006B43AF" w:rsidRPr="005907D3" w:rsidRDefault="006B43AF" w:rsidP="004203CD">
            <w:pPr>
              <w:pStyle w:val="TablesTFigureBold"/>
              <w:rPr>
                <w:rFonts w:ascii="IBM Plex Sans Light" w:eastAsia="Chronicle Text G1" w:hAnsi="IBM Plex Sans Light" w:cs="Chronicle Text G1"/>
                <w:b/>
              </w:rPr>
            </w:pPr>
          </w:p>
        </w:tc>
        <w:tc>
          <w:tcPr>
            <w:tcW w:w="1134" w:type="dxa"/>
            <w:tcBorders>
              <w:top w:val="single" w:sz="4" w:space="0" w:color="3D7FE0" w:themeColor="accent1"/>
              <w:bottom w:val="single" w:sz="4" w:space="0" w:color="3D7FE0" w:themeColor="accent1"/>
            </w:tcBorders>
          </w:tcPr>
          <w:p w14:paraId="550D488C" w14:textId="77777777" w:rsidR="006B43AF" w:rsidRPr="005907D3" w:rsidRDefault="006B43AF" w:rsidP="004203CD">
            <w:pPr>
              <w:pStyle w:val="TablesTFigureBold"/>
              <w:rPr>
                <w:rFonts w:ascii="IBM Plex Sans Light" w:hAnsi="IBM Plex Sans Light"/>
                <w:color w:val="3D7FE0" w:themeColor="accent1"/>
                <w:szCs w:val="17"/>
              </w:rPr>
            </w:pPr>
          </w:p>
        </w:tc>
        <w:tc>
          <w:tcPr>
            <w:tcW w:w="971" w:type="dxa"/>
            <w:tcBorders>
              <w:top w:val="single" w:sz="4" w:space="0" w:color="3D7FE0" w:themeColor="accent1"/>
              <w:bottom w:val="single" w:sz="4" w:space="0" w:color="3D7FE0" w:themeColor="accent1"/>
            </w:tcBorders>
            <w:shd w:val="clear" w:color="auto" w:fill="auto"/>
          </w:tcPr>
          <w:p w14:paraId="79A514E6" w14:textId="77777777" w:rsidR="006B43AF" w:rsidRPr="005907D3" w:rsidRDefault="006B43AF" w:rsidP="004203CD">
            <w:pPr>
              <w:pStyle w:val="TablesTFigures"/>
              <w:rPr>
                <w:rFonts w:ascii="IBM Plex Sans Light" w:hAnsi="IBM Plex Sans Light"/>
                <w:szCs w:val="17"/>
              </w:rPr>
            </w:pPr>
          </w:p>
        </w:tc>
        <w:tc>
          <w:tcPr>
            <w:tcW w:w="21" w:type="dxa"/>
            <w:tcBorders>
              <w:top w:val="single" w:sz="4" w:space="0" w:color="3D7FE0" w:themeColor="accent1"/>
              <w:bottom w:val="single" w:sz="4" w:space="0" w:color="3D7FE0" w:themeColor="accent1"/>
            </w:tcBorders>
            <w:shd w:val="clear" w:color="auto" w:fill="auto"/>
          </w:tcPr>
          <w:p w14:paraId="4D1FA6ED" w14:textId="77777777" w:rsidR="006B43AF" w:rsidRPr="005907D3" w:rsidRDefault="006B43AF" w:rsidP="004203CD">
            <w:pPr>
              <w:pStyle w:val="TablesTText"/>
              <w:rPr>
                <w:rFonts w:ascii="IBM Plex Sans Light" w:hAnsi="IBM Plex Sans Light"/>
                <w:highlight w:val="yellow"/>
              </w:rPr>
            </w:pPr>
          </w:p>
        </w:tc>
      </w:tr>
      <w:tr w:rsidR="006B43AF" w:rsidRPr="005907D3" w14:paraId="56AC81ED" w14:textId="77777777" w:rsidTr="004203CD">
        <w:trPr>
          <w:trHeight w:hRule="exact" w:val="255"/>
        </w:trPr>
        <w:tc>
          <w:tcPr>
            <w:tcW w:w="5329" w:type="dxa"/>
            <w:tcBorders>
              <w:top w:val="single" w:sz="4" w:space="0" w:color="3D7FE0" w:themeColor="accent1"/>
              <w:bottom w:val="single" w:sz="4" w:space="0" w:color="3D7FE0" w:themeColor="accent1"/>
            </w:tcBorders>
            <w:shd w:val="clear" w:color="auto" w:fill="auto"/>
          </w:tcPr>
          <w:p w14:paraId="70A71475" w14:textId="77777777" w:rsidR="006B43AF" w:rsidRPr="005907D3" w:rsidRDefault="006B43AF" w:rsidP="004203CD">
            <w:pPr>
              <w:pStyle w:val="TablesTText"/>
              <w:rPr>
                <w:rFonts w:ascii="IBM Plex Sans Light" w:hAnsi="IBM Plex Sans Light"/>
                <w:sz w:val="18"/>
                <w:szCs w:val="18"/>
                <w:highlight w:val="yellow"/>
              </w:rPr>
            </w:pPr>
            <w:r w:rsidRPr="005907D3">
              <w:rPr>
                <w:rFonts w:ascii="IBM Plex Sans Light" w:hAnsi="IBM Plex Sans Light"/>
                <w:sz w:val="18"/>
                <w:szCs w:val="18"/>
              </w:rPr>
              <w:t>Earnings</w:t>
            </w:r>
          </w:p>
        </w:tc>
        <w:tc>
          <w:tcPr>
            <w:tcW w:w="312" w:type="dxa"/>
            <w:tcBorders>
              <w:top w:val="single" w:sz="4" w:space="0" w:color="3D7FE0" w:themeColor="accent1"/>
              <w:bottom w:val="single" w:sz="4" w:space="0" w:color="3D7FE0" w:themeColor="accent1"/>
            </w:tcBorders>
            <w:shd w:val="clear" w:color="auto" w:fill="auto"/>
          </w:tcPr>
          <w:p w14:paraId="54C8C7E9" w14:textId="77777777" w:rsidR="006B43AF" w:rsidRDefault="006B43AF" w:rsidP="004203CD">
            <w:pPr>
              <w:pStyle w:val="13TBRightCopyIndentTableBack"/>
            </w:pPr>
          </w:p>
        </w:tc>
        <w:tc>
          <w:tcPr>
            <w:tcW w:w="2014" w:type="dxa"/>
            <w:tcBorders>
              <w:top w:val="single" w:sz="4" w:space="0" w:color="3D7FE0" w:themeColor="accent1"/>
              <w:bottom w:val="single" w:sz="4" w:space="0" w:color="3D7FE0" w:themeColor="accent1"/>
            </w:tcBorders>
            <w:shd w:val="clear" w:color="auto" w:fill="auto"/>
          </w:tcPr>
          <w:p w14:paraId="35AA15C7" w14:textId="77777777" w:rsidR="006B43AF" w:rsidRPr="005907D3" w:rsidRDefault="006B43AF" w:rsidP="004203CD">
            <w:pPr>
              <w:pStyle w:val="TablesTFigureBold"/>
              <w:rPr>
                <w:rFonts w:ascii="IBM Plex Sans Light" w:eastAsia="Chronicle Text G1" w:hAnsi="IBM Plex Sans Light" w:cs="Chronicle Text G1"/>
                <w:bCs/>
                <w:sz w:val="16"/>
                <w:szCs w:val="16"/>
                <w:highlight w:val="yellow"/>
              </w:rPr>
            </w:pPr>
            <w:r>
              <w:rPr>
                <w:rFonts w:ascii="IBM Plex Sans Light" w:hAnsi="IBM Plex Sans Light"/>
                <w:sz w:val="18"/>
                <w:szCs w:val="18"/>
              </w:rPr>
              <w:t>9</w:t>
            </w:r>
            <w:r w:rsidRPr="005907D3">
              <w:rPr>
                <w:rFonts w:ascii="IBM Plex Sans Light" w:hAnsi="IBM Plex Sans Light"/>
                <w:sz w:val="18"/>
                <w:szCs w:val="18"/>
              </w:rPr>
              <w:t>A</w:t>
            </w:r>
          </w:p>
        </w:tc>
        <w:tc>
          <w:tcPr>
            <w:tcW w:w="1134" w:type="dxa"/>
            <w:tcBorders>
              <w:top w:val="single" w:sz="4" w:space="0" w:color="3D7FE0" w:themeColor="accent1"/>
              <w:bottom w:val="single" w:sz="4" w:space="0" w:color="3D7FE0" w:themeColor="accent1"/>
            </w:tcBorders>
          </w:tcPr>
          <w:p w14:paraId="59124EDB"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sidRPr="00C16F8C">
              <w:rPr>
                <w:rFonts w:ascii="IBM Plex Sans Medium" w:hAnsi="IBM Plex Sans Medium"/>
                <w:b/>
                <w:bCs/>
                <w:color w:val="3D7FE0" w:themeColor="accent1"/>
                <w:sz w:val="18"/>
                <w:szCs w:val="18"/>
              </w:rPr>
              <w:t>£10</w:t>
            </w:r>
            <w:r>
              <w:rPr>
                <w:rFonts w:ascii="IBM Plex Sans Medium" w:hAnsi="IBM Plex Sans Medium"/>
                <w:b/>
                <w:bCs/>
                <w:color w:val="3D7FE0" w:themeColor="accent1"/>
                <w:sz w:val="18"/>
                <w:szCs w:val="18"/>
              </w:rPr>
              <w:t>2.8m</w:t>
            </w:r>
          </w:p>
        </w:tc>
        <w:tc>
          <w:tcPr>
            <w:tcW w:w="971" w:type="dxa"/>
            <w:tcBorders>
              <w:top w:val="single" w:sz="4" w:space="0" w:color="3D7FE0" w:themeColor="accent1"/>
              <w:bottom w:val="single" w:sz="4" w:space="0" w:color="3D7FE0" w:themeColor="accent1"/>
            </w:tcBorders>
            <w:shd w:val="clear" w:color="auto" w:fill="auto"/>
          </w:tcPr>
          <w:p w14:paraId="2E68000D"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sidRPr="00C16F8C">
              <w:rPr>
                <w:rFonts w:ascii="IBM Plex Sans Light" w:eastAsia="Chronicle Text G1" w:hAnsi="IBM Plex Sans Light" w:cs="Chronicle Text G1"/>
                <w:bCs/>
                <w:sz w:val="18"/>
                <w:szCs w:val="18"/>
              </w:rPr>
              <w:t>£</w:t>
            </w:r>
            <w:r>
              <w:rPr>
                <w:rFonts w:ascii="IBM Plex Sans Light" w:eastAsia="Chronicle Text G1" w:hAnsi="IBM Plex Sans Light" w:cs="Chronicle Text G1"/>
                <w:bCs/>
                <w:sz w:val="18"/>
                <w:szCs w:val="18"/>
              </w:rPr>
              <w:t>100.6</w:t>
            </w:r>
            <w:r w:rsidRPr="00C16F8C">
              <w:rPr>
                <w:rFonts w:ascii="IBM Plex Sans Light" w:eastAsia="Chronicle Text G1" w:hAnsi="IBM Plex Sans Light" w:cs="Chronicle Text G1"/>
                <w:bCs/>
                <w:sz w:val="18"/>
                <w:szCs w:val="18"/>
              </w:rPr>
              <w:t>m</w:t>
            </w:r>
          </w:p>
        </w:tc>
        <w:tc>
          <w:tcPr>
            <w:tcW w:w="21" w:type="dxa"/>
            <w:tcBorders>
              <w:top w:val="single" w:sz="4" w:space="0" w:color="3D7FE0" w:themeColor="accent1"/>
              <w:bottom w:val="single" w:sz="4" w:space="0" w:color="3D7FE0" w:themeColor="accent1"/>
            </w:tcBorders>
            <w:shd w:val="clear" w:color="auto" w:fill="auto"/>
          </w:tcPr>
          <w:p w14:paraId="66D6BA0D"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526F9CD1" w14:textId="77777777" w:rsidTr="004203CD">
        <w:trPr>
          <w:trHeight w:hRule="exact" w:val="255"/>
        </w:trPr>
        <w:tc>
          <w:tcPr>
            <w:tcW w:w="5329" w:type="dxa"/>
            <w:tcBorders>
              <w:top w:val="single" w:sz="4" w:space="0" w:color="3D7FE0" w:themeColor="accent1"/>
              <w:bottom w:val="single" w:sz="4" w:space="0" w:color="3D7FE0" w:themeColor="accent1"/>
            </w:tcBorders>
            <w:shd w:val="clear" w:color="auto" w:fill="auto"/>
          </w:tcPr>
          <w:p w14:paraId="33014EF2" w14:textId="77777777" w:rsidR="006B43AF" w:rsidRPr="005907D3" w:rsidRDefault="006B43AF" w:rsidP="004203CD">
            <w:pPr>
              <w:pStyle w:val="TablesTText"/>
              <w:rPr>
                <w:rStyle w:val="Superscript"/>
                <w:rFonts w:ascii="IBM Plex Sans Light" w:hAnsi="IBM Plex Sans Light"/>
                <w:sz w:val="18"/>
                <w:szCs w:val="18"/>
              </w:rPr>
            </w:pPr>
            <w:r w:rsidRPr="005907D3">
              <w:rPr>
                <w:rFonts w:ascii="IBM Plex Sans Light" w:hAnsi="IBM Plex Sans Light"/>
                <w:sz w:val="18"/>
                <w:szCs w:val="18"/>
              </w:rPr>
              <w:t xml:space="preserve">Earnings per share (EPS) </w:t>
            </w:r>
          </w:p>
        </w:tc>
        <w:tc>
          <w:tcPr>
            <w:tcW w:w="312" w:type="dxa"/>
            <w:tcBorders>
              <w:top w:val="single" w:sz="4" w:space="0" w:color="3D7FE0" w:themeColor="accent1"/>
              <w:bottom w:val="single" w:sz="4" w:space="0" w:color="3D7FE0" w:themeColor="accent1"/>
            </w:tcBorders>
            <w:shd w:val="clear" w:color="auto" w:fill="auto"/>
          </w:tcPr>
          <w:p w14:paraId="543E5854" w14:textId="77777777" w:rsidR="006B43AF" w:rsidRPr="00C16F8C" w:rsidRDefault="006B43AF" w:rsidP="004203CD">
            <w:pPr>
              <w:pStyle w:val="13TBRightCopyIndentTableBack"/>
            </w:pPr>
          </w:p>
        </w:tc>
        <w:tc>
          <w:tcPr>
            <w:tcW w:w="2014" w:type="dxa"/>
            <w:tcBorders>
              <w:top w:val="single" w:sz="4" w:space="0" w:color="3D7FE0" w:themeColor="accent1"/>
              <w:bottom w:val="single" w:sz="4" w:space="0" w:color="3D7FE0" w:themeColor="accent1"/>
            </w:tcBorders>
            <w:shd w:val="clear" w:color="auto" w:fill="auto"/>
          </w:tcPr>
          <w:p w14:paraId="76CF741E" w14:textId="77777777" w:rsidR="006B43AF" w:rsidRPr="00C16F8C" w:rsidRDefault="006B43AF" w:rsidP="004203CD">
            <w:pPr>
              <w:pStyle w:val="13TBRightCopyIndentTableBack"/>
            </w:pPr>
            <w:r w:rsidRPr="005907D3">
              <w:rPr>
                <w:sz w:val="18"/>
                <w:szCs w:val="18"/>
              </w:rPr>
              <w:t>1</w:t>
            </w:r>
            <w:r>
              <w:rPr>
                <w:sz w:val="18"/>
                <w:szCs w:val="18"/>
              </w:rPr>
              <w:t>0</w:t>
            </w:r>
            <w:r w:rsidRPr="005907D3">
              <w:rPr>
                <w:sz w:val="18"/>
                <w:szCs w:val="18"/>
              </w:rPr>
              <w:t>B</w:t>
            </w:r>
          </w:p>
        </w:tc>
        <w:tc>
          <w:tcPr>
            <w:tcW w:w="1134" w:type="dxa"/>
            <w:tcBorders>
              <w:top w:val="single" w:sz="4" w:space="0" w:color="3D7FE0" w:themeColor="accent1"/>
              <w:bottom w:val="single" w:sz="4" w:space="0" w:color="3D7FE0" w:themeColor="accent1"/>
            </w:tcBorders>
          </w:tcPr>
          <w:p w14:paraId="0FA6886E"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sidRPr="00C16F8C">
              <w:rPr>
                <w:rFonts w:ascii="IBM Plex Sans Medium" w:hAnsi="IBM Plex Sans Medium"/>
                <w:b/>
                <w:bCs/>
                <w:color w:val="3D7FE0" w:themeColor="accent1"/>
                <w:sz w:val="18"/>
                <w:szCs w:val="18"/>
              </w:rPr>
              <w:t>2.</w:t>
            </w:r>
            <w:r>
              <w:rPr>
                <w:rFonts w:ascii="IBM Plex Sans Medium" w:hAnsi="IBM Plex Sans Medium"/>
                <w:b/>
                <w:bCs/>
                <w:color w:val="3D7FE0" w:themeColor="accent1"/>
                <w:sz w:val="18"/>
                <w:szCs w:val="18"/>
              </w:rPr>
              <w:t>1</w:t>
            </w:r>
            <w:r w:rsidRPr="00C16F8C">
              <w:rPr>
                <w:rFonts w:ascii="IBM Plex Sans Medium" w:hAnsi="IBM Plex Sans Medium"/>
                <w:b/>
                <w:bCs/>
                <w:color w:val="3D7FE0" w:themeColor="accent1"/>
                <w:sz w:val="18"/>
                <w:szCs w:val="18"/>
              </w:rPr>
              <w:t>p</w:t>
            </w:r>
          </w:p>
        </w:tc>
        <w:tc>
          <w:tcPr>
            <w:tcW w:w="971" w:type="dxa"/>
            <w:tcBorders>
              <w:top w:val="single" w:sz="4" w:space="0" w:color="3D7FE0" w:themeColor="accent1"/>
              <w:bottom w:val="single" w:sz="4" w:space="0" w:color="3D7FE0" w:themeColor="accent1"/>
            </w:tcBorders>
            <w:shd w:val="clear" w:color="auto" w:fill="auto"/>
          </w:tcPr>
          <w:p w14:paraId="02CC9C3C"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2.0</w:t>
            </w:r>
            <w:r w:rsidRPr="00C16F8C">
              <w:rPr>
                <w:rFonts w:ascii="IBM Plex Sans Light" w:eastAsia="Chronicle Text G1" w:hAnsi="IBM Plex Sans Light" w:cs="Chronicle Text G1"/>
                <w:bCs/>
                <w:sz w:val="18"/>
                <w:szCs w:val="18"/>
              </w:rPr>
              <w:t>p</w:t>
            </w:r>
          </w:p>
        </w:tc>
        <w:tc>
          <w:tcPr>
            <w:tcW w:w="21" w:type="dxa"/>
            <w:tcBorders>
              <w:top w:val="single" w:sz="4" w:space="0" w:color="3D7FE0" w:themeColor="accent1"/>
              <w:bottom w:val="single" w:sz="4" w:space="0" w:color="3D7FE0" w:themeColor="accent1"/>
            </w:tcBorders>
            <w:shd w:val="clear" w:color="auto" w:fill="auto"/>
          </w:tcPr>
          <w:p w14:paraId="7E926D14"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1C945436" w14:textId="77777777" w:rsidTr="004203CD">
        <w:trPr>
          <w:trHeight w:hRule="exact" w:val="255"/>
        </w:trPr>
        <w:tc>
          <w:tcPr>
            <w:tcW w:w="5329" w:type="dxa"/>
            <w:tcBorders>
              <w:top w:val="single" w:sz="4" w:space="0" w:color="3D7FE0" w:themeColor="accent1"/>
              <w:bottom w:val="single" w:sz="4" w:space="0" w:color="3D7FE0" w:themeColor="accent1"/>
            </w:tcBorders>
            <w:shd w:val="clear" w:color="auto" w:fill="auto"/>
          </w:tcPr>
          <w:p w14:paraId="1EDFD4C5"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Cost ratio (including vacancy costs)</w:t>
            </w:r>
          </w:p>
        </w:tc>
        <w:tc>
          <w:tcPr>
            <w:tcW w:w="312" w:type="dxa"/>
            <w:tcBorders>
              <w:top w:val="single" w:sz="4" w:space="0" w:color="3D7FE0" w:themeColor="accent1"/>
              <w:bottom w:val="single" w:sz="4" w:space="0" w:color="3D7FE0" w:themeColor="accent1"/>
            </w:tcBorders>
            <w:shd w:val="clear" w:color="auto" w:fill="auto"/>
          </w:tcPr>
          <w:p w14:paraId="0BF2510D" w14:textId="77777777" w:rsidR="006B43AF" w:rsidRPr="00C16F8C" w:rsidRDefault="006B43AF" w:rsidP="004203CD">
            <w:pPr>
              <w:pStyle w:val="13TBRightCopyIndentTableBack"/>
            </w:pPr>
          </w:p>
        </w:tc>
        <w:tc>
          <w:tcPr>
            <w:tcW w:w="2014" w:type="dxa"/>
            <w:tcBorders>
              <w:top w:val="single" w:sz="4" w:space="0" w:color="3D7FE0" w:themeColor="accent1"/>
              <w:bottom w:val="single" w:sz="4" w:space="0" w:color="3D7FE0" w:themeColor="accent1"/>
            </w:tcBorders>
            <w:shd w:val="clear" w:color="auto" w:fill="auto"/>
          </w:tcPr>
          <w:p w14:paraId="6A1C1E23" w14:textId="77777777" w:rsidR="006B43AF" w:rsidRPr="00C16F8C" w:rsidRDefault="006B43AF" w:rsidP="004203CD">
            <w:pPr>
              <w:pStyle w:val="13TBRightCopyIndentTableBack"/>
            </w:pPr>
            <w:r w:rsidRPr="005907D3">
              <w:rPr>
                <w:sz w:val="18"/>
                <w:szCs w:val="18"/>
              </w:rPr>
              <w:t>Table 8</w:t>
            </w:r>
          </w:p>
        </w:tc>
        <w:tc>
          <w:tcPr>
            <w:tcW w:w="1134" w:type="dxa"/>
            <w:tcBorders>
              <w:top w:val="single" w:sz="4" w:space="0" w:color="3D7FE0" w:themeColor="accent1"/>
              <w:bottom w:val="single" w:sz="4" w:space="0" w:color="3D7FE0" w:themeColor="accent1"/>
            </w:tcBorders>
          </w:tcPr>
          <w:p w14:paraId="53BD0A51"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41.2</w:t>
            </w:r>
            <w:r w:rsidRPr="00C16F8C">
              <w:rPr>
                <w:rFonts w:ascii="IBM Plex Sans Medium" w:hAnsi="IBM Plex Sans Medium"/>
                <w:b/>
                <w:bCs/>
                <w:color w:val="3D7FE0" w:themeColor="accent1"/>
                <w:sz w:val="18"/>
                <w:szCs w:val="18"/>
              </w:rPr>
              <w:t>%</w:t>
            </w:r>
          </w:p>
        </w:tc>
        <w:tc>
          <w:tcPr>
            <w:tcW w:w="971" w:type="dxa"/>
            <w:tcBorders>
              <w:top w:val="single" w:sz="4" w:space="0" w:color="3D7FE0" w:themeColor="accent1"/>
              <w:bottom w:val="single" w:sz="4" w:space="0" w:color="3D7FE0" w:themeColor="accent1"/>
            </w:tcBorders>
            <w:shd w:val="clear" w:color="auto" w:fill="auto"/>
          </w:tcPr>
          <w:p w14:paraId="1641AAF5"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38.0</w:t>
            </w:r>
            <w:r w:rsidRPr="00C16F8C">
              <w:rPr>
                <w:rFonts w:ascii="IBM Plex Sans Light" w:eastAsia="Chronicle Text G1" w:hAnsi="IBM Plex Sans Light" w:cs="Chronicle Text G1"/>
                <w:bCs/>
                <w:sz w:val="18"/>
                <w:szCs w:val="18"/>
              </w:rPr>
              <w:t>%</w:t>
            </w:r>
          </w:p>
        </w:tc>
        <w:tc>
          <w:tcPr>
            <w:tcW w:w="21" w:type="dxa"/>
            <w:tcBorders>
              <w:top w:val="single" w:sz="4" w:space="0" w:color="3D7FE0" w:themeColor="accent1"/>
              <w:bottom w:val="single" w:sz="4" w:space="0" w:color="3D7FE0" w:themeColor="accent1"/>
            </w:tcBorders>
            <w:shd w:val="clear" w:color="auto" w:fill="auto"/>
          </w:tcPr>
          <w:p w14:paraId="70483133" w14:textId="77777777" w:rsidR="006B43AF" w:rsidRPr="005907D3" w:rsidRDefault="006B43AF" w:rsidP="004203CD">
            <w:pPr>
              <w:spacing w:after="0"/>
              <w:rPr>
                <w:rFonts w:ascii="IBM Plex Sans Light" w:hAnsi="IBM Plex Sans Light"/>
                <w:szCs w:val="18"/>
                <w:highlight w:val="yellow"/>
              </w:rPr>
            </w:pPr>
          </w:p>
        </w:tc>
      </w:tr>
      <w:tr w:rsidR="006B43AF" w:rsidRPr="005907D3" w14:paraId="49C9B560" w14:textId="77777777" w:rsidTr="004203CD">
        <w:trPr>
          <w:trHeight w:hRule="exact" w:val="255"/>
        </w:trPr>
        <w:tc>
          <w:tcPr>
            <w:tcW w:w="5329" w:type="dxa"/>
            <w:tcBorders>
              <w:top w:val="single" w:sz="4" w:space="0" w:color="3D7FE0" w:themeColor="accent1"/>
            </w:tcBorders>
            <w:shd w:val="clear" w:color="auto" w:fill="auto"/>
          </w:tcPr>
          <w:p w14:paraId="016F57A4" w14:textId="77777777" w:rsidR="006B43AF" w:rsidRPr="005907D3" w:rsidRDefault="006B43AF" w:rsidP="004203CD">
            <w:pPr>
              <w:pStyle w:val="TablesTText"/>
              <w:rPr>
                <w:rFonts w:ascii="IBM Plex Sans Light" w:hAnsi="IBM Plex Sans Light"/>
                <w:sz w:val="18"/>
                <w:szCs w:val="18"/>
              </w:rPr>
            </w:pPr>
          </w:p>
        </w:tc>
        <w:tc>
          <w:tcPr>
            <w:tcW w:w="312" w:type="dxa"/>
            <w:tcBorders>
              <w:top w:val="single" w:sz="4" w:space="0" w:color="3D7FE0" w:themeColor="accent1"/>
            </w:tcBorders>
            <w:shd w:val="clear" w:color="auto" w:fill="auto"/>
          </w:tcPr>
          <w:p w14:paraId="2781CEA6"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2014" w:type="dxa"/>
            <w:tcBorders>
              <w:top w:val="single" w:sz="4" w:space="0" w:color="3D7FE0" w:themeColor="accent1"/>
            </w:tcBorders>
            <w:shd w:val="clear" w:color="auto" w:fill="auto"/>
          </w:tcPr>
          <w:p w14:paraId="39E18641"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1134" w:type="dxa"/>
            <w:tcBorders>
              <w:top w:val="single" w:sz="4" w:space="0" w:color="3D7FE0" w:themeColor="accent1"/>
            </w:tcBorders>
          </w:tcPr>
          <w:p w14:paraId="1BE849B0" w14:textId="77777777" w:rsidR="006B43AF" w:rsidRPr="005907D3" w:rsidRDefault="006B43AF" w:rsidP="004203CD">
            <w:pPr>
              <w:pStyle w:val="TablesTColHeadsBold"/>
              <w:rPr>
                <w:rFonts w:ascii="IBM Plex Sans Light" w:hAnsi="IBM Plex Sans Light"/>
                <w:color w:val="3D7FE0" w:themeColor="accent1"/>
                <w:sz w:val="18"/>
                <w:szCs w:val="18"/>
              </w:rPr>
            </w:pPr>
          </w:p>
        </w:tc>
        <w:tc>
          <w:tcPr>
            <w:tcW w:w="971" w:type="dxa"/>
            <w:tcBorders>
              <w:top w:val="single" w:sz="4" w:space="0" w:color="3D7FE0" w:themeColor="accent1"/>
            </w:tcBorders>
            <w:shd w:val="clear" w:color="auto" w:fill="auto"/>
          </w:tcPr>
          <w:p w14:paraId="395FAD78" w14:textId="77777777" w:rsidR="006B43AF" w:rsidRPr="005907D3" w:rsidRDefault="006B43AF" w:rsidP="004203CD">
            <w:pPr>
              <w:pStyle w:val="TablesTColHeadsBold"/>
              <w:rPr>
                <w:rFonts w:ascii="IBM Plex Sans Light" w:hAnsi="IBM Plex Sans Light"/>
                <w:b w:val="0"/>
                <w:bCs/>
                <w:color w:val="auto"/>
                <w:sz w:val="18"/>
                <w:szCs w:val="18"/>
              </w:rPr>
            </w:pPr>
          </w:p>
        </w:tc>
        <w:tc>
          <w:tcPr>
            <w:tcW w:w="21" w:type="dxa"/>
            <w:tcBorders>
              <w:top w:val="single" w:sz="4" w:space="0" w:color="3D7FE0" w:themeColor="accent1"/>
            </w:tcBorders>
            <w:shd w:val="clear" w:color="auto" w:fill="auto"/>
          </w:tcPr>
          <w:p w14:paraId="268EA7D7"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469C2206" w14:textId="77777777" w:rsidTr="004203CD">
        <w:trPr>
          <w:trHeight w:hRule="exact" w:val="255"/>
        </w:trPr>
        <w:tc>
          <w:tcPr>
            <w:tcW w:w="5329" w:type="dxa"/>
            <w:tcBorders>
              <w:bottom w:val="single" w:sz="2" w:space="0" w:color="3D7FE0" w:themeColor="accent1"/>
            </w:tcBorders>
            <w:shd w:val="clear" w:color="auto" w:fill="auto"/>
          </w:tcPr>
          <w:p w14:paraId="5A400EA6" w14:textId="77777777" w:rsidR="006B43AF" w:rsidRPr="005907D3" w:rsidRDefault="006B43AF" w:rsidP="004203CD">
            <w:pPr>
              <w:pStyle w:val="TablesTText"/>
              <w:rPr>
                <w:rFonts w:ascii="IBM Plex Sans Light" w:hAnsi="IBM Plex Sans Light"/>
                <w:sz w:val="18"/>
                <w:szCs w:val="18"/>
              </w:rPr>
            </w:pPr>
          </w:p>
        </w:tc>
        <w:tc>
          <w:tcPr>
            <w:tcW w:w="312" w:type="dxa"/>
            <w:tcBorders>
              <w:bottom w:val="single" w:sz="2" w:space="0" w:color="3D7FE0" w:themeColor="accent1"/>
            </w:tcBorders>
            <w:shd w:val="clear" w:color="auto" w:fill="auto"/>
          </w:tcPr>
          <w:p w14:paraId="667EC9EC"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2014" w:type="dxa"/>
            <w:tcBorders>
              <w:bottom w:val="single" w:sz="2" w:space="0" w:color="3D7FE0" w:themeColor="accent1"/>
            </w:tcBorders>
            <w:shd w:val="clear" w:color="auto" w:fill="auto"/>
          </w:tcPr>
          <w:p w14:paraId="291557D9"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1134" w:type="dxa"/>
            <w:tcBorders>
              <w:bottom w:val="single" w:sz="2" w:space="0" w:color="3D7FE0" w:themeColor="accent1"/>
            </w:tcBorders>
            <w:vAlign w:val="bottom"/>
          </w:tcPr>
          <w:p w14:paraId="32D7F600"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p>
        </w:tc>
        <w:tc>
          <w:tcPr>
            <w:tcW w:w="971" w:type="dxa"/>
            <w:tcBorders>
              <w:bottom w:val="single" w:sz="2" w:space="0" w:color="3D7FE0" w:themeColor="accent1"/>
            </w:tcBorders>
            <w:shd w:val="clear" w:color="auto" w:fill="auto"/>
            <w:vAlign w:val="bottom"/>
          </w:tcPr>
          <w:p w14:paraId="2205337F" w14:textId="77777777" w:rsidR="006B43AF" w:rsidRPr="005907D3" w:rsidRDefault="006B43AF" w:rsidP="004203CD">
            <w:pPr>
              <w:pStyle w:val="TablesTColHeadsBold"/>
              <w:rPr>
                <w:rFonts w:ascii="IBM Plex Sans Light" w:hAnsi="IBM Plex Sans Light"/>
                <w:b w:val="0"/>
                <w:bCs/>
                <w:color w:val="auto"/>
                <w:sz w:val="14"/>
                <w:szCs w:val="24"/>
              </w:rPr>
            </w:pPr>
            <w:r w:rsidRPr="005907D3">
              <w:rPr>
                <w:rFonts w:ascii="IBM Plex Sans Light" w:hAnsi="IBM Plex Sans Light"/>
                <w:b w:val="0"/>
                <w:bCs/>
                <w:color w:val="auto"/>
                <w:sz w:val="14"/>
                <w:szCs w:val="24"/>
              </w:rPr>
              <w:t>202</w:t>
            </w:r>
            <w:r>
              <w:rPr>
                <w:rFonts w:ascii="IBM Plex Sans Light" w:hAnsi="IBM Plex Sans Light"/>
                <w:b w:val="0"/>
                <w:bCs/>
                <w:color w:val="auto"/>
                <w:sz w:val="14"/>
                <w:szCs w:val="24"/>
              </w:rPr>
              <w:t>2</w:t>
            </w:r>
          </w:p>
        </w:tc>
        <w:tc>
          <w:tcPr>
            <w:tcW w:w="21" w:type="dxa"/>
            <w:tcBorders>
              <w:bottom w:val="single" w:sz="2" w:space="0" w:color="3D7FE0" w:themeColor="accent1"/>
            </w:tcBorders>
            <w:shd w:val="clear" w:color="auto" w:fill="auto"/>
          </w:tcPr>
          <w:p w14:paraId="3C954C47" w14:textId="77777777" w:rsidR="006B43AF" w:rsidRPr="005907D3" w:rsidRDefault="006B43AF" w:rsidP="004203CD">
            <w:pPr>
              <w:pStyle w:val="TablesTText"/>
              <w:rPr>
                <w:rFonts w:ascii="IBM Plex Sans Light" w:hAnsi="IBM Plex Sans Light"/>
                <w:b/>
                <w:color w:val="3D7FE0" w:themeColor="accent1"/>
                <w:sz w:val="14"/>
                <w:szCs w:val="24"/>
              </w:rPr>
            </w:pPr>
          </w:p>
        </w:tc>
      </w:tr>
      <w:tr w:rsidR="006B43AF" w:rsidRPr="005907D3" w14:paraId="7123C473"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tcPr>
          <w:p w14:paraId="6ED21F09"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 xml:space="preserve">Net Disposal Value (NDV) per share </w:t>
            </w:r>
          </w:p>
        </w:tc>
        <w:tc>
          <w:tcPr>
            <w:tcW w:w="312" w:type="dxa"/>
            <w:tcBorders>
              <w:top w:val="single" w:sz="2" w:space="0" w:color="3D7FE0" w:themeColor="accent1"/>
              <w:bottom w:val="single" w:sz="2" w:space="0" w:color="3D7FE0" w:themeColor="accent1"/>
            </w:tcBorders>
            <w:shd w:val="clear" w:color="auto" w:fill="auto"/>
            <w:vAlign w:val="center"/>
          </w:tcPr>
          <w:p w14:paraId="0DFD9AD4"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2014" w:type="dxa"/>
            <w:tcBorders>
              <w:top w:val="single" w:sz="2" w:space="0" w:color="3D7FE0" w:themeColor="accent1"/>
              <w:bottom w:val="single" w:sz="2" w:space="0" w:color="3D7FE0" w:themeColor="accent1"/>
            </w:tcBorders>
            <w:shd w:val="clear" w:color="auto" w:fill="auto"/>
            <w:vAlign w:val="center"/>
          </w:tcPr>
          <w:p w14:paraId="5529628C"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r w:rsidRPr="005907D3">
              <w:rPr>
                <w:rFonts w:ascii="IBM Plex Sans Light" w:hAnsi="IBM Plex Sans Light"/>
                <w:sz w:val="18"/>
                <w:szCs w:val="18"/>
              </w:rPr>
              <w:t>1</w:t>
            </w:r>
            <w:r>
              <w:rPr>
                <w:rFonts w:ascii="IBM Plex Sans Light" w:hAnsi="IBM Plex Sans Light"/>
                <w:sz w:val="18"/>
                <w:szCs w:val="18"/>
              </w:rPr>
              <w:t>0</w:t>
            </w:r>
            <w:r w:rsidRPr="005907D3">
              <w:rPr>
                <w:rFonts w:ascii="IBM Plex Sans Light" w:hAnsi="IBM Plex Sans Light"/>
                <w:sz w:val="18"/>
                <w:szCs w:val="18"/>
              </w:rPr>
              <w:t>C</w:t>
            </w:r>
          </w:p>
        </w:tc>
        <w:tc>
          <w:tcPr>
            <w:tcW w:w="1134" w:type="dxa"/>
            <w:tcBorders>
              <w:top w:val="single" w:sz="2" w:space="0" w:color="3D7FE0" w:themeColor="accent1"/>
              <w:bottom w:val="single" w:sz="2" w:space="0" w:color="3D7FE0" w:themeColor="accent1"/>
            </w:tcBorders>
          </w:tcPr>
          <w:p w14:paraId="2FB68328"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sidRPr="00C16F8C">
              <w:rPr>
                <w:rFonts w:ascii="IBM Plex Sans Medium" w:hAnsi="IBM Plex Sans Medium"/>
                <w:b/>
                <w:bCs/>
                <w:color w:val="3D7FE0" w:themeColor="accent1"/>
                <w:sz w:val="18"/>
                <w:szCs w:val="18"/>
              </w:rPr>
              <w:t>5</w:t>
            </w:r>
            <w:r>
              <w:rPr>
                <w:rFonts w:ascii="IBM Plex Sans Medium" w:hAnsi="IBM Plex Sans Medium"/>
                <w:b/>
                <w:bCs/>
                <w:color w:val="3D7FE0" w:themeColor="accent1"/>
                <w:sz w:val="18"/>
                <w:szCs w:val="18"/>
              </w:rPr>
              <w:t>0</w:t>
            </w:r>
            <w:r w:rsidRPr="00C16F8C">
              <w:rPr>
                <w:rFonts w:ascii="IBM Plex Sans Medium" w:hAnsi="IBM Plex Sans Medium"/>
                <w:b/>
                <w:bCs/>
                <w:color w:val="3D7FE0" w:themeColor="accent1"/>
                <w:sz w:val="18"/>
                <w:szCs w:val="18"/>
              </w:rPr>
              <w:t>p</w:t>
            </w:r>
          </w:p>
        </w:tc>
        <w:tc>
          <w:tcPr>
            <w:tcW w:w="971" w:type="dxa"/>
            <w:tcBorders>
              <w:top w:val="single" w:sz="2" w:space="0" w:color="3D7FE0" w:themeColor="accent1"/>
              <w:bottom w:val="single" w:sz="2" w:space="0" w:color="3D7FE0" w:themeColor="accent1"/>
            </w:tcBorders>
            <w:shd w:val="clear" w:color="auto" w:fill="auto"/>
          </w:tcPr>
          <w:p w14:paraId="07D25766"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56p</w:t>
            </w:r>
          </w:p>
        </w:tc>
        <w:tc>
          <w:tcPr>
            <w:tcW w:w="21" w:type="dxa"/>
            <w:tcBorders>
              <w:top w:val="single" w:sz="2" w:space="0" w:color="3D7FE0" w:themeColor="accent1"/>
              <w:bottom w:val="single" w:sz="2" w:space="0" w:color="3D7FE0" w:themeColor="accent1"/>
            </w:tcBorders>
            <w:shd w:val="clear" w:color="auto" w:fill="auto"/>
          </w:tcPr>
          <w:p w14:paraId="2B6F8A92"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04DAEFD4"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tcPr>
          <w:p w14:paraId="04345F93"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 xml:space="preserve">Net Tangible Assets value (NTA) per share </w:t>
            </w:r>
          </w:p>
        </w:tc>
        <w:tc>
          <w:tcPr>
            <w:tcW w:w="312" w:type="dxa"/>
            <w:tcBorders>
              <w:top w:val="single" w:sz="2" w:space="0" w:color="3D7FE0" w:themeColor="accent1"/>
              <w:bottom w:val="single" w:sz="2" w:space="0" w:color="3D7FE0" w:themeColor="accent1"/>
            </w:tcBorders>
            <w:shd w:val="clear" w:color="auto" w:fill="auto"/>
            <w:vAlign w:val="center"/>
          </w:tcPr>
          <w:p w14:paraId="68433E2D"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2014" w:type="dxa"/>
            <w:tcBorders>
              <w:top w:val="single" w:sz="2" w:space="0" w:color="3D7FE0" w:themeColor="accent1"/>
              <w:bottom w:val="single" w:sz="2" w:space="0" w:color="3D7FE0" w:themeColor="accent1"/>
            </w:tcBorders>
            <w:shd w:val="clear" w:color="auto" w:fill="auto"/>
            <w:vAlign w:val="center"/>
          </w:tcPr>
          <w:p w14:paraId="76B531E4"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r w:rsidRPr="005907D3">
              <w:rPr>
                <w:rFonts w:ascii="IBM Plex Sans Light" w:hAnsi="IBM Plex Sans Light"/>
                <w:sz w:val="18"/>
                <w:szCs w:val="18"/>
              </w:rPr>
              <w:t>1</w:t>
            </w:r>
            <w:r>
              <w:rPr>
                <w:rFonts w:ascii="IBM Plex Sans Light" w:hAnsi="IBM Plex Sans Light"/>
                <w:sz w:val="18"/>
                <w:szCs w:val="18"/>
              </w:rPr>
              <w:t>0</w:t>
            </w:r>
            <w:r w:rsidRPr="005907D3">
              <w:rPr>
                <w:rFonts w:ascii="IBM Plex Sans Light" w:hAnsi="IBM Plex Sans Light"/>
                <w:sz w:val="18"/>
                <w:szCs w:val="18"/>
              </w:rPr>
              <w:t>C</w:t>
            </w:r>
          </w:p>
        </w:tc>
        <w:tc>
          <w:tcPr>
            <w:tcW w:w="1134" w:type="dxa"/>
            <w:tcBorders>
              <w:top w:val="single" w:sz="2" w:space="0" w:color="3D7FE0" w:themeColor="accent1"/>
              <w:bottom w:val="single" w:sz="2" w:space="0" w:color="3D7FE0" w:themeColor="accent1"/>
            </w:tcBorders>
          </w:tcPr>
          <w:p w14:paraId="2047E719"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51p</w:t>
            </w:r>
          </w:p>
        </w:tc>
        <w:tc>
          <w:tcPr>
            <w:tcW w:w="971" w:type="dxa"/>
            <w:tcBorders>
              <w:top w:val="single" w:sz="2" w:space="0" w:color="3D7FE0" w:themeColor="accent1"/>
              <w:bottom w:val="single" w:sz="2" w:space="0" w:color="3D7FE0" w:themeColor="accent1"/>
            </w:tcBorders>
            <w:shd w:val="clear" w:color="auto" w:fill="auto"/>
          </w:tcPr>
          <w:p w14:paraId="017979E3"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53p</w:t>
            </w:r>
          </w:p>
        </w:tc>
        <w:tc>
          <w:tcPr>
            <w:tcW w:w="21" w:type="dxa"/>
            <w:tcBorders>
              <w:top w:val="single" w:sz="2" w:space="0" w:color="3D7FE0" w:themeColor="accent1"/>
              <w:bottom w:val="single" w:sz="2" w:space="0" w:color="3D7FE0" w:themeColor="accent1"/>
            </w:tcBorders>
            <w:shd w:val="clear" w:color="auto" w:fill="auto"/>
          </w:tcPr>
          <w:p w14:paraId="2C4597BD"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40207A99"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vAlign w:val="center"/>
          </w:tcPr>
          <w:p w14:paraId="5E2F3F8A"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 xml:space="preserve">Net Reinstatement Value (NRV) per share </w:t>
            </w:r>
          </w:p>
        </w:tc>
        <w:tc>
          <w:tcPr>
            <w:tcW w:w="312" w:type="dxa"/>
            <w:tcBorders>
              <w:top w:val="single" w:sz="2" w:space="0" w:color="3D7FE0" w:themeColor="accent1"/>
              <w:bottom w:val="single" w:sz="2" w:space="0" w:color="3D7FE0" w:themeColor="accent1"/>
            </w:tcBorders>
            <w:shd w:val="clear" w:color="auto" w:fill="auto"/>
            <w:vAlign w:val="center"/>
          </w:tcPr>
          <w:p w14:paraId="55A57712"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p>
        </w:tc>
        <w:tc>
          <w:tcPr>
            <w:tcW w:w="2014" w:type="dxa"/>
            <w:tcBorders>
              <w:top w:val="single" w:sz="2" w:space="0" w:color="3D7FE0" w:themeColor="accent1"/>
              <w:bottom w:val="single" w:sz="2" w:space="0" w:color="3D7FE0" w:themeColor="accent1"/>
            </w:tcBorders>
            <w:shd w:val="clear" w:color="auto" w:fill="auto"/>
            <w:vAlign w:val="center"/>
          </w:tcPr>
          <w:p w14:paraId="47D5DF48" w14:textId="77777777" w:rsidR="006B43AF" w:rsidRPr="005907D3" w:rsidRDefault="006B43AF" w:rsidP="004203CD">
            <w:pPr>
              <w:pStyle w:val="TablesTFigureBold"/>
              <w:spacing w:line="240" w:lineRule="exact"/>
              <w:rPr>
                <w:rFonts w:ascii="IBM Plex Sans Light" w:eastAsia="Chronicle Text G1" w:hAnsi="IBM Plex Sans Light" w:cs="Chronicle Text G1"/>
                <w:bCs/>
                <w:sz w:val="16"/>
                <w:szCs w:val="16"/>
              </w:rPr>
            </w:pPr>
            <w:r w:rsidRPr="005907D3">
              <w:rPr>
                <w:rFonts w:ascii="IBM Plex Sans Light" w:hAnsi="IBM Plex Sans Light"/>
                <w:sz w:val="18"/>
                <w:szCs w:val="18"/>
              </w:rPr>
              <w:t>1</w:t>
            </w:r>
            <w:r>
              <w:rPr>
                <w:rFonts w:ascii="IBM Plex Sans Light" w:hAnsi="IBM Plex Sans Light"/>
                <w:sz w:val="18"/>
                <w:szCs w:val="18"/>
              </w:rPr>
              <w:t>0</w:t>
            </w:r>
            <w:r w:rsidRPr="005907D3">
              <w:rPr>
                <w:rFonts w:ascii="IBM Plex Sans Light" w:hAnsi="IBM Plex Sans Light"/>
                <w:sz w:val="18"/>
                <w:szCs w:val="18"/>
              </w:rPr>
              <w:t>C</w:t>
            </w:r>
          </w:p>
        </w:tc>
        <w:tc>
          <w:tcPr>
            <w:tcW w:w="1134" w:type="dxa"/>
            <w:tcBorders>
              <w:top w:val="single" w:sz="2" w:space="0" w:color="3D7FE0" w:themeColor="accent1"/>
              <w:bottom w:val="single" w:sz="2" w:space="0" w:color="3D7FE0" w:themeColor="accent1"/>
            </w:tcBorders>
          </w:tcPr>
          <w:p w14:paraId="72E39CA7"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59p</w:t>
            </w:r>
          </w:p>
        </w:tc>
        <w:tc>
          <w:tcPr>
            <w:tcW w:w="971" w:type="dxa"/>
            <w:tcBorders>
              <w:top w:val="single" w:sz="2" w:space="0" w:color="3D7FE0" w:themeColor="accent1"/>
              <w:bottom w:val="single" w:sz="2" w:space="0" w:color="3D7FE0" w:themeColor="accent1"/>
            </w:tcBorders>
            <w:shd w:val="clear" w:color="auto" w:fill="auto"/>
          </w:tcPr>
          <w:p w14:paraId="20FDA828"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61p</w:t>
            </w:r>
          </w:p>
        </w:tc>
        <w:tc>
          <w:tcPr>
            <w:tcW w:w="21" w:type="dxa"/>
            <w:tcBorders>
              <w:top w:val="single" w:sz="2" w:space="0" w:color="3D7FE0" w:themeColor="accent1"/>
              <w:bottom w:val="single" w:sz="2" w:space="0" w:color="3D7FE0" w:themeColor="accent1"/>
            </w:tcBorders>
            <w:shd w:val="clear" w:color="auto" w:fill="auto"/>
          </w:tcPr>
          <w:p w14:paraId="3E28D92D"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3ECDAF5C"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tcPr>
          <w:p w14:paraId="390C24F6"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Net Initial Yield (NIY)</w:t>
            </w:r>
          </w:p>
        </w:tc>
        <w:tc>
          <w:tcPr>
            <w:tcW w:w="312" w:type="dxa"/>
            <w:tcBorders>
              <w:top w:val="single" w:sz="2" w:space="0" w:color="3D7FE0" w:themeColor="accent1"/>
              <w:bottom w:val="single" w:sz="2" w:space="0" w:color="3D7FE0" w:themeColor="accent1"/>
            </w:tcBorders>
            <w:shd w:val="clear" w:color="auto" w:fill="auto"/>
            <w:vAlign w:val="center"/>
          </w:tcPr>
          <w:p w14:paraId="21F2C1FE" w14:textId="77777777" w:rsidR="006B43AF" w:rsidRPr="005907D3" w:rsidRDefault="006B43AF" w:rsidP="004203CD">
            <w:pPr>
              <w:pStyle w:val="TablesTFigureBold"/>
              <w:rPr>
                <w:rFonts w:ascii="IBM Plex Sans Light" w:eastAsia="Chronicle Text G1" w:hAnsi="IBM Plex Sans Light" w:cs="Chronicle Text G1"/>
                <w:bCs/>
                <w:sz w:val="16"/>
                <w:szCs w:val="16"/>
              </w:rPr>
            </w:pPr>
          </w:p>
        </w:tc>
        <w:tc>
          <w:tcPr>
            <w:tcW w:w="2014" w:type="dxa"/>
            <w:tcBorders>
              <w:top w:val="single" w:sz="2" w:space="0" w:color="3D7FE0" w:themeColor="accent1"/>
              <w:bottom w:val="single" w:sz="2" w:space="0" w:color="3D7FE0" w:themeColor="accent1"/>
            </w:tcBorders>
            <w:shd w:val="clear" w:color="auto" w:fill="auto"/>
            <w:vAlign w:val="center"/>
          </w:tcPr>
          <w:p w14:paraId="7908F1D4" w14:textId="77777777" w:rsidR="006B43AF" w:rsidRPr="005907D3" w:rsidRDefault="006B43AF" w:rsidP="004203CD">
            <w:pPr>
              <w:pStyle w:val="TablesTFigureBold"/>
              <w:rPr>
                <w:rFonts w:ascii="IBM Plex Sans Light" w:eastAsia="Chronicle Text G1" w:hAnsi="IBM Plex Sans Light" w:cs="Chronicle Text G1"/>
                <w:bCs/>
                <w:sz w:val="16"/>
                <w:szCs w:val="16"/>
              </w:rPr>
            </w:pPr>
            <w:r w:rsidRPr="005907D3">
              <w:rPr>
                <w:rFonts w:ascii="IBM Plex Sans Light" w:hAnsi="IBM Plex Sans Light"/>
                <w:sz w:val="18"/>
                <w:szCs w:val="18"/>
              </w:rPr>
              <w:t>Table 10</w:t>
            </w:r>
          </w:p>
        </w:tc>
        <w:tc>
          <w:tcPr>
            <w:tcW w:w="1134" w:type="dxa"/>
            <w:tcBorders>
              <w:top w:val="single" w:sz="2" w:space="0" w:color="3D7FE0" w:themeColor="accent1"/>
              <w:bottom w:val="single" w:sz="2" w:space="0" w:color="3D7FE0" w:themeColor="accent1"/>
            </w:tcBorders>
          </w:tcPr>
          <w:p w14:paraId="673259EF"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sidRPr="00C16F8C">
              <w:rPr>
                <w:rFonts w:ascii="IBM Plex Sans Medium" w:hAnsi="IBM Plex Sans Medium"/>
                <w:b/>
                <w:bCs/>
                <w:color w:val="3D7FE0" w:themeColor="accent1"/>
                <w:sz w:val="18"/>
                <w:szCs w:val="18"/>
              </w:rPr>
              <w:t>5.</w:t>
            </w:r>
            <w:r>
              <w:rPr>
                <w:rFonts w:ascii="IBM Plex Sans Medium" w:hAnsi="IBM Plex Sans Medium"/>
                <w:b/>
                <w:bCs/>
                <w:color w:val="3D7FE0" w:themeColor="accent1"/>
                <w:sz w:val="18"/>
                <w:szCs w:val="18"/>
              </w:rPr>
              <w:t>9</w:t>
            </w:r>
            <w:r w:rsidRPr="00C16F8C">
              <w:rPr>
                <w:rFonts w:ascii="IBM Plex Sans Medium" w:hAnsi="IBM Plex Sans Medium"/>
                <w:b/>
                <w:bCs/>
                <w:color w:val="3D7FE0" w:themeColor="accent1"/>
                <w:sz w:val="18"/>
                <w:szCs w:val="18"/>
              </w:rPr>
              <w:t>%</w:t>
            </w:r>
          </w:p>
        </w:tc>
        <w:tc>
          <w:tcPr>
            <w:tcW w:w="971" w:type="dxa"/>
            <w:tcBorders>
              <w:top w:val="single" w:sz="2" w:space="0" w:color="3D7FE0" w:themeColor="accent1"/>
              <w:bottom w:val="single" w:sz="2" w:space="0" w:color="3D7FE0" w:themeColor="accent1"/>
            </w:tcBorders>
            <w:shd w:val="clear" w:color="auto" w:fill="auto"/>
          </w:tcPr>
          <w:p w14:paraId="11B112D9"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sidRPr="00C16F8C">
              <w:rPr>
                <w:rFonts w:ascii="IBM Plex Sans Light" w:eastAsia="Chronicle Text G1" w:hAnsi="IBM Plex Sans Light" w:cs="Chronicle Text G1"/>
                <w:bCs/>
                <w:sz w:val="18"/>
                <w:szCs w:val="18"/>
              </w:rPr>
              <w:t>5.</w:t>
            </w:r>
            <w:r>
              <w:rPr>
                <w:rFonts w:ascii="IBM Plex Sans Light" w:eastAsia="Chronicle Text G1" w:hAnsi="IBM Plex Sans Light" w:cs="Chronicle Text G1"/>
                <w:bCs/>
                <w:sz w:val="18"/>
                <w:szCs w:val="18"/>
              </w:rPr>
              <w:t>8</w:t>
            </w:r>
            <w:r w:rsidRPr="00C16F8C">
              <w:rPr>
                <w:rFonts w:ascii="IBM Plex Sans Light" w:eastAsia="Chronicle Text G1" w:hAnsi="IBM Plex Sans Light" w:cs="Chronicle Text G1"/>
                <w:bCs/>
                <w:sz w:val="18"/>
                <w:szCs w:val="18"/>
              </w:rPr>
              <w:t>%</w:t>
            </w:r>
          </w:p>
        </w:tc>
        <w:tc>
          <w:tcPr>
            <w:tcW w:w="21" w:type="dxa"/>
            <w:tcBorders>
              <w:top w:val="single" w:sz="2" w:space="0" w:color="3D7FE0" w:themeColor="accent1"/>
              <w:bottom w:val="single" w:sz="2" w:space="0" w:color="3D7FE0" w:themeColor="accent1"/>
            </w:tcBorders>
            <w:shd w:val="clear" w:color="auto" w:fill="auto"/>
          </w:tcPr>
          <w:p w14:paraId="512CCD52"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61936BC2"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tcPr>
          <w:p w14:paraId="73CD3DD3"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Topped-up Net Initial Yield</w:t>
            </w:r>
          </w:p>
        </w:tc>
        <w:tc>
          <w:tcPr>
            <w:tcW w:w="312" w:type="dxa"/>
            <w:tcBorders>
              <w:top w:val="single" w:sz="2" w:space="0" w:color="3D7FE0" w:themeColor="accent1"/>
              <w:bottom w:val="single" w:sz="2" w:space="0" w:color="3D7FE0" w:themeColor="accent1"/>
            </w:tcBorders>
            <w:shd w:val="clear" w:color="auto" w:fill="auto"/>
            <w:vAlign w:val="center"/>
          </w:tcPr>
          <w:p w14:paraId="23C9CCF4" w14:textId="77777777" w:rsidR="006B43AF" w:rsidRPr="005907D3" w:rsidRDefault="006B43AF" w:rsidP="004203CD">
            <w:pPr>
              <w:pStyle w:val="TablesTFigureBold"/>
              <w:rPr>
                <w:rFonts w:ascii="IBM Plex Sans Light" w:eastAsia="Chronicle Text G1" w:hAnsi="IBM Plex Sans Light" w:cs="Chronicle Text G1"/>
                <w:bCs/>
                <w:sz w:val="16"/>
                <w:szCs w:val="16"/>
              </w:rPr>
            </w:pPr>
          </w:p>
        </w:tc>
        <w:tc>
          <w:tcPr>
            <w:tcW w:w="2014" w:type="dxa"/>
            <w:tcBorders>
              <w:top w:val="single" w:sz="2" w:space="0" w:color="3D7FE0" w:themeColor="accent1"/>
              <w:bottom w:val="single" w:sz="2" w:space="0" w:color="3D7FE0" w:themeColor="accent1"/>
            </w:tcBorders>
            <w:shd w:val="clear" w:color="auto" w:fill="auto"/>
            <w:vAlign w:val="center"/>
          </w:tcPr>
          <w:p w14:paraId="0FC86584" w14:textId="77777777" w:rsidR="006B43AF" w:rsidRPr="005907D3" w:rsidRDefault="006B43AF" w:rsidP="004203CD">
            <w:pPr>
              <w:pStyle w:val="TablesTFigureBold"/>
              <w:rPr>
                <w:rFonts w:ascii="IBM Plex Sans Light" w:eastAsia="Chronicle Text G1" w:hAnsi="IBM Plex Sans Light" w:cs="Chronicle Text G1"/>
                <w:bCs/>
                <w:sz w:val="16"/>
                <w:szCs w:val="16"/>
              </w:rPr>
            </w:pPr>
            <w:r w:rsidRPr="005907D3">
              <w:rPr>
                <w:rFonts w:ascii="IBM Plex Sans Light" w:hAnsi="IBM Plex Sans Light"/>
                <w:sz w:val="18"/>
                <w:szCs w:val="18"/>
              </w:rPr>
              <w:t>Table 10</w:t>
            </w:r>
          </w:p>
        </w:tc>
        <w:tc>
          <w:tcPr>
            <w:tcW w:w="1134" w:type="dxa"/>
            <w:tcBorders>
              <w:top w:val="single" w:sz="2" w:space="0" w:color="3D7FE0" w:themeColor="accent1"/>
              <w:bottom w:val="single" w:sz="2" w:space="0" w:color="3D7FE0" w:themeColor="accent1"/>
            </w:tcBorders>
          </w:tcPr>
          <w:p w14:paraId="15EB2743"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sidRPr="00C16F8C">
              <w:rPr>
                <w:rFonts w:ascii="IBM Plex Sans Medium" w:hAnsi="IBM Plex Sans Medium"/>
                <w:b/>
                <w:bCs/>
                <w:color w:val="3D7FE0" w:themeColor="accent1"/>
                <w:sz w:val="18"/>
                <w:szCs w:val="18"/>
              </w:rPr>
              <w:t>6.</w:t>
            </w:r>
            <w:r>
              <w:rPr>
                <w:rFonts w:ascii="IBM Plex Sans Medium" w:hAnsi="IBM Plex Sans Medium"/>
                <w:b/>
                <w:bCs/>
                <w:color w:val="3D7FE0" w:themeColor="accent1"/>
                <w:sz w:val="18"/>
                <w:szCs w:val="18"/>
              </w:rPr>
              <w:t>3</w:t>
            </w:r>
            <w:r w:rsidRPr="00C16F8C">
              <w:rPr>
                <w:rFonts w:ascii="IBM Plex Sans Medium" w:hAnsi="IBM Plex Sans Medium"/>
                <w:b/>
                <w:bCs/>
                <w:color w:val="3D7FE0" w:themeColor="accent1"/>
                <w:sz w:val="18"/>
                <w:szCs w:val="18"/>
              </w:rPr>
              <w:t>%</w:t>
            </w:r>
          </w:p>
        </w:tc>
        <w:tc>
          <w:tcPr>
            <w:tcW w:w="971" w:type="dxa"/>
            <w:tcBorders>
              <w:top w:val="single" w:sz="2" w:space="0" w:color="3D7FE0" w:themeColor="accent1"/>
              <w:bottom w:val="single" w:sz="2" w:space="0" w:color="3D7FE0" w:themeColor="accent1"/>
            </w:tcBorders>
            <w:shd w:val="clear" w:color="auto" w:fill="auto"/>
          </w:tcPr>
          <w:p w14:paraId="794DF28E"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6.0</w:t>
            </w:r>
            <w:r w:rsidRPr="00C16F8C">
              <w:rPr>
                <w:rFonts w:ascii="IBM Plex Sans Light" w:eastAsia="Chronicle Text G1" w:hAnsi="IBM Plex Sans Light" w:cs="Chronicle Text G1"/>
                <w:bCs/>
                <w:sz w:val="18"/>
                <w:szCs w:val="18"/>
              </w:rPr>
              <w:t>%</w:t>
            </w:r>
          </w:p>
        </w:tc>
        <w:tc>
          <w:tcPr>
            <w:tcW w:w="21" w:type="dxa"/>
            <w:tcBorders>
              <w:top w:val="single" w:sz="2" w:space="0" w:color="3D7FE0" w:themeColor="accent1"/>
              <w:bottom w:val="single" w:sz="2" w:space="0" w:color="3D7FE0" w:themeColor="accent1"/>
            </w:tcBorders>
            <w:shd w:val="clear" w:color="auto" w:fill="auto"/>
          </w:tcPr>
          <w:p w14:paraId="3E5F1AC9" w14:textId="77777777" w:rsidR="006B43AF" w:rsidRPr="005907D3" w:rsidRDefault="006B43AF" w:rsidP="004203CD">
            <w:pPr>
              <w:pStyle w:val="TablesTText"/>
              <w:rPr>
                <w:rFonts w:ascii="IBM Plex Sans Light" w:hAnsi="IBM Plex Sans Light"/>
                <w:sz w:val="18"/>
                <w:szCs w:val="18"/>
                <w:highlight w:val="yellow"/>
              </w:rPr>
            </w:pPr>
          </w:p>
        </w:tc>
      </w:tr>
      <w:tr w:rsidR="006B43AF" w:rsidRPr="005907D3" w14:paraId="7FF181FD"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tcPr>
          <w:p w14:paraId="6F99CA0A"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Vacancy rate</w:t>
            </w:r>
          </w:p>
        </w:tc>
        <w:tc>
          <w:tcPr>
            <w:tcW w:w="312" w:type="dxa"/>
            <w:tcBorders>
              <w:top w:val="single" w:sz="2" w:space="0" w:color="3D7FE0" w:themeColor="accent1"/>
              <w:bottom w:val="single" w:sz="2" w:space="0" w:color="3D7FE0" w:themeColor="accent1"/>
            </w:tcBorders>
            <w:shd w:val="clear" w:color="auto" w:fill="auto"/>
            <w:vAlign w:val="center"/>
          </w:tcPr>
          <w:p w14:paraId="79E8D64B" w14:textId="77777777" w:rsidR="006B43AF" w:rsidRPr="005907D3" w:rsidRDefault="006B43AF" w:rsidP="004203CD">
            <w:pPr>
              <w:pStyle w:val="TablesTFigureBold"/>
              <w:rPr>
                <w:rFonts w:ascii="IBM Plex Sans Light" w:eastAsia="Chronicle Text G1" w:hAnsi="IBM Plex Sans Light" w:cs="Chronicle Text G1"/>
                <w:b/>
                <w:color w:val="3D7FE0" w:themeColor="accent1"/>
                <w:sz w:val="18"/>
                <w:szCs w:val="18"/>
              </w:rPr>
            </w:pPr>
          </w:p>
        </w:tc>
        <w:tc>
          <w:tcPr>
            <w:tcW w:w="2014" w:type="dxa"/>
            <w:tcBorders>
              <w:top w:val="single" w:sz="2" w:space="0" w:color="3D7FE0" w:themeColor="accent1"/>
              <w:bottom w:val="single" w:sz="2" w:space="0" w:color="3D7FE0" w:themeColor="accent1"/>
            </w:tcBorders>
            <w:shd w:val="clear" w:color="auto" w:fill="auto"/>
            <w:vAlign w:val="center"/>
          </w:tcPr>
          <w:p w14:paraId="7471F467" w14:textId="5D01A830" w:rsidR="006B43AF" w:rsidRPr="005907D3" w:rsidRDefault="006B43AF" w:rsidP="004203CD">
            <w:pPr>
              <w:pStyle w:val="TablesTFigureBold"/>
              <w:rPr>
                <w:rFonts w:ascii="IBM Plex Sans Light" w:eastAsia="Chronicle Text G1" w:hAnsi="IBM Plex Sans Light" w:cs="Chronicle Text G1"/>
                <w:b/>
                <w:color w:val="3D7FE0" w:themeColor="accent1"/>
                <w:sz w:val="18"/>
                <w:szCs w:val="18"/>
              </w:rPr>
            </w:pPr>
            <w:r w:rsidRPr="005907D3">
              <w:rPr>
                <w:rFonts w:ascii="IBM Plex Sans Light" w:hAnsi="IBM Plex Sans Light"/>
                <w:sz w:val="18"/>
                <w:szCs w:val="18"/>
              </w:rPr>
              <w:t xml:space="preserve">Table </w:t>
            </w:r>
            <w:r w:rsidR="002A33BC">
              <w:rPr>
                <w:rFonts w:ascii="IBM Plex Sans Light" w:hAnsi="IBM Plex Sans Light"/>
                <w:sz w:val="18"/>
                <w:szCs w:val="18"/>
              </w:rPr>
              <w:t>5</w:t>
            </w:r>
          </w:p>
        </w:tc>
        <w:tc>
          <w:tcPr>
            <w:tcW w:w="1134" w:type="dxa"/>
            <w:tcBorders>
              <w:top w:val="single" w:sz="2" w:space="0" w:color="3D7FE0" w:themeColor="accent1"/>
              <w:bottom w:val="single" w:sz="2" w:space="0" w:color="3D7FE0" w:themeColor="accent1"/>
            </w:tcBorders>
          </w:tcPr>
          <w:p w14:paraId="52BA08AE"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5</w:t>
            </w:r>
            <w:r w:rsidRPr="00C16F8C">
              <w:rPr>
                <w:rFonts w:ascii="IBM Plex Sans Medium" w:hAnsi="IBM Plex Sans Medium"/>
                <w:b/>
                <w:bCs/>
                <w:color w:val="3D7FE0" w:themeColor="accent1"/>
                <w:sz w:val="18"/>
                <w:szCs w:val="18"/>
              </w:rPr>
              <w:t>.8%</w:t>
            </w:r>
          </w:p>
        </w:tc>
        <w:tc>
          <w:tcPr>
            <w:tcW w:w="971" w:type="dxa"/>
            <w:tcBorders>
              <w:top w:val="single" w:sz="2" w:space="0" w:color="3D7FE0" w:themeColor="accent1"/>
              <w:bottom w:val="single" w:sz="2" w:space="0" w:color="3D7FE0" w:themeColor="accent1"/>
            </w:tcBorders>
            <w:shd w:val="clear" w:color="auto" w:fill="auto"/>
          </w:tcPr>
          <w:p w14:paraId="45EBDF64"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4.8</w:t>
            </w:r>
            <w:r w:rsidRPr="00C16F8C">
              <w:rPr>
                <w:rFonts w:ascii="IBM Plex Sans Light" w:eastAsia="Chronicle Text G1" w:hAnsi="IBM Plex Sans Light" w:cs="Chronicle Text G1"/>
                <w:bCs/>
                <w:sz w:val="18"/>
                <w:szCs w:val="18"/>
              </w:rPr>
              <w:t>%</w:t>
            </w:r>
          </w:p>
        </w:tc>
        <w:tc>
          <w:tcPr>
            <w:tcW w:w="21" w:type="dxa"/>
            <w:tcBorders>
              <w:top w:val="single" w:sz="2" w:space="0" w:color="3D7FE0" w:themeColor="accent1"/>
              <w:bottom w:val="single" w:sz="2" w:space="0" w:color="3D7FE0" w:themeColor="accent1"/>
            </w:tcBorders>
            <w:shd w:val="clear" w:color="auto" w:fill="auto"/>
          </w:tcPr>
          <w:p w14:paraId="04E5D38D" w14:textId="77777777" w:rsidR="006B43AF" w:rsidRPr="005907D3" w:rsidRDefault="006B43AF" w:rsidP="004203CD">
            <w:pPr>
              <w:pStyle w:val="TablesTText"/>
              <w:rPr>
                <w:rFonts w:ascii="IBM Plex Sans Light" w:hAnsi="IBM Plex Sans Light"/>
                <w:sz w:val="18"/>
                <w:szCs w:val="18"/>
              </w:rPr>
            </w:pPr>
          </w:p>
        </w:tc>
      </w:tr>
      <w:tr w:rsidR="006B43AF" w:rsidRPr="005907D3" w14:paraId="778A7E97" w14:textId="77777777" w:rsidTr="004203CD">
        <w:trPr>
          <w:trHeight w:hRule="exact" w:val="255"/>
        </w:trPr>
        <w:tc>
          <w:tcPr>
            <w:tcW w:w="5329" w:type="dxa"/>
            <w:tcBorders>
              <w:top w:val="single" w:sz="2" w:space="0" w:color="3D7FE0" w:themeColor="accent1"/>
              <w:bottom w:val="single" w:sz="2" w:space="0" w:color="3D7FE0" w:themeColor="accent1"/>
            </w:tcBorders>
            <w:shd w:val="clear" w:color="auto" w:fill="auto"/>
          </w:tcPr>
          <w:p w14:paraId="6F14C8D5" w14:textId="77777777" w:rsidR="006B43AF" w:rsidRPr="005907D3" w:rsidRDefault="006B43AF" w:rsidP="004203CD">
            <w:pPr>
              <w:pStyle w:val="TablesTText"/>
              <w:rPr>
                <w:rFonts w:ascii="IBM Plex Sans Light" w:hAnsi="IBM Plex Sans Light"/>
                <w:sz w:val="18"/>
                <w:szCs w:val="18"/>
              </w:rPr>
            </w:pPr>
            <w:r>
              <w:rPr>
                <w:rFonts w:ascii="IBM Plex Sans Light" w:hAnsi="IBM Plex Sans Light"/>
                <w:sz w:val="18"/>
                <w:szCs w:val="18"/>
              </w:rPr>
              <w:t>Loan to value</w:t>
            </w:r>
          </w:p>
        </w:tc>
        <w:tc>
          <w:tcPr>
            <w:tcW w:w="312" w:type="dxa"/>
            <w:tcBorders>
              <w:top w:val="single" w:sz="2" w:space="0" w:color="3D7FE0" w:themeColor="accent1"/>
              <w:bottom w:val="single" w:sz="2" w:space="0" w:color="3D7FE0" w:themeColor="accent1"/>
            </w:tcBorders>
            <w:shd w:val="clear" w:color="auto" w:fill="auto"/>
            <w:vAlign w:val="center"/>
          </w:tcPr>
          <w:p w14:paraId="0B699263" w14:textId="77777777" w:rsidR="006B43AF" w:rsidRPr="00580D9D" w:rsidRDefault="006B43AF" w:rsidP="004203CD">
            <w:pPr>
              <w:pStyle w:val="13TBRightCopyIndentTableBack"/>
            </w:pPr>
          </w:p>
        </w:tc>
        <w:tc>
          <w:tcPr>
            <w:tcW w:w="2014" w:type="dxa"/>
            <w:tcBorders>
              <w:top w:val="single" w:sz="2" w:space="0" w:color="3D7FE0" w:themeColor="accent1"/>
              <w:bottom w:val="single" w:sz="2" w:space="0" w:color="3D7FE0" w:themeColor="accent1"/>
            </w:tcBorders>
            <w:shd w:val="clear" w:color="auto" w:fill="auto"/>
            <w:vAlign w:val="center"/>
          </w:tcPr>
          <w:p w14:paraId="6C218EF1" w14:textId="77777777" w:rsidR="006B43AF" w:rsidRPr="005907D3" w:rsidRDefault="006B43AF" w:rsidP="004203CD">
            <w:pPr>
              <w:pStyle w:val="TablesTFigureBold"/>
              <w:rPr>
                <w:rFonts w:ascii="IBM Plex Sans Light" w:eastAsia="Chronicle Text G1" w:hAnsi="IBM Plex Sans Light" w:cs="Chronicle Text G1"/>
                <w:b/>
                <w:color w:val="3D7FE0" w:themeColor="accent1"/>
                <w:sz w:val="18"/>
                <w:szCs w:val="18"/>
              </w:rPr>
            </w:pPr>
            <w:r>
              <w:rPr>
                <w:rFonts w:ascii="IBM Plex Sans Light" w:hAnsi="IBM Plex Sans Light"/>
                <w:sz w:val="18"/>
                <w:szCs w:val="18"/>
              </w:rPr>
              <w:t>Table 21</w:t>
            </w:r>
          </w:p>
        </w:tc>
        <w:tc>
          <w:tcPr>
            <w:tcW w:w="1134" w:type="dxa"/>
            <w:tcBorders>
              <w:top w:val="single" w:sz="2" w:space="0" w:color="3D7FE0" w:themeColor="accent1"/>
              <w:bottom w:val="single" w:sz="2" w:space="0" w:color="3D7FE0" w:themeColor="accent1"/>
            </w:tcBorders>
          </w:tcPr>
          <w:p w14:paraId="5E75AF7B" w14:textId="77777777" w:rsidR="006B43AF" w:rsidRPr="00C16F8C" w:rsidRDefault="006B43AF" w:rsidP="004203CD">
            <w:pPr>
              <w:pStyle w:val="TablesTFigureBold"/>
              <w:spacing w:line="240" w:lineRule="exact"/>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48.1%</w:t>
            </w:r>
          </w:p>
        </w:tc>
        <w:tc>
          <w:tcPr>
            <w:tcW w:w="971" w:type="dxa"/>
            <w:tcBorders>
              <w:top w:val="single" w:sz="2" w:space="0" w:color="3D7FE0" w:themeColor="accent1"/>
              <w:bottom w:val="single" w:sz="2" w:space="0" w:color="3D7FE0" w:themeColor="accent1"/>
            </w:tcBorders>
            <w:shd w:val="clear" w:color="auto" w:fill="auto"/>
          </w:tcPr>
          <w:p w14:paraId="63D9EC4E" w14:textId="77777777" w:rsidR="006B43AF" w:rsidRPr="00C16F8C"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49.2%</w:t>
            </w:r>
          </w:p>
        </w:tc>
        <w:tc>
          <w:tcPr>
            <w:tcW w:w="21" w:type="dxa"/>
            <w:tcBorders>
              <w:top w:val="single" w:sz="2" w:space="0" w:color="3D7FE0" w:themeColor="accent1"/>
              <w:bottom w:val="single" w:sz="2" w:space="0" w:color="3D7FE0" w:themeColor="accent1"/>
            </w:tcBorders>
            <w:shd w:val="clear" w:color="auto" w:fill="auto"/>
          </w:tcPr>
          <w:p w14:paraId="3A4B5862" w14:textId="77777777" w:rsidR="006B43AF" w:rsidRPr="005907D3" w:rsidRDefault="006B43AF" w:rsidP="004203CD">
            <w:pPr>
              <w:pStyle w:val="TablesTText"/>
              <w:rPr>
                <w:rFonts w:ascii="IBM Plex Sans Light" w:hAnsi="IBM Plex Sans Light"/>
                <w:sz w:val="18"/>
                <w:szCs w:val="18"/>
              </w:rPr>
            </w:pPr>
          </w:p>
        </w:tc>
      </w:tr>
    </w:tbl>
    <w:p w14:paraId="172762A4" w14:textId="6F96C803" w:rsidR="006B43AF" w:rsidRPr="005907D3" w:rsidRDefault="006B43AF" w:rsidP="006B43AF">
      <w:pPr>
        <w:pStyle w:val="TablesTColHeadsLeft"/>
        <w:spacing w:before="120" w:line="240" w:lineRule="auto"/>
        <w:ind w:left="284" w:hanging="284"/>
        <w:rPr>
          <w:rFonts w:ascii="IBM Plex Sans Light" w:hAnsi="IBM Plex Sans Light"/>
          <w:color w:val="4175BA"/>
          <w:sz w:val="16"/>
          <w:szCs w:val="16"/>
        </w:rPr>
      </w:pPr>
    </w:p>
    <w:p w14:paraId="5CFFE3C0" w14:textId="77777777" w:rsidR="006B43AF" w:rsidRDefault="006B43AF" w:rsidP="006B43AF">
      <w:pPr>
        <w:spacing w:after="0"/>
        <w:rPr>
          <w:rFonts w:ascii="IBM Plex Sans Medium" w:eastAsia="Yu Gothic Light" w:hAnsi="IBM Plex Sans Medium"/>
          <w:b/>
          <w:color w:val="3D7FE0" w:themeColor="accent1"/>
          <w:spacing w:val="0"/>
          <w:sz w:val="20"/>
        </w:rPr>
      </w:pPr>
      <w:r w:rsidRPr="00C06C7F">
        <w:rPr>
          <w:rFonts w:ascii="IBM Plex Sans Medium" w:eastAsia="Yu Gothic Light" w:hAnsi="IBM Plex Sans Medium"/>
          <w:b/>
          <w:color w:val="3D7FE0" w:themeColor="accent1"/>
          <w:spacing w:val="0"/>
          <w:sz w:val="20"/>
        </w:rPr>
        <w:t>PORTFOLIO ANALYSIS</w:t>
      </w:r>
    </w:p>
    <w:p w14:paraId="5FD1231A" w14:textId="77777777" w:rsidR="006B43AF" w:rsidRPr="00C06C7F" w:rsidRDefault="006B43AF" w:rsidP="006B43AF">
      <w:pPr>
        <w:spacing w:after="0"/>
        <w:rPr>
          <w:rFonts w:ascii="IBM Plex Sans Medium" w:eastAsia="Yu Gothic Light" w:hAnsi="IBM Plex Sans Medium"/>
          <w:b/>
          <w:color w:val="3D7FE0" w:themeColor="accent1"/>
          <w:spacing w:val="0"/>
          <w:sz w:val="20"/>
        </w:rPr>
      </w:pPr>
    </w:p>
    <w:p w14:paraId="753C7AED" w14:textId="77777777" w:rsidR="006B43AF" w:rsidRDefault="006B43AF" w:rsidP="006B43AF">
      <w:pPr>
        <w:pStyle w:val="04FinancialsBodyCopy"/>
        <w:rPr>
          <w:rFonts w:cs="Times New Roman"/>
          <w:color w:val="auto"/>
          <w:spacing w:val="-4"/>
          <w:sz w:val="18"/>
          <w:szCs w:val="24"/>
        </w:rPr>
      </w:pPr>
      <w:r w:rsidRPr="00495083">
        <w:rPr>
          <w:rFonts w:cs="Times New Roman"/>
          <w:color w:val="auto"/>
          <w:spacing w:val="-4"/>
          <w:sz w:val="18"/>
          <w:szCs w:val="24"/>
        </w:rPr>
        <w:t>Where applicable, the information presented within the ‘Development and other’ segment only reflects available data in relation to the investment properties within this segment.</w:t>
      </w:r>
    </w:p>
    <w:p w14:paraId="2C44D82D" w14:textId="77777777" w:rsidR="006B43AF" w:rsidRDefault="006B43AF" w:rsidP="006B43AF">
      <w:pPr>
        <w:pStyle w:val="04FinancialsBodyCopy"/>
        <w:rPr>
          <w:rFonts w:cs="Times New Roman"/>
          <w:color w:val="auto"/>
          <w:spacing w:val="-4"/>
          <w:sz w:val="18"/>
          <w:szCs w:val="24"/>
        </w:rPr>
      </w:pPr>
    </w:p>
    <w:p w14:paraId="6825F669"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Pr>
          <w:rFonts w:ascii="IBM Plex Sans Medium" w:eastAsia="Yu Gothic Light" w:hAnsi="IBM Plex Sans Medium"/>
          <w:b/>
          <w:color w:val="3D7FE0" w:themeColor="accent1"/>
          <w:spacing w:val="0"/>
          <w:szCs w:val="22"/>
        </w:rPr>
        <w:t xml:space="preserve">Adjusted net rental income </w:t>
      </w:r>
    </w:p>
    <w:p w14:paraId="136AFF9A" w14:textId="77777777" w:rsidR="006B43AF" w:rsidRPr="00280504" w:rsidRDefault="006B43AF" w:rsidP="006B43AF">
      <w:pPr>
        <w:rPr>
          <w:rFonts w:ascii="IBM Plex Sans Light" w:hAnsi="IBM Plex Sans Light"/>
          <w:b/>
        </w:rPr>
      </w:pPr>
      <w:r w:rsidRPr="00280504">
        <w:rPr>
          <w:rFonts w:ascii="IBM Plex Sans Light" w:hAnsi="IBM Plex Sans Light"/>
          <w:b/>
        </w:rPr>
        <w:t xml:space="preserve">Table </w:t>
      </w:r>
      <w:r>
        <w:rPr>
          <w:rFonts w:ascii="IBM Plex Sans Light" w:hAnsi="IBM Plex Sans Light"/>
          <w:b/>
        </w:rPr>
        <w:t>2</w:t>
      </w:r>
    </w:p>
    <w:tbl>
      <w:tblPr>
        <w:tblW w:w="9724" w:type="dxa"/>
        <w:tblCellMar>
          <w:left w:w="0" w:type="dxa"/>
          <w:right w:w="0" w:type="dxa"/>
        </w:tblCellMar>
        <w:tblLook w:val="04A0" w:firstRow="1" w:lastRow="0" w:firstColumn="1" w:lastColumn="0" w:noHBand="0" w:noVBand="1"/>
      </w:tblPr>
      <w:tblGrid>
        <w:gridCol w:w="6804"/>
        <w:gridCol w:w="794"/>
        <w:gridCol w:w="1134"/>
        <w:gridCol w:w="992"/>
      </w:tblGrid>
      <w:tr w:rsidR="006B43AF" w:rsidRPr="005907D3" w14:paraId="09BF67CE" w14:textId="77777777" w:rsidTr="004203CD">
        <w:trPr>
          <w:trHeight w:val="20"/>
        </w:trPr>
        <w:tc>
          <w:tcPr>
            <w:tcW w:w="6804" w:type="dxa"/>
            <w:tcBorders>
              <w:bottom w:val="single" w:sz="2" w:space="0" w:color="3D7FE0" w:themeColor="accent1"/>
            </w:tcBorders>
            <w:shd w:val="clear" w:color="auto" w:fill="auto"/>
            <w:vAlign w:val="bottom"/>
          </w:tcPr>
          <w:p w14:paraId="0ADC682D" w14:textId="77777777" w:rsidR="006B43AF" w:rsidRPr="005907D3" w:rsidRDefault="006B43AF" w:rsidP="004203CD">
            <w:pPr>
              <w:pStyle w:val="TablesTText"/>
              <w:rPr>
                <w:rFonts w:ascii="IBM Plex Sans Light" w:hAnsi="IBM Plex Sans Light"/>
              </w:rPr>
            </w:pPr>
            <w:r w:rsidRPr="005907D3">
              <w:rPr>
                <w:rFonts w:ascii="IBM Plex Sans Light" w:hAnsi="IBM Plex Sans Light"/>
                <w:b/>
                <w:color w:val="3D7FE0" w:themeColor="accent1"/>
                <w:sz w:val="14"/>
              </w:rPr>
              <w:t>Proportionally consolidated</w:t>
            </w:r>
          </w:p>
        </w:tc>
        <w:tc>
          <w:tcPr>
            <w:tcW w:w="794" w:type="dxa"/>
            <w:tcBorders>
              <w:bottom w:val="single" w:sz="2" w:space="0" w:color="3D7FE0" w:themeColor="accent1"/>
            </w:tcBorders>
            <w:shd w:val="clear" w:color="auto" w:fill="auto"/>
            <w:vAlign w:val="bottom"/>
          </w:tcPr>
          <w:p w14:paraId="449546C9" w14:textId="77777777" w:rsidR="006B43AF" w:rsidRPr="005907D3" w:rsidRDefault="006B43AF" w:rsidP="004203CD">
            <w:pPr>
              <w:pStyle w:val="TablesTColHead"/>
              <w:rPr>
                <w:rFonts w:ascii="IBM Plex Sans Light" w:hAnsi="IBM Plex Sans Light"/>
                <w:highlight w:val="yellow"/>
              </w:rPr>
            </w:pPr>
          </w:p>
        </w:tc>
        <w:tc>
          <w:tcPr>
            <w:tcW w:w="1134" w:type="dxa"/>
            <w:tcBorders>
              <w:bottom w:val="single" w:sz="2" w:space="0" w:color="3D7FE0" w:themeColor="accent1"/>
            </w:tcBorders>
            <w:shd w:val="clear" w:color="auto" w:fill="auto"/>
            <w:vAlign w:val="bottom"/>
          </w:tcPr>
          <w:p w14:paraId="2DC96EF4" w14:textId="77777777" w:rsidR="006B43AF" w:rsidRPr="00B15B7F" w:rsidRDefault="006B43AF" w:rsidP="004203CD">
            <w:pPr>
              <w:pStyle w:val="TablesTColHeadsBold"/>
              <w:rPr>
                <w:rFonts w:ascii="IBM Plex Sans Light" w:hAnsi="IBM Plex Sans Light"/>
                <w:color w:val="3D7FE0" w:themeColor="accent1"/>
                <w:sz w:val="14"/>
                <w:szCs w:val="14"/>
              </w:rPr>
            </w:pPr>
            <w:r w:rsidRPr="00B15B7F">
              <w:rPr>
                <w:rFonts w:ascii="IBM Plex Sans Light" w:hAnsi="IBM Plex Sans Light"/>
                <w:color w:val="3D7FE0" w:themeColor="accent1"/>
                <w:sz w:val="14"/>
                <w:szCs w:val="14"/>
              </w:rPr>
              <w:t>2023</w:t>
            </w:r>
            <w:r w:rsidRPr="00B15B7F">
              <w:rPr>
                <w:rFonts w:ascii="IBM Plex Sans Light" w:hAnsi="IBM Plex Sans Light"/>
                <w:color w:val="3D7FE0" w:themeColor="accent1"/>
                <w:sz w:val="14"/>
                <w:szCs w:val="14"/>
              </w:rPr>
              <w:br/>
              <w:t>£m</w:t>
            </w:r>
          </w:p>
        </w:tc>
        <w:tc>
          <w:tcPr>
            <w:tcW w:w="992" w:type="dxa"/>
            <w:tcBorders>
              <w:bottom w:val="single" w:sz="2" w:space="0" w:color="3D7FE0" w:themeColor="accent1"/>
            </w:tcBorders>
            <w:shd w:val="clear" w:color="auto" w:fill="auto"/>
            <w:vAlign w:val="bottom"/>
          </w:tcPr>
          <w:p w14:paraId="23B249A1"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202</w:t>
            </w:r>
            <w:r>
              <w:rPr>
                <w:rFonts w:ascii="IBM Plex Sans Light" w:hAnsi="IBM Plex Sans Light"/>
                <w:sz w:val="14"/>
                <w:szCs w:val="14"/>
              </w:rPr>
              <w:t>2</w:t>
            </w:r>
            <w:r w:rsidRPr="005907D3">
              <w:rPr>
                <w:rFonts w:ascii="IBM Plex Sans Light" w:hAnsi="IBM Plex Sans Light"/>
                <w:sz w:val="14"/>
                <w:szCs w:val="14"/>
              </w:rPr>
              <w:br/>
              <w:t>£m</w:t>
            </w:r>
          </w:p>
        </w:tc>
      </w:tr>
      <w:tr w:rsidR="006B43AF" w:rsidRPr="005907D3" w14:paraId="16D0753A" w14:textId="77777777" w:rsidTr="004203CD">
        <w:trPr>
          <w:trHeight w:val="20"/>
        </w:trPr>
        <w:tc>
          <w:tcPr>
            <w:tcW w:w="6804" w:type="dxa"/>
            <w:tcBorders>
              <w:top w:val="single" w:sz="2" w:space="0" w:color="3D7FE0" w:themeColor="accent1"/>
            </w:tcBorders>
            <w:shd w:val="clear" w:color="auto" w:fill="auto"/>
          </w:tcPr>
          <w:p w14:paraId="0EFDF3CD"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Base rent</w:t>
            </w:r>
          </w:p>
        </w:tc>
        <w:tc>
          <w:tcPr>
            <w:tcW w:w="794" w:type="dxa"/>
            <w:tcBorders>
              <w:top w:val="single" w:sz="2" w:space="0" w:color="3D7FE0" w:themeColor="accent1"/>
            </w:tcBorders>
            <w:shd w:val="clear" w:color="auto" w:fill="auto"/>
            <w:vAlign w:val="bottom"/>
          </w:tcPr>
          <w:p w14:paraId="3F7EA829" w14:textId="77777777" w:rsidR="006B43AF" w:rsidRPr="005907D3" w:rsidRDefault="006B43AF" w:rsidP="004203CD">
            <w:pPr>
              <w:pStyle w:val="TablesTColHead"/>
              <w:rPr>
                <w:rFonts w:ascii="IBM Plex Sans Light" w:hAnsi="IBM Plex Sans Light"/>
                <w:sz w:val="18"/>
                <w:szCs w:val="18"/>
                <w:highlight w:val="yellow"/>
              </w:rPr>
            </w:pPr>
          </w:p>
        </w:tc>
        <w:tc>
          <w:tcPr>
            <w:tcW w:w="1134" w:type="dxa"/>
            <w:tcBorders>
              <w:top w:val="single" w:sz="2" w:space="0" w:color="3D7FE0" w:themeColor="accent1"/>
            </w:tcBorders>
            <w:shd w:val="clear" w:color="auto" w:fill="auto"/>
            <w:vAlign w:val="bottom"/>
          </w:tcPr>
          <w:p w14:paraId="7905F892"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149.8</w:t>
            </w:r>
          </w:p>
        </w:tc>
        <w:tc>
          <w:tcPr>
            <w:tcW w:w="992" w:type="dxa"/>
            <w:tcBorders>
              <w:top w:val="single" w:sz="2" w:space="0" w:color="3D7FE0" w:themeColor="accent1"/>
            </w:tcBorders>
            <w:shd w:val="clear" w:color="auto" w:fill="auto"/>
            <w:vAlign w:val="bottom"/>
          </w:tcPr>
          <w:p w14:paraId="751DE469"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159.2</w:t>
            </w:r>
          </w:p>
        </w:tc>
      </w:tr>
      <w:tr w:rsidR="006B43AF" w:rsidRPr="005907D3" w14:paraId="01F72EA4" w14:textId="77777777" w:rsidTr="004203CD">
        <w:trPr>
          <w:trHeight w:val="20"/>
        </w:trPr>
        <w:tc>
          <w:tcPr>
            <w:tcW w:w="6804" w:type="dxa"/>
            <w:shd w:val="clear" w:color="auto" w:fill="auto"/>
          </w:tcPr>
          <w:p w14:paraId="562DE6E5"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Turnover rent</w:t>
            </w:r>
          </w:p>
        </w:tc>
        <w:tc>
          <w:tcPr>
            <w:tcW w:w="794" w:type="dxa"/>
            <w:shd w:val="clear" w:color="auto" w:fill="auto"/>
            <w:vAlign w:val="bottom"/>
          </w:tcPr>
          <w:p w14:paraId="39FFBB34" w14:textId="77777777" w:rsidR="006B43AF" w:rsidRPr="005907D3" w:rsidRDefault="006B43AF" w:rsidP="004203CD">
            <w:pPr>
              <w:pStyle w:val="TablesTColHead"/>
              <w:rPr>
                <w:rFonts w:ascii="IBM Plex Sans Light" w:hAnsi="IBM Plex Sans Light"/>
                <w:sz w:val="18"/>
                <w:szCs w:val="18"/>
              </w:rPr>
            </w:pPr>
          </w:p>
        </w:tc>
        <w:tc>
          <w:tcPr>
            <w:tcW w:w="1134" w:type="dxa"/>
            <w:shd w:val="clear" w:color="auto" w:fill="auto"/>
            <w:vAlign w:val="bottom"/>
          </w:tcPr>
          <w:p w14:paraId="22BD95D4"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13.6</w:t>
            </w:r>
          </w:p>
        </w:tc>
        <w:tc>
          <w:tcPr>
            <w:tcW w:w="992" w:type="dxa"/>
            <w:shd w:val="clear" w:color="auto" w:fill="auto"/>
            <w:vAlign w:val="bottom"/>
          </w:tcPr>
          <w:p w14:paraId="5E29BAFC"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13.7</w:t>
            </w:r>
          </w:p>
        </w:tc>
      </w:tr>
      <w:tr w:rsidR="006B43AF" w:rsidRPr="005907D3" w14:paraId="71D6F66E" w14:textId="77777777" w:rsidTr="004203CD">
        <w:trPr>
          <w:trHeight w:val="20"/>
        </w:trPr>
        <w:tc>
          <w:tcPr>
            <w:tcW w:w="6804" w:type="dxa"/>
            <w:shd w:val="clear" w:color="auto" w:fill="auto"/>
          </w:tcPr>
          <w:p w14:paraId="02C4FBEF"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Car park income</w:t>
            </w:r>
          </w:p>
        </w:tc>
        <w:tc>
          <w:tcPr>
            <w:tcW w:w="794" w:type="dxa"/>
            <w:shd w:val="clear" w:color="auto" w:fill="auto"/>
            <w:vAlign w:val="bottom"/>
          </w:tcPr>
          <w:p w14:paraId="5A01B5B3" w14:textId="77777777" w:rsidR="006B43AF" w:rsidRPr="005907D3" w:rsidRDefault="006B43AF" w:rsidP="004203CD">
            <w:pPr>
              <w:pStyle w:val="TablesTColHead"/>
              <w:rPr>
                <w:rFonts w:ascii="IBM Plex Sans Light" w:hAnsi="IBM Plex Sans Light"/>
                <w:sz w:val="18"/>
                <w:szCs w:val="18"/>
              </w:rPr>
            </w:pPr>
          </w:p>
        </w:tc>
        <w:tc>
          <w:tcPr>
            <w:tcW w:w="1134" w:type="dxa"/>
            <w:shd w:val="clear" w:color="auto" w:fill="auto"/>
            <w:vAlign w:val="bottom"/>
          </w:tcPr>
          <w:p w14:paraId="0EA47582"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28.1</w:t>
            </w:r>
          </w:p>
        </w:tc>
        <w:tc>
          <w:tcPr>
            <w:tcW w:w="992" w:type="dxa"/>
            <w:shd w:val="clear" w:color="auto" w:fill="auto"/>
            <w:vAlign w:val="bottom"/>
          </w:tcPr>
          <w:p w14:paraId="563CB41F"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27.9</w:t>
            </w:r>
          </w:p>
        </w:tc>
      </w:tr>
      <w:tr w:rsidR="006B43AF" w:rsidRPr="005907D3" w14:paraId="7CD479AD" w14:textId="77777777" w:rsidTr="004203CD">
        <w:trPr>
          <w:trHeight w:val="20"/>
        </w:trPr>
        <w:tc>
          <w:tcPr>
            <w:tcW w:w="6804" w:type="dxa"/>
            <w:shd w:val="clear" w:color="auto" w:fill="auto"/>
          </w:tcPr>
          <w:p w14:paraId="5EB8CCC0"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Commercialisation income</w:t>
            </w:r>
          </w:p>
        </w:tc>
        <w:tc>
          <w:tcPr>
            <w:tcW w:w="794" w:type="dxa"/>
            <w:shd w:val="clear" w:color="auto" w:fill="auto"/>
            <w:vAlign w:val="bottom"/>
          </w:tcPr>
          <w:p w14:paraId="7293C614" w14:textId="77777777" w:rsidR="006B43AF" w:rsidRPr="005907D3" w:rsidRDefault="006B43AF" w:rsidP="004203CD">
            <w:pPr>
              <w:pStyle w:val="TablesTColHead"/>
              <w:rPr>
                <w:rFonts w:ascii="IBM Plex Sans Light" w:hAnsi="IBM Plex Sans Light"/>
                <w:sz w:val="18"/>
                <w:szCs w:val="18"/>
              </w:rPr>
            </w:pPr>
          </w:p>
        </w:tc>
        <w:tc>
          <w:tcPr>
            <w:tcW w:w="1134" w:type="dxa"/>
            <w:shd w:val="clear" w:color="auto" w:fill="auto"/>
            <w:vAlign w:val="bottom"/>
          </w:tcPr>
          <w:p w14:paraId="2A22CF6C"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9.8</w:t>
            </w:r>
          </w:p>
        </w:tc>
        <w:tc>
          <w:tcPr>
            <w:tcW w:w="992" w:type="dxa"/>
            <w:shd w:val="clear" w:color="auto" w:fill="auto"/>
            <w:vAlign w:val="bottom"/>
          </w:tcPr>
          <w:p w14:paraId="147C3A47"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9.5</w:t>
            </w:r>
          </w:p>
        </w:tc>
      </w:tr>
      <w:tr w:rsidR="006B43AF" w:rsidRPr="005907D3" w14:paraId="5E440C7C" w14:textId="77777777" w:rsidTr="004203CD">
        <w:trPr>
          <w:trHeight w:val="20"/>
        </w:trPr>
        <w:tc>
          <w:tcPr>
            <w:tcW w:w="6804" w:type="dxa"/>
            <w:shd w:val="clear" w:color="auto" w:fill="auto"/>
          </w:tcPr>
          <w:p w14:paraId="7E4CD16A"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Surrender premiums</w:t>
            </w:r>
          </w:p>
        </w:tc>
        <w:tc>
          <w:tcPr>
            <w:tcW w:w="794" w:type="dxa"/>
            <w:shd w:val="clear" w:color="auto" w:fill="auto"/>
            <w:vAlign w:val="bottom"/>
          </w:tcPr>
          <w:p w14:paraId="640ABB2E" w14:textId="77777777" w:rsidR="006B43AF" w:rsidRPr="005907D3" w:rsidRDefault="006B43AF" w:rsidP="004203CD">
            <w:pPr>
              <w:pStyle w:val="TablesTColHead"/>
              <w:rPr>
                <w:rFonts w:ascii="IBM Plex Sans Light" w:hAnsi="IBM Plex Sans Light"/>
                <w:sz w:val="18"/>
                <w:szCs w:val="18"/>
              </w:rPr>
            </w:pPr>
          </w:p>
        </w:tc>
        <w:tc>
          <w:tcPr>
            <w:tcW w:w="1134" w:type="dxa"/>
            <w:shd w:val="clear" w:color="auto" w:fill="auto"/>
            <w:vAlign w:val="bottom"/>
          </w:tcPr>
          <w:p w14:paraId="0ABBAE4E"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0.4</w:t>
            </w:r>
          </w:p>
        </w:tc>
        <w:tc>
          <w:tcPr>
            <w:tcW w:w="992" w:type="dxa"/>
            <w:shd w:val="clear" w:color="auto" w:fill="auto"/>
            <w:vAlign w:val="bottom"/>
          </w:tcPr>
          <w:p w14:paraId="5D1A8A9A"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0.8</w:t>
            </w:r>
          </w:p>
        </w:tc>
      </w:tr>
      <w:tr w:rsidR="006B43AF" w:rsidRPr="005907D3" w14:paraId="5E471818" w14:textId="77777777" w:rsidTr="004203CD">
        <w:trPr>
          <w:trHeight w:val="20"/>
        </w:trPr>
        <w:tc>
          <w:tcPr>
            <w:tcW w:w="6804" w:type="dxa"/>
            <w:shd w:val="clear" w:color="auto" w:fill="auto"/>
          </w:tcPr>
          <w:p w14:paraId="739FE961"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Lease incentive recognition</w:t>
            </w:r>
          </w:p>
        </w:tc>
        <w:tc>
          <w:tcPr>
            <w:tcW w:w="794" w:type="dxa"/>
            <w:shd w:val="clear" w:color="auto" w:fill="auto"/>
          </w:tcPr>
          <w:p w14:paraId="58C92380" w14:textId="77777777" w:rsidR="006B43AF" w:rsidRPr="00C16F8C" w:rsidRDefault="006B43AF" w:rsidP="004203CD">
            <w:pPr>
              <w:pStyle w:val="TablesTColHead"/>
              <w:rPr>
                <w:rFonts w:ascii="IBM Plex Sans Light" w:hAnsi="IBM Plex Sans Light"/>
                <w:sz w:val="16"/>
                <w:szCs w:val="28"/>
              </w:rPr>
            </w:pPr>
          </w:p>
        </w:tc>
        <w:tc>
          <w:tcPr>
            <w:tcW w:w="1134" w:type="dxa"/>
            <w:shd w:val="clear" w:color="auto" w:fill="auto"/>
            <w:vAlign w:val="bottom"/>
          </w:tcPr>
          <w:p w14:paraId="3763C9AE"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4.3</w:t>
            </w:r>
          </w:p>
        </w:tc>
        <w:tc>
          <w:tcPr>
            <w:tcW w:w="992" w:type="dxa"/>
            <w:shd w:val="clear" w:color="auto" w:fill="auto"/>
            <w:vAlign w:val="bottom"/>
          </w:tcPr>
          <w:p w14:paraId="0A3CEC6F"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0.9</w:t>
            </w:r>
          </w:p>
        </w:tc>
      </w:tr>
      <w:tr w:rsidR="006B43AF" w:rsidRPr="005907D3" w14:paraId="3E1DEFEE" w14:textId="77777777" w:rsidTr="004203CD">
        <w:trPr>
          <w:trHeight w:val="20"/>
        </w:trPr>
        <w:tc>
          <w:tcPr>
            <w:tcW w:w="6804" w:type="dxa"/>
            <w:tcBorders>
              <w:bottom w:val="single" w:sz="2" w:space="0" w:color="3D7FE0" w:themeColor="accent1"/>
            </w:tcBorders>
            <w:shd w:val="clear" w:color="auto" w:fill="auto"/>
          </w:tcPr>
          <w:p w14:paraId="68742C47"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Other rental income</w:t>
            </w:r>
          </w:p>
        </w:tc>
        <w:tc>
          <w:tcPr>
            <w:tcW w:w="794" w:type="dxa"/>
            <w:tcBorders>
              <w:bottom w:val="single" w:sz="2" w:space="0" w:color="3D7FE0" w:themeColor="accent1"/>
            </w:tcBorders>
            <w:shd w:val="clear" w:color="auto" w:fill="auto"/>
          </w:tcPr>
          <w:p w14:paraId="4BD39EA5" w14:textId="77777777" w:rsidR="006B43AF" w:rsidRPr="00C16F8C" w:rsidRDefault="006B43AF" w:rsidP="004203CD">
            <w:pPr>
              <w:pStyle w:val="TablesTColHead"/>
              <w:rPr>
                <w:rFonts w:ascii="IBM Plex Sans Light" w:hAnsi="IBM Plex Sans Light"/>
                <w:sz w:val="16"/>
                <w:szCs w:val="28"/>
              </w:rPr>
            </w:pPr>
          </w:p>
        </w:tc>
        <w:tc>
          <w:tcPr>
            <w:tcW w:w="1134" w:type="dxa"/>
            <w:tcBorders>
              <w:bottom w:val="single" w:sz="2" w:space="0" w:color="3D7FE0" w:themeColor="accent1"/>
            </w:tcBorders>
            <w:shd w:val="clear" w:color="auto" w:fill="auto"/>
            <w:vAlign w:val="bottom"/>
          </w:tcPr>
          <w:p w14:paraId="107A0DA4"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2.4</w:t>
            </w:r>
          </w:p>
        </w:tc>
        <w:tc>
          <w:tcPr>
            <w:tcW w:w="992" w:type="dxa"/>
            <w:tcBorders>
              <w:bottom w:val="single" w:sz="2" w:space="0" w:color="3D7FE0" w:themeColor="accent1"/>
            </w:tcBorders>
            <w:shd w:val="clear" w:color="auto" w:fill="auto"/>
            <w:vAlign w:val="bottom"/>
          </w:tcPr>
          <w:p w14:paraId="3569FD0F"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3.2</w:t>
            </w:r>
          </w:p>
        </w:tc>
      </w:tr>
      <w:tr w:rsidR="006B43AF" w:rsidRPr="005907D3" w14:paraId="7740636E" w14:textId="77777777" w:rsidTr="004203CD">
        <w:trPr>
          <w:trHeight w:val="20"/>
        </w:trPr>
        <w:tc>
          <w:tcPr>
            <w:tcW w:w="6804" w:type="dxa"/>
            <w:tcBorders>
              <w:top w:val="single" w:sz="2" w:space="0" w:color="3D7FE0" w:themeColor="accent1"/>
              <w:bottom w:val="single" w:sz="2" w:space="0" w:color="3D7FE0" w:themeColor="accent1"/>
            </w:tcBorders>
            <w:shd w:val="clear" w:color="auto" w:fill="auto"/>
          </w:tcPr>
          <w:p w14:paraId="1D8A623E" w14:textId="77777777" w:rsidR="006B43AF" w:rsidRPr="005907D3" w:rsidRDefault="006B43AF" w:rsidP="004203CD">
            <w:pPr>
              <w:pStyle w:val="TablesTText"/>
              <w:rPr>
                <w:rFonts w:ascii="IBM Plex Sans Light" w:hAnsi="IBM Plex Sans Light"/>
                <w:b/>
                <w:bCs/>
                <w:sz w:val="18"/>
                <w:szCs w:val="18"/>
              </w:rPr>
            </w:pPr>
            <w:r w:rsidRPr="005907D3">
              <w:rPr>
                <w:rFonts w:ascii="IBM Plex Sans Light" w:hAnsi="IBM Plex Sans Light"/>
                <w:b/>
                <w:bCs/>
                <w:sz w:val="18"/>
                <w:szCs w:val="18"/>
              </w:rPr>
              <w:t>Gross rental income</w:t>
            </w:r>
          </w:p>
        </w:tc>
        <w:tc>
          <w:tcPr>
            <w:tcW w:w="794" w:type="dxa"/>
            <w:tcBorders>
              <w:top w:val="single" w:sz="2" w:space="0" w:color="3D7FE0" w:themeColor="accent1"/>
              <w:bottom w:val="single" w:sz="2" w:space="0" w:color="3D7FE0" w:themeColor="accent1"/>
            </w:tcBorders>
            <w:shd w:val="clear" w:color="auto" w:fill="auto"/>
          </w:tcPr>
          <w:p w14:paraId="60E7A3C3" w14:textId="77777777" w:rsidR="006B43AF" w:rsidRPr="00C16F8C" w:rsidRDefault="006B43AF" w:rsidP="004203CD">
            <w:pPr>
              <w:pStyle w:val="TablesTColHead"/>
              <w:rPr>
                <w:rFonts w:ascii="IBM Plex Sans Light" w:hAnsi="IBM Plex Sans Light"/>
                <w:b/>
                <w:sz w:val="16"/>
                <w:szCs w:val="28"/>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3182555E"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208.4</w:t>
            </w:r>
          </w:p>
        </w:tc>
        <w:tc>
          <w:tcPr>
            <w:tcW w:w="992" w:type="dxa"/>
            <w:tcBorders>
              <w:top w:val="single" w:sz="2" w:space="0" w:color="3D7FE0" w:themeColor="accent1"/>
              <w:bottom w:val="single" w:sz="2" w:space="0" w:color="3D7FE0" w:themeColor="accent1"/>
            </w:tcBorders>
            <w:shd w:val="clear" w:color="auto" w:fill="auto"/>
            <w:vAlign w:val="bottom"/>
          </w:tcPr>
          <w:p w14:paraId="7011D5B5" w14:textId="77777777" w:rsidR="006B43AF" w:rsidRPr="005907D3" w:rsidRDefault="006B43AF" w:rsidP="004203CD">
            <w:pPr>
              <w:pStyle w:val="TablesTFigures"/>
              <w:spacing w:line="240" w:lineRule="exact"/>
              <w:rPr>
                <w:rFonts w:ascii="IBM Plex Sans Light" w:eastAsia="Chronicle Text G1" w:hAnsi="IBM Plex Sans Light" w:cs="Chronicle Text G1"/>
                <w:bCs/>
                <w:sz w:val="18"/>
                <w:szCs w:val="18"/>
              </w:rPr>
            </w:pPr>
            <w:r w:rsidRPr="00B15B7F">
              <w:rPr>
                <w:rFonts w:ascii="IBM Plex Sans Light" w:eastAsia="Chronicle Text G1" w:hAnsi="IBM Plex Sans Light" w:cs="Chronicle Text G1"/>
                <w:bCs/>
                <w:sz w:val="18"/>
                <w:szCs w:val="18"/>
              </w:rPr>
              <w:t>215.2</w:t>
            </w:r>
          </w:p>
        </w:tc>
      </w:tr>
      <w:tr w:rsidR="006B43AF" w:rsidRPr="005907D3" w14:paraId="091DDC26" w14:textId="77777777" w:rsidTr="004203CD">
        <w:trPr>
          <w:trHeight w:val="20"/>
        </w:trPr>
        <w:tc>
          <w:tcPr>
            <w:tcW w:w="6804" w:type="dxa"/>
            <w:tcBorders>
              <w:top w:val="single" w:sz="2" w:space="0" w:color="3D7FE0" w:themeColor="accent1"/>
            </w:tcBorders>
            <w:shd w:val="clear" w:color="auto" w:fill="auto"/>
          </w:tcPr>
          <w:p w14:paraId="7C337BB4" w14:textId="77777777" w:rsidR="006B43AF" w:rsidRPr="00B15B7F" w:rsidRDefault="006B43AF" w:rsidP="004203CD">
            <w:pPr>
              <w:pStyle w:val="TablesTText"/>
              <w:rPr>
                <w:rFonts w:ascii="IBM Plex Sans Light" w:hAnsi="IBM Plex Sans Light"/>
                <w:sz w:val="18"/>
                <w:szCs w:val="18"/>
              </w:rPr>
            </w:pPr>
            <w:r>
              <w:rPr>
                <w:rFonts w:ascii="IBM Plex Sans Light" w:hAnsi="IBM Plex Sans Light"/>
                <w:sz w:val="18"/>
                <w:szCs w:val="18"/>
              </w:rPr>
              <w:t>Ground rents payable</w:t>
            </w:r>
          </w:p>
        </w:tc>
        <w:tc>
          <w:tcPr>
            <w:tcW w:w="794" w:type="dxa"/>
            <w:tcBorders>
              <w:top w:val="single" w:sz="2" w:space="0" w:color="3D7FE0" w:themeColor="accent1"/>
            </w:tcBorders>
            <w:shd w:val="clear" w:color="auto" w:fill="auto"/>
          </w:tcPr>
          <w:p w14:paraId="5E1D9543" w14:textId="77777777" w:rsidR="006B43AF" w:rsidRPr="00C16F8C" w:rsidRDefault="006B43AF" w:rsidP="004203CD">
            <w:pPr>
              <w:pStyle w:val="TablesTColHead"/>
              <w:rPr>
                <w:rFonts w:ascii="IBM Plex Sans Light" w:hAnsi="IBM Plex Sans Light"/>
                <w:b/>
                <w:sz w:val="16"/>
                <w:szCs w:val="28"/>
                <w:highlight w:val="yellow"/>
              </w:rPr>
            </w:pPr>
          </w:p>
        </w:tc>
        <w:tc>
          <w:tcPr>
            <w:tcW w:w="1134" w:type="dxa"/>
            <w:tcBorders>
              <w:top w:val="single" w:sz="2" w:space="0" w:color="3D7FE0" w:themeColor="accent1"/>
            </w:tcBorders>
            <w:shd w:val="clear" w:color="auto" w:fill="auto"/>
            <w:vAlign w:val="bottom"/>
          </w:tcPr>
          <w:p w14:paraId="2FF40255"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(1.8)</w:t>
            </w:r>
          </w:p>
        </w:tc>
        <w:tc>
          <w:tcPr>
            <w:tcW w:w="992" w:type="dxa"/>
            <w:tcBorders>
              <w:top w:val="single" w:sz="2" w:space="0" w:color="3D7FE0" w:themeColor="accent1"/>
            </w:tcBorders>
            <w:shd w:val="clear" w:color="auto" w:fill="auto"/>
            <w:vAlign w:val="bottom"/>
          </w:tcPr>
          <w:p w14:paraId="3F0A4C4C" w14:textId="77777777" w:rsidR="006B43AF" w:rsidRPr="00B15B7F"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(1.3)</w:t>
            </w:r>
          </w:p>
        </w:tc>
      </w:tr>
      <w:tr w:rsidR="006B43AF" w:rsidRPr="005907D3" w14:paraId="673A2119" w14:textId="77777777" w:rsidTr="004203CD">
        <w:trPr>
          <w:trHeight w:val="20"/>
        </w:trPr>
        <w:tc>
          <w:tcPr>
            <w:tcW w:w="6804" w:type="dxa"/>
            <w:shd w:val="clear" w:color="auto" w:fill="auto"/>
          </w:tcPr>
          <w:p w14:paraId="59935DCB" w14:textId="77777777" w:rsidR="006B43AF" w:rsidRPr="00B15B7F" w:rsidRDefault="006B43AF" w:rsidP="004203CD">
            <w:pPr>
              <w:pStyle w:val="TablesTText"/>
              <w:rPr>
                <w:rFonts w:ascii="IBM Plex Sans Light" w:hAnsi="IBM Plex Sans Light"/>
                <w:sz w:val="18"/>
                <w:szCs w:val="18"/>
              </w:rPr>
            </w:pPr>
            <w:r>
              <w:rPr>
                <w:rFonts w:ascii="IBM Plex Sans Light" w:hAnsi="IBM Plex Sans Light"/>
                <w:sz w:val="18"/>
                <w:szCs w:val="18"/>
              </w:rPr>
              <w:t xml:space="preserve">Inclusive lease costs recovered through rent </w:t>
            </w:r>
          </w:p>
        </w:tc>
        <w:tc>
          <w:tcPr>
            <w:tcW w:w="794" w:type="dxa"/>
            <w:shd w:val="clear" w:color="auto" w:fill="auto"/>
          </w:tcPr>
          <w:p w14:paraId="0582133C" w14:textId="77777777" w:rsidR="006B43AF" w:rsidRPr="00C16F8C" w:rsidRDefault="006B43AF" w:rsidP="004203CD">
            <w:pPr>
              <w:pStyle w:val="TablesTColHead"/>
              <w:rPr>
                <w:rFonts w:ascii="IBM Plex Sans Light" w:hAnsi="IBM Plex Sans Light"/>
                <w:b/>
                <w:sz w:val="16"/>
                <w:szCs w:val="28"/>
                <w:highlight w:val="yellow"/>
              </w:rPr>
            </w:pPr>
          </w:p>
        </w:tc>
        <w:tc>
          <w:tcPr>
            <w:tcW w:w="1134" w:type="dxa"/>
            <w:shd w:val="clear" w:color="auto" w:fill="auto"/>
            <w:vAlign w:val="bottom"/>
          </w:tcPr>
          <w:p w14:paraId="6A289A25"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(6.4)</w:t>
            </w:r>
          </w:p>
        </w:tc>
        <w:tc>
          <w:tcPr>
            <w:tcW w:w="992" w:type="dxa"/>
            <w:shd w:val="clear" w:color="auto" w:fill="auto"/>
            <w:vAlign w:val="bottom"/>
          </w:tcPr>
          <w:p w14:paraId="32AE63DF" w14:textId="77777777" w:rsidR="006B43AF" w:rsidRPr="00B15B7F"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(9.1)</w:t>
            </w:r>
          </w:p>
        </w:tc>
      </w:tr>
      <w:tr w:rsidR="006B43AF" w:rsidRPr="005907D3" w14:paraId="43CA3F3B" w14:textId="77777777" w:rsidTr="004203CD">
        <w:trPr>
          <w:trHeight w:val="20"/>
        </w:trPr>
        <w:tc>
          <w:tcPr>
            <w:tcW w:w="6804" w:type="dxa"/>
            <w:shd w:val="clear" w:color="auto" w:fill="auto"/>
          </w:tcPr>
          <w:p w14:paraId="3C14BA09" w14:textId="77777777" w:rsidR="006B43AF" w:rsidRPr="00B15B7F" w:rsidRDefault="006B43AF" w:rsidP="004203CD">
            <w:pPr>
              <w:pStyle w:val="TablesTText"/>
              <w:rPr>
                <w:rFonts w:ascii="IBM Plex Sans Light" w:hAnsi="IBM Plex Sans Light"/>
                <w:sz w:val="18"/>
                <w:szCs w:val="18"/>
              </w:rPr>
            </w:pPr>
            <w:r>
              <w:rPr>
                <w:rFonts w:ascii="IBM Plex Sans Light" w:hAnsi="IBM Plex Sans Light"/>
                <w:sz w:val="18"/>
                <w:szCs w:val="18"/>
              </w:rPr>
              <w:t>Other property outgoings</w:t>
            </w:r>
          </w:p>
        </w:tc>
        <w:tc>
          <w:tcPr>
            <w:tcW w:w="794" w:type="dxa"/>
            <w:shd w:val="clear" w:color="auto" w:fill="auto"/>
          </w:tcPr>
          <w:p w14:paraId="0231D213" w14:textId="77777777" w:rsidR="006B43AF" w:rsidRPr="00C16F8C" w:rsidRDefault="006B43AF" w:rsidP="004203CD">
            <w:pPr>
              <w:pStyle w:val="TablesTColHead"/>
              <w:rPr>
                <w:rFonts w:ascii="IBM Plex Sans Light" w:hAnsi="IBM Plex Sans Light"/>
                <w:b/>
                <w:sz w:val="16"/>
                <w:szCs w:val="28"/>
                <w:highlight w:val="yellow"/>
              </w:rPr>
            </w:pPr>
          </w:p>
        </w:tc>
        <w:tc>
          <w:tcPr>
            <w:tcW w:w="1134" w:type="dxa"/>
            <w:shd w:val="clear" w:color="auto" w:fill="auto"/>
            <w:vAlign w:val="bottom"/>
          </w:tcPr>
          <w:p w14:paraId="4C54DE78"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(32.7)</w:t>
            </w:r>
          </w:p>
        </w:tc>
        <w:tc>
          <w:tcPr>
            <w:tcW w:w="992" w:type="dxa"/>
            <w:shd w:val="clear" w:color="auto" w:fill="auto"/>
            <w:vAlign w:val="bottom"/>
          </w:tcPr>
          <w:p w14:paraId="6EE78AF1" w14:textId="77777777" w:rsidR="006B43AF" w:rsidRPr="00B15B7F"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(30.0)</w:t>
            </w:r>
          </w:p>
        </w:tc>
      </w:tr>
      <w:tr w:rsidR="006B43AF" w:rsidRPr="005907D3" w14:paraId="01CCE257" w14:textId="77777777" w:rsidTr="004203CD">
        <w:trPr>
          <w:trHeight w:val="20"/>
        </w:trPr>
        <w:tc>
          <w:tcPr>
            <w:tcW w:w="6804" w:type="dxa"/>
            <w:tcBorders>
              <w:bottom w:val="single" w:sz="8" w:space="0" w:color="3D7FE0" w:themeColor="accent1"/>
            </w:tcBorders>
            <w:shd w:val="clear" w:color="auto" w:fill="auto"/>
          </w:tcPr>
          <w:p w14:paraId="40E881B1" w14:textId="77777777" w:rsidR="006B43AF" w:rsidRPr="00B15B7F" w:rsidRDefault="006B43AF" w:rsidP="004203CD">
            <w:pPr>
              <w:pStyle w:val="TablesTText"/>
              <w:rPr>
                <w:rFonts w:ascii="IBM Plex Sans Light" w:hAnsi="IBM Plex Sans Light"/>
                <w:b/>
                <w:bCs/>
                <w:sz w:val="18"/>
                <w:szCs w:val="18"/>
              </w:rPr>
            </w:pPr>
            <w:r>
              <w:rPr>
                <w:rFonts w:ascii="IBM Plex Sans Light" w:hAnsi="IBM Plex Sans Light"/>
                <w:b/>
                <w:bCs/>
                <w:sz w:val="18"/>
                <w:szCs w:val="18"/>
              </w:rPr>
              <w:t>Cost of Sales</w:t>
            </w:r>
          </w:p>
        </w:tc>
        <w:tc>
          <w:tcPr>
            <w:tcW w:w="794" w:type="dxa"/>
            <w:tcBorders>
              <w:bottom w:val="single" w:sz="8" w:space="0" w:color="3D7FE0" w:themeColor="accent1"/>
            </w:tcBorders>
            <w:shd w:val="clear" w:color="auto" w:fill="auto"/>
          </w:tcPr>
          <w:p w14:paraId="32C4332D" w14:textId="77777777" w:rsidR="006B43AF" w:rsidRPr="00C16F8C" w:rsidRDefault="006B43AF" w:rsidP="004203CD">
            <w:pPr>
              <w:pStyle w:val="TablesTColHead"/>
              <w:rPr>
                <w:rFonts w:ascii="IBM Plex Sans Light" w:hAnsi="IBM Plex Sans Light"/>
                <w:b/>
                <w:sz w:val="16"/>
                <w:szCs w:val="28"/>
                <w:highlight w:val="yellow"/>
              </w:rPr>
            </w:pPr>
          </w:p>
        </w:tc>
        <w:tc>
          <w:tcPr>
            <w:tcW w:w="1134" w:type="dxa"/>
            <w:tcBorders>
              <w:bottom w:val="single" w:sz="8" w:space="0" w:color="3D7FE0" w:themeColor="accent1"/>
            </w:tcBorders>
            <w:shd w:val="clear" w:color="auto" w:fill="auto"/>
            <w:vAlign w:val="bottom"/>
          </w:tcPr>
          <w:p w14:paraId="2BEC10F4"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(40.9)</w:t>
            </w:r>
          </w:p>
        </w:tc>
        <w:tc>
          <w:tcPr>
            <w:tcW w:w="992" w:type="dxa"/>
            <w:tcBorders>
              <w:bottom w:val="single" w:sz="8" w:space="0" w:color="3D7FE0" w:themeColor="accent1"/>
            </w:tcBorders>
            <w:shd w:val="clear" w:color="auto" w:fill="auto"/>
            <w:vAlign w:val="bottom"/>
          </w:tcPr>
          <w:p w14:paraId="1A531EAF" w14:textId="77777777" w:rsidR="006B43AF" w:rsidRPr="00B15B7F"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(40.4)</w:t>
            </w:r>
          </w:p>
        </w:tc>
      </w:tr>
      <w:tr w:rsidR="006B43AF" w:rsidRPr="005907D3" w14:paraId="22BD3164" w14:textId="77777777" w:rsidTr="004203CD">
        <w:trPr>
          <w:trHeight w:val="20"/>
        </w:trPr>
        <w:tc>
          <w:tcPr>
            <w:tcW w:w="6804" w:type="dxa"/>
            <w:tcBorders>
              <w:bottom w:val="single" w:sz="8" w:space="0" w:color="3D7FE0" w:themeColor="accent1"/>
            </w:tcBorders>
            <w:shd w:val="clear" w:color="auto" w:fill="auto"/>
          </w:tcPr>
          <w:p w14:paraId="2C13D103" w14:textId="77777777" w:rsidR="006B43AF" w:rsidRDefault="006B43AF" w:rsidP="004203CD">
            <w:pPr>
              <w:pStyle w:val="TablesTText"/>
              <w:rPr>
                <w:rFonts w:ascii="IBM Plex Sans Light" w:hAnsi="IBM Plex Sans Light"/>
                <w:b/>
                <w:bCs/>
                <w:sz w:val="18"/>
                <w:szCs w:val="18"/>
              </w:rPr>
            </w:pPr>
            <w:r>
              <w:rPr>
                <w:rFonts w:ascii="IBM Plex Sans Light" w:hAnsi="IBM Plex Sans Light"/>
                <w:b/>
                <w:bCs/>
                <w:sz w:val="18"/>
                <w:szCs w:val="18"/>
              </w:rPr>
              <w:t>Adjusted net rental income</w:t>
            </w:r>
          </w:p>
        </w:tc>
        <w:tc>
          <w:tcPr>
            <w:tcW w:w="794" w:type="dxa"/>
            <w:tcBorders>
              <w:bottom w:val="single" w:sz="8" w:space="0" w:color="3D7FE0" w:themeColor="accent1"/>
            </w:tcBorders>
            <w:shd w:val="clear" w:color="auto" w:fill="auto"/>
          </w:tcPr>
          <w:p w14:paraId="0F463CC8" w14:textId="77777777" w:rsidR="006B43AF" w:rsidRPr="00C16F8C" w:rsidRDefault="006B43AF" w:rsidP="004203CD">
            <w:pPr>
              <w:pStyle w:val="TablesTColHead"/>
              <w:rPr>
                <w:rFonts w:ascii="IBM Plex Sans Light" w:hAnsi="IBM Plex Sans Light"/>
                <w:b/>
                <w:sz w:val="16"/>
                <w:szCs w:val="28"/>
                <w:highlight w:val="yellow"/>
              </w:rPr>
            </w:pPr>
          </w:p>
        </w:tc>
        <w:tc>
          <w:tcPr>
            <w:tcW w:w="1134" w:type="dxa"/>
            <w:tcBorders>
              <w:bottom w:val="single" w:sz="8" w:space="0" w:color="3D7FE0" w:themeColor="accent1"/>
            </w:tcBorders>
            <w:shd w:val="clear" w:color="auto" w:fill="auto"/>
            <w:vAlign w:val="bottom"/>
          </w:tcPr>
          <w:p w14:paraId="14968339" w14:textId="77777777" w:rsidR="006B43AF" w:rsidRPr="00B15B7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B15B7F">
              <w:rPr>
                <w:rFonts w:ascii="IBM Plex Sans Medium" w:eastAsia="Chronicle Text G1" w:hAnsi="IBM Plex Sans Medium" w:cs="Chronicle Text G1"/>
                <w:b/>
                <w:color w:val="3D7FE0" w:themeColor="accent1"/>
                <w:sz w:val="18"/>
                <w:szCs w:val="18"/>
              </w:rPr>
              <w:t>167.5</w:t>
            </w:r>
          </w:p>
        </w:tc>
        <w:tc>
          <w:tcPr>
            <w:tcW w:w="992" w:type="dxa"/>
            <w:tcBorders>
              <w:bottom w:val="single" w:sz="8" w:space="0" w:color="3D7FE0" w:themeColor="accent1"/>
            </w:tcBorders>
            <w:shd w:val="clear" w:color="auto" w:fill="auto"/>
            <w:vAlign w:val="bottom"/>
          </w:tcPr>
          <w:p w14:paraId="6D34EEE1" w14:textId="77777777" w:rsidR="006B43AF" w:rsidRPr="00B15B7F" w:rsidRDefault="006B43AF" w:rsidP="004203CD">
            <w:pPr>
              <w:pStyle w:val="TablesTFigures"/>
              <w:spacing w:line="240" w:lineRule="exac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174.8</w:t>
            </w:r>
          </w:p>
        </w:tc>
      </w:tr>
    </w:tbl>
    <w:p w14:paraId="4F1C8259" w14:textId="77777777" w:rsidR="006B43AF" w:rsidRPr="00495083" w:rsidRDefault="006B43AF" w:rsidP="006B43AF">
      <w:pPr>
        <w:pStyle w:val="04FinancialsBodyCopy"/>
        <w:rPr>
          <w:rFonts w:cs="Times New Roman"/>
          <w:color w:val="auto"/>
          <w:spacing w:val="-4"/>
          <w:sz w:val="18"/>
          <w:szCs w:val="24"/>
        </w:rPr>
      </w:pPr>
    </w:p>
    <w:p w14:paraId="13C172F1"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Net rental income</w:t>
      </w:r>
    </w:p>
    <w:p w14:paraId="7F633C86" w14:textId="77777777" w:rsidR="006B43AF" w:rsidRPr="00280504" w:rsidRDefault="006B43AF" w:rsidP="006B43AF">
      <w:pPr>
        <w:rPr>
          <w:rFonts w:ascii="IBM Plex Sans Light" w:hAnsi="IBM Plex Sans Light"/>
          <w:b/>
        </w:rPr>
      </w:pPr>
      <w:r w:rsidRPr="00280504">
        <w:rPr>
          <w:rFonts w:ascii="IBM Plex Sans Light" w:hAnsi="IBM Plex Sans Light"/>
          <w:b/>
        </w:rPr>
        <w:t xml:space="preserve">Table </w:t>
      </w:r>
      <w:r>
        <w:rPr>
          <w:rFonts w:ascii="IBM Plex Sans Light" w:hAnsi="IBM Plex Sans Light"/>
          <w:b/>
        </w:rPr>
        <w:t>3</w:t>
      </w:r>
    </w:p>
    <w:p w14:paraId="1D15CAA1" w14:textId="77777777" w:rsidR="006B43AF" w:rsidRPr="005907D3" w:rsidRDefault="006B43AF" w:rsidP="006B43AF">
      <w:pPr>
        <w:pStyle w:val="TablesTHeading1"/>
        <w:pBdr>
          <w:bottom w:val="none" w:sz="0" w:space="0" w:color="auto"/>
        </w:pBdr>
        <w:spacing w:line="240" w:lineRule="auto"/>
        <w:rPr>
          <w:rFonts w:ascii="IBM Plex Sans Light" w:hAnsi="IBM Plex Sans Light"/>
          <w:color w:val="auto"/>
        </w:rPr>
      </w:pPr>
      <w:r w:rsidRPr="005907D3">
        <w:rPr>
          <w:rFonts w:ascii="IBM Plex Sans Light" w:eastAsiaTheme="minorEastAsia" w:hAnsi="IBM Plex Sans Light" w:cstheme="minorBidi"/>
          <w:color w:val="auto"/>
          <w:sz w:val="18"/>
          <w:szCs w:val="18"/>
        </w:rPr>
        <w:lastRenderedPageBreak/>
        <w:t xml:space="preserve">Like-for-like net rental income (NRI) is calculated as the percentage change in NRI for investment properties owned throughout both the current and prior </w:t>
      </w:r>
      <w:r>
        <w:rPr>
          <w:rFonts w:ascii="IBM Plex Sans Light" w:eastAsiaTheme="minorEastAsia" w:hAnsi="IBM Plex Sans Light" w:cstheme="minorBidi"/>
          <w:color w:val="auto"/>
          <w:sz w:val="18"/>
          <w:szCs w:val="18"/>
        </w:rPr>
        <w:t>year</w:t>
      </w:r>
      <w:r w:rsidRPr="005907D3">
        <w:rPr>
          <w:rFonts w:ascii="IBM Plex Sans Light" w:eastAsiaTheme="minorEastAsia" w:hAnsi="IBM Plex Sans Light" w:cstheme="minorBidi"/>
          <w:color w:val="auto"/>
          <w:sz w:val="18"/>
          <w:szCs w:val="18"/>
        </w:rPr>
        <w:t>, after taking account of exchange translation movements. Properties undergoing a significant extension project are excluded from this calculation during the period of the works.</w:t>
      </w:r>
      <w:r w:rsidRPr="005907D3">
        <w:rPr>
          <w:rFonts w:ascii="IBM Plex Sans Light" w:eastAsiaTheme="minorEastAsia" w:hAnsi="IBM Plex Sans Light" w:cstheme="minorBidi"/>
          <w:color w:val="auto"/>
          <w:sz w:val="17"/>
        </w:rPr>
        <w:t xml:space="preserve"> </w:t>
      </w:r>
    </w:p>
    <w:tbl>
      <w:tblPr>
        <w:tblW w:w="9922" w:type="dxa"/>
        <w:tblLayout w:type="fixed"/>
        <w:tblCellMar>
          <w:left w:w="0" w:type="dxa"/>
          <w:right w:w="0" w:type="dxa"/>
        </w:tblCellMar>
        <w:tblLook w:val="04A0" w:firstRow="1" w:lastRow="0" w:firstColumn="1" w:lastColumn="0" w:noHBand="0" w:noVBand="1"/>
      </w:tblPr>
      <w:tblGrid>
        <w:gridCol w:w="2694"/>
        <w:gridCol w:w="425"/>
        <w:gridCol w:w="992"/>
        <w:gridCol w:w="992"/>
        <w:gridCol w:w="992"/>
        <w:gridCol w:w="992"/>
        <w:gridCol w:w="851"/>
        <w:gridCol w:w="992"/>
        <w:gridCol w:w="992"/>
      </w:tblGrid>
      <w:tr w:rsidR="006B43AF" w:rsidRPr="005907D3" w14:paraId="0D76A287" w14:textId="77777777" w:rsidTr="004203CD">
        <w:trPr>
          <w:trHeight w:val="170"/>
        </w:trPr>
        <w:tc>
          <w:tcPr>
            <w:tcW w:w="2694" w:type="dxa"/>
            <w:tcBorders>
              <w:bottom w:val="single" w:sz="2" w:space="0" w:color="3D7FE0" w:themeColor="accent1"/>
            </w:tcBorders>
            <w:shd w:val="clear" w:color="auto" w:fill="auto"/>
            <w:vAlign w:val="bottom"/>
          </w:tcPr>
          <w:p w14:paraId="680B5655" w14:textId="77777777" w:rsidR="006B43AF" w:rsidRPr="005907D3" w:rsidRDefault="006B43AF" w:rsidP="004203CD">
            <w:pPr>
              <w:pStyle w:val="TablesTColHeadsLeft"/>
              <w:rPr>
                <w:rFonts w:ascii="IBM Plex Sans Light" w:hAnsi="IBM Plex Sans Light"/>
                <w:highlight w:val="yellow"/>
              </w:rPr>
            </w:pPr>
          </w:p>
        </w:tc>
        <w:tc>
          <w:tcPr>
            <w:tcW w:w="425" w:type="dxa"/>
            <w:tcBorders>
              <w:bottom w:val="single" w:sz="2" w:space="0" w:color="3D7FE0" w:themeColor="accent1"/>
            </w:tcBorders>
            <w:shd w:val="clear" w:color="auto" w:fill="auto"/>
            <w:vAlign w:val="bottom"/>
          </w:tcPr>
          <w:p w14:paraId="15FBDE89" w14:textId="77777777" w:rsidR="006B43AF" w:rsidRPr="005907D3" w:rsidRDefault="006B43AF" w:rsidP="004203CD">
            <w:pPr>
              <w:pStyle w:val="TablesTColHeadsLeft"/>
              <w:rPr>
                <w:rFonts w:ascii="IBM Plex Sans Light" w:hAnsi="IBM Plex Sans Light"/>
                <w:highlight w:val="yellow"/>
              </w:rPr>
            </w:pPr>
          </w:p>
        </w:tc>
        <w:tc>
          <w:tcPr>
            <w:tcW w:w="992" w:type="dxa"/>
            <w:tcBorders>
              <w:bottom w:val="single" w:sz="2" w:space="0" w:color="3D7FE0" w:themeColor="accent1"/>
            </w:tcBorders>
            <w:shd w:val="clear" w:color="auto" w:fill="auto"/>
            <w:vAlign w:val="bottom"/>
          </w:tcPr>
          <w:p w14:paraId="7A94F792" w14:textId="77777777" w:rsidR="006B43AF" w:rsidRPr="005907D3" w:rsidRDefault="006B43AF" w:rsidP="004203CD">
            <w:pPr>
              <w:pStyle w:val="TablesTColHead"/>
              <w:rPr>
                <w:rFonts w:ascii="IBM Plex Sans Light" w:hAnsi="IBM Plex Sans Light"/>
                <w:sz w:val="14"/>
                <w:szCs w:val="14"/>
              </w:rPr>
            </w:pPr>
          </w:p>
        </w:tc>
        <w:tc>
          <w:tcPr>
            <w:tcW w:w="992" w:type="dxa"/>
            <w:tcBorders>
              <w:bottom w:val="single" w:sz="2" w:space="0" w:color="3D7FE0" w:themeColor="accent1"/>
            </w:tcBorders>
            <w:shd w:val="clear" w:color="auto" w:fill="auto"/>
            <w:tcMar>
              <w:right w:w="57" w:type="dxa"/>
            </w:tcMar>
            <w:vAlign w:val="bottom"/>
          </w:tcPr>
          <w:p w14:paraId="3FEA9905" w14:textId="77777777" w:rsidR="006B43AF" w:rsidRPr="005907D3" w:rsidRDefault="006B43AF" w:rsidP="004203CD">
            <w:pPr>
              <w:pStyle w:val="TablesTColHeadsBold"/>
              <w:rPr>
                <w:rFonts w:ascii="IBM Plex Sans Light" w:hAnsi="IBM Plex Sans Light"/>
                <w:sz w:val="14"/>
                <w:szCs w:val="14"/>
              </w:rPr>
            </w:pPr>
          </w:p>
        </w:tc>
        <w:tc>
          <w:tcPr>
            <w:tcW w:w="992" w:type="dxa"/>
            <w:tcBorders>
              <w:left w:val="nil"/>
              <w:bottom w:val="single" w:sz="2" w:space="0" w:color="3D7FE0" w:themeColor="accent1"/>
            </w:tcBorders>
            <w:shd w:val="clear" w:color="auto" w:fill="auto"/>
            <w:vAlign w:val="bottom"/>
          </w:tcPr>
          <w:p w14:paraId="25FD2DC2" w14:textId="77777777" w:rsidR="006B43AF" w:rsidRPr="005907D3" w:rsidRDefault="006B43AF" w:rsidP="004203CD">
            <w:pPr>
              <w:pStyle w:val="TablesTColHead"/>
              <w:rPr>
                <w:rFonts w:ascii="IBM Plex Sans Light" w:hAnsi="IBM Plex Sans Light"/>
                <w:sz w:val="14"/>
                <w:szCs w:val="14"/>
              </w:rPr>
            </w:pPr>
          </w:p>
        </w:tc>
        <w:tc>
          <w:tcPr>
            <w:tcW w:w="992" w:type="dxa"/>
            <w:tcBorders>
              <w:bottom w:val="single" w:sz="2" w:space="0" w:color="3D7FE0" w:themeColor="accent1"/>
            </w:tcBorders>
            <w:shd w:val="clear" w:color="auto" w:fill="auto"/>
            <w:vAlign w:val="bottom"/>
          </w:tcPr>
          <w:p w14:paraId="7CD13640" w14:textId="77777777" w:rsidR="006B43AF" w:rsidRPr="005907D3" w:rsidRDefault="006B43AF" w:rsidP="004203CD">
            <w:pPr>
              <w:pStyle w:val="TablesTColHead"/>
              <w:rPr>
                <w:rFonts w:ascii="IBM Plex Sans Light" w:hAnsi="IBM Plex Sans Light"/>
                <w:sz w:val="14"/>
                <w:szCs w:val="14"/>
              </w:rPr>
            </w:pPr>
          </w:p>
        </w:tc>
        <w:tc>
          <w:tcPr>
            <w:tcW w:w="2835" w:type="dxa"/>
            <w:gridSpan w:val="3"/>
            <w:tcBorders>
              <w:bottom w:val="single" w:sz="2" w:space="0" w:color="3D7FE0" w:themeColor="accent1"/>
            </w:tcBorders>
            <w:shd w:val="clear" w:color="auto" w:fill="auto"/>
            <w:vAlign w:val="bottom"/>
          </w:tcPr>
          <w:p w14:paraId="011B4019" w14:textId="77777777" w:rsidR="006B43AF" w:rsidRPr="005907D3" w:rsidRDefault="006B43AF" w:rsidP="004203CD">
            <w:pPr>
              <w:pStyle w:val="TablesTColHead"/>
              <w:rPr>
                <w:rFonts w:ascii="IBM Plex Sans Light" w:hAnsi="IBM Plex Sans Light"/>
                <w:b/>
                <w:color w:val="3D7FE0" w:themeColor="accent1"/>
                <w:sz w:val="14"/>
                <w:szCs w:val="14"/>
              </w:rPr>
            </w:pPr>
            <w:r w:rsidRPr="005907D3">
              <w:rPr>
                <w:rFonts w:ascii="IBM Plex Sans Light" w:hAnsi="IBM Plex Sans Light"/>
                <w:b/>
                <w:color w:val="3D7FE0" w:themeColor="accent1"/>
                <w:sz w:val="14"/>
                <w:szCs w:val="14"/>
              </w:rPr>
              <w:t>202</w:t>
            </w:r>
            <w:r>
              <w:rPr>
                <w:rFonts w:ascii="IBM Plex Sans Light" w:hAnsi="IBM Plex Sans Light"/>
                <w:b/>
                <w:color w:val="3D7FE0" w:themeColor="accent1"/>
                <w:sz w:val="14"/>
                <w:szCs w:val="14"/>
              </w:rPr>
              <w:t>3</w:t>
            </w:r>
          </w:p>
        </w:tc>
      </w:tr>
      <w:tr w:rsidR="006B43AF" w:rsidRPr="005907D3" w14:paraId="5DEBC3D0" w14:textId="77777777" w:rsidTr="004203CD">
        <w:trPr>
          <w:trHeight w:val="808"/>
        </w:trPr>
        <w:tc>
          <w:tcPr>
            <w:tcW w:w="2694" w:type="dxa"/>
            <w:tcBorders>
              <w:top w:val="single" w:sz="2" w:space="0" w:color="3D7FE0" w:themeColor="accent1"/>
              <w:bottom w:val="single" w:sz="2" w:space="0" w:color="3D7FE0" w:themeColor="accent1"/>
            </w:tcBorders>
            <w:shd w:val="clear" w:color="auto" w:fill="auto"/>
            <w:vAlign w:val="bottom"/>
          </w:tcPr>
          <w:p w14:paraId="1B45C54D" w14:textId="77777777" w:rsidR="006B43AF" w:rsidRPr="005439CC" w:rsidRDefault="006B43AF" w:rsidP="004203CD">
            <w:pPr>
              <w:pStyle w:val="TablesTColHeadsLeft"/>
              <w:rPr>
                <w:rFonts w:ascii="IBM Plex Sans Light" w:hAnsi="IBM Plex Sans Light"/>
                <w:sz w:val="16"/>
                <w:szCs w:val="16"/>
                <w:highlight w:val="yellow"/>
              </w:rPr>
            </w:pPr>
            <w:r w:rsidRPr="005439CC">
              <w:rPr>
                <w:rFonts w:ascii="IBM Plex Sans Light" w:hAnsi="IBM Plex Sans Light"/>
                <w:b/>
                <w:color w:val="3D7FE0" w:themeColor="accent1"/>
                <w:sz w:val="16"/>
                <w:szCs w:val="16"/>
              </w:rPr>
              <w:t>Proportionally consolidated</w:t>
            </w:r>
          </w:p>
        </w:tc>
        <w:tc>
          <w:tcPr>
            <w:tcW w:w="425" w:type="dxa"/>
            <w:tcBorders>
              <w:top w:val="single" w:sz="2" w:space="0" w:color="3D7FE0" w:themeColor="accent1"/>
              <w:bottom w:val="single" w:sz="2" w:space="0" w:color="3D7FE0" w:themeColor="accent1"/>
            </w:tcBorders>
            <w:shd w:val="clear" w:color="auto" w:fill="auto"/>
            <w:vAlign w:val="bottom"/>
          </w:tcPr>
          <w:p w14:paraId="5EAED90D" w14:textId="77777777" w:rsidR="006B43AF" w:rsidRPr="005907D3" w:rsidRDefault="006B43AF" w:rsidP="004203CD">
            <w:pPr>
              <w:pStyle w:val="TablesTColHeadsLeft"/>
              <w:rPr>
                <w:rFonts w:ascii="IBM Plex Sans Light" w:hAnsi="IBM Plex Sans Light"/>
                <w:highlight w:val="yellow"/>
              </w:rPr>
            </w:pPr>
          </w:p>
        </w:tc>
        <w:tc>
          <w:tcPr>
            <w:tcW w:w="992" w:type="dxa"/>
            <w:tcBorders>
              <w:top w:val="single" w:sz="2" w:space="0" w:color="3D7FE0" w:themeColor="accent1"/>
              <w:bottom w:val="single" w:sz="2" w:space="0" w:color="3D7FE0" w:themeColor="accent1"/>
              <w:right w:val="single" w:sz="2" w:space="0" w:color="3D7FE0" w:themeColor="accent1"/>
            </w:tcBorders>
            <w:shd w:val="clear" w:color="auto" w:fill="auto"/>
            <w:vAlign w:val="bottom"/>
          </w:tcPr>
          <w:p w14:paraId="74C9A126"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 xml:space="preserve">Properties </w:t>
            </w:r>
            <w:r w:rsidRPr="00DC13A1">
              <w:rPr>
                <w:rFonts w:ascii="IBM Plex Sans Light" w:hAnsi="IBM Plex Sans Light"/>
                <w:b/>
                <w:bCs/>
                <w:color w:val="3D7FE0" w:themeColor="accent1"/>
                <w:sz w:val="14"/>
                <w:szCs w:val="14"/>
              </w:rPr>
              <w:br/>
              <w:t>owned throughout 202</w:t>
            </w:r>
            <w:r>
              <w:rPr>
                <w:rFonts w:ascii="IBM Plex Sans Light" w:hAnsi="IBM Plex Sans Light"/>
                <w:b/>
                <w:bCs/>
                <w:color w:val="3D7FE0" w:themeColor="accent1"/>
                <w:sz w:val="14"/>
                <w:szCs w:val="14"/>
              </w:rPr>
              <w:t>2</w:t>
            </w:r>
            <w:r w:rsidRPr="00DC13A1">
              <w:rPr>
                <w:rFonts w:ascii="IBM Plex Sans Light" w:hAnsi="IBM Plex Sans Light"/>
                <w:b/>
                <w:bCs/>
                <w:color w:val="3D7FE0" w:themeColor="accent1"/>
                <w:sz w:val="14"/>
                <w:szCs w:val="14"/>
              </w:rPr>
              <w:t>/2</w:t>
            </w:r>
            <w:r>
              <w:rPr>
                <w:rFonts w:ascii="IBM Plex Sans Light" w:hAnsi="IBM Plex Sans Light"/>
                <w:b/>
                <w:bCs/>
                <w:color w:val="3D7FE0" w:themeColor="accent1"/>
                <w:sz w:val="14"/>
                <w:szCs w:val="14"/>
              </w:rPr>
              <w:t>3</w:t>
            </w:r>
            <w:r w:rsidRPr="00DC13A1">
              <w:rPr>
                <w:rFonts w:ascii="IBM Plex Sans Light" w:hAnsi="IBM Plex Sans Light"/>
                <w:b/>
                <w:bCs/>
                <w:color w:val="3D7FE0" w:themeColor="accent1"/>
                <w:sz w:val="14"/>
                <w:szCs w:val="14"/>
              </w:rPr>
              <w:t xml:space="preserve"> </w:t>
            </w:r>
          </w:p>
          <w:p w14:paraId="763813A8"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£m</w:t>
            </w:r>
          </w:p>
        </w:tc>
        <w:tc>
          <w:tcPr>
            <w:tcW w:w="992" w:type="dxa"/>
            <w:tcBorders>
              <w:top w:val="single" w:sz="2" w:space="0" w:color="3D7FE0" w:themeColor="accent1"/>
              <w:left w:val="single" w:sz="2" w:space="0" w:color="3D7FE0" w:themeColor="accent1"/>
              <w:bottom w:val="single" w:sz="2" w:space="0" w:color="3D7FE0" w:themeColor="accent1"/>
              <w:right w:val="single" w:sz="2" w:space="0" w:color="3D7FE0" w:themeColor="accent1"/>
            </w:tcBorders>
            <w:shd w:val="clear" w:color="auto" w:fill="auto"/>
            <w:tcMar>
              <w:right w:w="57" w:type="dxa"/>
            </w:tcMar>
            <w:vAlign w:val="bottom"/>
          </w:tcPr>
          <w:p w14:paraId="605700C0"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Change in</w:t>
            </w:r>
            <w:r w:rsidRPr="00DC13A1">
              <w:rPr>
                <w:rFonts w:ascii="IBM Plex Sans Light" w:hAnsi="IBM Plex Sans Light"/>
                <w:b/>
                <w:bCs/>
                <w:color w:val="3D7FE0" w:themeColor="accent1"/>
                <w:sz w:val="14"/>
                <w:szCs w:val="14"/>
              </w:rPr>
              <w:br/>
              <w:t>like-for-like NRI</w:t>
            </w:r>
            <w:r w:rsidRPr="00DC13A1">
              <w:rPr>
                <w:rFonts w:ascii="IBM Plex Sans Light" w:hAnsi="IBM Plex Sans Light"/>
                <w:b/>
                <w:bCs/>
                <w:color w:val="3D7FE0" w:themeColor="accent1"/>
                <w:sz w:val="14"/>
                <w:szCs w:val="14"/>
              </w:rPr>
              <w:br/>
              <w:t xml:space="preserve">%  </w:t>
            </w:r>
          </w:p>
        </w:tc>
        <w:tc>
          <w:tcPr>
            <w:tcW w:w="992" w:type="dxa"/>
            <w:tcBorders>
              <w:top w:val="single" w:sz="2" w:space="0" w:color="3D7FE0" w:themeColor="accent1"/>
              <w:left w:val="single" w:sz="2" w:space="0" w:color="3D7FE0" w:themeColor="accent1"/>
              <w:bottom w:val="single" w:sz="2" w:space="0" w:color="3D7FE0" w:themeColor="accent1"/>
            </w:tcBorders>
            <w:shd w:val="clear" w:color="auto" w:fill="auto"/>
            <w:vAlign w:val="bottom"/>
          </w:tcPr>
          <w:p w14:paraId="04C4B52C"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Disposals</w:t>
            </w:r>
            <w:r w:rsidRPr="00DC13A1">
              <w:rPr>
                <w:rFonts w:ascii="IBM Plex Sans Light" w:hAnsi="IBM Plex Sans Light"/>
                <w:b/>
                <w:bCs/>
                <w:color w:val="3D7FE0" w:themeColor="accent1"/>
                <w:sz w:val="14"/>
                <w:szCs w:val="14"/>
              </w:rPr>
              <w:br/>
              <w:t>£m</w:t>
            </w:r>
          </w:p>
        </w:tc>
        <w:tc>
          <w:tcPr>
            <w:tcW w:w="992" w:type="dxa"/>
            <w:tcBorders>
              <w:top w:val="single" w:sz="2" w:space="0" w:color="3D7FE0" w:themeColor="accent1"/>
              <w:bottom w:val="single" w:sz="2" w:space="0" w:color="3D7FE0" w:themeColor="accent1"/>
            </w:tcBorders>
            <w:shd w:val="clear" w:color="auto" w:fill="auto"/>
            <w:vAlign w:val="bottom"/>
          </w:tcPr>
          <w:p w14:paraId="09671049"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Developments</w:t>
            </w:r>
            <w:r w:rsidRPr="00DC13A1">
              <w:rPr>
                <w:rFonts w:ascii="IBM Plex Sans Light" w:hAnsi="IBM Plex Sans Light"/>
                <w:b/>
                <w:bCs/>
                <w:color w:val="3D7FE0" w:themeColor="accent1"/>
                <w:sz w:val="14"/>
                <w:szCs w:val="14"/>
              </w:rPr>
              <w:br/>
              <w:t>and other</w:t>
            </w:r>
            <w:r w:rsidRPr="00DC13A1">
              <w:rPr>
                <w:rFonts w:ascii="IBM Plex Sans Light" w:hAnsi="IBM Plex Sans Light"/>
                <w:b/>
                <w:bCs/>
                <w:color w:val="3D7FE0" w:themeColor="accent1"/>
                <w:sz w:val="14"/>
                <w:szCs w:val="14"/>
              </w:rPr>
              <w:br/>
              <w:t>£m</w:t>
            </w:r>
          </w:p>
        </w:tc>
        <w:tc>
          <w:tcPr>
            <w:tcW w:w="851" w:type="dxa"/>
            <w:tcBorders>
              <w:top w:val="single" w:sz="2" w:space="0" w:color="3D7FE0" w:themeColor="accent1"/>
              <w:bottom w:val="single" w:sz="2" w:space="0" w:color="3D7FE0" w:themeColor="accent1"/>
            </w:tcBorders>
            <w:shd w:val="clear" w:color="auto" w:fill="auto"/>
            <w:vAlign w:val="bottom"/>
          </w:tcPr>
          <w:p w14:paraId="51E875F1"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 xml:space="preserve">Total </w:t>
            </w:r>
          </w:p>
          <w:p w14:paraId="5E018BF2"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 xml:space="preserve">Adjusted </w:t>
            </w:r>
          </w:p>
          <w:p w14:paraId="7C62A43E"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 xml:space="preserve">NRI </w:t>
            </w:r>
            <w:r w:rsidRPr="00DC13A1">
              <w:rPr>
                <w:rFonts w:ascii="IBM Plex Sans Light" w:hAnsi="IBM Plex Sans Light"/>
                <w:b/>
                <w:bCs/>
                <w:color w:val="3D7FE0" w:themeColor="accent1"/>
                <w:sz w:val="14"/>
                <w:szCs w:val="14"/>
              </w:rPr>
              <w:br/>
              <w:t>£m</w:t>
            </w:r>
          </w:p>
        </w:tc>
        <w:tc>
          <w:tcPr>
            <w:tcW w:w="992" w:type="dxa"/>
            <w:tcBorders>
              <w:top w:val="single" w:sz="2" w:space="0" w:color="3D7FE0" w:themeColor="accent1"/>
              <w:bottom w:val="single" w:sz="2" w:space="0" w:color="3D7FE0" w:themeColor="accent1"/>
            </w:tcBorders>
            <w:vAlign w:val="bottom"/>
          </w:tcPr>
          <w:p w14:paraId="6F43DCDA" w14:textId="77777777" w:rsidR="006B43AF" w:rsidRPr="00DC13A1" w:rsidRDefault="006B43AF" w:rsidP="004203CD">
            <w:pPr>
              <w:pStyle w:val="TablesTColHead"/>
              <w:rPr>
                <w:rFonts w:ascii="IBM Plex Sans Light" w:hAnsi="IBM Plex Sans Light"/>
                <w:b/>
                <w:bCs/>
                <w:color w:val="3D7FE0" w:themeColor="accent1"/>
                <w:sz w:val="14"/>
                <w:szCs w:val="14"/>
              </w:rPr>
            </w:pPr>
            <w:r w:rsidRPr="00DC13A1">
              <w:rPr>
                <w:rFonts w:ascii="IBM Plex Sans Light" w:hAnsi="IBM Plex Sans Light"/>
                <w:b/>
                <w:bCs/>
                <w:color w:val="3D7FE0" w:themeColor="accent1"/>
                <w:sz w:val="14"/>
                <w:szCs w:val="14"/>
              </w:rPr>
              <w:t xml:space="preserve">Change in provision </w:t>
            </w:r>
            <w:r w:rsidRPr="00DC13A1">
              <w:rPr>
                <w:rFonts w:ascii="IBM Plex Sans Light" w:hAnsi="IBM Plex Sans Light"/>
                <w:b/>
                <w:bCs/>
                <w:color w:val="3D7FE0" w:themeColor="accent1"/>
                <w:sz w:val="14"/>
                <w:szCs w:val="14"/>
              </w:rPr>
              <w:br/>
              <w:t>£m</w:t>
            </w:r>
          </w:p>
        </w:tc>
        <w:tc>
          <w:tcPr>
            <w:tcW w:w="992" w:type="dxa"/>
            <w:tcBorders>
              <w:top w:val="single" w:sz="2" w:space="0" w:color="3D7FE0" w:themeColor="accent1"/>
              <w:bottom w:val="single" w:sz="2" w:space="0" w:color="3D7FE0" w:themeColor="accent1"/>
            </w:tcBorders>
            <w:vAlign w:val="bottom"/>
          </w:tcPr>
          <w:p w14:paraId="197C7AA1" w14:textId="77777777" w:rsidR="006B43AF" w:rsidRPr="005907D3" w:rsidRDefault="006B43AF" w:rsidP="004203CD">
            <w:pPr>
              <w:pStyle w:val="TablesTColHead"/>
              <w:rPr>
                <w:rFonts w:ascii="IBM Plex Sans Light" w:hAnsi="IBM Plex Sans Light"/>
                <w:b/>
                <w:color w:val="3D7FE0" w:themeColor="accent1"/>
                <w:sz w:val="14"/>
                <w:szCs w:val="14"/>
              </w:rPr>
            </w:pPr>
            <w:r w:rsidRPr="005907D3">
              <w:rPr>
                <w:rFonts w:ascii="IBM Plex Sans Light" w:hAnsi="IBM Plex Sans Light"/>
                <w:b/>
                <w:color w:val="3D7FE0" w:themeColor="accent1"/>
                <w:sz w:val="14"/>
                <w:szCs w:val="14"/>
              </w:rPr>
              <w:t xml:space="preserve">Total </w:t>
            </w:r>
          </w:p>
          <w:p w14:paraId="57792776" w14:textId="77777777" w:rsidR="006B43AF" w:rsidRPr="005907D3" w:rsidRDefault="006B43AF" w:rsidP="004203CD">
            <w:pPr>
              <w:pStyle w:val="TablesTColHead"/>
              <w:rPr>
                <w:rFonts w:ascii="IBM Plex Sans Light" w:hAnsi="IBM Plex Sans Light"/>
                <w:b/>
                <w:color w:val="3D7FE0" w:themeColor="accent1"/>
                <w:sz w:val="14"/>
                <w:szCs w:val="14"/>
              </w:rPr>
            </w:pPr>
            <w:r w:rsidRPr="005907D3">
              <w:rPr>
                <w:rFonts w:ascii="IBM Plex Sans Light" w:hAnsi="IBM Plex Sans Light"/>
                <w:b/>
                <w:color w:val="3D7FE0" w:themeColor="accent1"/>
                <w:sz w:val="14"/>
                <w:szCs w:val="14"/>
              </w:rPr>
              <w:t xml:space="preserve">NRI </w:t>
            </w:r>
            <w:r w:rsidRPr="005907D3">
              <w:rPr>
                <w:rFonts w:ascii="IBM Plex Sans Light" w:hAnsi="IBM Plex Sans Light"/>
                <w:b/>
                <w:color w:val="3D7FE0" w:themeColor="accent1"/>
                <w:sz w:val="14"/>
                <w:szCs w:val="14"/>
              </w:rPr>
              <w:br/>
              <w:t>£m</w:t>
            </w:r>
          </w:p>
        </w:tc>
      </w:tr>
      <w:tr w:rsidR="006B43AF" w:rsidRPr="005907D3" w14:paraId="271D66C4" w14:textId="77777777" w:rsidTr="004203CD">
        <w:trPr>
          <w:trHeight w:val="20"/>
        </w:trPr>
        <w:tc>
          <w:tcPr>
            <w:tcW w:w="2694" w:type="dxa"/>
            <w:tcBorders>
              <w:top w:val="single" w:sz="2" w:space="0" w:color="3D7FE0" w:themeColor="accent1"/>
            </w:tcBorders>
            <w:shd w:val="clear" w:color="auto" w:fill="auto"/>
            <w:vAlign w:val="bottom"/>
          </w:tcPr>
          <w:p w14:paraId="38C3FC9F"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UK</w:t>
            </w:r>
          </w:p>
        </w:tc>
        <w:tc>
          <w:tcPr>
            <w:tcW w:w="425" w:type="dxa"/>
            <w:tcBorders>
              <w:top w:val="single" w:sz="2" w:space="0" w:color="3D7FE0" w:themeColor="accent1"/>
            </w:tcBorders>
            <w:shd w:val="clear" w:color="auto" w:fill="auto"/>
            <w:vAlign w:val="bottom"/>
          </w:tcPr>
          <w:p w14:paraId="51BF357B"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tcBorders>
              <w:top w:val="single" w:sz="2" w:space="0" w:color="3D7FE0" w:themeColor="accent1"/>
              <w:right w:val="single" w:sz="2" w:space="0" w:color="3D7FE0" w:themeColor="accent1"/>
            </w:tcBorders>
            <w:shd w:val="clear" w:color="auto" w:fill="auto"/>
            <w:vAlign w:val="bottom"/>
          </w:tcPr>
          <w:p w14:paraId="2F7381BB"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73.5</w:t>
            </w:r>
          </w:p>
        </w:tc>
        <w:tc>
          <w:tcPr>
            <w:tcW w:w="992" w:type="dxa"/>
            <w:tcBorders>
              <w:top w:val="single" w:sz="2" w:space="0" w:color="3D7FE0" w:themeColor="accent1"/>
              <w:left w:val="single" w:sz="2" w:space="0" w:color="3D7FE0" w:themeColor="accent1"/>
              <w:right w:val="single" w:sz="2" w:space="0" w:color="3D7FE0" w:themeColor="accent1"/>
            </w:tcBorders>
            <w:shd w:val="clear" w:color="auto" w:fill="auto"/>
            <w:tcMar>
              <w:right w:w="57" w:type="dxa"/>
            </w:tcMar>
            <w:vAlign w:val="bottom"/>
          </w:tcPr>
          <w:p w14:paraId="7D44B8CC"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3.2</w:t>
            </w:r>
          </w:p>
        </w:tc>
        <w:tc>
          <w:tcPr>
            <w:tcW w:w="992" w:type="dxa"/>
            <w:tcBorders>
              <w:top w:val="single" w:sz="2" w:space="0" w:color="3D7FE0" w:themeColor="accent1"/>
              <w:left w:val="single" w:sz="2" w:space="0" w:color="3D7FE0" w:themeColor="accent1"/>
            </w:tcBorders>
            <w:shd w:val="clear" w:color="auto" w:fill="auto"/>
            <w:vAlign w:val="bottom"/>
          </w:tcPr>
          <w:p w14:paraId="50727075"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tcBorders>
              <w:top w:val="single" w:sz="2" w:space="0" w:color="3D7FE0" w:themeColor="accent1"/>
            </w:tcBorders>
            <w:shd w:val="clear" w:color="auto" w:fill="auto"/>
            <w:vAlign w:val="bottom"/>
          </w:tcPr>
          <w:p w14:paraId="51510634"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(0.6)</w:t>
            </w:r>
          </w:p>
        </w:tc>
        <w:tc>
          <w:tcPr>
            <w:tcW w:w="851" w:type="dxa"/>
            <w:tcBorders>
              <w:top w:val="single" w:sz="2" w:space="0" w:color="3D7FE0" w:themeColor="accent1"/>
            </w:tcBorders>
            <w:shd w:val="clear" w:color="auto" w:fill="auto"/>
            <w:vAlign w:val="bottom"/>
          </w:tcPr>
          <w:p w14:paraId="2C67E098"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72.9</w:t>
            </w:r>
          </w:p>
        </w:tc>
        <w:tc>
          <w:tcPr>
            <w:tcW w:w="992" w:type="dxa"/>
            <w:tcBorders>
              <w:top w:val="single" w:sz="2" w:space="0" w:color="3D7FE0" w:themeColor="accent1"/>
            </w:tcBorders>
            <w:shd w:val="clear" w:color="auto" w:fill="auto"/>
            <w:vAlign w:val="bottom"/>
          </w:tcPr>
          <w:p w14:paraId="281FE9AF"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(0.3)</w:t>
            </w:r>
          </w:p>
        </w:tc>
        <w:tc>
          <w:tcPr>
            <w:tcW w:w="992" w:type="dxa"/>
            <w:tcBorders>
              <w:top w:val="single" w:sz="2" w:space="0" w:color="3D7FE0" w:themeColor="accent1"/>
            </w:tcBorders>
            <w:shd w:val="clear" w:color="auto" w:fill="auto"/>
            <w:vAlign w:val="bottom"/>
          </w:tcPr>
          <w:p w14:paraId="6B549678"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72.6</w:t>
            </w:r>
          </w:p>
        </w:tc>
      </w:tr>
      <w:tr w:rsidR="006B43AF" w:rsidRPr="005907D3" w14:paraId="34A6CA51" w14:textId="77777777" w:rsidTr="004203CD">
        <w:trPr>
          <w:trHeight w:val="20"/>
        </w:trPr>
        <w:tc>
          <w:tcPr>
            <w:tcW w:w="2694" w:type="dxa"/>
            <w:shd w:val="clear" w:color="auto" w:fill="auto"/>
            <w:vAlign w:val="bottom"/>
          </w:tcPr>
          <w:p w14:paraId="2DFC39B5"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France</w:t>
            </w:r>
          </w:p>
        </w:tc>
        <w:tc>
          <w:tcPr>
            <w:tcW w:w="425" w:type="dxa"/>
            <w:shd w:val="clear" w:color="auto" w:fill="auto"/>
            <w:vAlign w:val="bottom"/>
          </w:tcPr>
          <w:p w14:paraId="403E99B0"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tcBorders>
              <w:right w:val="single" w:sz="2" w:space="0" w:color="3D7FE0" w:themeColor="accent1"/>
            </w:tcBorders>
            <w:shd w:val="clear" w:color="auto" w:fill="auto"/>
            <w:vAlign w:val="bottom"/>
          </w:tcPr>
          <w:p w14:paraId="3C9AD2F9"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28.1</w:t>
            </w:r>
          </w:p>
        </w:tc>
        <w:tc>
          <w:tcPr>
            <w:tcW w:w="992" w:type="dxa"/>
            <w:tcBorders>
              <w:left w:val="single" w:sz="2" w:space="0" w:color="3D7FE0" w:themeColor="accent1"/>
              <w:right w:val="single" w:sz="2" w:space="0" w:color="3D7FE0" w:themeColor="accent1"/>
            </w:tcBorders>
            <w:shd w:val="clear" w:color="auto" w:fill="auto"/>
            <w:tcMar>
              <w:right w:w="57" w:type="dxa"/>
            </w:tcMar>
            <w:vAlign w:val="bottom"/>
          </w:tcPr>
          <w:p w14:paraId="1A9C72BA"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1.8</w:t>
            </w:r>
          </w:p>
        </w:tc>
        <w:tc>
          <w:tcPr>
            <w:tcW w:w="992" w:type="dxa"/>
            <w:tcBorders>
              <w:left w:val="single" w:sz="2" w:space="0" w:color="3D7FE0" w:themeColor="accent1"/>
            </w:tcBorders>
            <w:shd w:val="clear" w:color="auto" w:fill="auto"/>
            <w:vAlign w:val="bottom"/>
          </w:tcPr>
          <w:p w14:paraId="7EE9FBFE"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3.4</w:t>
            </w:r>
          </w:p>
        </w:tc>
        <w:tc>
          <w:tcPr>
            <w:tcW w:w="992" w:type="dxa"/>
            <w:shd w:val="clear" w:color="auto" w:fill="auto"/>
            <w:vAlign w:val="bottom"/>
          </w:tcPr>
          <w:p w14:paraId="717548D7"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17.9</w:t>
            </w:r>
          </w:p>
        </w:tc>
        <w:tc>
          <w:tcPr>
            <w:tcW w:w="851" w:type="dxa"/>
            <w:shd w:val="clear" w:color="auto" w:fill="auto"/>
            <w:vAlign w:val="bottom"/>
          </w:tcPr>
          <w:p w14:paraId="3B784CD4"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49.4</w:t>
            </w:r>
          </w:p>
        </w:tc>
        <w:tc>
          <w:tcPr>
            <w:tcW w:w="992" w:type="dxa"/>
            <w:shd w:val="clear" w:color="auto" w:fill="auto"/>
            <w:vAlign w:val="bottom"/>
          </w:tcPr>
          <w:p w14:paraId="11282A13"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shd w:val="clear" w:color="auto" w:fill="auto"/>
            <w:vAlign w:val="bottom"/>
          </w:tcPr>
          <w:p w14:paraId="4CE2D233"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49.4</w:t>
            </w:r>
          </w:p>
        </w:tc>
      </w:tr>
      <w:tr w:rsidR="006B43AF" w:rsidRPr="005907D3" w14:paraId="3F40921F" w14:textId="77777777" w:rsidTr="004203CD">
        <w:trPr>
          <w:trHeight w:val="20"/>
        </w:trPr>
        <w:tc>
          <w:tcPr>
            <w:tcW w:w="2694" w:type="dxa"/>
            <w:tcBorders>
              <w:bottom w:val="single" w:sz="2" w:space="0" w:color="3D7FE0" w:themeColor="accent1"/>
            </w:tcBorders>
            <w:shd w:val="clear" w:color="auto" w:fill="auto"/>
            <w:vAlign w:val="bottom"/>
          </w:tcPr>
          <w:p w14:paraId="7DAC4C74"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Ireland</w:t>
            </w:r>
          </w:p>
        </w:tc>
        <w:tc>
          <w:tcPr>
            <w:tcW w:w="425" w:type="dxa"/>
            <w:tcBorders>
              <w:bottom w:val="single" w:sz="2" w:space="0" w:color="3D7FE0" w:themeColor="accent1"/>
            </w:tcBorders>
            <w:shd w:val="clear" w:color="auto" w:fill="auto"/>
            <w:vAlign w:val="bottom"/>
          </w:tcPr>
          <w:p w14:paraId="55FE05D6"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tcBorders>
              <w:bottom w:val="single" w:sz="2" w:space="0" w:color="3D7FE0" w:themeColor="accent1"/>
              <w:right w:val="single" w:sz="2" w:space="0" w:color="3D7FE0" w:themeColor="accent1"/>
            </w:tcBorders>
            <w:shd w:val="clear" w:color="auto" w:fill="auto"/>
            <w:vAlign w:val="bottom"/>
          </w:tcPr>
          <w:p w14:paraId="0D32BAC9"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36.3</w:t>
            </w:r>
          </w:p>
        </w:tc>
        <w:tc>
          <w:tcPr>
            <w:tcW w:w="992" w:type="dxa"/>
            <w:tcBorders>
              <w:left w:val="single" w:sz="2" w:space="0" w:color="3D7FE0" w:themeColor="accent1"/>
              <w:bottom w:val="single" w:sz="2" w:space="0" w:color="3D7FE0" w:themeColor="accent1"/>
              <w:right w:val="single" w:sz="2" w:space="0" w:color="3D7FE0" w:themeColor="accent1"/>
            </w:tcBorders>
            <w:shd w:val="clear" w:color="auto" w:fill="auto"/>
            <w:tcMar>
              <w:right w:w="57" w:type="dxa"/>
            </w:tcMar>
            <w:vAlign w:val="bottom"/>
          </w:tcPr>
          <w:p w14:paraId="6E3474E7"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6.0</w:t>
            </w:r>
          </w:p>
        </w:tc>
        <w:tc>
          <w:tcPr>
            <w:tcW w:w="992" w:type="dxa"/>
            <w:tcBorders>
              <w:left w:val="single" w:sz="2" w:space="0" w:color="3D7FE0" w:themeColor="accent1"/>
              <w:bottom w:val="single" w:sz="2" w:space="0" w:color="3D7FE0" w:themeColor="accent1"/>
            </w:tcBorders>
            <w:shd w:val="clear" w:color="auto" w:fill="auto"/>
            <w:vAlign w:val="bottom"/>
          </w:tcPr>
          <w:p w14:paraId="6D75B17C"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tcBorders>
              <w:bottom w:val="single" w:sz="2" w:space="0" w:color="3D7FE0" w:themeColor="accent1"/>
            </w:tcBorders>
            <w:shd w:val="clear" w:color="auto" w:fill="auto"/>
            <w:vAlign w:val="bottom"/>
          </w:tcPr>
          <w:p w14:paraId="5726CDB8"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851" w:type="dxa"/>
            <w:tcBorders>
              <w:bottom w:val="single" w:sz="2" w:space="0" w:color="3D7FE0" w:themeColor="accent1"/>
            </w:tcBorders>
            <w:shd w:val="clear" w:color="auto" w:fill="auto"/>
            <w:vAlign w:val="bottom"/>
          </w:tcPr>
          <w:p w14:paraId="06AEE670"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36.3</w:t>
            </w:r>
          </w:p>
        </w:tc>
        <w:tc>
          <w:tcPr>
            <w:tcW w:w="992" w:type="dxa"/>
            <w:tcBorders>
              <w:bottom w:val="single" w:sz="2" w:space="0" w:color="3D7FE0" w:themeColor="accent1"/>
            </w:tcBorders>
            <w:shd w:val="clear" w:color="auto" w:fill="auto"/>
            <w:vAlign w:val="bottom"/>
          </w:tcPr>
          <w:p w14:paraId="7ECAFAF3"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tcBorders>
              <w:bottom w:val="single" w:sz="2" w:space="0" w:color="3D7FE0" w:themeColor="accent1"/>
            </w:tcBorders>
            <w:shd w:val="clear" w:color="auto" w:fill="auto"/>
            <w:vAlign w:val="bottom"/>
          </w:tcPr>
          <w:p w14:paraId="4C0A392F"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36.3</w:t>
            </w:r>
          </w:p>
        </w:tc>
      </w:tr>
      <w:tr w:rsidR="006B43AF" w:rsidRPr="005907D3" w14:paraId="5F9BB160" w14:textId="77777777" w:rsidTr="004203CD">
        <w:trPr>
          <w:trHeight w:val="20"/>
        </w:trPr>
        <w:tc>
          <w:tcPr>
            <w:tcW w:w="2694" w:type="dxa"/>
            <w:tcBorders>
              <w:top w:val="single" w:sz="2" w:space="0" w:color="3D7FE0" w:themeColor="accent1"/>
            </w:tcBorders>
            <w:shd w:val="clear" w:color="auto" w:fill="auto"/>
            <w:vAlign w:val="bottom"/>
          </w:tcPr>
          <w:p w14:paraId="2B328522" w14:textId="77777777" w:rsidR="006B43AF" w:rsidRPr="005907D3" w:rsidRDefault="006B43AF" w:rsidP="004203CD">
            <w:pPr>
              <w:pStyle w:val="TablesTTextBold"/>
              <w:spacing w:line="276" w:lineRule="auto"/>
              <w:rPr>
                <w:rFonts w:ascii="IBM Plex Sans Light" w:hAnsi="IBM Plex Sans Light"/>
                <w:b/>
                <w:bCs/>
                <w:color w:val="3D7FE0" w:themeColor="accent1"/>
                <w:sz w:val="18"/>
                <w:szCs w:val="18"/>
              </w:rPr>
            </w:pPr>
            <w:r w:rsidRPr="005907D3">
              <w:rPr>
                <w:rFonts w:ascii="IBM Plex Sans Light" w:hAnsi="IBM Plex Sans Light"/>
                <w:b/>
                <w:bCs/>
                <w:color w:val="3D7FE0" w:themeColor="accent1"/>
                <w:sz w:val="18"/>
                <w:szCs w:val="18"/>
              </w:rPr>
              <w:t>Flagship destinations</w:t>
            </w:r>
          </w:p>
        </w:tc>
        <w:tc>
          <w:tcPr>
            <w:tcW w:w="425" w:type="dxa"/>
            <w:tcBorders>
              <w:top w:val="single" w:sz="2" w:space="0" w:color="3D7FE0" w:themeColor="accent1"/>
            </w:tcBorders>
            <w:shd w:val="clear" w:color="auto" w:fill="auto"/>
            <w:vAlign w:val="bottom"/>
          </w:tcPr>
          <w:p w14:paraId="4C2A22F9" w14:textId="77777777" w:rsidR="006B43AF" w:rsidRPr="005907D3" w:rsidRDefault="006B43AF" w:rsidP="004203CD">
            <w:pPr>
              <w:pStyle w:val="TablesTTextBold"/>
              <w:spacing w:line="276" w:lineRule="auto"/>
              <w:rPr>
                <w:rFonts w:ascii="IBM Plex Sans Light" w:hAnsi="IBM Plex Sans Light"/>
                <w:b/>
                <w:bCs/>
                <w:color w:val="3D7FE0" w:themeColor="accent1"/>
                <w:sz w:val="18"/>
                <w:szCs w:val="18"/>
              </w:rPr>
            </w:pPr>
          </w:p>
        </w:tc>
        <w:tc>
          <w:tcPr>
            <w:tcW w:w="992" w:type="dxa"/>
            <w:tcBorders>
              <w:top w:val="single" w:sz="2" w:space="0" w:color="3D7FE0" w:themeColor="accent1"/>
              <w:right w:val="single" w:sz="2" w:space="0" w:color="3D7FE0" w:themeColor="accent1"/>
            </w:tcBorders>
            <w:shd w:val="clear" w:color="auto" w:fill="auto"/>
            <w:vAlign w:val="bottom"/>
          </w:tcPr>
          <w:p w14:paraId="078C7816"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137.9</w:t>
            </w:r>
          </w:p>
        </w:tc>
        <w:tc>
          <w:tcPr>
            <w:tcW w:w="992" w:type="dxa"/>
            <w:tcBorders>
              <w:top w:val="single" w:sz="2" w:space="0" w:color="3D7FE0" w:themeColor="accent1"/>
              <w:left w:val="single" w:sz="2" w:space="0" w:color="3D7FE0" w:themeColor="accent1"/>
              <w:right w:val="single" w:sz="2" w:space="0" w:color="3D7FE0" w:themeColor="accent1"/>
            </w:tcBorders>
            <w:shd w:val="clear" w:color="auto" w:fill="auto"/>
            <w:tcMar>
              <w:right w:w="57" w:type="dxa"/>
            </w:tcMar>
            <w:vAlign w:val="bottom"/>
          </w:tcPr>
          <w:p w14:paraId="32E79E5D"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3.6</w:t>
            </w:r>
          </w:p>
        </w:tc>
        <w:tc>
          <w:tcPr>
            <w:tcW w:w="992" w:type="dxa"/>
            <w:tcBorders>
              <w:top w:val="single" w:sz="2" w:space="0" w:color="3D7FE0" w:themeColor="accent1"/>
              <w:left w:val="single" w:sz="2" w:space="0" w:color="3D7FE0" w:themeColor="accent1"/>
            </w:tcBorders>
            <w:shd w:val="clear" w:color="auto" w:fill="auto"/>
            <w:vAlign w:val="bottom"/>
          </w:tcPr>
          <w:p w14:paraId="7AB31C5D"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3.4</w:t>
            </w:r>
          </w:p>
        </w:tc>
        <w:tc>
          <w:tcPr>
            <w:tcW w:w="992" w:type="dxa"/>
            <w:tcBorders>
              <w:top w:val="single" w:sz="2" w:space="0" w:color="3D7FE0" w:themeColor="accent1"/>
            </w:tcBorders>
            <w:shd w:val="clear" w:color="auto" w:fill="auto"/>
            <w:vAlign w:val="bottom"/>
          </w:tcPr>
          <w:p w14:paraId="44542009"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17.3</w:t>
            </w:r>
          </w:p>
        </w:tc>
        <w:tc>
          <w:tcPr>
            <w:tcW w:w="851" w:type="dxa"/>
            <w:tcBorders>
              <w:top w:val="single" w:sz="2" w:space="0" w:color="3D7FE0" w:themeColor="accent1"/>
            </w:tcBorders>
            <w:shd w:val="clear" w:color="auto" w:fill="auto"/>
            <w:vAlign w:val="bottom"/>
          </w:tcPr>
          <w:p w14:paraId="6A5DC3AC"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158.6</w:t>
            </w:r>
          </w:p>
        </w:tc>
        <w:tc>
          <w:tcPr>
            <w:tcW w:w="992" w:type="dxa"/>
            <w:tcBorders>
              <w:top w:val="single" w:sz="2" w:space="0" w:color="3D7FE0" w:themeColor="accent1"/>
            </w:tcBorders>
            <w:shd w:val="clear" w:color="auto" w:fill="auto"/>
            <w:vAlign w:val="bottom"/>
          </w:tcPr>
          <w:p w14:paraId="2A28857D"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(0.3)</w:t>
            </w:r>
          </w:p>
        </w:tc>
        <w:tc>
          <w:tcPr>
            <w:tcW w:w="992" w:type="dxa"/>
            <w:tcBorders>
              <w:top w:val="single" w:sz="2" w:space="0" w:color="3D7FE0" w:themeColor="accent1"/>
            </w:tcBorders>
            <w:shd w:val="clear" w:color="auto" w:fill="auto"/>
            <w:vAlign w:val="bottom"/>
          </w:tcPr>
          <w:p w14:paraId="6F95C461"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158.3</w:t>
            </w:r>
          </w:p>
        </w:tc>
      </w:tr>
      <w:tr w:rsidR="006B43AF" w:rsidRPr="005907D3" w14:paraId="60FA39FE" w14:textId="77777777" w:rsidTr="004203CD">
        <w:trPr>
          <w:trHeight w:val="20"/>
        </w:trPr>
        <w:tc>
          <w:tcPr>
            <w:tcW w:w="2694" w:type="dxa"/>
            <w:shd w:val="clear" w:color="auto" w:fill="auto"/>
            <w:vAlign w:val="bottom"/>
          </w:tcPr>
          <w:p w14:paraId="72F09EB1"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Developments and other</w:t>
            </w:r>
          </w:p>
        </w:tc>
        <w:tc>
          <w:tcPr>
            <w:tcW w:w="425" w:type="dxa"/>
            <w:shd w:val="clear" w:color="auto" w:fill="auto"/>
            <w:vAlign w:val="bottom"/>
          </w:tcPr>
          <w:p w14:paraId="1404DEF2"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tcBorders>
              <w:right w:val="single" w:sz="2" w:space="0" w:color="3D7FE0" w:themeColor="accent1"/>
            </w:tcBorders>
            <w:shd w:val="clear" w:color="auto" w:fill="auto"/>
            <w:vAlign w:val="bottom"/>
          </w:tcPr>
          <w:p w14:paraId="19E99A18"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tcBorders>
              <w:left w:val="single" w:sz="2" w:space="0" w:color="3D7FE0" w:themeColor="accent1"/>
              <w:right w:val="single" w:sz="2" w:space="0" w:color="3D7FE0" w:themeColor="accent1"/>
            </w:tcBorders>
            <w:shd w:val="clear" w:color="auto" w:fill="auto"/>
            <w:tcMar>
              <w:right w:w="57" w:type="dxa"/>
            </w:tcMar>
            <w:vAlign w:val="bottom"/>
          </w:tcPr>
          <w:p w14:paraId="31C95CB1"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n/a</w:t>
            </w:r>
          </w:p>
        </w:tc>
        <w:tc>
          <w:tcPr>
            <w:tcW w:w="992" w:type="dxa"/>
            <w:tcBorders>
              <w:left w:val="single" w:sz="2" w:space="0" w:color="3D7FE0" w:themeColor="accent1"/>
            </w:tcBorders>
            <w:shd w:val="clear" w:color="auto" w:fill="auto"/>
            <w:vAlign w:val="bottom"/>
          </w:tcPr>
          <w:p w14:paraId="14F5C134"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shd w:val="clear" w:color="auto" w:fill="auto"/>
            <w:vAlign w:val="bottom"/>
          </w:tcPr>
          <w:p w14:paraId="3301A5A2"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8.9</w:t>
            </w:r>
          </w:p>
        </w:tc>
        <w:tc>
          <w:tcPr>
            <w:tcW w:w="851" w:type="dxa"/>
            <w:shd w:val="clear" w:color="auto" w:fill="auto"/>
            <w:vAlign w:val="bottom"/>
          </w:tcPr>
          <w:p w14:paraId="613C051A"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8.9</w:t>
            </w:r>
          </w:p>
        </w:tc>
        <w:tc>
          <w:tcPr>
            <w:tcW w:w="992" w:type="dxa"/>
            <w:shd w:val="clear" w:color="auto" w:fill="auto"/>
            <w:vAlign w:val="bottom"/>
          </w:tcPr>
          <w:p w14:paraId="569C9AB3"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w:t>
            </w:r>
          </w:p>
        </w:tc>
        <w:tc>
          <w:tcPr>
            <w:tcW w:w="992" w:type="dxa"/>
            <w:shd w:val="clear" w:color="auto" w:fill="auto"/>
            <w:vAlign w:val="bottom"/>
          </w:tcPr>
          <w:p w14:paraId="50E7A037"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8.9</w:t>
            </w:r>
          </w:p>
        </w:tc>
      </w:tr>
      <w:tr w:rsidR="006B43AF" w:rsidRPr="005907D3" w14:paraId="335BF80E" w14:textId="77777777" w:rsidTr="004203CD">
        <w:trPr>
          <w:trHeight w:val="20"/>
        </w:trPr>
        <w:tc>
          <w:tcPr>
            <w:tcW w:w="2694" w:type="dxa"/>
            <w:tcBorders>
              <w:top w:val="single" w:sz="2" w:space="0" w:color="3D7FE0" w:themeColor="accent1"/>
              <w:bottom w:val="single" w:sz="8" w:space="0" w:color="3D7FE0" w:themeColor="accent1"/>
            </w:tcBorders>
            <w:shd w:val="clear" w:color="auto" w:fill="auto"/>
            <w:vAlign w:val="bottom"/>
          </w:tcPr>
          <w:p w14:paraId="7A8FA135" w14:textId="77777777" w:rsidR="006B43AF" w:rsidRPr="005907D3" w:rsidRDefault="006B43AF" w:rsidP="004203CD">
            <w:pPr>
              <w:pStyle w:val="TablesTTextBold"/>
              <w:spacing w:line="276" w:lineRule="auto"/>
              <w:rPr>
                <w:rFonts w:ascii="IBM Plex Sans Light" w:hAnsi="IBM Plex Sans Light"/>
                <w:b/>
                <w:bCs/>
                <w:color w:val="3D7FE0" w:themeColor="accent1"/>
                <w:sz w:val="18"/>
                <w:szCs w:val="18"/>
              </w:rPr>
            </w:pPr>
            <w:r w:rsidRPr="005907D3">
              <w:rPr>
                <w:rFonts w:ascii="IBM Plex Sans Light" w:hAnsi="IBM Plex Sans Light"/>
                <w:b/>
                <w:bCs/>
                <w:color w:val="3D7FE0" w:themeColor="accent1"/>
                <w:sz w:val="18"/>
                <w:szCs w:val="18"/>
              </w:rPr>
              <w:t>Managed portfolio</w:t>
            </w:r>
          </w:p>
        </w:tc>
        <w:tc>
          <w:tcPr>
            <w:tcW w:w="425" w:type="dxa"/>
            <w:tcBorders>
              <w:top w:val="single" w:sz="2" w:space="0" w:color="3D7FE0" w:themeColor="accent1"/>
              <w:bottom w:val="single" w:sz="8" w:space="0" w:color="3D7FE0" w:themeColor="accent1"/>
            </w:tcBorders>
            <w:shd w:val="clear" w:color="auto" w:fill="auto"/>
            <w:vAlign w:val="bottom"/>
          </w:tcPr>
          <w:p w14:paraId="73286995" w14:textId="77777777" w:rsidR="006B43AF" w:rsidRPr="005907D3" w:rsidRDefault="006B43AF" w:rsidP="004203CD">
            <w:pPr>
              <w:pStyle w:val="TablesTTextBold"/>
              <w:spacing w:line="276" w:lineRule="auto"/>
              <w:jc w:val="center"/>
              <w:rPr>
                <w:rFonts w:ascii="IBM Plex Sans Light" w:hAnsi="IBM Plex Sans Light"/>
                <w:sz w:val="18"/>
                <w:szCs w:val="18"/>
              </w:rPr>
            </w:pPr>
          </w:p>
        </w:tc>
        <w:tc>
          <w:tcPr>
            <w:tcW w:w="992" w:type="dxa"/>
            <w:tcBorders>
              <w:top w:val="single" w:sz="2" w:space="0" w:color="3D7FE0" w:themeColor="accent1"/>
              <w:bottom w:val="single" w:sz="8" w:space="0" w:color="3D7FE0" w:themeColor="accent1"/>
              <w:right w:val="single" w:sz="2" w:space="0" w:color="3D7FE0" w:themeColor="accent1"/>
            </w:tcBorders>
            <w:shd w:val="clear" w:color="auto" w:fill="auto"/>
            <w:vAlign w:val="bottom"/>
          </w:tcPr>
          <w:p w14:paraId="706778BB"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137.9</w:t>
            </w:r>
          </w:p>
        </w:tc>
        <w:tc>
          <w:tcPr>
            <w:tcW w:w="992" w:type="dxa"/>
            <w:tcBorders>
              <w:top w:val="single" w:sz="2" w:space="0" w:color="3D7FE0" w:themeColor="accent1"/>
              <w:left w:val="single" w:sz="2" w:space="0" w:color="3D7FE0" w:themeColor="accent1"/>
              <w:bottom w:val="single" w:sz="8" w:space="0" w:color="3D7FE0" w:themeColor="accent1"/>
              <w:right w:val="single" w:sz="2" w:space="0" w:color="3D7FE0" w:themeColor="accent1"/>
            </w:tcBorders>
            <w:shd w:val="clear" w:color="auto" w:fill="auto"/>
            <w:tcMar>
              <w:right w:w="57" w:type="dxa"/>
            </w:tcMar>
            <w:vAlign w:val="bottom"/>
          </w:tcPr>
          <w:p w14:paraId="4C8F84A9"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3.6</w:t>
            </w:r>
          </w:p>
        </w:tc>
        <w:tc>
          <w:tcPr>
            <w:tcW w:w="992" w:type="dxa"/>
            <w:tcBorders>
              <w:top w:val="single" w:sz="2" w:space="0" w:color="3D7FE0" w:themeColor="accent1"/>
              <w:left w:val="single" w:sz="2" w:space="0" w:color="3D7FE0" w:themeColor="accent1"/>
              <w:bottom w:val="single" w:sz="8" w:space="0" w:color="3D7FE0" w:themeColor="accent1"/>
            </w:tcBorders>
            <w:shd w:val="clear" w:color="auto" w:fill="auto"/>
            <w:vAlign w:val="bottom"/>
          </w:tcPr>
          <w:p w14:paraId="38E1226F"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3.4</w:t>
            </w:r>
          </w:p>
        </w:tc>
        <w:tc>
          <w:tcPr>
            <w:tcW w:w="992" w:type="dxa"/>
            <w:tcBorders>
              <w:top w:val="single" w:sz="2" w:space="0" w:color="3D7FE0" w:themeColor="accent1"/>
              <w:bottom w:val="single" w:sz="8" w:space="0" w:color="3D7FE0" w:themeColor="accent1"/>
            </w:tcBorders>
            <w:shd w:val="clear" w:color="auto" w:fill="auto"/>
            <w:vAlign w:val="bottom"/>
          </w:tcPr>
          <w:p w14:paraId="2FF2CA67"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26.2</w:t>
            </w:r>
          </w:p>
        </w:tc>
        <w:tc>
          <w:tcPr>
            <w:tcW w:w="851" w:type="dxa"/>
            <w:tcBorders>
              <w:top w:val="single" w:sz="2" w:space="0" w:color="3D7FE0" w:themeColor="accent1"/>
              <w:bottom w:val="single" w:sz="8" w:space="0" w:color="3D7FE0" w:themeColor="accent1"/>
            </w:tcBorders>
            <w:shd w:val="clear" w:color="auto" w:fill="auto"/>
            <w:vAlign w:val="bottom"/>
          </w:tcPr>
          <w:p w14:paraId="104B8F3D"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167.5</w:t>
            </w:r>
          </w:p>
        </w:tc>
        <w:tc>
          <w:tcPr>
            <w:tcW w:w="992" w:type="dxa"/>
            <w:tcBorders>
              <w:top w:val="single" w:sz="2" w:space="0" w:color="3D7FE0" w:themeColor="accent1"/>
              <w:bottom w:val="single" w:sz="8" w:space="0" w:color="3D7FE0" w:themeColor="accent1"/>
            </w:tcBorders>
            <w:shd w:val="clear" w:color="auto" w:fill="auto"/>
            <w:vAlign w:val="bottom"/>
          </w:tcPr>
          <w:p w14:paraId="3DC2C504" w14:textId="77777777" w:rsidR="006B43AF" w:rsidRPr="00024B10" w:rsidRDefault="006B43AF" w:rsidP="00024B10">
            <w:pPr>
              <w:pStyle w:val="TablesTText"/>
              <w:spacing w:line="276" w:lineRule="auto"/>
              <w:jc w:val="right"/>
              <w:rPr>
                <w:rFonts w:ascii="IBM Plex Sans Medium" w:hAnsi="IBM Plex Sans Medium"/>
                <w:b/>
                <w:color w:val="3D7FE0" w:themeColor="accent1"/>
                <w:sz w:val="18"/>
                <w:szCs w:val="24"/>
              </w:rPr>
            </w:pPr>
            <w:r w:rsidRPr="00024B10">
              <w:rPr>
                <w:rFonts w:ascii="IBM Plex Sans Medium" w:hAnsi="IBM Plex Sans Medium"/>
                <w:b/>
                <w:color w:val="3D7FE0" w:themeColor="accent1"/>
                <w:sz w:val="18"/>
                <w:szCs w:val="24"/>
              </w:rPr>
              <w:t>(0.3)</w:t>
            </w:r>
          </w:p>
        </w:tc>
        <w:tc>
          <w:tcPr>
            <w:tcW w:w="992" w:type="dxa"/>
            <w:tcBorders>
              <w:top w:val="single" w:sz="2" w:space="0" w:color="3D7FE0" w:themeColor="accent1"/>
              <w:bottom w:val="single" w:sz="8" w:space="0" w:color="3D7FE0" w:themeColor="accent1"/>
            </w:tcBorders>
            <w:shd w:val="clear" w:color="auto" w:fill="auto"/>
            <w:vAlign w:val="bottom"/>
          </w:tcPr>
          <w:p w14:paraId="740D0A95" w14:textId="77777777" w:rsidR="006B43AF" w:rsidRPr="00DC13A1"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DC13A1">
              <w:rPr>
                <w:rFonts w:ascii="IBM Plex Sans Medium" w:eastAsia="Chronicle Text G1" w:hAnsi="IBM Plex Sans Medium" w:cs="Chronicle Text G1"/>
                <w:b/>
                <w:color w:val="3D7FE0" w:themeColor="accent1"/>
                <w:sz w:val="18"/>
                <w:szCs w:val="18"/>
              </w:rPr>
              <w:t>167.2</w:t>
            </w:r>
          </w:p>
        </w:tc>
      </w:tr>
    </w:tbl>
    <w:p w14:paraId="6A4809B9" w14:textId="77777777" w:rsidR="006B43AF" w:rsidRPr="005907D3" w:rsidRDefault="006B43AF" w:rsidP="006B43AF">
      <w:pPr>
        <w:rPr>
          <w:rFonts w:ascii="IBM Plex Sans Light" w:hAnsi="IBM Plex Sans Light"/>
        </w:rPr>
      </w:pPr>
    </w:p>
    <w:tbl>
      <w:tblPr>
        <w:tblW w:w="9922" w:type="dxa"/>
        <w:tblLayout w:type="fixed"/>
        <w:tblCellMar>
          <w:left w:w="0" w:type="dxa"/>
          <w:right w:w="0" w:type="dxa"/>
        </w:tblCellMar>
        <w:tblLook w:val="04A0" w:firstRow="1" w:lastRow="0" w:firstColumn="1" w:lastColumn="0" w:noHBand="0" w:noVBand="1"/>
      </w:tblPr>
      <w:tblGrid>
        <w:gridCol w:w="2410"/>
        <w:gridCol w:w="284"/>
        <w:gridCol w:w="425"/>
        <w:gridCol w:w="992"/>
        <w:gridCol w:w="992"/>
        <w:gridCol w:w="992"/>
        <w:gridCol w:w="992"/>
        <w:gridCol w:w="851"/>
        <w:gridCol w:w="992"/>
        <w:gridCol w:w="992"/>
      </w:tblGrid>
      <w:tr w:rsidR="006B43AF" w:rsidRPr="005907D3" w14:paraId="0AFA9ACC" w14:textId="77777777" w:rsidTr="004203CD">
        <w:trPr>
          <w:trHeight w:val="170"/>
        </w:trPr>
        <w:tc>
          <w:tcPr>
            <w:tcW w:w="2410" w:type="dxa"/>
            <w:tcBorders>
              <w:bottom w:val="single" w:sz="2" w:space="0" w:color="3D7FE0" w:themeColor="accent1"/>
            </w:tcBorders>
            <w:shd w:val="clear" w:color="auto" w:fill="auto"/>
            <w:vAlign w:val="bottom"/>
          </w:tcPr>
          <w:p w14:paraId="68A9F9D6" w14:textId="77777777" w:rsidR="006B43AF" w:rsidRPr="005907D3" w:rsidRDefault="006B43AF" w:rsidP="004203CD">
            <w:pPr>
              <w:pStyle w:val="TablesTColHeadsLeft"/>
              <w:rPr>
                <w:rFonts w:ascii="IBM Plex Sans Light" w:hAnsi="IBM Plex Sans Light"/>
                <w:highlight w:val="yellow"/>
              </w:rPr>
            </w:pPr>
          </w:p>
        </w:tc>
        <w:tc>
          <w:tcPr>
            <w:tcW w:w="284" w:type="dxa"/>
            <w:tcBorders>
              <w:bottom w:val="single" w:sz="2" w:space="0" w:color="3D7FE0" w:themeColor="accent1"/>
            </w:tcBorders>
            <w:shd w:val="clear" w:color="auto" w:fill="auto"/>
            <w:vAlign w:val="bottom"/>
          </w:tcPr>
          <w:p w14:paraId="5BE27BB4" w14:textId="77777777" w:rsidR="006B43AF" w:rsidRPr="005907D3" w:rsidRDefault="006B43AF" w:rsidP="004203CD">
            <w:pPr>
              <w:pStyle w:val="TablesTColHeadsLeft"/>
              <w:rPr>
                <w:rFonts w:ascii="IBM Plex Sans Light" w:hAnsi="IBM Plex Sans Light"/>
                <w:highlight w:val="yellow"/>
              </w:rPr>
            </w:pPr>
          </w:p>
        </w:tc>
        <w:tc>
          <w:tcPr>
            <w:tcW w:w="425" w:type="dxa"/>
            <w:tcBorders>
              <w:bottom w:val="single" w:sz="2" w:space="0" w:color="3D7FE0" w:themeColor="accent1"/>
            </w:tcBorders>
            <w:shd w:val="clear" w:color="auto" w:fill="auto"/>
            <w:vAlign w:val="bottom"/>
          </w:tcPr>
          <w:p w14:paraId="1AB096FD" w14:textId="77777777" w:rsidR="006B43AF" w:rsidRPr="005907D3" w:rsidRDefault="006B43AF" w:rsidP="004203CD">
            <w:pPr>
              <w:pStyle w:val="TablesTColHeadsLeft"/>
              <w:rPr>
                <w:rFonts w:ascii="IBM Plex Sans Light" w:hAnsi="IBM Plex Sans Light"/>
                <w:highlight w:val="yellow"/>
              </w:rPr>
            </w:pPr>
          </w:p>
        </w:tc>
        <w:tc>
          <w:tcPr>
            <w:tcW w:w="992" w:type="dxa"/>
            <w:tcBorders>
              <w:bottom w:val="single" w:sz="2" w:space="0" w:color="3D7FE0" w:themeColor="accent1"/>
            </w:tcBorders>
            <w:shd w:val="clear" w:color="auto" w:fill="auto"/>
            <w:vAlign w:val="bottom"/>
          </w:tcPr>
          <w:p w14:paraId="039D1F49" w14:textId="77777777" w:rsidR="006B43AF" w:rsidRPr="005907D3" w:rsidRDefault="006B43AF" w:rsidP="004203CD">
            <w:pPr>
              <w:pStyle w:val="TablesTColHead"/>
              <w:rPr>
                <w:rFonts w:ascii="IBM Plex Sans Light" w:hAnsi="IBM Plex Sans Light"/>
                <w:sz w:val="14"/>
                <w:szCs w:val="14"/>
              </w:rPr>
            </w:pPr>
          </w:p>
        </w:tc>
        <w:tc>
          <w:tcPr>
            <w:tcW w:w="992" w:type="dxa"/>
            <w:tcBorders>
              <w:bottom w:val="single" w:sz="2" w:space="0" w:color="3D7FE0" w:themeColor="accent1"/>
            </w:tcBorders>
            <w:shd w:val="clear" w:color="auto" w:fill="auto"/>
            <w:tcMar>
              <w:right w:w="57" w:type="dxa"/>
            </w:tcMar>
            <w:vAlign w:val="bottom"/>
          </w:tcPr>
          <w:p w14:paraId="3DC5EFEA" w14:textId="77777777" w:rsidR="006B43AF" w:rsidRPr="005907D3" w:rsidRDefault="006B43AF" w:rsidP="004203CD">
            <w:pPr>
              <w:pStyle w:val="TablesTColHeadsBold"/>
              <w:rPr>
                <w:rFonts w:ascii="IBM Plex Sans Light" w:hAnsi="IBM Plex Sans Light"/>
                <w:color w:val="auto"/>
                <w:sz w:val="14"/>
                <w:szCs w:val="14"/>
              </w:rPr>
            </w:pPr>
          </w:p>
        </w:tc>
        <w:tc>
          <w:tcPr>
            <w:tcW w:w="992" w:type="dxa"/>
            <w:tcBorders>
              <w:left w:val="nil"/>
              <w:bottom w:val="single" w:sz="2" w:space="0" w:color="3D7FE0" w:themeColor="accent1"/>
            </w:tcBorders>
            <w:shd w:val="clear" w:color="auto" w:fill="auto"/>
            <w:vAlign w:val="bottom"/>
          </w:tcPr>
          <w:p w14:paraId="6D91A6EB" w14:textId="77777777" w:rsidR="006B43AF" w:rsidRPr="005907D3" w:rsidRDefault="006B43AF" w:rsidP="004203CD">
            <w:pPr>
              <w:pStyle w:val="TablesTColHead"/>
              <w:rPr>
                <w:rFonts w:ascii="IBM Plex Sans Light" w:hAnsi="IBM Plex Sans Light"/>
                <w:sz w:val="14"/>
                <w:szCs w:val="14"/>
              </w:rPr>
            </w:pPr>
          </w:p>
        </w:tc>
        <w:tc>
          <w:tcPr>
            <w:tcW w:w="992" w:type="dxa"/>
            <w:tcBorders>
              <w:bottom w:val="single" w:sz="2" w:space="0" w:color="3D7FE0" w:themeColor="accent1"/>
            </w:tcBorders>
            <w:shd w:val="clear" w:color="auto" w:fill="auto"/>
            <w:vAlign w:val="bottom"/>
          </w:tcPr>
          <w:p w14:paraId="07BD6715" w14:textId="77777777" w:rsidR="006B43AF" w:rsidRPr="005907D3" w:rsidRDefault="006B43AF" w:rsidP="004203CD">
            <w:pPr>
              <w:pStyle w:val="TablesTColHead"/>
              <w:rPr>
                <w:rFonts w:ascii="IBM Plex Sans Light" w:hAnsi="IBM Plex Sans Light"/>
                <w:sz w:val="14"/>
                <w:szCs w:val="14"/>
              </w:rPr>
            </w:pPr>
          </w:p>
        </w:tc>
        <w:tc>
          <w:tcPr>
            <w:tcW w:w="2835" w:type="dxa"/>
            <w:gridSpan w:val="3"/>
            <w:tcBorders>
              <w:bottom w:val="single" w:sz="2" w:space="0" w:color="3D7FE0" w:themeColor="accent1"/>
            </w:tcBorders>
            <w:shd w:val="clear" w:color="auto" w:fill="auto"/>
            <w:vAlign w:val="bottom"/>
          </w:tcPr>
          <w:p w14:paraId="08283EB7" w14:textId="77777777" w:rsidR="006B43AF" w:rsidRPr="00DC13A1" w:rsidRDefault="006B43AF" w:rsidP="004203CD">
            <w:pPr>
              <w:pStyle w:val="TablesTColHeadsBold"/>
              <w:rPr>
                <w:rFonts w:ascii="IBM Plex Sans Light" w:hAnsi="IBM Plex Sans Light"/>
                <w:b w:val="0"/>
                <w:bCs/>
                <w:color w:val="auto"/>
                <w:sz w:val="14"/>
                <w:szCs w:val="14"/>
              </w:rPr>
            </w:pPr>
            <w:r w:rsidRPr="00DC13A1">
              <w:rPr>
                <w:rFonts w:ascii="IBM Plex Sans Light" w:hAnsi="IBM Plex Sans Light"/>
                <w:b w:val="0"/>
                <w:bCs/>
                <w:color w:val="auto"/>
                <w:sz w:val="14"/>
                <w:szCs w:val="14"/>
              </w:rPr>
              <w:t>2022</w:t>
            </w:r>
          </w:p>
        </w:tc>
      </w:tr>
      <w:tr w:rsidR="006B43AF" w:rsidRPr="005907D3" w14:paraId="48AA6B19" w14:textId="77777777" w:rsidTr="004203CD">
        <w:trPr>
          <w:trHeight w:val="785"/>
        </w:trPr>
        <w:tc>
          <w:tcPr>
            <w:tcW w:w="2410" w:type="dxa"/>
            <w:tcBorders>
              <w:top w:val="single" w:sz="2" w:space="0" w:color="3D7FE0" w:themeColor="accent1"/>
              <w:bottom w:val="single" w:sz="2" w:space="0" w:color="3D7FE0" w:themeColor="accent1"/>
            </w:tcBorders>
            <w:shd w:val="clear" w:color="auto" w:fill="auto"/>
            <w:vAlign w:val="bottom"/>
          </w:tcPr>
          <w:p w14:paraId="4B112CF2" w14:textId="77777777" w:rsidR="006B43AF" w:rsidRPr="005907D3" w:rsidRDefault="006B43AF" w:rsidP="004203CD">
            <w:pPr>
              <w:pStyle w:val="TablesTColHeadsLeft"/>
              <w:rPr>
                <w:rFonts w:ascii="IBM Plex Sans Light" w:hAnsi="IBM Plex Sans Light"/>
                <w:highlight w:val="yellow"/>
              </w:rPr>
            </w:pPr>
            <w:r w:rsidRPr="005439CC">
              <w:rPr>
                <w:rFonts w:ascii="IBM Plex Sans Light" w:hAnsi="IBM Plex Sans Light"/>
                <w:b/>
                <w:color w:val="3D7FE0" w:themeColor="accent1"/>
                <w:sz w:val="16"/>
                <w:szCs w:val="16"/>
              </w:rPr>
              <w:t>Proportionally consolidated</w:t>
            </w:r>
          </w:p>
        </w:tc>
        <w:tc>
          <w:tcPr>
            <w:tcW w:w="284" w:type="dxa"/>
            <w:tcBorders>
              <w:top w:val="single" w:sz="2" w:space="0" w:color="3D7FE0" w:themeColor="accent1"/>
              <w:bottom w:val="single" w:sz="2" w:space="0" w:color="3D7FE0" w:themeColor="accent1"/>
            </w:tcBorders>
            <w:shd w:val="clear" w:color="auto" w:fill="auto"/>
            <w:vAlign w:val="bottom"/>
          </w:tcPr>
          <w:p w14:paraId="6CF61987" w14:textId="77777777" w:rsidR="006B43AF" w:rsidRPr="005907D3" w:rsidRDefault="006B43AF" w:rsidP="004203CD">
            <w:pPr>
              <w:pStyle w:val="TablesTColHeadsLeft"/>
              <w:rPr>
                <w:rFonts w:ascii="IBM Plex Sans Light" w:hAnsi="IBM Plex Sans Light"/>
                <w:highlight w:val="yellow"/>
              </w:rPr>
            </w:pPr>
          </w:p>
        </w:tc>
        <w:tc>
          <w:tcPr>
            <w:tcW w:w="425" w:type="dxa"/>
            <w:tcBorders>
              <w:top w:val="single" w:sz="2" w:space="0" w:color="3D7FE0" w:themeColor="accent1"/>
              <w:bottom w:val="single" w:sz="2" w:space="0" w:color="3D7FE0" w:themeColor="accent1"/>
            </w:tcBorders>
            <w:shd w:val="clear" w:color="auto" w:fill="auto"/>
            <w:vAlign w:val="bottom"/>
          </w:tcPr>
          <w:p w14:paraId="383E332D" w14:textId="77777777" w:rsidR="006B43AF" w:rsidRPr="005907D3" w:rsidRDefault="006B43AF" w:rsidP="004203CD">
            <w:pPr>
              <w:pStyle w:val="TablesTColHeadsLeft"/>
              <w:rPr>
                <w:rFonts w:ascii="IBM Plex Sans Light" w:hAnsi="IBM Plex Sans Light"/>
                <w:highlight w:val="yellow"/>
              </w:rPr>
            </w:pPr>
          </w:p>
        </w:tc>
        <w:tc>
          <w:tcPr>
            <w:tcW w:w="992" w:type="dxa"/>
            <w:tcBorders>
              <w:top w:val="single" w:sz="2" w:space="0" w:color="3D7FE0" w:themeColor="accent1"/>
              <w:bottom w:val="single" w:sz="2" w:space="0" w:color="3D7FE0" w:themeColor="accent1"/>
            </w:tcBorders>
            <w:shd w:val="clear" w:color="auto" w:fill="auto"/>
            <w:vAlign w:val="bottom"/>
          </w:tcPr>
          <w:p w14:paraId="453E04D0"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 xml:space="preserve">Properties </w:t>
            </w:r>
            <w:r w:rsidRPr="005907D3">
              <w:rPr>
                <w:rFonts w:ascii="IBM Plex Sans Light" w:hAnsi="IBM Plex Sans Light"/>
                <w:sz w:val="14"/>
                <w:szCs w:val="14"/>
              </w:rPr>
              <w:br/>
              <w:t>owned throughout 202</w:t>
            </w:r>
            <w:r>
              <w:rPr>
                <w:rFonts w:ascii="IBM Plex Sans Light" w:hAnsi="IBM Plex Sans Light"/>
                <w:sz w:val="14"/>
                <w:szCs w:val="14"/>
              </w:rPr>
              <w:t>2</w:t>
            </w:r>
            <w:r w:rsidRPr="005907D3">
              <w:rPr>
                <w:rFonts w:ascii="IBM Plex Sans Light" w:hAnsi="IBM Plex Sans Light"/>
                <w:sz w:val="14"/>
                <w:szCs w:val="14"/>
              </w:rPr>
              <w:t>/2</w:t>
            </w:r>
            <w:r>
              <w:rPr>
                <w:rFonts w:ascii="IBM Plex Sans Light" w:hAnsi="IBM Plex Sans Light"/>
                <w:sz w:val="14"/>
                <w:szCs w:val="14"/>
              </w:rPr>
              <w:t>3</w:t>
            </w:r>
            <w:r w:rsidRPr="005907D3">
              <w:rPr>
                <w:rFonts w:ascii="IBM Plex Sans Light" w:hAnsi="IBM Plex Sans Light"/>
                <w:sz w:val="14"/>
                <w:szCs w:val="14"/>
              </w:rPr>
              <w:t xml:space="preserve"> </w:t>
            </w:r>
          </w:p>
          <w:p w14:paraId="774B73A1"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£m</w:t>
            </w:r>
          </w:p>
        </w:tc>
        <w:tc>
          <w:tcPr>
            <w:tcW w:w="992" w:type="dxa"/>
            <w:tcBorders>
              <w:top w:val="single" w:sz="2" w:space="0" w:color="3D7FE0" w:themeColor="accent1"/>
              <w:bottom w:val="single" w:sz="2" w:space="0" w:color="3D7FE0" w:themeColor="accent1"/>
            </w:tcBorders>
            <w:shd w:val="clear" w:color="auto" w:fill="auto"/>
            <w:tcMar>
              <w:right w:w="57" w:type="dxa"/>
            </w:tcMar>
            <w:vAlign w:val="bottom"/>
          </w:tcPr>
          <w:p w14:paraId="249FE00D" w14:textId="77777777" w:rsidR="006B43AF" w:rsidRPr="005907D3" w:rsidRDefault="006B43AF" w:rsidP="004203CD">
            <w:pPr>
              <w:pStyle w:val="TablesTColHeadsBold"/>
              <w:rPr>
                <w:rFonts w:ascii="IBM Plex Sans Light" w:hAnsi="IBM Plex Sans Light"/>
                <w:b w:val="0"/>
                <w:bCs/>
                <w:color w:val="auto"/>
                <w:sz w:val="14"/>
                <w:szCs w:val="14"/>
              </w:rPr>
            </w:pPr>
            <w:r w:rsidRPr="005907D3">
              <w:rPr>
                <w:rFonts w:ascii="IBM Plex Sans Light" w:hAnsi="IBM Plex Sans Light"/>
                <w:b w:val="0"/>
                <w:bCs/>
                <w:color w:val="auto"/>
                <w:sz w:val="14"/>
                <w:szCs w:val="14"/>
              </w:rPr>
              <w:t>Exchange</w:t>
            </w:r>
          </w:p>
          <w:p w14:paraId="2463103E" w14:textId="77777777" w:rsidR="006B43AF" w:rsidRPr="005907D3" w:rsidRDefault="006B43AF" w:rsidP="004203CD">
            <w:pPr>
              <w:pStyle w:val="TablesTColHeadsBold"/>
              <w:rPr>
                <w:rFonts w:ascii="IBM Plex Sans Light" w:hAnsi="IBM Plex Sans Light"/>
                <w:color w:val="auto"/>
                <w:sz w:val="14"/>
                <w:szCs w:val="14"/>
              </w:rPr>
            </w:pPr>
            <w:r w:rsidRPr="005907D3">
              <w:rPr>
                <w:rFonts w:ascii="IBM Plex Sans Light" w:hAnsi="IBM Plex Sans Light"/>
                <w:b w:val="0"/>
                <w:bCs/>
                <w:color w:val="auto"/>
                <w:sz w:val="14"/>
                <w:szCs w:val="14"/>
              </w:rPr>
              <w:t>£m</w:t>
            </w:r>
          </w:p>
        </w:tc>
        <w:tc>
          <w:tcPr>
            <w:tcW w:w="992" w:type="dxa"/>
            <w:tcBorders>
              <w:top w:val="single" w:sz="2" w:space="0" w:color="3D7FE0" w:themeColor="accent1"/>
              <w:left w:val="nil"/>
              <w:bottom w:val="single" w:sz="2" w:space="0" w:color="3D7FE0" w:themeColor="accent1"/>
            </w:tcBorders>
            <w:shd w:val="clear" w:color="auto" w:fill="auto"/>
            <w:vAlign w:val="bottom"/>
          </w:tcPr>
          <w:p w14:paraId="0772D2E0"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Disposals</w:t>
            </w:r>
            <w:r w:rsidRPr="005907D3">
              <w:rPr>
                <w:rFonts w:ascii="IBM Plex Sans Light" w:hAnsi="IBM Plex Sans Light"/>
                <w:sz w:val="14"/>
                <w:szCs w:val="14"/>
              </w:rPr>
              <w:br/>
              <w:t>£m</w:t>
            </w:r>
          </w:p>
        </w:tc>
        <w:tc>
          <w:tcPr>
            <w:tcW w:w="992" w:type="dxa"/>
            <w:tcBorders>
              <w:top w:val="single" w:sz="2" w:space="0" w:color="3D7FE0" w:themeColor="accent1"/>
              <w:bottom w:val="single" w:sz="2" w:space="0" w:color="3D7FE0" w:themeColor="accent1"/>
            </w:tcBorders>
            <w:shd w:val="clear" w:color="auto" w:fill="auto"/>
            <w:vAlign w:val="bottom"/>
          </w:tcPr>
          <w:p w14:paraId="5B107F44"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Developments</w:t>
            </w:r>
            <w:r w:rsidRPr="005907D3">
              <w:rPr>
                <w:rFonts w:ascii="IBM Plex Sans Light" w:hAnsi="IBM Plex Sans Light"/>
                <w:sz w:val="14"/>
                <w:szCs w:val="14"/>
              </w:rPr>
              <w:br/>
              <w:t>and other</w:t>
            </w:r>
            <w:r w:rsidRPr="005907D3">
              <w:rPr>
                <w:rFonts w:ascii="IBM Plex Sans Light" w:hAnsi="IBM Plex Sans Light"/>
                <w:sz w:val="14"/>
                <w:szCs w:val="14"/>
              </w:rPr>
              <w:br/>
              <w:t>£m</w:t>
            </w:r>
          </w:p>
        </w:tc>
        <w:tc>
          <w:tcPr>
            <w:tcW w:w="851" w:type="dxa"/>
            <w:tcBorders>
              <w:top w:val="single" w:sz="2" w:space="0" w:color="3D7FE0" w:themeColor="accent1"/>
              <w:bottom w:val="single" w:sz="2" w:space="0" w:color="3D7FE0" w:themeColor="accent1"/>
            </w:tcBorders>
            <w:shd w:val="clear" w:color="auto" w:fill="auto"/>
            <w:vAlign w:val="bottom"/>
          </w:tcPr>
          <w:p w14:paraId="22EF2DC5" w14:textId="77777777" w:rsidR="006B43AF" w:rsidRPr="00DC13A1" w:rsidRDefault="006B43AF" w:rsidP="004203CD">
            <w:pPr>
              <w:pStyle w:val="TablesTColHeadsBold"/>
              <w:rPr>
                <w:rFonts w:ascii="IBM Plex Sans Light" w:hAnsi="IBM Plex Sans Light"/>
                <w:b w:val="0"/>
                <w:bCs/>
                <w:color w:val="auto"/>
                <w:sz w:val="14"/>
                <w:szCs w:val="14"/>
              </w:rPr>
            </w:pPr>
            <w:r w:rsidRPr="00DC13A1">
              <w:rPr>
                <w:rFonts w:ascii="IBM Plex Sans Light" w:hAnsi="IBM Plex Sans Light"/>
                <w:b w:val="0"/>
                <w:bCs/>
                <w:color w:val="auto"/>
                <w:sz w:val="14"/>
                <w:szCs w:val="14"/>
              </w:rPr>
              <w:t xml:space="preserve">Total </w:t>
            </w:r>
          </w:p>
          <w:p w14:paraId="4CBB9EC8" w14:textId="77777777" w:rsidR="006B43AF" w:rsidRPr="00DC13A1" w:rsidRDefault="006B43AF" w:rsidP="004203CD">
            <w:pPr>
              <w:pStyle w:val="TablesTColHeadsBold"/>
              <w:rPr>
                <w:rFonts w:ascii="IBM Plex Sans Light" w:hAnsi="IBM Plex Sans Light"/>
                <w:b w:val="0"/>
                <w:bCs/>
                <w:color w:val="auto"/>
                <w:sz w:val="14"/>
                <w:szCs w:val="14"/>
              </w:rPr>
            </w:pPr>
            <w:r w:rsidRPr="00DC13A1">
              <w:rPr>
                <w:rFonts w:ascii="IBM Plex Sans Light" w:hAnsi="IBM Plex Sans Light"/>
                <w:b w:val="0"/>
                <w:bCs/>
                <w:color w:val="auto"/>
                <w:sz w:val="14"/>
                <w:szCs w:val="14"/>
              </w:rPr>
              <w:t xml:space="preserve">Adjusted </w:t>
            </w:r>
          </w:p>
          <w:p w14:paraId="54C72BAE" w14:textId="77777777" w:rsidR="006B43AF" w:rsidRPr="005907D3" w:rsidRDefault="006B43AF" w:rsidP="004203CD">
            <w:pPr>
              <w:pStyle w:val="TablesTColHeadsBold"/>
              <w:rPr>
                <w:rFonts w:ascii="IBM Plex Sans Light" w:hAnsi="IBM Plex Sans Light"/>
                <w:color w:val="auto"/>
                <w:sz w:val="14"/>
                <w:szCs w:val="14"/>
              </w:rPr>
            </w:pPr>
            <w:r w:rsidRPr="00DC13A1">
              <w:rPr>
                <w:rFonts w:ascii="IBM Plex Sans Light" w:hAnsi="IBM Plex Sans Light"/>
                <w:b w:val="0"/>
                <w:bCs/>
                <w:color w:val="auto"/>
                <w:sz w:val="14"/>
                <w:szCs w:val="14"/>
              </w:rPr>
              <w:t xml:space="preserve">NRI </w:t>
            </w:r>
            <w:r w:rsidRPr="00DC13A1">
              <w:rPr>
                <w:rFonts w:ascii="IBM Plex Sans Light" w:hAnsi="IBM Plex Sans Light"/>
                <w:b w:val="0"/>
                <w:bCs/>
                <w:color w:val="auto"/>
                <w:sz w:val="14"/>
                <w:szCs w:val="14"/>
              </w:rPr>
              <w:br/>
              <w:t>£m</w:t>
            </w:r>
          </w:p>
        </w:tc>
        <w:tc>
          <w:tcPr>
            <w:tcW w:w="992" w:type="dxa"/>
            <w:tcBorders>
              <w:top w:val="single" w:sz="2" w:space="0" w:color="3D7FE0" w:themeColor="accent1"/>
              <w:bottom w:val="single" w:sz="2" w:space="0" w:color="3D7FE0" w:themeColor="accent1"/>
            </w:tcBorders>
            <w:vAlign w:val="bottom"/>
          </w:tcPr>
          <w:p w14:paraId="77E3A7EC"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 xml:space="preserve">Change in provision </w:t>
            </w:r>
            <w:r w:rsidRPr="005907D3">
              <w:rPr>
                <w:rFonts w:ascii="IBM Plex Sans Light" w:hAnsi="IBM Plex Sans Light"/>
                <w:sz w:val="14"/>
                <w:szCs w:val="14"/>
              </w:rPr>
              <w:br/>
              <w:t>£m</w:t>
            </w:r>
          </w:p>
        </w:tc>
        <w:tc>
          <w:tcPr>
            <w:tcW w:w="992" w:type="dxa"/>
            <w:tcBorders>
              <w:top w:val="single" w:sz="2" w:space="0" w:color="3D7FE0" w:themeColor="accent1"/>
              <w:bottom w:val="single" w:sz="2" w:space="0" w:color="3D7FE0" w:themeColor="accent1"/>
            </w:tcBorders>
            <w:vAlign w:val="bottom"/>
          </w:tcPr>
          <w:p w14:paraId="73ADF048" w14:textId="77777777" w:rsidR="006B43AF" w:rsidRPr="00DC13A1" w:rsidRDefault="006B43AF" w:rsidP="004203CD">
            <w:pPr>
              <w:pStyle w:val="TablesTColHeadsBold"/>
              <w:rPr>
                <w:rFonts w:ascii="IBM Plex Sans Light" w:hAnsi="IBM Plex Sans Light"/>
                <w:b w:val="0"/>
                <w:bCs/>
                <w:color w:val="auto"/>
                <w:sz w:val="14"/>
                <w:szCs w:val="14"/>
              </w:rPr>
            </w:pPr>
            <w:r w:rsidRPr="00DC13A1">
              <w:rPr>
                <w:rFonts w:ascii="IBM Plex Sans Light" w:hAnsi="IBM Plex Sans Light"/>
                <w:b w:val="0"/>
                <w:bCs/>
                <w:color w:val="auto"/>
                <w:sz w:val="14"/>
                <w:szCs w:val="14"/>
              </w:rPr>
              <w:t xml:space="preserve">Total </w:t>
            </w:r>
          </w:p>
          <w:p w14:paraId="72E7FB8E" w14:textId="77777777" w:rsidR="006B43AF" w:rsidRPr="005907D3" w:rsidRDefault="006B43AF" w:rsidP="004203CD">
            <w:pPr>
              <w:pStyle w:val="TablesTColHeadsBold"/>
              <w:rPr>
                <w:rFonts w:ascii="IBM Plex Sans Light" w:hAnsi="IBM Plex Sans Light"/>
                <w:color w:val="auto"/>
                <w:sz w:val="14"/>
                <w:szCs w:val="14"/>
              </w:rPr>
            </w:pPr>
            <w:r w:rsidRPr="00DC13A1">
              <w:rPr>
                <w:rFonts w:ascii="IBM Plex Sans Light" w:hAnsi="IBM Plex Sans Light"/>
                <w:b w:val="0"/>
                <w:bCs/>
                <w:color w:val="auto"/>
                <w:sz w:val="14"/>
                <w:szCs w:val="14"/>
              </w:rPr>
              <w:t xml:space="preserve">NRI </w:t>
            </w:r>
            <w:r w:rsidRPr="00DC13A1">
              <w:rPr>
                <w:rFonts w:ascii="IBM Plex Sans Light" w:hAnsi="IBM Plex Sans Light"/>
                <w:b w:val="0"/>
                <w:bCs/>
                <w:color w:val="auto"/>
                <w:sz w:val="14"/>
                <w:szCs w:val="14"/>
              </w:rPr>
              <w:br/>
              <w:t>£m</w:t>
            </w:r>
          </w:p>
        </w:tc>
      </w:tr>
      <w:tr w:rsidR="006B43AF" w:rsidRPr="00DC13A1" w14:paraId="2425280F" w14:textId="77777777" w:rsidTr="004203CD">
        <w:trPr>
          <w:trHeight w:val="20"/>
        </w:trPr>
        <w:tc>
          <w:tcPr>
            <w:tcW w:w="2410" w:type="dxa"/>
            <w:tcBorders>
              <w:top w:val="single" w:sz="2" w:space="0" w:color="3D7FE0" w:themeColor="accent1"/>
            </w:tcBorders>
            <w:shd w:val="clear" w:color="auto" w:fill="auto"/>
            <w:vAlign w:val="bottom"/>
          </w:tcPr>
          <w:p w14:paraId="4CDB894E"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UK</w:t>
            </w:r>
          </w:p>
        </w:tc>
        <w:tc>
          <w:tcPr>
            <w:tcW w:w="284" w:type="dxa"/>
            <w:tcBorders>
              <w:top w:val="single" w:sz="2" w:space="0" w:color="3D7FE0" w:themeColor="accent1"/>
            </w:tcBorders>
            <w:shd w:val="clear" w:color="auto" w:fill="auto"/>
            <w:vAlign w:val="bottom"/>
          </w:tcPr>
          <w:p w14:paraId="1D2F4C68" w14:textId="77777777" w:rsidR="006B43AF" w:rsidRPr="00A04876" w:rsidRDefault="006B43AF" w:rsidP="004203CD">
            <w:pPr>
              <w:pStyle w:val="13TBRightCopyIndentTableBack"/>
              <w:spacing w:line="276" w:lineRule="auto"/>
              <w:rPr>
                <w:sz w:val="16"/>
                <w:szCs w:val="16"/>
              </w:rPr>
            </w:pPr>
          </w:p>
        </w:tc>
        <w:tc>
          <w:tcPr>
            <w:tcW w:w="425" w:type="dxa"/>
            <w:tcBorders>
              <w:top w:val="single" w:sz="2" w:space="0" w:color="3D7FE0" w:themeColor="accent1"/>
            </w:tcBorders>
            <w:shd w:val="clear" w:color="auto" w:fill="auto"/>
            <w:vAlign w:val="bottom"/>
          </w:tcPr>
          <w:p w14:paraId="3A92E7CE"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tcBorders>
              <w:top w:val="single" w:sz="2" w:space="0" w:color="3D7FE0" w:themeColor="accent1"/>
            </w:tcBorders>
            <w:shd w:val="clear" w:color="auto" w:fill="auto"/>
            <w:vAlign w:val="bottom"/>
          </w:tcPr>
          <w:p w14:paraId="30D3A241"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71.2</w:t>
            </w:r>
          </w:p>
        </w:tc>
        <w:tc>
          <w:tcPr>
            <w:tcW w:w="992" w:type="dxa"/>
            <w:tcBorders>
              <w:top w:val="single" w:sz="2" w:space="0" w:color="3D7FE0" w:themeColor="accent1"/>
            </w:tcBorders>
            <w:shd w:val="clear" w:color="auto" w:fill="auto"/>
            <w:tcMar>
              <w:right w:w="57" w:type="dxa"/>
            </w:tcMar>
            <w:vAlign w:val="bottom"/>
          </w:tcPr>
          <w:p w14:paraId="420457FA"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w:t>
            </w:r>
          </w:p>
        </w:tc>
        <w:tc>
          <w:tcPr>
            <w:tcW w:w="992" w:type="dxa"/>
            <w:tcBorders>
              <w:top w:val="single" w:sz="2" w:space="0" w:color="3D7FE0" w:themeColor="accent1"/>
              <w:left w:val="nil"/>
            </w:tcBorders>
            <w:shd w:val="clear" w:color="auto" w:fill="auto"/>
            <w:vAlign w:val="bottom"/>
          </w:tcPr>
          <w:p w14:paraId="3BAFECC9"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3.7</w:t>
            </w:r>
          </w:p>
        </w:tc>
        <w:tc>
          <w:tcPr>
            <w:tcW w:w="992" w:type="dxa"/>
            <w:tcBorders>
              <w:top w:val="single" w:sz="2" w:space="0" w:color="3D7FE0" w:themeColor="accent1"/>
            </w:tcBorders>
            <w:shd w:val="clear" w:color="auto" w:fill="auto"/>
            <w:vAlign w:val="bottom"/>
          </w:tcPr>
          <w:p w14:paraId="671BA220" w14:textId="77777777" w:rsidR="006B43AF" w:rsidRPr="00024B10" w:rsidRDefault="006B43AF" w:rsidP="00024B10">
            <w:pPr>
              <w:pStyle w:val="TablesTFigureBrackets"/>
              <w:spacing w:line="276" w:lineRule="auto"/>
              <w:rPr>
                <w:rFonts w:ascii="IBM Plex Sans Light" w:hAnsi="IBM Plex Sans Light"/>
                <w:bCs/>
                <w:sz w:val="18"/>
                <w:szCs w:val="24"/>
              </w:rPr>
            </w:pPr>
            <w:r w:rsidRPr="00024B10">
              <w:rPr>
                <w:rFonts w:ascii="IBM Plex Sans Light" w:hAnsi="IBM Plex Sans Light"/>
                <w:bCs/>
                <w:sz w:val="18"/>
                <w:szCs w:val="24"/>
              </w:rPr>
              <w:t>(0.6)</w:t>
            </w:r>
          </w:p>
        </w:tc>
        <w:tc>
          <w:tcPr>
            <w:tcW w:w="851" w:type="dxa"/>
            <w:tcBorders>
              <w:top w:val="single" w:sz="2" w:space="0" w:color="3D7FE0" w:themeColor="accent1"/>
            </w:tcBorders>
            <w:shd w:val="clear" w:color="auto" w:fill="auto"/>
            <w:vAlign w:val="bottom"/>
          </w:tcPr>
          <w:p w14:paraId="2A278DED"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74.3</w:t>
            </w:r>
          </w:p>
        </w:tc>
        <w:tc>
          <w:tcPr>
            <w:tcW w:w="992" w:type="dxa"/>
            <w:tcBorders>
              <w:top w:val="single" w:sz="2" w:space="0" w:color="3D7FE0" w:themeColor="accent1"/>
            </w:tcBorders>
            <w:shd w:val="clear" w:color="auto" w:fill="auto"/>
            <w:vAlign w:val="bottom"/>
          </w:tcPr>
          <w:p w14:paraId="4A7C90F1"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1.7</w:t>
            </w:r>
          </w:p>
        </w:tc>
        <w:tc>
          <w:tcPr>
            <w:tcW w:w="992" w:type="dxa"/>
            <w:tcBorders>
              <w:top w:val="single" w:sz="2" w:space="0" w:color="3D7FE0" w:themeColor="accent1"/>
            </w:tcBorders>
            <w:shd w:val="clear" w:color="auto" w:fill="auto"/>
            <w:vAlign w:val="bottom"/>
          </w:tcPr>
          <w:p w14:paraId="27D15135"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76.0</w:t>
            </w:r>
          </w:p>
        </w:tc>
      </w:tr>
      <w:tr w:rsidR="006B43AF" w:rsidRPr="00DC13A1" w14:paraId="064326D2" w14:textId="77777777" w:rsidTr="004203CD">
        <w:trPr>
          <w:trHeight w:val="20"/>
        </w:trPr>
        <w:tc>
          <w:tcPr>
            <w:tcW w:w="2410" w:type="dxa"/>
            <w:shd w:val="clear" w:color="auto" w:fill="auto"/>
            <w:vAlign w:val="bottom"/>
          </w:tcPr>
          <w:p w14:paraId="407E9E11"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France</w:t>
            </w:r>
          </w:p>
        </w:tc>
        <w:tc>
          <w:tcPr>
            <w:tcW w:w="284" w:type="dxa"/>
            <w:shd w:val="clear" w:color="auto" w:fill="auto"/>
          </w:tcPr>
          <w:p w14:paraId="5482CB1D" w14:textId="77777777" w:rsidR="006B43AF" w:rsidRPr="00A04876" w:rsidRDefault="006B43AF" w:rsidP="004203CD">
            <w:pPr>
              <w:pStyle w:val="13TBRightCopyIndentTableBack"/>
              <w:spacing w:line="276" w:lineRule="auto"/>
              <w:rPr>
                <w:sz w:val="16"/>
                <w:szCs w:val="16"/>
              </w:rPr>
            </w:pPr>
          </w:p>
        </w:tc>
        <w:tc>
          <w:tcPr>
            <w:tcW w:w="425" w:type="dxa"/>
            <w:shd w:val="clear" w:color="auto" w:fill="auto"/>
            <w:vAlign w:val="bottom"/>
          </w:tcPr>
          <w:p w14:paraId="38B708AD"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shd w:val="clear" w:color="auto" w:fill="auto"/>
            <w:vAlign w:val="bottom"/>
          </w:tcPr>
          <w:p w14:paraId="60D4B953"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27.6</w:t>
            </w:r>
          </w:p>
        </w:tc>
        <w:tc>
          <w:tcPr>
            <w:tcW w:w="992" w:type="dxa"/>
            <w:shd w:val="clear" w:color="auto" w:fill="auto"/>
            <w:tcMar>
              <w:right w:w="57" w:type="dxa"/>
            </w:tcMar>
            <w:vAlign w:val="bottom"/>
          </w:tcPr>
          <w:p w14:paraId="5BD6953E" w14:textId="77777777" w:rsidR="006B43AF" w:rsidRPr="00DC13A1" w:rsidRDefault="006B43AF" w:rsidP="004203CD">
            <w:pPr>
              <w:pStyle w:val="TablesTFigures"/>
              <w:spacing w:line="276" w:lineRule="auto"/>
              <w:ind w:right="-56"/>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(1.0)</w:t>
            </w:r>
          </w:p>
        </w:tc>
        <w:tc>
          <w:tcPr>
            <w:tcW w:w="992" w:type="dxa"/>
            <w:tcBorders>
              <w:left w:val="nil"/>
            </w:tcBorders>
            <w:shd w:val="clear" w:color="auto" w:fill="auto"/>
            <w:vAlign w:val="bottom"/>
          </w:tcPr>
          <w:p w14:paraId="52286189"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10.6</w:t>
            </w:r>
          </w:p>
        </w:tc>
        <w:tc>
          <w:tcPr>
            <w:tcW w:w="992" w:type="dxa"/>
            <w:shd w:val="clear" w:color="auto" w:fill="auto"/>
            <w:vAlign w:val="bottom"/>
          </w:tcPr>
          <w:p w14:paraId="7232A1D4"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16.6</w:t>
            </w:r>
          </w:p>
        </w:tc>
        <w:tc>
          <w:tcPr>
            <w:tcW w:w="851" w:type="dxa"/>
            <w:shd w:val="clear" w:color="auto" w:fill="auto"/>
            <w:vAlign w:val="bottom"/>
          </w:tcPr>
          <w:p w14:paraId="1B7732C9"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53.8</w:t>
            </w:r>
          </w:p>
        </w:tc>
        <w:tc>
          <w:tcPr>
            <w:tcW w:w="992" w:type="dxa"/>
            <w:shd w:val="clear" w:color="auto" w:fill="auto"/>
            <w:vAlign w:val="bottom"/>
          </w:tcPr>
          <w:p w14:paraId="46E40ABB"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w:t>
            </w:r>
          </w:p>
        </w:tc>
        <w:tc>
          <w:tcPr>
            <w:tcW w:w="992" w:type="dxa"/>
            <w:shd w:val="clear" w:color="auto" w:fill="auto"/>
            <w:vAlign w:val="bottom"/>
          </w:tcPr>
          <w:p w14:paraId="357C8D3D"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53.8</w:t>
            </w:r>
          </w:p>
        </w:tc>
      </w:tr>
      <w:tr w:rsidR="006B43AF" w:rsidRPr="00DC13A1" w14:paraId="13E429D3" w14:textId="77777777" w:rsidTr="004203CD">
        <w:trPr>
          <w:trHeight w:val="20"/>
        </w:trPr>
        <w:tc>
          <w:tcPr>
            <w:tcW w:w="2410" w:type="dxa"/>
            <w:tcBorders>
              <w:bottom w:val="single" w:sz="2" w:space="0" w:color="3D7FE0" w:themeColor="accent1"/>
            </w:tcBorders>
            <w:shd w:val="clear" w:color="auto" w:fill="auto"/>
            <w:vAlign w:val="bottom"/>
          </w:tcPr>
          <w:p w14:paraId="5934E89B"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Ireland</w:t>
            </w:r>
          </w:p>
        </w:tc>
        <w:tc>
          <w:tcPr>
            <w:tcW w:w="284" w:type="dxa"/>
            <w:tcBorders>
              <w:bottom w:val="single" w:sz="2" w:space="0" w:color="3D7FE0" w:themeColor="accent1"/>
            </w:tcBorders>
            <w:shd w:val="clear" w:color="auto" w:fill="auto"/>
          </w:tcPr>
          <w:p w14:paraId="5DCC637D" w14:textId="77777777" w:rsidR="006B43AF" w:rsidRPr="00A04876" w:rsidRDefault="006B43AF" w:rsidP="004203CD">
            <w:pPr>
              <w:pStyle w:val="13TBRightCopyIndentTableBack"/>
              <w:spacing w:line="276" w:lineRule="auto"/>
              <w:rPr>
                <w:sz w:val="16"/>
                <w:szCs w:val="16"/>
              </w:rPr>
            </w:pPr>
          </w:p>
        </w:tc>
        <w:tc>
          <w:tcPr>
            <w:tcW w:w="425" w:type="dxa"/>
            <w:tcBorders>
              <w:bottom w:val="single" w:sz="2" w:space="0" w:color="3D7FE0" w:themeColor="accent1"/>
            </w:tcBorders>
            <w:shd w:val="clear" w:color="auto" w:fill="auto"/>
            <w:vAlign w:val="bottom"/>
          </w:tcPr>
          <w:p w14:paraId="0511A2CE"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tcBorders>
              <w:bottom w:val="single" w:sz="2" w:space="0" w:color="3D7FE0" w:themeColor="accent1"/>
            </w:tcBorders>
            <w:shd w:val="clear" w:color="auto" w:fill="auto"/>
            <w:vAlign w:val="bottom"/>
          </w:tcPr>
          <w:p w14:paraId="109F7DFF"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34.3</w:t>
            </w:r>
          </w:p>
        </w:tc>
        <w:tc>
          <w:tcPr>
            <w:tcW w:w="992" w:type="dxa"/>
            <w:tcBorders>
              <w:bottom w:val="single" w:sz="2" w:space="0" w:color="3D7FE0" w:themeColor="accent1"/>
            </w:tcBorders>
            <w:shd w:val="clear" w:color="auto" w:fill="auto"/>
            <w:tcMar>
              <w:right w:w="57" w:type="dxa"/>
            </w:tcMar>
            <w:vAlign w:val="bottom"/>
          </w:tcPr>
          <w:p w14:paraId="51B16C36" w14:textId="77777777" w:rsidR="006B43AF" w:rsidRPr="00DC13A1" w:rsidRDefault="006B43AF" w:rsidP="00024B10">
            <w:pPr>
              <w:pStyle w:val="TablesTFigures"/>
              <w:spacing w:line="276" w:lineRule="auto"/>
              <w:ind w:right="-56"/>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 xml:space="preserve"> </w:t>
            </w:r>
            <w:r w:rsidRPr="00DC13A1">
              <w:rPr>
                <w:rFonts w:ascii="IBM Plex Sans Light" w:eastAsia="Chronicle Text G1" w:hAnsi="IBM Plex Sans Light" w:cs="Chronicle Text G1"/>
                <w:bCs/>
                <w:sz w:val="18"/>
                <w:szCs w:val="18"/>
              </w:rPr>
              <w:t>(0.7)</w:t>
            </w:r>
          </w:p>
        </w:tc>
        <w:tc>
          <w:tcPr>
            <w:tcW w:w="992" w:type="dxa"/>
            <w:tcBorders>
              <w:left w:val="nil"/>
              <w:bottom w:val="single" w:sz="2" w:space="0" w:color="3D7FE0" w:themeColor="accent1"/>
            </w:tcBorders>
            <w:shd w:val="clear" w:color="auto" w:fill="auto"/>
            <w:vAlign w:val="bottom"/>
          </w:tcPr>
          <w:p w14:paraId="1E9145E3"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w:t>
            </w:r>
          </w:p>
        </w:tc>
        <w:tc>
          <w:tcPr>
            <w:tcW w:w="992" w:type="dxa"/>
            <w:tcBorders>
              <w:bottom w:val="single" w:sz="2" w:space="0" w:color="3D7FE0" w:themeColor="accent1"/>
            </w:tcBorders>
            <w:shd w:val="clear" w:color="auto" w:fill="auto"/>
            <w:vAlign w:val="bottom"/>
          </w:tcPr>
          <w:p w14:paraId="4632C904"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w:t>
            </w:r>
          </w:p>
        </w:tc>
        <w:tc>
          <w:tcPr>
            <w:tcW w:w="851" w:type="dxa"/>
            <w:tcBorders>
              <w:bottom w:val="single" w:sz="2" w:space="0" w:color="3D7FE0" w:themeColor="accent1"/>
            </w:tcBorders>
            <w:shd w:val="clear" w:color="auto" w:fill="auto"/>
            <w:vAlign w:val="bottom"/>
          </w:tcPr>
          <w:p w14:paraId="25567718"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33.6</w:t>
            </w:r>
          </w:p>
        </w:tc>
        <w:tc>
          <w:tcPr>
            <w:tcW w:w="992" w:type="dxa"/>
            <w:tcBorders>
              <w:bottom w:val="single" w:sz="2" w:space="0" w:color="3D7FE0" w:themeColor="accent1"/>
            </w:tcBorders>
            <w:shd w:val="clear" w:color="auto" w:fill="auto"/>
            <w:vAlign w:val="bottom"/>
          </w:tcPr>
          <w:p w14:paraId="0123A8FE"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0.2</w:t>
            </w:r>
          </w:p>
        </w:tc>
        <w:tc>
          <w:tcPr>
            <w:tcW w:w="992" w:type="dxa"/>
            <w:tcBorders>
              <w:bottom w:val="single" w:sz="2" w:space="0" w:color="3D7FE0" w:themeColor="accent1"/>
            </w:tcBorders>
            <w:shd w:val="clear" w:color="auto" w:fill="auto"/>
            <w:vAlign w:val="bottom"/>
          </w:tcPr>
          <w:p w14:paraId="5016C082"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33.8</w:t>
            </w:r>
          </w:p>
        </w:tc>
      </w:tr>
      <w:tr w:rsidR="006B43AF" w:rsidRPr="00DC13A1" w14:paraId="60F180A1" w14:textId="77777777" w:rsidTr="004203CD">
        <w:trPr>
          <w:trHeight w:val="20"/>
        </w:trPr>
        <w:tc>
          <w:tcPr>
            <w:tcW w:w="2410" w:type="dxa"/>
            <w:tcBorders>
              <w:top w:val="single" w:sz="2" w:space="0" w:color="3D7FE0" w:themeColor="accent1"/>
            </w:tcBorders>
            <w:shd w:val="clear" w:color="auto" w:fill="auto"/>
            <w:vAlign w:val="bottom"/>
          </w:tcPr>
          <w:p w14:paraId="3325467D"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Flagship destinations</w:t>
            </w:r>
          </w:p>
        </w:tc>
        <w:tc>
          <w:tcPr>
            <w:tcW w:w="284" w:type="dxa"/>
            <w:tcBorders>
              <w:top w:val="single" w:sz="2" w:space="0" w:color="3D7FE0" w:themeColor="accent1"/>
            </w:tcBorders>
            <w:shd w:val="clear" w:color="auto" w:fill="auto"/>
          </w:tcPr>
          <w:p w14:paraId="380E0426" w14:textId="77777777" w:rsidR="006B43AF" w:rsidRPr="00A04876" w:rsidRDefault="006B43AF" w:rsidP="004203CD">
            <w:pPr>
              <w:pStyle w:val="13TBRightCopyIndentTableBack"/>
              <w:spacing w:line="276" w:lineRule="auto"/>
              <w:rPr>
                <w:sz w:val="16"/>
                <w:szCs w:val="16"/>
              </w:rPr>
            </w:pPr>
          </w:p>
        </w:tc>
        <w:tc>
          <w:tcPr>
            <w:tcW w:w="425" w:type="dxa"/>
            <w:tcBorders>
              <w:top w:val="single" w:sz="2" w:space="0" w:color="3D7FE0" w:themeColor="accent1"/>
            </w:tcBorders>
            <w:shd w:val="clear" w:color="auto" w:fill="auto"/>
            <w:vAlign w:val="bottom"/>
          </w:tcPr>
          <w:p w14:paraId="0CC1FE60" w14:textId="77777777" w:rsidR="006B43AF" w:rsidRPr="005907D3" w:rsidRDefault="006B43AF" w:rsidP="004203CD">
            <w:pPr>
              <w:pStyle w:val="TablesTTextBold"/>
              <w:spacing w:line="276" w:lineRule="auto"/>
              <w:rPr>
                <w:rFonts w:ascii="IBM Plex Sans Light" w:hAnsi="IBM Plex Sans Light"/>
                <w:b/>
                <w:bCs/>
                <w:sz w:val="18"/>
                <w:szCs w:val="18"/>
              </w:rPr>
            </w:pPr>
          </w:p>
        </w:tc>
        <w:tc>
          <w:tcPr>
            <w:tcW w:w="992" w:type="dxa"/>
            <w:tcBorders>
              <w:top w:val="single" w:sz="2" w:space="0" w:color="3D7FE0" w:themeColor="accent1"/>
            </w:tcBorders>
            <w:shd w:val="clear" w:color="auto" w:fill="auto"/>
            <w:vAlign w:val="bottom"/>
          </w:tcPr>
          <w:p w14:paraId="094850D1"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133.1</w:t>
            </w:r>
          </w:p>
        </w:tc>
        <w:tc>
          <w:tcPr>
            <w:tcW w:w="992" w:type="dxa"/>
            <w:tcBorders>
              <w:top w:val="single" w:sz="2" w:space="0" w:color="3D7FE0" w:themeColor="accent1"/>
            </w:tcBorders>
            <w:shd w:val="clear" w:color="auto" w:fill="auto"/>
            <w:tcMar>
              <w:right w:w="57" w:type="dxa"/>
            </w:tcMar>
            <w:vAlign w:val="bottom"/>
          </w:tcPr>
          <w:p w14:paraId="36510E49" w14:textId="77777777" w:rsidR="006B43AF" w:rsidRPr="00DC13A1" w:rsidRDefault="006B43AF" w:rsidP="004203CD">
            <w:pPr>
              <w:pStyle w:val="TablesTFigures"/>
              <w:spacing w:line="276" w:lineRule="auto"/>
              <w:ind w:right="-56"/>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(1.7)</w:t>
            </w:r>
          </w:p>
        </w:tc>
        <w:tc>
          <w:tcPr>
            <w:tcW w:w="992" w:type="dxa"/>
            <w:tcBorders>
              <w:top w:val="single" w:sz="2" w:space="0" w:color="3D7FE0" w:themeColor="accent1"/>
              <w:left w:val="nil"/>
            </w:tcBorders>
            <w:shd w:val="clear" w:color="auto" w:fill="auto"/>
            <w:vAlign w:val="bottom"/>
          </w:tcPr>
          <w:p w14:paraId="5E9DCE60"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14.3</w:t>
            </w:r>
          </w:p>
        </w:tc>
        <w:tc>
          <w:tcPr>
            <w:tcW w:w="992" w:type="dxa"/>
            <w:tcBorders>
              <w:top w:val="single" w:sz="2" w:space="0" w:color="3D7FE0" w:themeColor="accent1"/>
            </w:tcBorders>
            <w:shd w:val="clear" w:color="auto" w:fill="auto"/>
            <w:vAlign w:val="bottom"/>
          </w:tcPr>
          <w:p w14:paraId="67031A21"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16.0</w:t>
            </w:r>
          </w:p>
        </w:tc>
        <w:tc>
          <w:tcPr>
            <w:tcW w:w="851" w:type="dxa"/>
            <w:tcBorders>
              <w:top w:val="single" w:sz="2" w:space="0" w:color="3D7FE0" w:themeColor="accent1"/>
            </w:tcBorders>
            <w:shd w:val="clear" w:color="auto" w:fill="auto"/>
            <w:vAlign w:val="bottom"/>
          </w:tcPr>
          <w:p w14:paraId="7D0E5B58"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161.7</w:t>
            </w:r>
          </w:p>
        </w:tc>
        <w:tc>
          <w:tcPr>
            <w:tcW w:w="992" w:type="dxa"/>
            <w:tcBorders>
              <w:top w:val="single" w:sz="2" w:space="0" w:color="3D7FE0" w:themeColor="accent1"/>
            </w:tcBorders>
            <w:shd w:val="clear" w:color="auto" w:fill="auto"/>
            <w:vAlign w:val="bottom"/>
          </w:tcPr>
          <w:p w14:paraId="2AD34CBC"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1.9</w:t>
            </w:r>
          </w:p>
        </w:tc>
        <w:tc>
          <w:tcPr>
            <w:tcW w:w="992" w:type="dxa"/>
            <w:tcBorders>
              <w:top w:val="single" w:sz="2" w:space="0" w:color="3D7FE0" w:themeColor="accent1"/>
            </w:tcBorders>
            <w:shd w:val="clear" w:color="auto" w:fill="auto"/>
            <w:vAlign w:val="bottom"/>
          </w:tcPr>
          <w:p w14:paraId="07339541"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163.6</w:t>
            </w:r>
          </w:p>
        </w:tc>
      </w:tr>
      <w:tr w:rsidR="006B43AF" w:rsidRPr="00DC13A1" w14:paraId="05997310" w14:textId="77777777" w:rsidTr="004203CD">
        <w:trPr>
          <w:trHeight w:val="20"/>
        </w:trPr>
        <w:tc>
          <w:tcPr>
            <w:tcW w:w="2410" w:type="dxa"/>
            <w:shd w:val="clear" w:color="auto" w:fill="auto"/>
            <w:vAlign w:val="bottom"/>
          </w:tcPr>
          <w:p w14:paraId="2BE08C29"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Developments and other</w:t>
            </w:r>
          </w:p>
        </w:tc>
        <w:tc>
          <w:tcPr>
            <w:tcW w:w="284" w:type="dxa"/>
            <w:shd w:val="clear" w:color="auto" w:fill="auto"/>
          </w:tcPr>
          <w:p w14:paraId="606DDB68" w14:textId="77777777" w:rsidR="006B43AF" w:rsidRPr="00A04876" w:rsidRDefault="006B43AF" w:rsidP="004203CD">
            <w:pPr>
              <w:pStyle w:val="13TBRightCopyIndentTableBack"/>
              <w:spacing w:line="276" w:lineRule="auto"/>
              <w:rPr>
                <w:sz w:val="16"/>
                <w:szCs w:val="16"/>
              </w:rPr>
            </w:pPr>
          </w:p>
        </w:tc>
        <w:tc>
          <w:tcPr>
            <w:tcW w:w="425" w:type="dxa"/>
            <w:shd w:val="clear" w:color="auto" w:fill="auto"/>
            <w:vAlign w:val="bottom"/>
          </w:tcPr>
          <w:p w14:paraId="71870ECD" w14:textId="77777777" w:rsidR="006B43AF" w:rsidRPr="005907D3" w:rsidRDefault="006B43AF" w:rsidP="004203CD">
            <w:pPr>
              <w:pStyle w:val="TablesTText"/>
              <w:spacing w:line="276" w:lineRule="auto"/>
              <w:rPr>
                <w:rFonts w:ascii="IBM Plex Sans Light" w:hAnsi="IBM Plex Sans Light"/>
                <w:sz w:val="18"/>
                <w:szCs w:val="18"/>
              </w:rPr>
            </w:pPr>
          </w:p>
        </w:tc>
        <w:tc>
          <w:tcPr>
            <w:tcW w:w="992" w:type="dxa"/>
            <w:shd w:val="clear" w:color="auto" w:fill="auto"/>
            <w:vAlign w:val="bottom"/>
          </w:tcPr>
          <w:p w14:paraId="654FCF7F"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w:t>
            </w:r>
          </w:p>
        </w:tc>
        <w:tc>
          <w:tcPr>
            <w:tcW w:w="992" w:type="dxa"/>
            <w:shd w:val="clear" w:color="auto" w:fill="auto"/>
            <w:tcMar>
              <w:right w:w="57" w:type="dxa"/>
            </w:tcMar>
            <w:vAlign w:val="bottom"/>
          </w:tcPr>
          <w:p w14:paraId="41D8333F" w14:textId="77777777" w:rsidR="006B43AF" w:rsidRPr="00DC13A1" w:rsidRDefault="006B43AF" w:rsidP="00024B10">
            <w:pPr>
              <w:pStyle w:val="TablesTFigures"/>
              <w:spacing w:line="276" w:lineRule="auto"/>
              <w:ind w:right="-56"/>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(0.1)</w:t>
            </w:r>
          </w:p>
        </w:tc>
        <w:tc>
          <w:tcPr>
            <w:tcW w:w="992" w:type="dxa"/>
            <w:tcBorders>
              <w:left w:val="nil"/>
            </w:tcBorders>
            <w:shd w:val="clear" w:color="auto" w:fill="auto"/>
            <w:vAlign w:val="bottom"/>
          </w:tcPr>
          <w:p w14:paraId="1E32D83F"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0.3</w:t>
            </w:r>
          </w:p>
        </w:tc>
        <w:tc>
          <w:tcPr>
            <w:tcW w:w="992" w:type="dxa"/>
            <w:shd w:val="clear" w:color="auto" w:fill="auto"/>
            <w:vAlign w:val="bottom"/>
          </w:tcPr>
          <w:p w14:paraId="1F9EB2FE"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12.9</w:t>
            </w:r>
          </w:p>
        </w:tc>
        <w:tc>
          <w:tcPr>
            <w:tcW w:w="851" w:type="dxa"/>
            <w:shd w:val="clear" w:color="auto" w:fill="auto"/>
            <w:vAlign w:val="bottom"/>
          </w:tcPr>
          <w:p w14:paraId="26458667"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13.1</w:t>
            </w:r>
          </w:p>
        </w:tc>
        <w:tc>
          <w:tcPr>
            <w:tcW w:w="992" w:type="dxa"/>
            <w:shd w:val="clear" w:color="auto" w:fill="auto"/>
            <w:vAlign w:val="bottom"/>
          </w:tcPr>
          <w:p w14:paraId="5441E5DF"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0.5</w:t>
            </w:r>
          </w:p>
        </w:tc>
        <w:tc>
          <w:tcPr>
            <w:tcW w:w="992" w:type="dxa"/>
            <w:shd w:val="clear" w:color="auto" w:fill="auto"/>
            <w:vAlign w:val="bottom"/>
          </w:tcPr>
          <w:p w14:paraId="7F1C8EA6"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sidRPr="00DC13A1">
              <w:rPr>
                <w:rFonts w:ascii="IBM Plex Sans Light" w:eastAsia="Chronicle Text G1" w:hAnsi="IBM Plex Sans Light" w:cs="Chronicle Text G1"/>
                <w:bCs/>
                <w:sz w:val="18"/>
                <w:szCs w:val="18"/>
              </w:rPr>
              <w:t>13.6</w:t>
            </w:r>
          </w:p>
        </w:tc>
      </w:tr>
      <w:tr w:rsidR="006B43AF" w:rsidRPr="00DC13A1" w14:paraId="3AFD36DC" w14:textId="77777777" w:rsidTr="004203CD">
        <w:trPr>
          <w:trHeight w:val="20"/>
        </w:trPr>
        <w:tc>
          <w:tcPr>
            <w:tcW w:w="2410" w:type="dxa"/>
            <w:tcBorders>
              <w:top w:val="single" w:sz="2" w:space="0" w:color="3D7FE0" w:themeColor="accent1"/>
              <w:bottom w:val="single" w:sz="8" w:space="0" w:color="3D7FE0" w:themeColor="accent1"/>
            </w:tcBorders>
            <w:shd w:val="clear" w:color="auto" w:fill="auto"/>
            <w:vAlign w:val="bottom"/>
          </w:tcPr>
          <w:p w14:paraId="6ADFF0EC"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Managed portfolio</w:t>
            </w:r>
          </w:p>
        </w:tc>
        <w:tc>
          <w:tcPr>
            <w:tcW w:w="284" w:type="dxa"/>
            <w:tcBorders>
              <w:top w:val="single" w:sz="2" w:space="0" w:color="3D7FE0" w:themeColor="accent1"/>
              <w:bottom w:val="single" w:sz="8" w:space="0" w:color="3D7FE0" w:themeColor="accent1"/>
            </w:tcBorders>
            <w:shd w:val="clear" w:color="auto" w:fill="auto"/>
          </w:tcPr>
          <w:p w14:paraId="2C2A6BD9" w14:textId="77777777" w:rsidR="006B43AF" w:rsidRPr="00A04876" w:rsidRDefault="006B43AF" w:rsidP="004203CD">
            <w:pPr>
              <w:pStyle w:val="13TBRightCopyIndentTableBack"/>
              <w:spacing w:line="276" w:lineRule="auto"/>
              <w:rPr>
                <w:sz w:val="16"/>
                <w:szCs w:val="16"/>
              </w:rPr>
            </w:pPr>
          </w:p>
        </w:tc>
        <w:tc>
          <w:tcPr>
            <w:tcW w:w="425" w:type="dxa"/>
            <w:tcBorders>
              <w:top w:val="single" w:sz="2" w:space="0" w:color="3D7FE0" w:themeColor="accent1"/>
              <w:bottom w:val="single" w:sz="8" w:space="0" w:color="3D7FE0" w:themeColor="accent1"/>
            </w:tcBorders>
            <w:shd w:val="clear" w:color="auto" w:fill="auto"/>
            <w:vAlign w:val="bottom"/>
          </w:tcPr>
          <w:p w14:paraId="72781CB3" w14:textId="77777777" w:rsidR="006B43AF" w:rsidRPr="005907D3" w:rsidRDefault="006B43AF" w:rsidP="004203CD">
            <w:pPr>
              <w:pStyle w:val="TablesTTextBold"/>
              <w:spacing w:line="276" w:lineRule="auto"/>
              <w:jc w:val="center"/>
              <w:rPr>
                <w:rFonts w:ascii="IBM Plex Sans Light" w:hAnsi="IBM Plex Sans Light"/>
                <w:sz w:val="18"/>
                <w:szCs w:val="18"/>
              </w:rPr>
            </w:pPr>
          </w:p>
        </w:tc>
        <w:tc>
          <w:tcPr>
            <w:tcW w:w="992" w:type="dxa"/>
            <w:tcBorders>
              <w:top w:val="single" w:sz="2" w:space="0" w:color="3D7FE0" w:themeColor="accent1"/>
              <w:bottom w:val="single" w:sz="8" w:space="0" w:color="3D7FE0" w:themeColor="accent1"/>
            </w:tcBorders>
            <w:shd w:val="clear" w:color="auto" w:fill="auto"/>
            <w:vAlign w:val="bottom"/>
          </w:tcPr>
          <w:p w14:paraId="04F1FA10"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133.1</w:t>
            </w:r>
          </w:p>
        </w:tc>
        <w:tc>
          <w:tcPr>
            <w:tcW w:w="992" w:type="dxa"/>
            <w:tcBorders>
              <w:top w:val="single" w:sz="2" w:space="0" w:color="3D7FE0" w:themeColor="accent1"/>
              <w:bottom w:val="single" w:sz="8" w:space="0" w:color="3D7FE0" w:themeColor="accent1"/>
            </w:tcBorders>
            <w:shd w:val="clear" w:color="auto" w:fill="auto"/>
            <w:tcMar>
              <w:right w:w="57" w:type="dxa"/>
            </w:tcMar>
            <w:vAlign w:val="bottom"/>
          </w:tcPr>
          <w:p w14:paraId="5212F52E" w14:textId="77777777" w:rsidR="006B43AF" w:rsidRPr="00DC13A1" w:rsidRDefault="006B43AF" w:rsidP="004203CD">
            <w:pPr>
              <w:pStyle w:val="TablesTFigures"/>
              <w:spacing w:line="276" w:lineRule="auto"/>
              <w:ind w:right="-56"/>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(1.8)</w:t>
            </w:r>
          </w:p>
        </w:tc>
        <w:tc>
          <w:tcPr>
            <w:tcW w:w="992" w:type="dxa"/>
            <w:tcBorders>
              <w:top w:val="single" w:sz="2" w:space="0" w:color="3D7FE0" w:themeColor="accent1"/>
              <w:left w:val="nil"/>
              <w:bottom w:val="single" w:sz="8" w:space="0" w:color="3D7FE0" w:themeColor="accent1"/>
            </w:tcBorders>
            <w:shd w:val="clear" w:color="auto" w:fill="auto"/>
            <w:vAlign w:val="bottom"/>
          </w:tcPr>
          <w:p w14:paraId="3C54B67C"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14.6</w:t>
            </w:r>
          </w:p>
        </w:tc>
        <w:tc>
          <w:tcPr>
            <w:tcW w:w="992" w:type="dxa"/>
            <w:tcBorders>
              <w:top w:val="single" w:sz="2" w:space="0" w:color="3D7FE0" w:themeColor="accent1"/>
              <w:bottom w:val="single" w:sz="8" w:space="0" w:color="3D7FE0" w:themeColor="accent1"/>
            </w:tcBorders>
            <w:shd w:val="clear" w:color="auto" w:fill="auto"/>
            <w:vAlign w:val="bottom"/>
          </w:tcPr>
          <w:p w14:paraId="18E9858C"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28.9</w:t>
            </w:r>
          </w:p>
        </w:tc>
        <w:tc>
          <w:tcPr>
            <w:tcW w:w="851" w:type="dxa"/>
            <w:tcBorders>
              <w:top w:val="single" w:sz="2" w:space="0" w:color="3D7FE0" w:themeColor="accent1"/>
              <w:bottom w:val="single" w:sz="8" w:space="0" w:color="3D7FE0" w:themeColor="accent1"/>
            </w:tcBorders>
            <w:shd w:val="clear" w:color="auto" w:fill="auto"/>
            <w:vAlign w:val="bottom"/>
          </w:tcPr>
          <w:p w14:paraId="51B4FECF"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174.8</w:t>
            </w:r>
          </w:p>
        </w:tc>
        <w:tc>
          <w:tcPr>
            <w:tcW w:w="992" w:type="dxa"/>
            <w:tcBorders>
              <w:top w:val="single" w:sz="2" w:space="0" w:color="3D7FE0" w:themeColor="accent1"/>
              <w:bottom w:val="single" w:sz="8" w:space="0" w:color="3D7FE0" w:themeColor="accent1"/>
            </w:tcBorders>
            <w:shd w:val="clear" w:color="auto" w:fill="auto"/>
            <w:vAlign w:val="bottom"/>
          </w:tcPr>
          <w:p w14:paraId="27A038D2"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2.4</w:t>
            </w:r>
          </w:p>
        </w:tc>
        <w:tc>
          <w:tcPr>
            <w:tcW w:w="992" w:type="dxa"/>
            <w:tcBorders>
              <w:top w:val="single" w:sz="2" w:space="0" w:color="3D7FE0" w:themeColor="accent1"/>
              <w:bottom w:val="single" w:sz="8" w:space="0" w:color="3D7FE0" w:themeColor="accent1"/>
            </w:tcBorders>
            <w:shd w:val="clear" w:color="auto" w:fill="auto"/>
            <w:vAlign w:val="bottom"/>
          </w:tcPr>
          <w:p w14:paraId="48B0A02A" w14:textId="77777777" w:rsidR="006B43AF" w:rsidRPr="00DC13A1" w:rsidRDefault="006B43AF" w:rsidP="004203CD">
            <w:pPr>
              <w:pStyle w:val="TablesTFigures"/>
              <w:spacing w:line="276" w:lineRule="auto"/>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177.2</w:t>
            </w:r>
          </w:p>
        </w:tc>
      </w:tr>
    </w:tbl>
    <w:p w14:paraId="1F2E7A54" w14:textId="77777777" w:rsidR="006B43AF" w:rsidRDefault="006B43AF" w:rsidP="006B43AF">
      <w:pPr>
        <w:pStyle w:val="Footnotes"/>
        <w:ind w:left="284" w:hanging="284"/>
        <w:rPr>
          <w:rFonts w:ascii="IBM Plex Sans Light" w:hAnsi="IBM Plex Sans Light"/>
          <w:sz w:val="16"/>
          <w:szCs w:val="22"/>
        </w:rPr>
      </w:pPr>
    </w:p>
    <w:p w14:paraId="5517AB47" w14:textId="77777777" w:rsidR="006B43AF" w:rsidRPr="005907D3" w:rsidRDefault="006B43AF" w:rsidP="006B43AF">
      <w:pPr>
        <w:pStyle w:val="Footnotes"/>
        <w:ind w:left="284" w:hanging="284"/>
        <w:rPr>
          <w:rFonts w:ascii="IBM Plex Sans Light" w:hAnsi="IBM Plex Sans Light"/>
        </w:rPr>
      </w:pPr>
      <w:r>
        <w:rPr>
          <w:rFonts w:ascii="IBM Plex Sans Light" w:hAnsi="IBM Plex Sans Light"/>
          <w:sz w:val="16"/>
          <w:szCs w:val="22"/>
        </w:rPr>
        <w:t xml:space="preserve">The </w:t>
      </w:r>
      <w:r w:rsidRPr="005B09DA">
        <w:rPr>
          <w:rFonts w:ascii="IBM Plex Sans Light" w:hAnsi="IBM Plex Sans Light"/>
          <w:sz w:val="16"/>
          <w:szCs w:val="22"/>
        </w:rPr>
        <w:t>Managed portfolio value on which like-for-like growth is based was £2,</w:t>
      </w:r>
      <w:r>
        <w:rPr>
          <w:rFonts w:ascii="IBM Plex Sans Light" w:hAnsi="IBM Plex Sans Light"/>
          <w:sz w:val="16"/>
          <w:szCs w:val="22"/>
        </w:rPr>
        <w:t>008</w:t>
      </w:r>
      <w:r w:rsidRPr="005B09DA">
        <w:rPr>
          <w:rFonts w:ascii="IBM Plex Sans Light" w:hAnsi="IBM Plex Sans Light"/>
          <w:sz w:val="16"/>
          <w:szCs w:val="22"/>
        </w:rPr>
        <w:t>m</w:t>
      </w:r>
      <w:r w:rsidRPr="001F5942">
        <w:rPr>
          <w:rFonts w:ascii="IBM Plex Sans Light" w:hAnsi="IBM Plex Sans Light"/>
          <w:sz w:val="16"/>
          <w:szCs w:val="22"/>
        </w:rPr>
        <w:t xml:space="preserve"> (202</w:t>
      </w:r>
      <w:r>
        <w:rPr>
          <w:rFonts w:ascii="IBM Plex Sans Light" w:hAnsi="IBM Plex Sans Light"/>
          <w:sz w:val="16"/>
          <w:szCs w:val="22"/>
        </w:rPr>
        <w:t>2</w:t>
      </w:r>
      <w:r w:rsidRPr="001F5942">
        <w:rPr>
          <w:rFonts w:ascii="IBM Plex Sans Light" w:hAnsi="IBM Plex Sans Light"/>
          <w:sz w:val="16"/>
          <w:szCs w:val="22"/>
        </w:rPr>
        <w:t>: £2,</w:t>
      </w:r>
      <w:r>
        <w:rPr>
          <w:rFonts w:ascii="IBM Plex Sans Light" w:hAnsi="IBM Plex Sans Light"/>
          <w:sz w:val="16"/>
          <w:szCs w:val="22"/>
        </w:rPr>
        <w:t>244</w:t>
      </w:r>
      <w:r w:rsidRPr="001F5942">
        <w:rPr>
          <w:rFonts w:ascii="IBM Plex Sans Light" w:hAnsi="IBM Plex Sans Light"/>
          <w:sz w:val="16"/>
          <w:szCs w:val="22"/>
        </w:rPr>
        <w:t>m)</w:t>
      </w:r>
      <w:r w:rsidRPr="005B09DA">
        <w:rPr>
          <w:rFonts w:ascii="IBM Plex Sans Light" w:hAnsi="IBM Plex Sans Light"/>
          <w:sz w:val="16"/>
          <w:szCs w:val="22"/>
        </w:rPr>
        <w:t>.</w:t>
      </w:r>
    </w:p>
    <w:p w14:paraId="1B81278F" w14:textId="77777777" w:rsidR="006B43AF"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p>
    <w:p w14:paraId="44D74DEC"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Rental data </w:t>
      </w:r>
    </w:p>
    <w:p w14:paraId="12D540B0" w14:textId="77777777" w:rsidR="006B43AF" w:rsidRPr="00280504" w:rsidRDefault="006B43AF" w:rsidP="006B43AF">
      <w:pPr>
        <w:rPr>
          <w:rFonts w:ascii="IBM Plex Sans Light" w:hAnsi="IBM Plex Sans Light"/>
          <w:b/>
        </w:rPr>
      </w:pPr>
      <w:r w:rsidRPr="00280504">
        <w:rPr>
          <w:rFonts w:ascii="IBM Plex Sans Light" w:hAnsi="IBM Plex Sans Light"/>
          <w:b/>
        </w:rPr>
        <w:t xml:space="preserve">Table </w:t>
      </w:r>
      <w:r>
        <w:rPr>
          <w:rFonts w:ascii="IBM Plex Sans Light" w:hAnsi="IBM Plex Sans Light"/>
          <w:b/>
        </w:rPr>
        <w:t>4</w:t>
      </w:r>
    </w:p>
    <w:tbl>
      <w:tblPr>
        <w:tblW w:w="9923" w:type="dxa"/>
        <w:tblLayout w:type="fixed"/>
        <w:tblCellMar>
          <w:left w:w="0" w:type="dxa"/>
          <w:right w:w="0" w:type="dxa"/>
        </w:tblCellMar>
        <w:tblLook w:val="04A0" w:firstRow="1" w:lastRow="0" w:firstColumn="1" w:lastColumn="0" w:noHBand="0" w:noVBand="1"/>
      </w:tblPr>
      <w:tblGrid>
        <w:gridCol w:w="2268"/>
        <w:gridCol w:w="993"/>
        <w:gridCol w:w="1134"/>
        <w:gridCol w:w="850"/>
        <w:gridCol w:w="992"/>
        <w:gridCol w:w="993"/>
        <w:gridCol w:w="992"/>
        <w:gridCol w:w="850"/>
        <w:gridCol w:w="851"/>
      </w:tblGrid>
      <w:tr w:rsidR="00B60568" w:rsidRPr="005907D3" w14:paraId="6AA47495" w14:textId="77777777" w:rsidTr="00B60568">
        <w:trPr>
          <w:trHeight w:val="20"/>
        </w:trPr>
        <w:tc>
          <w:tcPr>
            <w:tcW w:w="2268" w:type="dxa"/>
            <w:tcBorders>
              <w:bottom w:val="single" w:sz="2" w:space="0" w:color="3D7FE0" w:themeColor="accent1"/>
            </w:tcBorders>
            <w:shd w:val="clear" w:color="auto" w:fill="auto"/>
            <w:vAlign w:val="bottom"/>
          </w:tcPr>
          <w:p w14:paraId="1A1F4D46" w14:textId="77777777" w:rsidR="00B60568" w:rsidRPr="005907D3" w:rsidDel="008803B1" w:rsidRDefault="00B60568" w:rsidP="004203CD">
            <w:pPr>
              <w:pStyle w:val="TablesTColHeadsLeft"/>
              <w:rPr>
                <w:rFonts w:ascii="IBM Plex Sans Light" w:hAnsi="IBM Plex Sans Light"/>
                <w:sz w:val="14"/>
                <w:szCs w:val="24"/>
              </w:rPr>
            </w:pPr>
          </w:p>
        </w:tc>
        <w:tc>
          <w:tcPr>
            <w:tcW w:w="993" w:type="dxa"/>
            <w:tcBorders>
              <w:bottom w:val="single" w:sz="2" w:space="0" w:color="3D7FE0" w:themeColor="accent1"/>
            </w:tcBorders>
            <w:shd w:val="clear" w:color="auto" w:fill="auto"/>
            <w:vAlign w:val="bottom"/>
          </w:tcPr>
          <w:p w14:paraId="3DE425C9" w14:textId="77777777" w:rsidR="00B60568" w:rsidRPr="005907D3" w:rsidRDefault="00B60568" w:rsidP="004203CD">
            <w:pPr>
              <w:pStyle w:val="TablesTColHeadsBold"/>
              <w:rPr>
                <w:rFonts w:ascii="IBM Plex Sans Light" w:hAnsi="IBM Plex Sans Light"/>
                <w:sz w:val="14"/>
                <w:szCs w:val="24"/>
              </w:rPr>
            </w:pPr>
          </w:p>
        </w:tc>
        <w:tc>
          <w:tcPr>
            <w:tcW w:w="1134" w:type="dxa"/>
            <w:tcBorders>
              <w:bottom w:val="single" w:sz="2" w:space="0" w:color="3D7FE0" w:themeColor="accent1"/>
            </w:tcBorders>
            <w:shd w:val="clear" w:color="auto" w:fill="auto"/>
            <w:vAlign w:val="bottom"/>
          </w:tcPr>
          <w:p w14:paraId="748A6210" w14:textId="77777777" w:rsidR="00B60568" w:rsidRPr="005907D3" w:rsidRDefault="00B60568" w:rsidP="004203CD">
            <w:pPr>
              <w:pStyle w:val="TablesTColHeadsBold"/>
              <w:rPr>
                <w:rFonts w:ascii="IBM Plex Sans Light" w:hAnsi="IBM Plex Sans Light"/>
                <w:sz w:val="14"/>
                <w:szCs w:val="24"/>
              </w:rPr>
            </w:pPr>
          </w:p>
        </w:tc>
        <w:tc>
          <w:tcPr>
            <w:tcW w:w="850" w:type="dxa"/>
            <w:tcBorders>
              <w:bottom w:val="single" w:sz="2" w:space="0" w:color="3D7FE0" w:themeColor="accent1"/>
            </w:tcBorders>
          </w:tcPr>
          <w:p w14:paraId="5F39E809" w14:textId="77777777" w:rsidR="00B60568" w:rsidRPr="005907D3" w:rsidRDefault="00B60568" w:rsidP="004203CD">
            <w:pPr>
              <w:pStyle w:val="TableTColHeadsBoldNoIndent"/>
              <w:rPr>
                <w:rFonts w:ascii="IBM Plex Sans Light" w:hAnsi="IBM Plex Sans Light"/>
                <w:sz w:val="14"/>
                <w:szCs w:val="24"/>
              </w:rPr>
            </w:pPr>
          </w:p>
        </w:tc>
        <w:tc>
          <w:tcPr>
            <w:tcW w:w="992" w:type="dxa"/>
            <w:tcBorders>
              <w:bottom w:val="single" w:sz="2" w:space="0" w:color="3D7FE0" w:themeColor="accent1"/>
            </w:tcBorders>
            <w:shd w:val="clear" w:color="auto" w:fill="auto"/>
            <w:vAlign w:val="bottom"/>
          </w:tcPr>
          <w:p w14:paraId="7BE0FC0A" w14:textId="694A3757" w:rsidR="00B60568" w:rsidRPr="005907D3" w:rsidRDefault="00B60568" w:rsidP="004203CD">
            <w:pPr>
              <w:pStyle w:val="TableTColHeadsBoldNoIndent"/>
              <w:rPr>
                <w:rFonts w:ascii="IBM Plex Sans Light" w:hAnsi="IBM Plex Sans Light"/>
                <w:sz w:val="14"/>
                <w:szCs w:val="24"/>
              </w:rPr>
            </w:pPr>
          </w:p>
        </w:tc>
        <w:tc>
          <w:tcPr>
            <w:tcW w:w="993" w:type="dxa"/>
            <w:tcBorders>
              <w:bottom w:val="single" w:sz="2" w:space="0" w:color="3D7FE0" w:themeColor="accent1"/>
            </w:tcBorders>
          </w:tcPr>
          <w:p w14:paraId="01321222" w14:textId="77777777" w:rsidR="00B60568" w:rsidRPr="005907D3" w:rsidRDefault="00B60568" w:rsidP="004203CD">
            <w:pPr>
              <w:pStyle w:val="TablesTColHeadsBold"/>
              <w:rPr>
                <w:rFonts w:ascii="IBM Plex Sans Light" w:hAnsi="IBM Plex Sans Light"/>
                <w:color w:val="3D7FE0" w:themeColor="accent1"/>
                <w:sz w:val="14"/>
                <w:szCs w:val="24"/>
              </w:rPr>
            </w:pPr>
          </w:p>
        </w:tc>
        <w:tc>
          <w:tcPr>
            <w:tcW w:w="2693" w:type="dxa"/>
            <w:gridSpan w:val="3"/>
            <w:tcBorders>
              <w:bottom w:val="single" w:sz="2" w:space="0" w:color="3D7FE0" w:themeColor="accent1"/>
            </w:tcBorders>
            <w:shd w:val="clear" w:color="auto" w:fill="auto"/>
            <w:vAlign w:val="bottom"/>
          </w:tcPr>
          <w:p w14:paraId="78EE579F" w14:textId="77777777" w:rsidR="00B60568" w:rsidRPr="005907D3" w:rsidRDefault="00B60568"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p>
        </w:tc>
      </w:tr>
      <w:tr w:rsidR="00B60568" w:rsidRPr="005907D3" w14:paraId="086F4FCE" w14:textId="77777777" w:rsidTr="00024B10">
        <w:trPr>
          <w:trHeight w:val="20"/>
        </w:trPr>
        <w:tc>
          <w:tcPr>
            <w:tcW w:w="2268" w:type="dxa"/>
            <w:tcBorders>
              <w:top w:val="single" w:sz="2" w:space="0" w:color="3D7FE0" w:themeColor="accent1"/>
              <w:bottom w:val="single" w:sz="2" w:space="0" w:color="3D7FE0" w:themeColor="accent1"/>
            </w:tcBorders>
            <w:shd w:val="clear" w:color="auto" w:fill="auto"/>
            <w:vAlign w:val="bottom"/>
          </w:tcPr>
          <w:p w14:paraId="42196D3E" w14:textId="77777777" w:rsidR="00B60568" w:rsidRPr="005907D3" w:rsidRDefault="00B60568" w:rsidP="004203CD">
            <w:pPr>
              <w:pStyle w:val="TablesTHeading2"/>
              <w:spacing w:after="0" w:line="240" w:lineRule="auto"/>
              <w:rPr>
                <w:rFonts w:ascii="IBM Plex Sans Light" w:hAnsi="IBM Plex Sans Light"/>
                <w:sz w:val="14"/>
                <w:szCs w:val="24"/>
                <w:highlight w:val="yellow"/>
              </w:rPr>
            </w:pPr>
            <w:r w:rsidRPr="005907D3">
              <w:rPr>
                <w:rFonts w:ascii="IBM Plex Sans Light" w:hAnsi="IBM Plex Sans Light"/>
                <w:color w:val="3D7FE0" w:themeColor="accent1"/>
                <w:sz w:val="14"/>
              </w:rPr>
              <w:t>Proportionally consolidated</w:t>
            </w:r>
          </w:p>
        </w:tc>
        <w:tc>
          <w:tcPr>
            <w:tcW w:w="993" w:type="dxa"/>
            <w:tcBorders>
              <w:top w:val="single" w:sz="2" w:space="0" w:color="3D7FE0" w:themeColor="accent1"/>
              <w:bottom w:val="single" w:sz="2" w:space="0" w:color="3D7FE0" w:themeColor="accent1"/>
            </w:tcBorders>
            <w:shd w:val="clear" w:color="auto" w:fill="auto"/>
            <w:vAlign w:val="bottom"/>
          </w:tcPr>
          <w:p w14:paraId="6480B9B0" w14:textId="77777777" w:rsidR="00B60568" w:rsidRPr="005907D3" w:rsidRDefault="00B60568"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Gross rental</w:t>
            </w:r>
            <w:r w:rsidRPr="005907D3">
              <w:rPr>
                <w:rFonts w:ascii="IBM Plex Sans Light" w:hAnsi="IBM Plex Sans Light"/>
                <w:color w:val="3D7FE0" w:themeColor="accent1"/>
                <w:sz w:val="14"/>
                <w:szCs w:val="24"/>
              </w:rPr>
              <w:br/>
              <w:t>income</w:t>
            </w:r>
            <w:r w:rsidRPr="005907D3">
              <w:rPr>
                <w:rFonts w:ascii="IBM Plex Sans Light" w:hAnsi="IBM Plex Sans Light"/>
                <w:color w:val="3D7FE0" w:themeColor="accent1"/>
                <w:sz w:val="14"/>
                <w:szCs w:val="24"/>
              </w:rPr>
              <w:br/>
              <w:t>£m</w:t>
            </w:r>
          </w:p>
        </w:tc>
        <w:tc>
          <w:tcPr>
            <w:tcW w:w="1134" w:type="dxa"/>
            <w:tcBorders>
              <w:top w:val="single" w:sz="2" w:space="0" w:color="3D7FE0" w:themeColor="accent1"/>
              <w:bottom w:val="single" w:sz="2" w:space="0" w:color="3D7FE0" w:themeColor="accent1"/>
            </w:tcBorders>
            <w:shd w:val="clear" w:color="auto" w:fill="auto"/>
            <w:vAlign w:val="bottom"/>
          </w:tcPr>
          <w:p w14:paraId="396090CB" w14:textId="77777777" w:rsidR="00B60568" w:rsidRPr="005907D3" w:rsidRDefault="00B60568"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Adjusted net rental</w:t>
            </w:r>
            <w:r w:rsidRPr="005907D3">
              <w:rPr>
                <w:rFonts w:ascii="IBM Plex Sans Light" w:hAnsi="IBM Plex Sans Light"/>
                <w:color w:val="3D7FE0" w:themeColor="accent1"/>
                <w:sz w:val="14"/>
                <w:szCs w:val="24"/>
              </w:rPr>
              <w:br/>
              <w:t>income</w:t>
            </w:r>
            <w:r w:rsidRPr="005907D3">
              <w:rPr>
                <w:rFonts w:ascii="IBM Plex Sans Light" w:hAnsi="IBM Plex Sans Light"/>
                <w:color w:val="3D7FE0" w:themeColor="accent1"/>
                <w:sz w:val="14"/>
                <w:szCs w:val="24"/>
              </w:rPr>
              <w:br/>
              <w:t>£m</w:t>
            </w:r>
          </w:p>
        </w:tc>
        <w:tc>
          <w:tcPr>
            <w:tcW w:w="850" w:type="dxa"/>
            <w:tcBorders>
              <w:top w:val="single" w:sz="2" w:space="0" w:color="3D7FE0" w:themeColor="accent1"/>
              <w:bottom w:val="single" w:sz="2" w:space="0" w:color="3D7FE0" w:themeColor="accent1"/>
            </w:tcBorders>
            <w:vAlign w:val="bottom"/>
          </w:tcPr>
          <w:p w14:paraId="27C15063" w14:textId="194C91D4" w:rsidR="00B60568" w:rsidRPr="005907D3" w:rsidRDefault="00B60568" w:rsidP="00B60568">
            <w:pPr>
              <w:pStyle w:val="TableTColHeadsBoldNoIndent"/>
              <w:rPr>
                <w:rFonts w:ascii="IBM Plex Sans Light" w:hAnsi="IBM Plex Sans Light"/>
                <w:color w:val="3D7FE0" w:themeColor="accent1"/>
                <w:sz w:val="14"/>
                <w:szCs w:val="24"/>
              </w:rPr>
            </w:pPr>
            <w:r>
              <w:rPr>
                <w:rFonts w:ascii="IBM Plex Sans Light" w:hAnsi="IBM Plex Sans Light"/>
                <w:color w:val="3D7FE0" w:themeColor="accent1"/>
                <w:sz w:val="14"/>
                <w:szCs w:val="24"/>
              </w:rPr>
              <w:t>Vacancy</w:t>
            </w:r>
            <w:r>
              <w:rPr>
                <w:rFonts w:ascii="IBM Plex Sans Light" w:hAnsi="IBM Plex Sans Light"/>
                <w:color w:val="3D7FE0" w:themeColor="accent1"/>
                <w:sz w:val="14"/>
                <w:szCs w:val="24"/>
              </w:rPr>
              <w:br/>
              <w:t xml:space="preserve"> rate</w:t>
            </w:r>
            <w:r w:rsidRPr="005907D3">
              <w:rPr>
                <w:rFonts w:ascii="IBM Plex Sans Light" w:hAnsi="IBM Plex Sans Light"/>
                <w:color w:val="3D7FE0" w:themeColor="accent1"/>
                <w:sz w:val="14"/>
                <w:szCs w:val="24"/>
              </w:rPr>
              <w:br/>
            </w:r>
            <w:r>
              <w:rPr>
                <w:rFonts w:ascii="IBM Plex Sans Light" w:hAnsi="IBM Plex Sans Light"/>
                <w:color w:val="3D7FE0" w:themeColor="accent1"/>
                <w:sz w:val="14"/>
                <w:szCs w:val="24"/>
              </w:rPr>
              <w:t>%</w:t>
            </w:r>
          </w:p>
        </w:tc>
        <w:tc>
          <w:tcPr>
            <w:tcW w:w="992" w:type="dxa"/>
            <w:tcBorders>
              <w:top w:val="single" w:sz="2" w:space="0" w:color="3D7FE0" w:themeColor="accent1"/>
              <w:bottom w:val="single" w:sz="2" w:space="0" w:color="3D7FE0" w:themeColor="accent1"/>
            </w:tcBorders>
            <w:shd w:val="clear" w:color="auto" w:fill="auto"/>
            <w:vAlign w:val="bottom"/>
          </w:tcPr>
          <w:p w14:paraId="489F9F40" w14:textId="4B877C88" w:rsidR="00B60568" w:rsidRPr="005907D3" w:rsidRDefault="00B60568" w:rsidP="004203CD">
            <w:pPr>
              <w:pStyle w:val="TableTColHeadsBoldNoIndent"/>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Average </w:t>
            </w:r>
            <w:r w:rsidRPr="005907D3">
              <w:rPr>
                <w:rFonts w:ascii="IBM Plex Sans Light" w:hAnsi="IBM Plex Sans Light"/>
                <w:color w:val="3D7FE0" w:themeColor="accent1"/>
                <w:sz w:val="14"/>
                <w:szCs w:val="24"/>
              </w:rPr>
              <w:br/>
              <w:t>rents </w:t>
            </w:r>
            <w:r w:rsidRPr="005907D3">
              <w:rPr>
                <w:rFonts w:ascii="IBM Plex Sans Light" w:hAnsi="IBM Plex Sans Light"/>
                <w:color w:val="3D7FE0" w:themeColor="accent1"/>
                <w:sz w:val="14"/>
                <w:szCs w:val="24"/>
              </w:rPr>
              <w:br/>
              <w:t>passing </w:t>
            </w:r>
            <w:r w:rsidRPr="005907D3">
              <w:rPr>
                <w:rFonts w:ascii="IBM Plex Sans Light" w:hAnsi="IBM Plex Sans Light"/>
                <w:color w:val="3D7FE0" w:themeColor="accent1"/>
                <w:sz w:val="14"/>
                <w:szCs w:val="24"/>
              </w:rPr>
              <w:br/>
              <w:t>£/m</w:t>
            </w:r>
            <w:r w:rsidRPr="005907D3">
              <w:rPr>
                <w:rFonts w:ascii="IBM Plex Sans Light" w:hAnsi="IBM Plex Sans Light"/>
                <w:color w:val="3D7FE0" w:themeColor="accent1"/>
                <w:sz w:val="14"/>
                <w:szCs w:val="24"/>
                <w:vertAlign w:val="superscript"/>
              </w:rPr>
              <w:t>2</w:t>
            </w:r>
            <w:r w:rsidRPr="005907D3">
              <w:rPr>
                <w:rFonts w:ascii="IBM Plex Sans Light" w:hAnsi="IBM Plex Sans Light"/>
                <w:color w:val="3D7FE0" w:themeColor="accent1"/>
                <w:sz w:val="14"/>
                <w:szCs w:val="24"/>
              </w:rPr>
              <w:t> </w:t>
            </w:r>
          </w:p>
        </w:tc>
        <w:tc>
          <w:tcPr>
            <w:tcW w:w="993" w:type="dxa"/>
            <w:tcBorders>
              <w:top w:val="single" w:sz="2" w:space="0" w:color="3D7FE0" w:themeColor="accent1"/>
              <w:bottom w:val="single" w:sz="2" w:space="0" w:color="3D7FE0" w:themeColor="accent1"/>
            </w:tcBorders>
            <w:shd w:val="clear" w:color="auto" w:fill="auto"/>
            <w:vAlign w:val="bottom"/>
          </w:tcPr>
          <w:p w14:paraId="2EAD3C7B" w14:textId="77777777" w:rsidR="00B60568" w:rsidRPr="005907D3" w:rsidRDefault="00B60568" w:rsidP="004203CD">
            <w:pPr>
              <w:pStyle w:val="TableTColHeadsBoldNoIndent"/>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Rents  </w:t>
            </w:r>
            <w:r w:rsidRPr="005907D3">
              <w:rPr>
                <w:rFonts w:ascii="IBM Plex Sans Light" w:hAnsi="IBM Plex Sans Light"/>
                <w:color w:val="3D7FE0" w:themeColor="accent1"/>
                <w:sz w:val="14"/>
                <w:szCs w:val="24"/>
              </w:rPr>
              <w:br/>
              <w:t>passing </w:t>
            </w:r>
            <w:r w:rsidRPr="005907D3">
              <w:rPr>
                <w:rFonts w:ascii="IBM Plex Sans Light" w:hAnsi="IBM Plex Sans Light"/>
                <w:color w:val="3D7FE0" w:themeColor="accent1"/>
                <w:sz w:val="14"/>
                <w:szCs w:val="24"/>
                <w:vertAlign w:val="superscript"/>
              </w:rPr>
              <w:t> </w:t>
            </w:r>
            <w:r w:rsidRPr="005907D3">
              <w:rPr>
                <w:rFonts w:ascii="IBM Plex Sans Light" w:hAnsi="IBM Plex Sans Light"/>
                <w:color w:val="3D7FE0" w:themeColor="accent1"/>
                <w:sz w:val="14"/>
                <w:szCs w:val="24"/>
              </w:rPr>
              <w:br/>
              <w:t>£m  </w:t>
            </w:r>
          </w:p>
        </w:tc>
        <w:tc>
          <w:tcPr>
            <w:tcW w:w="992" w:type="dxa"/>
            <w:tcBorders>
              <w:top w:val="single" w:sz="2" w:space="0" w:color="3D7FE0" w:themeColor="accent1"/>
              <w:bottom w:val="single" w:sz="2" w:space="0" w:color="3D7FE0" w:themeColor="accent1"/>
            </w:tcBorders>
            <w:vAlign w:val="bottom"/>
          </w:tcPr>
          <w:p w14:paraId="46F6198B" w14:textId="77777777" w:rsidR="00B60568" w:rsidRPr="005907D3" w:rsidRDefault="00B60568" w:rsidP="004203CD">
            <w:pPr>
              <w:pStyle w:val="TableTColHeadsBoldNoIndent"/>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Estimated rental value </w:t>
            </w:r>
            <w:r w:rsidRPr="005907D3">
              <w:rPr>
                <w:rFonts w:ascii="IBM Plex Sans Light" w:hAnsi="IBM Plex Sans Light"/>
                <w:color w:val="3D7FE0" w:themeColor="accent1"/>
                <w:sz w:val="14"/>
                <w:szCs w:val="24"/>
              </w:rPr>
              <w:br/>
              <w:t>£m</w:t>
            </w:r>
          </w:p>
        </w:tc>
        <w:tc>
          <w:tcPr>
            <w:tcW w:w="850" w:type="dxa"/>
            <w:tcBorders>
              <w:top w:val="single" w:sz="2" w:space="0" w:color="3D7FE0" w:themeColor="accent1"/>
              <w:bottom w:val="single" w:sz="2" w:space="0" w:color="3D7FE0" w:themeColor="accent1"/>
            </w:tcBorders>
            <w:shd w:val="clear" w:color="auto" w:fill="auto"/>
            <w:vAlign w:val="bottom"/>
          </w:tcPr>
          <w:p w14:paraId="6A3EC1AF" w14:textId="1725249C" w:rsidR="00B60568" w:rsidRPr="005907D3" w:rsidRDefault="00B60568" w:rsidP="004203CD">
            <w:pPr>
              <w:pStyle w:val="TableTColHeadsBoldNoIndent"/>
              <w:rPr>
                <w:rFonts w:ascii="IBM Plex Sans Light" w:hAnsi="IBM Plex Sans Light"/>
                <w:color w:val="3D7FE0" w:themeColor="accent1"/>
                <w:sz w:val="14"/>
                <w:szCs w:val="24"/>
              </w:rPr>
            </w:pPr>
            <w:r>
              <w:rPr>
                <w:rFonts w:ascii="IBM Plex Sans Light" w:hAnsi="IBM Plex Sans Light"/>
                <w:color w:val="3D7FE0" w:themeColor="accent1"/>
                <w:sz w:val="14"/>
                <w:szCs w:val="24"/>
              </w:rPr>
              <w:t>Rents passing for reversion</w:t>
            </w:r>
            <w:r w:rsidRPr="005907D3">
              <w:rPr>
                <w:rFonts w:ascii="IBM Plex Sans Light" w:hAnsi="IBM Plex Sans Light"/>
                <w:color w:val="3D7FE0" w:themeColor="accent1"/>
                <w:sz w:val="14"/>
                <w:szCs w:val="24"/>
              </w:rPr>
              <w:t> </w:t>
            </w:r>
            <w:r w:rsidRPr="005907D3">
              <w:rPr>
                <w:rFonts w:ascii="IBM Plex Sans Light" w:hAnsi="IBM Plex Sans Light"/>
                <w:color w:val="3D7FE0" w:themeColor="accent1"/>
                <w:sz w:val="14"/>
                <w:szCs w:val="24"/>
              </w:rPr>
              <w:br/>
              <w:t>£m </w:t>
            </w:r>
          </w:p>
        </w:tc>
        <w:tc>
          <w:tcPr>
            <w:tcW w:w="851" w:type="dxa"/>
            <w:tcBorders>
              <w:top w:val="single" w:sz="2" w:space="0" w:color="3D7FE0" w:themeColor="accent1"/>
              <w:bottom w:val="single" w:sz="2" w:space="0" w:color="3D7FE0" w:themeColor="accent1"/>
            </w:tcBorders>
            <w:shd w:val="clear" w:color="auto" w:fill="auto"/>
            <w:vAlign w:val="bottom"/>
          </w:tcPr>
          <w:p w14:paraId="04994EC3" w14:textId="77777777" w:rsidR="00B60568" w:rsidRPr="005907D3" w:rsidRDefault="00B60568"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Reversion/</w:t>
            </w:r>
            <w:r w:rsidRPr="005907D3">
              <w:rPr>
                <w:rFonts w:ascii="IBM Plex Sans Light" w:hAnsi="IBM Plex Sans Light"/>
                <w:color w:val="3D7FE0" w:themeColor="accent1"/>
                <w:sz w:val="14"/>
                <w:szCs w:val="24"/>
              </w:rPr>
              <w:br/>
              <w:t>(over-rented)</w:t>
            </w:r>
            <w:r w:rsidRPr="005907D3">
              <w:rPr>
                <w:rFonts w:ascii="IBM Plex Sans Light" w:hAnsi="IBM Plex Sans Light"/>
                <w:color w:val="3D7FE0" w:themeColor="accent1"/>
                <w:sz w:val="14"/>
                <w:szCs w:val="24"/>
              </w:rPr>
              <w:br/>
              <w:t>%</w:t>
            </w:r>
          </w:p>
        </w:tc>
      </w:tr>
      <w:tr w:rsidR="00B60568" w:rsidRPr="005907D3" w14:paraId="267A7DF8" w14:textId="77777777" w:rsidTr="00024B10">
        <w:trPr>
          <w:trHeight w:val="20"/>
        </w:trPr>
        <w:tc>
          <w:tcPr>
            <w:tcW w:w="2268" w:type="dxa"/>
            <w:tcBorders>
              <w:top w:val="single" w:sz="2" w:space="0" w:color="3D7FE0" w:themeColor="accent1"/>
            </w:tcBorders>
            <w:vAlign w:val="bottom"/>
          </w:tcPr>
          <w:p w14:paraId="315557D2" w14:textId="77777777" w:rsidR="00B60568" w:rsidRPr="005907D3" w:rsidRDefault="00B60568" w:rsidP="00B60568">
            <w:pPr>
              <w:pStyle w:val="TablesTText"/>
              <w:rPr>
                <w:rFonts w:ascii="IBM Plex Sans Light" w:hAnsi="IBM Plex Sans Light"/>
              </w:rPr>
            </w:pPr>
          </w:p>
        </w:tc>
        <w:tc>
          <w:tcPr>
            <w:tcW w:w="993" w:type="dxa"/>
            <w:tcBorders>
              <w:top w:val="single" w:sz="2" w:space="0" w:color="3D7FE0" w:themeColor="accent1"/>
            </w:tcBorders>
            <w:shd w:val="clear" w:color="auto" w:fill="auto"/>
            <w:vAlign w:val="bottom"/>
          </w:tcPr>
          <w:p w14:paraId="3216DFCB" w14:textId="77777777" w:rsidR="00B60568" w:rsidRPr="005907D3" w:rsidDel="008803B1" w:rsidRDefault="00B60568" w:rsidP="00B60568">
            <w:pPr>
              <w:pStyle w:val="TablesTFigures"/>
              <w:rPr>
                <w:rFonts w:ascii="IBM Plex Sans Light" w:hAnsi="IBM Plex Sans Light"/>
              </w:rPr>
            </w:pPr>
          </w:p>
        </w:tc>
        <w:tc>
          <w:tcPr>
            <w:tcW w:w="1134" w:type="dxa"/>
            <w:tcBorders>
              <w:top w:val="single" w:sz="2" w:space="0" w:color="3D7FE0" w:themeColor="accent1"/>
            </w:tcBorders>
            <w:shd w:val="clear" w:color="auto" w:fill="auto"/>
            <w:vAlign w:val="bottom"/>
          </w:tcPr>
          <w:p w14:paraId="329433AE" w14:textId="77777777" w:rsidR="00B60568" w:rsidRPr="005907D3" w:rsidDel="008803B1" w:rsidRDefault="00B60568" w:rsidP="00B60568">
            <w:pPr>
              <w:pStyle w:val="TablesTFigures"/>
              <w:spacing w:line="240" w:lineRule="exact"/>
              <w:rPr>
                <w:rFonts w:ascii="IBM Plex Sans Light" w:hAnsi="IBM Plex Sans Light"/>
              </w:rPr>
            </w:pPr>
          </w:p>
        </w:tc>
        <w:tc>
          <w:tcPr>
            <w:tcW w:w="850" w:type="dxa"/>
            <w:tcBorders>
              <w:top w:val="single" w:sz="2" w:space="0" w:color="3D7FE0" w:themeColor="accent1"/>
            </w:tcBorders>
            <w:vAlign w:val="bottom"/>
          </w:tcPr>
          <w:p w14:paraId="2EBE7700" w14:textId="41169E40" w:rsidR="00B60568" w:rsidRPr="005907D3" w:rsidRDefault="00B60568" w:rsidP="00B60568">
            <w:pPr>
              <w:pStyle w:val="TablesTFigures"/>
              <w:spacing w:line="240" w:lineRule="exact"/>
              <w:rPr>
                <w:rFonts w:ascii="IBM Plex Sans Light" w:hAnsi="IBM Plex Sans Light"/>
              </w:rPr>
            </w:pPr>
            <w:r w:rsidRPr="005907D3">
              <w:rPr>
                <w:rFonts w:ascii="IBM Plex Sans Light" w:hAnsi="IBM Plex Sans Light"/>
              </w:rPr>
              <w:t>a</w:t>
            </w:r>
          </w:p>
        </w:tc>
        <w:tc>
          <w:tcPr>
            <w:tcW w:w="992" w:type="dxa"/>
            <w:tcBorders>
              <w:top w:val="single" w:sz="2" w:space="0" w:color="3D7FE0" w:themeColor="accent1"/>
            </w:tcBorders>
            <w:shd w:val="clear" w:color="auto" w:fill="auto"/>
            <w:vAlign w:val="bottom"/>
          </w:tcPr>
          <w:p w14:paraId="7A8F783E" w14:textId="564EAD05" w:rsidR="00B60568" w:rsidRPr="005907D3" w:rsidDel="008803B1" w:rsidRDefault="00B60568" w:rsidP="00B60568">
            <w:pPr>
              <w:pStyle w:val="TablesTFigures"/>
              <w:spacing w:line="240" w:lineRule="exact"/>
              <w:rPr>
                <w:rFonts w:ascii="IBM Plex Sans Light" w:hAnsi="IBM Plex Sans Light"/>
              </w:rPr>
            </w:pPr>
            <w:r w:rsidRPr="005907D3">
              <w:rPr>
                <w:rFonts w:ascii="IBM Plex Sans Light" w:hAnsi="IBM Plex Sans Light"/>
              </w:rPr>
              <w:t>b</w:t>
            </w:r>
          </w:p>
        </w:tc>
        <w:tc>
          <w:tcPr>
            <w:tcW w:w="993" w:type="dxa"/>
            <w:tcBorders>
              <w:top w:val="single" w:sz="2" w:space="0" w:color="3D7FE0" w:themeColor="accent1"/>
            </w:tcBorders>
            <w:shd w:val="clear" w:color="auto" w:fill="auto"/>
          </w:tcPr>
          <w:p w14:paraId="6D04E126" w14:textId="235073A2" w:rsidR="00B60568" w:rsidRPr="005907D3" w:rsidDel="008803B1" w:rsidRDefault="00B60568" w:rsidP="00B60568">
            <w:pPr>
              <w:pStyle w:val="TablesTFigures"/>
              <w:spacing w:line="240" w:lineRule="exact"/>
              <w:rPr>
                <w:rFonts w:ascii="IBM Plex Sans Light" w:hAnsi="IBM Plex Sans Light"/>
              </w:rPr>
            </w:pPr>
            <w:r w:rsidRPr="005907D3">
              <w:rPr>
                <w:rFonts w:ascii="IBM Plex Sans Light" w:hAnsi="IBM Plex Sans Light"/>
              </w:rPr>
              <w:t>c</w:t>
            </w:r>
          </w:p>
        </w:tc>
        <w:tc>
          <w:tcPr>
            <w:tcW w:w="992" w:type="dxa"/>
            <w:tcBorders>
              <w:top w:val="single" w:sz="2" w:space="0" w:color="3D7FE0" w:themeColor="accent1"/>
            </w:tcBorders>
            <w:vAlign w:val="bottom"/>
          </w:tcPr>
          <w:p w14:paraId="6F3E6E1B" w14:textId="6070C705" w:rsidR="00B60568" w:rsidRPr="005907D3" w:rsidRDefault="00B60568" w:rsidP="00B60568">
            <w:pPr>
              <w:pStyle w:val="TablesTFigures"/>
              <w:spacing w:line="240" w:lineRule="exact"/>
              <w:rPr>
                <w:rFonts w:ascii="IBM Plex Sans Light" w:hAnsi="IBM Plex Sans Light"/>
              </w:rPr>
            </w:pPr>
            <w:r>
              <w:rPr>
                <w:rFonts w:ascii="IBM Plex Sans Light" w:hAnsi="IBM Plex Sans Light"/>
              </w:rPr>
              <w:t>d</w:t>
            </w:r>
          </w:p>
        </w:tc>
        <w:tc>
          <w:tcPr>
            <w:tcW w:w="850" w:type="dxa"/>
            <w:tcBorders>
              <w:top w:val="single" w:sz="2" w:space="0" w:color="3D7FE0" w:themeColor="accent1"/>
            </w:tcBorders>
            <w:shd w:val="clear" w:color="auto" w:fill="auto"/>
            <w:vAlign w:val="bottom"/>
          </w:tcPr>
          <w:p w14:paraId="4912F306" w14:textId="618FFB5B" w:rsidR="00B60568" w:rsidRPr="005907D3" w:rsidDel="008803B1" w:rsidRDefault="00B60568" w:rsidP="00B60568">
            <w:pPr>
              <w:pStyle w:val="TablesTFigures"/>
              <w:spacing w:line="240" w:lineRule="exact"/>
              <w:rPr>
                <w:rFonts w:ascii="IBM Plex Sans Light" w:hAnsi="IBM Plex Sans Light"/>
              </w:rPr>
            </w:pPr>
            <w:r>
              <w:rPr>
                <w:rFonts w:ascii="IBM Plex Sans Light" w:hAnsi="IBM Plex Sans Light"/>
              </w:rPr>
              <w:t>e</w:t>
            </w:r>
          </w:p>
        </w:tc>
        <w:tc>
          <w:tcPr>
            <w:tcW w:w="851" w:type="dxa"/>
            <w:tcBorders>
              <w:top w:val="single" w:sz="2" w:space="0" w:color="3D7FE0" w:themeColor="accent1"/>
            </w:tcBorders>
            <w:shd w:val="clear" w:color="auto" w:fill="auto"/>
            <w:vAlign w:val="bottom"/>
          </w:tcPr>
          <w:p w14:paraId="770218B3" w14:textId="6BAACB84" w:rsidR="00B60568" w:rsidRPr="00DC7327" w:rsidDel="008803B1" w:rsidRDefault="00B60568" w:rsidP="00B60568">
            <w:pPr>
              <w:pStyle w:val="TablesTFigures"/>
              <w:spacing w:line="240" w:lineRule="exact"/>
              <w:rPr>
                <w:rFonts w:ascii="IBM Plex Sans Light" w:hAnsi="IBM Plex Sans Light"/>
              </w:rPr>
            </w:pPr>
            <w:r>
              <w:rPr>
                <w:rFonts w:ascii="IBM Plex Sans Light" w:hAnsi="IBM Plex Sans Light"/>
              </w:rPr>
              <w:t>f</w:t>
            </w:r>
          </w:p>
        </w:tc>
      </w:tr>
      <w:tr w:rsidR="00B60568" w:rsidRPr="005907D3" w14:paraId="2B29C3EF" w14:textId="77777777" w:rsidTr="00024B10">
        <w:trPr>
          <w:trHeight w:hRule="exact" w:val="255"/>
        </w:trPr>
        <w:tc>
          <w:tcPr>
            <w:tcW w:w="2268" w:type="dxa"/>
            <w:vAlign w:val="center"/>
          </w:tcPr>
          <w:p w14:paraId="443F5F25" w14:textId="77777777" w:rsidR="00B60568" w:rsidRPr="005907D3" w:rsidRDefault="00B60568" w:rsidP="00B60568">
            <w:pPr>
              <w:pStyle w:val="TablesTText"/>
              <w:rPr>
                <w:rFonts w:ascii="IBM Plex Sans Light" w:hAnsi="IBM Plex Sans Light"/>
                <w:sz w:val="18"/>
                <w:szCs w:val="18"/>
              </w:rPr>
            </w:pPr>
            <w:r w:rsidRPr="005907D3">
              <w:rPr>
                <w:rFonts w:ascii="IBM Plex Sans Light" w:hAnsi="IBM Plex Sans Light"/>
                <w:sz w:val="18"/>
                <w:szCs w:val="18"/>
              </w:rPr>
              <w:t>UK</w:t>
            </w:r>
          </w:p>
        </w:tc>
        <w:tc>
          <w:tcPr>
            <w:tcW w:w="993" w:type="dxa"/>
            <w:shd w:val="clear" w:color="auto" w:fill="auto"/>
          </w:tcPr>
          <w:p w14:paraId="4E31F64B"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92.8</w:t>
            </w:r>
          </w:p>
        </w:tc>
        <w:tc>
          <w:tcPr>
            <w:tcW w:w="1134" w:type="dxa"/>
            <w:shd w:val="clear" w:color="auto" w:fill="auto"/>
          </w:tcPr>
          <w:p w14:paraId="6DC26BA4"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72.9</w:t>
            </w:r>
          </w:p>
        </w:tc>
        <w:tc>
          <w:tcPr>
            <w:tcW w:w="850" w:type="dxa"/>
          </w:tcPr>
          <w:p w14:paraId="70D07525" w14:textId="1E4FC608"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4.9</w:t>
            </w:r>
          </w:p>
        </w:tc>
        <w:tc>
          <w:tcPr>
            <w:tcW w:w="992" w:type="dxa"/>
            <w:shd w:val="clear" w:color="auto" w:fill="auto"/>
          </w:tcPr>
          <w:p w14:paraId="56A86EF5" w14:textId="5BE81091"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400</w:t>
            </w:r>
          </w:p>
        </w:tc>
        <w:tc>
          <w:tcPr>
            <w:tcW w:w="993" w:type="dxa"/>
            <w:shd w:val="clear" w:color="auto" w:fill="auto"/>
          </w:tcPr>
          <w:p w14:paraId="16B59AED"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87.3</w:t>
            </w:r>
          </w:p>
        </w:tc>
        <w:tc>
          <w:tcPr>
            <w:tcW w:w="992" w:type="dxa"/>
          </w:tcPr>
          <w:p w14:paraId="50053B7B" w14:textId="0366175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82.</w:t>
            </w:r>
            <w:r>
              <w:rPr>
                <w:rFonts w:ascii="IBM Plex Sans Medium" w:eastAsia="Chronicle Text G1" w:hAnsi="IBM Plex Sans Medium" w:cs="Chronicle Text G1"/>
                <w:b/>
                <w:color w:val="3D7FE0" w:themeColor="accent1"/>
                <w:sz w:val="18"/>
                <w:szCs w:val="18"/>
              </w:rPr>
              <w:t>3</w:t>
            </w:r>
          </w:p>
        </w:tc>
        <w:tc>
          <w:tcPr>
            <w:tcW w:w="850" w:type="dxa"/>
            <w:shd w:val="clear" w:color="auto" w:fill="auto"/>
          </w:tcPr>
          <w:p w14:paraId="73C7BF2A"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83.7</w:t>
            </w:r>
          </w:p>
        </w:tc>
        <w:tc>
          <w:tcPr>
            <w:tcW w:w="851" w:type="dxa"/>
            <w:shd w:val="clear" w:color="auto" w:fill="auto"/>
          </w:tcPr>
          <w:p w14:paraId="50FD9429" w14:textId="7E9A215E" w:rsidR="00B60568" w:rsidRPr="00495083" w:rsidRDefault="00B60568" w:rsidP="00B60568">
            <w:pPr>
              <w:pStyle w:val="TablesTFigureBrackets"/>
              <w:tabs>
                <w:tab w:val="decimal" w:pos="819"/>
              </w:tabs>
              <w:jc w:val="both"/>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w:t>
            </w:r>
            <w:r>
              <w:rPr>
                <w:rFonts w:ascii="IBM Plex Sans Medium" w:eastAsia="Chronicle Text G1" w:hAnsi="IBM Plex Sans Medium" w:cs="Chronicle Text G1"/>
                <w:b/>
                <w:color w:val="3D7FE0" w:themeColor="accent1"/>
                <w:sz w:val="18"/>
                <w:szCs w:val="18"/>
              </w:rPr>
              <w:t>1.8</w:t>
            </w:r>
            <w:r w:rsidRPr="00495083">
              <w:rPr>
                <w:rFonts w:ascii="IBM Plex Sans Medium" w:eastAsia="Chronicle Text G1" w:hAnsi="IBM Plex Sans Medium" w:cs="Chronicle Text G1"/>
                <w:b/>
                <w:color w:val="3D7FE0" w:themeColor="accent1"/>
                <w:sz w:val="18"/>
                <w:szCs w:val="18"/>
              </w:rPr>
              <w:t>)</w:t>
            </w:r>
          </w:p>
        </w:tc>
      </w:tr>
      <w:tr w:rsidR="00B60568" w:rsidRPr="005907D3" w14:paraId="0D079DC7" w14:textId="77777777" w:rsidTr="00024B10">
        <w:trPr>
          <w:trHeight w:hRule="exact" w:val="255"/>
        </w:trPr>
        <w:tc>
          <w:tcPr>
            <w:tcW w:w="2268" w:type="dxa"/>
            <w:vAlign w:val="center"/>
          </w:tcPr>
          <w:p w14:paraId="7C4E75E5" w14:textId="77777777" w:rsidR="00B60568" w:rsidRPr="005907D3" w:rsidRDefault="00B60568" w:rsidP="00B60568">
            <w:pPr>
              <w:pStyle w:val="TablesTText"/>
              <w:rPr>
                <w:rFonts w:ascii="IBM Plex Sans Light" w:hAnsi="IBM Plex Sans Light"/>
                <w:sz w:val="18"/>
                <w:szCs w:val="18"/>
              </w:rPr>
            </w:pPr>
            <w:r w:rsidRPr="005907D3">
              <w:rPr>
                <w:rFonts w:ascii="IBM Plex Sans Light" w:hAnsi="IBM Plex Sans Light"/>
                <w:sz w:val="18"/>
                <w:szCs w:val="18"/>
              </w:rPr>
              <w:t>France</w:t>
            </w:r>
          </w:p>
        </w:tc>
        <w:tc>
          <w:tcPr>
            <w:tcW w:w="993" w:type="dxa"/>
            <w:shd w:val="clear" w:color="auto" w:fill="auto"/>
          </w:tcPr>
          <w:p w14:paraId="690DDCBB"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58.6</w:t>
            </w:r>
          </w:p>
        </w:tc>
        <w:tc>
          <w:tcPr>
            <w:tcW w:w="1134" w:type="dxa"/>
            <w:shd w:val="clear" w:color="auto" w:fill="auto"/>
          </w:tcPr>
          <w:p w14:paraId="53D9EC97"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49.4</w:t>
            </w:r>
          </w:p>
        </w:tc>
        <w:tc>
          <w:tcPr>
            <w:tcW w:w="850" w:type="dxa"/>
          </w:tcPr>
          <w:p w14:paraId="7734C03D" w14:textId="5CF367A4"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6.9</w:t>
            </w:r>
          </w:p>
        </w:tc>
        <w:tc>
          <w:tcPr>
            <w:tcW w:w="992" w:type="dxa"/>
            <w:shd w:val="clear" w:color="auto" w:fill="auto"/>
          </w:tcPr>
          <w:p w14:paraId="6A5643F4" w14:textId="082B10EB"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450</w:t>
            </w:r>
          </w:p>
        </w:tc>
        <w:tc>
          <w:tcPr>
            <w:tcW w:w="993" w:type="dxa"/>
            <w:shd w:val="clear" w:color="auto" w:fill="auto"/>
          </w:tcPr>
          <w:p w14:paraId="0A79E573"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53.0</w:t>
            </w:r>
          </w:p>
        </w:tc>
        <w:tc>
          <w:tcPr>
            <w:tcW w:w="992" w:type="dxa"/>
          </w:tcPr>
          <w:p w14:paraId="01641F48" w14:textId="79FF1F43"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61.</w:t>
            </w:r>
            <w:r>
              <w:rPr>
                <w:rFonts w:ascii="IBM Plex Sans Medium" w:eastAsia="Chronicle Text G1" w:hAnsi="IBM Plex Sans Medium" w:cs="Chronicle Text G1"/>
                <w:b/>
                <w:color w:val="3D7FE0" w:themeColor="accent1"/>
                <w:sz w:val="18"/>
                <w:szCs w:val="18"/>
              </w:rPr>
              <w:t>3</w:t>
            </w:r>
          </w:p>
        </w:tc>
        <w:tc>
          <w:tcPr>
            <w:tcW w:w="850" w:type="dxa"/>
            <w:shd w:val="clear" w:color="auto" w:fill="auto"/>
          </w:tcPr>
          <w:p w14:paraId="7910D0F7"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5</w:t>
            </w:r>
            <w:r>
              <w:rPr>
                <w:rFonts w:ascii="IBM Plex Sans Medium" w:eastAsia="Chronicle Text G1" w:hAnsi="IBM Plex Sans Medium" w:cs="Chronicle Text G1"/>
                <w:b/>
                <w:color w:val="3D7FE0" w:themeColor="accent1"/>
                <w:sz w:val="18"/>
                <w:szCs w:val="18"/>
              </w:rPr>
              <w:t>4.2</w:t>
            </w:r>
          </w:p>
        </w:tc>
        <w:tc>
          <w:tcPr>
            <w:tcW w:w="851" w:type="dxa"/>
            <w:shd w:val="clear" w:color="auto" w:fill="auto"/>
          </w:tcPr>
          <w:p w14:paraId="152D7C56" w14:textId="77777777" w:rsidR="00B60568" w:rsidRPr="00495083" w:rsidRDefault="00B60568" w:rsidP="00024B10">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13</w:t>
            </w:r>
            <w:r w:rsidRPr="00495083">
              <w:rPr>
                <w:rFonts w:ascii="IBM Plex Sans Medium" w:eastAsia="Chronicle Text G1" w:hAnsi="IBM Plex Sans Medium" w:cs="Chronicle Text G1"/>
                <w:b/>
                <w:color w:val="3D7FE0" w:themeColor="accent1"/>
                <w:sz w:val="18"/>
                <w:szCs w:val="18"/>
              </w:rPr>
              <w:t>.2</w:t>
            </w:r>
          </w:p>
        </w:tc>
      </w:tr>
      <w:tr w:rsidR="00B60568" w:rsidRPr="005907D3" w14:paraId="5D09C009" w14:textId="77777777" w:rsidTr="00024B10">
        <w:trPr>
          <w:trHeight w:hRule="exact" w:val="255"/>
        </w:trPr>
        <w:tc>
          <w:tcPr>
            <w:tcW w:w="2268" w:type="dxa"/>
            <w:tcBorders>
              <w:bottom w:val="single" w:sz="2" w:space="0" w:color="3D7FE0" w:themeColor="accent1"/>
            </w:tcBorders>
            <w:shd w:val="clear" w:color="auto" w:fill="auto"/>
            <w:vAlign w:val="center"/>
          </w:tcPr>
          <w:p w14:paraId="783C870C" w14:textId="77777777" w:rsidR="00B60568" w:rsidRPr="005907D3" w:rsidRDefault="00B60568" w:rsidP="00B60568">
            <w:pPr>
              <w:pStyle w:val="TablesTText"/>
              <w:rPr>
                <w:rFonts w:ascii="IBM Plex Sans Light" w:hAnsi="IBM Plex Sans Light"/>
                <w:sz w:val="18"/>
                <w:szCs w:val="18"/>
              </w:rPr>
            </w:pPr>
            <w:r w:rsidRPr="005907D3">
              <w:rPr>
                <w:rFonts w:ascii="IBM Plex Sans Light" w:hAnsi="IBM Plex Sans Light"/>
                <w:sz w:val="18"/>
                <w:szCs w:val="18"/>
              </w:rPr>
              <w:t>Ireland</w:t>
            </w:r>
          </w:p>
        </w:tc>
        <w:tc>
          <w:tcPr>
            <w:tcW w:w="993" w:type="dxa"/>
            <w:tcBorders>
              <w:bottom w:val="single" w:sz="2" w:space="0" w:color="3D7FE0" w:themeColor="accent1"/>
            </w:tcBorders>
            <w:shd w:val="clear" w:color="auto" w:fill="auto"/>
          </w:tcPr>
          <w:p w14:paraId="4515DA8F"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40.0</w:t>
            </w:r>
          </w:p>
        </w:tc>
        <w:tc>
          <w:tcPr>
            <w:tcW w:w="1134" w:type="dxa"/>
            <w:tcBorders>
              <w:bottom w:val="single" w:sz="2" w:space="0" w:color="3D7FE0" w:themeColor="accent1"/>
            </w:tcBorders>
            <w:shd w:val="clear" w:color="auto" w:fill="auto"/>
          </w:tcPr>
          <w:p w14:paraId="726E7BE2"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36.3</w:t>
            </w:r>
          </w:p>
        </w:tc>
        <w:tc>
          <w:tcPr>
            <w:tcW w:w="850" w:type="dxa"/>
            <w:tcBorders>
              <w:bottom w:val="single" w:sz="2" w:space="0" w:color="3D7FE0" w:themeColor="accent1"/>
            </w:tcBorders>
          </w:tcPr>
          <w:p w14:paraId="04E23E89" w14:textId="6CE4C564"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3.8</w:t>
            </w:r>
          </w:p>
        </w:tc>
        <w:tc>
          <w:tcPr>
            <w:tcW w:w="992" w:type="dxa"/>
            <w:tcBorders>
              <w:bottom w:val="single" w:sz="2" w:space="0" w:color="3D7FE0" w:themeColor="accent1"/>
            </w:tcBorders>
            <w:shd w:val="clear" w:color="auto" w:fill="auto"/>
          </w:tcPr>
          <w:p w14:paraId="13938870" w14:textId="3DBFDF31"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480</w:t>
            </w:r>
          </w:p>
        </w:tc>
        <w:tc>
          <w:tcPr>
            <w:tcW w:w="993" w:type="dxa"/>
            <w:tcBorders>
              <w:bottom w:val="single" w:sz="2" w:space="0" w:color="3D7FE0" w:themeColor="accent1"/>
            </w:tcBorders>
            <w:shd w:val="clear" w:color="auto" w:fill="auto"/>
          </w:tcPr>
          <w:p w14:paraId="1DE5E391"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39.0</w:t>
            </w:r>
          </w:p>
        </w:tc>
        <w:tc>
          <w:tcPr>
            <w:tcW w:w="992" w:type="dxa"/>
            <w:tcBorders>
              <w:bottom w:val="single" w:sz="2" w:space="0" w:color="3D7FE0" w:themeColor="accent1"/>
            </w:tcBorders>
          </w:tcPr>
          <w:p w14:paraId="1757F1F8" w14:textId="4B5F40F4"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39.</w:t>
            </w:r>
            <w:r>
              <w:rPr>
                <w:rFonts w:ascii="IBM Plex Sans Medium" w:eastAsia="Chronicle Text G1" w:hAnsi="IBM Plex Sans Medium" w:cs="Chronicle Text G1"/>
                <w:b/>
                <w:color w:val="3D7FE0" w:themeColor="accent1"/>
                <w:sz w:val="18"/>
                <w:szCs w:val="18"/>
              </w:rPr>
              <w:t>5</w:t>
            </w:r>
          </w:p>
        </w:tc>
        <w:tc>
          <w:tcPr>
            <w:tcW w:w="850" w:type="dxa"/>
            <w:tcBorders>
              <w:bottom w:val="single" w:sz="2" w:space="0" w:color="3D7FE0" w:themeColor="accent1"/>
            </w:tcBorders>
            <w:shd w:val="clear" w:color="auto" w:fill="auto"/>
          </w:tcPr>
          <w:p w14:paraId="23EA64BA" w14:textId="204BB4F9"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3</w:t>
            </w:r>
            <w:r>
              <w:rPr>
                <w:rFonts w:ascii="IBM Plex Sans Medium" w:eastAsia="Chronicle Text G1" w:hAnsi="IBM Plex Sans Medium" w:cs="Chronicle Text G1"/>
                <w:b/>
                <w:color w:val="3D7FE0" w:themeColor="accent1"/>
                <w:sz w:val="18"/>
                <w:szCs w:val="18"/>
              </w:rPr>
              <w:t>7.1</w:t>
            </w:r>
          </w:p>
        </w:tc>
        <w:tc>
          <w:tcPr>
            <w:tcW w:w="851" w:type="dxa"/>
            <w:tcBorders>
              <w:bottom w:val="single" w:sz="2" w:space="0" w:color="3D7FE0" w:themeColor="accent1"/>
            </w:tcBorders>
            <w:shd w:val="clear" w:color="auto" w:fill="auto"/>
          </w:tcPr>
          <w:p w14:paraId="7226FECC" w14:textId="136A7041" w:rsidR="00B60568" w:rsidRPr="00495083" w:rsidRDefault="00B60568" w:rsidP="00024B10">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6.4</w:t>
            </w:r>
          </w:p>
        </w:tc>
      </w:tr>
      <w:tr w:rsidR="00B60568" w:rsidRPr="005907D3" w14:paraId="0AFE7A49" w14:textId="77777777" w:rsidTr="00024B10">
        <w:trPr>
          <w:trHeight w:hRule="exact" w:val="222"/>
        </w:trPr>
        <w:tc>
          <w:tcPr>
            <w:tcW w:w="2268" w:type="dxa"/>
            <w:tcBorders>
              <w:top w:val="single" w:sz="2" w:space="0" w:color="3D7FE0" w:themeColor="accent1"/>
            </w:tcBorders>
            <w:shd w:val="clear" w:color="auto" w:fill="auto"/>
            <w:vAlign w:val="center"/>
          </w:tcPr>
          <w:p w14:paraId="5A18F0B6" w14:textId="77777777" w:rsidR="00B60568" w:rsidRPr="005907D3" w:rsidRDefault="00B60568" w:rsidP="00B60568">
            <w:pPr>
              <w:pStyle w:val="TablesTTextBold"/>
              <w:rPr>
                <w:rFonts w:ascii="IBM Plex Sans Light" w:hAnsi="IBM Plex Sans Light"/>
                <w:b/>
                <w:bCs/>
                <w:sz w:val="18"/>
                <w:szCs w:val="18"/>
              </w:rPr>
            </w:pPr>
            <w:r w:rsidRPr="005907D3">
              <w:rPr>
                <w:rFonts w:ascii="IBM Plex Sans Light" w:hAnsi="IBM Plex Sans Light"/>
                <w:b/>
                <w:bCs/>
                <w:sz w:val="18"/>
                <w:szCs w:val="18"/>
              </w:rPr>
              <w:t>Flagship destinations</w:t>
            </w:r>
          </w:p>
        </w:tc>
        <w:tc>
          <w:tcPr>
            <w:tcW w:w="993" w:type="dxa"/>
            <w:tcBorders>
              <w:top w:val="single" w:sz="2" w:space="0" w:color="3D7FE0" w:themeColor="accent1"/>
            </w:tcBorders>
            <w:shd w:val="clear" w:color="auto" w:fill="auto"/>
          </w:tcPr>
          <w:p w14:paraId="09D74EFC"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191.4</w:t>
            </w:r>
          </w:p>
        </w:tc>
        <w:tc>
          <w:tcPr>
            <w:tcW w:w="1134" w:type="dxa"/>
            <w:tcBorders>
              <w:top w:val="single" w:sz="2" w:space="0" w:color="3D7FE0" w:themeColor="accent1"/>
            </w:tcBorders>
            <w:shd w:val="clear" w:color="auto" w:fill="auto"/>
          </w:tcPr>
          <w:p w14:paraId="23FDDD5C"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158.6</w:t>
            </w:r>
          </w:p>
        </w:tc>
        <w:tc>
          <w:tcPr>
            <w:tcW w:w="850" w:type="dxa"/>
            <w:tcBorders>
              <w:top w:val="single" w:sz="2" w:space="0" w:color="3D7FE0" w:themeColor="accent1"/>
            </w:tcBorders>
          </w:tcPr>
          <w:p w14:paraId="02F78F36" w14:textId="4DB353E2"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5.4</w:t>
            </w:r>
          </w:p>
        </w:tc>
        <w:tc>
          <w:tcPr>
            <w:tcW w:w="992" w:type="dxa"/>
            <w:tcBorders>
              <w:top w:val="single" w:sz="2" w:space="0" w:color="3D7FE0" w:themeColor="accent1"/>
            </w:tcBorders>
            <w:shd w:val="clear" w:color="auto" w:fill="auto"/>
          </w:tcPr>
          <w:p w14:paraId="5D21D4A8" w14:textId="7685B82D"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430</w:t>
            </w:r>
          </w:p>
        </w:tc>
        <w:tc>
          <w:tcPr>
            <w:tcW w:w="993" w:type="dxa"/>
            <w:tcBorders>
              <w:top w:val="single" w:sz="2" w:space="0" w:color="3D7FE0" w:themeColor="accent1"/>
            </w:tcBorders>
            <w:shd w:val="clear" w:color="auto" w:fill="auto"/>
          </w:tcPr>
          <w:p w14:paraId="75E820BF"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179.3</w:t>
            </w:r>
          </w:p>
        </w:tc>
        <w:tc>
          <w:tcPr>
            <w:tcW w:w="992" w:type="dxa"/>
            <w:tcBorders>
              <w:top w:val="single" w:sz="2" w:space="0" w:color="3D7FE0" w:themeColor="accent1"/>
            </w:tcBorders>
          </w:tcPr>
          <w:p w14:paraId="653D38EB" w14:textId="75611F23"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183.</w:t>
            </w:r>
            <w:r>
              <w:rPr>
                <w:rFonts w:ascii="IBM Plex Sans Medium" w:eastAsia="Chronicle Text G1" w:hAnsi="IBM Plex Sans Medium" w:cs="Chronicle Text G1"/>
                <w:b/>
                <w:color w:val="3D7FE0" w:themeColor="accent1"/>
                <w:sz w:val="18"/>
                <w:szCs w:val="18"/>
              </w:rPr>
              <w:t>1</w:t>
            </w:r>
          </w:p>
        </w:tc>
        <w:tc>
          <w:tcPr>
            <w:tcW w:w="850" w:type="dxa"/>
            <w:tcBorders>
              <w:top w:val="single" w:sz="2" w:space="0" w:color="3D7FE0" w:themeColor="accent1"/>
            </w:tcBorders>
            <w:shd w:val="clear" w:color="auto" w:fill="auto"/>
          </w:tcPr>
          <w:p w14:paraId="78BD812F" w14:textId="29F48464"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w:t>
            </w:r>
            <w:r>
              <w:rPr>
                <w:rFonts w:ascii="IBM Plex Sans Medium" w:eastAsia="Chronicle Text G1" w:hAnsi="IBM Plex Sans Medium" w:cs="Chronicle Text G1"/>
                <w:b/>
                <w:color w:val="3D7FE0" w:themeColor="accent1"/>
                <w:sz w:val="18"/>
                <w:szCs w:val="18"/>
              </w:rPr>
              <w:t>75.0</w:t>
            </w:r>
          </w:p>
        </w:tc>
        <w:tc>
          <w:tcPr>
            <w:tcW w:w="851" w:type="dxa"/>
            <w:tcBorders>
              <w:top w:val="single" w:sz="2" w:space="0" w:color="3D7FE0" w:themeColor="accent1"/>
            </w:tcBorders>
            <w:shd w:val="clear" w:color="auto" w:fill="auto"/>
          </w:tcPr>
          <w:p w14:paraId="1911E4E8" w14:textId="2487C1C7" w:rsidR="00B60568" w:rsidRPr="00024B10" w:rsidRDefault="00B60568" w:rsidP="00024B10">
            <w:pPr>
              <w:pStyle w:val="TablesTFigures"/>
              <w:rPr>
                <w:rFonts w:ascii="IBM Plex Sans Medium" w:eastAsia="Chronicle Text G1" w:hAnsi="IBM Plex Sans Medium" w:cs="Chronicle Text G1"/>
                <w:b/>
                <w:color w:val="3D7FE0" w:themeColor="accent1"/>
                <w:sz w:val="18"/>
                <w:szCs w:val="18"/>
              </w:rPr>
            </w:pPr>
            <w:r w:rsidRPr="00024B10">
              <w:rPr>
                <w:rFonts w:ascii="IBM Plex Sans Medium" w:eastAsia="Chronicle Text G1" w:hAnsi="IBM Plex Sans Medium" w:cs="Chronicle Text G1"/>
                <w:b/>
                <w:color w:val="3D7FE0" w:themeColor="accent1"/>
                <w:sz w:val="18"/>
                <w:szCs w:val="18"/>
              </w:rPr>
              <w:t>4.6</w:t>
            </w:r>
          </w:p>
          <w:p w14:paraId="5E87636F" w14:textId="124E71A7" w:rsidR="00B60568" w:rsidRPr="00495083" w:rsidRDefault="00B60568" w:rsidP="00024B10">
            <w:pPr>
              <w:pStyle w:val="TablesTFigures"/>
              <w:rPr>
                <w:rFonts w:ascii="IBM Plex Sans Medium" w:eastAsia="Chronicle Text G1" w:hAnsi="IBM Plex Sans Medium" w:cs="Chronicle Text G1"/>
                <w:b/>
                <w:color w:val="3D7FE0" w:themeColor="accent1"/>
                <w:sz w:val="18"/>
                <w:szCs w:val="18"/>
              </w:rPr>
            </w:pPr>
          </w:p>
        </w:tc>
      </w:tr>
      <w:tr w:rsidR="00B60568" w:rsidRPr="005907D3" w14:paraId="6AA37B9F" w14:textId="77777777" w:rsidTr="00024B10">
        <w:trPr>
          <w:trHeight w:hRule="exact" w:val="255"/>
        </w:trPr>
        <w:tc>
          <w:tcPr>
            <w:tcW w:w="2268" w:type="dxa"/>
            <w:vAlign w:val="center"/>
          </w:tcPr>
          <w:p w14:paraId="5FA5F7A4" w14:textId="77777777" w:rsidR="00B60568" w:rsidRPr="005907D3" w:rsidRDefault="00B60568" w:rsidP="00B60568">
            <w:pPr>
              <w:pStyle w:val="TablesTText"/>
              <w:rPr>
                <w:rFonts w:ascii="IBM Plex Sans Light" w:hAnsi="IBM Plex Sans Light"/>
                <w:sz w:val="18"/>
                <w:szCs w:val="18"/>
              </w:rPr>
            </w:pPr>
          </w:p>
        </w:tc>
        <w:tc>
          <w:tcPr>
            <w:tcW w:w="993" w:type="dxa"/>
            <w:shd w:val="clear" w:color="auto" w:fill="auto"/>
          </w:tcPr>
          <w:p w14:paraId="7D1A4676"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p>
        </w:tc>
        <w:tc>
          <w:tcPr>
            <w:tcW w:w="1134" w:type="dxa"/>
            <w:shd w:val="clear" w:color="auto" w:fill="auto"/>
          </w:tcPr>
          <w:p w14:paraId="740E0EAE"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p>
        </w:tc>
        <w:tc>
          <w:tcPr>
            <w:tcW w:w="850" w:type="dxa"/>
          </w:tcPr>
          <w:p w14:paraId="51A1312B"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p>
        </w:tc>
        <w:tc>
          <w:tcPr>
            <w:tcW w:w="992" w:type="dxa"/>
            <w:shd w:val="clear" w:color="auto" w:fill="auto"/>
          </w:tcPr>
          <w:p w14:paraId="5A56261D" w14:textId="6E3DBDA4"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p>
        </w:tc>
        <w:tc>
          <w:tcPr>
            <w:tcW w:w="993" w:type="dxa"/>
            <w:shd w:val="clear" w:color="auto" w:fill="auto"/>
          </w:tcPr>
          <w:p w14:paraId="36011EF2"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p>
        </w:tc>
        <w:tc>
          <w:tcPr>
            <w:tcW w:w="992" w:type="dxa"/>
          </w:tcPr>
          <w:p w14:paraId="640CFFC8"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p>
        </w:tc>
        <w:tc>
          <w:tcPr>
            <w:tcW w:w="850" w:type="dxa"/>
            <w:shd w:val="clear" w:color="auto" w:fill="auto"/>
          </w:tcPr>
          <w:p w14:paraId="61BD7BA3"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p>
        </w:tc>
        <w:tc>
          <w:tcPr>
            <w:tcW w:w="851" w:type="dxa"/>
            <w:shd w:val="clear" w:color="auto" w:fill="auto"/>
          </w:tcPr>
          <w:p w14:paraId="3D3D1034" w14:textId="77777777" w:rsidR="00B60568" w:rsidRPr="00495083" w:rsidRDefault="00B60568" w:rsidP="00024B10">
            <w:pPr>
              <w:pStyle w:val="TablesTFigures"/>
              <w:rPr>
                <w:rFonts w:ascii="IBM Plex Sans Medium" w:eastAsia="Chronicle Text G1" w:hAnsi="IBM Plex Sans Medium" w:cs="Chronicle Text G1"/>
                <w:b/>
                <w:color w:val="3D7FE0" w:themeColor="accent1"/>
                <w:sz w:val="18"/>
                <w:szCs w:val="18"/>
              </w:rPr>
            </w:pPr>
          </w:p>
        </w:tc>
      </w:tr>
      <w:tr w:rsidR="00B60568" w:rsidRPr="005907D3" w14:paraId="51CA419D" w14:textId="77777777" w:rsidTr="00024B10">
        <w:trPr>
          <w:trHeight w:hRule="exact" w:val="255"/>
        </w:trPr>
        <w:tc>
          <w:tcPr>
            <w:tcW w:w="2268" w:type="dxa"/>
            <w:vAlign w:val="center"/>
          </w:tcPr>
          <w:p w14:paraId="1CCA6FB6" w14:textId="77777777" w:rsidR="00B60568" w:rsidRPr="005907D3" w:rsidRDefault="00B60568" w:rsidP="00B60568">
            <w:pPr>
              <w:pStyle w:val="TablesTText"/>
              <w:rPr>
                <w:rFonts w:ascii="IBM Plex Sans Light" w:hAnsi="IBM Plex Sans Light"/>
                <w:sz w:val="18"/>
                <w:szCs w:val="18"/>
              </w:rPr>
            </w:pPr>
            <w:r w:rsidRPr="005907D3">
              <w:rPr>
                <w:rFonts w:ascii="IBM Plex Sans Light" w:hAnsi="IBM Plex Sans Light"/>
                <w:sz w:val="18"/>
                <w:szCs w:val="18"/>
              </w:rPr>
              <w:t>Developments and other</w:t>
            </w:r>
          </w:p>
        </w:tc>
        <w:tc>
          <w:tcPr>
            <w:tcW w:w="993" w:type="dxa"/>
            <w:shd w:val="clear" w:color="auto" w:fill="auto"/>
          </w:tcPr>
          <w:p w14:paraId="1D2C50A4"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17.0</w:t>
            </w:r>
          </w:p>
        </w:tc>
        <w:tc>
          <w:tcPr>
            <w:tcW w:w="1134" w:type="dxa"/>
            <w:shd w:val="clear" w:color="auto" w:fill="auto"/>
          </w:tcPr>
          <w:p w14:paraId="481E6DE8"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8.9</w:t>
            </w:r>
          </w:p>
        </w:tc>
        <w:tc>
          <w:tcPr>
            <w:tcW w:w="850" w:type="dxa"/>
          </w:tcPr>
          <w:p w14:paraId="77582904" w14:textId="1152B330"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13.6</w:t>
            </w:r>
          </w:p>
        </w:tc>
        <w:tc>
          <w:tcPr>
            <w:tcW w:w="992" w:type="dxa"/>
            <w:shd w:val="clear" w:color="auto" w:fill="auto"/>
          </w:tcPr>
          <w:p w14:paraId="526B3E50" w14:textId="2FE82174"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190</w:t>
            </w:r>
          </w:p>
        </w:tc>
        <w:tc>
          <w:tcPr>
            <w:tcW w:w="993" w:type="dxa"/>
            <w:shd w:val="clear" w:color="auto" w:fill="auto"/>
          </w:tcPr>
          <w:p w14:paraId="77426584"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8.5</w:t>
            </w:r>
          </w:p>
        </w:tc>
        <w:tc>
          <w:tcPr>
            <w:tcW w:w="992" w:type="dxa"/>
          </w:tcPr>
          <w:p w14:paraId="493D6CB8"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10.0</w:t>
            </w:r>
          </w:p>
        </w:tc>
        <w:tc>
          <w:tcPr>
            <w:tcW w:w="850" w:type="dxa"/>
            <w:shd w:val="clear" w:color="auto" w:fill="auto"/>
          </w:tcPr>
          <w:p w14:paraId="54809ABF" w14:textId="0721B3C8"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9.2</w:t>
            </w:r>
          </w:p>
        </w:tc>
        <w:tc>
          <w:tcPr>
            <w:tcW w:w="851" w:type="dxa"/>
            <w:shd w:val="clear" w:color="auto" w:fill="auto"/>
          </w:tcPr>
          <w:p w14:paraId="64BD6B4C" w14:textId="32FAB3E2" w:rsidR="00B60568" w:rsidRPr="00495083" w:rsidRDefault="00B60568" w:rsidP="00024B10">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8.9</w:t>
            </w:r>
          </w:p>
        </w:tc>
      </w:tr>
      <w:tr w:rsidR="00B60568" w:rsidRPr="005907D3" w14:paraId="42BFACA2" w14:textId="77777777" w:rsidTr="00024B10">
        <w:trPr>
          <w:trHeight w:val="20"/>
        </w:trPr>
        <w:tc>
          <w:tcPr>
            <w:tcW w:w="2268" w:type="dxa"/>
            <w:tcBorders>
              <w:top w:val="single" w:sz="2" w:space="0" w:color="3D7FE0" w:themeColor="accent1"/>
              <w:bottom w:val="single" w:sz="8" w:space="0" w:color="3D7FE0" w:themeColor="accent1"/>
            </w:tcBorders>
            <w:shd w:val="clear" w:color="auto" w:fill="auto"/>
            <w:vAlign w:val="center"/>
          </w:tcPr>
          <w:p w14:paraId="5743F94D" w14:textId="77777777" w:rsidR="00B60568" w:rsidRPr="005907D3" w:rsidRDefault="00B60568" w:rsidP="00B60568">
            <w:pPr>
              <w:pStyle w:val="TablesTTextBold"/>
              <w:rPr>
                <w:rFonts w:ascii="IBM Plex Sans Light" w:hAnsi="IBM Plex Sans Light"/>
                <w:b/>
                <w:bCs/>
                <w:sz w:val="18"/>
                <w:szCs w:val="18"/>
              </w:rPr>
            </w:pPr>
            <w:r w:rsidRPr="005907D3">
              <w:rPr>
                <w:rFonts w:ascii="IBM Plex Sans Light" w:hAnsi="IBM Plex Sans Light"/>
                <w:b/>
                <w:bCs/>
                <w:sz w:val="18"/>
                <w:szCs w:val="18"/>
              </w:rPr>
              <w:t xml:space="preserve">Managed portfolio </w:t>
            </w:r>
          </w:p>
        </w:tc>
        <w:tc>
          <w:tcPr>
            <w:tcW w:w="993" w:type="dxa"/>
            <w:tcBorders>
              <w:top w:val="single" w:sz="2" w:space="0" w:color="3D7FE0" w:themeColor="accent1"/>
              <w:bottom w:val="single" w:sz="8" w:space="0" w:color="3D7FE0" w:themeColor="accent1"/>
            </w:tcBorders>
            <w:shd w:val="clear" w:color="auto" w:fill="auto"/>
          </w:tcPr>
          <w:p w14:paraId="65BFF3EF" w14:textId="77777777" w:rsidR="00B60568" w:rsidRPr="00495083" w:rsidRDefault="00B60568" w:rsidP="00B60568">
            <w:pPr>
              <w:pStyle w:val="TablesTFigures"/>
              <w:spacing w:line="240" w:lineRule="exact"/>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208.4</w:t>
            </w:r>
          </w:p>
        </w:tc>
        <w:tc>
          <w:tcPr>
            <w:tcW w:w="1134" w:type="dxa"/>
            <w:tcBorders>
              <w:top w:val="single" w:sz="2" w:space="0" w:color="3D7FE0" w:themeColor="accent1"/>
              <w:bottom w:val="single" w:sz="8" w:space="0" w:color="3D7FE0" w:themeColor="accent1"/>
            </w:tcBorders>
            <w:shd w:val="clear" w:color="auto" w:fill="auto"/>
          </w:tcPr>
          <w:p w14:paraId="0FFE066C"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167.5</w:t>
            </w:r>
          </w:p>
        </w:tc>
        <w:tc>
          <w:tcPr>
            <w:tcW w:w="850" w:type="dxa"/>
            <w:tcBorders>
              <w:top w:val="single" w:sz="2" w:space="0" w:color="3D7FE0" w:themeColor="accent1"/>
              <w:bottom w:val="single" w:sz="8" w:space="0" w:color="3D7FE0" w:themeColor="accent1"/>
            </w:tcBorders>
          </w:tcPr>
          <w:p w14:paraId="55D97E50" w14:textId="70933EED"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5.8</w:t>
            </w:r>
          </w:p>
        </w:tc>
        <w:tc>
          <w:tcPr>
            <w:tcW w:w="992" w:type="dxa"/>
            <w:tcBorders>
              <w:top w:val="single" w:sz="2" w:space="0" w:color="3D7FE0" w:themeColor="accent1"/>
              <w:bottom w:val="single" w:sz="8" w:space="0" w:color="3D7FE0" w:themeColor="accent1"/>
            </w:tcBorders>
            <w:shd w:val="clear" w:color="auto" w:fill="auto"/>
          </w:tcPr>
          <w:p w14:paraId="1F49149C" w14:textId="0C2A8268"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400</w:t>
            </w:r>
          </w:p>
        </w:tc>
        <w:tc>
          <w:tcPr>
            <w:tcW w:w="993" w:type="dxa"/>
            <w:tcBorders>
              <w:top w:val="single" w:sz="2" w:space="0" w:color="3D7FE0" w:themeColor="accent1"/>
              <w:bottom w:val="single" w:sz="8" w:space="0" w:color="3D7FE0" w:themeColor="accent1"/>
            </w:tcBorders>
            <w:shd w:val="clear" w:color="auto" w:fill="auto"/>
          </w:tcPr>
          <w:p w14:paraId="51A86110" w14:textId="77777777"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187.8</w:t>
            </w:r>
          </w:p>
        </w:tc>
        <w:tc>
          <w:tcPr>
            <w:tcW w:w="992" w:type="dxa"/>
            <w:tcBorders>
              <w:top w:val="single" w:sz="2" w:space="0" w:color="3D7FE0" w:themeColor="accent1"/>
              <w:bottom w:val="single" w:sz="8" w:space="0" w:color="3D7FE0" w:themeColor="accent1"/>
            </w:tcBorders>
          </w:tcPr>
          <w:p w14:paraId="43A08C16" w14:textId="56D3AFBB"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193.</w:t>
            </w:r>
            <w:r>
              <w:rPr>
                <w:rFonts w:ascii="IBM Plex Sans Medium" w:eastAsia="Chronicle Text G1" w:hAnsi="IBM Plex Sans Medium" w:cs="Chronicle Text G1"/>
                <w:b/>
                <w:color w:val="3D7FE0" w:themeColor="accent1"/>
                <w:sz w:val="18"/>
                <w:szCs w:val="18"/>
              </w:rPr>
              <w:t>1</w:t>
            </w:r>
          </w:p>
        </w:tc>
        <w:tc>
          <w:tcPr>
            <w:tcW w:w="850" w:type="dxa"/>
            <w:tcBorders>
              <w:top w:val="single" w:sz="2" w:space="0" w:color="3D7FE0" w:themeColor="accent1"/>
              <w:bottom w:val="single" w:sz="8" w:space="0" w:color="3D7FE0" w:themeColor="accent1"/>
            </w:tcBorders>
            <w:shd w:val="clear" w:color="auto" w:fill="auto"/>
          </w:tcPr>
          <w:p w14:paraId="012B09B4" w14:textId="12096F7B" w:rsidR="00B60568" w:rsidRPr="00495083" w:rsidRDefault="00B60568" w:rsidP="00B60568">
            <w:pPr>
              <w:pStyle w:val="TablesTFigures"/>
              <w:rPr>
                <w:rFonts w:ascii="IBM Plex Sans Medium" w:eastAsia="Chronicle Text G1" w:hAnsi="IBM Plex Sans Medium" w:cs="Chronicle Text G1"/>
                <w:b/>
                <w:color w:val="3D7FE0" w:themeColor="accent1"/>
                <w:sz w:val="18"/>
                <w:szCs w:val="18"/>
              </w:rPr>
            </w:pPr>
            <w:r w:rsidRPr="00495083">
              <w:rPr>
                <w:rFonts w:ascii="IBM Plex Sans Medium" w:eastAsia="Chronicle Text G1" w:hAnsi="IBM Plex Sans Medium" w:cs="Chronicle Text G1"/>
                <w:b/>
                <w:color w:val="3D7FE0" w:themeColor="accent1"/>
                <w:sz w:val="18"/>
                <w:szCs w:val="18"/>
              </w:rPr>
              <w:t>1</w:t>
            </w:r>
            <w:r>
              <w:rPr>
                <w:rFonts w:ascii="IBM Plex Sans Medium" w:eastAsia="Chronicle Text G1" w:hAnsi="IBM Plex Sans Medium" w:cs="Chronicle Text G1"/>
                <w:b/>
                <w:color w:val="3D7FE0" w:themeColor="accent1"/>
                <w:sz w:val="18"/>
                <w:szCs w:val="18"/>
              </w:rPr>
              <w:t>84.2</w:t>
            </w:r>
          </w:p>
        </w:tc>
        <w:tc>
          <w:tcPr>
            <w:tcW w:w="851" w:type="dxa"/>
            <w:tcBorders>
              <w:top w:val="single" w:sz="2" w:space="0" w:color="3D7FE0" w:themeColor="accent1"/>
              <w:bottom w:val="single" w:sz="8" w:space="0" w:color="3D7FE0" w:themeColor="accent1"/>
            </w:tcBorders>
            <w:shd w:val="clear" w:color="auto" w:fill="auto"/>
          </w:tcPr>
          <w:p w14:paraId="6B1FEC78" w14:textId="0F066D4C" w:rsidR="00B60568" w:rsidRPr="00495083" w:rsidRDefault="00B60568" w:rsidP="00024B10">
            <w:pPr>
              <w:pStyle w:val="TablesTFigures"/>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4.8</w:t>
            </w:r>
          </w:p>
        </w:tc>
      </w:tr>
    </w:tbl>
    <w:p w14:paraId="4E4E9D97" w14:textId="77777777" w:rsidR="006B43AF" w:rsidRPr="005907D3" w:rsidRDefault="006B43AF" w:rsidP="006B43AF">
      <w:pPr>
        <w:rPr>
          <w:rFonts w:ascii="IBM Plex Sans Light" w:hAnsi="IBM Plex Sans Light"/>
        </w:rPr>
      </w:pPr>
    </w:p>
    <w:tbl>
      <w:tblPr>
        <w:tblW w:w="9923" w:type="dxa"/>
        <w:tblLayout w:type="fixed"/>
        <w:tblCellMar>
          <w:left w:w="0" w:type="dxa"/>
          <w:right w:w="0" w:type="dxa"/>
        </w:tblCellMar>
        <w:tblLook w:val="04A0" w:firstRow="1" w:lastRow="0" w:firstColumn="1" w:lastColumn="0" w:noHBand="0" w:noVBand="1"/>
      </w:tblPr>
      <w:tblGrid>
        <w:gridCol w:w="2268"/>
        <w:gridCol w:w="993"/>
        <w:gridCol w:w="1105"/>
        <w:gridCol w:w="879"/>
        <w:gridCol w:w="992"/>
        <w:gridCol w:w="993"/>
        <w:gridCol w:w="992"/>
        <w:gridCol w:w="850"/>
        <w:gridCol w:w="851"/>
      </w:tblGrid>
      <w:tr w:rsidR="00B60568" w:rsidRPr="005907D3" w14:paraId="0E974D30" w14:textId="77777777" w:rsidTr="00024B10">
        <w:trPr>
          <w:trHeight w:val="20"/>
        </w:trPr>
        <w:tc>
          <w:tcPr>
            <w:tcW w:w="2268" w:type="dxa"/>
            <w:tcBorders>
              <w:bottom w:val="single" w:sz="2" w:space="0" w:color="3D7FE0" w:themeColor="accent1"/>
            </w:tcBorders>
            <w:shd w:val="clear" w:color="auto" w:fill="auto"/>
            <w:vAlign w:val="bottom"/>
          </w:tcPr>
          <w:p w14:paraId="3900826C" w14:textId="77777777" w:rsidR="00B60568" w:rsidRPr="005907D3" w:rsidRDefault="00B60568" w:rsidP="004203CD">
            <w:pPr>
              <w:pStyle w:val="TablesTText"/>
              <w:rPr>
                <w:rFonts w:ascii="IBM Plex Sans Light" w:hAnsi="IBM Plex Sans Light"/>
              </w:rPr>
            </w:pPr>
          </w:p>
        </w:tc>
        <w:tc>
          <w:tcPr>
            <w:tcW w:w="993" w:type="dxa"/>
            <w:tcBorders>
              <w:bottom w:val="single" w:sz="2" w:space="0" w:color="3D7FE0" w:themeColor="accent1"/>
            </w:tcBorders>
            <w:shd w:val="clear" w:color="auto" w:fill="auto"/>
            <w:vAlign w:val="bottom"/>
          </w:tcPr>
          <w:p w14:paraId="6197557D" w14:textId="77777777" w:rsidR="00B60568" w:rsidRPr="005907D3" w:rsidRDefault="00B60568" w:rsidP="004203CD">
            <w:pPr>
              <w:pStyle w:val="TablesTFigures"/>
              <w:rPr>
                <w:rFonts w:ascii="IBM Plex Sans Light" w:hAnsi="IBM Plex Sans Light"/>
              </w:rPr>
            </w:pPr>
          </w:p>
        </w:tc>
        <w:tc>
          <w:tcPr>
            <w:tcW w:w="1105" w:type="dxa"/>
            <w:tcBorders>
              <w:bottom w:val="single" w:sz="2" w:space="0" w:color="3D7FE0" w:themeColor="accent1"/>
            </w:tcBorders>
            <w:shd w:val="clear" w:color="auto" w:fill="auto"/>
            <w:vAlign w:val="bottom"/>
          </w:tcPr>
          <w:p w14:paraId="05B78AA2" w14:textId="77777777" w:rsidR="00B60568" w:rsidRPr="005907D3" w:rsidRDefault="00B60568" w:rsidP="004203CD">
            <w:pPr>
              <w:pStyle w:val="TablesTFigures"/>
              <w:spacing w:line="240" w:lineRule="exact"/>
              <w:rPr>
                <w:rFonts w:ascii="IBM Plex Sans Light" w:hAnsi="IBM Plex Sans Light"/>
              </w:rPr>
            </w:pPr>
          </w:p>
        </w:tc>
        <w:tc>
          <w:tcPr>
            <w:tcW w:w="879" w:type="dxa"/>
            <w:tcBorders>
              <w:bottom w:val="single" w:sz="2" w:space="0" w:color="3D7FE0" w:themeColor="accent1"/>
            </w:tcBorders>
          </w:tcPr>
          <w:p w14:paraId="33712720" w14:textId="77777777" w:rsidR="00B60568" w:rsidRPr="005907D3" w:rsidRDefault="00B60568" w:rsidP="004203CD">
            <w:pPr>
              <w:pStyle w:val="TablesTFigures"/>
              <w:rPr>
                <w:rFonts w:ascii="IBM Plex Sans Light" w:hAnsi="IBM Plex Sans Light"/>
              </w:rPr>
            </w:pPr>
          </w:p>
        </w:tc>
        <w:tc>
          <w:tcPr>
            <w:tcW w:w="992" w:type="dxa"/>
            <w:tcBorders>
              <w:bottom w:val="single" w:sz="2" w:space="0" w:color="3D7FE0" w:themeColor="accent1"/>
            </w:tcBorders>
            <w:shd w:val="clear" w:color="auto" w:fill="auto"/>
            <w:vAlign w:val="bottom"/>
          </w:tcPr>
          <w:p w14:paraId="6D4E23BE" w14:textId="3851C14B" w:rsidR="00B60568" w:rsidRPr="005907D3" w:rsidRDefault="00B60568" w:rsidP="004203CD">
            <w:pPr>
              <w:pStyle w:val="TablesTFigures"/>
              <w:rPr>
                <w:rFonts w:ascii="IBM Plex Sans Light" w:hAnsi="IBM Plex Sans Light"/>
              </w:rPr>
            </w:pPr>
          </w:p>
        </w:tc>
        <w:tc>
          <w:tcPr>
            <w:tcW w:w="993" w:type="dxa"/>
            <w:tcBorders>
              <w:bottom w:val="single" w:sz="2" w:space="0" w:color="3D7FE0" w:themeColor="accent1"/>
            </w:tcBorders>
          </w:tcPr>
          <w:p w14:paraId="69BE2762" w14:textId="77777777" w:rsidR="00B60568" w:rsidRPr="005907D3" w:rsidRDefault="00B60568" w:rsidP="004203CD">
            <w:pPr>
              <w:pStyle w:val="TablesTFigureBrackets"/>
              <w:ind w:right="141"/>
              <w:rPr>
                <w:rFonts w:ascii="IBM Plex Sans Light" w:hAnsi="IBM Plex Sans Light"/>
                <w:sz w:val="14"/>
                <w:szCs w:val="18"/>
              </w:rPr>
            </w:pPr>
          </w:p>
        </w:tc>
        <w:tc>
          <w:tcPr>
            <w:tcW w:w="2693" w:type="dxa"/>
            <w:gridSpan w:val="3"/>
            <w:tcBorders>
              <w:bottom w:val="single" w:sz="2" w:space="0" w:color="3D7FE0" w:themeColor="accent1"/>
            </w:tcBorders>
            <w:shd w:val="clear" w:color="auto" w:fill="auto"/>
            <w:vAlign w:val="bottom"/>
          </w:tcPr>
          <w:p w14:paraId="3EF9C214" w14:textId="77777777" w:rsidR="00B60568" w:rsidRPr="005907D3" w:rsidRDefault="00B60568" w:rsidP="004203CD">
            <w:pPr>
              <w:pStyle w:val="TablesTFigureBrackets"/>
              <w:ind w:right="141"/>
              <w:rPr>
                <w:rFonts w:ascii="IBM Plex Sans Light" w:hAnsi="IBM Plex Sans Light"/>
              </w:rPr>
            </w:pPr>
            <w:r w:rsidRPr="005907D3">
              <w:rPr>
                <w:rFonts w:ascii="IBM Plex Sans Light" w:hAnsi="IBM Plex Sans Light"/>
                <w:sz w:val="14"/>
                <w:szCs w:val="18"/>
              </w:rPr>
              <w:t>202</w:t>
            </w:r>
            <w:r>
              <w:rPr>
                <w:rFonts w:ascii="IBM Plex Sans Light" w:hAnsi="IBM Plex Sans Light"/>
                <w:sz w:val="14"/>
                <w:szCs w:val="18"/>
              </w:rPr>
              <w:t>2</w:t>
            </w:r>
          </w:p>
        </w:tc>
      </w:tr>
      <w:tr w:rsidR="00B60568" w:rsidRPr="005907D3" w14:paraId="3D95F582" w14:textId="77777777" w:rsidTr="00024B10">
        <w:trPr>
          <w:trHeight w:hRule="exact" w:val="255"/>
        </w:trPr>
        <w:tc>
          <w:tcPr>
            <w:tcW w:w="2268" w:type="dxa"/>
            <w:tcBorders>
              <w:top w:val="single" w:sz="2" w:space="0" w:color="3D7FE0" w:themeColor="accent1"/>
            </w:tcBorders>
            <w:shd w:val="clear" w:color="auto" w:fill="auto"/>
            <w:vAlign w:val="center"/>
          </w:tcPr>
          <w:p w14:paraId="5D78EEB2" w14:textId="77777777" w:rsidR="00B60568" w:rsidRPr="005907D3" w:rsidRDefault="00B60568" w:rsidP="004203CD">
            <w:pPr>
              <w:pStyle w:val="TablesTText"/>
              <w:rPr>
                <w:rFonts w:ascii="IBM Plex Sans Light" w:hAnsi="IBM Plex Sans Light"/>
                <w:sz w:val="18"/>
                <w:szCs w:val="18"/>
              </w:rPr>
            </w:pPr>
            <w:r w:rsidRPr="005907D3">
              <w:rPr>
                <w:rFonts w:ascii="IBM Plex Sans Light" w:hAnsi="IBM Plex Sans Light"/>
                <w:sz w:val="18"/>
                <w:szCs w:val="18"/>
              </w:rPr>
              <w:t>UK</w:t>
            </w:r>
          </w:p>
        </w:tc>
        <w:tc>
          <w:tcPr>
            <w:tcW w:w="993" w:type="dxa"/>
            <w:tcBorders>
              <w:top w:val="single" w:sz="2" w:space="0" w:color="3D7FE0" w:themeColor="accent1"/>
            </w:tcBorders>
            <w:shd w:val="clear" w:color="auto" w:fill="auto"/>
          </w:tcPr>
          <w:p w14:paraId="16C3331D"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90.5</w:t>
            </w:r>
          </w:p>
        </w:tc>
        <w:tc>
          <w:tcPr>
            <w:tcW w:w="1105" w:type="dxa"/>
            <w:tcBorders>
              <w:top w:val="single" w:sz="2" w:space="0" w:color="3D7FE0" w:themeColor="accent1"/>
            </w:tcBorders>
            <w:shd w:val="clear" w:color="auto" w:fill="auto"/>
          </w:tcPr>
          <w:p w14:paraId="598C8E97" w14:textId="77777777" w:rsidR="00B60568" w:rsidRPr="00495083" w:rsidRDefault="00B60568" w:rsidP="004203CD">
            <w:pPr>
              <w:pStyle w:val="TablesTFigures"/>
              <w:spacing w:line="240" w:lineRule="exact"/>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74.3</w:t>
            </w:r>
          </w:p>
        </w:tc>
        <w:tc>
          <w:tcPr>
            <w:tcW w:w="879" w:type="dxa"/>
            <w:tcBorders>
              <w:top w:val="single" w:sz="2" w:space="0" w:color="3D7FE0" w:themeColor="accent1"/>
            </w:tcBorders>
          </w:tcPr>
          <w:p w14:paraId="11FF2111" w14:textId="5A84AFC9"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3.6</w:t>
            </w:r>
          </w:p>
        </w:tc>
        <w:tc>
          <w:tcPr>
            <w:tcW w:w="992" w:type="dxa"/>
            <w:tcBorders>
              <w:top w:val="single" w:sz="2" w:space="0" w:color="3D7FE0" w:themeColor="accent1"/>
            </w:tcBorders>
            <w:shd w:val="clear" w:color="auto" w:fill="auto"/>
          </w:tcPr>
          <w:p w14:paraId="00471365" w14:textId="16F6B80A"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420</w:t>
            </w:r>
          </w:p>
        </w:tc>
        <w:tc>
          <w:tcPr>
            <w:tcW w:w="993" w:type="dxa"/>
            <w:tcBorders>
              <w:top w:val="single" w:sz="2" w:space="0" w:color="3D7FE0" w:themeColor="accent1"/>
            </w:tcBorders>
            <w:shd w:val="clear" w:color="auto" w:fill="auto"/>
          </w:tcPr>
          <w:p w14:paraId="41BFC9AE"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84.0</w:t>
            </w:r>
          </w:p>
        </w:tc>
        <w:tc>
          <w:tcPr>
            <w:tcW w:w="992" w:type="dxa"/>
            <w:tcBorders>
              <w:top w:val="single" w:sz="2" w:space="0" w:color="3D7FE0" w:themeColor="accent1"/>
            </w:tcBorders>
          </w:tcPr>
          <w:p w14:paraId="75A8F6B2" w14:textId="049BA526"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80.8</w:t>
            </w:r>
          </w:p>
        </w:tc>
        <w:tc>
          <w:tcPr>
            <w:tcW w:w="850" w:type="dxa"/>
            <w:tcBorders>
              <w:top w:val="single" w:sz="2" w:space="0" w:color="3D7FE0" w:themeColor="accent1"/>
            </w:tcBorders>
            <w:shd w:val="clear" w:color="auto" w:fill="auto"/>
          </w:tcPr>
          <w:p w14:paraId="6E0CF4C3" w14:textId="621B608B"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80.6</w:t>
            </w:r>
          </w:p>
        </w:tc>
        <w:tc>
          <w:tcPr>
            <w:tcW w:w="851" w:type="dxa"/>
            <w:tcBorders>
              <w:top w:val="single" w:sz="2" w:space="0" w:color="3D7FE0" w:themeColor="accent1"/>
            </w:tcBorders>
            <w:shd w:val="clear" w:color="auto" w:fill="auto"/>
          </w:tcPr>
          <w:p w14:paraId="0216BE7A" w14:textId="4F53A81C" w:rsidR="00B60568" w:rsidRPr="00495083" w:rsidRDefault="00B60568" w:rsidP="00024B10">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0.4</w:t>
            </w:r>
          </w:p>
        </w:tc>
      </w:tr>
      <w:tr w:rsidR="00B60568" w:rsidRPr="005907D3" w14:paraId="3CC35FED" w14:textId="77777777" w:rsidTr="00024B10">
        <w:trPr>
          <w:trHeight w:hRule="exact" w:val="255"/>
        </w:trPr>
        <w:tc>
          <w:tcPr>
            <w:tcW w:w="2268" w:type="dxa"/>
            <w:shd w:val="clear" w:color="auto" w:fill="auto"/>
            <w:vAlign w:val="center"/>
          </w:tcPr>
          <w:p w14:paraId="3CF855FE" w14:textId="77777777" w:rsidR="00B60568" w:rsidRPr="005907D3" w:rsidRDefault="00B60568" w:rsidP="004203CD">
            <w:pPr>
              <w:pStyle w:val="TablesTText"/>
              <w:rPr>
                <w:rFonts w:ascii="IBM Plex Sans Light" w:hAnsi="IBM Plex Sans Light"/>
                <w:sz w:val="18"/>
                <w:szCs w:val="18"/>
              </w:rPr>
            </w:pPr>
            <w:r w:rsidRPr="005907D3">
              <w:rPr>
                <w:rFonts w:ascii="IBM Plex Sans Light" w:hAnsi="IBM Plex Sans Light"/>
                <w:sz w:val="18"/>
                <w:szCs w:val="18"/>
              </w:rPr>
              <w:t>France</w:t>
            </w:r>
          </w:p>
        </w:tc>
        <w:tc>
          <w:tcPr>
            <w:tcW w:w="993" w:type="dxa"/>
            <w:shd w:val="clear" w:color="auto" w:fill="auto"/>
          </w:tcPr>
          <w:p w14:paraId="2D35BBA1"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61.8</w:t>
            </w:r>
          </w:p>
        </w:tc>
        <w:tc>
          <w:tcPr>
            <w:tcW w:w="1105" w:type="dxa"/>
            <w:shd w:val="clear" w:color="auto" w:fill="auto"/>
          </w:tcPr>
          <w:p w14:paraId="016BDE2B"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53.8</w:t>
            </w:r>
          </w:p>
        </w:tc>
        <w:tc>
          <w:tcPr>
            <w:tcW w:w="879" w:type="dxa"/>
          </w:tcPr>
          <w:p w14:paraId="4EC323D2" w14:textId="2BF5F43C"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4.4</w:t>
            </w:r>
          </w:p>
        </w:tc>
        <w:tc>
          <w:tcPr>
            <w:tcW w:w="992" w:type="dxa"/>
            <w:shd w:val="clear" w:color="auto" w:fill="auto"/>
          </w:tcPr>
          <w:p w14:paraId="2236C076" w14:textId="03A43CF5"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430</w:t>
            </w:r>
          </w:p>
        </w:tc>
        <w:tc>
          <w:tcPr>
            <w:tcW w:w="993" w:type="dxa"/>
            <w:shd w:val="clear" w:color="auto" w:fill="auto"/>
          </w:tcPr>
          <w:p w14:paraId="2982221F"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65.9</w:t>
            </w:r>
          </w:p>
        </w:tc>
        <w:tc>
          <w:tcPr>
            <w:tcW w:w="992" w:type="dxa"/>
          </w:tcPr>
          <w:p w14:paraId="0063C789"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75.5</w:t>
            </w:r>
          </w:p>
        </w:tc>
        <w:tc>
          <w:tcPr>
            <w:tcW w:w="850" w:type="dxa"/>
            <w:shd w:val="clear" w:color="auto" w:fill="auto"/>
          </w:tcPr>
          <w:p w14:paraId="0EEA7A73" w14:textId="57651E6D"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67.0</w:t>
            </w:r>
          </w:p>
        </w:tc>
        <w:tc>
          <w:tcPr>
            <w:tcW w:w="851" w:type="dxa"/>
            <w:shd w:val="clear" w:color="auto" w:fill="auto"/>
          </w:tcPr>
          <w:p w14:paraId="546834EE" w14:textId="5D4D16C9" w:rsidR="00B60568" w:rsidRPr="00495083" w:rsidRDefault="00B60568" w:rsidP="00024B10">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12.5</w:t>
            </w:r>
          </w:p>
        </w:tc>
      </w:tr>
      <w:tr w:rsidR="00B60568" w:rsidRPr="005907D3" w14:paraId="0383DAF6" w14:textId="77777777" w:rsidTr="00024B10">
        <w:trPr>
          <w:trHeight w:hRule="exact" w:val="255"/>
        </w:trPr>
        <w:tc>
          <w:tcPr>
            <w:tcW w:w="2268" w:type="dxa"/>
            <w:tcBorders>
              <w:bottom w:val="single" w:sz="2" w:space="0" w:color="3D7FE0" w:themeColor="accent1"/>
            </w:tcBorders>
            <w:shd w:val="clear" w:color="auto" w:fill="auto"/>
            <w:vAlign w:val="center"/>
          </w:tcPr>
          <w:p w14:paraId="2E43EA14" w14:textId="77777777" w:rsidR="00B60568" w:rsidRPr="005907D3" w:rsidRDefault="00B60568" w:rsidP="004203CD">
            <w:pPr>
              <w:pStyle w:val="TablesTText"/>
              <w:rPr>
                <w:rFonts w:ascii="IBM Plex Sans Light" w:hAnsi="IBM Plex Sans Light"/>
                <w:sz w:val="18"/>
                <w:szCs w:val="18"/>
              </w:rPr>
            </w:pPr>
            <w:r w:rsidRPr="005907D3">
              <w:rPr>
                <w:rFonts w:ascii="IBM Plex Sans Light" w:hAnsi="IBM Plex Sans Light"/>
                <w:sz w:val="18"/>
                <w:szCs w:val="18"/>
              </w:rPr>
              <w:t>Ireland</w:t>
            </w:r>
          </w:p>
        </w:tc>
        <w:tc>
          <w:tcPr>
            <w:tcW w:w="993" w:type="dxa"/>
            <w:tcBorders>
              <w:bottom w:val="single" w:sz="2" w:space="0" w:color="3D7FE0" w:themeColor="accent1"/>
            </w:tcBorders>
            <w:shd w:val="clear" w:color="auto" w:fill="auto"/>
          </w:tcPr>
          <w:p w14:paraId="56CFCFF9"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37.3</w:t>
            </w:r>
          </w:p>
        </w:tc>
        <w:tc>
          <w:tcPr>
            <w:tcW w:w="1105" w:type="dxa"/>
            <w:tcBorders>
              <w:bottom w:val="single" w:sz="2" w:space="0" w:color="3D7FE0" w:themeColor="accent1"/>
            </w:tcBorders>
            <w:shd w:val="clear" w:color="auto" w:fill="auto"/>
          </w:tcPr>
          <w:p w14:paraId="7D6A5919"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33.6</w:t>
            </w:r>
          </w:p>
        </w:tc>
        <w:tc>
          <w:tcPr>
            <w:tcW w:w="879" w:type="dxa"/>
            <w:tcBorders>
              <w:bottom w:val="single" w:sz="2" w:space="0" w:color="3D7FE0" w:themeColor="accent1"/>
            </w:tcBorders>
          </w:tcPr>
          <w:p w14:paraId="169B23AD" w14:textId="425F364F"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2.3</w:t>
            </w:r>
          </w:p>
        </w:tc>
        <w:tc>
          <w:tcPr>
            <w:tcW w:w="992" w:type="dxa"/>
            <w:tcBorders>
              <w:bottom w:val="single" w:sz="2" w:space="0" w:color="3D7FE0" w:themeColor="accent1"/>
            </w:tcBorders>
            <w:shd w:val="clear" w:color="auto" w:fill="auto"/>
          </w:tcPr>
          <w:p w14:paraId="73E90585" w14:textId="2F421E8F"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500</w:t>
            </w:r>
          </w:p>
        </w:tc>
        <w:tc>
          <w:tcPr>
            <w:tcW w:w="993" w:type="dxa"/>
            <w:tcBorders>
              <w:bottom w:val="single" w:sz="2" w:space="0" w:color="3D7FE0" w:themeColor="accent1"/>
            </w:tcBorders>
            <w:shd w:val="clear" w:color="auto" w:fill="auto"/>
          </w:tcPr>
          <w:p w14:paraId="4D85BFD1"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38.8</w:t>
            </w:r>
          </w:p>
        </w:tc>
        <w:tc>
          <w:tcPr>
            <w:tcW w:w="992" w:type="dxa"/>
            <w:tcBorders>
              <w:bottom w:val="single" w:sz="2" w:space="0" w:color="3D7FE0" w:themeColor="accent1"/>
            </w:tcBorders>
          </w:tcPr>
          <w:p w14:paraId="1F1CA28C" w14:textId="716FF907"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39.9</w:t>
            </w:r>
          </w:p>
        </w:tc>
        <w:tc>
          <w:tcPr>
            <w:tcW w:w="850" w:type="dxa"/>
            <w:tcBorders>
              <w:bottom w:val="single" w:sz="2" w:space="0" w:color="3D7FE0" w:themeColor="accent1"/>
            </w:tcBorders>
            <w:shd w:val="clear" w:color="auto" w:fill="auto"/>
          </w:tcPr>
          <w:p w14:paraId="2894A4BC"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3</w:t>
            </w:r>
            <w:r>
              <w:rPr>
                <w:rFonts w:ascii="IBM Plex Sans Light" w:eastAsia="Chronicle Text G1" w:hAnsi="IBM Plex Sans Light" w:cs="Chronicle Text G1"/>
                <w:bCs/>
                <w:sz w:val="18"/>
                <w:szCs w:val="18"/>
              </w:rPr>
              <w:t>6.9</w:t>
            </w:r>
          </w:p>
        </w:tc>
        <w:tc>
          <w:tcPr>
            <w:tcW w:w="851" w:type="dxa"/>
            <w:tcBorders>
              <w:bottom w:val="single" w:sz="2" w:space="0" w:color="3D7FE0" w:themeColor="accent1"/>
            </w:tcBorders>
            <w:shd w:val="clear" w:color="auto" w:fill="auto"/>
          </w:tcPr>
          <w:p w14:paraId="69808BE6" w14:textId="6FB183D7" w:rsidR="00B60568" w:rsidRPr="00495083" w:rsidRDefault="00B60568" w:rsidP="00024B10">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8.1</w:t>
            </w:r>
          </w:p>
        </w:tc>
      </w:tr>
      <w:tr w:rsidR="00B60568" w:rsidRPr="005907D3" w14:paraId="08E302FA" w14:textId="77777777" w:rsidTr="00024B10">
        <w:trPr>
          <w:trHeight w:hRule="exact" w:val="255"/>
        </w:trPr>
        <w:tc>
          <w:tcPr>
            <w:tcW w:w="2268" w:type="dxa"/>
            <w:tcBorders>
              <w:top w:val="single" w:sz="2" w:space="0" w:color="3D7FE0" w:themeColor="accent1"/>
            </w:tcBorders>
            <w:shd w:val="clear" w:color="auto" w:fill="auto"/>
            <w:vAlign w:val="center"/>
          </w:tcPr>
          <w:p w14:paraId="7473D220" w14:textId="77777777" w:rsidR="00B60568" w:rsidRPr="005907D3" w:rsidRDefault="00B60568" w:rsidP="004203CD">
            <w:pPr>
              <w:pStyle w:val="TablesTTextBold"/>
              <w:rPr>
                <w:rFonts w:ascii="IBM Plex Sans Light" w:hAnsi="IBM Plex Sans Light"/>
                <w:b/>
                <w:bCs/>
                <w:sz w:val="18"/>
                <w:szCs w:val="18"/>
              </w:rPr>
            </w:pPr>
            <w:r w:rsidRPr="005907D3">
              <w:rPr>
                <w:rFonts w:ascii="IBM Plex Sans Light" w:hAnsi="IBM Plex Sans Light"/>
                <w:b/>
                <w:bCs/>
                <w:sz w:val="18"/>
                <w:szCs w:val="18"/>
              </w:rPr>
              <w:t>Flagship destinations</w:t>
            </w:r>
          </w:p>
        </w:tc>
        <w:tc>
          <w:tcPr>
            <w:tcW w:w="993" w:type="dxa"/>
            <w:tcBorders>
              <w:top w:val="single" w:sz="2" w:space="0" w:color="3D7FE0" w:themeColor="accent1"/>
            </w:tcBorders>
            <w:shd w:val="clear" w:color="auto" w:fill="auto"/>
          </w:tcPr>
          <w:p w14:paraId="32D66250"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189.6</w:t>
            </w:r>
          </w:p>
        </w:tc>
        <w:tc>
          <w:tcPr>
            <w:tcW w:w="1105" w:type="dxa"/>
            <w:tcBorders>
              <w:top w:val="single" w:sz="2" w:space="0" w:color="3D7FE0" w:themeColor="accent1"/>
            </w:tcBorders>
            <w:shd w:val="clear" w:color="auto" w:fill="auto"/>
          </w:tcPr>
          <w:p w14:paraId="658672EC"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161.7</w:t>
            </w:r>
          </w:p>
        </w:tc>
        <w:tc>
          <w:tcPr>
            <w:tcW w:w="879" w:type="dxa"/>
            <w:tcBorders>
              <w:top w:val="single" w:sz="2" w:space="0" w:color="3D7FE0" w:themeColor="accent1"/>
            </w:tcBorders>
          </w:tcPr>
          <w:p w14:paraId="1B0DCB3D" w14:textId="728E5937"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3.7</w:t>
            </w:r>
          </w:p>
        </w:tc>
        <w:tc>
          <w:tcPr>
            <w:tcW w:w="992" w:type="dxa"/>
            <w:tcBorders>
              <w:top w:val="single" w:sz="2" w:space="0" w:color="3D7FE0" w:themeColor="accent1"/>
            </w:tcBorders>
            <w:shd w:val="clear" w:color="auto" w:fill="auto"/>
          </w:tcPr>
          <w:p w14:paraId="71F3BC18" w14:textId="58B46183"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440</w:t>
            </w:r>
          </w:p>
        </w:tc>
        <w:tc>
          <w:tcPr>
            <w:tcW w:w="993" w:type="dxa"/>
            <w:tcBorders>
              <w:top w:val="single" w:sz="2" w:space="0" w:color="3D7FE0" w:themeColor="accent1"/>
            </w:tcBorders>
            <w:shd w:val="clear" w:color="auto" w:fill="auto"/>
          </w:tcPr>
          <w:p w14:paraId="2E83E84B"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188.7</w:t>
            </w:r>
          </w:p>
        </w:tc>
        <w:tc>
          <w:tcPr>
            <w:tcW w:w="992" w:type="dxa"/>
            <w:tcBorders>
              <w:top w:val="single" w:sz="2" w:space="0" w:color="3D7FE0" w:themeColor="accent1"/>
            </w:tcBorders>
          </w:tcPr>
          <w:p w14:paraId="15735D97" w14:textId="081BCA84"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19</w:t>
            </w:r>
            <w:r>
              <w:rPr>
                <w:rFonts w:ascii="IBM Plex Sans Light" w:eastAsia="Chronicle Text G1" w:hAnsi="IBM Plex Sans Light" w:cs="Chronicle Text G1"/>
                <w:bCs/>
                <w:sz w:val="18"/>
                <w:szCs w:val="18"/>
              </w:rPr>
              <w:t>6.2</w:t>
            </w:r>
          </w:p>
        </w:tc>
        <w:tc>
          <w:tcPr>
            <w:tcW w:w="850" w:type="dxa"/>
            <w:tcBorders>
              <w:top w:val="single" w:sz="2" w:space="0" w:color="3D7FE0" w:themeColor="accent1"/>
            </w:tcBorders>
            <w:shd w:val="clear" w:color="auto" w:fill="auto"/>
          </w:tcPr>
          <w:p w14:paraId="05DA2341" w14:textId="2D34E3B9"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w:t>
            </w:r>
            <w:r>
              <w:rPr>
                <w:rFonts w:ascii="IBM Plex Sans Light" w:eastAsia="Chronicle Text G1" w:hAnsi="IBM Plex Sans Light" w:cs="Chronicle Text G1"/>
                <w:bCs/>
                <w:sz w:val="18"/>
                <w:szCs w:val="18"/>
              </w:rPr>
              <w:t>84.5</w:t>
            </w:r>
          </w:p>
        </w:tc>
        <w:tc>
          <w:tcPr>
            <w:tcW w:w="851" w:type="dxa"/>
            <w:tcBorders>
              <w:top w:val="single" w:sz="2" w:space="0" w:color="3D7FE0" w:themeColor="accent1"/>
            </w:tcBorders>
            <w:shd w:val="clear" w:color="auto" w:fill="auto"/>
          </w:tcPr>
          <w:p w14:paraId="1C872D56" w14:textId="61110BC5" w:rsidR="00B60568" w:rsidRPr="00495083" w:rsidRDefault="00B60568" w:rsidP="00024B10">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6.3</w:t>
            </w:r>
          </w:p>
        </w:tc>
      </w:tr>
      <w:tr w:rsidR="00B60568" w:rsidRPr="005907D3" w14:paraId="75B1DC28" w14:textId="77777777" w:rsidTr="00024B10">
        <w:trPr>
          <w:trHeight w:hRule="exact" w:val="255"/>
        </w:trPr>
        <w:tc>
          <w:tcPr>
            <w:tcW w:w="2268" w:type="dxa"/>
            <w:shd w:val="clear" w:color="auto" w:fill="auto"/>
            <w:vAlign w:val="center"/>
          </w:tcPr>
          <w:p w14:paraId="07F5F648" w14:textId="77777777" w:rsidR="00B60568" w:rsidRPr="005907D3" w:rsidRDefault="00B60568" w:rsidP="004203CD">
            <w:pPr>
              <w:pStyle w:val="TablesTText"/>
              <w:rPr>
                <w:rFonts w:ascii="IBM Plex Sans Light" w:hAnsi="IBM Plex Sans Light"/>
                <w:sz w:val="18"/>
                <w:szCs w:val="18"/>
              </w:rPr>
            </w:pPr>
          </w:p>
        </w:tc>
        <w:tc>
          <w:tcPr>
            <w:tcW w:w="993" w:type="dxa"/>
            <w:shd w:val="clear" w:color="auto" w:fill="auto"/>
          </w:tcPr>
          <w:p w14:paraId="52282E4E" w14:textId="77777777" w:rsidR="00B60568" w:rsidRPr="00495083" w:rsidRDefault="00B60568" w:rsidP="004203CD">
            <w:pPr>
              <w:pStyle w:val="TablesTFigures"/>
              <w:rPr>
                <w:rFonts w:ascii="IBM Plex Sans Light" w:eastAsia="Chronicle Text G1" w:hAnsi="IBM Plex Sans Light" w:cs="Chronicle Text G1"/>
                <w:bCs/>
                <w:sz w:val="18"/>
                <w:szCs w:val="18"/>
              </w:rPr>
            </w:pPr>
          </w:p>
        </w:tc>
        <w:tc>
          <w:tcPr>
            <w:tcW w:w="1105" w:type="dxa"/>
            <w:shd w:val="clear" w:color="auto" w:fill="auto"/>
          </w:tcPr>
          <w:p w14:paraId="6A8541C0" w14:textId="77777777" w:rsidR="00B60568" w:rsidRPr="00495083" w:rsidRDefault="00B60568" w:rsidP="004203CD">
            <w:pPr>
              <w:pStyle w:val="TablesTFigures"/>
              <w:spacing w:line="240" w:lineRule="exact"/>
              <w:rPr>
                <w:rFonts w:ascii="IBM Plex Sans Light" w:eastAsia="Chronicle Text G1" w:hAnsi="IBM Plex Sans Light" w:cs="Chronicle Text G1"/>
                <w:bCs/>
                <w:sz w:val="18"/>
                <w:szCs w:val="18"/>
              </w:rPr>
            </w:pPr>
          </w:p>
        </w:tc>
        <w:tc>
          <w:tcPr>
            <w:tcW w:w="879" w:type="dxa"/>
          </w:tcPr>
          <w:p w14:paraId="13DF63CD" w14:textId="77777777" w:rsidR="00B60568" w:rsidRPr="00495083" w:rsidRDefault="00B60568" w:rsidP="004203CD">
            <w:pPr>
              <w:pStyle w:val="TablesTFigures"/>
              <w:rPr>
                <w:rFonts w:ascii="IBM Plex Sans Light" w:eastAsia="Chronicle Text G1" w:hAnsi="IBM Plex Sans Light" w:cs="Chronicle Text G1"/>
                <w:bCs/>
                <w:sz w:val="18"/>
                <w:szCs w:val="18"/>
              </w:rPr>
            </w:pPr>
          </w:p>
        </w:tc>
        <w:tc>
          <w:tcPr>
            <w:tcW w:w="992" w:type="dxa"/>
            <w:shd w:val="clear" w:color="auto" w:fill="auto"/>
          </w:tcPr>
          <w:p w14:paraId="1538444F" w14:textId="7B3AA52B" w:rsidR="00B60568" w:rsidRPr="00495083" w:rsidRDefault="00B60568" w:rsidP="004203CD">
            <w:pPr>
              <w:pStyle w:val="TablesTFigures"/>
              <w:rPr>
                <w:rFonts w:ascii="IBM Plex Sans Light" w:eastAsia="Chronicle Text G1" w:hAnsi="IBM Plex Sans Light" w:cs="Chronicle Text G1"/>
                <w:bCs/>
                <w:sz w:val="18"/>
                <w:szCs w:val="18"/>
              </w:rPr>
            </w:pPr>
          </w:p>
        </w:tc>
        <w:tc>
          <w:tcPr>
            <w:tcW w:w="993" w:type="dxa"/>
            <w:shd w:val="clear" w:color="auto" w:fill="auto"/>
          </w:tcPr>
          <w:p w14:paraId="2AA15135" w14:textId="77777777" w:rsidR="00B60568" w:rsidRPr="00495083" w:rsidRDefault="00B60568" w:rsidP="004203CD">
            <w:pPr>
              <w:pStyle w:val="TablesTFigures"/>
              <w:rPr>
                <w:rFonts w:ascii="IBM Plex Sans Light" w:eastAsia="Chronicle Text G1" w:hAnsi="IBM Plex Sans Light" w:cs="Chronicle Text G1"/>
                <w:bCs/>
                <w:sz w:val="18"/>
                <w:szCs w:val="18"/>
              </w:rPr>
            </w:pPr>
          </w:p>
        </w:tc>
        <w:tc>
          <w:tcPr>
            <w:tcW w:w="992" w:type="dxa"/>
          </w:tcPr>
          <w:p w14:paraId="09B5352D" w14:textId="77777777" w:rsidR="00B60568" w:rsidRPr="00495083" w:rsidRDefault="00B60568" w:rsidP="004203CD">
            <w:pPr>
              <w:pStyle w:val="TablesTFigures"/>
              <w:rPr>
                <w:rFonts w:ascii="IBM Plex Sans Light" w:eastAsia="Chronicle Text G1" w:hAnsi="IBM Plex Sans Light" w:cs="Chronicle Text G1"/>
                <w:bCs/>
                <w:sz w:val="18"/>
                <w:szCs w:val="18"/>
              </w:rPr>
            </w:pPr>
          </w:p>
        </w:tc>
        <w:tc>
          <w:tcPr>
            <w:tcW w:w="850" w:type="dxa"/>
            <w:shd w:val="clear" w:color="auto" w:fill="auto"/>
          </w:tcPr>
          <w:p w14:paraId="07C5A770" w14:textId="77777777" w:rsidR="00B60568" w:rsidRPr="00495083" w:rsidRDefault="00B60568" w:rsidP="004203CD">
            <w:pPr>
              <w:pStyle w:val="TablesTFigures"/>
              <w:rPr>
                <w:rFonts w:ascii="IBM Plex Sans Light" w:eastAsia="Chronicle Text G1" w:hAnsi="IBM Plex Sans Light" w:cs="Chronicle Text G1"/>
                <w:bCs/>
                <w:sz w:val="18"/>
                <w:szCs w:val="18"/>
              </w:rPr>
            </w:pPr>
          </w:p>
        </w:tc>
        <w:tc>
          <w:tcPr>
            <w:tcW w:w="851" w:type="dxa"/>
            <w:shd w:val="clear" w:color="auto" w:fill="auto"/>
          </w:tcPr>
          <w:p w14:paraId="44B52DFB" w14:textId="77777777" w:rsidR="00B60568" w:rsidRPr="00495083" w:rsidRDefault="00B60568" w:rsidP="004203CD">
            <w:pPr>
              <w:pStyle w:val="TablesTFigures"/>
              <w:tabs>
                <w:tab w:val="decimal" w:pos="802"/>
              </w:tabs>
              <w:ind w:right="15"/>
              <w:jc w:val="left"/>
              <w:rPr>
                <w:rFonts w:ascii="IBM Plex Sans Light" w:eastAsia="Chronicle Text G1" w:hAnsi="IBM Plex Sans Light" w:cs="Chronicle Text G1"/>
                <w:bCs/>
                <w:sz w:val="18"/>
                <w:szCs w:val="18"/>
              </w:rPr>
            </w:pPr>
          </w:p>
        </w:tc>
      </w:tr>
      <w:tr w:rsidR="00B60568" w:rsidRPr="005907D3" w14:paraId="0715A24C" w14:textId="77777777" w:rsidTr="00024B10">
        <w:trPr>
          <w:trHeight w:hRule="exact" w:val="255"/>
        </w:trPr>
        <w:tc>
          <w:tcPr>
            <w:tcW w:w="2268" w:type="dxa"/>
            <w:shd w:val="clear" w:color="auto" w:fill="auto"/>
            <w:vAlign w:val="center"/>
          </w:tcPr>
          <w:p w14:paraId="4357F2E7" w14:textId="77777777" w:rsidR="00B60568" w:rsidRPr="005907D3" w:rsidRDefault="00B60568" w:rsidP="004203CD">
            <w:pPr>
              <w:pStyle w:val="TablesTText"/>
              <w:rPr>
                <w:rFonts w:ascii="IBM Plex Sans Light" w:hAnsi="IBM Plex Sans Light"/>
                <w:sz w:val="18"/>
                <w:szCs w:val="18"/>
              </w:rPr>
            </w:pPr>
            <w:r w:rsidRPr="005907D3">
              <w:rPr>
                <w:rFonts w:ascii="IBM Plex Sans Light" w:hAnsi="IBM Plex Sans Light"/>
                <w:sz w:val="18"/>
                <w:szCs w:val="18"/>
              </w:rPr>
              <w:t>Developments and other</w:t>
            </w:r>
          </w:p>
        </w:tc>
        <w:tc>
          <w:tcPr>
            <w:tcW w:w="993" w:type="dxa"/>
            <w:shd w:val="clear" w:color="auto" w:fill="auto"/>
          </w:tcPr>
          <w:p w14:paraId="6067BC90"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25.6</w:t>
            </w:r>
          </w:p>
        </w:tc>
        <w:tc>
          <w:tcPr>
            <w:tcW w:w="1105" w:type="dxa"/>
            <w:shd w:val="clear" w:color="auto" w:fill="auto"/>
          </w:tcPr>
          <w:p w14:paraId="06B9D761" w14:textId="77777777" w:rsidR="00B60568" w:rsidRPr="00495083" w:rsidRDefault="00B60568" w:rsidP="004203CD">
            <w:pPr>
              <w:pStyle w:val="TablesTFigures"/>
              <w:spacing w:line="240" w:lineRule="exact"/>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13.1</w:t>
            </w:r>
          </w:p>
        </w:tc>
        <w:tc>
          <w:tcPr>
            <w:tcW w:w="879" w:type="dxa"/>
          </w:tcPr>
          <w:p w14:paraId="502F4C1F" w14:textId="650A4E82"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16.0</w:t>
            </w:r>
          </w:p>
        </w:tc>
        <w:tc>
          <w:tcPr>
            <w:tcW w:w="992" w:type="dxa"/>
            <w:shd w:val="clear" w:color="auto" w:fill="auto"/>
          </w:tcPr>
          <w:p w14:paraId="22884968" w14:textId="7C0468A4"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170</w:t>
            </w:r>
          </w:p>
        </w:tc>
        <w:tc>
          <w:tcPr>
            <w:tcW w:w="993" w:type="dxa"/>
            <w:shd w:val="clear" w:color="auto" w:fill="auto"/>
          </w:tcPr>
          <w:p w14:paraId="6174D1DA"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21.6</w:t>
            </w:r>
          </w:p>
        </w:tc>
        <w:tc>
          <w:tcPr>
            <w:tcW w:w="992" w:type="dxa"/>
          </w:tcPr>
          <w:p w14:paraId="59A38571" w14:textId="65FD5D0E"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2</w:t>
            </w:r>
            <w:r>
              <w:rPr>
                <w:rFonts w:ascii="IBM Plex Sans Light" w:eastAsia="Chronicle Text G1" w:hAnsi="IBM Plex Sans Light" w:cs="Chronicle Text G1"/>
                <w:bCs/>
                <w:sz w:val="18"/>
                <w:szCs w:val="18"/>
              </w:rPr>
              <w:t>1.6</w:t>
            </w:r>
          </w:p>
        </w:tc>
        <w:tc>
          <w:tcPr>
            <w:tcW w:w="850" w:type="dxa"/>
            <w:shd w:val="clear" w:color="auto" w:fill="auto"/>
          </w:tcPr>
          <w:p w14:paraId="71431371" w14:textId="77777777" w:rsidR="00B60568" w:rsidRPr="00495083" w:rsidRDefault="00B60568" w:rsidP="004203CD">
            <w:pPr>
              <w:pStyle w:val="TablesTFigures"/>
              <w:rPr>
                <w:rFonts w:ascii="IBM Plex Sans Light" w:eastAsia="Chronicle Text G1" w:hAnsi="IBM Plex Sans Light" w:cs="Chronicle Text G1"/>
                <w:bCs/>
                <w:sz w:val="18"/>
                <w:szCs w:val="18"/>
              </w:rPr>
            </w:pPr>
            <w:r w:rsidRPr="00495083">
              <w:rPr>
                <w:rFonts w:ascii="IBM Plex Sans Light" w:eastAsia="Chronicle Text G1" w:hAnsi="IBM Plex Sans Light" w:cs="Chronicle Text G1"/>
                <w:bCs/>
                <w:sz w:val="18"/>
                <w:szCs w:val="18"/>
              </w:rPr>
              <w:t>2</w:t>
            </w:r>
            <w:r>
              <w:rPr>
                <w:rFonts w:ascii="IBM Plex Sans Light" w:eastAsia="Chronicle Text G1" w:hAnsi="IBM Plex Sans Light" w:cs="Chronicle Text G1"/>
                <w:bCs/>
                <w:sz w:val="18"/>
                <w:szCs w:val="18"/>
              </w:rPr>
              <w:t>1.8</w:t>
            </w:r>
          </w:p>
        </w:tc>
        <w:tc>
          <w:tcPr>
            <w:tcW w:w="851" w:type="dxa"/>
            <w:shd w:val="clear" w:color="auto" w:fill="auto"/>
          </w:tcPr>
          <w:p w14:paraId="354DDC9F" w14:textId="43E7CFC8" w:rsidR="00B60568" w:rsidRPr="00495083" w:rsidRDefault="00B60568" w:rsidP="004203CD">
            <w:pPr>
              <w:pStyle w:val="TablesTFigureBrackets"/>
              <w:tabs>
                <w:tab w:val="decimal" w:pos="802"/>
              </w:tabs>
              <w:ind w:right="15"/>
              <w:jc w:val="left"/>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(1.4)</w:t>
            </w:r>
          </w:p>
        </w:tc>
      </w:tr>
      <w:tr w:rsidR="00B60568" w:rsidRPr="005907D3" w14:paraId="5200CDB6" w14:textId="77777777" w:rsidTr="00024B10">
        <w:trPr>
          <w:trHeight w:val="150"/>
        </w:trPr>
        <w:tc>
          <w:tcPr>
            <w:tcW w:w="2268" w:type="dxa"/>
            <w:tcBorders>
              <w:top w:val="single" w:sz="2" w:space="0" w:color="3D7FE0" w:themeColor="accent1"/>
              <w:bottom w:val="single" w:sz="8" w:space="0" w:color="3D7FE0" w:themeColor="accent1"/>
            </w:tcBorders>
            <w:shd w:val="clear" w:color="auto" w:fill="auto"/>
            <w:vAlign w:val="center"/>
          </w:tcPr>
          <w:p w14:paraId="63FFEB9D" w14:textId="77777777" w:rsidR="00B60568" w:rsidRPr="005907D3" w:rsidRDefault="00B60568" w:rsidP="004203CD">
            <w:pPr>
              <w:pStyle w:val="TablesTTextBold"/>
              <w:spacing w:line="240" w:lineRule="exact"/>
              <w:rPr>
                <w:rFonts w:ascii="IBM Plex Sans Light" w:hAnsi="IBM Plex Sans Light"/>
                <w:b/>
                <w:bCs/>
                <w:sz w:val="18"/>
                <w:szCs w:val="18"/>
              </w:rPr>
            </w:pPr>
            <w:r w:rsidRPr="005907D3">
              <w:rPr>
                <w:rFonts w:ascii="IBM Plex Sans Light" w:hAnsi="IBM Plex Sans Light"/>
                <w:b/>
                <w:bCs/>
                <w:sz w:val="18"/>
                <w:szCs w:val="18"/>
              </w:rPr>
              <w:t xml:space="preserve">Managed portfolio </w:t>
            </w:r>
          </w:p>
        </w:tc>
        <w:tc>
          <w:tcPr>
            <w:tcW w:w="993" w:type="dxa"/>
            <w:tcBorders>
              <w:top w:val="single" w:sz="2" w:space="0" w:color="3D7FE0" w:themeColor="accent1"/>
              <w:bottom w:val="single" w:sz="8" w:space="0" w:color="3D7FE0" w:themeColor="accent1"/>
            </w:tcBorders>
            <w:shd w:val="clear" w:color="auto" w:fill="auto"/>
          </w:tcPr>
          <w:p w14:paraId="2A1BE321" w14:textId="77777777"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215.2</w:t>
            </w:r>
          </w:p>
        </w:tc>
        <w:tc>
          <w:tcPr>
            <w:tcW w:w="1105" w:type="dxa"/>
            <w:tcBorders>
              <w:top w:val="single" w:sz="2" w:space="0" w:color="3D7FE0" w:themeColor="accent1"/>
              <w:bottom w:val="single" w:sz="8" w:space="0" w:color="3D7FE0" w:themeColor="accent1"/>
            </w:tcBorders>
            <w:shd w:val="clear" w:color="auto" w:fill="auto"/>
          </w:tcPr>
          <w:p w14:paraId="0AE5423B" w14:textId="77777777"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174.8</w:t>
            </w:r>
          </w:p>
        </w:tc>
        <w:tc>
          <w:tcPr>
            <w:tcW w:w="879" w:type="dxa"/>
            <w:tcBorders>
              <w:top w:val="single" w:sz="2" w:space="0" w:color="3D7FE0" w:themeColor="accent1"/>
              <w:bottom w:val="single" w:sz="8" w:space="0" w:color="3D7FE0" w:themeColor="accent1"/>
            </w:tcBorders>
          </w:tcPr>
          <w:p w14:paraId="1C879180" w14:textId="7D3C8345" w:rsidR="00B60568"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4.8</w:t>
            </w:r>
          </w:p>
        </w:tc>
        <w:tc>
          <w:tcPr>
            <w:tcW w:w="992" w:type="dxa"/>
            <w:tcBorders>
              <w:top w:val="single" w:sz="2" w:space="0" w:color="3D7FE0" w:themeColor="accent1"/>
              <w:bottom w:val="single" w:sz="8" w:space="0" w:color="3D7FE0" w:themeColor="accent1"/>
            </w:tcBorders>
            <w:shd w:val="clear" w:color="auto" w:fill="auto"/>
          </w:tcPr>
          <w:p w14:paraId="182A91BA" w14:textId="41881482"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380</w:t>
            </w:r>
          </w:p>
        </w:tc>
        <w:tc>
          <w:tcPr>
            <w:tcW w:w="993" w:type="dxa"/>
            <w:tcBorders>
              <w:top w:val="single" w:sz="2" w:space="0" w:color="3D7FE0" w:themeColor="accent1"/>
              <w:bottom w:val="single" w:sz="8" w:space="0" w:color="3D7FE0" w:themeColor="accent1"/>
            </w:tcBorders>
            <w:shd w:val="clear" w:color="auto" w:fill="auto"/>
          </w:tcPr>
          <w:p w14:paraId="34253A34" w14:textId="77777777"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210.3</w:t>
            </w:r>
          </w:p>
        </w:tc>
        <w:tc>
          <w:tcPr>
            <w:tcW w:w="992" w:type="dxa"/>
            <w:tcBorders>
              <w:top w:val="single" w:sz="2" w:space="0" w:color="3D7FE0" w:themeColor="accent1"/>
              <w:bottom w:val="single" w:sz="8" w:space="0" w:color="3D7FE0" w:themeColor="accent1"/>
            </w:tcBorders>
          </w:tcPr>
          <w:p w14:paraId="1336A81F" w14:textId="2F1B0280"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217.8</w:t>
            </w:r>
          </w:p>
        </w:tc>
        <w:tc>
          <w:tcPr>
            <w:tcW w:w="850" w:type="dxa"/>
            <w:tcBorders>
              <w:top w:val="single" w:sz="2" w:space="0" w:color="3D7FE0" w:themeColor="accent1"/>
              <w:bottom w:val="single" w:sz="8" w:space="0" w:color="3D7FE0" w:themeColor="accent1"/>
            </w:tcBorders>
            <w:shd w:val="clear" w:color="auto" w:fill="auto"/>
          </w:tcPr>
          <w:p w14:paraId="32DC6ED3" w14:textId="3A3BAFFB" w:rsidR="00B60568" w:rsidRPr="00495083" w:rsidRDefault="00B60568" w:rsidP="004203CD">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206.3</w:t>
            </w:r>
          </w:p>
        </w:tc>
        <w:tc>
          <w:tcPr>
            <w:tcW w:w="851" w:type="dxa"/>
            <w:tcBorders>
              <w:top w:val="single" w:sz="2" w:space="0" w:color="3D7FE0" w:themeColor="accent1"/>
              <w:bottom w:val="single" w:sz="8" w:space="0" w:color="3D7FE0" w:themeColor="accent1"/>
            </w:tcBorders>
            <w:shd w:val="clear" w:color="auto" w:fill="auto"/>
          </w:tcPr>
          <w:p w14:paraId="4D946C05" w14:textId="1EDB14F7" w:rsidR="00B60568" w:rsidRPr="00495083" w:rsidRDefault="00B60568" w:rsidP="00024B10">
            <w:pPr>
              <w:pStyle w:val="TablesTFigures"/>
              <w:rPr>
                <w:rFonts w:ascii="IBM Plex Sans Light" w:eastAsia="Chronicle Text G1" w:hAnsi="IBM Plex Sans Light" w:cs="Chronicle Text G1"/>
                <w:bCs/>
                <w:sz w:val="18"/>
                <w:szCs w:val="18"/>
              </w:rPr>
            </w:pPr>
            <w:r>
              <w:rPr>
                <w:rFonts w:ascii="IBM Plex Sans Light" w:eastAsia="Chronicle Text G1" w:hAnsi="IBM Plex Sans Light" w:cs="Chronicle Text G1"/>
                <w:bCs/>
                <w:sz w:val="18"/>
                <w:szCs w:val="18"/>
              </w:rPr>
              <w:t>5.5</w:t>
            </w:r>
          </w:p>
        </w:tc>
      </w:tr>
    </w:tbl>
    <w:p w14:paraId="44CEBCEC" w14:textId="045BAE17" w:rsidR="00B60568" w:rsidRDefault="00B60568" w:rsidP="006B43AF">
      <w:pPr>
        <w:pStyle w:val="Footnotes"/>
        <w:numPr>
          <w:ilvl w:val="1"/>
          <w:numId w:val="34"/>
        </w:numPr>
        <w:spacing w:before="120" w:after="0" w:line="240" w:lineRule="auto"/>
        <w:ind w:left="284" w:hanging="284"/>
        <w:rPr>
          <w:rFonts w:ascii="IBM Plex Sans Light" w:hAnsi="IBM Plex Sans Light"/>
          <w:sz w:val="16"/>
          <w:szCs w:val="22"/>
        </w:rPr>
      </w:pPr>
      <w:bookmarkStart w:id="6" w:name="_Hlk65576822"/>
      <w:r>
        <w:rPr>
          <w:rFonts w:ascii="IBM Plex Sans Light" w:hAnsi="IBM Plex Sans Light"/>
          <w:sz w:val="16"/>
          <w:szCs w:val="22"/>
        </w:rPr>
        <w:t>See Table 5 for analysis of vacancy.</w:t>
      </w:r>
    </w:p>
    <w:p w14:paraId="03E0AD6A" w14:textId="31EBF97B" w:rsidR="006B43AF" w:rsidRPr="00C16F8C" w:rsidRDefault="006B43AF" w:rsidP="006B43AF">
      <w:pPr>
        <w:pStyle w:val="Footnotes"/>
        <w:numPr>
          <w:ilvl w:val="1"/>
          <w:numId w:val="34"/>
        </w:numPr>
        <w:spacing w:before="120" w:after="0" w:line="240" w:lineRule="auto"/>
        <w:ind w:left="284" w:hanging="284"/>
        <w:rPr>
          <w:rFonts w:ascii="IBM Plex Sans Light" w:hAnsi="IBM Plex Sans Light"/>
          <w:sz w:val="16"/>
          <w:szCs w:val="22"/>
        </w:rPr>
      </w:pPr>
      <w:r w:rsidRPr="00C16F8C">
        <w:rPr>
          <w:rFonts w:ascii="IBM Plex Sans Light" w:hAnsi="IBM Plex Sans Light"/>
          <w:sz w:val="16"/>
          <w:szCs w:val="22"/>
        </w:rPr>
        <w:tab/>
        <w:t xml:space="preserve">Average rents passing at the </w:t>
      </w:r>
      <w:proofErr w:type="spellStart"/>
      <w:r>
        <w:rPr>
          <w:rFonts w:ascii="IBM Plex Sans Light" w:hAnsi="IBM Plex Sans Light"/>
          <w:sz w:val="16"/>
          <w:szCs w:val="22"/>
        </w:rPr>
        <w:t>year</w:t>
      </w:r>
      <w:r w:rsidRPr="00C16F8C">
        <w:rPr>
          <w:rFonts w:ascii="IBM Plex Sans Light" w:hAnsi="IBM Plex Sans Light"/>
          <w:sz w:val="16"/>
          <w:szCs w:val="22"/>
        </w:rPr>
        <w:t xml:space="preserve"> end</w:t>
      </w:r>
      <w:proofErr w:type="spellEnd"/>
      <w:r w:rsidRPr="00C16F8C">
        <w:rPr>
          <w:rFonts w:ascii="IBM Plex Sans Light" w:hAnsi="IBM Plex Sans Light"/>
          <w:sz w:val="16"/>
          <w:szCs w:val="22"/>
        </w:rPr>
        <w:t xml:space="preserve"> before deducting head rents and excluding rents passing from anchor units, car parks and commercialisation.</w:t>
      </w:r>
    </w:p>
    <w:p w14:paraId="5D697D5E" w14:textId="4D60D6E9" w:rsidR="006B43AF" w:rsidRDefault="006B43AF" w:rsidP="006B43AF">
      <w:pPr>
        <w:pStyle w:val="Footnotes"/>
        <w:numPr>
          <w:ilvl w:val="1"/>
          <w:numId w:val="34"/>
        </w:numPr>
        <w:spacing w:before="120" w:after="0" w:line="240" w:lineRule="auto"/>
        <w:ind w:left="284" w:hanging="284"/>
        <w:rPr>
          <w:rFonts w:ascii="IBM Plex Sans Light" w:hAnsi="IBM Plex Sans Light"/>
          <w:sz w:val="16"/>
          <w:szCs w:val="22"/>
        </w:rPr>
      </w:pPr>
      <w:r w:rsidRPr="00495083">
        <w:rPr>
          <w:rFonts w:ascii="IBM Plex Sans Light" w:hAnsi="IBM Plex Sans Light"/>
          <w:sz w:val="16"/>
          <w:szCs w:val="22"/>
        </w:rPr>
        <w:tab/>
        <w:t>Rents passing are the annual rental income receivable at the year end from an investment property, after any rent-free periods and after deducting head rents and car parking and commercialisation running costs totalling £12.6m (2022: £14.2m).</w:t>
      </w:r>
      <w:r w:rsidRPr="00495083">
        <w:rPr>
          <w:rFonts w:ascii="IBM Plex Sans Light" w:hAnsi="IBM Plex Sans Light"/>
          <w:sz w:val="16"/>
          <w:szCs w:val="22"/>
        </w:rPr>
        <w:tab/>
      </w:r>
    </w:p>
    <w:p w14:paraId="32FB7264" w14:textId="55C006F8" w:rsidR="006B43AF" w:rsidRPr="003E50EE" w:rsidRDefault="006B43AF" w:rsidP="006B43AF">
      <w:pPr>
        <w:pStyle w:val="Footnotes"/>
        <w:numPr>
          <w:ilvl w:val="1"/>
          <w:numId w:val="34"/>
        </w:numPr>
        <w:spacing w:before="120" w:after="0" w:line="240" w:lineRule="auto"/>
        <w:ind w:left="284" w:hanging="284"/>
        <w:rPr>
          <w:rFonts w:ascii="IBM Plex Sans Light" w:hAnsi="IBM Plex Sans Light"/>
          <w:sz w:val="16"/>
          <w:szCs w:val="22"/>
        </w:rPr>
      </w:pPr>
      <w:r w:rsidRPr="005730C1">
        <w:rPr>
          <w:rFonts w:ascii="IBM Plex Sans Light" w:hAnsi="IBM Plex Sans Light"/>
          <w:sz w:val="16"/>
          <w:szCs w:val="22"/>
        </w:rPr>
        <w:lastRenderedPageBreak/>
        <w:t xml:space="preserve">The estimated rental value (ERV) at the </w:t>
      </w:r>
      <w:proofErr w:type="spellStart"/>
      <w:r w:rsidRPr="005730C1">
        <w:rPr>
          <w:rFonts w:ascii="IBM Plex Sans Light" w:hAnsi="IBM Plex Sans Light"/>
          <w:sz w:val="16"/>
          <w:szCs w:val="22"/>
        </w:rPr>
        <w:t>year end</w:t>
      </w:r>
      <w:proofErr w:type="spellEnd"/>
      <w:r w:rsidRPr="005730C1">
        <w:rPr>
          <w:rFonts w:ascii="IBM Plex Sans Light" w:hAnsi="IBM Plex Sans Light"/>
          <w:sz w:val="16"/>
          <w:szCs w:val="22"/>
        </w:rPr>
        <w:t xml:space="preserve"> calculated by the Group’s valuers.</w:t>
      </w:r>
      <w:r>
        <w:rPr>
          <w:rFonts w:ascii="IBM Plex Sans Light" w:hAnsi="IBM Plex Sans Light"/>
          <w:sz w:val="16"/>
          <w:szCs w:val="22"/>
        </w:rPr>
        <w:t xml:space="preserve"> At 31 December 2023, i</w:t>
      </w:r>
      <w:r w:rsidRPr="003E50EE">
        <w:rPr>
          <w:rFonts w:ascii="IBM Plex Sans Light" w:hAnsi="IBM Plex Sans Light"/>
          <w:sz w:val="16"/>
          <w:szCs w:val="22"/>
        </w:rPr>
        <w:t>ncludes ERV for vacant space of £9.9m</w:t>
      </w:r>
      <w:r>
        <w:rPr>
          <w:rFonts w:ascii="IBM Plex Sans Light" w:hAnsi="IBM Plex Sans Light"/>
          <w:sz w:val="16"/>
          <w:szCs w:val="22"/>
        </w:rPr>
        <w:t xml:space="preserve"> (2022: £9.2m)</w:t>
      </w:r>
      <w:r w:rsidRPr="003E50EE">
        <w:rPr>
          <w:rFonts w:ascii="IBM Plex Sans Light" w:hAnsi="IBM Plex Sans Light"/>
          <w:sz w:val="16"/>
          <w:szCs w:val="22"/>
        </w:rPr>
        <w:t xml:space="preserve"> </w:t>
      </w:r>
      <w:r>
        <w:rPr>
          <w:rFonts w:ascii="IBM Plex Sans Light" w:hAnsi="IBM Plex Sans Light"/>
          <w:sz w:val="16"/>
          <w:szCs w:val="22"/>
        </w:rPr>
        <w:t>as per</w:t>
      </w:r>
      <w:r w:rsidRPr="003E50EE">
        <w:rPr>
          <w:rFonts w:ascii="IBM Plex Sans Light" w:hAnsi="IBM Plex Sans Light"/>
          <w:sz w:val="16"/>
          <w:szCs w:val="22"/>
        </w:rPr>
        <w:t xml:space="preserve"> </w:t>
      </w:r>
      <w:r w:rsidR="009F634A">
        <w:rPr>
          <w:rFonts w:ascii="IBM Plex Sans Light" w:hAnsi="IBM Plex Sans Light"/>
          <w:sz w:val="16"/>
          <w:szCs w:val="22"/>
        </w:rPr>
        <w:t>T</w:t>
      </w:r>
      <w:r w:rsidRPr="003E50EE">
        <w:rPr>
          <w:rFonts w:ascii="IBM Plex Sans Light" w:hAnsi="IBM Plex Sans Light"/>
          <w:sz w:val="16"/>
          <w:szCs w:val="22"/>
        </w:rPr>
        <w:t>able 5 and ERV for space undergoing reconfiguration of £</w:t>
      </w:r>
      <w:r w:rsidR="002A33BC">
        <w:rPr>
          <w:rFonts w:ascii="IBM Plex Sans Light" w:hAnsi="IBM Plex Sans Light"/>
          <w:sz w:val="16"/>
          <w:szCs w:val="22"/>
        </w:rPr>
        <w:t>2.6</w:t>
      </w:r>
      <w:r w:rsidRPr="003E50EE">
        <w:rPr>
          <w:rFonts w:ascii="IBM Plex Sans Light" w:hAnsi="IBM Plex Sans Light"/>
          <w:sz w:val="16"/>
          <w:szCs w:val="22"/>
        </w:rPr>
        <w:t>m</w:t>
      </w:r>
      <w:r>
        <w:rPr>
          <w:rFonts w:ascii="IBM Plex Sans Light" w:hAnsi="IBM Plex Sans Light"/>
          <w:sz w:val="16"/>
          <w:szCs w:val="22"/>
        </w:rPr>
        <w:t xml:space="preserve"> </w:t>
      </w:r>
      <w:r w:rsidR="002A33BC">
        <w:rPr>
          <w:rFonts w:ascii="IBM Plex Sans Light" w:hAnsi="IBM Plex Sans Light"/>
          <w:sz w:val="16"/>
          <w:szCs w:val="22"/>
        </w:rPr>
        <w:t>- UK £2.3m, Ireland £0.3m (2022: £2.6m - UK £2.2m, Ireland £0.4m)</w:t>
      </w:r>
      <w:r w:rsidRPr="003E50EE">
        <w:rPr>
          <w:rFonts w:ascii="IBM Plex Sans Light" w:hAnsi="IBM Plex Sans Light"/>
          <w:sz w:val="16"/>
          <w:szCs w:val="22"/>
        </w:rPr>
        <w:t>. ERVs in the above table are included within the unobservable inputs to the portfolio valuations as defined by IFRS 13.</w:t>
      </w:r>
    </w:p>
    <w:p w14:paraId="736027BD" w14:textId="2B6A7CD9" w:rsidR="006B43AF" w:rsidRDefault="00472DA4" w:rsidP="006B43AF">
      <w:pPr>
        <w:pStyle w:val="Footnotes"/>
        <w:numPr>
          <w:ilvl w:val="1"/>
          <w:numId w:val="34"/>
        </w:numPr>
        <w:spacing w:before="120" w:after="0" w:line="240" w:lineRule="auto"/>
        <w:ind w:left="284" w:hanging="284"/>
        <w:rPr>
          <w:rFonts w:ascii="IBM Plex Sans Light" w:hAnsi="IBM Plex Sans Light"/>
          <w:sz w:val="16"/>
          <w:szCs w:val="22"/>
        </w:rPr>
      </w:pPr>
      <w:r>
        <w:rPr>
          <w:rFonts w:ascii="IBM Plex Sans Light" w:hAnsi="IBM Plex Sans Light"/>
          <w:sz w:val="16"/>
          <w:szCs w:val="22"/>
        </w:rPr>
        <w:t>Rents passing</w:t>
      </w:r>
      <w:r w:rsidR="006B43AF" w:rsidRPr="005730C1">
        <w:rPr>
          <w:rFonts w:ascii="IBM Plex Sans Light" w:hAnsi="IBM Plex Sans Light"/>
          <w:sz w:val="16"/>
          <w:szCs w:val="22"/>
        </w:rPr>
        <w:t xml:space="preserve"> for reversion is rents passing adjusted for tenant incentives and inclusive costs, to give a better comparison with ERV which is on a net effective basis.</w:t>
      </w:r>
      <w:r>
        <w:rPr>
          <w:rFonts w:ascii="IBM Plex Sans Light" w:hAnsi="IBM Plex Sans Light"/>
          <w:sz w:val="16"/>
          <w:szCs w:val="22"/>
        </w:rPr>
        <w:t xml:space="preserve"> </w:t>
      </w:r>
    </w:p>
    <w:p w14:paraId="3CCF889C" w14:textId="31E9E633" w:rsidR="00472DA4" w:rsidRPr="00472DA4" w:rsidRDefault="00472DA4" w:rsidP="0070263F">
      <w:pPr>
        <w:pStyle w:val="Footnotes"/>
        <w:numPr>
          <w:ilvl w:val="1"/>
          <w:numId w:val="34"/>
        </w:numPr>
        <w:autoSpaceDE w:val="0"/>
        <w:autoSpaceDN w:val="0"/>
        <w:adjustRightInd w:val="0"/>
        <w:spacing w:before="120" w:after="0" w:line="240" w:lineRule="auto"/>
        <w:ind w:left="284" w:hanging="284"/>
        <w:rPr>
          <w:rFonts w:ascii="IBMPlexSans-Light" w:hAnsi="IBMPlexSans-Light" w:cs="IBMPlexSans-Light"/>
          <w:sz w:val="16"/>
          <w:szCs w:val="16"/>
        </w:rPr>
      </w:pPr>
      <w:r w:rsidRPr="00472DA4">
        <w:rPr>
          <w:rFonts w:ascii="IBM Plex Sans Light" w:hAnsi="IBM Plex Sans Light"/>
          <w:sz w:val="16"/>
          <w:szCs w:val="22"/>
        </w:rPr>
        <w:t>We have amended the reversion/(over-rented) figures (and restated 2022 figures) to show a direct comparison between the valuers’ ERV and rents passing for reversion, with both sets of figures</w:t>
      </w:r>
      <w:r w:rsidR="006E4E31">
        <w:rPr>
          <w:rFonts w:ascii="IBM Plex Sans Light" w:hAnsi="IBM Plex Sans Light"/>
          <w:sz w:val="16"/>
          <w:szCs w:val="22"/>
        </w:rPr>
        <w:t xml:space="preserve"> </w:t>
      </w:r>
      <w:r w:rsidRPr="00472DA4">
        <w:rPr>
          <w:rFonts w:ascii="IBM Plex Sans Light" w:hAnsi="IBM Plex Sans Light"/>
          <w:sz w:val="16"/>
          <w:szCs w:val="22"/>
        </w:rPr>
        <w:t xml:space="preserve">being on a net effective basis. The reversion/(over-rented) figures therefore show the future change in the Group’s rental income from </w:t>
      </w:r>
      <w:r w:rsidR="008758EF">
        <w:rPr>
          <w:rFonts w:ascii="IBM Plex Sans Light" w:hAnsi="IBM Plex Sans Light"/>
          <w:sz w:val="16"/>
          <w:szCs w:val="22"/>
        </w:rPr>
        <w:t xml:space="preserve">the settlement of review rents or </w:t>
      </w:r>
      <w:r w:rsidRPr="00472DA4">
        <w:rPr>
          <w:rFonts w:ascii="IBM Plex Sans Light" w:hAnsi="IBM Plex Sans Light"/>
          <w:sz w:val="16"/>
          <w:szCs w:val="22"/>
        </w:rPr>
        <w:t>a combination of letting:</w:t>
      </w:r>
      <w:bookmarkEnd w:id="6"/>
    </w:p>
    <w:p w14:paraId="6744145F" w14:textId="1EB73531" w:rsidR="00472DA4" w:rsidRDefault="00472DA4" w:rsidP="00472DA4">
      <w:pPr>
        <w:pStyle w:val="Footnotes"/>
        <w:autoSpaceDE w:val="0"/>
        <w:autoSpaceDN w:val="0"/>
        <w:adjustRightInd w:val="0"/>
        <w:spacing w:before="120" w:after="0" w:line="240" w:lineRule="auto"/>
        <w:ind w:left="284" w:firstLine="0"/>
        <w:rPr>
          <w:rFonts w:ascii="IBM Plex Sans Light" w:hAnsi="IBM Plex Sans Light"/>
          <w:sz w:val="16"/>
          <w:szCs w:val="22"/>
        </w:rPr>
      </w:pPr>
      <w:r w:rsidRPr="00472DA4">
        <w:rPr>
          <w:rFonts w:ascii="IBM Plex Sans Light" w:hAnsi="IBM Plex Sans Light"/>
          <w:sz w:val="16"/>
          <w:szCs w:val="22"/>
        </w:rPr>
        <w:t xml:space="preserve">- units at prevailing ERVs at the next lease event </w:t>
      </w:r>
      <w:r w:rsidR="008758EF">
        <w:rPr>
          <w:rFonts w:ascii="IBM Plex Sans Light" w:hAnsi="IBM Plex Sans Light"/>
          <w:sz w:val="16"/>
          <w:szCs w:val="22"/>
        </w:rPr>
        <w:t xml:space="preserve">i.e. </w:t>
      </w:r>
      <w:r w:rsidR="00D208F2">
        <w:rPr>
          <w:rFonts w:ascii="IBM Plex Sans Light" w:hAnsi="IBM Plex Sans Light"/>
          <w:sz w:val="16"/>
          <w:szCs w:val="22"/>
        </w:rPr>
        <w:t xml:space="preserve">break or </w:t>
      </w:r>
      <w:r w:rsidRPr="00472DA4">
        <w:rPr>
          <w:rFonts w:ascii="IBM Plex Sans Light" w:hAnsi="IBM Plex Sans Light"/>
          <w:sz w:val="16"/>
          <w:szCs w:val="22"/>
        </w:rPr>
        <w:t>expiry</w:t>
      </w:r>
      <w:r w:rsidR="00D208F2">
        <w:rPr>
          <w:rFonts w:ascii="IBM Plex Sans Light" w:hAnsi="IBM Plex Sans Light"/>
          <w:sz w:val="16"/>
          <w:szCs w:val="22"/>
        </w:rPr>
        <w:t xml:space="preserve"> </w:t>
      </w:r>
      <w:r w:rsidRPr="00472DA4">
        <w:rPr>
          <w:rFonts w:ascii="IBM Plex Sans Light" w:hAnsi="IBM Plex Sans Light"/>
          <w:sz w:val="16"/>
          <w:szCs w:val="22"/>
        </w:rPr>
        <w:t>(see Table 6)</w:t>
      </w:r>
    </w:p>
    <w:p w14:paraId="39CE7CF8" w14:textId="501F3E9A" w:rsidR="00472DA4" w:rsidRPr="00472DA4" w:rsidRDefault="00472DA4" w:rsidP="00472DA4">
      <w:pPr>
        <w:pStyle w:val="Footnotes"/>
        <w:autoSpaceDE w:val="0"/>
        <w:autoSpaceDN w:val="0"/>
        <w:adjustRightInd w:val="0"/>
        <w:spacing w:before="120" w:after="0" w:line="240" w:lineRule="auto"/>
        <w:ind w:left="284" w:firstLine="0"/>
        <w:rPr>
          <w:rFonts w:ascii="IBM Plex Sans Light" w:hAnsi="IBM Plex Sans Light"/>
          <w:sz w:val="16"/>
          <w:szCs w:val="22"/>
        </w:rPr>
      </w:pPr>
      <w:r>
        <w:rPr>
          <w:rFonts w:ascii="IBM Plex Sans Light" w:hAnsi="IBM Plex Sans Light"/>
          <w:sz w:val="16"/>
          <w:szCs w:val="22"/>
        </w:rPr>
        <w:t>-</w:t>
      </w:r>
      <w:r w:rsidRPr="00472DA4">
        <w:rPr>
          <w:rFonts w:ascii="IBM Plex Sans Light" w:hAnsi="IBM Plex Sans Light"/>
          <w:sz w:val="16"/>
          <w:szCs w:val="22"/>
        </w:rPr>
        <w:t xml:space="preserve"> vacant units (see Table 5)</w:t>
      </w:r>
    </w:p>
    <w:p w14:paraId="4530D548" w14:textId="5ED34EE5" w:rsidR="006B43AF" w:rsidRPr="00472DA4" w:rsidRDefault="00472DA4" w:rsidP="00472DA4">
      <w:pPr>
        <w:pStyle w:val="Footnotes"/>
        <w:autoSpaceDE w:val="0"/>
        <w:autoSpaceDN w:val="0"/>
        <w:adjustRightInd w:val="0"/>
        <w:spacing w:before="120" w:after="0" w:line="240" w:lineRule="auto"/>
        <w:ind w:left="284" w:firstLine="0"/>
        <w:rPr>
          <w:rFonts w:ascii="IBM Plex Sans Light" w:hAnsi="IBM Plex Sans Light"/>
          <w:sz w:val="16"/>
          <w:szCs w:val="22"/>
        </w:rPr>
      </w:pPr>
      <w:r>
        <w:rPr>
          <w:rFonts w:ascii="IBM Plex Sans Light" w:hAnsi="IBM Plex Sans Light"/>
          <w:sz w:val="16"/>
          <w:szCs w:val="22"/>
        </w:rPr>
        <w:t>-</w:t>
      </w:r>
      <w:r w:rsidRPr="00472DA4">
        <w:rPr>
          <w:rFonts w:ascii="IBM Plex Sans Light" w:hAnsi="IBM Plex Sans Light"/>
          <w:sz w:val="16"/>
          <w:szCs w:val="22"/>
        </w:rPr>
        <w:t xml:space="preserve"> units undergoing reconfiguration (see note</w:t>
      </w:r>
      <w:r w:rsidR="00B60568">
        <w:rPr>
          <w:rFonts w:ascii="IBM Plex Sans Light" w:hAnsi="IBM Plex Sans Light"/>
          <w:sz w:val="16"/>
          <w:szCs w:val="22"/>
        </w:rPr>
        <w:t>d</w:t>
      </w:r>
      <w:r w:rsidRPr="00472DA4">
        <w:rPr>
          <w:rFonts w:ascii="IBM Plex Sans Light" w:hAnsi="IBM Plex Sans Light"/>
          <w:sz w:val="16"/>
          <w:szCs w:val="22"/>
        </w:rPr>
        <w:t xml:space="preserve"> above)</w:t>
      </w:r>
      <w:r w:rsidR="007F605B">
        <w:rPr>
          <w:rFonts w:ascii="IBM Plex Sans Light" w:hAnsi="IBM Plex Sans Light"/>
          <w:sz w:val="16"/>
          <w:szCs w:val="22"/>
        </w:rPr>
        <w:t>.</w:t>
      </w:r>
    </w:p>
    <w:p w14:paraId="7461A7AE" w14:textId="77777777" w:rsidR="00181825" w:rsidRDefault="00181825"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p>
    <w:p w14:paraId="3DC7BC83" w14:textId="07CA3BB8"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Vacancy </w:t>
      </w:r>
    </w:p>
    <w:p w14:paraId="3297BD64" w14:textId="77777777" w:rsidR="006B43AF" w:rsidRPr="00280504" w:rsidRDefault="006B43AF" w:rsidP="006B43AF">
      <w:pPr>
        <w:rPr>
          <w:rFonts w:ascii="IBM Plex Sans Light" w:hAnsi="IBM Plex Sans Light"/>
          <w:b/>
        </w:rPr>
      </w:pPr>
      <w:r w:rsidRPr="00280504">
        <w:rPr>
          <w:rFonts w:ascii="IBM Plex Sans Light" w:hAnsi="IBM Plex Sans Light"/>
          <w:b/>
        </w:rPr>
        <w:t xml:space="preserve">Table </w:t>
      </w:r>
      <w:r>
        <w:rPr>
          <w:rFonts w:ascii="IBM Plex Sans Light" w:hAnsi="IBM Plex Sans Light"/>
          <w:b/>
        </w:rPr>
        <w:t>5</w:t>
      </w:r>
    </w:p>
    <w:tbl>
      <w:tblPr>
        <w:tblW w:w="9952" w:type="dxa"/>
        <w:tblLayout w:type="fixed"/>
        <w:tblCellMar>
          <w:left w:w="0" w:type="dxa"/>
          <w:right w:w="0" w:type="dxa"/>
        </w:tblCellMar>
        <w:tblLook w:val="04A0" w:firstRow="1" w:lastRow="0" w:firstColumn="1" w:lastColumn="0" w:noHBand="0" w:noVBand="1"/>
      </w:tblPr>
      <w:tblGrid>
        <w:gridCol w:w="3261"/>
        <w:gridCol w:w="367"/>
        <w:gridCol w:w="1134"/>
        <w:gridCol w:w="1106"/>
        <w:gridCol w:w="1021"/>
        <w:gridCol w:w="1021"/>
        <w:gridCol w:w="1021"/>
        <w:gridCol w:w="1021"/>
      </w:tblGrid>
      <w:tr w:rsidR="006B43AF" w:rsidRPr="005907D3" w14:paraId="046949CE" w14:textId="77777777" w:rsidTr="004203CD">
        <w:trPr>
          <w:trHeight w:val="340"/>
        </w:trPr>
        <w:tc>
          <w:tcPr>
            <w:tcW w:w="3261" w:type="dxa"/>
            <w:tcBorders>
              <w:bottom w:val="single" w:sz="2" w:space="0" w:color="3D7FE0" w:themeColor="accent1"/>
            </w:tcBorders>
            <w:shd w:val="clear" w:color="auto" w:fill="auto"/>
            <w:vAlign w:val="bottom"/>
          </w:tcPr>
          <w:p w14:paraId="024969F7" w14:textId="77777777" w:rsidR="006B43AF" w:rsidRDefault="006B43AF" w:rsidP="004203CD">
            <w:pPr>
              <w:pStyle w:val="TablesTColHeadsLeft"/>
              <w:rPr>
                <w:rFonts w:ascii="IBM Plex Sans Light" w:hAnsi="IBM Plex Sans Light"/>
                <w:highlight w:val="yellow"/>
              </w:rPr>
            </w:pPr>
          </w:p>
          <w:p w14:paraId="5572EAE4" w14:textId="77777777" w:rsidR="006B43AF" w:rsidRPr="005907D3" w:rsidRDefault="006B43AF" w:rsidP="004203CD">
            <w:pPr>
              <w:pStyle w:val="TablesTColHeadsLeft"/>
              <w:rPr>
                <w:rFonts w:ascii="IBM Plex Sans Light" w:hAnsi="IBM Plex Sans Light"/>
                <w:highlight w:val="yellow"/>
              </w:rPr>
            </w:pPr>
          </w:p>
        </w:tc>
        <w:tc>
          <w:tcPr>
            <w:tcW w:w="367" w:type="dxa"/>
            <w:tcBorders>
              <w:bottom w:val="single" w:sz="2" w:space="0" w:color="3D7FE0" w:themeColor="accent1"/>
            </w:tcBorders>
            <w:shd w:val="clear" w:color="auto" w:fill="auto"/>
            <w:vAlign w:val="bottom"/>
          </w:tcPr>
          <w:p w14:paraId="34AA1595" w14:textId="77777777" w:rsidR="006B43AF" w:rsidRPr="005907D3" w:rsidRDefault="006B43AF" w:rsidP="004203CD">
            <w:pPr>
              <w:pStyle w:val="TablesTColHeadsLeft"/>
              <w:rPr>
                <w:rFonts w:ascii="IBM Plex Sans Light" w:hAnsi="IBM Plex Sans Light"/>
                <w:highlight w:val="yellow"/>
              </w:rPr>
            </w:pPr>
          </w:p>
        </w:tc>
        <w:tc>
          <w:tcPr>
            <w:tcW w:w="3261" w:type="dxa"/>
            <w:gridSpan w:val="3"/>
            <w:tcBorders>
              <w:bottom w:val="single" w:sz="2" w:space="0" w:color="3D7FE0" w:themeColor="accent1"/>
            </w:tcBorders>
            <w:shd w:val="clear" w:color="auto" w:fill="auto"/>
            <w:vAlign w:val="bottom"/>
          </w:tcPr>
          <w:p w14:paraId="7C0ABD0F" w14:textId="77777777" w:rsidR="006B43AF" w:rsidRPr="005907D3" w:rsidRDefault="006B43AF" w:rsidP="004203CD">
            <w:pPr>
              <w:pStyle w:val="TablesTColHeadsBold"/>
              <w:rPr>
                <w:rFonts w:ascii="IBM Plex Sans Light" w:hAnsi="IBM Plex Sans Light"/>
                <w:color w:val="3D7FE0" w:themeColor="accent1"/>
                <w:sz w:val="14"/>
                <w:szCs w:val="14"/>
                <w:highlight w:val="yellow"/>
              </w:rPr>
            </w:pPr>
            <w:r w:rsidRPr="005907D3">
              <w:rPr>
                <w:rFonts w:ascii="IBM Plex Sans Light" w:hAnsi="IBM Plex Sans Light"/>
                <w:color w:val="3D7FE0" w:themeColor="accent1"/>
                <w:sz w:val="14"/>
                <w:szCs w:val="14"/>
                <w:highlight w:val="yellow"/>
              </w:rPr>
              <w:br/>
            </w:r>
            <w:r w:rsidRPr="005907D3">
              <w:rPr>
                <w:rFonts w:ascii="IBM Plex Sans Light" w:hAnsi="IBM Plex Sans Light"/>
                <w:color w:val="3D7FE0" w:themeColor="accent1"/>
                <w:sz w:val="14"/>
                <w:szCs w:val="14"/>
              </w:rPr>
              <w:t>202</w:t>
            </w:r>
            <w:r>
              <w:rPr>
                <w:rFonts w:ascii="IBM Plex Sans Light" w:hAnsi="IBM Plex Sans Light"/>
                <w:color w:val="3D7FE0" w:themeColor="accent1"/>
                <w:sz w:val="14"/>
                <w:szCs w:val="14"/>
              </w:rPr>
              <w:t>3</w:t>
            </w:r>
          </w:p>
        </w:tc>
        <w:tc>
          <w:tcPr>
            <w:tcW w:w="3063" w:type="dxa"/>
            <w:gridSpan w:val="3"/>
            <w:tcBorders>
              <w:bottom w:val="single" w:sz="2" w:space="0" w:color="3D7FE0" w:themeColor="accent1"/>
            </w:tcBorders>
            <w:shd w:val="clear" w:color="auto" w:fill="auto"/>
            <w:vAlign w:val="bottom"/>
          </w:tcPr>
          <w:p w14:paraId="4303D0AD" w14:textId="77777777" w:rsidR="006B43AF" w:rsidRPr="005907D3" w:rsidRDefault="006B43AF" w:rsidP="004203CD">
            <w:pPr>
              <w:pStyle w:val="TablesTColHeadsBold"/>
              <w:rPr>
                <w:rFonts w:ascii="IBM Plex Sans Light" w:hAnsi="IBM Plex Sans Light"/>
                <w:b w:val="0"/>
                <w:color w:val="auto"/>
                <w:sz w:val="14"/>
                <w:szCs w:val="14"/>
              </w:rPr>
            </w:pPr>
            <w:r w:rsidRPr="005907D3">
              <w:rPr>
                <w:rFonts w:ascii="IBM Plex Sans Light" w:hAnsi="IBM Plex Sans Light"/>
                <w:sz w:val="14"/>
                <w:szCs w:val="14"/>
              </w:rPr>
              <w:br/>
            </w:r>
            <w:r w:rsidRPr="005907D3">
              <w:rPr>
                <w:rFonts w:ascii="IBM Plex Sans Light" w:hAnsi="IBM Plex Sans Light"/>
                <w:b w:val="0"/>
                <w:color w:val="auto"/>
                <w:sz w:val="14"/>
                <w:szCs w:val="14"/>
              </w:rPr>
              <w:t>202</w:t>
            </w:r>
            <w:r>
              <w:rPr>
                <w:rFonts w:ascii="IBM Plex Sans Light" w:hAnsi="IBM Plex Sans Light"/>
                <w:b w:val="0"/>
                <w:color w:val="auto"/>
                <w:sz w:val="14"/>
                <w:szCs w:val="14"/>
              </w:rPr>
              <w:t>2</w:t>
            </w:r>
          </w:p>
        </w:tc>
      </w:tr>
      <w:tr w:rsidR="006B43AF" w:rsidRPr="005907D3" w14:paraId="1B211BF8" w14:textId="77777777" w:rsidTr="004203CD">
        <w:trPr>
          <w:trHeight w:val="20"/>
        </w:trPr>
        <w:tc>
          <w:tcPr>
            <w:tcW w:w="3261" w:type="dxa"/>
            <w:tcBorders>
              <w:top w:val="single" w:sz="2" w:space="0" w:color="3D7FE0" w:themeColor="accent1"/>
              <w:bottom w:val="single" w:sz="2" w:space="0" w:color="3D7FE0" w:themeColor="accent1"/>
            </w:tcBorders>
            <w:shd w:val="clear" w:color="auto" w:fill="auto"/>
            <w:vAlign w:val="bottom"/>
          </w:tcPr>
          <w:p w14:paraId="564105DA" w14:textId="77777777" w:rsidR="006B43AF" w:rsidRPr="005907D3" w:rsidRDefault="006B43AF" w:rsidP="004203CD">
            <w:pPr>
              <w:pStyle w:val="TablesTColHeadsLeft"/>
              <w:rPr>
                <w:rFonts w:ascii="IBM Plex Sans Light" w:hAnsi="IBM Plex Sans Light"/>
              </w:rPr>
            </w:pPr>
            <w:r w:rsidRPr="005907D3">
              <w:rPr>
                <w:rFonts w:ascii="IBM Plex Sans Light" w:hAnsi="IBM Plex Sans Light"/>
                <w:b/>
                <w:bCs/>
                <w:color w:val="3D7FE0" w:themeColor="accent1"/>
                <w:sz w:val="14"/>
                <w:szCs w:val="24"/>
              </w:rPr>
              <w:t>Proportionally consolidated</w:t>
            </w:r>
            <w:r w:rsidRPr="005907D3">
              <w:rPr>
                <w:rFonts w:ascii="IBM Plex Sans Light" w:hAnsi="IBM Plex Sans Light"/>
                <w:color w:val="3D7FE0" w:themeColor="accent1"/>
                <w:sz w:val="14"/>
                <w:szCs w:val="24"/>
              </w:rPr>
              <w:t xml:space="preserve"> </w:t>
            </w:r>
          </w:p>
        </w:tc>
        <w:tc>
          <w:tcPr>
            <w:tcW w:w="367" w:type="dxa"/>
            <w:tcBorders>
              <w:top w:val="single" w:sz="2" w:space="0" w:color="3D7FE0" w:themeColor="accent1"/>
              <w:bottom w:val="single" w:sz="2" w:space="0" w:color="3D7FE0" w:themeColor="accent1"/>
            </w:tcBorders>
            <w:shd w:val="clear" w:color="auto" w:fill="auto"/>
            <w:vAlign w:val="bottom"/>
          </w:tcPr>
          <w:p w14:paraId="178A67DF" w14:textId="77777777" w:rsidR="006B43AF" w:rsidRPr="005907D3" w:rsidRDefault="006B43AF" w:rsidP="004203CD">
            <w:pPr>
              <w:pStyle w:val="TablesTColHeadsLeft"/>
              <w:rPr>
                <w:rFonts w:ascii="IBM Plex Sans Light" w:hAnsi="IBM Plex Sans Light"/>
              </w:rPr>
            </w:pPr>
          </w:p>
        </w:tc>
        <w:tc>
          <w:tcPr>
            <w:tcW w:w="1134" w:type="dxa"/>
            <w:tcBorders>
              <w:top w:val="single" w:sz="2" w:space="0" w:color="3D7FE0" w:themeColor="accent1"/>
              <w:bottom w:val="single" w:sz="2" w:space="0" w:color="3D7FE0" w:themeColor="accent1"/>
            </w:tcBorders>
            <w:shd w:val="clear" w:color="auto" w:fill="auto"/>
            <w:vAlign w:val="bottom"/>
          </w:tcPr>
          <w:p w14:paraId="33BF8A2A"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ERV of vacant space</w:t>
            </w:r>
            <w:r w:rsidRPr="005907D3">
              <w:rPr>
                <w:rFonts w:ascii="IBM Plex Sans Light" w:hAnsi="IBM Plex Sans Light"/>
                <w:color w:val="3D7FE0" w:themeColor="accent1"/>
                <w:sz w:val="14"/>
                <w:szCs w:val="14"/>
              </w:rPr>
              <w:br/>
              <w:t>£m</w:t>
            </w:r>
          </w:p>
        </w:tc>
        <w:tc>
          <w:tcPr>
            <w:tcW w:w="1106" w:type="dxa"/>
            <w:tcBorders>
              <w:top w:val="single" w:sz="2" w:space="0" w:color="3D7FE0" w:themeColor="accent1"/>
              <w:bottom w:val="single" w:sz="2" w:space="0" w:color="3D7FE0" w:themeColor="accent1"/>
            </w:tcBorders>
            <w:shd w:val="clear" w:color="auto" w:fill="auto"/>
            <w:vAlign w:val="bottom"/>
          </w:tcPr>
          <w:p w14:paraId="562430EB" w14:textId="77777777" w:rsidR="006B43AF"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 xml:space="preserve">Total ERV for vacancy </w:t>
            </w:r>
            <w:r w:rsidRPr="005907D3">
              <w:rPr>
                <w:rFonts w:ascii="IBM Plex Sans Light" w:hAnsi="IBM Plex Sans Light"/>
                <w:color w:val="3D7FE0" w:themeColor="accent1"/>
                <w:sz w:val="14"/>
                <w:szCs w:val="14"/>
              </w:rPr>
              <w:br/>
              <w:t>£m</w:t>
            </w:r>
          </w:p>
          <w:p w14:paraId="45758209" w14:textId="77777777" w:rsidR="006B43AF" w:rsidRPr="005907D3" w:rsidRDefault="006B43AF" w:rsidP="004203CD">
            <w:pPr>
              <w:pStyle w:val="TablesTColHeadsBold"/>
              <w:rPr>
                <w:rFonts w:ascii="IBM Plex Sans Light" w:hAnsi="IBM Plex Sans Light"/>
                <w:color w:val="3D7FE0" w:themeColor="accent1"/>
                <w:sz w:val="14"/>
                <w:szCs w:val="14"/>
              </w:rPr>
            </w:pPr>
            <w:r>
              <w:rPr>
                <w:rFonts w:ascii="IBM Plex Sans Light" w:hAnsi="IBM Plex Sans Light"/>
                <w:color w:val="3D7FE0" w:themeColor="accent1"/>
                <w:sz w:val="14"/>
                <w:szCs w:val="14"/>
              </w:rPr>
              <w:t>a</w:t>
            </w:r>
          </w:p>
        </w:tc>
        <w:tc>
          <w:tcPr>
            <w:tcW w:w="1021" w:type="dxa"/>
            <w:tcBorders>
              <w:top w:val="single" w:sz="2" w:space="0" w:color="3D7FE0" w:themeColor="accent1"/>
              <w:bottom w:val="single" w:sz="2" w:space="0" w:color="3D7FE0" w:themeColor="accent1"/>
            </w:tcBorders>
            <w:shd w:val="clear" w:color="auto" w:fill="auto"/>
            <w:vAlign w:val="bottom"/>
          </w:tcPr>
          <w:p w14:paraId="480A64DE"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Vacancy</w:t>
            </w:r>
            <w:r w:rsidRPr="005907D3">
              <w:rPr>
                <w:rFonts w:ascii="IBM Plex Sans Light" w:hAnsi="IBM Plex Sans Light"/>
                <w:color w:val="3D7FE0" w:themeColor="accent1"/>
                <w:sz w:val="14"/>
                <w:szCs w:val="14"/>
              </w:rPr>
              <w:br/>
              <w:t>rate</w:t>
            </w:r>
            <w:r w:rsidRPr="005907D3">
              <w:rPr>
                <w:rFonts w:ascii="IBM Plex Sans Light" w:hAnsi="IBM Plex Sans Light"/>
                <w:color w:val="3D7FE0" w:themeColor="accent1"/>
                <w:sz w:val="14"/>
                <w:szCs w:val="14"/>
              </w:rPr>
              <w:br/>
              <w:t>% </w:t>
            </w:r>
          </w:p>
        </w:tc>
        <w:tc>
          <w:tcPr>
            <w:tcW w:w="1021" w:type="dxa"/>
            <w:tcBorders>
              <w:top w:val="single" w:sz="2" w:space="0" w:color="3D7FE0" w:themeColor="accent1"/>
              <w:bottom w:val="single" w:sz="2" w:space="0" w:color="3D7FE0" w:themeColor="accent1"/>
            </w:tcBorders>
            <w:shd w:val="clear" w:color="auto" w:fill="auto"/>
            <w:vAlign w:val="bottom"/>
          </w:tcPr>
          <w:p w14:paraId="51CC6B12" w14:textId="77777777" w:rsidR="006B43AF" w:rsidRPr="005907D3" w:rsidRDefault="006B43AF" w:rsidP="004203CD">
            <w:pPr>
              <w:pStyle w:val="TablesTColHeadsBold"/>
              <w:rPr>
                <w:rFonts w:ascii="IBM Plex Sans Light" w:hAnsi="IBM Plex Sans Light"/>
                <w:b w:val="0"/>
                <w:color w:val="auto"/>
                <w:sz w:val="14"/>
                <w:szCs w:val="14"/>
              </w:rPr>
            </w:pPr>
            <w:r w:rsidRPr="005907D3">
              <w:rPr>
                <w:rFonts w:ascii="IBM Plex Sans Light" w:hAnsi="IBM Plex Sans Light"/>
                <w:b w:val="0"/>
                <w:color w:val="auto"/>
                <w:sz w:val="14"/>
                <w:szCs w:val="14"/>
              </w:rPr>
              <w:t>ERV of vacant space</w:t>
            </w:r>
            <w:r w:rsidRPr="005907D3">
              <w:rPr>
                <w:rFonts w:ascii="IBM Plex Sans Light" w:hAnsi="IBM Plex Sans Light"/>
                <w:b w:val="0"/>
                <w:color w:val="auto"/>
                <w:sz w:val="14"/>
                <w:szCs w:val="14"/>
              </w:rPr>
              <w:br/>
              <w:t>£m</w:t>
            </w:r>
          </w:p>
        </w:tc>
        <w:tc>
          <w:tcPr>
            <w:tcW w:w="1021" w:type="dxa"/>
            <w:tcBorders>
              <w:top w:val="single" w:sz="2" w:space="0" w:color="3D7FE0" w:themeColor="accent1"/>
              <w:bottom w:val="single" w:sz="2" w:space="0" w:color="3D7FE0" w:themeColor="accent1"/>
            </w:tcBorders>
            <w:shd w:val="clear" w:color="auto" w:fill="auto"/>
            <w:vAlign w:val="bottom"/>
          </w:tcPr>
          <w:p w14:paraId="2A3463E3" w14:textId="77777777" w:rsidR="006B43AF" w:rsidRPr="005907D3" w:rsidRDefault="006B43AF" w:rsidP="004203CD">
            <w:pPr>
              <w:pStyle w:val="TablesTColHeadsBold"/>
              <w:rPr>
                <w:rFonts w:ascii="IBM Plex Sans Light" w:hAnsi="IBM Plex Sans Light"/>
                <w:b w:val="0"/>
                <w:color w:val="auto"/>
                <w:sz w:val="14"/>
                <w:szCs w:val="14"/>
              </w:rPr>
            </w:pPr>
            <w:r w:rsidRPr="005907D3">
              <w:rPr>
                <w:rFonts w:ascii="IBM Plex Sans Light" w:hAnsi="IBM Plex Sans Light"/>
                <w:b w:val="0"/>
                <w:color w:val="auto"/>
                <w:sz w:val="14"/>
                <w:szCs w:val="14"/>
              </w:rPr>
              <w:t xml:space="preserve">Total ERV for vacancy </w:t>
            </w:r>
            <w:r w:rsidRPr="005907D3">
              <w:rPr>
                <w:rFonts w:ascii="IBM Plex Sans Light" w:hAnsi="IBM Plex Sans Light"/>
                <w:b w:val="0"/>
                <w:color w:val="auto"/>
                <w:sz w:val="14"/>
                <w:szCs w:val="14"/>
              </w:rPr>
              <w:br/>
              <w:t>£m</w:t>
            </w:r>
          </w:p>
        </w:tc>
        <w:tc>
          <w:tcPr>
            <w:tcW w:w="1021" w:type="dxa"/>
            <w:tcBorders>
              <w:top w:val="single" w:sz="2" w:space="0" w:color="3D7FE0" w:themeColor="accent1"/>
              <w:bottom w:val="single" w:sz="2" w:space="0" w:color="3D7FE0" w:themeColor="accent1"/>
            </w:tcBorders>
            <w:shd w:val="clear" w:color="auto" w:fill="auto"/>
            <w:vAlign w:val="bottom"/>
          </w:tcPr>
          <w:p w14:paraId="36E8C6D8" w14:textId="77777777" w:rsidR="006B43AF" w:rsidRPr="005907D3" w:rsidRDefault="006B43AF" w:rsidP="004203CD">
            <w:pPr>
              <w:pStyle w:val="TablesTColHeadsBold"/>
              <w:rPr>
                <w:rFonts w:ascii="IBM Plex Sans Light" w:hAnsi="IBM Plex Sans Light"/>
                <w:b w:val="0"/>
                <w:color w:val="auto"/>
                <w:sz w:val="14"/>
                <w:szCs w:val="14"/>
              </w:rPr>
            </w:pPr>
            <w:r w:rsidRPr="005907D3">
              <w:rPr>
                <w:rFonts w:ascii="IBM Plex Sans Light" w:hAnsi="IBM Plex Sans Light"/>
                <w:b w:val="0"/>
                <w:color w:val="auto"/>
                <w:sz w:val="14"/>
                <w:szCs w:val="14"/>
              </w:rPr>
              <w:t>Vacancy</w:t>
            </w:r>
            <w:r w:rsidRPr="005907D3">
              <w:rPr>
                <w:rFonts w:ascii="IBM Plex Sans Light" w:hAnsi="IBM Plex Sans Light"/>
                <w:b w:val="0"/>
                <w:color w:val="auto"/>
                <w:sz w:val="14"/>
                <w:szCs w:val="14"/>
              </w:rPr>
              <w:br/>
              <w:t>rate</w:t>
            </w:r>
            <w:r w:rsidRPr="005907D3">
              <w:rPr>
                <w:rFonts w:ascii="IBM Plex Sans Light" w:hAnsi="IBM Plex Sans Light"/>
                <w:b w:val="0"/>
                <w:color w:val="auto"/>
                <w:sz w:val="14"/>
                <w:szCs w:val="14"/>
              </w:rPr>
              <w:br/>
              <w:t>%</w:t>
            </w:r>
          </w:p>
        </w:tc>
      </w:tr>
      <w:tr w:rsidR="006B43AF" w:rsidRPr="005907D3" w14:paraId="3F35B7A5" w14:textId="77777777" w:rsidTr="004203CD">
        <w:trPr>
          <w:trHeight w:val="20"/>
        </w:trPr>
        <w:tc>
          <w:tcPr>
            <w:tcW w:w="3261" w:type="dxa"/>
            <w:tcBorders>
              <w:top w:val="single" w:sz="2" w:space="0" w:color="3D7FE0" w:themeColor="accent1"/>
            </w:tcBorders>
            <w:vAlign w:val="bottom"/>
          </w:tcPr>
          <w:p w14:paraId="603AC837" w14:textId="77777777" w:rsidR="006B43AF" w:rsidRPr="005907D3" w:rsidRDefault="006B43AF" w:rsidP="004203CD">
            <w:pPr>
              <w:pStyle w:val="TablesTText"/>
              <w:rPr>
                <w:rFonts w:ascii="IBM Plex Sans Light" w:hAnsi="IBM Plex Sans Light"/>
                <w:sz w:val="18"/>
                <w:szCs w:val="18"/>
              </w:rPr>
            </w:pPr>
          </w:p>
        </w:tc>
        <w:tc>
          <w:tcPr>
            <w:tcW w:w="367" w:type="dxa"/>
            <w:tcBorders>
              <w:top w:val="single" w:sz="2" w:space="0" w:color="3D7FE0" w:themeColor="accent1"/>
            </w:tcBorders>
            <w:vAlign w:val="bottom"/>
          </w:tcPr>
          <w:p w14:paraId="4A1FDEFD" w14:textId="77777777" w:rsidR="006B43AF" w:rsidRPr="005907D3" w:rsidRDefault="006B43AF" w:rsidP="004203CD">
            <w:pPr>
              <w:pStyle w:val="TablesTText"/>
              <w:rPr>
                <w:rFonts w:ascii="IBM Plex Sans Light" w:hAnsi="IBM Plex Sans Light"/>
                <w:sz w:val="18"/>
                <w:szCs w:val="18"/>
              </w:rPr>
            </w:pPr>
          </w:p>
        </w:tc>
        <w:tc>
          <w:tcPr>
            <w:tcW w:w="1134" w:type="dxa"/>
            <w:tcBorders>
              <w:top w:val="single" w:sz="2" w:space="0" w:color="3D7FE0" w:themeColor="accent1"/>
            </w:tcBorders>
            <w:shd w:val="clear" w:color="auto" w:fill="auto"/>
          </w:tcPr>
          <w:p w14:paraId="43BA7729" w14:textId="77777777" w:rsidR="006B43AF" w:rsidRPr="005907D3" w:rsidRDefault="006B43AF" w:rsidP="004203CD">
            <w:pPr>
              <w:pStyle w:val="TablesTFigures"/>
              <w:rPr>
                <w:rFonts w:ascii="IBM Plex Sans Light" w:hAnsi="IBM Plex Sans Light"/>
                <w:sz w:val="18"/>
                <w:szCs w:val="18"/>
              </w:rPr>
            </w:pPr>
          </w:p>
        </w:tc>
        <w:tc>
          <w:tcPr>
            <w:tcW w:w="1106" w:type="dxa"/>
            <w:tcBorders>
              <w:top w:val="single" w:sz="2" w:space="0" w:color="3D7FE0" w:themeColor="accent1"/>
            </w:tcBorders>
            <w:shd w:val="clear" w:color="auto" w:fill="auto"/>
          </w:tcPr>
          <w:p w14:paraId="637A4545" w14:textId="77777777" w:rsidR="006B43AF" w:rsidRPr="005907D3" w:rsidRDefault="006B43AF" w:rsidP="004203CD">
            <w:pPr>
              <w:pStyle w:val="TablesTFigures"/>
              <w:spacing w:line="240" w:lineRule="exact"/>
              <w:rPr>
                <w:rFonts w:ascii="IBM Plex Sans Light" w:hAnsi="IBM Plex Sans Light"/>
                <w:sz w:val="18"/>
                <w:szCs w:val="18"/>
              </w:rPr>
            </w:pPr>
            <w:r w:rsidRPr="005907D3">
              <w:rPr>
                <w:rFonts w:ascii="IBM Plex Sans Light" w:hAnsi="IBM Plex Sans Light"/>
                <w:sz w:val="18"/>
                <w:szCs w:val="18"/>
              </w:rPr>
              <w:t>a</w:t>
            </w:r>
          </w:p>
        </w:tc>
        <w:tc>
          <w:tcPr>
            <w:tcW w:w="1021" w:type="dxa"/>
            <w:tcBorders>
              <w:top w:val="single" w:sz="2" w:space="0" w:color="3D7FE0" w:themeColor="accent1"/>
            </w:tcBorders>
            <w:shd w:val="clear" w:color="auto" w:fill="auto"/>
          </w:tcPr>
          <w:p w14:paraId="64C05F0D" w14:textId="77777777" w:rsidR="006B43AF" w:rsidRPr="005907D3" w:rsidRDefault="006B43AF" w:rsidP="004203CD">
            <w:pPr>
              <w:pStyle w:val="TablesTFigures"/>
              <w:spacing w:line="240" w:lineRule="exact"/>
              <w:rPr>
                <w:rFonts w:ascii="IBM Plex Sans Light" w:hAnsi="IBM Plex Sans Light"/>
                <w:i/>
                <w:iCs/>
                <w:sz w:val="18"/>
                <w:szCs w:val="18"/>
              </w:rPr>
            </w:pPr>
          </w:p>
        </w:tc>
        <w:tc>
          <w:tcPr>
            <w:tcW w:w="1021" w:type="dxa"/>
            <w:tcBorders>
              <w:top w:val="single" w:sz="2" w:space="0" w:color="3D7FE0" w:themeColor="accent1"/>
            </w:tcBorders>
            <w:shd w:val="clear" w:color="auto" w:fill="auto"/>
          </w:tcPr>
          <w:p w14:paraId="430B60A5" w14:textId="77777777" w:rsidR="006B43AF" w:rsidRPr="005907D3" w:rsidRDefault="006B43AF" w:rsidP="004203CD">
            <w:pPr>
              <w:pStyle w:val="TablesTFigures"/>
              <w:rPr>
                <w:rFonts w:ascii="IBM Plex Sans Light" w:hAnsi="IBM Plex Sans Light"/>
                <w:sz w:val="18"/>
                <w:szCs w:val="18"/>
              </w:rPr>
            </w:pPr>
          </w:p>
        </w:tc>
        <w:tc>
          <w:tcPr>
            <w:tcW w:w="1021" w:type="dxa"/>
            <w:tcBorders>
              <w:top w:val="single" w:sz="2" w:space="0" w:color="3D7FE0" w:themeColor="accent1"/>
            </w:tcBorders>
            <w:shd w:val="clear" w:color="auto" w:fill="FFFFFF" w:themeFill="background1"/>
          </w:tcPr>
          <w:p w14:paraId="26877B80" w14:textId="77777777" w:rsidR="006B43AF" w:rsidRPr="005907D3" w:rsidRDefault="006B43AF" w:rsidP="004203CD">
            <w:pPr>
              <w:pStyle w:val="TablesTFigures"/>
              <w:spacing w:line="240" w:lineRule="exact"/>
              <w:rPr>
                <w:rFonts w:ascii="IBM Plex Sans Light" w:hAnsi="IBM Plex Sans Light"/>
                <w:sz w:val="18"/>
                <w:szCs w:val="18"/>
              </w:rPr>
            </w:pPr>
            <w:r w:rsidRPr="005907D3">
              <w:rPr>
                <w:rFonts w:ascii="IBM Plex Sans Light" w:hAnsi="IBM Plex Sans Light"/>
                <w:sz w:val="18"/>
                <w:szCs w:val="18"/>
              </w:rPr>
              <w:t>a</w:t>
            </w:r>
          </w:p>
        </w:tc>
        <w:tc>
          <w:tcPr>
            <w:tcW w:w="1021" w:type="dxa"/>
            <w:tcBorders>
              <w:top w:val="single" w:sz="2" w:space="0" w:color="3D7FE0" w:themeColor="accent1"/>
            </w:tcBorders>
            <w:shd w:val="clear" w:color="auto" w:fill="auto"/>
          </w:tcPr>
          <w:p w14:paraId="3699A402" w14:textId="77777777" w:rsidR="006B43AF" w:rsidRPr="005907D3" w:rsidRDefault="006B43AF" w:rsidP="004203CD">
            <w:pPr>
              <w:pStyle w:val="TablesTFigures"/>
              <w:rPr>
                <w:rFonts w:ascii="IBM Plex Sans Light" w:hAnsi="IBM Plex Sans Light"/>
                <w:i/>
                <w:iCs/>
                <w:sz w:val="18"/>
                <w:szCs w:val="18"/>
              </w:rPr>
            </w:pPr>
          </w:p>
        </w:tc>
      </w:tr>
      <w:tr w:rsidR="006B43AF" w:rsidRPr="005907D3" w14:paraId="122C32B8" w14:textId="77777777" w:rsidTr="004203CD">
        <w:trPr>
          <w:trHeight w:hRule="exact" w:val="255"/>
        </w:trPr>
        <w:tc>
          <w:tcPr>
            <w:tcW w:w="3261" w:type="dxa"/>
            <w:tcBorders>
              <w:top w:val="single" w:sz="2" w:space="0" w:color="3D7FE0" w:themeColor="accent1"/>
            </w:tcBorders>
            <w:vAlign w:val="bottom"/>
          </w:tcPr>
          <w:p w14:paraId="0AD30365"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UK</w:t>
            </w:r>
          </w:p>
        </w:tc>
        <w:tc>
          <w:tcPr>
            <w:tcW w:w="367" w:type="dxa"/>
            <w:tcBorders>
              <w:top w:val="single" w:sz="2" w:space="0" w:color="3D7FE0" w:themeColor="accent1"/>
            </w:tcBorders>
            <w:vAlign w:val="bottom"/>
          </w:tcPr>
          <w:p w14:paraId="5C35F3FC" w14:textId="77777777" w:rsidR="006B43AF" w:rsidRPr="005907D3" w:rsidRDefault="006B43AF" w:rsidP="004203CD">
            <w:pPr>
              <w:pStyle w:val="TablesTText"/>
              <w:rPr>
                <w:rFonts w:ascii="IBM Plex Sans Light" w:hAnsi="IBM Plex Sans Light"/>
                <w:sz w:val="18"/>
                <w:szCs w:val="18"/>
              </w:rPr>
            </w:pPr>
          </w:p>
        </w:tc>
        <w:tc>
          <w:tcPr>
            <w:tcW w:w="1134" w:type="dxa"/>
            <w:tcBorders>
              <w:top w:val="single" w:sz="2" w:space="0" w:color="3D7FE0" w:themeColor="accent1"/>
            </w:tcBorders>
            <w:shd w:val="clear" w:color="auto" w:fill="auto"/>
            <w:vAlign w:val="bottom"/>
          </w:tcPr>
          <w:p w14:paraId="1CDDF087"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3.2</w:t>
            </w:r>
          </w:p>
        </w:tc>
        <w:tc>
          <w:tcPr>
            <w:tcW w:w="1106" w:type="dxa"/>
            <w:tcBorders>
              <w:top w:val="single" w:sz="2" w:space="0" w:color="3D7FE0" w:themeColor="accent1"/>
            </w:tcBorders>
            <w:shd w:val="clear" w:color="auto" w:fill="auto"/>
            <w:vAlign w:val="bottom"/>
          </w:tcPr>
          <w:p w14:paraId="096126B1"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65.9</w:t>
            </w:r>
          </w:p>
        </w:tc>
        <w:tc>
          <w:tcPr>
            <w:tcW w:w="1021" w:type="dxa"/>
            <w:tcBorders>
              <w:top w:val="single" w:sz="2" w:space="0" w:color="3D7FE0" w:themeColor="accent1"/>
            </w:tcBorders>
            <w:shd w:val="clear" w:color="auto" w:fill="auto"/>
            <w:vAlign w:val="bottom"/>
          </w:tcPr>
          <w:p w14:paraId="6F15F7E4"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4.9</w:t>
            </w:r>
          </w:p>
        </w:tc>
        <w:tc>
          <w:tcPr>
            <w:tcW w:w="1021" w:type="dxa"/>
            <w:tcBorders>
              <w:top w:val="single" w:sz="2" w:space="0" w:color="3D7FE0" w:themeColor="accent1"/>
            </w:tcBorders>
            <w:shd w:val="clear" w:color="auto" w:fill="auto"/>
            <w:vAlign w:val="bottom"/>
          </w:tcPr>
          <w:p w14:paraId="38D3CA62"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2.3</w:t>
            </w:r>
          </w:p>
        </w:tc>
        <w:tc>
          <w:tcPr>
            <w:tcW w:w="1021" w:type="dxa"/>
            <w:tcBorders>
              <w:top w:val="single" w:sz="2" w:space="0" w:color="3D7FE0" w:themeColor="accent1"/>
            </w:tcBorders>
            <w:shd w:val="clear" w:color="auto" w:fill="FFFFFF" w:themeFill="background1"/>
            <w:vAlign w:val="bottom"/>
          </w:tcPr>
          <w:p w14:paraId="3007E273"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64.2</w:t>
            </w:r>
          </w:p>
        </w:tc>
        <w:tc>
          <w:tcPr>
            <w:tcW w:w="1021" w:type="dxa"/>
            <w:tcBorders>
              <w:top w:val="single" w:sz="2" w:space="0" w:color="3D7FE0" w:themeColor="accent1"/>
            </w:tcBorders>
            <w:shd w:val="clear" w:color="auto" w:fill="auto"/>
            <w:vAlign w:val="bottom"/>
          </w:tcPr>
          <w:p w14:paraId="39872F3E"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3.6</w:t>
            </w:r>
          </w:p>
        </w:tc>
      </w:tr>
      <w:tr w:rsidR="006B43AF" w:rsidRPr="005907D3" w14:paraId="4505372F" w14:textId="77777777" w:rsidTr="004203CD">
        <w:trPr>
          <w:trHeight w:hRule="exact" w:val="255"/>
        </w:trPr>
        <w:tc>
          <w:tcPr>
            <w:tcW w:w="3261" w:type="dxa"/>
            <w:vAlign w:val="bottom"/>
          </w:tcPr>
          <w:p w14:paraId="44A2847A"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France</w:t>
            </w:r>
          </w:p>
        </w:tc>
        <w:tc>
          <w:tcPr>
            <w:tcW w:w="367" w:type="dxa"/>
            <w:vAlign w:val="bottom"/>
          </w:tcPr>
          <w:p w14:paraId="29C108AD" w14:textId="77777777" w:rsidR="006B43AF" w:rsidRPr="005907D3" w:rsidRDefault="006B43AF" w:rsidP="004203CD">
            <w:pPr>
              <w:pStyle w:val="TablesTText"/>
              <w:rPr>
                <w:rFonts w:ascii="IBM Plex Sans Light" w:hAnsi="IBM Plex Sans Light"/>
                <w:sz w:val="18"/>
                <w:szCs w:val="18"/>
              </w:rPr>
            </w:pPr>
          </w:p>
        </w:tc>
        <w:tc>
          <w:tcPr>
            <w:tcW w:w="1134" w:type="dxa"/>
            <w:shd w:val="clear" w:color="auto" w:fill="auto"/>
            <w:vAlign w:val="bottom"/>
          </w:tcPr>
          <w:p w14:paraId="6D768BD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4.2</w:t>
            </w:r>
          </w:p>
        </w:tc>
        <w:tc>
          <w:tcPr>
            <w:tcW w:w="1106" w:type="dxa"/>
            <w:shd w:val="clear" w:color="auto" w:fill="auto"/>
            <w:vAlign w:val="bottom"/>
          </w:tcPr>
          <w:p w14:paraId="77DFC3B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60.6</w:t>
            </w:r>
          </w:p>
        </w:tc>
        <w:tc>
          <w:tcPr>
            <w:tcW w:w="1021" w:type="dxa"/>
            <w:shd w:val="clear" w:color="auto" w:fill="auto"/>
            <w:vAlign w:val="bottom"/>
          </w:tcPr>
          <w:p w14:paraId="5E654DF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6.9</w:t>
            </w:r>
          </w:p>
        </w:tc>
        <w:tc>
          <w:tcPr>
            <w:tcW w:w="1021" w:type="dxa"/>
            <w:shd w:val="clear" w:color="auto" w:fill="auto"/>
            <w:vAlign w:val="bottom"/>
          </w:tcPr>
          <w:p w14:paraId="6F6D56B2"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3.2</w:t>
            </w:r>
          </w:p>
        </w:tc>
        <w:tc>
          <w:tcPr>
            <w:tcW w:w="1021" w:type="dxa"/>
            <w:shd w:val="clear" w:color="auto" w:fill="FFFFFF" w:themeFill="background1"/>
            <w:vAlign w:val="bottom"/>
          </w:tcPr>
          <w:p w14:paraId="50A3D390"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72.5</w:t>
            </w:r>
          </w:p>
        </w:tc>
        <w:tc>
          <w:tcPr>
            <w:tcW w:w="1021" w:type="dxa"/>
            <w:shd w:val="clear" w:color="auto" w:fill="auto"/>
            <w:vAlign w:val="bottom"/>
          </w:tcPr>
          <w:p w14:paraId="37F8208B"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4.4</w:t>
            </w:r>
          </w:p>
        </w:tc>
      </w:tr>
      <w:tr w:rsidR="006B43AF" w:rsidRPr="005907D3" w14:paraId="5323F00A" w14:textId="77777777" w:rsidTr="004203CD">
        <w:trPr>
          <w:trHeight w:hRule="exact" w:val="255"/>
        </w:trPr>
        <w:tc>
          <w:tcPr>
            <w:tcW w:w="3261" w:type="dxa"/>
            <w:tcBorders>
              <w:bottom w:val="single" w:sz="2" w:space="0" w:color="3D7FE0" w:themeColor="accent1"/>
            </w:tcBorders>
            <w:shd w:val="clear" w:color="auto" w:fill="auto"/>
            <w:vAlign w:val="bottom"/>
          </w:tcPr>
          <w:p w14:paraId="7422D2DF"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Ireland</w:t>
            </w:r>
          </w:p>
        </w:tc>
        <w:tc>
          <w:tcPr>
            <w:tcW w:w="367" w:type="dxa"/>
            <w:tcBorders>
              <w:bottom w:val="single" w:sz="2" w:space="0" w:color="3D7FE0" w:themeColor="accent1"/>
            </w:tcBorders>
            <w:shd w:val="clear" w:color="auto" w:fill="auto"/>
            <w:vAlign w:val="bottom"/>
          </w:tcPr>
          <w:p w14:paraId="7700BC2E" w14:textId="77777777" w:rsidR="006B43AF" w:rsidRPr="005907D3" w:rsidRDefault="006B43AF" w:rsidP="004203CD">
            <w:pPr>
              <w:pStyle w:val="TablesTText"/>
              <w:rPr>
                <w:rFonts w:ascii="IBM Plex Sans Light" w:hAnsi="IBM Plex Sans Light"/>
                <w:sz w:val="18"/>
                <w:szCs w:val="18"/>
              </w:rPr>
            </w:pPr>
          </w:p>
        </w:tc>
        <w:tc>
          <w:tcPr>
            <w:tcW w:w="1134" w:type="dxa"/>
            <w:tcBorders>
              <w:bottom w:val="single" w:sz="2" w:space="0" w:color="3D7FE0" w:themeColor="accent1"/>
            </w:tcBorders>
            <w:shd w:val="clear" w:color="auto" w:fill="auto"/>
            <w:vAlign w:val="bottom"/>
          </w:tcPr>
          <w:p w14:paraId="7240249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w:t>
            </w:r>
          </w:p>
        </w:tc>
        <w:tc>
          <w:tcPr>
            <w:tcW w:w="1106" w:type="dxa"/>
            <w:tcBorders>
              <w:bottom w:val="single" w:sz="2" w:space="0" w:color="3D7FE0" w:themeColor="accent1"/>
            </w:tcBorders>
            <w:shd w:val="clear" w:color="auto" w:fill="auto"/>
            <w:vAlign w:val="bottom"/>
          </w:tcPr>
          <w:p w14:paraId="21C9E7F7"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35.2</w:t>
            </w:r>
          </w:p>
        </w:tc>
        <w:tc>
          <w:tcPr>
            <w:tcW w:w="1021" w:type="dxa"/>
            <w:tcBorders>
              <w:bottom w:val="single" w:sz="2" w:space="0" w:color="3D7FE0" w:themeColor="accent1"/>
            </w:tcBorders>
            <w:shd w:val="clear" w:color="auto" w:fill="auto"/>
            <w:vAlign w:val="bottom"/>
          </w:tcPr>
          <w:p w14:paraId="59D4C07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3.8</w:t>
            </w:r>
          </w:p>
        </w:tc>
        <w:tc>
          <w:tcPr>
            <w:tcW w:w="1021" w:type="dxa"/>
            <w:tcBorders>
              <w:bottom w:val="single" w:sz="2" w:space="0" w:color="3D7FE0" w:themeColor="accent1"/>
            </w:tcBorders>
            <w:shd w:val="clear" w:color="auto" w:fill="auto"/>
            <w:vAlign w:val="bottom"/>
          </w:tcPr>
          <w:p w14:paraId="51E8E8AD"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0.8</w:t>
            </w:r>
          </w:p>
        </w:tc>
        <w:tc>
          <w:tcPr>
            <w:tcW w:w="1021" w:type="dxa"/>
            <w:tcBorders>
              <w:bottom w:val="single" w:sz="2" w:space="0" w:color="3D7FE0" w:themeColor="accent1"/>
            </w:tcBorders>
            <w:shd w:val="clear" w:color="auto" w:fill="FFFFFF" w:themeFill="background1"/>
            <w:vAlign w:val="bottom"/>
          </w:tcPr>
          <w:p w14:paraId="6F332550"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35.7</w:t>
            </w:r>
          </w:p>
        </w:tc>
        <w:tc>
          <w:tcPr>
            <w:tcW w:w="1021" w:type="dxa"/>
            <w:tcBorders>
              <w:bottom w:val="single" w:sz="2" w:space="0" w:color="3D7FE0" w:themeColor="accent1"/>
            </w:tcBorders>
            <w:shd w:val="clear" w:color="auto" w:fill="auto"/>
            <w:vAlign w:val="bottom"/>
          </w:tcPr>
          <w:p w14:paraId="182B608E"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2.3</w:t>
            </w:r>
          </w:p>
        </w:tc>
      </w:tr>
      <w:tr w:rsidR="006B43AF" w:rsidRPr="005907D3" w14:paraId="0EC970AE" w14:textId="77777777" w:rsidTr="004203CD">
        <w:trPr>
          <w:trHeight w:hRule="exact" w:val="255"/>
        </w:trPr>
        <w:tc>
          <w:tcPr>
            <w:tcW w:w="3261" w:type="dxa"/>
            <w:tcBorders>
              <w:top w:val="single" w:sz="2" w:space="0" w:color="3D7FE0" w:themeColor="accent1"/>
            </w:tcBorders>
            <w:shd w:val="clear" w:color="auto" w:fill="auto"/>
            <w:vAlign w:val="bottom"/>
          </w:tcPr>
          <w:p w14:paraId="24BCA246" w14:textId="77777777" w:rsidR="006B43AF" w:rsidRPr="005907D3" w:rsidRDefault="006B43AF" w:rsidP="004203CD">
            <w:pPr>
              <w:pStyle w:val="TablesTTextBold"/>
              <w:spacing w:line="240" w:lineRule="exact"/>
              <w:rPr>
                <w:rFonts w:ascii="IBM Plex Sans Light" w:hAnsi="IBM Plex Sans Light"/>
                <w:b/>
                <w:bCs/>
                <w:sz w:val="18"/>
                <w:szCs w:val="18"/>
              </w:rPr>
            </w:pPr>
            <w:r w:rsidRPr="005907D3">
              <w:rPr>
                <w:rFonts w:ascii="IBM Plex Sans Light" w:hAnsi="IBM Plex Sans Light"/>
                <w:b/>
                <w:bCs/>
                <w:sz w:val="18"/>
                <w:szCs w:val="18"/>
              </w:rPr>
              <w:t>Flagship destinations</w:t>
            </w:r>
          </w:p>
        </w:tc>
        <w:tc>
          <w:tcPr>
            <w:tcW w:w="367" w:type="dxa"/>
            <w:tcBorders>
              <w:top w:val="single" w:sz="2" w:space="0" w:color="3D7FE0" w:themeColor="accent1"/>
            </w:tcBorders>
            <w:shd w:val="clear" w:color="auto" w:fill="auto"/>
            <w:vAlign w:val="bottom"/>
          </w:tcPr>
          <w:p w14:paraId="73AA2DD2" w14:textId="77777777" w:rsidR="006B43AF" w:rsidRPr="005907D3" w:rsidRDefault="006B43AF" w:rsidP="004203CD">
            <w:pPr>
              <w:pStyle w:val="TablesTTextBold"/>
              <w:spacing w:line="240" w:lineRule="exact"/>
              <w:rPr>
                <w:rFonts w:ascii="IBM Plex Sans Light" w:hAnsi="IBM Plex Sans Light"/>
                <w:sz w:val="18"/>
                <w:szCs w:val="18"/>
              </w:rPr>
            </w:pPr>
          </w:p>
        </w:tc>
        <w:tc>
          <w:tcPr>
            <w:tcW w:w="1134" w:type="dxa"/>
            <w:tcBorders>
              <w:top w:val="single" w:sz="2" w:space="0" w:color="3D7FE0" w:themeColor="accent1"/>
            </w:tcBorders>
            <w:shd w:val="clear" w:color="auto" w:fill="auto"/>
            <w:vAlign w:val="bottom"/>
          </w:tcPr>
          <w:p w14:paraId="62ACBBA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8.7</w:t>
            </w:r>
          </w:p>
        </w:tc>
        <w:tc>
          <w:tcPr>
            <w:tcW w:w="1106" w:type="dxa"/>
            <w:tcBorders>
              <w:top w:val="single" w:sz="2" w:space="0" w:color="3D7FE0" w:themeColor="accent1"/>
            </w:tcBorders>
            <w:shd w:val="clear" w:color="auto" w:fill="auto"/>
            <w:vAlign w:val="bottom"/>
          </w:tcPr>
          <w:p w14:paraId="17A92615"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161.7</w:t>
            </w:r>
          </w:p>
        </w:tc>
        <w:tc>
          <w:tcPr>
            <w:tcW w:w="1021" w:type="dxa"/>
            <w:tcBorders>
              <w:top w:val="single" w:sz="2" w:space="0" w:color="3D7FE0" w:themeColor="accent1"/>
            </w:tcBorders>
            <w:shd w:val="clear" w:color="auto" w:fill="auto"/>
            <w:vAlign w:val="bottom"/>
          </w:tcPr>
          <w:p w14:paraId="4F26B09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5.4</w:t>
            </w:r>
          </w:p>
        </w:tc>
        <w:tc>
          <w:tcPr>
            <w:tcW w:w="1021" w:type="dxa"/>
            <w:tcBorders>
              <w:top w:val="single" w:sz="2" w:space="0" w:color="3D7FE0" w:themeColor="accent1"/>
            </w:tcBorders>
            <w:shd w:val="clear" w:color="auto" w:fill="auto"/>
            <w:vAlign w:val="bottom"/>
          </w:tcPr>
          <w:p w14:paraId="1A52980F"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6.3</w:t>
            </w:r>
          </w:p>
        </w:tc>
        <w:tc>
          <w:tcPr>
            <w:tcW w:w="1021" w:type="dxa"/>
            <w:tcBorders>
              <w:top w:val="single" w:sz="2" w:space="0" w:color="3D7FE0" w:themeColor="accent1"/>
            </w:tcBorders>
            <w:shd w:val="clear" w:color="auto" w:fill="FFFFFF" w:themeFill="background1"/>
            <w:vAlign w:val="bottom"/>
          </w:tcPr>
          <w:p w14:paraId="6DA0382F"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172.4</w:t>
            </w:r>
          </w:p>
        </w:tc>
        <w:tc>
          <w:tcPr>
            <w:tcW w:w="1021" w:type="dxa"/>
            <w:tcBorders>
              <w:top w:val="single" w:sz="2" w:space="0" w:color="3D7FE0" w:themeColor="accent1"/>
            </w:tcBorders>
            <w:shd w:val="clear" w:color="auto" w:fill="auto"/>
            <w:vAlign w:val="bottom"/>
          </w:tcPr>
          <w:p w14:paraId="369860E1"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3.7</w:t>
            </w:r>
          </w:p>
        </w:tc>
      </w:tr>
      <w:tr w:rsidR="006B43AF" w:rsidRPr="005907D3" w14:paraId="57F9143C" w14:textId="77777777" w:rsidTr="004203CD">
        <w:trPr>
          <w:trHeight w:hRule="exact" w:val="255"/>
        </w:trPr>
        <w:tc>
          <w:tcPr>
            <w:tcW w:w="3261" w:type="dxa"/>
            <w:vAlign w:val="bottom"/>
          </w:tcPr>
          <w:p w14:paraId="60F48DFD" w14:textId="77777777" w:rsidR="006B43AF" w:rsidRPr="005907D3" w:rsidRDefault="006B43AF" w:rsidP="004203CD">
            <w:pPr>
              <w:pStyle w:val="TablesTText"/>
              <w:rPr>
                <w:rFonts w:ascii="IBM Plex Sans Light" w:hAnsi="IBM Plex Sans Light"/>
                <w:sz w:val="18"/>
                <w:szCs w:val="18"/>
              </w:rPr>
            </w:pPr>
          </w:p>
        </w:tc>
        <w:tc>
          <w:tcPr>
            <w:tcW w:w="367" w:type="dxa"/>
            <w:vAlign w:val="bottom"/>
          </w:tcPr>
          <w:p w14:paraId="20F80764" w14:textId="77777777" w:rsidR="006B43AF" w:rsidRPr="005907D3" w:rsidRDefault="006B43AF" w:rsidP="004203CD">
            <w:pPr>
              <w:pStyle w:val="TablesTText"/>
              <w:rPr>
                <w:rFonts w:ascii="IBM Plex Sans Light" w:hAnsi="IBM Plex Sans Light"/>
                <w:sz w:val="18"/>
                <w:szCs w:val="18"/>
              </w:rPr>
            </w:pPr>
          </w:p>
        </w:tc>
        <w:tc>
          <w:tcPr>
            <w:tcW w:w="1134" w:type="dxa"/>
            <w:shd w:val="clear" w:color="auto" w:fill="auto"/>
            <w:vAlign w:val="bottom"/>
          </w:tcPr>
          <w:p w14:paraId="6640510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1106" w:type="dxa"/>
            <w:shd w:val="clear" w:color="auto" w:fill="auto"/>
            <w:vAlign w:val="bottom"/>
          </w:tcPr>
          <w:p w14:paraId="4C727C1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1021" w:type="dxa"/>
            <w:shd w:val="clear" w:color="auto" w:fill="auto"/>
            <w:vAlign w:val="bottom"/>
          </w:tcPr>
          <w:p w14:paraId="5F0FA824"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1021" w:type="dxa"/>
            <w:shd w:val="clear" w:color="auto" w:fill="auto"/>
            <w:vAlign w:val="bottom"/>
          </w:tcPr>
          <w:p w14:paraId="76B25DD8" w14:textId="77777777" w:rsidR="006B43AF" w:rsidRPr="009E03EF" w:rsidRDefault="006B43AF" w:rsidP="004203CD">
            <w:pPr>
              <w:pStyle w:val="TablesTFigures"/>
              <w:rPr>
                <w:rFonts w:ascii="IBM Plex Sans Light" w:eastAsia="Chronicle Text G1" w:hAnsi="IBM Plex Sans Light" w:cs="Chronicle Text G1"/>
                <w:bCs/>
                <w:sz w:val="18"/>
                <w:szCs w:val="18"/>
              </w:rPr>
            </w:pPr>
          </w:p>
        </w:tc>
        <w:tc>
          <w:tcPr>
            <w:tcW w:w="1021" w:type="dxa"/>
            <w:shd w:val="clear" w:color="auto" w:fill="FFFFFF" w:themeFill="background1"/>
            <w:vAlign w:val="bottom"/>
          </w:tcPr>
          <w:p w14:paraId="33C70F78" w14:textId="77777777" w:rsidR="006B43AF" w:rsidRPr="009E03EF" w:rsidRDefault="006B43AF" w:rsidP="004203CD">
            <w:pPr>
              <w:pStyle w:val="TablesTFigures"/>
              <w:rPr>
                <w:rFonts w:ascii="IBM Plex Sans Light" w:eastAsia="Chronicle Text G1" w:hAnsi="IBM Plex Sans Light" w:cs="Chronicle Text G1"/>
                <w:bCs/>
                <w:sz w:val="18"/>
                <w:szCs w:val="18"/>
              </w:rPr>
            </w:pPr>
          </w:p>
        </w:tc>
        <w:tc>
          <w:tcPr>
            <w:tcW w:w="1021" w:type="dxa"/>
            <w:shd w:val="clear" w:color="auto" w:fill="auto"/>
            <w:vAlign w:val="bottom"/>
          </w:tcPr>
          <w:p w14:paraId="76A94CED" w14:textId="77777777" w:rsidR="006B43AF" w:rsidRPr="009E03EF" w:rsidRDefault="006B43AF" w:rsidP="004203CD">
            <w:pPr>
              <w:pStyle w:val="TablesTFigures"/>
              <w:rPr>
                <w:rFonts w:ascii="IBM Plex Sans Light" w:eastAsia="Chronicle Text G1" w:hAnsi="IBM Plex Sans Light" w:cs="Chronicle Text G1"/>
                <w:bCs/>
                <w:sz w:val="18"/>
                <w:szCs w:val="18"/>
              </w:rPr>
            </w:pPr>
          </w:p>
        </w:tc>
      </w:tr>
      <w:tr w:rsidR="006B43AF" w:rsidRPr="005907D3" w14:paraId="76D01545" w14:textId="77777777" w:rsidTr="004203CD">
        <w:trPr>
          <w:trHeight w:hRule="exact" w:val="255"/>
        </w:trPr>
        <w:tc>
          <w:tcPr>
            <w:tcW w:w="3261" w:type="dxa"/>
          </w:tcPr>
          <w:p w14:paraId="098A309F"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Developments and other</w:t>
            </w:r>
          </w:p>
        </w:tc>
        <w:tc>
          <w:tcPr>
            <w:tcW w:w="367" w:type="dxa"/>
          </w:tcPr>
          <w:p w14:paraId="1577E9AE" w14:textId="77777777" w:rsidR="006B43AF" w:rsidRPr="005907D3" w:rsidRDefault="006B43AF" w:rsidP="004203CD">
            <w:pPr>
              <w:pStyle w:val="TablesTText"/>
              <w:rPr>
                <w:rFonts w:ascii="IBM Plex Sans Light" w:hAnsi="IBM Plex Sans Light"/>
                <w:sz w:val="18"/>
                <w:szCs w:val="18"/>
              </w:rPr>
            </w:pPr>
          </w:p>
        </w:tc>
        <w:tc>
          <w:tcPr>
            <w:tcW w:w="1134" w:type="dxa"/>
            <w:shd w:val="clear" w:color="auto" w:fill="auto"/>
            <w:vAlign w:val="bottom"/>
          </w:tcPr>
          <w:p w14:paraId="344C683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1.2</w:t>
            </w:r>
          </w:p>
        </w:tc>
        <w:tc>
          <w:tcPr>
            <w:tcW w:w="1106" w:type="dxa"/>
            <w:shd w:val="clear" w:color="auto" w:fill="auto"/>
            <w:vAlign w:val="bottom"/>
          </w:tcPr>
          <w:p w14:paraId="7247D68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8.5</w:t>
            </w:r>
          </w:p>
        </w:tc>
        <w:tc>
          <w:tcPr>
            <w:tcW w:w="1021" w:type="dxa"/>
            <w:shd w:val="clear" w:color="auto" w:fill="auto"/>
            <w:vAlign w:val="bottom"/>
          </w:tcPr>
          <w:p w14:paraId="48FF0317"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13.6</w:t>
            </w:r>
          </w:p>
        </w:tc>
        <w:tc>
          <w:tcPr>
            <w:tcW w:w="1021" w:type="dxa"/>
            <w:shd w:val="clear" w:color="auto" w:fill="auto"/>
            <w:vAlign w:val="bottom"/>
          </w:tcPr>
          <w:p w14:paraId="7A266CC8"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2.9</w:t>
            </w:r>
          </w:p>
        </w:tc>
        <w:tc>
          <w:tcPr>
            <w:tcW w:w="1021" w:type="dxa"/>
            <w:shd w:val="clear" w:color="auto" w:fill="FFFFFF" w:themeFill="background1"/>
            <w:vAlign w:val="bottom"/>
          </w:tcPr>
          <w:p w14:paraId="2F283649"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17.9</w:t>
            </w:r>
          </w:p>
        </w:tc>
        <w:tc>
          <w:tcPr>
            <w:tcW w:w="1021" w:type="dxa"/>
            <w:shd w:val="clear" w:color="auto" w:fill="auto"/>
            <w:vAlign w:val="bottom"/>
          </w:tcPr>
          <w:p w14:paraId="34B74B4A" w14:textId="77777777" w:rsidR="006B43AF" w:rsidRPr="009E03EF" w:rsidRDefault="006B43AF" w:rsidP="004203CD">
            <w:pPr>
              <w:pStyle w:val="TablesTFigures"/>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16.0</w:t>
            </w:r>
          </w:p>
        </w:tc>
      </w:tr>
      <w:tr w:rsidR="006B43AF" w:rsidRPr="005907D3" w14:paraId="2FC9331D" w14:textId="77777777" w:rsidTr="004203CD">
        <w:trPr>
          <w:trHeight w:val="20"/>
        </w:trPr>
        <w:tc>
          <w:tcPr>
            <w:tcW w:w="3261" w:type="dxa"/>
            <w:tcBorders>
              <w:top w:val="single" w:sz="2" w:space="0" w:color="3D7FE0" w:themeColor="accent1"/>
              <w:bottom w:val="single" w:sz="8" w:space="0" w:color="3D7FE0" w:themeColor="accent1"/>
            </w:tcBorders>
            <w:shd w:val="clear" w:color="auto" w:fill="auto"/>
            <w:vAlign w:val="bottom"/>
          </w:tcPr>
          <w:p w14:paraId="27CCEB88" w14:textId="77777777" w:rsidR="006B43AF" w:rsidRPr="005907D3" w:rsidRDefault="006B43AF" w:rsidP="004203CD">
            <w:pPr>
              <w:pStyle w:val="TablesTTextBold"/>
              <w:spacing w:line="240" w:lineRule="exact"/>
              <w:rPr>
                <w:rFonts w:ascii="IBM Plex Sans Light" w:hAnsi="IBM Plex Sans Light"/>
                <w:b/>
                <w:bCs/>
                <w:sz w:val="18"/>
                <w:szCs w:val="18"/>
              </w:rPr>
            </w:pPr>
            <w:r w:rsidRPr="005907D3">
              <w:rPr>
                <w:rFonts w:ascii="IBM Plex Sans Light" w:hAnsi="IBM Plex Sans Light"/>
                <w:b/>
                <w:bCs/>
                <w:sz w:val="18"/>
                <w:szCs w:val="18"/>
              </w:rPr>
              <w:t>Managed portfolio</w:t>
            </w:r>
          </w:p>
        </w:tc>
        <w:tc>
          <w:tcPr>
            <w:tcW w:w="367" w:type="dxa"/>
            <w:tcBorders>
              <w:top w:val="single" w:sz="2" w:space="0" w:color="3D7FE0" w:themeColor="accent1"/>
              <w:bottom w:val="single" w:sz="8" w:space="0" w:color="3D7FE0" w:themeColor="accent1"/>
            </w:tcBorders>
            <w:shd w:val="clear" w:color="auto" w:fill="auto"/>
            <w:vAlign w:val="bottom"/>
          </w:tcPr>
          <w:p w14:paraId="7B7496CC" w14:textId="77777777" w:rsidR="006B43AF" w:rsidRPr="005907D3" w:rsidRDefault="006B43AF" w:rsidP="004203CD">
            <w:pPr>
              <w:pStyle w:val="TablesTTextBold"/>
              <w:spacing w:line="240" w:lineRule="exact"/>
              <w:rPr>
                <w:rFonts w:ascii="IBM Plex Sans Light" w:hAnsi="IBM Plex Sans Light"/>
                <w:sz w:val="18"/>
                <w:szCs w:val="18"/>
              </w:rPr>
            </w:pPr>
          </w:p>
        </w:tc>
        <w:tc>
          <w:tcPr>
            <w:tcW w:w="1134" w:type="dxa"/>
            <w:tcBorders>
              <w:top w:val="single" w:sz="2" w:space="0" w:color="3D7FE0" w:themeColor="accent1"/>
              <w:bottom w:val="single" w:sz="8" w:space="0" w:color="3D7FE0" w:themeColor="accent1"/>
            </w:tcBorders>
            <w:shd w:val="clear" w:color="auto" w:fill="auto"/>
            <w:vAlign w:val="bottom"/>
          </w:tcPr>
          <w:p w14:paraId="42C9FA82"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9.9</w:t>
            </w:r>
          </w:p>
        </w:tc>
        <w:tc>
          <w:tcPr>
            <w:tcW w:w="1106" w:type="dxa"/>
            <w:tcBorders>
              <w:top w:val="single" w:sz="2" w:space="0" w:color="3D7FE0" w:themeColor="accent1"/>
              <w:bottom w:val="single" w:sz="8" w:space="0" w:color="3D7FE0" w:themeColor="accent1"/>
            </w:tcBorders>
            <w:shd w:val="clear" w:color="auto" w:fill="auto"/>
            <w:vAlign w:val="bottom"/>
          </w:tcPr>
          <w:p w14:paraId="599C245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170.2</w:t>
            </w:r>
          </w:p>
        </w:tc>
        <w:tc>
          <w:tcPr>
            <w:tcW w:w="1021" w:type="dxa"/>
            <w:tcBorders>
              <w:top w:val="single" w:sz="2" w:space="0" w:color="3D7FE0" w:themeColor="accent1"/>
              <w:bottom w:val="single" w:sz="8" w:space="0" w:color="3D7FE0" w:themeColor="accent1"/>
            </w:tcBorders>
            <w:shd w:val="clear" w:color="auto" w:fill="auto"/>
            <w:vAlign w:val="bottom"/>
          </w:tcPr>
          <w:p w14:paraId="562C0D81"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5.8</w:t>
            </w:r>
          </w:p>
        </w:tc>
        <w:tc>
          <w:tcPr>
            <w:tcW w:w="1021" w:type="dxa"/>
            <w:tcBorders>
              <w:top w:val="single" w:sz="2" w:space="0" w:color="3D7FE0" w:themeColor="accent1"/>
              <w:bottom w:val="single" w:sz="8" w:space="0" w:color="3D7FE0" w:themeColor="accent1"/>
            </w:tcBorders>
            <w:shd w:val="clear" w:color="auto" w:fill="auto"/>
            <w:vAlign w:val="bottom"/>
          </w:tcPr>
          <w:p w14:paraId="730EE228"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9.2</w:t>
            </w:r>
          </w:p>
        </w:tc>
        <w:tc>
          <w:tcPr>
            <w:tcW w:w="1021" w:type="dxa"/>
            <w:tcBorders>
              <w:top w:val="single" w:sz="2" w:space="0" w:color="3D7FE0" w:themeColor="accent1"/>
              <w:bottom w:val="single" w:sz="8" w:space="0" w:color="3D7FE0" w:themeColor="accent1"/>
            </w:tcBorders>
            <w:shd w:val="clear" w:color="auto" w:fill="FFFFFF" w:themeFill="background1"/>
            <w:vAlign w:val="bottom"/>
          </w:tcPr>
          <w:p w14:paraId="1D06FFA3"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190.3</w:t>
            </w:r>
          </w:p>
        </w:tc>
        <w:tc>
          <w:tcPr>
            <w:tcW w:w="1021" w:type="dxa"/>
            <w:tcBorders>
              <w:top w:val="single" w:sz="2" w:space="0" w:color="3D7FE0" w:themeColor="accent1"/>
              <w:bottom w:val="single" w:sz="8" w:space="0" w:color="3D7FE0" w:themeColor="accent1"/>
            </w:tcBorders>
            <w:shd w:val="clear" w:color="auto" w:fill="auto"/>
            <w:vAlign w:val="bottom"/>
          </w:tcPr>
          <w:p w14:paraId="3089C14B" w14:textId="77777777" w:rsidR="006B43AF" w:rsidRPr="009E03EF" w:rsidRDefault="006B43AF" w:rsidP="004203CD">
            <w:pPr>
              <w:pStyle w:val="TablesTFigures"/>
              <w:spacing w:line="240" w:lineRule="exact"/>
              <w:rPr>
                <w:rFonts w:ascii="IBM Plex Sans Light" w:eastAsia="Chronicle Text G1" w:hAnsi="IBM Plex Sans Light" w:cs="Chronicle Text G1"/>
                <w:bCs/>
                <w:sz w:val="18"/>
                <w:szCs w:val="18"/>
              </w:rPr>
            </w:pPr>
            <w:r w:rsidRPr="009E03EF">
              <w:rPr>
                <w:rFonts w:ascii="IBM Plex Sans Light" w:eastAsia="Chronicle Text G1" w:hAnsi="IBM Plex Sans Light" w:cs="Chronicle Text G1"/>
                <w:bCs/>
                <w:sz w:val="18"/>
                <w:szCs w:val="18"/>
              </w:rPr>
              <w:t>4.8</w:t>
            </w:r>
          </w:p>
        </w:tc>
      </w:tr>
    </w:tbl>
    <w:p w14:paraId="54BAA358" w14:textId="39EE17D4" w:rsidR="006B43AF" w:rsidRPr="005B09DA" w:rsidRDefault="006B43AF" w:rsidP="006B43AF">
      <w:pPr>
        <w:pStyle w:val="Footnotes"/>
        <w:numPr>
          <w:ilvl w:val="1"/>
          <w:numId w:val="35"/>
        </w:numPr>
        <w:spacing w:before="120" w:after="0" w:line="240" w:lineRule="auto"/>
        <w:ind w:left="284" w:hanging="284"/>
        <w:rPr>
          <w:rFonts w:ascii="IBM Plex Sans Light" w:hAnsi="IBM Plex Sans Light"/>
          <w:sz w:val="16"/>
          <w:szCs w:val="22"/>
        </w:rPr>
      </w:pPr>
      <w:r w:rsidRPr="005B09DA">
        <w:rPr>
          <w:rFonts w:ascii="IBM Plex Sans Light" w:hAnsi="IBM Plex Sans Light"/>
          <w:sz w:val="16"/>
          <w:szCs w:val="22"/>
        </w:rPr>
        <w:tab/>
        <w:t xml:space="preserve">Total ERV </w:t>
      </w:r>
      <w:r w:rsidR="00B60568">
        <w:rPr>
          <w:rFonts w:ascii="IBM Plex Sans Light" w:hAnsi="IBM Plex Sans Light"/>
          <w:sz w:val="16"/>
          <w:szCs w:val="22"/>
        </w:rPr>
        <w:t xml:space="preserve">for vacancy </w:t>
      </w:r>
      <w:r w:rsidRPr="005B09DA">
        <w:rPr>
          <w:rFonts w:ascii="IBM Plex Sans Light" w:hAnsi="IBM Plex Sans Light"/>
          <w:sz w:val="16"/>
          <w:szCs w:val="22"/>
        </w:rPr>
        <w:t xml:space="preserve">differs from Table </w:t>
      </w:r>
      <w:r>
        <w:rPr>
          <w:rFonts w:ascii="IBM Plex Sans Light" w:hAnsi="IBM Plex Sans Light"/>
          <w:sz w:val="16"/>
          <w:szCs w:val="22"/>
        </w:rPr>
        <w:t>4</w:t>
      </w:r>
      <w:r w:rsidRPr="005B09DA">
        <w:rPr>
          <w:rFonts w:ascii="IBM Plex Sans Light" w:hAnsi="IBM Plex Sans Light"/>
          <w:sz w:val="16"/>
          <w:szCs w:val="22"/>
        </w:rPr>
        <w:t xml:space="preserve"> due to the exclusion of car park ERV</w:t>
      </w:r>
      <w:r>
        <w:rPr>
          <w:rFonts w:ascii="IBM Plex Sans Light" w:hAnsi="IBM Plex Sans Light"/>
          <w:sz w:val="16"/>
          <w:szCs w:val="22"/>
        </w:rPr>
        <w:t xml:space="preserve"> </w:t>
      </w:r>
      <w:r w:rsidRPr="00380FAE">
        <w:rPr>
          <w:rFonts w:ascii="IBM Plex Sans Light" w:hAnsi="IBM Plex Sans Light"/>
          <w:sz w:val="16"/>
          <w:szCs w:val="22"/>
        </w:rPr>
        <w:t xml:space="preserve">and </w:t>
      </w:r>
      <w:r>
        <w:rPr>
          <w:rFonts w:ascii="IBM Plex Sans Light" w:hAnsi="IBM Plex Sans Light"/>
          <w:sz w:val="16"/>
          <w:szCs w:val="22"/>
        </w:rPr>
        <w:t>h</w:t>
      </w:r>
      <w:r w:rsidRPr="00380FAE">
        <w:rPr>
          <w:rFonts w:ascii="IBM Plex Sans Light" w:hAnsi="IBM Plex Sans Light"/>
          <w:sz w:val="16"/>
          <w:szCs w:val="22"/>
        </w:rPr>
        <w:t xml:space="preserve">ead </w:t>
      </w:r>
      <w:r>
        <w:rPr>
          <w:rFonts w:ascii="IBM Plex Sans Light" w:hAnsi="IBM Plex Sans Light"/>
          <w:sz w:val="16"/>
          <w:szCs w:val="22"/>
        </w:rPr>
        <w:t>r</w:t>
      </w:r>
      <w:r w:rsidRPr="00380FAE">
        <w:rPr>
          <w:rFonts w:ascii="IBM Plex Sans Light" w:hAnsi="IBM Plex Sans Light"/>
          <w:sz w:val="16"/>
          <w:szCs w:val="22"/>
        </w:rPr>
        <w:t>ent</w:t>
      </w:r>
      <w:r>
        <w:rPr>
          <w:rFonts w:ascii="IBM Plex Sans Light" w:hAnsi="IBM Plex Sans Light"/>
          <w:sz w:val="16"/>
          <w:szCs w:val="22"/>
        </w:rPr>
        <w:t>s</w:t>
      </w:r>
      <w:r w:rsidRPr="00380FAE">
        <w:rPr>
          <w:rFonts w:ascii="IBM Plex Sans Light" w:hAnsi="IBM Plex Sans Light"/>
          <w:sz w:val="16"/>
          <w:szCs w:val="22"/>
        </w:rPr>
        <w:t xml:space="preserve"> </w:t>
      </w:r>
      <w:r>
        <w:rPr>
          <w:rFonts w:ascii="IBM Plex Sans Light" w:hAnsi="IBM Plex Sans Light"/>
          <w:sz w:val="16"/>
          <w:szCs w:val="22"/>
        </w:rPr>
        <w:t>p</w:t>
      </w:r>
      <w:r w:rsidRPr="00380FAE">
        <w:rPr>
          <w:rFonts w:ascii="IBM Plex Sans Light" w:hAnsi="IBM Plex Sans Light"/>
          <w:sz w:val="16"/>
          <w:szCs w:val="22"/>
        </w:rPr>
        <w:t>ayable</w:t>
      </w:r>
      <w:r w:rsidRPr="005B09DA">
        <w:rPr>
          <w:rFonts w:ascii="IBM Plex Sans Light" w:hAnsi="IBM Plex Sans Light"/>
          <w:sz w:val="16"/>
          <w:szCs w:val="22"/>
        </w:rPr>
        <w:t xml:space="preserve"> which distort the vacancy metric.</w:t>
      </w:r>
    </w:p>
    <w:p w14:paraId="17194F92" w14:textId="77777777" w:rsidR="006B43AF" w:rsidRPr="005907D3" w:rsidRDefault="006B43AF" w:rsidP="006B43AF">
      <w:pPr>
        <w:pStyle w:val="Footnotes"/>
        <w:tabs>
          <w:tab w:val="left" w:pos="0"/>
          <w:tab w:val="left" w:pos="142"/>
        </w:tabs>
        <w:spacing w:before="56" w:after="0"/>
        <w:ind w:left="0" w:firstLine="0"/>
        <w:contextualSpacing/>
        <w:rPr>
          <w:rFonts w:ascii="IBM Plex Sans Light" w:hAnsi="IBM Plex Sans Light"/>
        </w:rPr>
      </w:pPr>
    </w:p>
    <w:p w14:paraId="410E5D65"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Lease expiries and breaks</w:t>
      </w:r>
    </w:p>
    <w:p w14:paraId="5F21BEDC" w14:textId="77777777" w:rsidR="006B43AF" w:rsidRPr="00280504" w:rsidRDefault="006B43AF" w:rsidP="006B43AF">
      <w:pPr>
        <w:rPr>
          <w:rFonts w:ascii="IBM Plex Sans Light" w:hAnsi="IBM Plex Sans Light"/>
          <w:b/>
        </w:rPr>
      </w:pPr>
      <w:r w:rsidRPr="00280504">
        <w:rPr>
          <w:rFonts w:ascii="IBM Plex Sans Light" w:hAnsi="IBM Plex Sans Light"/>
          <w:b/>
        </w:rPr>
        <w:t xml:space="preserve">Table </w:t>
      </w:r>
      <w:r>
        <w:rPr>
          <w:rFonts w:ascii="IBM Plex Sans Light" w:hAnsi="IBM Plex Sans Light"/>
          <w:b/>
        </w:rPr>
        <w:t>6</w:t>
      </w:r>
    </w:p>
    <w:tbl>
      <w:tblPr>
        <w:tblW w:w="9922" w:type="dxa"/>
        <w:tblLayout w:type="fixed"/>
        <w:tblCellMar>
          <w:left w:w="0" w:type="dxa"/>
          <w:right w:w="0" w:type="dxa"/>
        </w:tblCellMar>
        <w:tblLook w:val="04A0" w:firstRow="1" w:lastRow="0" w:firstColumn="1" w:lastColumn="0" w:noHBand="0" w:noVBand="1"/>
      </w:tblPr>
      <w:tblGrid>
        <w:gridCol w:w="2381"/>
        <w:gridCol w:w="794"/>
        <w:gridCol w:w="595"/>
        <w:gridCol w:w="595"/>
        <w:gridCol w:w="595"/>
        <w:gridCol w:w="596"/>
        <w:gridCol w:w="795"/>
        <w:gridCol w:w="595"/>
        <w:gridCol w:w="595"/>
        <w:gridCol w:w="595"/>
        <w:gridCol w:w="595"/>
        <w:gridCol w:w="595"/>
        <w:gridCol w:w="596"/>
      </w:tblGrid>
      <w:tr w:rsidR="006B43AF" w:rsidRPr="005907D3" w14:paraId="5B92713C" w14:textId="77777777" w:rsidTr="004203CD">
        <w:trPr>
          <w:trHeight w:val="20"/>
        </w:trPr>
        <w:tc>
          <w:tcPr>
            <w:tcW w:w="2381" w:type="dxa"/>
            <w:tcBorders>
              <w:bottom w:val="single" w:sz="2" w:space="0" w:color="3D7FE0" w:themeColor="accent1"/>
            </w:tcBorders>
            <w:shd w:val="clear" w:color="auto" w:fill="auto"/>
            <w:vAlign w:val="bottom"/>
          </w:tcPr>
          <w:p w14:paraId="2CA3EF97" w14:textId="77777777" w:rsidR="006B43AF" w:rsidRPr="005907D3" w:rsidRDefault="006B43AF" w:rsidP="004203CD">
            <w:pPr>
              <w:pStyle w:val="TablesTColHeadsLeft"/>
              <w:rPr>
                <w:rFonts w:ascii="IBM Plex Sans Light" w:hAnsi="IBM Plex Sans Light"/>
              </w:rPr>
            </w:pPr>
          </w:p>
        </w:tc>
        <w:tc>
          <w:tcPr>
            <w:tcW w:w="3175" w:type="dxa"/>
            <w:gridSpan w:val="5"/>
            <w:tcBorders>
              <w:bottom w:val="single" w:sz="2" w:space="0" w:color="3D7FE0" w:themeColor="accent1"/>
            </w:tcBorders>
            <w:shd w:val="clear" w:color="auto" w:fill="auto"/>
            <w:vAlign w:val="bottom"/>
          </w:tcPr>
          <w:p w14:paraId="282B3C63" w14:textId="77777777" w:rsidR="006B43AF" w:rsidRPr="005907D3" w:rsidRDefault="006B43AF" w:rsidP="004203CD">
            <w:pPr>
              <w:pStyle w:val="TableTColHeadsBoldNoIndent"/>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Rental income based on passing rents that expire/break in</w:t>
            </w:r>
          </w:p>
        </w:tc>
        <w:tc>
          <w:tcPr>
            <w:tcW w:w="3175" w:type="dxa"/>
            <w:gridSpan w:val="5"/>
            <w:tcBorders>
              <w:bottom w:val="single" w:sz="2" w:space="0" w:color="3D7FE0" w:themeColor="accent1"/>
            </w:tcBorders>
            <w:shd w:val="clear" w:color="auto" w:fill="auto"/>
            <w:vAlign w:val="bottom"/>
          </w:tcPr>
          <w:p w14:paraId="1DB87536" w14:textId="77777777" w:rsidR="006B43AF" w:rsidRPr="005907D3" w:rsidRDefault="006B43AF" w:rsidP="004203CD">
            <w:pPr>
              <w:pStyle w:val="TableTColHeadsBoldNoIndent"/>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ERV of leases that expire/break in</w:t>
            </w:r>
          </w:p>
        </w:tc>
        <w:tc>
          <w:tcPr>
            <w:tcW w:w="1191" w:type="dxa"/>
            <w:gridSpan w:val="2"/>
            <w:tcBorders>
              <w:bottom w:val="single" w:sz="2" w:space="0" w:color="3D7FE0" w:themeColor="accent1"/>
            </w:tcBorders>
            <w:shd w:val="clear" w:color="auto" w:fill="auto"/>
            <w:vAlign w:val="bottom"/>
          </w:tcPr>
          <w:p w14:paraId="48756AE3"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Weighted average unexpired</w:t>
            </w:r>
            <w:r w:rsidRPr="005907D3">
              <w:rPr>
                <w:rFonts w:ascii="IBM Plex Sans Light" w:hAnsi="IBM Plex Sans Light"/>
                <w:color w:val="3D7FE0" w:themeColor="accent1"/>
                <w:sz w:val="14"/>
                <w:szCs w:val="14"/>
              </w:rPr>
              <w:br/>
              <w:t xml:space="preserve"> lease term</w:t>
            </w:r>
          </w:p>
        </w:tc>
      </w:tr>
      <w:tr w:rsidR="006B43AF" w:rsidRPr="005907D3" w14:paraId="13419094" w14:textId="77777777" w:rsidTr="004203CD">
        <w:trPr>
          <w:trHeight w:val="20"/>
        </w:trPr>
        <w:tc>
          <w:tcPr>
            <w:tcW w:w="2381" w:type="dxa"/>
            <w:tcBorders>
              <w:top w:val="single" w:sz="2" w:space="0" w:color="3D7FE0" w:themeColor="accent1"/>
              <w:bottom w:val="single" w:sz="2" w:space="0" w:color="3D7FE0" w:themeColor="accent1"/>
            </w:tcBorders>
            <w:shd w:val="clear" w:color="auto" w:fill="auto"/>
            <w:vAlign w:val="bottom"/>
          </w:tcPr>
          <w:p w14:paraId="1C0F04C8" w14:textId="77777777" w:rsidR="006B43AF" w:rsidRPr="005907D3" w:rsidRDefault="006B43AF" w:rsidP="004203CD">
            <w:pPr>
              <w:pStyle w:val="TablesTColHeadsLeft"/>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 xml:space="preserve">Proportionally consolidated </w:t>
            </w:r>
          </w:p>
        </w:tc>
        <w:tc>
          <w:tcPr>
            <w:tcW w:w="794" w:type="dxa"/>
            <w:tcBorders>
              <w:top w:val="single" w:sz="2" w:space="0" w:color="3D7FE0" w:themeColor="accent1"/>
              <w:bottom w:val="single" w:sz="2" w:space="0" w:color="3D7FE0" w:themeColor="accent1"/>
            </w:tcBorders>
            <w:shd w:val="clear" w:color="auto" w:fill="auto"/>
            <w:vAlign w:val="bottom"/>
          </w:tcPr>
          <w:p w14:paraId="07373B69"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Outstanding</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tcBorders>
            <w:shd w:val="clear" w:color="auto" w:fill="auto"/>
            <w:vAlign w:val="bottom"/>
          </w:tcPr>
          <w:p w14:paraId="6CEEDAF2"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202</w:t>
            </w:r>
            <w:r>
              <w:rPr>
                <w:rFonts w:ascii="IBM Plex Sans Light" w:hAnsi="IBM Plex Sans Light"/>
                <w:color w:val="3D7FE0" w:themeColor="accent1"/>
                <w:sz w:val="13"/>
                <w:szCs w:val="13"/>
              </w:rPr>
              <w:t>4</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tcBorders>
            <w:shd w:val="clear" w:color="auto" w:fill="auto"/>
            <w:vAlign w:val="bottom"/>
          </w:tcPr>
          <w:p w14:paraId="225271C6"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202</w:t>
            </w:r>
            <w:r>
              <w:rPr>
                <w:rFonts w:ascii="IBM Plex Sans Light" w:hAnsi="IBM Plex Sans Light"/>
                <w:color w:val="3D7FE0" w:themeColor="accent1"/>
                <w:sz w:val="13"/>
                <w:szCs w:val="13"/>
              </w:rPr>
              <w:t>5</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tcBorders>
            <w:shd w:val="clear" w:color="auto" w:fill="auto"/>
            <w:vAlign w:val="bottom"/>
          </w:tcPr>
          <w:p w14:paraId="4FE37625"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202</w:t>
            </w:r>
            <w:r>
              <w:rPr>
                <w:rFonts w:ascii="IBM Plex Sans Light" w:hAnsi="IBM Plex Sans Light"/>
                <w:color w:val="3D7FE0" w:themeColor="accent1"/>
                <w:sz w:val="13"/>
                <w:szCs w:val="13"/>
              </w:rPr>
              <w:t>6</w:t>
            </w:r>
            <w:r w:rsidRPr="005907D3">
              <w:rPr>
                <w:rFonts w:ascii="IBM Plex Sans Light" w:hAnsi="IBM Plex Sans Light"/>
                <w:color w:val="3D7FE0" w:themeColor="accent1"/>
                <w:sz w:val="13"/>
                <w:szCs w:val="13"/>
              </w:rPr>
              <w:br/>
              <w:t>£m</w:t>
            </w:r>
          </w:p>
        </w:tc>
        <w:tc>
          <w:tcPr>
            <w:tcW w:w="596" w:type="dxa"/>
            <w:tcBorders>
              <w:top w:val="single" w:sz="2" w:space="0" w:color="3D7FE0" w:themeColor="accent1"/>
              <w:bottom w:val="single" w:sz="2" w:space="0" w:color="3D7FE0" w:themeColor="accent1"/>
              <w:right w:val="single" w:sz="2" w:space="0" w:color="3D7FE0" w:themeColor="accent1"/>
            </w:tcBorders>
            <w:shd w:val="clear" w:color="auto" w:fill="auto"/>
            <w:vAlign w:val="bottom"/>
          </w:tcPr>
          <w:p w14:paraId="643852A4"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Total</w:t>
            </w:r>
            <w:r w:rsidRPr="005907D3">
              <w:rPr>
                <w:rFonts w:ascii="IBM Plex Sans Light" w:hAnsi="IBM Plex Sans Light"/>
                <w:color w:val="3D7FE0" w:themeColor="accent1"/>
                <w:sz w:val="13"/>
                <w:szCs w:val="13"/>
              </w:rPr>
              <w:br/>
              <w:t>£m</w:t>
            </w:r>
          </w:p>
        </w:tc>
        <w:tc>
          <w:tcPr>
            <w:tcW w:w="795" w:type="dxa"/>
            <w:tcBorders>
              <w:top w:val="single" w:sz="2" w:space="0" w:color="3D7FE0" w:themeColor="accent1"/>
              <w:left w:val="single" w:sz="2" w:space="0" w:color="3D7FE0" w:themeColor="accent1"/>
              <w:bottom w:val="single" w:sz="2" w:space="0" w:color="3D7FE0" w:themeColor="accent1"/>
            </w:tcBorders>
            <w:shd w:val="clear" w:color="auto" w:fill="auto"/>
            <w:vAlign w:val="bottom"/>
          </w:tcPr>
          <w:p w14:paraId="5FC73851"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 xml:space="preserve">Outstanding </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tcBorders>
            <w:shd w:val="clear" w:color="auto" w:fill="auto"/>
            <w:vAlign w:val="bottom"/>
          </w:tcPr>
          <w:p w14:paraId="78C853FD"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202</w:t>
            </w:r>
            <w:r>
              <w:rPr>
                <w:rFonts w:ascii="IBM Plex Sans Light" w:hAnsi="IBM Plex Sans Light"/>
                <w:color w:val="3D7FE0" w:themeColor="accent1"/>
                <w:sz w:val="13"/>
                <w:szCs w:val="13"/>
              </w:rPr>
              <w:t>4</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tcBorders>
            <w:shd w:val="clear" w:color="auto" w:fill="auto"/>
            <w:vAlign w:val="bottom"/>
          </w:tcPr>
          <w:p w14:paraId="384B0593"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202</w:t>
            </w:r>
            <w:r>
              <w:rPr>
                <w:rFonts w:ascii="IBM Plex Sans Light" w:hAnsi="IBM Plex Sans Light"/>
                <w:color w:val="3D7FE0" w:themeColor="accent1"/>
                <w:sz w:val="13"/>
                <w:szCs w:val="13"/>
              </w:rPr>
              <w:t>5</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tcBorders>
            <w:shd w:val="clear" w:color="auto" w:fill="auto"/>
            <w:vAlign w:val="bottom"/>
          </w:tcPr>
          <w:p w14:paraId="3121AB33"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202</w:t>
            </w:r>
            <w:r>
              <w:rPr>
                <w:rFonts w:ascii="IBM Plex Sans Light" w:hAnsi="IBM Plex Sans Light"/>
                <w:color w:val="3D7FE0" w:themeColor="accent1"/>
                <w:sz w:val="13"/>
                <w:szCs w:val="13"/>
              </w:rPr>
              <w:t>6</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bottom w:val="single" w:sz="2" w:space="0" w:color="3D7FE0" w:themeColor="accent1"/>
              <w:right w:val="single" w:sz="2" w:space="0" w:color="4175BA"/>
            </w:tcBorders>
            <w:shd w:val="clear" w:color="auto" w:fill="auto"/>
            <w:vAlign w:val="bottom"/>
          </w:tcPr>
          <w:p w14:paraId="73B19259"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Total</w:t>
            </w:r>
            <w:r w:rsidRPr="005907D3">
              <w:rPr>
                <w:rFonts w:ascii="IBM Plex Sans Light" w:hAnsi="IBM Plex Sans Light"/>
                <w:color w:val="3D7FE0" w:themeColor="accent1"/>
                <w:sz w:val="13"/>
                <w:szCs w:val="13"/>
              </w:rPr>
              <w:br/>
              <w:t>£m</w:t>
            </w:r>
          </w:p>
        </w:tc>
        <w:tc>
          <w:tcPr>
            <w:tcW w:w="595" w:type="dxa"/>
            <w:tcBorders>
              <w:top w:val="single" w:sz="2" w:space="0" w:color="3D7FE0" w:themeColor="accent1"/>
              <w:left w:val="single" w:sz="2" w:space="0" w:color="4175BA"/>
              <w:bottom w:val="single" w:sz="2" w:space="0" w:color="3D7FE0" w:themeColor="accent1"/>
            </w:tcBorders>
            <w:shd w:val="clear" w:color="auto" w:fill="auto"/>
            <w:vAlign w:val="bottom"/>
          </w:tcPr>
          <w:p w14:paraId="7E4863D4"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to break years</w:t>
            </w:r>
          </w:p>
        </w:tc>
        <w:tc>
          <w:tcPr>
            <w:tcW w:w="596" w:type="dxa"/>
            <w:tcBorders>
              <w:top w:val="single" w:sz="2" w:space="0" w:color="3D7FE0" w:themeColor="accent1"/>
              <w:bottom w:val="single" w:sz="2" w:space="0" w:color="3D7FE0" w:themeColor="accent1"/>
            </w:tcBorders>
            <w:shd w:val="clear" w:color="auto" w:fill="auto"/>
            <w:vAlign w:val="bottom"/>
          </w:tcPr>
          <w:p w14:paraId="3A2AB3D4" w14:textId="77777777" w:rsidR="006B43AF" w:rsidRPr="005907D3" w:rsidRDefault="006B43AF" w:rsidP="004203CD">
            <w:pPr>
              <w:pStyle w:val="TablesTColHeadsBold"/>
              <w:rPr>
                <w:rFonts w:ascii="IBM Plex Sans Light" w:hAnsi="IBM Plex Sans Light"/>
                <w:color w:val="3D7FE0" w:themeColor="accent1"/>
                <w:sz w:val="13"/>
                <w:szCs w:val="13"/>
              </w:rPr>
            </w:pPr>
            <w:r w:rsidRPr="005907D3">
              <w:rPr>
                <w:rFonts w:ascii="IBM Plex Sans Light" w:hAnsi="IBM Plex Sans Light"/>
                <w:color w:val="3D7FE0" w:themeColor="accent1"/>
                <w:sz w:val="13"/>
                <w:szCs w:val="13"/>
              </w:rPr>
              <w:t>to expiry years</w:t>
            </w:r>
          </w:p>
        </w:tc>
      </w:tr>
      <w:tr w:rsidR="006B43AF" w:rsidRPr="005907D3" w14:paraId="57E4EC41" w14:textId="77777777" w:rsidTr="004203CD">
        <w:trPr>
          <w:trHeight w:hRule="exact" w:val="255"/>
        </w:trPr>
        <w:tc>
          <w:tcPr>
            <w:tcW w:w="2381" w:type="dxa"/>
            <w:tcBorders>
              <w:top w:val="single" w:sz="2" w:space="0" w:color="3D7FE0" w:themeColor="accent1"/>
            </w:tcBorders>
            <w:shd w:val="clear" w:color="auto" w:fill="auto"/>
            <w:vAlign w:val="bottom"/>
          </w:tcPr>
          <w:p w14:paraId="555438F5"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UK</w:t>
            </w:r>
          </w:p>
        </w:tc>
        <w:tc>
          <w:tcPr>
            <w:tcW w:w="794" w:type="dxa"/>
            <w:tcBorders>
              <w:top w:val="single" w:sz="2" w:space="0" w:color="3D7FE0" w:themeColor="accent1"/>
            </w:tcBorders>
            <w:shd w:val="clear" w:color="auto" w:fill="auto"/>
            <w:vAlign w:val="bottom"/>
          </w:tcPr>
          <w:p w14:paraId="1B19FBE1"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2.7</w:t>
            </w:r>
          </w:p>
        </w:tc>
        <w:tc>
          <w:tcPr>
            <w:tcW w:w="595" w:type="dxa"/>
            <w:tcBorders>
              <w:top w:val="single" w:sz="2" w:space="0" w:color="3D7FE0" w:themeColor="accent1"/>
            </w:tcBorders>
            <w:shd w:val="clear" w:color="auto" w:fill="auto"/>
            <w:vAlign w:val="bottom"/>
          </w:tcPr>
          <w:p w14:paraId="4EE0974B"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14.4</w:t>
            </w:r>
          </w:p>
        </w:tc>
        <w:tc>
          <w:tcPr>
            <w:tcW w:w="595" w:type="dxa"/>
            <w:tcBorders>
              <w:top w:val="single" w:sz="2" w:space="0" w:color="3D7FE0" w:themeColor="accent1"/>
            </w:tcBorders>
            <w:shd w:val="clear" w:color="auto" w:fill="auto"/>
            <w:vAlign w:val="bottom"/>
          </w:tcPr>
          <w:p w14:paraId="1918E6B3"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8.6</w:t>
            </w:r>
          </w:p>
        </w:tc>
        <w:tc>
          <w:tcPr>
            <w:tcW w:w="595" w:type="dxa"/>
            <w:tcBorders>
              <w:top w:val="single" w:sz="2" w:space="0" w:color="3D7FE0" w:themeColor="accent1"/>
            </w:tcBorders>
            <w:shd w:val="clear" w:color="auto" w:fill="auto"/>
            <w:vAlign w:val="bottom"/>
          </w:tcPr>
          <w:p w14:paraId="6B571B52"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10.5</w:t>
            </w:r>
          </w:p>
        </w:tc>
        <w:tc>
          <w:tcPr>
            <w:tcW w:w="596" w:type="dxa"/>
            <w:tcBorders>
              <w:top w:val="single" w:sz="2" w:space="0" w:color="3D7FE0" w:themeColor="accent1"/>
              <w:right w:val="single" w:sz="2" w:space="0" w:color="3D7FE0" w:themeColor="accent1"/>
            </w:tcBorders>
            <w:shd w:val="clear" w:color="auto" w:fill="auto"/>
            <w:vAlign w:val="bottom"/>
          </w:tcPr>
          <w:p w14:paraId="07BFFEC5"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36.2</w:t>
            </w:r>
          </w:p>
        </w:tc>
        <w:tc>
          <w:tcPr>
            <w:tcW w:w="795" w:type="dxa"/>
            <w:tcBorders>
              <w:top w:val="single" w:sz="2" w:space="0" w:color="3D7FE0" w:themeColor="accent1"/>
              <w:left w:val="single" w:sz="2" w:space="0" w:color="3D7FE0" w:themeColor="accent1"/>
            </w:tcBorders>
            <w:shd w:val="clear" w:color="auto" w:fill="auto"/>
            <w:vAlign w:val="bottom"/>
          </w:tcPr>
          <w:p w14:paraId="6B9D874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3.8</w:t>
            </w:r>
          </w:p>
        </w:tc>
        <w:tc>
          <w:tcPr>
            <w:tcW w:w="595" w:type="dxa"/>
            <w:tcBorders>
              <w:top w:val="single" w:sz="2" w:space="0" w:color="3D7FE0" w:themeColor="accent1"/>
            </w:tcBorders>
            <w:shd w:val="clear" w:color="auto" w:fill="auto"/>
            <w:vAlign w:val="bottom"/>
          </w:tcPr>
          <w:p w14:paraId="155BCC72"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12.9</w:t>
            </w:r>
          </w:p>
        </w:tc>
        <w:tc>
          <w:tcPr>
            <w:tcW w:w="595" w:type="dxa"/>
            <w:tcBorders>
              <w:top w:val="single" w:sz="2" w:space="0" w:color="3D7FE0" w:themeColor="accent1"/>
            </w:tcBorders>
            <w:shd w:val="clear" w:color="auto" w:fill="auto"/>
            <w:vAlign w:val="bottom"/>
          </w:tcPr>
          <w:p w14:paraId="7DBEEB7B"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7.2</w:t>
            </w:r>
          </w:p>
        </w:tc>
        <w:tc>
          <w:tcPr>
            <w:tcW w:w="595" w:type="dxa"/>
            <w:tcBorders>
              <w:top w:val="single" w:sz="2" w:space="0" w:color="3D7FE0" w:themeColor="accent1"/>
            </w:tcBorders>
            <w:shd w:val="clear" w:color="auto" w:fill="auto"/>
            <w:vAlign w:val="bottom"/>
          </w:tcPr>
          <w:p w14:paraId="205CC51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8.8</w:t>
            </w:r>
          </w:p>
        </w:tc>
        <w:tc>
          <w:tcPr>
            <w:tcW w:w="595" w:type="dxa"/>
            <w:tcBorders>
              <w:top w:val="single" w:sz="2" w:space="0" w:color="3D7FE0" w:themeColor="accent1"/>
              <w:right w:val="single" w:sz="2" w:space="0" w:color="4175BA"/>
            </w:tcBorders>
            <w:shd w:val="clear" w:color="auto" w:fill="auto"/>
            <w:vAlign w:val="bottom"/>
          </w:tcPr>
          <w:p w14:paraId="2202FE6B"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32.7</w:t>
            </w:r>
          </w:p>
        </w:tc>
        <w:tc>
          <w:tcPr>
            <w:tcW w:w="595" w:type="dxa"/>
            <w:tcBorders>
              <w:top w:val="single" w:sz="2" w:space="0" w:color="3D7FE0" w:themeColor="accent1"/>
              <w:left w:val="single" w:sz="2" w:space="0" w:color="4175BA"/>
            </w:tcBorders>
            <w:shd w:val="clear" w:color="auto" w:fill="auto"/>
            <w:vAlign w:val="bottom"/>
          </w:tcPr>
          <w:p w14:paraId="67E725A3"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5.8</w:t>
            </w:r>
          </w:p>
        </w:tc>
        <w:tc>
          <w:tcPr>
            <w:tcW w:w="596" w:type="dxa"/>
            <w:tcBorders>
              <w:top w:val="single" w:sz="2" w:space="0" w:color="3D7FE0" w:themeColor="accent1"/>
            </w:tcBorders>
            <w:shd w:val="clear" w:color="auto" w:fill="auto"/>
            <w:vAlign w:val="bottom"/>
          </w:tcPr>
          <w:p w14:paraId="299BC51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7.9</w:t>
            </w:r>
          </w:p>
        </w:tc>
      </w:tr>
      <w:tr w:rsidR="006B43AF" w:rsidRPr="005907D3" w14:paraId="49ECE429" w14:textId="77777777" w:rsidTr="004203CD">
        <w:trPr>
          <w:trHeight w:hRule="exact" w:val="255"/>
        </w:trPr>
        <w:tc>
          <w:tcPr>
            <w:tcW w:w="2381" w:type="dxa"/>
            <w:shd w:val="clear" w:color="auto" w:fill="auto"/>
            <w:vAlign w:val="bottom"/>
          </w:tcPr>
          <w:p w14:paraId="04485ED8"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France</w:t>
            </w:r>
          </w:p>
        </w:tc>
        <w:tc>
          <w:tcPr>
            <w:tcW w:w="794" w:type="dxa"/>
            <w:shd w:val="clear" w:color="auto" w:fill="auto"/>
            <w:vAlign w:val="bottom"/>
          </w:tcPr>
          <w:p w14:paraId="676B4727"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3.6</w:t>
            </w:r>
          </w:p>
        </w:tc>
        <w:tc>
          <w:tcPr>
            <w:tcW w:w="595" w:type="dxa"/>
            <w:shd w:val="clear" w:color="auto" w:fill="auto"/>
            <w:vAlign w:val="bottom"/>
          </w:tcPr>
          <w:p w14:paraId="19959656"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6.2</w:t>
            </w:r>
          </w:p>
        </w:tc>
        <w:tc>
          <w:tcPr>
            <w:tcW w:w="595" w:type="dxa"/>
            <w:shd w:val="clear" w:color="auto" w:fill="auto"/>
            <w:vAlign w:val="bottom"/>
          </w:tcPr>
          <w:p w14:paraId="1AB51BB0"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1.7</w:t>
            </w:r>
          </w:p>
        </w:tc>
        <w:tc>
          <w:tcPr>
            <w:tcW w:w="595" w:type="dxa"/>
            <w:shd w:val="clear" w:color="auto" w:fill="auto"/>
            <w:vAlign w:val="bottom"/>
          </w:tcPr>
          <w:p w14:paraId="30F3FC7D"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1.6</w:t>
            </w:r>
          </w:p>
        </w:tc>
        <w:tc>
          <w:tcPr>
            <w:tcW w:w="596" w:type="dxa"/>
            <w:tcBorders>
              <w:right w:val="single" w:sz="2" w:space="0" w:color="3D7FE0" w:themeColor="accent1"/>
            </w:tcBorders>
            <w:shd w:val="clear" w:color="auto" w:fill="auto"/>
            <w:vAlign w:val="bottom"/>
          </w:tcPr>
          <w:p w14:paraId="1B2A212D"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13.1</w:t>
            </w:r>
          </w:p>
        </w:tc>
        <w:tc>
          <w:tcPr>
            <w:tcW w:w="795" w:type="dxa"/>
            <w:tcBorders>
              <w:left w:val="single" w:sz="2" w:space="0" w:color="3D7FE0" w:themeColor="accent1"/>
            </w:tcBorders>
            <w:shd w:val="clear" w:color="auto" w:fill="auto"/>
            <w:vAlign w:val="bottom"/>
          </w:tcPr>
          <w:p w14:paraId="3A47860D"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3.4</w:t>
            </w:r>
          </w:p>
        </w:tc>
        <w:tc>
          <w:tcPr>
            <w:tcW w:w="595" w:type="dxa"/>
            <w:shd w:val="clear" w:color="auto" w:fill="auto"/>
            <w:vAlign w:val="bottom"/>
          </w:tcPr>
          <w:p w14:paraId="64EE7E3B"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6.2</w:t>
            </w:r>
          </w:p>
        </w:tc>
        <w:tc>
          <w:tcPr>
            <w:tcW w:w="595" w:type="dxa"/>
            <w:shd w:val="clear" w:color="auto" w:fill="auto"/>
            <w:vAlign w:val="bottom"/>
          </w:tcPr>
          <w:p w14:paraId="2C6D91A6"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2.0</w:t>
            </w:r>
          </w:p>
        </w:tc>
        <w:tc>
          <w:tcPr>
            <w:tcW w:w="595" w:type="dxa"/>
            <w:shd w:val="clear" w:color="auto" w:fill="auto"/>
            <w:vAlign w:val="bottom"/>
          </w:tcPr>
          <w:p w14:paraId="02795C95"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1.8</w:t>
            </w:r>
          </w:p>
        </w:tc>
        <w:tc>
          <w:tcPr>
            <w:tcW w:w="595" w:type="dxa"/>
            <w:tcBorders>
              <w:right w:val="single" w:sz="2" w:space="0" w:color="4175BA"/>
            </w:tcBorders>
            <w:shd w:val="clear" w:color="auto" w:fill="auto"/>
            <w:vAlign w:val="bottom"/>
          </w:tcPr>
          <w:p w14:paraId="04E17A5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13.4</w:t>
            </w:r>
          </w:p>
        </w:tc>
        <w:tc>
          <w:tcPr>
            <w:tcW w:w="595" w:type="dxa"/>
            <w:tcBorders>
              <w:left w:val="single" w:sz="2" w:space="0" w:color="4175BA"/>
            </w:tcBorders>
            <w:shd w:val="clear" w:color="auto" w:fill="auto"/>
            <w:vAlign w:val="bottom"/>
          </w:tcPr>
          <w:p w14:paraId="591F875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2.6</w:t>
            </w:r>
          </w:p>
        </w:tc>
        <w:tc>
          <w:tcPr>
            <w:tcW w:w="596" w:type="dxa"/>
            <w:shd w:val="clear" w:color="auto" w:fill="auto"/>
            <w:vAlign w:val="bottom"/>
          </w:tcPr>
          <w:p w14:paraId="299811B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5.9</w:t>
            </w:r>
          </w:p>
        </w:tc>
      </w:tr>
      <w:tr w:rsidR="006B43AF" w:rsidRPr="005907D3" w14:paraId="4333C931" w14:textId="77777777" w:rsidTr="004203CD">
        <w:trPr>
          <w:trHeight w:hRule="exact" w:val="255"/>
        </w:trPr>
        <w:tc>
          <w:tcPr>
            <w:tcW w:w="2381" w:type="dxa"/>
            <w:tcBorders>
              <w:bottom w:val="single" w:sz="2" w:space="0" w:color="3D7FE0" w:themeColor="accent1"/>
            </w:tcBorders>
            <w:shd w:val="clear" w:color="auto" w:fill="auto"/>
            <w:vAlign w:val="bottom"/>
          </w:tcPr>
          <w:p w14:paraId="1FF9DFB3"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Ireland</w:t>
            </w:r>
          </w:p>
        </w:tc>
        <w:tc>
          <w:tcPr>
            <w:tcW w:w="794" w:type="dxa"/>
            <w:tcBorders>
              <w:bottom w:val="single" w:sz="2" w:space="0" w:color="3D7FE0" w:themeColor="accent1"/>
            </w:tcBorders>
            <w:shd w:val="clear" w:color="auto" w:fill="auto"/>
            <w:vAlign w:val="bottom"/>
          </w:tcPr>
          <w:p w14:paraId="5007919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0.9</w:t>
            </w:r>
          </w:p>
        </w:tc>
        <w:tc>
          <w:tcPr>
            <w:tcW w:w="595" w:type="dxa"/>
            <w:tcBorders>
              <w:bottom w:val="single" w:sz="2" w:space="0" w:color="3D7FE0" w:themeColor="accent1"/>
            </w:tcBorders>
            <w:shd w:val="clear" w:color="auto" w:fill="auto"/>
            <w:vAlign w:val="bottom"/>
          </w:tcPr>
          <w:p w14:paraId="4D695D91"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5.0</w:t>
            </w:r>
          </w:p>
        </w:tc>
        <w:tc>
          <w:tcPr>
            <w:tcW w:w="595" w:type="dxa"/>
            <w:tcBorders>
              <w:bottom w:val="single" w:sz="2" w:space="0" w:color="3D7FE0" w:themeColor="accent1"/>
            </w:tcBorders>
            <w:shd w:val="clear" w:color="auto" w:fill="auto"/>
            <w:vAlign w:val="bottom"/>
          </w:tcPr>
          <w:p w14:paraId="5E376C5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1.6</w:t>
            </w:r>
          </w:p>
        </w:tc>
        <w:tc>
          <w:tcPr>
            <w:tcW w:w="595" w:type="dxa"/>
            <w:tcBorders>
              <w:bottom w:val="single" w:sz="2" w:space="0" w:color="3D7FE0" w:themeColor="accent1"/>
            </w:tcBorders>
            <w:shd w:val="clear" w:color="auto" w:fill="auto"/>
            <w:vAlign w:val="bottom"/>
          </w:tcPr>
          <w:p w14:paraId="0F448906"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3.0</w:t>
            </w:r>
          </w:p>
        </w:tc>
        <w:tc>
          <w:tcPr>
            <w:tcW w:w="596" w:type="dxa"/>
            <w:tcBorders>
              <w:bottom w:val="single" w:sz="2" w:space="0" w:color="3D7FE0" w:themeColor="accent1"/>
              <w:right w:val="single" w:sz="2" w:space="0" w:color="3D7FE0" w:themeColor="accent1"/>
            </w:tcBorders>
            <w:shd w:val="clear" w:color="auto" w:fill="auto"/>
            <w:vAlign w:val="bottom"/>
          </w:tcPr>
          <w:p w14:paraId="534953DD"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10.5</w:t>
            </w:r>
          </w:p>
        </w:tc>
        <w:tc>
          <w:tcPr>
            <w:tcW w:w="795" w:type="dxa"/>
            <w:tcBorders>
              <w:left w:val="single" w:sz="2" w:space="0" w:color="3D7FE0" w:themeColor="accent1"/>
              <w:bottom w:val="single" w:sz="2" w:space="0" w:color="3D7FE0" w:themeColor="accent1"/>
            </w:tcBorders>
            <w:shd w:val="clear" w:color="auto" w:fill="auto"/>
            <w:vAlign w:val="bottom"/>
          </w:tcPr>
          <w:p w14:paraId="3F233754"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w:t>
            </w:r>
          </w:p>
        </w:tc>
        <w:tc>
          <w:tcPr>
            <w:tcW w:w="595" w:type="dxa"/>
            <w:tcBorders>
              <w:bottom w:val="single" w:sz="2" w:space="0" w:color="3D7FE0" w:themeColor="accent1"/>
            </w:tcBorders>
            <w:shd w:val="clear" w:color="auto" w:fill="auto"/>
            <w:vAlign w:val="bottom"/>
          </w:tcPr>
          <w:p w14:paraId="450E5686"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5.1</w:t>
            </w:r>
          </w:p>
        </w:tc>
        <w:tc>
          <w:tcPr>
            <w:tcW w:w="595" w:type="dxa"/>
            <w:tcBorders>
              <w:bottom w:val="single" w:sz="2" w:space="0" w:color="3D7FE0" w:themeColor="accent1"/>
            </w:tcBorders>
            <w:shd w:val="clear" w:color="auto" w:fill="auto"/>
            <w:vAlign w:val="bottom"/>
          </w:tcPr>
          <w:p w14:paraId="521A37A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1.4</w:t>
            </w:r>
          </w:p>
        </w:tc>
        <w:tc>
          <w:tcPr>
            <w:tcW w:w="595" w:type="dxa"/>
            <w:tcBorders>
              <w:bottom w:val="single" w:sz="2" w:space="0" w:color="3D7FE0" w:themeColor="accent1"/>
            </w:tcBorders>
            <w:shd w:val="clear" w:color="auto" w:fill="auto"/>
            <w:vAlign w:val="bottom"/>
          </w:tcPr>
          <w:p w14:paraId="52D708B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2.8</w:t>
            </w:r>
          </w:p>
        </w:tc>
        <w:tc>
          <w:tcPr>
            <w:tcW w:w="595" w:type="dxa"/>
            <w:tcBorders>
              <w:bottom w:val="single" w:sz="2" w:space="0" w:color="3D7FE0" w:themeColor="accent1"/>
              <w:right w:val="single" w:sz="2" w:space="0" w:color="4175BA"/>
            </w:tcBorders>
            <w:shd w:val="clear" w:color="auto" w:fill="auto"/>
            <w:vAlign w:val="bottom"/>
          </w:tcPr>
          <w:p w14:paraId="1E765403"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10.6</w:t>
            </w:r>
          </w:p>
        </w:tc>
        <w:tc>
          <w:tcPr>
            <w:tcW w:w="595" w:type="dxa"/>
            <w:tcBorders>
              <w:left w:val="single" w:sz="2" w:space="0" w:color="4175BA"/>
              <w:bottom w:val="single" w:sz="2" w:space="0" w:color="3D7FE0" w:themeColor="accent1"/>
            </w:tcBorders>
            <w:shd w:val="clear" w:color="auto" w:fill="auto"/>
            <w:vAlign w:val="bottom"/>
          </w:tcPr>
          <w:p w14:paraId="3C81B06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5.4</w:t>
            </w:r>
          </w:p>
        </w:tc>
        <w:tc>
          <w:tcPr>
            <w:tcW w:w="596" w:type="dxa"/>
            <w:tcBorders>
              <w:bottom w:val="single" w:sz="2" w:space="0" w:color="3D7FE0" w:themeColor="accent1"/>
            </w:tcBorders>
            <w:shd w:val="clear" w:color="auto" w:fill="auto"/>
            <w:vAlign w:val="bottom"/>
          </w:tcPr>
          <w:p w14:paraId="56598442"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6.9</w:t>
            </w:r>
          </w:p>
        </w:tc>
      </w:tr>
      <w:tr w:rsidR="006B43AF" w:rsidRPr="005907D3" w14:paraId="0B24A52E" w14:textId="77777777" w:rsidTr="004203CD">
        <w:trPr>
          <w:trHeight w:hRule="exact" w:val="255"/>
        </w:trPr>
        <w:tc>
          <w:tcPr>
            <w:tcW w:w="2381" w:type="dxa"/>
            <w:tcBorders>
              <w:top w:val="single" w:sz="2" w:space="0" w:color="3D7FE0" w:themeColor="accent1"/>
            </w:tcBorders>
            <w:shd w:val="clear" w:color="auto" w:fill="auto"/>
            <w:vAlign w:val="bottom"/>
          </w:tcPr>
          <w:p w14:paraId="34BA4840" w14:textId="77777777" w:rsidR="006B43AF" w:rsidRPr="005907D3" w:rsidRDefault="006B43AF" w:rsidP="004203CD">
            <w:pPr>
              <w:pStyle w:val="TablesTTextBold"/>
              <w:spacing w:line="240" w:lineRule="exact"/>
              <w:rPr>
                <w:rFonts w:ascii="IBM Plex Sans Light" w:hAnsi="IBM Plex Sans Light"/>
                <w:b/>
                <w:bCs/>
                <w:sz w:val="18"/>
                <w:szCs w:val="18"/>
              </w:rPr>
            </w:pPr>
            <w:r w:rsidRPr="005907D3">
              <w:rPr>
                <w:rFonts w:ascii="IBM Plex Sans Light" w:hAnsi="IBM Plex Sans Light"/>
                <w:b/>
                <w:bCs/>
                <w:sz w:val="18"/>
                <w:szCs w:val="18"/>
              </w:rPr>
              <w:t>Flagship destinations</w:t>
            </w:r>
          </w:p>
        </w:tc>
        <w:tc>
          <w:tcPr>
            <w:tcW w:w="794" w:type="dxa"/>
            <w:tcBorders>
              <w:top w:val="single" w:sz="2" w:space="0" w:color="3D7FE0" w:themeColor="accent1"/>
            </w:tcBorders>
            <w:shd w:val="clear" w:color="auto" w:fill="auto"/>
            <w:vAlign w:val="bottom"/>
          </w:tcPr>
          <w:p w14:paraId="697284DB"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7.2</w:t>
            </w:r>
          </w:p>
        </w:tc>
        <w:tc>
          <w:tcPr>
            <w:tcW w:w="595" w:type="dxa"/>
            <w:tcBorders>
              <w:top w:val="single" w:sz="2" w:space="0" w:color="3D7FE0" w:themeColor="accent1"/>
            </w:tcBorders>
            <w:shd w:val="clear" w:color="auto" w:fill="auto"/>
            <w:vAlign w:val="bottom"/>
          </w:tcPr>
          <w:p w14:paraId="695FBBF1"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25.6</w:t>
            </w:r>
          </w:p>
        </w:tc>
        <w:tc>
          <w:tcPr>
            <w:tcW w:w="595" w:type="dxa"/>
            <w:tcBorders>
              <w:top w:val="single" w:sz="2" w:space="0" w:color="3D7FE0" w:themeColor="accent1"/>
            </w:tcBorders>
            <w:shd w:val="clear" w:color="auto" w:fill="auto"/>
            <w:vAlign w:val="bottom"/>
          </w:tcPr>
          <w:p w14:paraId="18BA0C75"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11.9</w:t>
            </w:r>
          </w:p>
        </w:tc>
        <w:tc>
          <w:tcPr>
            <w:tcW w:w="595" w:type="dxa"/>
            <w:tcBorders>
              <w:top w:val="single" w:sz="2" w:space="0" w:color="3D7FE0" w:themeColor="accent1"/>
            </w:tcBorders>
            <w:shd w:val="clear" w:color="auto" w:fill="auto"/>
            <w:vAlign w:val="bottom"/>
          </w:tcPr>
          <w:p w14:paraId="347C9A4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15.1</w:t>
            </w:r>
          </w:p>
        </w:tc>
        <w:tc>
          <w:tcPr>
            <w:tcW w:w="596" w:type="dxa"/>
            <w:tcBorders>
              <w:top w:val="single" w:sz="2" w:space="0" w:color="3D7FE0" w:themeColor="accent1"/>
              <w:right w:val="single" w:sz="2" w:space="0" w:color="3D7FE0" w:themeColor="accent1"/>
            </w:tcBorders>
            <w:shd w:val="clear" w:color="auto" w:fill="auto"/>
            <w:vAlign w:val="bottom"/>
          </w:tcPr>
          <w:p w14:paraId="2B3865D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59.8</w:t>
            </w:r>
          </w:p>
        </w:tc>
        <w:tc>
          <w:tcPr>
            <w:tcW w:w="795" w:type="dxa"/>
            <w:tcBorders>
              <w:top w:val="single" w:sz="2" w:space="0" w:color="3D7FE0" w:themeColor="accent1"/>
              <w:left w:val="single" w:sz="2" w:space="0" w:color="3D7FE0" w:themeColor="accent1"/>
            </w:tcBorders>
            <w:shd w:val="clear" w:color="auto" w:fill="auto"/>
            <w:vAlign w:val="bottom"/>
          </w:tcPr>
          <w:p w14:paraId="2DA8028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8.5</w:t>
            </w:r>
          </w:p>
        </w:tc>
        <w:tc>
          <w:tcPr>
            <w:tcW w:w="595" w:type="dxa"/>
            <w:tcBorders>
              <w:top w:val="single" w:sz="2" w:space="0" w:color="3D7FE0" w:themeColor="accent1"/>
            </w:tcBorders>
            <w:shd w:val="clear" w:color="auto" w:fill="auto"/>
            <w:vAlign w:val="bottom"/>
          </w:tcPr>
          <w:p w14:paraId="217701C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24.2</w:t>
            </w:r>
          </w:p>
        </w:tc>
        <w:tc>
          <w:tcPr>
            <w:tcW w:w="595" w:type="dxa"/>
            <w:tcBorders>
              <w:top w:val="single" w:sz="2" w:space="0" w:color="3D7FE0" w:themeColor="accent1"/>
            </w:tcBorders>
            <w:shd w:val="clear" w:color="auto" w:fill="auto"/>
            <w:vAlign w:val="bottom"/>
          </w:tcPr>
          <w:p w14:paraId="6D8C740D"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10.6</w:t>
            </w:r>
          </w:p>
        </w:tc>
        <w:tc>
          <w:tcPr>
            <w:tcW w:w="595" w:type="dxa"/>
            <w:tcBorders>
              <w:top w:val="single" w:sz="2" w:space="0" w:color="3D7FE0" w:themeColor="accent1"/>
            </w:tcBorders>
            <w:shd w:val="clear" w:color="auto" w:fill="auto"/>
            <w:vAlign w:val="bottom"/>
          </w:tcPr>
          <w:p w14:paraId="404D167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13.4</w:t>
            </w:r>
          </w:p>
        </w:tc>
        <w:tc>
          <w:tcPr>
            <w:tcW w:w="595" w:type="dxa"/>
            <w:tcBorders>
              <w:top w:val="single" w:sz="2" w:space="0" w:color="3D7FE0" w:themeColor="accent1"/>
              <w:right w:val="single" w:sz="2" w:space="0" w:color="4175BA"/>
            </w:tcBorders>
            <w:shd w:val="clear" w:color="auto" w:fill="auto"/>
            <w:vAlign w:val="bottom"/>
          </w:tcPr>
          <w:p w14:paraId="6864149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56.7</w:t>
            </w:r>
          </w:p>
        </w:tc>
        <w:tc>
          <w:tcPr>
            <w:tcW w:w="595" w:type="dxa"/>
            <w:tcBorders>
              <w:top w:val="single" w:sz="2" w:space="0" w:color="3D7FE0" w:themeColor="accent1"/>
              <w:left w:val="single" w:sz="2" w:space="0" w:color="4175BA"/>
            </w:tcBorders>
            <w:shd w:val="clear" w:color="auto" w:fill="auto"/>
            <w:vAlign w:val="bottom"/>
          </w:tcPr>
          <w:p w14:paraId="6277EA7B"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4.6</w:t>
            </w:r>
          </w:p>
        </w:tc>
        <w:tc>
          <w:tcPr>
            <w:tcW w:w="596" w:type="dxa"/>
            <w:tcBorders>
              <w:top w:val="single" w:sz="2" w:space="0" w:color="3D7FE0" w:themeColor="accent1"/>
            </w:tcBorders>
            <w:shd w:val="clear" w:color="auto" w:fill="auto"/>
            <w:vAlign w:val="bottom"/>
          </w:tcPr>
          <w:p w14:paraId="2D6B5EE8"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6.9</w:t>
            </w:r>
          </w:p>
        </w:tc>
      </w:tr>
      <w:tr w:rsidR="006B43AF" w:rsidRPr="005907D3" w14:paraId="0869E089" w14:textId="77777777" w:rsidTr="004203CD">
        <w:trPr>
          <w:trHeight w:hRule="exact" w:val="255"/>
        </w:trPr>
        <w:tc>
          <w:tcPr>
            <w:tcW w:w="2381" w:type="dxa"/>
            <w:shd w:val="clear" w:color="auto" w:fill="auto"/>
            <w:vAlign w:val="bottom"/>
          </w:tcPr>
          <w:p w14:paraId="17E18059" w14:textId="77777777" w:rsidR="006B43AF" w:rsidRPr="005907D3" w:rsidRDefault="006B43AF" w:rsidP="004203CD">
            <w:pPr>
              <w:pStyle w:val="TablesTText"/>
              <w:rPr>
                <w:rFonts w:ascii="IBM Plex Sans Light" w:hAnsi="IBM Plex Sans Light"/>
                <w:sz w:val="18"/>
                <w:szCs w:val="18"/>
              </w:rPr>
            </w:pPr>
          </w:p>
        </w:tc>
        <w:tc>
          <w:tcPr>
            <w:tcW w:w="794" w:type="dxa"/>
            <w:shd w:val="clear" w:color="auto" w:fill="auto"/>
            <w:vAlign w:val="bottom"/>
          </w:tcPr>
          <w:p w14:paraId="4105975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shd w:val="clear" w:color="auto" w:fill="auto"/>
            <w:vAlign w:val="bottom"/>
          </w:tcPr>
          <w:p w14:paraId="0E8CE477"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shd w:val="clear" w:color="auto" w:fill="auto"/>
            <w:vAlign w:val="bottom"/>
          </w:tcPr>
          <w:p w14:paraId="4E25719C"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shd w:val="clear" w:color="auto" w:fill="auto"/>
            <w:vAlign w:val="bottom"/>
          </w:tcPr>
          <w:p w14:paraId="0D84595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6" w:type="dxa"/>
            <w:tcBorders>
              <w:right w:val="single" w:sz="2" w:space="0" w:color="3D7FE0" w:themeColor="accent1"/>
            </w:tcBorders>
            <w:shd w:val="clear" w:color="auto" w:fill="auto"/>
            <w:vAlign w:val="bottom"/>
          </w:tcPr>
          <w:p w14:paraId="29645F7C"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795" w:type="dxa"/>
            <w:tcBorders>
              <w:left w:val="single" w:sz="2" w:space="0" w:color="3D7FE0" w:themeColor="accent1"/>
            </w:tcBorders>
            <w:shd w:val="clear" w:color="auto" w:fill="auto"/>
            <w:vAlign w:val="bottom"/>
          </w:tcPr>
          <w:p w14:paraId="0AAFDBB6"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shd w:val="clear" w:color="auto" w:fill="auto"/>
            <w:vAlign w:val="bottom"/>
          </w:tcPr>
          <w:p w14:paraId="178C896C"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shd w:val="clear" w:color="auto" w:fill="auto"/>
            <w:vAlign w:val="bottom"/>
          </w:tcPr>
          <w:p w14:paraId="05809F7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shd w:val="clear" w:color="auto" w:fill="auto"/>
            <w:vAlign w:val="bottom"/>
          </w:tcPr>
          <w:p w14:paraId="32729104"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tcBorders>
              <w:right w:val="single" w:sz="2" w:space="0" w:color="4175BA"/>
            </w:tcBorders>
            <w:shd w:val="clear" w:color="auto" w:fill="auto"/>
            <w:vAlign w:val="bottom"/>
          </w:tcPr>
          <w:p w14:paraId="703218CC"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5" w:type="dxa"/>
            <w:tcBorders>
              <w:left w:val="single" w:sz="2" w:space="0" w:color="4175BA"/>
            </w:tcBorders>
            <w:shd w:val="clear" w:color="auto" w:fill="auto"/>
            <w:vAlign w:val="bottom"/>
          </w:tcPr>
          <w:p w14:paraId="4CEE3BDA"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c>
          <w:tcPr>
            <w:tcW w:w="596" w:type="dxa"/>
            <w:shd w:val="clear" w:color="auto" w:fill="auto"/>
            <w:vAlign w:val="bottom"/>
          </w:tcPr>
          <w:p w14:paraId="6A7AE9D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p>
        </w:tc>
      </w:tr>
      <w:tr w:rsidR="006B43AF" w:rsidRPr="005907D3" w14:paraId="5B05D1C5" w14:textId="77777777" w:rsidTr="004203CD">
        <w:trPr>
          <w:trHeight w:hRule="exact" w:val="255"/>
        </w:trPr>
        <w:tc>
          <w:tcPr>
            <w:tcW w:w="2381" w:type="dxa"/>
            <w:tcBorders>
              <w:bottom w:val="single" w:sz="2" w:space="0" w:color="3D7FE0" w:themeColor="accent1"/>
            </w:tcBorders>
            <w:shd w:val="clear" w:color="auto" w:fill="auto"/>
            <w:vAlign w:val="bottom"/>
          </w:tcPr>
          <w:p w14:paraId="60D78BCF" w14:textId="77777777" w:rsidR="006B43AF" w:rsidRPr="005907D3" w:rsidRDefault="006B43AF" w:rsidP="004203CD">
            <w:pPr>
              <w:pStyle w:val="TablesTText"/>
              <w:rPr>
                <w:rFonts w:ascii="IBM Plex Sans Light" w:hAnsi="IBM Plex Sans Light"/>
                <w:sz w:val="18"/>
                <w:szCs w:val="18"/>
              </w:rPr>
            </w:pPr>
            <w:r w:rsidRPr="005907D3">
              <w:rPr>
                <w:rFonts w:ascii="IBM Plex Sans Light" w:hAnsi="IBM Plex Sans Light"/>
                <w:sz w:val="18"/>
                <w:szCs w:val="18"/>
              </w:rPr>
              <w:t>Developments and other</w:t>
            </w:r>
          </w:p>
        </w:tc>
        <w:tc>
          <w:tcPr>
            <w:tcW w:w="794" w:type="dxa"/>
            <w:tcBorders>
              <w:bottom w:val="single" w:sz="2" w:space="0" w:color="3D7FE0" w:themeColor="accent1"/>
            </w:tcBorders>
            <w:shd w:val="clear" w:color="auto" w:fill="auto"/>
            <w:vAlign w:val="bottom"/>
          </w:tcPr>
          <w:p w14:paraId="481B6C33"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1.3</w:t>
            </w:r>
          </w:p>
        </w:tc>
        <w:tc>
          <w:tcPr>
            <w:tcW w:w="595" w:type="dxa"/>
            <w:tcBorders>
              <w:bottom w:val="single" w:sz="2" w:space="0" w:color="3D7FE0" w:themeColor="accent1"/>
            </w:tcBorders>
            <w:shd w:val="clear" w:color="auto" w:fill="auto"/>
            <w:vAlign w:val="bottom"/>
          </w:tcPr>
          <w:p w14:paraId="5F12BEDC"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1.0</w:t>
            </w:r>
          </w:p>
        </w:tc>
        <w:tc>
          <w:tcPr>
            <w:tcW w:w="595" w:type="dxa"/>
            <w:tcBorders>
              <w:bottom w:val="single" w:sz="2" w:space="0" w:color="3D7FE0" w:themeColor="accent1"/>
            </w:tcBorders>
            <w:shd w:val="clear" w:color="auto" w:fill="auto"/>
            <w:vAlign w:val="bottom"/>
          </w:tcPr>
          <w:p w14:paraId="6D30F20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2.2</w:t>
            </w:r>
          </w:p>
        </w:tc>
        <w:tc>
          <w:tcPr>
            <w:tcW w:w="595" w:type="dxa"/>
            <w:tcBorders>
              <w:bottom w:val="single" w:sz="2" w:space="0" w:color="3D7FE0" w:themeColor="accent1"/>
            </w:tcBorders>
            <w:shd w:val="clear" w:color="auto" w:fill="auto"/>
            <w:vAlign w:val="bottom"/>
          </w:tcPr>
          <w:p w14:paraId="09C3181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0.7</w:t>
            </w:r>
          </w:p>
        </w:tc>
        <w:tc>
          <w:tcPr>
            <w:tcW w:w="596" w:type="dxa"/>
            <w:tcBorders>
              <w:bottom w:val="single" w:sz="2" w:space="0" w:color="3D7FE0" w:themeColor="accent1"/>
              <w:right w:val="single" w:sz="2" w:space="0" w:color="3D7FE0" w:themeColor="accent1"/>
            </w:tcBorders>
            <w:shd w:val="clear" w:color="auto" w:fill="auto"/>
            <w:vAlign w:val="bottom"/>
          </w:tcPr>
          <w:p w14:paraId="1C811BA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5.2</w:t>
            </w:r>
          </w:p>
        </w:tc>
        <w:tc>
          <w:tcPr>
            <w:tcW w:w="795" w:type="dxa"/>
            <w:tcBorders>
              <w:left w:val="single" w:sz="2" w:space="0" w:color="3D7FE0" w:themeColor="accent1"/>
              <w:bottom w:val="single" w:sz="2" w:space="0" w:color="3D7FE0" w:themeColor="accent1"/>
            </w:tcBorders>
            <w:shd w:val="clear" w:color="auto" w:fill="auto"/>
            <w:vAlign w:val="bottom"/>
          </w:tcPr>
          <w:p w14:paraId="200FA174"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1.0</w:t>
            </w:r>
          </w:p>
        </w:tc>
        <w:tc>
          <w:tcPr>
            <w:tcW w:w="595" w:type="dxa"/>
            <w:tcBorders>
              <w:bottom w:val="single" w:sz="2" w:space="0" w:color="3D7FE0" w:themeColor="accent1"/>
            </w:tcBorders>
            <w:shd w:val="clear" w:color="auto" w:fill="auto"/>
            <w:vAlign w:val="bottom"/>
          </w:tcPr>
          <w:p w14:paraId="12B19E4F"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0.9</w:t>
            </w:r>
          </w:p>
        </w:tc>
        <w:tc>
          <w:tcPr>
            <w:tcW w:w="595" w:type="dxa"/>
            <w:tcBorders>
              <w:bottom w:val="single" w:sz="2" w:space="0" w:color="3D7FE0" w:themeColor="accent1"/>
            </w:tcBorders>
            <w:shd w:val="clear" w:color="auto" w:fill="auto"/>
            <w:vAlign w:val="bottom"/>
          </w:tcPr>
          <w:p w14:paraId="4312F4E5"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1.5</w:t>
            </w:r>
          </w:p>
        </w:tc>
        <w:tc>
          <w:tcPr>
            <w:tcW w:w="595" w:type="dxa"/>
            <w:tcBorders>
              <w:bottom w:val="single" w:sz="2" w:space="0" w:color="3D7FE0" w:themeColor="accent1"/>
            </w:tcBorders>
            <w:shd w:val="clear" w:color="auto" w:fill="auto"/>
            <w:vAlign w:val="bottom"/>
          </w:tcPr>
          <w:p w14:paraId="4949D7D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0.6</w:t>
            </w:r>
          </w:p>
        </w:tc>
        <w:tc>
          <w:tcPr>
            <w:tcW w:w="595" w:type="dxa"/>
            <w:tcBorders>
              <w:bottom w:val="single" w:sz="2" w:space="0" w:color="3D7FE0" w:themeColor="accent1"/>
              <w:right w:val="single" w:sz="2" w:space="0" w:color="4175BA"/>
            </w:tcBorders>
            <w:shd w:val="clear" w:color="auto" w:fill="auto"/>
            <w:vAlign w:val="bottom"/>
          </w:tcPr>
          <w:p w14:paraId="30EB6852"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4.0</w:t>
            </w:r>
          </w:p>
        </w:tc>
        <w:tc>
          <w:tcPr>
            <w:tcW w:w="595" w:type="dxa"/>
            <w:tcBorders>
              <w:left w:val="single" w:sz="2" w:space="0" w:color="4175BA"/>
              <w:bottom w:val="single" w:sz="2" w:space="0" w:color="3D7FE0" w:themeColor="accent1"/>
            </w:tcBorders>
            <w:shd w:val="clear" w:color="auto" w:fill="auto"/>
            <w:vAlign w:val="bottom"/>
          </w:tcPr>
          <w:p w14:paraId="520DD141"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6.1</w:t>
            </w:r>
          </w:p>
        </w:tc>
        <w:tc>
          <w:tcPr>
            <w:tcW w:w="596" w:type="dxa"/>
            <w:tcBorders>
              <w:bottom w:val="single" w:sz="2" w:space="0" w:color="3D7FE0" w:themeColor="accent1"/>
            </w:tcBorders>
            <w:shd w:val="clear" w:color="auto" w:fill="auto"/>
            <w:vAlign w:val="bottom"/>
          </w:tcPr>
          <w:p w14:paraId="77217EAE"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7.6</w:t>
            </w:r>
          </w:p>
        </w:tc>
      </w:tr>
      <w:tr w:rsidR="006B43AF" w:rsidRPr="005907D3" w14:paraId="5CBD019E" w14:textId="77777777" w:rsidTr="004203CD">
        <w:trPr>
          <w:trHeight w:val="20"/>
        </w:trPr>
        <w:tc>
          <w:tcPr>
            <w:tcW w:w="2381" w:type="dxa"/>
            <w:tcBorders>
              <w:top w:val="single" w:sz="2" w:space="0" w:color="3D7FE0" w:themeColor="accent1"/>
              <w:bottom w:val="single" w:sz="8" w:space="0" w:color="3D7FE0" w:themeColor="accent1"/>
            </w:tcBorders>
            <w:shd w:val="clear" w:color="auto" w:fill="auto"/>
            <w:vAlign w:val="bottom"/>
          </w:tcPr>
          <w:p w14:paraId="094D5673" w14:textId="77777777" w:rsidR="006B43AF" w:rsidRPr="005907D3" w:rsidRDefault="006B43AF" w:rsidP="004203CD">
            <w:pPr>
              <w:pStyle w:val="TablesTTextBold"/>
              <w:spacing w:line="240" w:lineRule="exact"/>
              <w:rPr>
                <w:rFonts w:ascii="IBM Plex Sans Light" w:hAnsi="IBM Plex Sans Light"/>
                <w:b/>
                <w:bCs/>
                <w:sz w:val="18"/>
                <w:szCs w:val="18"/>
              </w:rPr>
            </w:pPr>
            <w:r w:rsidRPr="005907D3">
              <w:rPr>
                <w:rFonts w:ascii="IBM Plex Sans Light" w:hAnsi="IBM Plex Sans Light"/>
                <w:b/>
                <w:bCs/>
                <w:sz w:val="18"/>
                <w:szCs w:val="18"/>
              </w:rPr>
              <w:t>Managed portfolio</w:t>
            </w:r>
          </w:p>
        </w:tc>
        <w:tc>
          <w:tcPr>
            <w:tcW w:w="794" w:type="dxa"/>
            <w:tcBorders>
              <w:top w:val="single" w:sz="2" w:space="0" w:color="3D7FE0" w:themeColor="accent1"/>
              <w:bottom w:val="single" w:sz="8" w:space="0" w:color="3D7FE0" w:themeColor="accent1"/>
            </w:tcBorders>
            <w:shd w:val="clear" w:color="auto" w:fill="auto"/>
            <w:vAlign w:val="bottom"/>
          </w:tcPr>
          <w:p w14:paraId="76FA321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8.5</w:t>
            </w:r>
          </w:p>
        </w:tc>
        <w:tc>
          <w:tcPr>
            <w:tcW w:w="595" w:type="dxa"/>
            <w:tcBorders>
              <w:top w:val="single" w:sz="2" w:space="0" w:color="3D7FE0" w:themeColor="accent1"/>
              <w:bottom w:val="single" w:sz="8" w:space="0" w:color="3D7FE0" w:themeColor="accent1"/>
            </w:tcBorders>
            <w:shd w:val="clear" w:color="auto" w:fill="auto"/>
            <w:vAlign w:val="bottom"/>
          </w:tcPr>
          <w:p w14:paraId="7761BFE0"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26.6</w:t>
            </w:r>
          </w:p>
        </w:tc>
        <w:tc>
          <w:tcPr>
            <w:tcW w:w="595" w:type="dxa"/>
            <w:tcBorders>
              <w:top w:val="single" w:sz="2" w:space="0" w:color="3D7FE0" w:themeColor="accent1"/>
              <w:bottom w:val="single" w:sz="8" w:space="0" w:color="3D7FE0" w:themeColor="accent1"/>
            </w:tcBorders>
            <w:shd w:val="clear" w:color="auto" w:fill="auto"/>
            <w:vAlign w:val="bottom"/>
          </w:tcPr>
          <w:p w14:paraId="7C0AF4E0"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14.1</w:t>
            </w:r>
          </w:p>
        </w:tc>
        <w:tc>
          <w:tcPr>
            <w:tcW w:w="595" w:type="dxa"/>
            <w:tcBorders>
              <w:top w:val="single" w:sz="2" w:space="0" w:color="3D7FE0" w:themeColor="accent1"/>
              <w:bottom w:val="single" w:sz="8" w:space="0" w:color="3D7FE0" w:themeColor="accent1"/>
            </w:tcBorders>
            <w:shd w:val="clear" w:color="auto" w:fill="auto"/>
            <w:vAlign w:val="bottom"/>
          </w:tcPr>
          <w:p w14:paraId="4B6122FF"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15.8</w:t>
            </w:r>
          </w:p>
        </w:tc>
        <w:tc>
          <w:tcPr>
            <w:tcW w:w="596" w:type="dxa"/>
            <w:tcBorders>
              <w:top w:val="single" w:sz="2" w:space="0" w:color="3D7FE0" w:themeColor="accent1"/>
              <w:bottom w:val="single" w:sz="8" w:space="0" w:color="3D7FE0" w:themeColor="accent1"/>
              <w:right w:val="single" w:sz="2" w:space="0" w:color="3D7FE0" w:themeColor="accent1"/>
            </w:tcBorders>
            <w:shd w:val="clear" w:color="auto" w:fill="auto"/>
            <w:vAlign w:val="bottom"/>
          </w:tcPr>
          <w:p w14:paraId="68886095"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65.0</w:t>
            </w:r>
          </w:p>
        </w:tc>
        <w:tc>
          <w:tcPr>
            <w:tcW w:w="795" w:type="dxa"/>
            <w:tcBorders>
              <w:top w:val="single" w:sz="2" w:space="0" w:color="3D7FE0" w:themeColor="accent1"/>
              <w:left w:val="single" w:sz="2" w:space="0" w:color="3D7FE0" w:themeColor="accent1"/>
              <w:bottom w:val="single" w:sz="8" w:space="0" w:color="3D7FE0" w:themeColor="accent1"/>
            </w:tcBorders>
            <w:shd w:val="clear" w:color="auto" w:fill="auto"/>
            <w:vAlign w:val="bottom"/>
          </w:tcPr>
          <w:p w14:paraId="52EE2D10"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9.5</w:t>
            </w:r>
          </w:p>
        </w:tc>
        <w:tc>
          <w:tcPr>
            <w:tcW w:w="595" w:type="dxa"/>
            <w:tcBorders>
              <w:top w:val="single" w:sz="2" w:space="0" w:color="3D7FE0" w:themeColor="accent1"/>
              <w:bottom w:val="single" w:sz="8" w:space="0" w:color="3D7FE0" w:themeColor="accent1"/>
            </w:tcBorders>
            <w:shd w:val="clear" w:color="auto" w:fill="auto"/>
            <w:vAlign w:val="bottom"/>
          </w:tcPr>
          <w:p w14:paraId="16439F19"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25.1</w:t>
            </w:r>
          </w:p>
        </w:tc>
        <w:tc>
          <w:tcPr>
            <w:tcW w:w="595" w:type="dxa"/>
            <w:tcBorders>
              <w:top w:val="single" w:sz="2" w:space="0" w:color="3D7FE0" w:themeColor="accent1"/>
              <w:bottom w:val="single" w:sz="8" w:space="0" w:color="3D7FE0" w:themeColor="accent1"/>
            </w:tcBorders>
            <w:shd w:val="clear" w:color="auto" w:fill="auto"/>
            <w:vAlign w:val="bottom"/>
          </w:tcPr>
          <w:p w14:paraId="3B3B4538"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12.1</w:t>
            </w:r>
          </w:p>
        </w:tc>
        <w:tc>
          <w:tcPr>
            <w:tcW w:w="595" w:type="dxa"/>
            <w:tcBorders>
              <w:top w:val="single" w:sz="2" w:space="0" w:color="3D7FE0" w:themeColor="accent1"/>
              <w:bottom w:val="single" w:sz="8" w:space="0" w:color="3D7FE0" w:themeColor="accent1"/>
            </w:tcBorders>
            <w:shd w:val="clear" w:color="auto" w:fill="auto"/>
            <w:vAlign w:val="bottom"/>
          </w:tcPr>
          <w:p w14:paraId="6BDB4597"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14.0</w:t>
            </w:r>
          </w:p>
        </w:tc>
        <w:tc>
          <w:tcPr>
            <w:tcW w:w="595" w:type="dxa"/>
            <w:tcBorders>
              <w:top w:val="single" w:sz="2" w:space="0" w:color="3D7FE0" w:themeColor="accent1"/>
              <w:bottom w:val="single" w:sz="8" w:space="0" w:color="3D7FE0" w:themeColor="accent1"/>
              <w:right w:val="single" w:sz="2" w:space="0" w:color="4175BA"/>
            </w:tcBorders>
            <w:shd w:val="clear" w:color="auto" w:fill="auto"/>
            <w:vAlign w:val="bottom"/>
          </w:tcPr>
          <w:p w14:paraId="5609A04C" w14:textId="77777777" w:rsidR="006B43AF" w:rsidRPr="009E03EF" w:rsidRDefault="006B43AF" w:rsidP="004203CD">
            <w:pPr>
              <w:pStyle w:val="TablesTFigures"/>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60.7</w:t>
            </w:r>
          </w:p>
        </w:tc>
        <w:tc>
          <w:tcPr>
            <w:tcW w:w="595" w:type="dxa"/>
            <w:tcBorders>
              <w:top w:val="single" w:sz="2" w:space="0" w:color="3D7FE0" w:themeColor="accent1"/>
              <w:left w:val="single" w:sz="2" w:space="0" w:color="4175BA"/>
              <w:bottom w:val="single" w:sz="8" w:space="0" w:color="3D7FE0" w:themeColor="accent1"/>
            </w:tcBorders>
            <w:shd w:val="clear" w:color="auto" w:fill="auto"/>
            <w:vAlign w:val="bottom"/>
          </w:tcPr>
          <w:p w14:paraId="4A5779EC"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4.6</w:t>
            </w:r>
          </w:p>
        </w:tc>
        <w:tc>
          <w:tcPr>
            <w:tcW w:w="596" w:type="dxa"/>
            <w:tcBorders>
              <w:top w:val="single" w:sz="2" w:space="0" w:color="3D7FE0" w:themeColor="accent1"/>
              <w:bottom w:val="single" w:sz="8" w:space="0" w:color="3D7FE0" w:themeColor="accent1"/>
            </w:tcBorders>
            <w:shd w:val="clear" w:color="auto" w:fill="auto"/>
            <w:vAlign w:val="bottom"/>
          </w:tcPr>
          <w:p w14:paraId="18ED254F" w14:textId="77777777" w:rsidR="006B43AF" w:rsidRPr="009E03EF" w:rsidRDefault="006B43AF" w:rsidP="004203CD">
            <w:pPr>
              <w:pStyle w:val="TablesTFigures"/>
              <w:spacing w:line="240" w:lineRule="exact"/>
              <w:rPr>
                <w:rFonts w:ascii="IBM Plex Sans Medium" w:eastAsia="Chronicle Text G1" w:hAnsi="IBM Plex Sans Medium" w:cs="Chronicle Text G1"/>
                <w:b/>
                <w:color w:val="3D7FE0" w:themeColor="accent1"/>
                <w:sz w:val="18"/>
                <w:szCs w:val="18"/>
              </w:rPr>
            </w:pPr>
            <w:r w:rsidRPr="009E03EF">
              <w:rPr>
                <w:rFonts w:ascii="IBM Plex Sans Medium" w:eastAsia="Chronicle Text G1" w:hAnsi="IBM Plex Sans Medium" w:cs="Chronicle Text G1"/>
                <w:b/>
                <w:color w:val="3D7FE0" w:themeColor="accent1"/>
                <w:sz w:val="18"/>
                <w:szCs w:val="18"/>
              </w:rPr>
              <w:t>7.0</w:t>
            </w:r>
          </w:p>
        </w:tc>
      </w:tr>
    </w:tbl>
    <w:p w14:paraId="54671481" w14:textId="58E0F88B" w:rsidR="00C419BA" w:rsidRDefault="00C419BA" w:rsidP="006B43AF">
      <w:pPr>
        <w:pStyle w:val="Heading2"/>
        <w:rPr>
          <w:rFonts w:ascii="IBM Plex Sans Medium" w:eastAsia="Yu Gothic Light" w:hAnsi="IBM Plex Sans Medium"/>
          <w:color w:val="3D7FE0" w:themeColor="accent1"/>
          <w:spacing w:val="0"/>
          <w:szCs w:val="22"/>
        </w:rPr>
      </w:pPr>
      <w:r>
        <w:rPr>
          <w:rFonts w:ascii="IBM Plex Sans Medium" w:eastAsia="Yu Gothic Light" w:hAnsi="IBM Plex Sans Medium"/>
          <w:color w:val="3D7FE0" w:themeColor="accent1"/>
          <w:spacing w:val="0"/>
          <w:szCs w:val="22"/>
        </w:rPr>
        <w:t>The table above compares rents passing (as per Table 4) on a headline basis for those units with leases expiring or subject to a tenant break in each year compared to the ERV of those units determined by the Group’s valuers on a net effective basis (as per Table 4).</w:t>
      </w:r>
    </w:p>
    <w:p w14:paraId="59F3F3E5" w14:textId="0086F4B9" w:rsidR="006B43AF" w:rsidRPr="000730CB" w:rsidRDefault="006B43AF" w:rsidP="006B43AF">
      <w:pPr>
        <w:pStyle w:val="Heading2"/>
        <w:rPr>
          <w:rFonts w:ascii="IBM Plex Sans Light" w:hAnsi="IBM Plex Sans Light"/>
          <w:highlight w:val="yellow"/>
        </w:rPr>
      </w:pPr>
      <w:r w:rsidRPr="00280504">
        <w:rPr>
          <w:rFonts w:ascii="IBM Plex Sans Medium" w:eastAsia="Yu Gothic Light" w:hAnsi="IBM Plex Sans Medium"/>
          <w:color w:val="3D7FE0" w:themeColor="accent1"/>
          <w:spacing w:val="0"/>
          <w:szCs w:val="22"/>
        </w:rPr>
        <w:t>Top ten tenants</w:t>
      </w:r>
    </w:p>
    <w:p w14:paraId="7EE08ECD" w14:textId="77777777" w:rsidR="006B43AF" w:rsidRPr="00280504" w:rsidRDefault="006B43AF" w:rsidP="006B43AF">
      <w:pPr>
        <w:rPr>
          <w:rFonts w:ascii="IBM Plex Sans Light" w:hAnsi="IBM Plex Sans Light"/>
          <w:b/>
        </w:rPr>
      </w:pPr>
      <w:r w:rsidRPr="00280504">
        <w:rPr>
          <w:rFonts w:ascii="IBM Plex Sans Light" w:hAnsi="IBM Plex Sans Light"/>
          <w:b/>
        </w:rPr>
        <w:t>Table 7</w:t>
      </w:r>
    </w:p>
    <w:p w14:paraId="07D33CEC" w14:textId="77777777" w:rsidR="006B43AF" w:rsidRPr="005907D3" w:rsidRDefault="006B43AF" w:rsidP="006B43AF">
      <w:pPr>
        <w:pStyle w:val="TablesTHeading2"/>
        <w:rPr>
          <w:rFonts w:ascii="IBM Plex Sans Light" w:hAnsi="IBM Plex Sans Light"/>
          <w:color w:val="3D7FE0" w:themeColor="accent1"/>
        </w:rPr>
      </w:pPr>
      <w:r w:rsidRPr="005907D3">
        <w:rPr>
          <w:rFonts w:ascii="IBM Plex Sans Light" w:hAnsi="IBM Plex Sans Light"/>
          <w:color w:val="3D7FE0" w:themeColor="accent1"/>
        </w:rPr>
        <w:t xml:space="preserve">Ranked by passing rent </w:t>
      </w:r>
    </w:p>
    <w:tbl>
      <w:tblPr>
        <w:tblW w:w="9950" w:type="dxa"/>
        <w:tblLayout w:type="fixed"/>
        <w:tblCellMar>
          <w:left w:w="0" w:type="dxa"/>
          <w:right w:w="0" w:type="dxa"/>
        </w:tblCellMar>
        <w:tblLook w:val="04A0" w:firstRow="1" w:lastRow="0" w:firstColumn="1" w:lastColumn="0" w:noHBand="0" w:noVBand="1"/>
      </w:tblPr>
      <w:tblGrid>
        <w:gridCol w:w="5245"/>
        <w:gridCol w:w="1276"/>
        <w:gridCol w:w="1303"/>
        <w:gridCol w:w="1134"/>
        <w:gridCol w:w="992"/>
      </w:tblGrid>
      <w:tr w:rsidR="006B43AF" w:rsidRPr="005907D3" w14:paraId="6820523C" w14:textId="77777777" w:rsidTr="004203CD">
        <w:trPr>
          <w:trHeight w:val="20"/>
        </w:trPr>
        <w:tc>
          <w:tcPr>
            <w:tcW w:w="5245" w:type="dxa"/>
            <w:tcBorders>
              <w:bottom w:val="single" w:sz="2" w:space="0" w:color="3D7FE0" w:themeColor="accent1"/>
            </w:tcBorders>
            <w:shd w:val="clear" w:color="auto" w:fill="auto"/>
            <w:vAlign w:val="bottom"/>
          </w:tcPr>
          <w:p w14:paraId="4DD4D352" w14:textId="77777777" w:rsidR="006B43AF" w:rsidRPr="005907D3" w:rsidRDefault="006B43AF" w:rsidP="004203CD">
            <w:pPr>
              <w:pStyle w:val="TablesTColHeadsLeft"/>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 xml:space="preserve">Proportionally consolidated </w:t>
            </w:r>
          </w:p>
        </w:tc>
        <w:tc>
          <w:tcPr>
            <w:tcW w:w="1276" w:type="dxa"/>
            <w:tcBorders>
              <w:bottom w:val="single" w:sz="2" w:space="0" w:color="3D7FE0" w:themeColor="accent1"/>
            </w:tcBorders>
            <w:shd w:val="clear" w:color="auto" w:fill="auto"/>
            <w:vAlign w:val="bottom"/>
          </w:tcPr>
          <w:p w14:paraId="78BBC35B" w14:textId="77777777" w:rsidR="006B43AF" w:rsidRPr="005907D3" w:rsidRDefault="006B43AF" w:rsidP="004203CD">
            <w:pPr>
              <w:pStyle w:val="TablesTColHeadsLeft"/>
              <w:rPr>
                <w:rFonts w:ascii="IBM Plex Sans Light" w:hAnsi="IBM Plex Sans Light"/>
                <w:b/>
                <w:bCs/>
                <w:color w:val="3D7FE0" w:themeColor="accent1"/>
                <w:sz w:val="14"/>
                <w:szCs w:val="24"/>
              </w:rPr>
            </w:pPr>
          </w:p>
        </w:tc>
        <w:tc>
          <w:tcPr>
            <w:tcW w:w="1303" w:type="dxa"/>
            <w:tcBorders>
              <w:bottom w:val="single" w:sz="2" w:space="0" w:color="3D7FE0" w:themeColor="accent1"/>
            </w:tcBorders>
            <w:shd w:val="clear" w:color="auto" w:fill="auto"/>
            <w:vAlign w:val="bottom"/>
          </w:tcPr>
          <w:p w14:paraId="564280B4" w14:textId="77777777" w:rsidR="006B43AF" w:rsidRPr="005907D3" w:rsidRDefault="006B43AF" w:rsidP="004203CD">
            <w:pPr>
              <w:pStyle w:val="TablesTColHeadsLeft"/>
              <w:rPr>
                <w:rFonts w:ascii="IBM Plex Sans Light" w:hAnsi="IBM Plex Sans Light"/>
                <w:b/>
                <w:bCs/>
                <w:color w:val="3D7FE0" w:themeColor="accent1"/>
                <w:sz w:val="14"/>
                <w:szCs w:val="24"/>
              </w:rPr>
            </w:pPr>
          </w:p>
        </w:tc>
        <w:tc>
          <w:tcPr>
            <w:tcW w:w="1134" w:type="dxa"/>
            <w:tcBorders>
              <w:bottom w:val="single" w:sz="2" w:space="0" w:color="3D7FE0" w:themeColor="accent1"/>
            </w:tcBorders>
            <w:shd w:val="clear" w:color="auto" w:fill="auto"/>
            <w:vAlign w:val="bottom"/>
          </w:tcPr>
          <w:p w14:paraId="505062F7"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Passing rent</w:t>
            </w:r>
            <w:r w:rsidRPr="005907D3">
              <w:rPr>
                <w:rFonts w:ascii="IBM Plex Sans Light" w:hAnsi="IBM Plex Sans Light"/>
                <w:color w:val="3D7FE0" w:themeColor="accent1"/>
                <w:sz w:val="14"/>
                <w:szCs w:val="24"/>
              </w:rPr>
              <w:br/>
              <w:t>£m</w:t>
            </w:r>
          </w:p>
        </w:tc>
        <w:tc>
          <w:tcPr>
            <w:tcW w:w="992" w:type="dxa"/>
            <w:tcBorders>
              <w:bottom w:val="single" w:sz="2" w:space="0" w:color="3D7FE0" w:themeColor="accent1"/>
            </w:tcBorders>
            <w:shd w:val="clear" w:color="auto" w:fill="auto"/>
            <w:vAlign w:val="bottom"/>
          </w:tcPr>
          <w:p w14:paraId="36F174F3"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of total</w:t>
            </w:r>
            <w:r w:rsidRPr="005907D3">
              <w:rPr>
                <w:rFonts w:ascii="IBM Plex Sans Light" w:hAnsi="IBM Plex Sans Light"/>
                <w:color w:val="3D7FE0" w:themeColor="accent1"/>
                <w:sz w:val="14"/>
                <w:szCs w:val="24"/>
              </w:rPr>
              <w:br/>
              <w:t>passing rent</w:t>
            </w:r>
          </w:p>
        </w:tc>
      </w:tr>
      <w:tr w:rsidR="006B43AF" w:rsidRPr="005907D3" w14:paraId="49A84D65" w14:textId="77777777" w:rsidTr="004203CD">
        <w:trPr>
          <w:trHeight w:val="20"/>
        </w:trPr>
        <w:tc>
          <w:tcPr>
            <w:tcW w:w="5245" w:type="dxa"/>
            <w:tcBorders>
              <w:top w:val="single" w:sz="2" w:space="0" w:color="3D7FE0" w:themeColor="accent1"/>
            </w:tcBorders>
            <w:shd w:val="clear" w:color="auto" w:fill="auto"/>
            <w:vAlign w:val="bottom"/>
          </w:tcPr>
          <w:p w14:paraId="3AFFBE56"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Inditex</w:t>
            </w:r>
          </w:p>
        </w:tc>
        <w:tc>
          <w:tcPr>
            <w:tcW w:w="1276" w:type="dxa"/>
            <w:tcBorders>
              <w:top w:val="single" w:sz="2" w:space="0" w:color="3D7FE0" w:themeColor="accent1"/>
            </w:tcBorders>
            <w:shd w:val="clear" w:color="auto" w:fill="auto"/>
            <w:vAlign w:val="bottom"/>
          </w:tcPr>
          <w:p w14:paraId="0035AA5C"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tcBorders>
              <w:top w:val="single" w:sz="2" w:space="0" w:color="3D7FE0" w:themeColor="accent1"/>
            </w:tcBorders>
            <w:shd w:val="clear" w:color="auto" w:fill="auto"/>
            <w:vAlign w:val="bottom"/>
          </w:tcPr>
          <w:p w14:paraId="25D538FB"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tcBorders>
              <w:top w:val="single" w:sz="2" w:space="0" w:color="3D7FE0" w:themeColor="accent1"/>
            </w:tcBorders>
            <w:shd w:val="clear" w:color="auto" w:fill="auto"/>
            <w:vAlign w:val="bottom"/>
          </w:tcPr>
          <w:p w14:paraId="7FF7B971"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9.6</w:t>
            </w:r>
          </w:p>
        </w:tc>
        <w:tc>
          <w:tcPr>
            <w:tcW w:w="992" w:type="dxa"/>
            <w:tcBorders>
              <w:top w:val="single" w:sz="2" w:space="0" w:color="3D7FE0" w:themeColor="accent1"/>
            </w:tcBorders>
            <w:shd w:val="clear" w:color="auto" w:fill="auto"/>
            <w:vAlign w:val="bottom"/>
          </w:tcPr>
          <w:p w14:paraId="5D921E7B"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5.1</w:t>
            </w:r>
          </w:p>
        </w:tc>
      </w:tr>
      <w:tr w:rsidR="006B43AF" w:rsidRPr="005907D3" w14:paraId="0C0FB2F9" w14:textId="77777777" w:rsidTr="004203CD">
        <w:trPr>
          <w:trHeight w:val="20"/>
        </w:trPr>
        <w:tc>
          <w:tcPr>
            <w:tcW w:w="5245" w:type="dxa"/>
            <w:shd w:val="clear" w:color="auto" w:fill="auto"/>
            <w:vAlign w:val="bottom"/>
          </w:tcPr>
          <w:p w14:paraId="58ADE711"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H&amp;M</w:t>
            </w:r>
          </w:p>
        </w:tc>
        <w:tc>
          <w:tcPr>
            <w:tcW w:w="1276" w:type="dxa"/>
            <w:shd w:val="clear" w:color="auto" w:fill="auto"/>
            <w:vAlign w:val="bottom"/>
          </w:tcPr>
          <w:p w14:paraId="22866D0A"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1A11E7C2"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3BF4D01F"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3.8</w:t>
            </w:r>
          </w:p>
        </w:tc>
        <w:tc>
          <w:tcPr>
            <w:tcW w:w="992" w:type="dxa"/>
            <w:shd w:val="clear" w:color="auto" w:fill="auto"/>
            <w:vAlign w:val="bottom"/>
          </w:tcPr>
          <w:p w14:paraId="39E11C83"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2.0</w:t>
            </w:r>
          </w:p>
        </w:tc>
      </w:tr>
      <w:tr w:rsidR="006B43AF" w:rsidRPr="005907D3" w14:paraId="400839A5" w14:textId="77777777" w:rsidTr="004203CD">
        <w:trPr>
          <w:trHeight w:val="20"/>
        </w:trPr>
        <w:tc>
          <w:tcPr>
            <w:tcW w:w="5245" w:type="dxa"/>
            <w:shd w:val="clear" w:color="auto" w:fill="auto"/>
            <w:vAlign w:val="bottom"/>
          </w:tcPr>
          <w:p w14:paraId="5151A4B7"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Next</w:t>
            </w:r>
          </w:p>
        </w:tc>
        <w:tc>
          <w:tcPr>
            <w:tcW w:w="1276" w:type="dxa"/>
            <w:shd w:val="clear" w:color="auto" w:fill="auto"/>
            <w:vAlign w:val="bottom"/>
          </w:tcPr>
          <w:p w14:paraId="4428EB67"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70DBAFF9"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36FAD054"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3.4</w:t>
            </w:r>
          </w:p>
        </w:tc>
        <w:tc>
          <w:tcPr>
            <w:tcW w:w="992" w:type="dxa"/>
            <w:shd w:val="clear" w:color="auto" w:fill="auto"/>
            <w:vAlign w:val="bottom"/>
          </w:tcPr>
          <w:p w14:paraId="4F16FD82"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1.8</w:t>
            </w:r>
          </w:p>
        </w:tc>
      </w:tr>
      <w:tr w:rsidR="006B43AF" w:rsidRPr="005907D3" w14:paraId="7A6208AE" w14:textId="77777777" w:rsidTr="004203CD">
        <w:trPr>
          <w:trHeight w:val="20"/>
        </w:trPr>
        <w:tc>
          <w:tcPr>
            <w:tcW w:w="5245" w:type="dxa"/>
            <w:shd w:val="clear" w:color="auto" w:fill="auto"/>
            <w:vAlign w:val="bottom"/>
          </w:tcPr>
          <w:p w14:paraId="16984B7B"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Selfridges</w:t>
            </w:r>
          </w:p>
        </w:tc>
        <w:tc>
          <w:tcPr>
            <w:tcW w:w="1276" w:type="dxa"/>
            <w:shd w:val="clear" w:color="auto" w:fill="auto"/>
            <w:vAlign w:val="bottom"/>
          </w:tcPr>
          <w:p w14:paraId="6B946DAC"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38403DF8"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13962EE2"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3.2</w:t>
            </w:r>
          </w:p>
        </w:tc>
        <w:tc>
          <w:tcPr>
            <w:tcW w:w="992" w:type="dxa"/>
            <w:shd w:val="clear" w:color="auto" w:fill="auto"/>
            <w:vAlign w:val="bottom"/>
          </w:tcPr>
          <w:p w14:paraId="03915B23"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1.7</w:t>
            </w:r>
          </w:p>
        </w:tc>
      </w:tr>
      <w:tr w:rsidR="006B43AF" w:rsidRPr="005907D3" w14:paraId="0C2EB438" w14:textId="77777777" w:rsidTr="004203CD">
        <w:trPr>
          <w:trHeight w:val="20"/>
        </w:trPr>
        <w:tc>
          <w:tcPr>
            <w:tcW w:w="5245" w:type="dxa"/>
            <w:shd w:val="clear" w:color="auto" w:fill="auto"/>
            <w:vAlign w:val="bottom"/>
          </w:tcPr>
          <w:p w14:paraId="1DF3F98B"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River Island</w:t>
            </w:r>
          </w:p>
        </w:tc>
        <w:tc>
          <w:tcPr>
            <w:tcW w:w="1276" w:type="dxa"/>
            <w:shd w:val="clear" w:color="auto" w:fill="auto"/>
            <w:vAlign w:val="bottom"/>
          </w:tcPr>
          <w:p w14:paraId="33B90690"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5C3D9D93"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42D2F362"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2.8</w:t>
            </w:r>
          </w:p>
        </w:tc>
        <w:tc>
          <w:tcPr>
            <w:tcW w:w="992" w:type="dxa"/>
            <w:shd w:val="clear" w:color="auto" w:fill="auto"/>
            <w:vAlign w:val="bottom"/>
          </w:tcPr>
          <w:p w14:paraId="31CFCE6B"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1.5</w:t>
            </w:r>
          </w:p>
        </w:tc>
      </w:tr>
      <w:tr w:rsidR="006B43AF" w:rsidRPr="005907D3" w14:paraId="7B7438F3" w14:textId="77777777" w:rsidTr="004203CD">
        <w:trPr>
          <w:trHeight w:val="20"/>
        </w:trPr>
        <w:tc>
          <w:tcPr>
            <w:tcW w:w="5245" w:type="dxa"/>
            <w:shd w:val="clear" w:color="auto" w:fill="auto"/>
            <w:vAlign w:val="bottom"/>
          </w:tcPr>
          <w:p w14:paraId="76C4778C"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CK Hutchison Holdings</w:t>
            </w:r>
          </w:p>
        </w:tc>
        <w:tc>
          <w:tcPr>
            <w:tcW w:w="1276" w:type="dxa"/>
            <w:shd w:val="clear" w:color="auto" w:fill="auto"/>
            <w:vAlign w:val="bottom"/>
          </w:tcPr>
          <w:p w14:paraId="6A2B2055"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13843B11"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52DABB04"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2.6</w:t>
            </w:r>
          </w:p>
        </w:tc>
        <w:tc>
          <w:tcPr>
            <w:tcW w:w="992" w:type="dxa"/>
            <w:shd w:val="clear" w:color="auto" w:fill="auto"/>
            <w:vAlign w:val="bottom"/>
          </w:tcPr>
          <w:p w14:paraId="2C455901"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1.4</w:t>
            </w:r>
          </w:p>
        </w:tc>
      </w:tr>
      <w:tr w:rsidR="006B43AF" w:rsidRPr="005907D3" w14:paraId="38825755" w14:textId="77777777" w:rsidTr="004203CD">
        <w:trPr>
          <w:trHeight w:val="20"/>
        </w:trPr>
        <w:tc>
          <w:tcPr>
            <w:tcW w:w="5245" w:type="dxa"/>
            <w:shd w:val="clear" w:color="auto" w:fill="auto"/>
            <w:vAlign w:val="bottom"/>
          </w:tcPr>
          <w:p w14:paraId="34B9CE52"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JD Sports</w:t>
            </w:r>
          </w:p>
        </w:tc>
        <w:tc>
          <w:tcPr>
            <w:tcW w:w="1276" w:type="dxa"/>
            <w:shd w:val="clear" w:color="auto" w:fill="auto"/>
            <w:vAlign w:val="bottom"/>
          </w:tcPr>
          <w:p w14:paraId="572CE5FF"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7080490A"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047F09EF"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2.5</w:t>
            </w:r>
          </w:p>
        </w:tc>
        <w:tc>
          <w:tcPr>
            <w:tcW w:w="992" w:type="dxa"/>
            <w:shd w:val="clear" w:color="auto" w:fill="auto"/>
            <w:vAlign w:val="bottom"/>
          </w:tcPr>
          <w:p w14:paraId="18ACCEB3"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1.4</w:t>
            </w:r>
          </w:p>
        </w:tc>
      </w:tr>
      <w:tr w:rsidR="006B43AF" w:rsidRPr="005907D3" w14:paraId="4A24162F" w14:textId="77777777" w:rsidTr="004203CD">
        <w:trPr>
          <w:trHeight w:val="20"/>
        </w:trPr>
        <w:tc>
          <w:tcPr>
            <w:tcW w:w="5245" w:type="dxa"/>
            <w:shd w:val="clear" w:color="auto" w:fill="auto"/>
            <w:vAlign w:val="bottom"/>
          </w:tcPr>
          <w:p w14:paraId="7B5D3B75"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Boots</w:t>
            </w:r>
          </w:p>
        </w:tc>
        <w:tc>
          <w:tcPr>
            <w:tcW w:w="1276" w:type="dxa"/>
            <w:shd w:val="clear" w:color="auto" w:fill="auto"/>
            <w:vAlign w:val="bottom"/>
          </w:tcPr>
          <w:p w14:paraId="42BEE0B4"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2FBF3421"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553FAE8D"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2.3</w:t>
            </w:r>
          </w:p>
        </w:tc>
        <w:tc>
          <w:tcPr>
            <w:tcW w:w="992" w:type="dxa"/>
            <w:shd w:val="clear" w:color="auto" w:fill="auto"/>
            <w:vAlign w:val="bottom"/>
          </w:tcPr>
          <w:p w14:paraId="07184BE4"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1.2</w:t>
            </w:r>
          </w:p>
        </w:tc>
      </w:tr>
      <w:tr w:rsidR="006B43AF" w:rsidRPr="005907D3" w14:paraId="75FBF630" w14:textId="77777777" w:rsidTr="004203CD">
        <w:trPr>
          <w:trHeight w:val="20"/>
        </w:trPr>
        <w:tc>
          <w:tcPr>
            <w:tcW w:w="5245" w:type="dxa"/>
            <w:shd w:val="clear" w:color="auto" w:fill="auto"/>
            <w:vAlign w:val="bottom"/>
          </w:tcPr>
          <w:p w14:paraId="6573F74B"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lastRenderedPageBreak/>
              <w:t>Watches of Switzerland</w:t>
            </w:r>
          </w:p>
        </w:tc>
        <w:tc>
          <w:tcPr>
            <w:tcW w:w="1276" w:type="dxa"/>
            <w:shd w:val="clear" w:color="auto" w:fill="auto"/>
            <w:vAlign w:val="bottom"/>
          </w:tcPr>
          <w:p w14:paraId="2CE2D981"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shd w:val="clear" w:color="auto" w:fill="auto"/>
            <w:vAlign w:val="bottom"/>
          </w:tcPr>
          <w:p w14:paraId="15BEFADD"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shd w:val="clear" w:color="auto" w:fill="auto"/>
            <w:vAlign w:val="bottom"/>
          </w:tcPr>
          <w:p w14:paraId="5AAAB152"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2.2</w:t>
            </w:r>
          </w:p>
        </w:tc>
        <w:tc>
          <w:tcPr>
            <w:tcW w:w="992" w:type="dxa"/>
            <w:shd w:val="clear" w:color="auto" w:fill="auto"/>
            <w:vAlign w:val="bottom"/>
          </w:tcPr>
          <w:p w14:paraId="61618A1A"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1.2</w:t>
            </w:r>
          </w:p>
        </w:tc>
      </w:tr>
      <w:tr w:rsidR="006B43AF" w:rsidRPr="005907D3" w14:paraId="39A29AD6" w14:textId="77777777" w:rsidTr="004203CD">
        <w:trPr>
          <w:trHeight w:val="20"/>
        </w:trPr>
        <w:tc>
          <w:tcPr>
            <w:tcW w:w="5245" w:type="dxa"/>
            <w:tcBorders>
              <w:bottom w:val="single" w:sz="2" w:space="0" w:color="3D7FE0" w:themeColor="accent1"/>
            </w:tcBorders>
            <w:shd w:val="clear" w:color="auto" w:fill="auto"/>
            <w:vAlign w:val="bottom"/>
          </w:tcPr>
          <w:p w14:paraId="5E207B1C" w14:textId="77777777" w:rsidR="006B43AF" w:rsidRPr="002D7F06" w:rsidRDefault="006B43AF" w:rsidP="004203CD">
            <w:pPr>
              <w:pStyle w:val="TablesTText"/>
              <w:spacing w:line="276" w:lineRule="auto"/>
              <w:rPr>
                <w:rFonts w:ascii="IBM Plex Sans Light" w:hAnsi="IBM Plex Sans Light"/>
                <w:sz w:val="18"/>
                <w:szCs w:val="18"/>
              </w:rPr>
            </w:pPr>
            <w:r w:rsidRPr="002D7F06">
              <w:rPr>
                <w:rFonts w:ascii="IBM Plex Sans Light" w:hAnsi="IBM Plex Sans Light"/>
                <w:sz w:val="18"/>
                <w:szCs w:val="18"/>
              </w:rPr>
              <w:t xml:space="preserve">Signet </w:t>
            </w:r>
          </w:p>
        </w:tc>
        <w:tc>
          <w:tcPr>
            <w:tcW w:w="1276" w:type="dxa"/>
            <w:tcBorders>
              <w:bottom w:val="single" w:sz="2" w:space="0" w:color="3D7FE0" w:themeColor="accent1"/>
            </w:tcBorders>
            <w:shd w:val="clear" w:color="auto" w:fill="auto"/>
            <w:vAlign w:val="bottom"/>
          </w:tcPr>
          <w:p w14:paraId="1F1FBBC3" w14:textId="77777777" w:rsidR="006B43AF" w:rsidRPr="005907D3" w:rsidRDefault="006B43AF" w:rsidP="004203CD">
            <w:pPr>
              <w:pStyle w:val="TablesTText"/>
              <w:spacing w:line="276" w:lineRule="auto"/>
              <w:rPr>
                <w:rFonts w:ascii="IBM Plex Sans Light" w:hAnsi="IBM Plex Sans Light"/>
                <w:sz w:val="18"/>
                <w:szCs w:val="24"/>
              </w:rPr>
            </w:pPr>
          </w:p>
        </w:tc>
        <w:tc>
          <w:tcPr>
            <w:tcW w:w="1303" w:type="dxa"/>
            <w:tcBorders>
              <w:bottom w:val="single" w:sz="2" w:space="0" w:color="3D7FE0" w:themeColor="accent1"/>
            </w:tcBorders>
            <w:shd w:val="clear" w:color="auto" w:fill="auto"/>
            <w:vAlign w:val="bottom"/>
          </w:tcPr>
          <w:p w14:paraId="1F72F279" w14:textId="77777777" w:rsidR="006B43AF" w:rsidRPr="005907D3" w:rsidRDefault="006B43AF" w:rsidP="004203CD">
            <w:pPr>
              <w:pStyle w:val="TablesTText"/>
              <w:spacing w:line="276" w:lineRule="auto"/>
              <w:rPr>
                <w:rFonts w:ascii="IBM Plex Sans Light" w:hAnsi="IBM Plex Sans Light"/>
                <w:sz w:val="18"/>
                <w:szCs w:val="24"/>
              </w:rPr>
            </w:pPr>
          </w:p>
        </w:tc>
        <w:tc>
          <w:tcPr>
            <w:tcW w:w="1134" w:type="dxa"/>
            <w:tcBorders>
              <w:bottom w:val="single" w:sz="2" w:space="0" w:color="3D7FE0" w:themeColor="accent1"/>
            </w:tcBorders>
            <w:shd w:val="clear" w:color="auto" w:fill="auto"/>
            <w:vAlign w:val="bottom"/>
          </w:tcPr>
          <w:p w14:paraId="17CCBC24"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2.1</w:t>
            </w:r>
          </w:p>
        </w:tc>
        <w:tc>
          <w:tcPr>
            <w:tcW w:w="992" w:type="dxa"/>
            <w:tcBorders>
              <w:bottom w:val="single" w:sz="2" w:space="0" w:color="3D7FE0" w:themeColor="accent1"/>
            </w:tcBorders>
            <w:shd w:val="clear" w:color="auto" w:fill="auto"/>
            <w:vAlign w:val="bottom"/>
          </w:tcPr>
          <w:p w14:paraId="245A5CB0"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1.1</w:t>
            </w:r>
          </w:p>
        </w:tc>
      </w:tr>
      <w:tr w:rsidR="006B43AF" w:rsidRPr="005907D3" w14:paraId="75F45220" w14:textId="77777777" w:rsidTr="004203CD">
        <w:trPr>
          <w:trHeight w:val="20"/>
        </w:trPr>
        <w:tc>
          <w:tcPr>
            <w:tcW w:w="5245" w:type="dxa"/>
            <w:tcBorders>
              <w:top w:val="single" w:sz="2" w:space="0" w:color="3D7FE0" w:themeColor="accent1"/>
              <w:bottom w:val="single" w:sz="8" w:space="0" w:color="3D7FE0" w:themeColor="accent1"/>
            </w:tcBorders>
            <w:shd w:val="clear" w:color="auto" w:fill="auto"/>
            <w:vAlign w:val="bottom"/>
          </w:tcPr>
          <w:p w14:paraId="2E1AE7D9" w14:textId="77777777" w:rsidR="006B43AF" w:rsidRPr="005B09DA" w:rsidRDefault="006B43AF" w:rsidP="004203CD">
            <w:pPr>
              <w:pStyle w:val="TablesTText"/>
              <w:spacing w:line="276" w:lineRule="auto"/>
              <w:rPr>
                <w:rFonts w:ascii="IBM Plex Sans Light" w:hAnsi="IBM Plex Sans Light"/>
                <w:b/>
                <w:bCs/>
                <w:sz w:val="18"/>
                <w:szCs w:val="24"/>
              </w:rPr>
            </w:pPr>
          </w:p>
        </w:tc>
        <w:tc>
          <w:tcPr>
            <w:tcW w:w="1276" w:type="dxa"/>
            <w:tcBorders>
              <w:top w:val="single" w:sz="2" w:space="0" w:color="3D7FE0" w:themeColor="accent1"/>
              <w:bottom w:val="single" w:sz="8" w:space="0" w:color="3D7FE0" w:themeColor="accent1"/>
            </w:tcBorders>
            <w:shd w:val="clear" w:color="auto" w:fill="auto"/>
            <w:vAlign w:val="bottom"/>
          </w:tcPr>
          <w:p w14:paraId="593D3D15" w14:textId="77777777" w:rsidR="006B43AF" w:rsidRPr="005907D3" w:rsidRDefault="006B43AF" w:rsidP="004203CD">
            <w:pPr>
              <w:pStyle w:val="TablesTTextBold"/>
              <w:spacing w:line="276" w:lineRule="auto"/>
              <w:rPr>
                <w:rFonts w:ascii="IBM Plex Sans Light" w:hAnsi="IBM Plex Sans Light"/>
                <w:b/>
                <w:sz w:val="18"/>
                <w:szCs w:val="24"/>
              </w:rPr>
            </w:pPr>
          </w:p>
        </w:tc>
        <w:tc>
          <w:tcPr>
            <w:tcW w:w="1303" w:type="dxa"/>
            <w:tcBorders>
              <w:top w:val="single" w:sz="2" w:space="0" w:color="3D7FE0" w:themeColor="accent1"/>
              <w:bottom w:val="single" w:sz="8" w:space="0" w:color="3D7FE0" w:themeColor="accent1"/>
            </w:tcBorders>
            <w:shd w:val="clear" w:color="auto" w:fill="auto"/>
            <w:vAlign w:val="bottom"/>
          </w:tcPr>
          <w:p w14:paraId="1D5D32E3" w14:textId="77777777" w:rsidR="006B43AF" w:rsidRPr="005907D3" w:rsidRDefault="006B43AF" w:rsidP="004203CD">
            <w:pPr>
              <w:pStyle w:val="TablesTTextBold"/>
              <w:spacing w:line="276" w:lineRule="auto"/>
              <w:rPr>
                <w:rFonts w:ascii="IBM Plex Sans Light" w:hAnsi="IBM Plex Sans Light"/>
                <w:b/>
                <w:sz w:val="18"/>
                <w:szCs w:val="24"/>
              </w:rPr>
            </w:pPr>
          </w:p>
        </w:tc>
        <w:tc>
          <w:tcPr>
            <w:tcW w:w="1134" w:type="dxa"/>
            <w:tcBorders>
              <w:top w:val="single" w:sz="2" w:space="0" w:color="3D7FE0" w:themeColor="accent1"/>
              <w:bottom w:val="single" w:sz="8" w:space="0" w:color="3D7FE0" w:themeColor="accent1"/>
            </w:tcBorders>
            <w:shd w:val="clear" w:color="auto" w:fill="auto"/>
            <w:vAlign w:val="bottom"/>
          </w:tcPr>
          <w:p w14:paraId="1B75E34B"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34.5</w:t>
            </w:r>
          </w:p>
        </w:tc>
        <w:tc>
          <w:tcPr>
            <w:tcW w:w="992" w:type="dxa"/>
            <w:tcBorders>
              <w:top w:val="single" w:sz="2" w:space="0" w:color="3D7FE0" w:themeColor="accent1"/>
              <w:bottom w:val="single" w:sz="8" w:space="0" w:color="3D7FE0" w:themeColor="accent1"/>
            </w:tcBorders>
            <w:shd w:val="clear" w:color="auto" w:fill="auto"/>
            <w:vAlign w:val="bottom"/>
          </w:tcPr>
          <w:p w14:paraId="149D69E6" w14:textId="77777777" w:rsidR="006B43AF" w:rsidRPr="002D7F06" w:rsidRDefault="006B43AF" w:rsidP="004203CD">
            <w:pPr>
              <w:pStyle w:val="TablesTFigures"/>
              <w:spacing w:line="276" w:lineRule="auto"/>
              <w:rPr>
                <w:rFonts w:ascii="IBM Plex Sans Medium" w:eastAsia="Chronicle Text G1" w:hAnsi="IBM Plex Sans Medium" w:cs="Chronicle Text G1"/>
                <w:b/>
                <w:color w:val="3D7FE0" w:themeColor="accent1"/>
                <w:sz w:val="18"/>
                <w:szCs w:val="18"/>
              </w:rPr>
            </w:pPr>
            <w:r w:rsidRPr="002D7F06">
              <w:rPr>
                <w:rFonts w:ascii="IBM Plex Sans Medium" w:eastAsia="Chronicle Text G1" w:hAnsi="IBM Plex Sans Medium" w:cs="Chronicle Text G1"/>
                <w:b/>
                <w:color w:val="3D7FE0" w:themeColor="accent1"/>
                <w:sz w:val="18"/>
                <w:szCs w:val="18"/>
              </w:rPr>
              <w:t>18.4</w:t>
            </w:r>
          </w:p>
        </w:tc>
      </w:tr>
    </w:tbl>
    <w:p w14:paraId="356F912D" w14:textId="616AB3FF" w:rsidR="006B43AF" w:rsidRDefault="006B43AF" w:rsidP="006B43AF">
      <w:pPr>
        <w:spacing w:after="0" w:line="240" w:lineRule="auto"/>
        <w:rPr>
          <w:rFonts w:ascii="IBM Plex Sans Light" w:hAnsi="IBM Plex Sans Light"/>
          <w:b/>
          <w:szCs w:val="16"/>
        </w:rPr>
      </w:pPr>
    </w:p>
    <w:p w14:paraId="14213F58"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Cost ratio</w:t>
      </w:r>
    </w:p>
    <w:p w14:paraId="5A87DE32" w14:textId="77777777" w:rsidR="006B43AF" w:rsidRPr="00280504" w:rsidRDefault="006B43AF" w:rsidP="006B43AF">
      <w:pPr>
        <w:rPr>
          <w:rFonts w:ascii="IBM Plex Sans Light" w:hAnsi="IBM Plex Sans Light"/>
          <w:b/>
        </w:rPr>
      </w:pPr>
      <w:r w:rsidRPr="00280504">
        <w:rPr>
          <w:rFonts w:ascii="IBM Plex Sans Light" w:hAnsi="IBM Plex Sans Light"/>
          <w:b/>
        </w:rPr>
        <w:t>Table 8</w:t>
      </w:r>
    </w:p>
    <w:tbl>
      <w:tblPr>
        <w:tblW w:w="9922" w:type="dxa"/>
        <w:tblLayout w:type="fixed"/>
        <w:tblCellMar>
          <w:left w:w="0" w:type="dxa"/>
          <w:right w:w="0" w:type="dxa"/>
        </w:tblCellMar>
        <w:tblLook w:val="04A0" w:firstRow="1" w:lastRow="0" w:firstColumn="1" w:lastColumn="0" w:noHBand="0" w:noVBand="1"/>
      </w:tblPr>
      <w:tblGrid>
        <w:gridCol w:w="6663"/>
        <w:gridCol w:w="424"/>
        <w:gridCol w:w="709"/>
        <w:gridCol w:w="1134"/>
        <w:gridCol w:w="992"/>
      </w:tblGrid>
      <w:tr w:rsidR="006B43AF" w:rsidRPr="005907D3" w14:paraId="1E061396" w14:textId="77777777" w:rsidTr="004203CD">
        <w:trPr>
          <w:trHeight w:val="20"/>
        </w:trPr>
        <w:tc>
          <w:tcPr>
            <w:tcW w:w="6663" w:type="dxa"/>
            <w:tcBorders>
              <w:bottom w:val="single" w:sz="2" w:space="0" w:color="3D7FE0" w:themeColor="accent1"/>
            </w:tcBorders>
            <w:vAlign w:val="bottom"/>
          </w:tcPr>
          <w:p w14:paraId="29640C17" w14:textId="77777777" w:rsidR="006B43AF" w:rsidRPr="005907D3" w:rsidRDefault="006B43AF" w:rsidP="004203CD">
            <w:pPr>
              <w:pStyle w:val="TablesTColHeadsLeft"/>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 xml:space="preserve">Proportionally consolidated </w:t>
            </w:r>
          </w:p>
        </w:tc>
        <w:tc>
          <w:tcPr>
            <w:tcW w:w="424" w:type="dxa"/>
            <w:tcBorders>
              <w:bottom w:val="single" w:sz="2" w:space="0" w:color="3D7FE0" w:themeColor="accent1"/>
            </w:tcBorders>
            <w:vAlign w:val="bottom"/>
          </w:tcPr>
          <w:p w14:paraId="7E30A5B8" w14:textId="77777777" w:rsidR="006B43AF" w:rsidRPr="005907D3" w:rsidRDefault="006B43AF" w:rsidP="004203CD">
            <w:pPr>
              <w:pStyle w:val="TablesTColHeadsLeft"/>
              <w:jc w:val="center"/>
              <w:rPr>
                <w:rFonts w:ascii="IBM Plex Sans Light" w:hAnsi="IBM Plex Sans Light"/>
                <w:b/>
                <w:bCs/>
                <w:color w:val="3D7FE0" w:themeColor="accent1"/>
                <w:sz w:val="14"/>
                <w:szCs w:val="24"/>
              </w:rPr>
            </w:pPr>
          </w:p>
        </w:tc>
        <w:tc>
          <w:tcPr>
            <w:tcW w:w="709" w:type="dxa"/>
            <w:tcBorders>
              <w:bottom w:val="single" w:sz="2" w:space="0" w:color="3D7FE0" w:themeColor="accent1"/>
            </w:tcBorders>
          </w:tcPr>
          <w:p w14:paraId="2B527C1B" w14:textId="77777777" w:rsidR="006B43AF" w:rsidRPr="005907D3" w:rsidRDefault="006B43AF" w:rsidP="004203CD">
            <w:pPr>
              <w:pStyle w:val="TablesTColHeadsBold"/>
              <w:rPr>
                <w:rFonts w:ascii="IBM Plex Sans Light" w:hAnsi="IBM Plex Sans Light"/>
                <w:color w:val="auto"/>
              </w:rPr>
            </w:pPr>
          </w:p>
        </w:tc>
        <w:tc>
          <w:tcPr>
            <w:tcW w:w="1134" w:type="dxa"/>
            <w:tcBorders>
              <w:bottom w:val="single" w:sz="2" w:space="0" w:color="3D7FE0" w:themeColor="accent1"/>
            </w:tcBorders>
            <w:shd w:val="clear" w:color="auto" w:fill="auto"/>
          </w:tcPr>
          <w:p w14:paraId="166FDFD1"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p>
          <w:p w14:paraId="5CEA1DC1"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£m</w:t>
            </w:r>
          </w:p>
        </w:tc>
        <w:tc>
          <w:tcPr>
            <w:tcW w:w="992" w:type="dxa"/>
            <w:tcBorders>
              <w:bottom w:val="single" w:sz="2" w:space="0" w:color="3D7FE0" w:themeColor="accent1"/>
            </w:tcBorders>
            <w:shd w:val="clear" w:color="auto" w:fill="auto"/>
            <w:vAlign w:val="bottom"/>
          </w:tcPr>
          <w:p w14:paraId="1C84643C"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202</w:t>
            </w:r>
            <w:r>
              <w:rPr>
                <w:rFonts w:ascii="IBM Plex Sans Light" w:hAnsi="IBM Plex Sans Light"/>
                <w:sz w:val="14"/>
                <w:szCs w:val="24"/>
              </w:rPr>
              <w:t>2</w:t>
            </w:r>
            <w:r w:rsidRPr="005907D3">
              <w:rPr>
                <w:rFonts w:ascii="IBM Plex Sans Light" w:hAnsi="IBM Plex Sans Light"/>
                <w:sz w:val="14"/>
                <w:szCs w:val="24"/>
              </w:rPr>
              <w:br/>
              <w:t>£m</w:t>
            </w:r>
          </w:p>
        </w:tc>
      </w:tr>
      <w:tr w:rsidR="006B43AF" w:rsidRPr="005907D3" w14:paraId="46D23379" w14:textId="77777777" w:rsidTr="004203CD">
        <w:trPr>
          <w:trHeight w:val="255"/>
        </w:trPr>
        <w:tc>
          <w:tcPr>
            <w:tcW w:w="6663" w:type="dxa"/>
            <w:tcBorders>
              <w:top w:val="single" w:sz="2" w:space="0" w:color="3D7FE0" w:themeColor="accent1"/>
            </w:tcBorders>
            <w:vAlign w:val="bottom"/>
          </w:tcPr>
          <w:p w14:paraId="6A2A2766" w14:textId="77777777" w:rsidR="006B43AF" w:rsidRPr="005907D3" w:rsidRDefault="006B43AF" w:rsidP="004203CD">
            <w:pPr>
              <w:pStyle w:val="TablesTText"/>
              <w:spacing w:line="276" w:lineRule="auto"/>
              <w:rPr>
                <w:rFonts w:ascii="IBM Plex Sans Light" w:hAnsi="IBM Plex Sans Light"/>
                <w:sz w:val="18"/>
                <w:szCs w:val="24"/>
              </w:rPr>
            </w:pPr>
            <w:r>
              <w:rPr>
                <w:rFonts w:ascii="IBM Plex Sans Light" w:hAnsi="IBM Plex Sans Light"/>
                <w:sz w:val="18"/>
                <w:szCs w:val="24"/>
              </w:rPr>
              <w:t>Adjusted g</w:t>
            </w:r>
            <w:r w:rsidRPr="005907D3">
              <w:rPr>
                <w:rFonts w:ascii="IBM Plex Sans Light" w:hAnsi="IBM Plex Sans Light"/>
                <w:sz w:val="18"/>
                <w:szCs w:val="24"/>
              </w:rPr>
              <w:t>ross administration costs</w:t>
            </w:r>
          </w:p>
        </w:tc>
        <w:tc>
          <w:tcPr>
            <w:tcW w:w="424" w:type="dxa"/>
            <w:tcBorders>
              <w:top w:val="single" w:sz="2" w:space="0" w:color="3D7FE0" w:themeColor="accent1"/>
            </w:tcBorders>
            <w:vAlign w:val="bottom"/>
          </w:tcPr>
          <w:p w14:paraId="6E365FF3"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2" w:space="0" w:color="3D7FE0" w:themeColor="accent1"/>
            </w:tcBorders>
            <w:vAlign w:val="bottom"/>
          </w:tcPr>
          <w:p w14:paraId="370BDCB2" w14:textId="77777777" w:rsidR="006B43AF" w:rsidRPr="005907D3" w:rsidDel="002B65C1" w:rsidRDefault="006B43AF" w:rsidP="004203CD">
            <w:pPr>
              <w:pStyle w:val="TablesTFigureBold"/>
              <w:spacing w:line="276" w:lineRule="auto"/>
              <w:rPr>
                <w:rFonts w:ascii="IBM Plex Sans Light" w:hAnsi="IBM Plex Sans Light"/>
                <w:bCs/>
                <w:sz w:val="18"/>
                <w:szCs w:val="24"/>
              </w:rPr>
            </w:pPr>
          </w:p>
        </w:tc>
        <w:tc>
          <w:tcPr>
            <w:tcW w:w="1134" w:type="dxa"/>
            <w:tcBorders>
              <w:top w:val="single" w:sz="2" w:space="0" w:color="3D7FE0" w:themeColor="accent1"/>
            </w:tcBorders>
            <w:shd w:val="clear" w:color="auto" w:fill="auto"/>
          </w:tcPr>
          <w:p w14:paraId="5D1E7666" w14:textId="77777777" w:rsidR="006B43AF" w:rsidRPr="005439CC"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51.5</w:t>
            </w:r>
          </w:p>
        </w:tc>
        <w:tc>
          <w:tcPr>
            <w:tcW w:w="992" w:type="dxa"/>
            <w:tcBorders>
              <w:top w:val="single" w:sz="2" w:space="0" w:color="3D7FE0" w:themeColor="accent1"/>
            </w:tcBorders>
            <w:shd w:val="clear" w:color="auto" w:fill="auto"/>
          </w:tcPr>
          <w:p w14:paraId="74B109CF" w14:textId="77777777" w:rsidR="006B43AF" w:rsidRPr="005907D3"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59.8</w:t>
            </w:r>
          </w:p>
        </w:tc>
      </w:tr>
      <w:tr w:rsidR="006B43AF" w:rsidRPr="005907D3" w14:paraId="57EB8FF2" w14:textId="77777777" w:rsidTr="004203CD">
        <w:trPr>
          <w:trHeight w:val="255"/>
        </w:trPr>
        <w:tc>
          <w:tcPr>
            <w:tcW w:w="6663" w:type="dxa"/>
            <w:tcBorders>
              <w:bottom w:val="single" w:sz="2" w:space="0" w:color="3D7FE0" w:themeColor="accent1"/>
            </w:tcBorders>
            <w:vAlign w:val="bottom"/>
          </w:tcPr>
          <w:p w14:paraId="090D8ABE" w14:textId="77777777" w:rsidR="006B43AF" w:rsidRPr="005907D3" w:rsidRDefault="006B43AF" w:rsidP="004203CD">
            <w:pPr>
              <w:pStyle w:val="TablesTText"/>
              <w:spacing w:line="276" w:lineRule="auto"/>
              <w:rPr>
                <w:rFonts w:ascii="IBM Plex Sans Light" w:hAnsi="IBM Plex Sans Light"/>
                <w:sz w:val="18"/>
                <w:szCs w:val="24"/>
              </w:rPr>
            </w:pPr>
            <w:r>
              <w:rPr>
                <w:rFonts w:ascii="IBM Plex Sans Light" w:hAnsi="IBM Plex Sans Light"/>
                <w:sz w:val="18"/>
                <w:szCs w:val="24"/>
              </w:rPr>
              <w:t>Business transformation costs</w:t>
            </w:r>
          </w:p>
        </w:tc>
        <w:tc>
          <w:tcPr>
            <w:tcW w:w="424" w:type="dxa"/>
            <w:tcBorders>
              <w:bottom w:val="single" w:sz="2" w:space="0" w:color="3D7FE0" w:themeColor="accent1"/>
            </w:tcBorders>
            <w:vAlign w:val="bottom"/>
          </w:tcPr>
          <w:p w14:paraId="67905012" w14:textId="77777777" w:rsidR="006B43AF" w:rsidRPr="00A04876" w:rsidRDefault="006B43AF" w:rsidP="004203CD">
            <w:pPr>
              <w:pStyle w:val="13TBRightCopyIndentTableBack"/>
              <w:spacing w:line="276" w:lineRule="auto"/>
              <w:jc w:val="center"/>
              <w:rPr>
                <w:sz w:val="16"/>
                <w:szCs w:val="16"/>
              </w:rPr>
            </w:pPr>
          </w:p>
        </w:tc>
        <w:tc>
          <w:tcPr>
            <w:tcW w:w="709" w:type="dxa"/>
            <w:tcBorders>
              <w:bottom w:val="single" w:sz="2" w:space="0" w:color="3D7FE0" w:themeColor="accent1"/>
            </w:tcBorders>
            <w:vAlign w:val="bottom"/>
          </w:tcPr>
          <w:p w14:paraId="265CB375" w14:textId="77777777" w:rsidR="006B43AF" w:rsidRPr="005907D3" w:rsidRDefault="006B43AF" w:rsidP="004203CD">
            <w:pPr>
              <w:pStyle w:val="TablesTFigureBold"/>
              <w:spacing w:line="276" w:lineRule="auto"/>
              <w:jc w:val="center"/>
              <w:rPr>
                <w:rFonts w:ascii="IBM Plex Sans Light" w:hAnsi="IBM Plex Sans Light"/>
                <w:bCs/>
                <w:sz w:val="18"/>
                <w:szCs w:val="24"/>
              </w:rPr>
            </w:pPr>
            <w:r>
              <w:rPr>
                <w:rFonts w:ascii="IBM Plex Sans Light" w:hAnsi="IBM Plex Sans Light"/>
                <w:bCs/>
                <w:sz w:val="18"/>
                <w:szCs w:val="24"/>
              </w:rPr>
              <w:t>A</w:t>
            </w:r>
          </w:p>
        </w:tc>
        <w:tc>
          <w:tcPr>
            <w:tcW w:w="1134" w:type="dxa"/>
            <w:tcBorders>
              <w:bottom w:val="single" w:sz="2" w:space="0" w:color="3D7FE0" w:themeColor="accent1"/>
            </w:tcBorders>
            <w:shd w:val="clear" w:color="auto" w:fill="auto"/>
          </w:tcPr>
          <w:p w14:paraId="4D5D5F14" w14:textId="77777777" w:rsidR="006B43AF" w:rsidRPr="005439CC"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13.2</w:t>
            </w:r>
          </w:p>
        </w:tc>
        <w:tc>
          <w:tcPr>
            <w:tcW w:w="992" w:type="dxa"/>
            <w:tcBorders>
              <w:bottom w:val="single" w:sz="2" w:space="0" w:color="3D7FE0" w:themeColor="accent1"/>
            </w:tcBorders>
            <w:shd w:val="clear" w:color="auto" w:fill="auto"/>
          </w:tcPr>
          <w:p w14:paraId="1215585D" w14:textId="77777777" w:rsidR="006B43AF" w:rsidRPr="001F5942"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5.1</w:t>
            </w:r>
          </w:p>
        </w:tc>
      </w:tr>
      <w:tr w:rsidR="006B43AF" w:rsidRPr="005907D3" w14:paraId="62FE46E6" w14:textId="77777777" w:rsidTr="004203CD">
        <w:trPr>
          <w:trHeight w:val="255"/>
        </w:trPr>
        <w:tc>
          <w:tcPr>
            <w:tcW w:w="6663" w:type="dxa"/>
            <w:tcBorders>
              <w:top w:val="single" w:sz="2" w:space="0" w:color="3D7FE0" w:themeColor="accent1"/>
            </w:tcBorders>
            <w:vAlign w:val="bottom"/>
          </w:tcPr>
          <w:p w14:paraId="02FE1E8B" w14:textId="77777777" w:rsidR="006B43AF" w:rsidRDefault="006B43AF" w:rsidP="004203CD">
            <w:pPr>
              <w:pStyle w:val="TablesTText"/>
              <w:spacing w:line="276" w:lineRule="auto"/>
              <w:rPr>
                <w:rFonts w:ascii="IBM Plex Sans Light" w:hAnsi="IBM Plex Sans Light"/>
                <w:sz w:val="18"/>
                <w:szCs w:val="24"/>
              </w:rPr>
            </w:pPr>
            <w:r>
              <w:rPr>
                <w:rFonts w:ascii="IBM Plex Sans Light" w:hAnsi="IBM Plex Sans Light"/>
                <w:sz w:val="18"/>
                <w:szCs w:val="24"/>
              </w:rPr>
              <w:t>Gross administration costs</w:t>
            </w:r>
          </w:p>
        </w:tc>
        <w:tc>
          <w:tcPr>
            <w:tcW w:w="424" w:type="dxa"/>
            <w:tcBorders>
              <w:top w:val="single" w:sz="2" w:space="0" w:color="3D7FE0" w:themeColor="accent1"/>
            </w:tcBorders>
            <w:vAlign w:val="bottom"/>
          </w:tcPr>
          <w:p w14:paraId="69E675FD"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2" w:space="0" w:color="3D7FE0" w:themeColor="accent1"/>
            </w:tcBorders>
            <w:vAlign w:val="bottom"/>
          </w:tcPr>
          <w:p w14:paraId="49494D4B" w14:textId="77777777" w:rsidR="006B43AF" w:rsidRPr="005907D3" w:rsidRDefault="006B43AF" w:rsidP="004203CD">
            <w:pPr>
              <w:pStyle w:val="TablesTFigureBold"/>
              <w:spacing w:line="276" w:lineRule="auto"/>
              <w:rPr>
                <w:rFonts w:ascii="IBM Plex Sans Light" w:hAnsi="IBM Plex Sans Light"/>
                <w:bCs/>
                <w:sz w:val="18"/>
                <w:szCs w:val="24"/>
              </w:rPr>
            </w:pPr>
          </w:p>
        </w:tc>
        <w:tc>
          <w:tcPr>
            <w:tcW w:w="1134" w:type="dxa"/>
            <w:tcBorders>
              <w:top w:val="single" w:sz="2" w:space="0" w:color="3D7FE0" w:themeColor="accent1"/>
            </w:tcBorders>
            <w:shd w:val="clear" w:color="auto" w:fill="auto"/>
          </w:tcPr>
          <w:p w14:paraId="1C2713AF" w14:textId="77777777" w:rsidR="006B43AF" w:rsidRPr="005439CC"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64.7</w:t>
            </w:r>
          </w:p>
        </w:tc>
        <w:tc>
          <w:tcPr>
            <w:tcW w:w="992" w:type="dxa"/>
            <w:tcBorders>
              <w:top w:val="single" w:sz="2" w:space="0" w:color="3D7FE0" w:themeColor="accent1"/>
            </w:tcBorders>
            <w:shd w:val="clear" w:color="auto" w:fill="auto"/>
          </w:tcPr>
          <w:p w14:paraId="222AE775" w14:textId="77777777" w:rsidR="006B43AF" w:rsidRPr="001F5942"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64.9</w:t>
            </w:r>
          </w:p>
        </w:tc>
      </w:tr>
      <w:tr w:rsidR="006B43AF" w:rsidRPr="005907D3" w14:paraId="6B3F888E" w14:textId="77777777" w:rsidTr="004203CD">
        <w:trPr>
          <w:trHeight w:val="255"/>
        </w:trPr>
        <w:tc>
          <w:tcPr>
            <w:tcW w:w="6663" w:type="dxa"/>
            <w:vAlign w:val="bottom"/>
          </w:tcPr>
          <w:p w14:paraId="4FF2C5C3" w14:textId="77777777" w:rsidR="006B43AF" w:rsidRPr="005907D3" w:rsidRDefault="006B43AF" w:rsidP="004203CD">
            <w:pPr>
              <w:pStyle w:val="TablesTText"/>
              <w:spacing w:line="276" w:lineRule="auto"/>
              <w:rPr>
                <w:rFonts w:ascii="IBM Plex Sans Light" w:hAnsi="IBM Plex Sans Light"/>
                <w:sz w:val="18"/>
                <w:szCs w:val="24"/>
              </w:rPr>
            </w:pPr>
            <w:r w:rsidRPr="005907D3">
              <w:rPr>
                <w:rFonts w:ascii="IBM Plex Sans Light" w:hAnsi="IBM Plex Sans Light"/>
                <w:sz w:val="18"/>
                <w:szCs w:val="24"/>
              </w:rPr>
              <w:t>Property fee income</w:t>
            </w:r>
          </w:p>
        </w:tc>
        <w:tc>
          <w:tcPr>
            <w:tcW w:w="424" w:type="dxa"/>
            <w:vAlign w:val="bottom"/>
          </w:tcPr>
          <w:p w14:paraId="2F99AC5F" w14:textId="77777777" w:rsidR="006B43AF" w:rsidRPr="00A04876" w:rsidRDefault="006B43AF" w:rsidP="004203CD">
            <w:pPr>
              <w:pStyle w:val="13TBRightCopyIndentTableBack"/>
              <w:spacing w:line="276" w:lineRule="auto"/>
              <w:jc w:val="center"/>
              <w:rPr>
                <w:sz w:val="16"/>
                <w:szCs w:val="16"/>
              </w:rPr>
            </w:pPr>
          </w:p>
        </w:tc>
        <w:tc>
          <w:tcPr>
            <w:tcW w:w="709" w:type="dxa"/>
          </w:tcPr>
          <w:p w14:paraId="35768CE2" w14:textId="77777777" w:rsidR="006B43AF" w:rsidRPr="005907D3" w:rsidDel="002B65C1" w:rsidRDefault="006B43AF" w:rsidP="004203CD">
            <w:pPr>
              <w:pStyle w:val="TablesTFigureBold"/>
              <w:spacing w:line="276" w:lineRule="auto"/>
              <w:rPr>
                <w:rFonts w:ascii="IBM Plex Sans Light" w:hAnsi="IBM Plex Sans Light"/>
                <w:bCs/>
                <w:sz w:val="18"/>
                <w:szCs w:val="24"/>
              </w:rPr>
            </w:pPr>
          </w:p>
        </w:tc>
        <w:tc>
          <w:tcPr>
            <w:tcW w:w="1134" w:type="dxa"/>
            <w:shd w:val="clear" w:color="auto" w:fill="auto"/>
            <w:vAlign w:val="center"/>
          </w:tcPr>
          <w:p w14:paraId="200781CF" w14:textId="77777777" w:rsidR="006B43AF" w:rsidRPr="005439CC" w:rsidRDefault="006B43AF" w:rsidP="004203CD">
            <w:pPr>
              <w:pStyle w:val="TablesTFigureBrackets"/>
              <w:spacing w:line="276" w:lineRule="auto"/>
              <w:rPr>
                <w:rFonts w:ascii="IBM Plex Sans Medium" w:hAnsi="IBM Plex Sans Medium"/>
                <w:b/>
                <w:color w:val="3D7FE0" w:themeColor="accent1"/>
                <w:sz w:val="18"/>
                <w:szCs w:val="24"/>
              </w:rPr>
            </w:pPr>
            <w:r w:rsidRPr="005439CC">
              <w:rPr>
                <w:rFonts w:ascii="IBM Plex Sans Medium" w:hAnsi="IBM Plex Sans Medium"/>
                <w:b/>
                <w:color w:val="3D7FE0" w:themeColor="accent1"/>
                <w:sz w:val="18"/>
                <w:szCs w:val="24"/>
              </w:rPr>
              <w:t>(</w:t>
            </w:r>
            <w:r>
              <w:rPr>
                <w:rFonts w:ascii="IBM Plex Sans Medium" w:hAnsi="IBM Plex Sans Medium"/>
                <w:b/>
                <w:color w:val="3D7FE0" w:themeColor="accent1"/>
                <w:sz w:val="18"/>
                <w:szCs w:val="24"/>
              </w:rPr>
              <w:t>8.4</w:t>
            </w:r>
            <w:r w:rsidRPr="005439CC">
              <w:rPr>
                <w:rFonts w:ascii="IBM Plex Sans Medium" w:hAnsi="IBM Plex Sans Medium"/>
                <w:b/>
                <w:color w:val="3D7FE0" w:themeColor="accent1"/>
                <w:sz w:val="18"/>
                <w:szCs w:val="24"/>
              </w:rPr>
              <w:t>)</w:t>
            </w:r>
          </w:p>
        </w:tc>
        <w:tc>
          <w:tcPr>
            <w:tcW w:w="992" w:type="dxa"/>
            <w:shd w:val="clear" w:color="auto" w:fill="auto"/>
            <w:vAlign w:val="center"/>
          </w:tcPr>
          <w:p w14:paraId="5B0BB585" w14:textId="77777777" w:rsidR="006B43AF" w:rsidRPr="005907D3" w:rsidRDefault="006B43AF" w:rsidP="004203CD">
            <w:pPr>
              <w:pStyle w:val="TablesTFigureBrackets"/>
              <w:spacing w:line="276" w:lineRule="auto"/>
              <w:rPr>
                <w:rFonts w:ascii="IBM Plex Sans Light" w:hAnsi="IBM Plex Sans Light"/>
                <w:bCs/>
                <w:sz w:val="18"/>
                <w:szCs w:val="24"/>
              </w:rPr>
            </w:pPr>
            <w:r w:rsidRPr="005B09DA">
              <w:rPr>
                <w:rFonts w:ascii="IBM Plex Sans Light" w:hAnsi="IBM Plex Sans Light"/>
                <w:bCs/>
                <w:sz w:val="18"/>
                <w:szCs w:val="24"/>
              </w:rPr>
              <w:t>(</w:t>
            </w:r>
            <w:r>
              <w:rPr>
                <w:rFonts w:ascii="IBM Plex Sans Light" w:hAnsi="IBM Plex Sans Light"/>
                <w:bCs/>
                <w:sz w:val="18"/>
                <w:szCs w:val="24"/>
              </w:rPr>
              <w:t>11.5</w:t>
            </w:r>
            <w:r w:rsidRPr="005B09DA">
              <w:rPr>
                <w:rFonts w:ascii="IBM Plex Sans Light" w:hAnsi="IBM Plex Sans Light"/>
                <w:bCs/>
                <w:sz w:val="18"/>
                <w:szCs w:val="24"/>
              </w:rPr>
              <w:t>)</w:t>
            </w:r>
          </w:p>
        </w:tc>
      </w:tr>
      <w:tr w:rsidR="006B43AF" w:rsidRPr="005907D3" w14:paraId="1E27EADC" w14:textId="77777777" w:rsidTr="004203CD">
        <w:trPr>
          <w:trHeight w:val="255"/>
        </w:trPr>
        <w:tc>
          <w:tcPr>
            <w:tcW w:w="6663" w:type="dxa"/>
            <w:vAlign w:val="bottom"/>
          </w:tcPr>
          <w:p w14:paraId="7F66963C" w14:textId="77777777" w:rsidR="006B43AF" w:rsidRPr="005907D3" w:rsidRDefault="006B43AF" w:rsidP="004203CD">
            <w:pPr>
              <w:pStyle w:val="TablesTText"/>
              <w:spacing w:line="276" w:lineRule="auto"/>
              <w:rPr>
                <w:rFonts w:ascii="IBM Plex Sans Light" w:hAnsi="IBM Plex Sans Light"/>
                <w:sz w:val="18"/>
                <w:szCs w:val="24"/>
              </w:rPr>
            </w:pPr>
            <w:r w:rsidRPr="005907D3">
              <w:rPr>
                <w:rFonts w:ascii="IBM Plex Sans Light" w:hAnsi="IBM Plex Sans Light"/>
                <w:sz w:val="18"/>
                <w:szCs w:val="24"/>
              </w:rPr>
              <w:t>Management fee receivable</w:t>
            </w:r>
          </w:p>
        </w:tc>
        <w:tc>
          <w:tcPr>
            <w:tcW w:w="424" w:type="dxa"/>
            <w:vAlign w:val="bottom"/>
          </w:tcPr>
          <w:p w14:paraId="1D9E764F" w14:textId="77777777" w:rsidR="006B43AF" w:rsidRPr="00A04876" w:rsidRDefault="006B43AF" w:rsidP="004203CD">
            <w:pPr>
              <w:pStyle w:val="13TBRightCopyIndentTableBack"/>
              <w:spacing w:line="276" w:lineRule="auto"/>
              <w:jc w:val="center"/>
              <w:rPr>
                <w:sz w:val="16"/>
                <w:szCs w:val="16"/>
              </w:rPr>
            </w:pPr>
          </w:p>
        </w:tc>
        <w:tc>
          <w:tcPr>
            <w:tcW w:w="709" w:type="dxa"/>
          </w:tcPr>
          <w:p w14:paraId="632D6793" w14:textId="77777777" w:rsidR="006B43AF" w:rsidRPr="005907D3" w:rsidDel="002B65C1" w:rsidRDefault="006B43AF" w:rsidP="004203CD">
            <w:pPr>
              <w:pStyle w:val="TablesTFigureBold"/>
              <w:spacing w:line="276" w:lineRule="auto"/>
              <w:rPr>
                <w:rFonts w:ascii="IBM Plex Sans Light" w:hAnsi="IBM Plex Sans Light"/>
                <w:bCs/>
                <w:sz w:val="18"/>
                <w:szCs w:val="24"/>
              </w:rPr>
            </w:pPr>
          </w:p>
        </w:tc>
        <w:tc>
          <w:tcPr>
            <w:tcW w:w="1134" w:type="dxa"/>
            <w:shd w:val="clear" w:color="auto" w:fill="auto"/>
            <w:vAlign w:val="center"/>
          </w:tcPr>
          <w:p w14:paraId="5FEB590D" w14:textId="77777777" w:rsidR="006B43AF" w:rsidRPr="005439CC" w:rsidRDefault="006B43AF" w:rsidP="004203CD">
            <w:pPr>
              <w:pStyle w:val="TablesTFigureBrackets"/>
              <w:spacing w:line="276" w:lineRule="auto"/>
              <w:rPr>
                <w:rFonts w:ascii="IBM Plex Sans Medium" w:hAnsi="IBM Plex Sans Medium"/>
                <w:b/>
                <w:color w:val="3D7FE0" w:themeColor="accent1"/>
                <w:sz w:val="18"/>
                <w:szCs w:val="24"/>
              </w:rPr>
            </w:pPr>
            <w:r w:rsidRPr="005439CC">
              <w:rPr>
                <w:rFonts w:ascii="IBM Plex Sans Medium" w:hAnsi="IBM Plex Sans Medium"/>
                <w:b/>
                <w:color w:val="3D7FE0" w:themeColor="accent1"/>
                <w:sz w:val="18"/>
                <w:szCs w:val="24"/>
              </w:rPr>
              <w:t>(</w:t>
            </w:r>
            <w:r>
              <w:rPr>
                <w:rFonts w:ascii="IBM Plex Sans Medium" w:hAnsi="IBM Plex Sans Medium"/>
                <w:b/>
                <w:color w:val="3D7FE0" w:themeColor="accent1"/>
                <w:sz w:val="18"/>
                <w:szCs w:val="24"/>
              </w:rPr>
              <w:t>6</w:t>
            </w:r>
            <w:r w:rsidRPr="005439CC">
              <w:rPr>
                <w:rFonts w:ascii="IBM Plex Sans Medium" w:hAnsi="IBM Plex Sans Medium"/>
                <w:b/>
                <w:color w:val="3D7FE0" w:themeColor="accent1"/>
                <w:sz w:val="18"/>
                <w:szCs w:val="24"/>
              </w:rPr>
              <w:t>.5)</w:t>
            </w:r>
          </w:p>
        </w:tc>
        <w:tc>
          <w:tcPr>
            <w:tcW w:w="992" w:type="dxa"/>
            <w:shd w:val="clear" w:color="auto" w:fill="auto"/>
            <w:vAlign w:val="center"/>
          </w:tcPr>
          <w:p w14:paraId="62C44214" w14:textId="77777777" w:rsidR="006B43AF" w:rsidRPr="005907D3" w:rsidRDefault="006B43AF" w:rsidP="004203CD">
            <w:pPr>
              <w:pStyle w:val="TablesTFigureBrackets"/>
              <w:spacing w:line="276" w:lineRule="auto"/>
              <w:rPr>
                <w:rFonts w:ascii="IBM Plex Sans Light" w:hAnsi="IBM Plex Sans Light"/>
                <w:bCs/>
                <w:sz w:val="18"/>
                <w:szCs w:val="24"/>
              </w:rPr>
            </w:pPr>
            <w:r w:rsidRPr="005B09DA">
              <w:rPr>
                <w:rFonts w:ascii="IBM Plex Sans Light" w:hAnsi="IBM Plex Sans Light"/>
                <w:bCs/>
                <w:sz w:val="18"/>
                <w:szCs w:val="24"/>
              </w:rPr>
              <w:t>(</w:t>
            </w:r>
            <w:r>
              <w:rPr>
                <w:rFonts w:ascii="IBM Plex Sans Light" w:hAnsi="IBM Plex Sans Light"/>
                <w:bCs/>
                <w:sz w:val="18"/>
                <w:szCs w:val="24"/>
              </w:rPr>
              <w:t>5.5</w:t>
            </w:r>
            <w:r w:rsidRPr="005B09DA">
              <w:rPr>
                <w:rFonts w:ascii="IBM Plex Sans Light" w:hAnsi="IBM Plex Sans Light"/>
                <w:bCs/>
                <w:sz w:val="18"/>
                <w:szCs w:val="24"/>
              </w:rPr>
              <w:t>)</w:t>
            </w:r>
          </w:p>
        </w:tc>
      </w:tr>
      <w:tr w:rsidR="006B43AF" w:rsidRPr="005907D3" w14:paraId="07D4914C" w14:textId="77777777" w:rsidTr="004203CD">
        <w:trPr>
          <w:trHeight w:val="255"/>
        </w:trPr>
        <w:tc>
          <w:tcPr>
            <w:tcW w:w="6663" w:type="dxa"/>
            <w:vAlign w:val="bottom"/>
          </w:tcPr>
          <w:p w14:paraId="7C69BB7B" w14:textId="77777777" w:rsidR="006B43AF" w:rsidRPr="005907D3" w:rsidRDefault="006B43AF" w:rsidP="004203CD">
            <w:pPr>
              <w:pStyle w:val="TablesTText"/>
              <w:spacing w:line="276" w:lineRule="auto"/>
              <w:rPr>
                <w:rFonts w:ascii="IBM Plex Sans Light" w:hAnsi="IBM Plex Sans Light"/>
                <w:sz w:val="18"/>
                <w:szCs w:val="24"/>
              </w:rPr>
            </w:pPr>
            <w:r w:rsidRPr="005907D3">
              <w:rPr>
                <w:rFonts w:ascii="IBM Plex Sans Light" w:hAnsi="IBM Plex Sans Light"/>
                <w:sz w:val="18"/>
                <w:szCs w:val="24"/>
              </w:rPr>
              <w:t>Property outgoings</w:t>
            </w:r>
          </w:p>
        </w:tc>
        <w:tc>
          <w:tcPr>
            <w:tcW w:w="424" w:type="dxa"/>
            <w:vAlign w:val="bottom"/>
          </w:tcPr>
          <w:p w14:paraId="7F4A5B69" w14:textId="77777777" w:rsidR="006B43AF" w:rsidRPr="00A04876" w:rsidRDefault="006B43AF" w:rsidP="004203CD">
            <w:pPr>
              <w:pStyle w:val="13TBRightCopyIndentTableBack"/>
              <w:spacing w:line="276" w:lineRule="auto"/>
              <w:jc w:val="center"/>
              <w:rPr>
                <w:sz w:val="16"/>
                <w:szCs w:val="16"/>
              </w:rPr>
            </w:pPr>
          </w:p>
        </w:tc>
        <w:tc>
          <w:tcPr>
            <w:tcW w:w="709" w:type="dxa"/>
          </w:tcPr>
          <w:p w14:paraId="62A1C38D" w14:textId="77777777" w:rsidR="006B43AF" w:rsidRPr="005907D3" w:rsidDel="002B65C1" w:rsidRDefault="006B43AF" w:rsidP="004203CD">
            <w:pPr>
              <w:pStyle w:val="TablesTFigureBold"/>
              <w:spacing w:line="276" w:lineRule="auto"/>
              <w:rPr>
                <w:rFonts w:ascii="IBM Plex Sans Light" w:hAnsi="IBM Plex Sans Light"/>
                <w:bCs/>
                <w:sz w:val="18"/>
                <w:szCs w:val="24"/>
              </w:rPr>
            </w:pPr>
          </w:p>
        </w:tc>
        <w:tc>
          <w:tcPr>
            <w:tcW w:w="1134" w:type="dxa"/>
            <w:shd w:val="clear" w:color="auto" w:fill="auto"/>
            <w:vAlign w:val="center"/>
          </w:tcPr>
          <w:p w14:paraId="72D7F487" w14:textId="77777777" w:rsidR="006B43AF" w:rsidRPr="005439CC" w:rsidRDefault="006B43AF" w:rsidP="004203CD">
            <w:pPr>
              <w:pStyle w:val="TablesTFigureBold"/>
              <w:spacing w:line="276" w:lineRule="auto"/>
              <w:rPr>
                <w:rFonts w:ascii="IBM Plex Sans Medium" w:hAnsi="IBM Plex Sans Medium"/>
                <w:b/>
                <w:color w:val="3D7FE0" w:themeColor="accent1"/>
                <w:sz w:val="18"/>
                <w:szCs w:val="24"/>
              </w:rPr>
            </w:pPr>
            <w:r w:rsidRPr="005439CC">
              <w:rPr>
                <w:rFonts w:ascii="IBM Plex Sans Medium" w:hAnsi="IBM Plex Sans Medium"/>
                <w:b/>
                <w:color w:val="3D7FE0" w:themeColor="accent1"/>
                <w:sz w:val="18"/>
                <w:szCs w:val="24"/>
              </w:rPr>
              <w:t>39.1</w:t>
            </w:r>
          </w:p>
        </w:tc>
        <w:tc>
          <w:tcPr>
            <w:tcW w:w="992" w:type="dxa"/>
            <w:shd w:val="clear" w:color="auto" w:fill="auto"/>
            <w:vAlign w:val="center"/>
          </w:tcPr>
          <w:p w14:paraId="61CCC5FE" w14:textId="77777777" w:rsidR="006B43AF" w:rsidRPr="005907D3"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39.1</w:t>
            </w:r>
          </w:p>
        </w:tc>
      </w:tr>
      <w:tr w:rsidR="006B43AF" w:rsidRPr="005907D3" w14:paraId="5DBF1511" w14:textId="77777777" w:rsidTr="004203CD">
        <w:trPr>
          <w:trHeight w:val="255"/>
        </w:trPr>
        <w:tc>
          <w:tcPr>
            <w:tcW w:w="6663" w:type="dxa"/>
            <w:tcBorders>
              <w:bottom w:val="single" w:sz="2" w:space="0" w:color="3D7FE0" w:themeColor="accent1"/>
            </w:tcBorders>
            <w:vAlign w:val="bottom"/>
          </w:tcPr>
          <w:p w14:paraId="00D6B2EE" w14:textId="77777777" w:rsidR="006B43AF" w:rsidRPr="005907D3" w:rsidRDefault="006B43AF" w:rsidP="004203CD">
            <w:pPr>
              <w:pStyle w:val="TablesTText"/>
              <w:spacing w:line="276" w:lineRule="auto"/>
              <w:rPr>
                <w:rFonts w:ascii="IBM Plex Sans Light" w:hAnsi="IBM Plex Sans Light"/>
                <w:sz w:val="18"/>
                <w:szCs w:val="24"/>
              </w:rPr>
            </w:pPr>
            <w:r w:rsidRPr="005907D3">
              <w:rPr>
                <w:rFonts w:ascii="IBM Plex Sans Light" w:hAnsi="IBM Plex Sans Light"/>
                <w:sz w:val="18"/>
                <w:szCs w:val="24"/>
              </w:rPr>
              <w:t>Less inclusive lease costs recovered through rent</w:t>
            </w:r>
          </w:p>
        </w:tc>
        <w:tc>
          <w:tcPr>
            <w:tcW w:w="424" w:type="dxa"/>
            <w:tcBorders>
              <w:bottom w:val="single" w:sz="2" w:space="0" w:color="3D7FE0" w:themeColor="accent1"/>
            </w:tcBorders>
            <w:vAlign w:val="bottom"/>
          </w:tcPr>
          <w:p w14:paraId="479B0F48" w14:textId="77777777" w:rsidR="006B43AF" w:rsidRPr="00A04876" w:rsidRDefault="006B43AF" w:rsidP="004203CD">
            <w:pPr>
              <w:pStyle w:val="13TBRightCopyIndentTableBack"/>
              <w:spacing w:line="276" w:lineRule="auto"/>
              <w:jc w:val="center"/>
              <w:rPr>
                <w:sz w:val="16"/>
                <w:szCs w:val="16"/>
              </w:rPr>
            </w:pPr>
          </w:p>
        </w:tc>
        <w:tc>
          <w:tcPr>
            <w:tcW w:w="709" w:type="dxa"/>
            <w:tcBorders>
              <w:bottom w:val="single" w:sz="2" w:space="0" w:color="3D7FE0" w:themeColor="accent1"/>
            </w:tcBorders>
          </w:tcPr>
          <w:p w14:paraId="22A60730" w14:textId="77777777" w:rsidR="006B43AF" w:rsidRPr="005907D3" w:rsidDel="002B65C1" w:rsidRDefault="006B43AF" w:rsidP="004203CD">
            <w:pPr>
              <w:pStyle w:val="TablesTFigureBrackets"/>
              <w:spacing w:line="276" w:lineRule="auto"/>
              <w:rPr>
                <w:rFonts w:ascii="IBM Plex Sans Light" w:hAnsi="IBM Plex Sans Light"/>
                <w:bCs/>
                <w:sz w:val="18"/>
                <w:szCs w:val="24"/>
              </w:rPr>
            </w:pPr>
          </w:p>
        </w:tc>
        <w:tc>
          <w:tcPr>
            <w:tcW w:w="1134" w:type="dxa"/>
            <w:tcBorders>
              <w:bottom w:val="single" w:sz="2" w:space="0" w:color="3D7FE0" w:themeColor="accent1"/>
            </w:tcBorders>
            <w:shd w:val="clear" w:color="auto" w:fill="auto"/>
            <w:vAlign w:val="center"/>
          </w:tcPr>
          <w:p w14:paraId="566E8D0F" w14:textId="77777777" w:rsidR="006B43AF" w:rsidRPr="005439CC" w:rsidRDefault="006B43AF" w:rsidP="004203CD">
            <w:pPr>
              <w:pStyle w:val="TablesTFigureBrackets"/>
              <w:spacing w:line="276" w:lineRule="auto"/>
              <w:rPr>
                <w:rFonts w:ascii="IBM Plex Sans Medium" w:hAnsi="IBM Plex Sans Medium"/>
                <w:b/>
                <w:color w:val="3D7FE0" w:themeColor="accent1"/>
                <w:sz w:val="18"/>
                <w:szCs w:val="24"/>
              </w:rPr>
            </w:pPr>
            <w:r w:rsidRPr="005439CC">
              <w:rPr>
                <w:rFonts w:ascii="IBM Plex Sans Medium" w:hAnsi="IBM Plex Sans Medium"/>
                <w:b/>
                <w:color w:val="3D7FE0" w:themeColor="accent1"/>
                <w:sz w:val="18"/>
                <w:szCs w:val="24"/>
              </w:rPr>
              <w:t>(</w:t>
            </w:r>
            <w:r>
              <w:rPr>
                <w:rFonts w:ascii="IBM Plex Sans Medium" w:hAnsi="IBM Plex Sans Medium"/>
                <w:b/>
                <w:color w:val="3D7FE0" w:themeColor="accent1"/>
                <w:sz w:val="18"/>
                <w:szCs w:val="24"/>
              </w:rPr>
              <w:t>6.4</w:t>
            </w:r>
            <w:r w:rsidRPr="005439CC">
              <w:rPr>
                <w:rFonts w:ascii="IBM Plex Sans Medium" w:hAnsi="IBM Plex Sans Medium"/>
                <w:b/>
                <w:color w:val="3D7FE0" w:themeColor="accent1"/>
                <w:sz w:val="18"/>
                <w:szCs w:val="24"/>
              </w:rPr>
              <w:t>)</w:t>
            </w:r>
          </w:p>
        </w:tc>
        <w:tc>
          <w:tcPr>
            <w:tcW w:w="992" w:type="dxa"/>
            <w:tcBorders>
              <w:bottom w:val="single" w:sz="2" w:space="0" w:color="3D7FE0" w:themeColor="accent1"/>
            </w:tcBorders>
            <w:shd w:val="clear" w:color="auto" w:fill="auto"/>
            <w:vAlign w:val="center"/>
          </w:tcPr>
          <w:p w14:paraId="6A26635F" w14:textId="77777777" w:rsidR="006B43AF" w:rsidRPr="005907D3" w:rsidRDefault="006B43AF" w:rsidP="004203CD">
            <w:pPr>
              <w:pStyle w:val="TablesTFigureBrackets"/>
              <w:spacing w:line="276" w:lineRule="auto"/>
              <w:rPr>
                <w:rFonts w:ascii="IBM Plex Sans Light" w:hAnsi="IBM Plex Sans Light"/>
                <w:bCs/>
                <w:sz w:val="18"/>
                <w:szCs w:val="24"/>
              </w:rPr>
            </w:pPr>
            <w:r w:rsidRPr="005B09DA">
              <w:rPr>
                <w:rFonts w:ascii="IBM Plex Sans Light" w:hAnsi="IBM Plex Sans Light"/>
                <w:bCs/>
                <w:sz w:val="18"/>
                <w:szCs w:val="24"/>
              </w:rPr>
              <w:t>(</w:t>
            </w:r>
            <w:r>
              <w:rPr>
                <w:rFonts w:ascii="IBM Plex Sans Light" w:hAnsi="IBM Plex Sans Light"/>
                <w:bCs/>
                <w:sz w:val="18"/>
                <w:szCs w:val="24"/>
              </w:rPr>
              <w:t>9.1</w:t>
            </w:r>
            <w:r w:rsidRPr="005B09DA">
              <w:rPr>
                <w:rFonts w:ascii="IBM Plex Sans Light" w:hAnsi="IBM Plex Sans Light"/>
                <w:bCs/>
                <w:sz w:val="18"/>
                <w:szCs w:val="24"/>
              </w:rPr>
              <w:t>)</w:t>
            </w:r>
          </w:p>
        </w:tc>
      </w:tr>
      <w:tr w:rsidR="006B43AF" w:rsidRPr="005907D3" w14:paraId="3B7585C3" w14:textId="77777777" w:rsidTr="004203CD">
        <w:trPr>
          <w:trHeight w:val="255"/>
        </w:trPr>
        <w:tc>
          <w:tcPr>
            <w:tcW w:w="6663" w:type="dxa"/>
            <w:tcBorders>
              <w:top w:val="single" w:sz="2" w:space="0" w:color="3D7FE0" w:themeColor="accent1"/>
            </w:tcBorders>
            <w:vAlign w:val="bottom"/>
          </w:tcPr>
          <w:p w14:paraId="06981A0D" w14:textId="77777777" w:rsidR="006B43AF" w:rsidRPr="005907D3" w:rsidRDefault="006B43AF" w:rsidP="004203CD">
            <w:pPr>
              <w:pStyle w:val="TablesTFigureBold"/>
              <w:spacing w:line="276" w:lineRule="auto"/>
              <w:jc w:val="left"/>
              <w:rPr>
                <w:rFonts w:ascii="IBM Plex Sans Light" w:hAnsi="IBM Plex Sans Light"/>
                <w:b/>
                <w:sz w:val="18"/>
                <w:szCs w:val="24"/>
              </w:rPr>
            </w:pPr>
            <w:r w:rsidRPr="005907D3">
              <w:rPr>
                <w:rFonts w:ascii="IBM Plex Sans Light" w:hAnsi="IBM Plex Sans Light"/>
                <w:b/>
                <w:sz w:val="18"/>
                <w:szCs w:val="24"/>
              </w:rPr>
              <w:t xml:space="preserve">Total operating costs </w:t>
            </w:r>
          </w:p>
        </w:tc>
        <w:tc>
          <w:tcPr>
            <w:tcW w:w="424" w:type="dxa"/>
            <w:tcBorders>
              <w:top w:val="single" w:sz="2" w:space="0" w:color="3D7FE0" w:themeColor="accent1"/>
            </w:tcBorders>
            <w:vAlign w:val="bottom"/>
          </w:tcPr>
          <w:p w14:paraId="142C1547"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2" w:space="0" w:color="3D7FE0" w:themeColor="accent1"/>
            </w:tcBorders>
          </w:tcPr>
          <w:p w14:paraId="7A39133D" w14:textId="77777777" w:rsidR="006B43AF" w:rsidRPr="005907D3" w:rsidDel="002B65C1" w:rsidRDefault="006B43AF" w:rsidP="004203CD">
            <w:pPr>
              <w:pStyle w:val="TablesTFigureBold"/>
              <w:spacing w:line="276" w:lineRule="auto"/>
              <w:jc w:val="center"/>
              <w:rPr>
                <w:rFonts w:ascii="IBM Plex Sans Light" w:hAnsi="IBM Plex Sans Light"/>
                <w:bCs/>
                <w:sz w:val="18"/>
                <w:szCs w:val="24"/>
              </w:rPr>
            </w:pPr>
            <w:r>
              <w:rPr>
                <w:rFonts w:ascii="IBM Plex Sans Light" w:hAnsi="IBM Plex Sans Light"/>
                <w:bCs/>
                <w:sz w:val="18"/>
                <w:szCs w:val="24"/>
              </w:rPr>
              <w:t>B</w:t>
            </w:r>
          </w:p>
        </w:tc>
        <w:tc>
          <w:tcPr>
            <w:tcW w:w="1134" w:type="dxa"/>
            <w:tcBorders>
              <w:top w:val="single" w:sz="2" w:space="0" w:color="3D7FE0" w:themeColor="accent1"/>
            </w:tcBorders>
            <w:shd w:val="clear" w:color="auto" w:fill="auto"/>
            <w:vAlign w:val="bottom"/>
          </w:tcPr>
          <w:p w14:paraId="7AA4122D" w14:textId="77777777" w:rsidR="006B43AF" w:rsidRPr="005439CC"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82.5</w:t>
            </w:r>
          </w:p>
        </w:tc>
        <w:tc>
          <w:tcPr>
            <w:tcW w:w="992" w:type="dxa"/>
            <w:tcBorders>
              <w:top w:val="single" w:sz="2" w:space="0" w:color="3D7FE0" w:themeColor="accent1"/>
            </w:tcBorders>
            <w:shd w:val="clear" w:color="auto" w:fill="auto"/>
            <w:vAlign w:val="bottom"/>
          </w:tcPr>
          <w:p w14:paraId="035A54D8" w14:textId="77777777" w:rsidR="006B43AF" w:rsidRPr="005B09DA"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77.9</w:t>
            </w:r>
          </w:p>
        </w:tc>
      </w:tr>
      <w:tr w:rsidR="006B43AF" w:rsidRPr="005907D3" w14:paraId="695B4284" w14:textId="77777777" w:rsidTr="004203CD">
        <w:trPr>
          <w:trHeight w:val="255"/>
        </w:trPr>
        <w:tc>
          <w:tcPr>
            <w:tcW w:w="6663" w:type="dxa"/>
            <w:vAlign w:val="bottom"/>
          </w:tcPr>
          <w:p w14:paraId="26995286" w14:textId="77777777" w:rsidR="006B43AF" w:rsidRPr="005907D3" w:rsidRDefault="006B43AF" w:rsidP="004203CD">
            <w:pPr>
              <w:pStyle w:val="TablesTFigureBold"/>
              <w:spacing w:line="276" w:lineRule="auto"/>
              <w:jc w:val="left"/>
              <w:rPr>
                <w:rFonts w:ascii="IBM Plex Sans Light" w:hAnsi="IBM Plex Sans Light"/>
                <w:sz w:val="18"/>
                <w:szCs w:val="24"/>
              </w:rPr>
            </w:pPr>
            <w:r w:rsidRPr="005907D3">
              <w:rPr>
                <w:rFonts w:ascii="IBM Plex Sans Light" w:hAnsi="IBM Plex Sans Light"/>
                <w:sz w:val="18"/>
                <w:szCs w:val="24"/>
              </w:rPr>
              <w:t>Less vacancy costs</w:t>
            </w:r>
          </w:p>
        </w:tc>
        <w:tc>
          <w:tcPr>
            <w:tcW w:w="424" w:type="dxa"/>
            <w:vAlign w:val="bottom"/>
          </w:tcPr>
          <w:p w14:paraId="62FF997F" w14:textId="77777777" w:rsidR="006B43AF" w:rsidRPr="00A04876" w:rsidRDefault="006B43AF" w:rsidP="004203CD">
            <w:pPr>
              <w:pStyle w:val="13TBRightCopyIndentTableBack"/>
              <w:spacing w:line="276" w:lineRule="auto"/>
              <w:jc w:val="center"/>
              <w:rPr>
                <w:sz w:val="16"/>
                <w:szCs w:val="16"/>
              </w:rPr>
            </w:pPr>
          </w:p>
        </w:tc>
        <w:tc>
          <w:tcPr>
            <w:tcW w:w="709" w:type="dxa"/>
          </w:tcPr>
          <w:p w14:paraId="02B08D89" w14:textId="77777777" w:rsidR="006B43AF" w:rsidRPr="005907D3" w:rsidDel="002B65C1" w:rsidRDefault="006B43AF" w:rsidP="004203CD">
            <w:pPr>
              <w:pStyle w:val="TablesTFigureBold"/>
              <w:spacing w:line="276" w:lineRule="auto"/>
              <w:jc w:val="center"/>
              <w:rPr>
                <w:rFonts w:ascii="IBM Plex Sans Light" w:hAnsi="IBM Plex Sans Light"/>
                <w:bCs/>
                <w:sz w:val="18"/>
                <w:szCs w:val="24"/>
              </w:rPr>
            </w:pPr>
          </w:p>
        </w:tc>
        <w:tc>
          <w:tcPr>
            <w:tcW w:w="1134" w:type="dxa"/>
            <w:shd w:val="clear" w:color="auto" w:fill="auto"/>
            <w:vAlign w:val="center"/>
          </w:tcPr>
          <w:p w14:paraId="4A325F91" w14:textId="77777777" w:rsidR="006B43AF" w:rsidRPr="005439CC" w:rsidRDefault="006B43AF" w:rsidP="004203CD">
            <w:pPr>
              <w:pStyle w:val="TablesTFigureBrackets"/>
              <w:spacing w:line="276" w:lineRule="auto"/>
              <w:rPr>
                <w:rFonts w:ascii="IBM Plex Sans Medium" w:hAnsi="IBM Plex Sans Medium"/>
                <w:b/>
                <w:color w:val="3D7FE0" w:themeColor="accent1"/>
                <w:sz w:val="18"/>
                <w:szCs w:val="24"/>
              </w:rPr>
            </w:pPr>
            <w:r w:rsidRPr="005439CC">
              <w:rPr>
                <w:rFonts w:ascii="IBM Plex Sans Medium" w:hAnsi="IBM Plex Sans Medium"/>
                <w:b/>
                <w:color w:val="3D7FE0" w:themeColor="accent1"/>
                <w:sz w:val="18"/>
                <w:szCs w:val="24"/>
              </w:rPr>
              <w:t>(</w:t>
            </w:r>
            <w:r>
              <w:rPr>
                <w:rFonts w:ascii="IBM Plex Sans Medium" w:hAnsi="IBM Plex Sans Medium"/>
                <w:b/>
                <w:color w:val="3D7FE0" w:themeColor="accent1"/>
                <w:sz w:val="18"/>
                <w:szCs w:val="24"/>
              </w:rPr>
              <w:t>8.6</w:t>
            </w:r>
            <w:r w:rsidRPr="005439CC">
              <w:rPr>
                <w:rFonts w:ascii="IBM Plex Sans Medium" w:hAnsi="IBM Plex Sans Medium"/>
                <w:b/>
                <w:color w:val="3D7FE0" w:themeColor="accent1"/>
                <w:sz w:val="18"/>
                <w:szCs w:val="24"/>
              </w:rPr>
              <w:t>)</w:t>
            </w:r>
          </w:p>
        </w:tc>
        <w:tc>
          <w:tcPr>
            <w:tcW w:w="992" w:type="dxa"/>
            <w:shd w:val="clear" w:color="auto" w:fill="auto"/>
            <w:vAlign w:val="center"/>
          </w:tcPr>
          <w:p w14:paraId="09890A42" w14:textId="77777777" w:rsidR="006B43AF" w:rsidRPr="005907D3" w:rsidRDefault="006B43AF" w:rsidP="004203CD">
            <w:pPr>
              <w:pStyle w:val="TablesTFigureBrackets"/>
              <w:spacing w:line="276" w:lineRule="auto"/>
              <w:rPr>
                <w:rFonts w:ascii="IBM Plex Sans Light" w:hAnsi="IBM Plex Sans Light"/>
                <w:bCs/>
                <w:sz w:val="18"/>
                <w:szCs w:val="24"/>
              </w:rPr>
            </w:pPr>
            <w:r w:rsidRPr="005B09DA">
              <w:rPr>
                <w:rFonts w:ascii="IBM Plex Sans Light" w:hAnsi="IBM Plex Sans Light"/>
                <w:bCs/>
                <w:sz w:val="18"/>
                <w:szCs w:val="24"/>
              </w:rPr>
              <w:t>(12.</w:t>
            </w:r>
            <w:r>
              <w:rPr>
                <w:rFonts w:ascii="IBM Plex Sans Light" w:hAnsi="IBM Plex Sans Light"/>
                <w:bCs/>
                <w:sz w:val="18"/>
                <w:szCs w:val="24"/>
              </w:rPr>
              <w:t>3</w:t>
            </w:r>
            <w:r w:rsidRPr="005B09DA">
              <w:rPr>
                <w:rFonts w:ascii="IBM Plex Sans Light" w:hAnsi="IBM Plex Sans Light"/>
                <w:bCs/>
                <w:sz w:val="18"/>
                <w:szCs w:val="24"/>
              </w:rPr>
              <w:t>)</w:t>
            </w:r>
          </w:p>
        </w:tc>
      </w:tr>
      <w:tr w:rsidR="006B43AF" w:rsidRPr="005907D3" w14:paraId="111557AC" w14:textId="77777777" w:rsidTr="004203CD">
        <w:trPr>
          <w:trHeight w:val="255"/>
        </w:trPr>
        <w:tc>
          <w:tcPr>
            <w:tcW w:w="6663" w:type="dxa"/>
            <w:tcBorders>
              <w:top w:val="single" w:sz="2" w:space="0" w:color="3D7FE0" w:themeColor="accent1"/>
              <w:bottom w:val="single" w:sz="8" w:space="0" w:color="3D7FE0" w:themeColor="accent1"/>
            </w:tcBorders>
            <w:vAlign w:val="bottom"/>
          </w:tcPr>
          <w:p w14:paraId="6D13B929" w14:textId="77777777" w:rsidR="006B43AF" w:rsidRPr="005907D3" w:rsidRDefault="006B43AF" w:rsidP="004203CD">
            <w:pPr>
              <w:pStyle w:val="TablesTFigureBold"/>
              <w:spacing w:line="276" w:lineRule="auto"/>
              <w:jc w:val="left"/>
              <w:rPr>
                <w:rFonts w:ascii="IBM Plex Sans Light" w:hAnsi="IBM Plex Sans Light"/>
                <w:b/>
                <w:bCs/>
                <w:sz w:val="18"/>
                <w:szCs w:val="24"/>
              </w:rPr>
            </w:pPr>
            <w:r w:rsidRPr="005907D3">
              <w:rPr>
                <w:rFonts w:ascii="IBM Plex Sans Light" w:hAnsi="IBM Plex Sans Light"/>
                <w:b/>
                <w:sz w:val="18"/>
                <w:szCs w:val="24"/>
              </w:rPr>
              <w:t>Total operating costs excluding vacancy costs</w:t>
            </w:r>
            <w:r w:rsidRPr="005907D3">
              <w:rPr>
                <w:rFonts w:ascii="IBM Plex Sans Light" w:hAnsi="IBM Plex Sans Light"/>
                <w:b/>
                <w:bCs/>
                <w:sz w:val="18"/>
                <w:szCs w:val="24"/>
              </w:rPr>
              <w:t xml:space="preserve"> </w:t>
            </w:r>
          </w:p>
        </w:tc>
        <w:tc>
          <w:tcPr>
            <w:tcW w:w="424" w:type="dxa"/>
            <w:tcBorders>
              <w:top w:val="single" w:sz="2" w:space="0" w:color="3D7FE0" w:themeColor="accent1"/>
              <w:bottom w:val="single" w:sz="8" w:space="0" w:color="3D7FE0" w:themeColor="accent1"/>
            </w:tcBorders>
            <w:vAlign w:val="bottom"/>
          </w:tcPr>
          <w:p w14:paraId="28B359B9"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2" w:space="0" w:color="3D7FE0" w:themeColor="accent1"/>
              <w:bottom w:val="single" w:sz="8" w:space="0" w:color="3D7FE0" w:themeColor="accent1"/>
            </w:tcBorders>
          </w:tcPr>
          <w:p w14:paraId="0385E38E" w14:textId="77777777" w:rsidR="006B43AF" w:rsidRPr="005907D3" w:rsidDel="002B65C1" w:rsidRDefault="006B43AF" w:rsidP="004203CD">
            <w:pPr>
              <w:pStyle w:val="TablesTFigureBold"/>
              <w:spacing w:line="276" w:lineRule="auto"/>
              <w:jc w:val="center"/>
              <w:rPr>
                <w:rFonts w:ascii="IBM Plex Sans Light" w:hAnsi="IBM Plex Sans Light"/>
                <w:bCs/>
                <w:sz w:val="18"/>
                <w:szCs w:val="24"/>
              </w:rPr>
            </w:pPr>
            <w:r>
              <w:rPr>
                <w:rFonts w:ascii="IBM Plex Sans Light" w:hAnsi="IBM Plex Sans Light"/>
                <w:bCs/>
                <w:sz w:val="18"/>
                <w:szCs w:val="24"/>
              </w:rPr>
              <w:t>C</w:t>
            </w:r>
          </w:p>
        </w:tc>
        <w:tc>
          <w:tcPr>
            <w:tcW w:w="1134" w:type="dxa"/>
            <w:tcBorders>
              <w:top w:val="single" w:sz="2" w:space="0" w:color="3D7FE0" w:themeColor="accent1"/>
              <w:bottom w:val="single" w:sz="8" w:space="0" w:color="3D7FE0" w:themeColor="accent1"/>
            </w:tcBorders>
            <w:shd w:val="clear" w:color="auto" w:fill="auto"/>
            <w:vAlign w:val="bottom"/>
          </w:tcPr>
          <w:p w14:paraId="42776DCA" w14:textId="77777777" w:rsidR="006B43AF" w:rsidRPr="005439CC"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73.9</w:t>
            </w:r>
          </w:p>
        </w:tc>
        <w:tc>
          <w:tcPr>
            <w:tcW w:w="992" w:type="dxa"/>
            <w:tcBorders>
              <w:top w:val="single" w:sz="2" w:space="0" w:color="3D7FE0" w:themeColor="accent1"/>
              <w:bottom w:val="single" w:sz="8" w:space="0" w:color="3D7FE0" w:themeColor="accent1"/>
            </w:tcBorders>
            <w:shd w:val="clear" w:color="auto" w:fill="auto"/>
            <w:vAlign w:val="bottom"/>
          </w:tcPr>
          <w:p w14:paraId="7ABBC8DA" w14:textId="77777777" w:rsidR="006B43AF" w:rsidRPr="005B09DA"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65</w:t>
            </w:r>
            <w:r w:rsidRPr="001F5942">
              <w:rPr>
                <w:rFonts w:ascii="IBM Plex Sans Light" w:hAnsi="IBM Plex Sans Light"/>
                <w:bCs/>
                <w:sz w:val="18"/>
                <w:szCs w:val="24"/>
              </w:rPr>
              <w:t>.6</w:t>
            </w:r>
          </w:p>
        </w:tc>
      </w:tr>
      <w:tr w:rsidR="006B43AF" w:rsidRPr="005907D3" w14:paraId="34E0766B" w14:textId="77777777" w:rsidTr="004203CD">
        <w:trPr>
          <w:trHeight w:val="20"/>
        </w:trPr>
        <w:tc>
          <w:tcPr>
            <w:tcW w:w="6663" w:type="dxa"/>
            <w:tcBorders>
              <w:top w:val="single" w:sz="8" w:space="0" w:color="3D7FE0" w:themeColor="accent1"/>
            </w:tcBorders>
            <w:vAlign w:val="bottom"/>
          </w:tcPr>
          <w:p w14:paraId="7AD11A5A" w14:textId="77777777" w:rsidR="006B43AF" w:rsidRPr="005907D3" w:rsidRDefault="006B43AF" w:rsidP="004203CD">
            <w:pPr>
              <w:pStyle w:val="TablesTText"/>
              <w:rPr>
                <w:rFonts w:ascii="IBM Plex Sans Light" w:hAnsi="IBM Plex Sans Light"/>
                <w:sz w:val="18"/>
                <w:szCs w:val="24"/>
              </w:rPr>
            </w:pPr>
          </w:p>
        </w:tc>
        <w:tc>
          <w:tcPr>
            <w:tcW w:w="424" w:type="dxa"/>
            <w:tcBorders>
              <w:top w:val="single" w:sz="8" w:space="0" w:color="3D7FE0" w:themeColor="accent1"/>
            </w:tcBorders>
            <w:vAlign w:val="bottom"/>
          </w:tcPr>
          <w:p w14:paraId="42ECE9BA" w14:textId="77777777" w:rsidR="006B43AF" w:rsidRPr="00A04876" w:rsidRDefault="006B43AF" w:rsidP="004203CD">
            <w:pPr>
              <w:pStyle w:val="13TBRightCopyIndentTableBack"/>
              <w:jc w:val="center"/>
              <w:rPr>
                <w:sz w:val="16"/>
                <w:szCs w:val="16"/>
              </w:rPr>
            </w:pPr>
          </w:p>
        </w:tc>
        <w:tc>
          <w:tcPr>
            <w:tcW w:w="709" w:type="dxa"/>
            <w:tcBorders>
              <w:top w:val="single" w:sz="8" w:space="0" w:color="3D7FE0" w:themeColor="accent1"/>
            </w:tcBorders>
          </w:tcPr>
          <w:p w14:paraId="15CF684E" w14:textId="77777777" w:rsidR="006B43AF" w:rsidRPr="005907D3" w:rsidRDefault="006B43AF" w:rsidP="004203CD">
            <w:pPr>
              <w:pStyle w:val="TablesTFigureBold"/>
              <w:jc w:val="center"/>
              <w:rPr>
                <w:rFonts w:ascii="IBM Plex Sans Light" w:hAnsi="IBM Plex Sans Light"/>
                <w:bCs/>
                <w:sz w:val="18"/>
                <w:szCs w:val="24"/>
              </w:rPr>
            </w:pPr>
          </w:p>
        </w:tc>
        <w:tc>
          <w:tcPr>
            <w:tcW w:w="1134" w:type="dxa"/>
            <w:tcBorders>
              <w:top w:val="single" w:sz="8" w:space="0" w:color="3D7FE0" w:themeColor="accent1"/>
            </w:tcBorders>
            <w:shd w:val="clear" w:color="auto" w:fill="auto"/>
            <w:vAlign w:val="bottom"/>
          </w:tcPr>
          <w:p w14:paraId="50E122BF" w14:textId="77777777" w:rsidR="006B43AF" w:rsidRPr="005907D3" w:rsidRDefault="006B43AF" w:rsidP="004203CD">
            <w:pPr>
              <w:pStyle w:val="TablesTFigureBold"/>
              <w:spacing w:line="240" w:lineRule="exact"/>
              <w:rPr>
                <w:rFonts w:ascii="IBM Plex Sans Light" w:hAnsi="IBM Plex Sans Light"/>
                <w:bCs/>
                <w:color w:val="3D7FE0" w:themeColor="accent1"/>
                <w:sz w:val="18"/>
                <w:szCs w:val="24"/>
              </w:rPr>
            </w:pPr>
          </w:p>
        </w:tc>
        <w:tc>
          <w:tcPr>
            <w:tcW w:w="992" w:type="dxa"/>
            <w:tcBorders>
              <w:top w:val="single" w:sz="8" w:space="0" w:color="3D7FE0" w:themeColor="accent1"/>
            </w:tcBorders>
            <w:shd w:val="clear" w:color="auto" w:fill="auto"/>
            <w:vAlign w:val="bottom"/>
          </w:tcPr>
          <w:p w14:paraId="67FECBE1" w14:textId="77777777" w:rsidR="006B43AF" w:rsidRPr="005907D3" w:rsidRDefault="006B43AF" w:rsidP="004203CD">
            <w:pPr>
              <w:pStyle w:val="TablesTFigureBold"/>
              <w:rPr>
                <w:rFonts w:ascii="IBM Plex Sans Light" w:hAnsi="IBM Plex Sans Light"/>
                <w:bCs/>
                <w:sz w:val="18"/>
                <w:szCs w:val="24"/>
              </w:rPr>
            </w:pPr>
          </w:p>
        </w:tc>
      </w:tr>
      <w:tr w:rsidR="006B43AF" w:rsidRPr="005907D3" w14:paraId="31C0E0C9" w14:textId="77777777" w:rsidTr="004203CD">
        <w:trPr>
          <w:trHeight w:val="20"/>
        </w:trPr>
        <w:tc>
          <w:tcPr>
            <w:tcW w:w="6663" w:type="dxa"/>
            <w:vAlign w:val="bottom"/>
          </w:tcPr>
          <w:p w14:paraId="222BAE21" w14:textId="77777777" w:rsidR="006B43AF" w:rsidRPr="005907D3" w:rsidRDefault="006B43AF" w:rsidP="004203CD">
            <w:pPr>
              <w:pStyle w:val="TablesTFigureBold"/>
              <w:spacing w:line="276" w:lineRule="auto"/>
              <w:jc w:val="left"/>
              <w:rPr>
                <w:rFonts w:ascii="IBM Plex Sans Light" w:hAnsi="IBM Plex Sans Light"/>
                <w:sz w:val="18"/>
                <w:szCs w:val="24"/>
              </w:rPr>
            </w:pPr>
            <w:r w:rsidRPr="005907D3">
              <w:rPr>
                <w:rFonts w:ascii="IBM Plex Sans Light" w:hAnsi="IBM Plex Sans Light"/>
                <w:sz w:val="18"/>
                <w:szCs w:val="24"/>
              </w:rPr>
              <w:t>Gross rental income</w:t>
            </w:r>
          </w:p>
        </w:tc>
        <w:tc>
          <w:tcPr>
            <w:tcW w:w="424" w:type="dxa"/>
            <w:vAlign w:val="bottom"/>
          </w:tcPr>
          <w:p w14:paraId="00C3F7DE" w14:textId="77777777" w:rsidR="006B43AF" w:rsidRPr="00A04876" w:rsidRDefault="006B43AF" w:rsidP="004203CD">
            <w:pPr>
              <w:pStyle w:val="13TBRightCopyIndentTableBack"/>
              <w:spacing w:line="276" w:lineRule="auto"/>
              <w:jc w:val="center"/>
              <w:rPr>
                <w:sz w:val="16"/>
                <w:szCs w:val="16"/>
              </w:rPr>
            </w:pPr>
          </w:p>
        </w:tc>
        <w:tc>
          <w:tcPr>
            <w:tcW w:w="709" w:type="dxa"/>
          </w:tcPr>
          <w:p w14:paraId="7908A4E2" w14:textId="77777777" w:rsidR="006B43AF" w:rsidRPr="005907D3" w:rsidDel="002B65C1" w:rsidRDefault="006B43AF" w:rsidP="004203CD">
            <w:pPr>
              <w:pStyle w:val="TablesTFigureBold"/>
              <w:spacing w:line="276" w:lineRule="auto"/>
              <w:jc w:val="center"/>
              <w:rPr>
                <w:rFonts w:ascii="IBM Plex Sans Light" w:hAnsi="IBM Plex Sans Light"/>
                <w:bCs/>
                <w:sz w:val="18"/>
                <w:szCs w:val="24"/>
              </w:rPr>
            </w:pPr>
          </w:p>
        </w:tc>
        <w:tc>
          <w:tcPr>
            <w:tcW w:w="1134" w:type="dxa"/>
            <w:shd w:val="clear" w:color="auto" w:fill="auto"/>
          </w:tcPr>
          <w:p w14:paraId="5BAA7CDE" w14:textId="77777777" w:rsidR="006B43AF" w:rsidRPr="005B09DA"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208.4</w:t>
            </w:r>
          </w:p>
        </w:tc>
        <w:tc>
          <w:tcPr>
            <w:tcW w:w="992" w:type="dxa"/>
            <w:shd w:val="clear" w:color="auto" w:fill="auto"/>
          </w:tcPr>
          <w:p w14:paraId="36854550" w14:textId="77777777" w:rsidR="006B43AF" w:rsidRPr="005907D3"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215.2</w:t>
            </w:r>
          </w:p>
        </w:tc>
      </w:tr>
      <w:tr w:rsidR="006B43AF" w:rsidRPr="005907D3" w14:paraId="14AB7906" w14:textId="77777777" w:rsidTr="004203CD">
        <w:trPr>
          <w:trHeight w:val="227"/>
        </w:trPr>
        <w:tc>
          <w:tcPr>
            <w:tcW w:w="6663" w:type="dxa"/>
            <w:vAlign w:val="bottom"/>
          </w:tcPr>
          <w:p w14:paraId="4F7C46E0" w14:textId="77777777" w:rsidR="006B43AF" w:rsidRPr="005907D3" w:rsidRDefault="006B43AF" w:rsidP="004203CD">
            <w:pPr>
              <w:pStyle w:val="TablesTText"/>
              <w:spacing w:line="276" w:lineRule="auto"/>
              <w:rPr>
                <w:rFonts w:ascii="IBM Plex Sans Light" w:hAnsi="IBM Plex Sans Light"/>
                <w:sz w:val="18"/>
                <w:szCs w:val="24"/>
              </w:rPr>
            </w:pPr>
            <w:r w:rsidRPr="005907D3">
              <w:rPr>
                <w:rFonts w:ascii="IBM Plex Sans Light" w:hAnsi="IBM Plex Sans Light"/>
                <w:sz w:val="18"/>
                <w:szCs w:val="24"/>
              </w:rPr>
              <w:t>Ground rents payable</w:t>
            </w:r>
          </w:p>
        </w:tc>
        <w:tc>
          <w:tcPr>
            <w:tcW w:w="424" w:type="dxa"/>
            <w:vAlign w:val="bottom"/>
          </w:tcPr>
          <w:p w14:paraId="6DB7E0A1" w14:textId="77777777" w:rsidR="006B43AF" w:rsidRPr="00A04876" w:rsidRDefault="006B43AF" w:rsidP="004203CD">
            <w:pPr>
              <w:pStyle w:val="13TBRightCopyIndentTableBack"/>
              <w:spacing w:line="276" w:lineRule="auto"/>
              <w:jc w:val="center"/>
              <w:rPr>
                <w:sz w:val="16"/>
                <w:szCs w:val="16"/>
              </w:rPr>
            </w:pPr>
          </w:p>
        </w:tc>
        <w:tc>
          <w:tcPr>
            <w:tcW w:w="709" w:type="dxa"/>
          </w:tcPr>
          <w:p w14:paraId="423177D9" w14:textId="77777777" w:rsidR="006B43AF" w:rsidRPr="005907D3" w:rsidDel="002B65C1" w:rsidRDefault="006B43AF" w:rsidP="004203CD">
            <w:pPr>
              <w:pStyle w:val="TablesTFigureBrackets"/>
              <w:spacing w:line="276" w:lineRule="auto"/>
              <w:jc w:val="center"/>
              <w:rPr>
                <w:rFonts w:ascii="IBM Plex Sans Light" w:hAnsi="IBM Plex Sans Light"/>
                <w:bCs/>
                <w:sz w:val="18"/>
                <w:szCs w:val="24"/>
              </w:rPr>
            </w:pPr>
          </w:p>
        </w:tc>
        <w:tc>
          <w:tcPr>
            <w:tcW w:w="1134" w:type="dxa"/>
            <w:shd w:val="clear" w:color="auto" w:fill="auto"/>
          </w:tcPr>
          <w:p w14:paraId="7ECFA74E" w14:textId="77777777" w:rsidR="006B43AF" w:rsidRPr="005B09DA" w:rsidRDefault="006B43AF" w:rsidP="004203CD">
            <w:pPr>
              <w:pStyle w:val="TablesTFigureBrackets"/>
              <w:spacing w:line="276" w:lineRule="auto"/>
              <w:rPr>
                <w:rFonts w:ascii="IBM Plex Sans Medium" w:hAnsi="IBM Plex Sans Medium"/>
                <w:b/>
                <w:color w:val="3D7FE0" w:themeColor="accent1"/>
                <w:sz w:val="18"/>
                <w:szCs w:val="24"/>
              </w:rPr>
            </w:pPr>
            <w:r w:rsidRPr="005B09DA">
              <w:rPr>
                <w:rFonts w:ascii="IBM Plex Sans Medium" w:hAnsi="IBM Plex Sans Medium"/>
                <w:b/>
                <w:color w:val="3D7FE0" w:themeColor="accent1"/>
                <w:sz w:val="18"/>
                <w:szCs w:val="24"/>
              </w:rPr>
              <w:t>(1.</w:t>
            </w:r>
            <w:r>
              <w:rPr>
                <w:rFonts w:ascii="IBM Plex Sans Medium" w:hAnsi="IBM Plex Sans Medium"/>
                <w:b/>
                <w:color w:val="3D7FE0" w:themeColor="accent1"/>
                <w:sz w:val="18"/>
                <w:szCs w:val="24"/>
              </w:rPr>
              <w:t>8</w:t>
            </w:r>
            <w:r w:rsidRPr="005B09DA">
              <w:rPr>
                <w:rFonts w:ascii="IBM Plex Sans Medium" w:hAnsi="IBM Plex Sans Medium"/>
                <w:b/>
                <w:color w:val="3D7FE0" w:themeColor="accent1"/>
                <w:sz w:val="18"/>
                <w:szCs w:val="24"/>
              </w:rPr>
              <w:t xml:space="preserve">) </w:t>
            </w:r>
          </w:p>
        </w:tc>
        <w:tc>
          <w:tcPr>
            <w:tcW w:w="992" w:type="dxa"/>
            <w:shd w:val="clear" w:color="auto" w:fill="auto"/>
          </w:tcPr>
          <w:p w14:paraId="7F52559E" w14:textId="77777777" w:rsidR="006B43AF" w:rsidRPr="005907D3" w:rsidRDefault="006B43AF" w:rsidP="004203CD">
            <w:pPr>
              <w:pStyle w:val="TablesTFigureBrackets"/>
              <w:spacing w:line="276" w:lineRule="auto"/>
              <w:rPr>
                <w:rFonts w:ascii="IBM Plex Sans Light" w:hAnsi="IBM Plex Sans Light"/>
                <w:bCs/>
                <w:sz w:val="18"/>
                <w:szCs w:val="24"/>
              </w:rPr>
            </w:pPr>
            <w:r w:rsidRPr="005B09DA">
              <w:rPr>
                <w:rFonts w:ascii="IBM Plex Sans Light" w:hAnsi="IBM Plex Sans Light"/>
                <w:bCs/>
                <w:sz w:val="18"/>
                <w:szCs w:val="24"/>
              </w:rPr>
              <w:t>(1.</w:t>
            </w:r>
            <w:r>
              <w:rPr>
                <w:rFonts w:ascii="IBM Plex Sans Light" w:hAnsi="IBM Plex Sans Light"/>
                <w:bCs/>
                <w:sz w:val="18"/>
                <w:szCs w:val="24"/>
              </w:rPr>
              <w:t>3</w:t>
            </w:r>
            <w:r w:rsidRPr="005B09DA">
              <w:rPr>
                <w:rFonts w:ascii="IBM Plex Sans Light" w:hAnsi="IBM Plex Sans Light"/>
                <w:bCs/>
                <w:sz w:val="18"/>
                <w:szCs w:val="24"/>
              </w:rPr>
              <w:t>)</w:t>
            </w:r>
          </w:p>
        </w:tc>
      </w:tr>
      <w:tr w:rsidR="006B43AF" w:rsidRPr="005907D3" w14:paraId="33812BB5" w14:textId="77777777" w:rsidTr="004203CD">
        <w:trPr>
          <w:trHeight w:val="20"/>
        </w:trPr>
        <w:tc>
          <w:tcPr>
            <w:tcW w:w="6663" w:type="dxa"/>
            <w:tcBorders>
              <w:bottom w:val="single" w:sz="2" w:space="0" w:color="3D7FE0" w:themeColor="accent1"/>
            </w:tcBorders>
            <w:vAlign w:val="bottom"/>
          </w:tcPr>
          <w:p w14:paraId="114EA0F1" w14:textId="77777777" w:rsidR="006B43AF" w:rsidRPr="005907D3" w:rsidRDefault="006B43AF" w:rsidP="004203CD">
            <w:pPr>
              <w:pStyle w:val="TablesTText"/>
              <w:spacing w:line="276" w:lineRule="auto"/>
              <w:rPr>
                <w:rFonts w:ascii="IBM Plex Sans Light" w:hAnsi="IBM Plex Sans Light"/>
                <w:sz w:val="18"/>
                <w:szCs w:val="24"/>
              </w:rPr>
            </w:pPr>
            <w:r w:rsidRPr="005907D3">
              <w:rPr>
                <w:rFonts w:ascii="IBM Plex Sans Light" w:hAnsi="IBM Plex Sans Light"/>
                <w:sz w:val="18"/>
                <w:szCs w:val="24"/>
              </w:rPr>
              <w:t>Less inclusive lease costs recovered through rent</w:t>
            </w:r>
          </w:p>
        </w:tc>
        <w:tc>
          <w:tcPr>
            <w:tcW w:w="424" w:type="dxa"/>
            <w:tcBorders>
              <w:bottom w:val="single" w:sz="2" w:space="0" w:color="3D7FE0" w:themeColor="accent1"/>
            </w:tcBorders>
            <w:vAlign w:val="bottom"/>
          </w:tcPr>
          <w:p w14:paraId="1080F527" w14:textId="77777777" w:rsidR="006B43AF" w:rsidRPr="00A04876" w:rsidRDefault="006B43AF" w:rsidP="004203CD">
            <w:pPr>
              <w:pStyle w:val="13TBRightCopyIndentTableBack"/>
              <w:spacing w:line="276" w:lineRule="auto"/>
              <w:jc w:val="center"/>
              <w:rPr>
                <w:sz w:val="16"/>
                <w:szCs w:val="16"/>
              </w:rPr>
            </w:pPr>
          </w:p>
        </w:tc>
        <w:tc>
          <w:tcPr>
            <w:tcW w:w="709" w:type="dxa"/>
            <w:tcBorders>
              <w:bottom w:val="single" w:sz="2" w:space="0" w:color="3D7FE0" w:themeColor="accent1"/>
            </w:tcBorders>
          </w:tcPr>
          <w:p w14:paraId="3E49841A" w14:textId="77777777" w:rsidR="006B43AF" w:rsidRPr="005907D3" w:rsidDel="002B65C1" w:rsidRDefault="006B43AF" w:rsidP="004203CD">
            <w:pPr>
              <w:pStyle w:val="TablesTFigureBrackets"/>
              <w:spacing w:line="276" w:lineRule="auto"/>
              <w:jc w:val="center"/>
              <w:rPr>
                <w:rFonts w:ascii="IBM Plex Sans Light" w:hAnsi="IBM Plex Sans Light"/>
                <w:bCs/>
                <w:sz w:val="18"/>
                <w:szCs w:val="24"/>
              </w:rPr>
            </w:pPr>
          </w:p>
        </w:tc>
        <w:tc>
          <w:tcPr>
            <w:tcW w:w="1134" w:type="dxa"/>
            <w:tcBorders>
              <w:bottom w:val="single" w:sz="2" w:space="0" w:color="3D7FE0" w:themeColor="accent1"/>
            </w:tcBorders>
            <w:shd w:val="clear" w:color="auto" w:fill="auto"/>
          </w:tcPr>
          <w:p w14:paraId="255DB65C" w14:textId="77777777" w:rsidR="006B43AF" w:rsidRPr="005B09DA" w:rsidRDefault="006B43AF" w:rsidP="004203CD">
            <w:pPr>
              <w:pStyle w:val="TablesTFigureBrackets"/>
              <w:spacing w:line="276" w:lineRule="auto"/>
              <w:rPr>
                <w:rFonts w:ascii="IBM Plex Sans Medium" w:hAnsi="IBM Plex Sans Medium"/>
                <w:b/>
                <w:color w:val="3D7FE0" w:themeColor="accent1"/>
                <w:sz w:val="18"/>
                <w:szCs w:val="24"/>
              </w:rPr>
            </w:pPr>
            <w:r w:rsidRPr="005B09DA">
              <w:rPr>
                <w:rFonts w:ascii="IBM Plex Sans Medium" w:hAnsi="IBM Plex Sans Medium"/>
                <w:b/>
                <w:color w:val="3D7FE0" w:themeColor="accent1"/>
                <w:sz w:val="18"/>
                <w:szCs w:val="24"/>
              </w:rPr>
              <w:t>(</w:t>
            </w:r>
            <w:r>
              <w:rPr>
                <w:rFonts w:ascii="IBM Plex Sans Medium" w:hAnsi="IBM Plex Sans Medium"/>
                <w:b/>
                <w:color w:val="3D7FE0" w:themeColor="accent1"/>
                <w:sz w:val="18"/>
                <w:szCs w:val="24"/>
              </w:rPr>
              <w:t>6.4</w:t>
            </w:r>
            <w:r w:rsidRPr="005B09DA">
              <w:rPr>
                <w:rFonts w:ascii="IBM Plex Sans Medium" w:hAnsi="IBM Plex Sans Medium"/>
                <w:b/>
                <w:color w:val="3D7FE0" w:themeColor="accent1"/>
                <w:sz w:val="18"/>
                <w:szCs w:val="24"/>
              </w:rPr>
              <w:t>)</w:t>
            </w:r>
          </w:p>
        </w:tc>
        <w:tc>
          <w:tcPr>
            <w:tcW w:w="992" w:type="dxa"/>
            <w:tcBorders>
              <w:bottom w:val="single" w:sz="2" w:space="0" w:color="3D7FE0" w:themeColor="accent1"/>
            </w:tcBorders>
            <w:shd w:val="clear" w:color="auto" w:fill="auto"/>
          </w:tcPr>
          <w:p w14:paraId="1729A3E4" w14:textId="77777777" w:rsidR="006B43AF" w:rsidRPr="005907D3" w:rsidRDefault="006B43AF" w:rsidP="004203CD">
            <w:pPr>
              <w:pStyle w:val="TablesTFigureBrackets"/>
              <w:spacing w:line="276" w:lineRule="auto"/>
              <w:rPr>
                <w:rFonts w:ascii="IBM Plex Sans Light" w:hAnsi="IBM Plex Sans Light"/>
                <w:bCs/>
                <w:sz w:val="18"/>
                <w:szCs w:val="24"/>
              </w:rPr>
            </w:pPr>
            <w:r w:rsidRPr="005B09DA">
              <w:rPr>
                <w:rFonts w:ascii="IBM Plex Sans Light" w:hAnsi="IBM Plex Sans Light"/>
                <w:bCs/>
                <w:sz w:val="18"/>
                <w:szCs w:val="24"/>
              </w:rPr>
              <w:t>(</w:t>
            </w:r>
            <w:r>
              <w:rPr>
                <w:rFonts w:ascii="IBM Plex Sans Light" w:hAnsi="IBM Plex Sans Light"/>
                <w:bCs/>
                <w:sz w:val="18"/>
                <w:szCs w:val="24"/>
              </w:rPr>
              <w:t>9.1</w:t>
            </w:r>
            <w:r w:rsidRPr="005B09DA">
              <w:rPr>
                <w:rFonts w:ascii="IBM Plex Sans Light" w:hAnsi="IBM Plex Sans Light"/>
                <w:bCs/>
                <w:sz w:val="18"/>
                <w:szCs w:val="24"/>
              </w:rPr>
              <w:t>)</w:t>
            </w:r>
          </w:p>
        </w:tc>
      </w:tr>
      <w:tr w:rsidR="006B43AF" w:rsidRPr="005907D3" w14:paraId="0F7FEB20" w14:textId="77777777" w:rsidTr="004203CD">
        <w:trPr>
          <w:trHeight w:val="20"/>
        </w:trPr>
        <w:tc>
          <w:tcPr>
            <w:tcW w:w="6663" w:type="dxa"/>
            <w:tcBorders>
              <w:top w:val="single" w:sz="2" w:space="0" w:color="3D7FE0" w:themeColor="accent1"/>
              <w:bottom w:val="single" w:sz="8" w:space="0" w:color="3D7FE0" w:themeColor="accent1"/>
            </w:tcBorders>
            <w:vAlign w:val="bottom"/>
          </w:tcPr>
          <w:p w14:paraId="7D769C56" w14:textId="77777777" w:rsidR="006B43AF" w:rsidRPr="005907D3" w:rsidRDefault="006B43AF" w:rsidP="004203CD">
            <w:pPr>
              <w:pStyle w:val="TablesTFigureBold"/>
              <w:spacing w:line="276" w:lineRule="auto"/>
              <w:jc w:val="left"/>
              <w:rPr>
                <w:rFonts w:ascii="IBM Plex Sans Light" w:hAnsi="IBM Plex Sans Light"/>
                <w:b/>
                <w:bCs/>
                <w:sz w:val="18"/>
                <w:szCs w:val="24"/>
              </w:rPr>
            </w:pPr>
            <w:r w:rsidRPr="005907D3">
              <w:rPr>
                <w:rFonts w:ascii="IBM Plex Sans Light" w:hAnsi="IBM Plex Sans Light"/>
                <w:b/>
                <w:sz w:val="18"/>
                <w:szCs w:val="24"/>
              </w:rPr>
              <w:t>Gross rental income</w:t>
            </w:r>
            <w:r w:rsidRPr="005907D3">
              <w:rPr>
                <w:rFonts w:ascii="IBM Plex Sans Light" w:hAnsi="IBM Plex Sans Light"/>
                <w:b/>
                <w:bCs/>
                <w:sz w:val="18"/>
                <w:szCs w:val="24"/>
              </w:rPr>
              <w:t xml:space="preserve"> </w:t>
            </w:r>
          </w:p>
        </w:tc>
        <w:tc>
          <w:tcPr>
            <w:tcW w:w="424" w:type="dxa"/>
            <w:tcBorders>
              <w:top w:val="single" w:sz="2" w:space="0" w:color="3D7FE0" w:themeColor="accent1"/>
              <w:bottom w:val="single" w:sz="8" w:space="0" w:color="3D7FE0" w:themeColor="accent1"/>
            </w:tcBorders>
            <w:vAlign w:val="bottom"/>
          </w:tcPr>
          <w:p w14:paraId="4A588A6D"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2" w:space="0" w:color="3D7FE0" w:themeColor="accent1"/>
              <w:bottom w:val="single" w:sz="8" w:space="0" w:color="3D7FE0" w:themeColor="accent1"/>
            </w:tcBorders>
          </w:tcPr>
          <w:p w14:paraId="41C342C0" w14:textId="77777777" w:rsidR="006B43AF" w:rsidRPr="005907D3" w:rsidDel="002B65C1" w:rsidRDefault="006B43AF" w:rsidP="004203CD">
            <w:pPr>
              <w:pStyle w:val="TablesTFigureBold"/>
              <w:spacing w:line="276" w:lineRule="auto"/>
              <w:jc w:val="center"/>
              <w:rPr>
                <w:rFonts w:ascii="IBM Plex Sans Light" w:hAnsi="IBM Plex Sans Light"/>
                <w:bCs/>
                <w:sz w:val="18"/>
                <w:szCs w:val="24"/>
              </w:rPr>
            </w:pPr>
            <w:r>
              <w:rPr>
                <w:rFonts w:ascii="IBM Plex Sans Light" w:hAnsi="IBM Plex Sans Light"/>
                <w:bCs/>
                <w:sz w:val="18"/>
                <w:szCs w:val="24"/>
              </w:rPr>
              <w:t>D</w:t>
            </w:r>
          </w:p>
        </w:tc>
        <w:tc>
          <w:tcPr>
            <w:tcW w:w="1134" w:type="dxa"/>
            <w:tcBorders>
              <w:top w:val="single" w:sz="2" w:space="0" w:color="3D7FE0" w:themeColor="accent1"/>
              <w:bottom w:val="single" w:sz="8" w:space="0" w:color="3D7FE0" w:themeColor="accent1"/>
            </w:tcBorders>
            <w:shd w:val="clear" w:color="auto" w:fill="auto"/>
          </w:tcPr>
          <w:p w14:paraId="7AE4A0B4" w14:textId="77777777" w:rsidR="006B43AF" w:rsidRPr="005B09DA"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200.2</w:t>
            </w:r>
          </w:p>
        </w:tc>
        <w:tc>
          <w:tcPr>
            <w:tcW w:w="992" w:type="dxa"/>
            <w:tcBorders>
              <w:top w:val="single" w:sz="2" w:space="0" w:color="3D7FE0" w:themeColor="accent1"/>
              <w:bottom w:val="single" w:sz="8" w:space="0" w:color="3D7FE0" w:themeColor="accent1"/>
            </w:tcBorders>
            <w:shd w:val="clear" w:color="auto" w:fill="auto"/>
          </w:tcPr>
          <w:p w14:paraId="2FF61B3E" w14:textId="77777777" w:rsidR="006B43AF" w:rsidRPr="005B09DA" w:rsidRDefault="006B43AF" w:rsidP="004203CD">
            <w:pPr>
              <w:pStyle w:val="TablesTFigureBold"/>
              <w:spacing w:line="276" w:lineRule="auto"/>
              <w:rPr>
                <w:rFonts w:ascii="IBM Plex Sans Light" w:hAnsi="IBM Plex Sans Light"/>
                <w:bCs/>
                <w:sz w:val="18"/>
                <w:szCs w:val="24"/>
              </w:rPr>
            </w:pPr>
            <w:r>
              <w:rPr>
                <w:rFonts w:ascii="IBM Plex Sans Light" w:hAnsi="IBM Plex Sans Light"/>
                <w:bCs/>
                <w:sz w:val="18"/>
                <w:szCs w:val="24"/>
              </w:rPr>
              <w:t>204.8</w:t>
            </w:r>
          </w:p>
        </w:tc>
      </w:tr>
      <w:tr w:rsidR="006B43AF" w:rsidRPr="005907D3" w14:paraId="2A009F1F" w14:textId="77777777" w:rsidTr="004203CD">
        <w:trPr>
          <w:trHeight w:val="20"/>
        </w:trPr>
        <w:tc>
          <w:tcPr>
            <w:tcW w:w="6663" w:type="dxa"/>
            <w:tcBorders>
              <w:top w:val="single" w:sz="8" w:space="0" w:color="3D7FE0" w:themeColor="accent1"/>
            </w:tcBorders>
            <w:vAlign w:val="bottom"/>
          </w:tcPr>
          <w:p w14:paraId="396BD6AF" w14:textId="77777777" w:rsidR="006B43AF" w:rsidRPr="005907D3" w:rsidRDefault="006B43AF" w:rsidP="004203CD">
            <w:pPr>
              <w:pStyle w:val="TablesTText"/>
              <w:spacing w:line="276" w:lineRule="auto"/>
              <w:rPr>
                <w:rFonts w:ascii="IBM Plex Sans Light" w:hAnsi="IBM Plex Sans Light"/>
                <w:sz w:val="18"/>
                <w:szCs w:val="24"/>
              </w:rPr>
            </w:pPr>
          </w:p>
        </w:tc>
        <w:tc>
          <w:tcPr>
            <w:tcW w:w="424" w:type="dxa"/>
            <w:tcBorders>
              <w:top w:val="single" w:sz="8" w:space="0" w:color="3D7FE0" w:themeColor="accent1"/>
            </w:tcBorders>
            <w:vAlign w:val="bottom"/>
          </w:tcPr>
          <w:p w14:paraId="7917C9EB"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8" w:space="0" w:color="3D7FE0" w:themeColor="accent1"/>
            </w:tcBorders>
          </w:tcPr>
          <w:p w14:paraId="20AA2E1D" w14:textId="77777777" w:rsidR="006B43AF" w:rsidRPr="005907D3" w:rsidRDefault="006B43AF" w:rsidP="004203CD">
            <w:pPr>
              <w:pStyle w:val="TablesTFigureBold"/>
              <w:spacing w:line="276" w:lineRule="auto"/>
              <w:jc w:val="center"/>
              <w:rPr>
                <w:rFonts w:ascii="IBM Plex Sans Light" w:hAnsi="IBM Plex Sans Light"/>
                <w:bCs/>
                <w:sz w:val="18"/>
                <w:szCs w:val="24"/>
              </w:rPr>
            </w:pPr>
          </w:p>
        </w:tc>
        <w:tc>
          <w:tcPr>
            <w:tcW w:w="1134" w:type="dxa"/>
            <w:tcBorders>
              <w:top w:val="single" w:sz="8" w:space="0" w:color="3D7FE0" w:themeColor="accent1"/>
            </w:tcBorders>
            <w:shd w:val="clear" w:color="auto" w:fill="auto"/>
            <w:vAlign w:val="bottom"/>
          </w:tcPr>
          <w:p w14:paraId="3BB7DE2F" w14:textId="77777777" w:rsidR="006B43AF" w:rsidRPr="005B09DA" w:rsidRDefault="006B43AF" w:rsidP="004203CD">
            <w:pPr>
              <w:pStyle w:val="TablesTFigureBold"/>
              <w:spacing w:line="276" w:lineRule="auto"/>
              <w:rPr>
                <w:rFonts w:ascii="IBM Plex Sans Medium" w:hAnsi="IBM Plex Sans Medium"/>
                <w:b/>
                <w:color w:val="3D7FE0" w:themeColor="accent1"/>
                <w:sz w:val="18"/>
                <w:szCs w:val="24"/>
              </w:rPr>
            </w:pPr>
          </w:p>
        </w:tc>
        <w:tc>
          <w:tcPr>
            <w:tcW w:w="992" w:type="dxa"/>
            <w:tcBorders>
              <w:top w:val="single" w:sz="8" w:space="0" w:color="3D7FE0" w:themeColor="accent1"/>
            </w:tcBorders>
            <w:shd w:val="clear" w:color="auto" w:fill="auto"/>
            <w:vAlign w:val="bottom"/>
          </w:tcPr>
          <w:p w14:paraId="17D38E23" w14:textId="77777777" w:rsidR="006B43AF" w:rsidRPr="005907D3" w:rsidRDefault="006B43AF" w:rsidP="004203CD">
            <w:pPr>
              <w:pStyle w:val="TablesTFigureBrackets"/>
              <w:spacing w:line="276" w:lineRule="auto"/>
              <w:rPr>
                <w:rFonts w:ascii="IBM Plex Sans Light" w:hAnsi="IBM Plex Sans Light"/>
                <w:bCs/>
                <w:sz w:val="18"/>
                <w:szCs w:val="24"/>
              </w:rPr>
            </w:pPr>
          </w:p>
        </w:tc>
      </w:tr>
      <w:tr w:rsidR="006B43AF" w:rsidRPr="005907D3" w14:paraId="24172480" w14:textId="77777777" w:rsidTr="004203CD">
        <w:trPr>
          <w:trHeight w:val="20"/>
        </w:trPr>
        <w:tc>
          <w:tcPr>
            <w:tcW w:w="6663" w:type="dxa"/>
            <w:tcBorders>
              <w:bottom w:val="single" w:sz="8" w:space="0" w:color="3D7FE0" w:themeColor="accent1"/>
            </w:tcBorders>
            <w:vAlign w:val="bottom"/>
          </w:tcPr>
          <w:p w14:paraId="74E529E5" w14:textId="77777777" w:rsidR="006B43AF" w:rsidRPr="005907D3" w:rsidRDefault="006B43AF" w:rsidP="004203CD">
            <w:pPr>
              <w:pStyle w:val="TablesTFigureBold"/>
              <w:spacing w:line="276" w:lineRule="auto"/>
              <w:jc w:val="left"/>
              <w:rPr>
                <w:rFonts w:ascii="IBM Plex Sans Light" w:hAnsi="IBM Plex Sans Light"/>
                <w:b/>
                <w:sz w:val="18"/>
                <w:szCs w:val="24"/>
              </w:rPr>
            </w:pPr>
            <w:r>
              <w:rPr>
                <w:rFonts w:ascii="IBM Plex Sans Light" w:hAnsi="IBM Plex Sans Light"/>
                <w:b/>
                <w:sz w:val="18"/>
                <w:szCs w:val="24"/>
              </w:rPr>
              <w:t>C</w:t>
            </w:r>
            <w:r w:rsidRPr="005907D3">
              <w:rPr>
                <w:rFonts w:ascii="IBM Plex Sans Light" w:hAnsi="IBM Plex Sans Light"/>
                <w:b/>
                <w:sz w:val="18"/>
                <w:szCs w:val="24"/>
              </w:rPr>
              <w:t>ost ratio including vacancy costs</w:t>
            </w:r>
          </w:p>
        </w:tc>
        <w:tc>
          <w:tcPr>
            <w:tcW w:w="424" w:type="dxa"/>
            <w:tcBorders>
              <w:bottom w:val="single" w:sz="8" w:space="0" w:color="3D7FE0" w:themeColor="accent1"/>
            </w:tcBorders>
            <w:vAlign w:val="bottom"/>
          </w:tcPr>
          <w:p w14:paraId="16853AE4" w14:textId="77777777" w:rsidR="006B43AF" w:rsidRPr="00A04876" w:rsidRDefault="006B43AF" w:rsidP="004203CD">
            <w:pPr>
              <w:pStyle w:val="13TBRightCopyIndentTableBack"/>
              <w:spacing w:line="276" w:lineRule="auto"/>
              <w:jc w:val="center"/>
              <w:rPr>
                <w:sz w:val="16"/>
                <w:szCs w:val="16"/>
              </w:rPr>
            </w:pPr>
          </w:p>
        </w:tc>
        <w:tc>
          <w:tcPr>
            <w:tcW w:w="709" w:type="dxa"/>
            <w:tcBorders>
              <w:bottom w:val="single" w:sz="8" w:space="0" w:color="3D7FE0" w:themeColor="accent1"/>
            </w:tcBorders>
          </w:tcPr>
          <w:p w14:paraId="10310AAF" w14:textId="77777777" w:rsidR="006B43AF" w:rsidRPr="005907D3" w:rsidDel="002B65C1" w:rsidRDefault="006B43AF" w:rsidP="004203CD">
            <w:pPr>
              <w:pStyle w:val="TablesTFigureBold"/>
              <w:spacing w:line="276" w:lineRule="auto"/>
              <w:jc w:val="center"/>
              <w:rPr>
                <w:rFonts w:ascii="IBM Plex Sans Light" w:hAnsi="IBM Plex Sans Light"/>
                <w:bCs/>
                <w:sz w:val="18"/>
                <w:szCs w:val="24"/>
              </w:rPr>
            </w:pPr>
            <w:r w:rsidRPr="005907D3">
              <w:rPr>
                <w:rFonts w:ascii="IBM Plex Sans Light" w:hAnsi="IBM Plex Sans Light"/>
                <w:bCs/>
                <w:sz w:val="18"/>
                <w:szCs w:val="24"/>
              </w:rPr>
              <w:t xml:space="preserve"> </w:t>
            </w:r>
            <w:r>
              <w:rPr>
                <w:rFonts w:ascii="IBM Plex Sans Light" w:hAnsi="IBM Plex Sans Light"/>
                <w:bCs/>
                <w:sz w:val="18"/>
                <w:szCs w:val="24"/>
              </w:rPr>
              <w:t>B</w:t>
            </w:r>
            <w:r w:rsidRPr="005907D3">
              <w:rPr>
                <w:rFonts w:ascii="IBM Plex Sans Light" w:hAnsi="IBM Plex Sans Light"/>
                <w:bCs/>
                <w:sz w:val="18"/>
                <w:szCs w:val="24"/>
              </w:rPr>
              <w:t>/</w:t>
            </w:r>
            <w:r>
              <w:rPr>
                <w:rFonts w:ascii="IBM Plex Sans Light" w:hAnsi="IBM Plex Sans Light"/>
                <w:bCs/>
                <w:sz w:val="18"/>
                <w:szCs w:val="24"/>
              </w:rPr>
              <w:t>D</w:t>
            </w:r>
          </w:p>
        </w:tc>
        <w:tc>
          <w:tcPr>
            <w:tcW w:w="1134" w:type="dxa"/>
            <w:tcBorders>
              <w:bottom w:val="single" w:sz="8" w:space="0" w:color="3D7FE0" w:themeColor="accent1"/>
            </w:tcBorders>
            <w:shd w:val="clear" w:color="auto" w:fill="auto"/>
          </w:tcPr>
          <w:p w14:paraId="4473847C" w14:textId="77777777" w:rsidR="006B43AF" w:rsidRPr="005B09DA"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41.2</w:t>
            </w:r>
            <w:r w:rsidRPr="005B09DA">
              <w:rPr>
                <w:rFonts w:ascii="IBM Plex Sans Medium" w:hAnsi="IBM Plex Sans Medium"/>
                <w:b/>
                <w:color w:val="3D7FE0" w:themeColor="accent1"/>
                <w:sz w:val="18"/>
                <w:szCs w:val="24"/>
              </w:rPr>
              <w:t>%</w:t>
            </w:r>
          </w:p>
        </w:tc>
        <w:tc>
          <w:tcPr>
            <w:tcW w:w="992" w:type="dxa"/>
            <w:tcBorders>
              <w:bottom w:val="single" w:sz="8" w:space="0" w:color="3D7FE0" w:themeColor="accent1"/>
            </w:tcBorders>
            <w:shd w:val="clear" w:color="auto" w:fill="auto"/>
          </w:tcPr>
          <w:p w14:paraId="1EAE69A2" w14:textId="77777777" w:rsidR="006B43AF" w:rsidRPr="005B09DA" w:rsidRDefault="006B43AF" w:rsidP="004203CD">
            <w:pPr>
              <w:pStyle w:val="TablesTFigureBrackets"/>
              <w:spacing w:line="276" w:lineRule="auto"/>
              <w:rPr>
                <w:rFonts w:ascii="IBM Plex Sans Light" w:hAnsi="IBM Plex Sans Light"/>
                <w:bCs/>
                <w:sz w:val="18"/>
                <w:szCs w:val="24"/>
              </w:rPr>
            </w:pPr>
            <w:r>
              <w:rPr>
                <w:rFonts w:ascii="IBM Plex Sans Light" w:hAnsi="IBM Plex Sans Light"/>
                <w:bCs/>
                <w:sz w:val="18"/>
                <w:szCs w:val="24"/>
              </w:rPr>
              <w:t>38.0</w:t>
            </w:r>
            <w:r w:rsidRPr="005B09DA">
              <w:rPr>
                <w:rFonts w:ascii="IBM Plex Sans Light" w:hAnsi="IBM Plex Sans Light"/>
                <w:bCs/>
                <w:sz w:val="18"/>
                <w:szCs w:val="24"/>
              </w:rPr>
              <w:t>%</w:t>
            </w:r>
          </w:p>
        </w:tc>
      </w:tr>
      <w:tr w:rsidR="006B43AF" w:rsidRPr="005907D3" w14:paraId="4D0B8BFF" w14:textId="77777777" w:rsidTr="004203CD">
        <w:trPr>
          <w:trHeight w:val="20"/>
        </w:trPr>
        <w:tc>
          <w:tcPr>
            <w:tcW w:w="6663" w:type="dxa"/>
            <w:tcBorders>
              <w:top w:val="single" w:sz="8" w:space="0" w:color="3D7FE0" w:themeColor="accent1"/>
              <w:bottom w:val="single" w:sz="8" w:space="0" w:color="3D7FE0" w:themeColor="accent1"/>
            </w:tcBorders>
            <w:vAlign w:val="bottom"/>
          </w:tcPr>
          <w:p w14:paraId="26E00244" w14:textId="77777777" w:rsidR="006B43AF" w:rsidRPr="005907D3" w:rsidRDefault="006B43AF" w:rsidP="004203CD">
            <w:pPr>
              <w:pStyle w:val="TablesTFigureBold"/>
              <w:spacing w:line="276" w:lineRule="auto"/>
              <w:jc w:val="left"/>
              <w:rPr>
                <w:rFonts w:ascii="IBM Plex Sans Light" w:hAnsi="IBM Plex Sans Light"/>
                <w:b/>
                <w:sz w:val="18"/>
                <w:szCs w:val="24"/>
              </w:rPr>
            </w:pPr>
            <w:r>
              <w:rPr>
                <w:rFonts w:ascii="IBM Plex Sans Light" w:hAnsi="IBM Plex Sans Light"/>
                <w:b/>
                <w:sz w:val="18"/>
                <w:szCs w:val="24"/>
              </w:rPr>
              <w:t>Cost</w:t>
            </w:r>
            <w:r w:rsidRPr="005907D3">
              <w:rPr>
                <w:rFonts w:ascii="IBM Plex Sans Light" w:hAnsi="IBM Plex Sans Light"/>
                <w:b/>
                <w:sz w:val="18"/>
                <w:szCs w:val="24"/>
              </w:rPr>
              <w:t xml:space="preserve"> ratio excluding vacancy costs</w:t>
            </w:r>
          </w:p>
        </w:tc>
        <w:tc>
          <w:tcPr>
            <w:tcW w:w="424" w:type="dxa"/>
            <w:tcBorders>
              <w:top w:val="single" w:sz="8" w:space="0" w:color="3D7FE0" w:themeColor="accent1"/>
              <w:bottom w:val="single" w:sz="8" w:space="0" w:color="3D7FE0" w:themeColor="accent1"/>
            </w:tcBorders>
            <w:vAlign w:val="bottom"/>
          </w:tcPr>
          <w:p w14:paraId="7AC3B448"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8" w:space="0" w:color="3D7FE0" w:themeColor="accent1"/>
              <w:bottom w:val="single" w:sz="8" w:space="0" w:color="3D7FE0" w:themeColor="accent1"/>
            </w:tcBorders>
          </w:tcPr>
          <w:p w14:paraId="40E8163B" w14:textId="77777777" w:rsidR="006B43AF" w:rsidRPr="005907D3" w:rsidDel="002B65C1" w:rsidRDefault="006B43AF" w:rsidP="004203CD">
            <w:pPr>
              <w:pStyle w:val="TablesTFigureBold"/>
              <w:spacing w:line="276" w:lineRule="auto"/>
              <w:ind w:right="1"/>
              <w:jc w:val="center"/>
              <w:rPr>
                <w:rFonts w:ascii="IBM Plex Sans Light" w:hAnsi="IBM Plex Sans Light"/>
                <w:bCs/>
                <w:sz w:val="18"/>
                <w:szCs w:val="24"/>
              </w:rPr>
            </w:pPr>
            <w:r>
              <w:rPr>
                <w:rFonts w:ascii="IBM Plex Sans Light" w:hAnsi="IBM Plex Sans Light"/>
                <w:bCs/>
                <w:sz w:val="18"/>
                <w:szCs w:val="24"/>
              </w:rPr>
              <w:t>C</w:t>
            </w:r>
            <w:r w:rsidRPr="005907D3">
              <w:rPr>
                <w:rFonts w:ascii="IBM Plex Sans Light" w:hAnsi="IBM Plex Sans Light"/>
                <w:bCs/>
                <w:sz w:val="18"/>
                <w:szCs w:val="24"/>
              </w:rPr>
              <w:t>/</w:t>
            </w:r>
            <w:r>
              <w:rPr>
                <w:rFonts w:ascii="IBM Plex Sans Light" w:hAnsi="IBM Plex Sans Light"/>
                <w:bCs/>
                <w:sz w:val="18"/>
                <w:szCs w:val="24"/>
              </w:rPr>
              <w:t>D</w:t>
            </w:r>
          </w:p>
        </w:tc>
        <w:tc>
          <w:tcPr>
            <w:tcW w:w="1134" w:type="dxa"/>
            <w:tcBorders>
              <w:top w:val="single" w:sz="8" w:space="0" w:color="3D7FE0" w:themeColor="accent1"/>
              <w:bottom w:val="single" w:sz="8" w:space="0" w:color="3D7FE0" w:themeColor="accent1"/>
            </w:tcBorders>
            <w:shd w:val="clear" w:color="auto" w:fill="auto"/>
          </w:tcPr>
          <w:p w14:paraId="22A9BAD0" w14:textId="77777777" w:rsidR="006B43AF" w:rsidRPr="005B09DA"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36.9</w:t>
            </w:r>
            <w:r w:rsidRPr="005B09DA">
              <w:rPr>
                <w:rFonts w:ascii="IBM Plex Sans Medium" w:hAnsi="IBM Plex Sans Medium"/>
                <w:b/>
                <w:color w:val="3D7FE0" w:themeColor="accent1"/>
                <w:sz w:val="18"/>
                <w:szCs w:val="24"/>
              </w:rPr>
              <w:t>%</w:t>
            </w:r>
          </w:p>
        </w:tc>
        <w:tc>
          <w:tcPr>
            <w:tcW w:w="992" w:type="dxa"/>
            <w:tcBorders>
              <w:top w:val="single" w:sz="8" w:space="0" w:color="3D7FE0" w:themeColor="accent1"/>
              <w:bottom w:val="single" w:sz="8" w:space="0" w:color="3D7FE0" w:themeColor="accent1"/>
            </w:tcBorders>
            <w:shd w:val="clear" w:color="auto" w:fill="auto"/>
          </w:tcPr>
          <w:p w14:paraId="64708E2F" w14:textId="77777777" w:rsidR="006B43AF" w:rsidRPr="005B09DA" w:rsidRDefault="006B43AF" w:rsidP="004203CD">
            <w:pPr>
              <w:pStyle w:val="TablesTFigureBrackets"/>
              <w:spacing w:line="276" w:lineRule="auto"/>
              <w:rPr>
                <w:rFonts w:ascii="IBM Plex Sans Light" w:hAnsi="IBM Plex Sans Light"/>
                <w:bCs/>
                <w:sz w:val="18"/>
                <w:szCs w:val="24"/>
              </w:rPr>
            </w:pPr>
            <w:r>
              <w:rPr>
                <w:rFonts w:ascii="IBM Plex Sans Light" w:hAnsi="IBM Plex Sans Light"/>
                <w:bCs/>
                <w:sz w:val="18"/>
                <w:szCs w:val="24"/>
              </w:rPr>
              <w:t>32.0</w:t>
            </w:r>
            <w:r w:rsidRPr="005B09DA">
              <w:rPr>
                <w:rFonts w:ascii="IBM Plex Sans Light" w:hAnsi="IBM Plex Sans Light"/>
                <w:bCs/>
                <w:sz w:val="18"/>
                <w:szCs w:val="24"/>
              </w:rPr>
              <w:t>%</w:t>
            </w:r>
          </w:p>
        </w:tc>
      </w:tr>
      <w:tr w:rsidR="006B43AF" w:rsidRPr="005907D3" w14:paraId="77DD4C4F" w14:textId="77777777" w:rsidTr="004203CD">
        <w:trPr>
          <w:trHeight w:val="20"/>
        </w:trPr>
        <w:tc>
          <w:tcPr>
            <w:tcW w:w="6663" w:type="dxa"/>
            <w:tcBorders>
              <w:top w:val="single" w:sz="8" w:space="0" w:color="3D7FE0" w:themeColor="accent1"/>
              <w:bottom w:val="single" w:sz="8" w:space="0" w:color="3D7FE0" w:themeColor="accent1"/>
            </w:tcBorders>
            <w:vAlign w:val="bottom"/>
          </w:tcPr>
          <w:p w14:paraId="4F069731" w14:textId="77777777" w:rsidR="006B43AF" w:rsidRDefault="006B43AF" w:rsidP="004203CD">
            <w:pPr>
              <w:pStyle w:val="TablesTFigureBold"/>
              <w:spacing w:line="276" w:lineRule="auto"/>
              <w:jc w:val="left"/>
              <w:rPr>
                <w:rFonts w:ascii="IBM Plex Sans Light" w:hAnsi="IBM Plex Sans Light"/>
                <w:b/>
                <w:sz w:val="18"/>
                <w:szCs w:val="24"/>
              </w:rPr>
            </w:pPr>
            <w:r>
              <w:rPr>
                <w:rFonts w:ascii="IBM Plex Sans Light" w:hAnsi="IBM Plex Sans Light"/>
                <w:b/>
                <w:sz w:val="18"/>
                <w:szCs w:val="24"/>
              </w:rPr>
              <w:t>Cost ratio including vacancy costs (excluding business transformation costs)</w:t>
            </w:r>
          </w:p>
        </w:tc>
        <w:tc>
          <w:tcPr>
            <w:tcW w:w="424" w:type="dxa"/>
            <w:tcBorders>
              <w:top w:val="single" w:sz="8" w:space="0" w:color="3D7FE0" w:themeColor="accent1"/>
              <w:bottom w:val="single" w:sz="8" w:space="0" w:color="3D7FE0" w:themeColor="accent1"/>
            </w:tcBorders>
            <w:vAlign w:val="bottom"/>
          </w:tcPr>
          <w:p w14:paraId="4AE31FAC" w14:textId="77777777" w:rsidR="006B43AF" w:rsidRPr="00A04876" w:rsidRDefault="006B43AF" w:rsidP="004203CD">
            <w:pPr>
              <w:pStyle w:val="13TBRightCopyIndentTableBack"/>
              <w:spacing w:line="276" w:lineRule="auto"/>
              <w:jc w:val="center"/>
              <w:rPr>
                <w:sz w:val="16"/>
                <w:szCs w:val="16"/>
              </w:rPr>
            </w:pPr>
          </w:p>
        </w:tc>
        <w:tc>
          <w:tcPr>
            <w:tcW w:w="709" w:type="dxa"/>
            <w:tcBorders>
              <w:top w:val="single" w:sz="8" w:space="0" w:color="3D7FE0" w:themeColor="accent1"/>
              <w:bottom w:val="single" w:sz="8" w:space="0" w:color="3D7FE0" w:themeColor="accent1"/>
            </w:tcBorders>
          </w:tcPr>
          <w:p w14:paraId="0642E068" w14:textId="77777777" w:rsidR="006B43AF" w:rsidRPr="005907D3" w:rsidRDefault="006B43AF" w:rsidP="004203CD">
            <w:pPr>
              <w:pStyle w:val="TablesTFigureBold"/>
              <w:spacing w:line="276" w:lineRule="auto"/>
              <w:ind w:right="1"/>
              <w:jc w:val="center"/>
              <w:rPr>
                <w:rFonts w:ascii="IBM Plex Sans Light" w:hAnsi="IBM Plex Sans Light"/>
                <w:bCs/>
                <w:sz w:val="18"/>
                <w:szCs w:val="24"/>
              </w:rPr>
            </w:pPr>
            <w:r>
              <w:rPr>
                <w:rFonts w:ascii="IBM Plex Sans Light" w:hAnsi="IBM Plex Sans Light"/>
                <w:bCs/>
                <w:sz w:val="18"/>
                <w:szCs w:val="24"/>
              </w:rPr>
              <w:t>(B-A)/D</w:t>
            </w:r>
          </w:p>
        </w:tc>
        <w:tc>
          <w:tcPr>
            <w:tcW w:w="1134" w:type="dxa"/>
            <w:tcBorders>
              <w:top w:val="single" w:sz="8" w:space="0" w:color="3D7FE0" w:themeColor="accent1"/>
              <w:bottom w:val="single" w:sz="8" w:space="0" w:color="3D7FE0" w:themeColor="accent1"/>
            </w:tcBorders>
            <w:shd w:val="clear" w:color="auto" w:fill="auto"/>
          </w:tcPr>
          <w:p w14:paraId="4EA79DDE" w14:textId="77777777" w:rsidR="006B43AF" w:rsidRDefault="006B43AF" w:rsidP="004203CD">
            <w:pPr>
              <w:pStyle w:val="TablesTFigureBold"/>
              <w:spacing w:line="276" w:lineRule="auto"/>
              <w:rPr>
                <w:rFonts w:ascii="IBM Plex Sans Medium" w:hAnsi="IBM Plex Sans Medium"/>
                <w:b/>
                <w:color w:val="3D7FE0" w:themeColor="accent1"/>
                <w:sz w:val="18"/>
                <w:szCs w:val="24"/>
              </w:rPr>
            </w:pPr>
            <w:r>
              <w:rPr>
                <w:rFonts w:ascii="IBM Plex Sans Medium" w:hAnsi="IBM Plex Sans Medium"/>
                <w:b/>
                <w:color w:val="3D7FE0" w:themeColor="accent1"/>
                <w:sz w:val="18"/>
                <w:szCs w:val="24"/>
              </w:rPr>
              <w:t>34.6%</w:t>
            </w:r>
          </w:p>
        </w:tc>
        <w:tc>
          <w:tcPr>
            <w:tcW w:w="992" w:type="dxa"/>
            <w:tcBorders>
              <w:top w:val="single" w:sz="8" w:space="0" w:color="3D7FE0" w:themeColor="accent1"/>
              <w:bottom w:val="single" w:sz="8" w:space="0" w:color="3D7FE0" w:themeColor="accent1"/>
            </w:tcBorders>
            <w:shd w:val="clear" w:color="auto" w:fill="auto"/>
          </w:tcPr>
          <w:p w14:paraId="0F602E4F" w14:textId="77777777" w:rsidR="006B43AF" w:rsidRPr="005B09DA" w:rsidRDefault="006B43AF" w:rsidP="004203CD">
            <w:pPr>
              <w:pStyle w:val="TablesTFigureBrackets"/>
              <w:spacing w:line="276" w:lineRule="auto"/>
              <w:rPr>
                <w:rFonts w:ascii="IBM Plex Sans Light" w:hAnsi="IBM Plex Sans Light"/>
                <w:bCs/>
                <w:sz w:val="18"/>
                <w:szCs w:val="24"/>
              </w:rPr>
            </w:pPr>
            <w:r>
              <w:rPr>
                <w:rFonts w:ascii="IBM Plex Sans Light" w:hAnsi="IBM Plex Sans Light"/>
                <w:bCs/>
                <w:sz w:val="18"/>
                <w:szCs w:val="24"/>
              </w:rPr>
              <w:t>35.5%</w:t>
            </w:r>
          </w:p>
        </w:tc>
      </w:tr>
    </w:tbl>
    <w:p w14:paraId="7FC57B11" w14:textId="77777777" w:rsidR="006B43AF" w:rsidRDefault="006B43AF" w:rsidP="006B43AF">
      <w:pPr>
        <w:pStyle w:val="Normalaftertable"/>
        <w:rPr>
          <w:rFonts w:ascii="IBM Plex Sans Light" w:hAnsi="IBM Plex Sans Light"/>
          <w:sz w:val="18"/>
          <w:szCs w:val="24"/>
        </w:rPr>
      </w:pPr>
    </w:p>
    <w:p w14:paraId="560F2B7E" w14:textId="77777777" w:rsidR="006B43AF" w:rsidRPr="005907D3" w:rsidRDefault="006B43AF" w:rsidP="006B43AF">
      <w:pPr>
        <w:pStyle w:val="Normalaftertable"/>
        <w:rPr>
          <w:rFonts w:ascii="IBM Plex Sans Light" w:hAnsi="IBM Plex Sans Light"/>
          <w:sz w:val="18"/>
          <w:szCs w:val="24"/>
        </w:rPr>
      </w:pPr>
      <w:r w:rsidRPr="00CA670E">
        <w:rPr>
          <w:rFonts w:ascii="IBM Plex Sans Light" w:hAnsi="IBM Plex Sans Light"/>
          <w:sz w:val="18"/>
          <w:szCs w:val="24"/>
        </w:rPr>
        <w:t>The Group’s business model for developments is to use a combination of in-house resource and external advisors. The cost of external advisors is capitalised to the cost of developments. The cost of employees working on developments is generally expensed, but capitalised subject to meeting certain criteria related to the degree of time spent on and the stage of progress of specific projects. Employee costs of £0</w:t>
      </w:r>
      <w:r>
        <w:rPr>
          <w:rFonts w:ascii="IBM Plex Sans Light" w:hAnsi="IBM Plex Sans Light"/>
          <w:sz w:val="18"/>
          <w:szCs w:val="24"/>
        </w:rPr>
        <w:t>.1</w:t>
      </w:r>
      <w:r w:rsidRPr="00CA670E">
        <w:rPr>
          <w:rFonts w:ascii="IBM Plex Sans Light" w:hAnsi="IBM Plex Sans Light"/>
          <w:sz w:val="18"/>
          <w:szCs w:val="24"/>
        </w:rPr>
        <w:t xml:space="preserve"> (202</w:t>
      </w:r>
      <w:r>
        <w:rPr>
          <w:rFonts w:ascii="IBM Plex Sans Light" w:hAnsi="IBM Plex Sans Light"/>
          <w:sz w:val="18"/>
          <w:szCs w:val="24"/>
        </w:rPr>
        <w:t>2</w:t>
      </w:r>
      <w:r w:rsidRPr="00CA670E">
        <w:rPr>
          <w:rFonts w:ascii="IBM Plex Sans Light" w:hAnsi="IBM Plex Sans Light"/>
          <w:sz w:val="18"/>
          <w:szCs w:val="24"/>
        </w:rPr>
        <w:t>: £</w:t>
      </w:r>
      <w:r>
        <w:rPr>
          <w:rFonts w:ascii="IBM Plex Sans Light" w:hAnsi="IBM Plex Sans Light"/>
          <w:sz w:val="18"/>
          <w:szCs w:val="24"/>
        </w:rPr>
        <w:t>0.8m</w:t>
      </w:r>
      <w:r w:rsidRPr="00CA670E">
        <w:rPr>
          <w:rFonts w:ascii="IBM Plex Sans Light" w:hAnsi="IBM Plex Sans Light"/>
          <w:sz w:val="18"/>
          <w:szCs w:val="24"/>
        </w:rPr>
        <w:t>) were capitalised as development costs and are not included within ‘Gross administration costs</w:t>
      </w:r>
      <w:r>
        <w:rPr>
          <w:rFonts w:ascii="IBM Plex Sans Light" w:hAnsi="IBM Plex Sans Light"/>
          <w:sz w:val="18"/>
          <w:szCs w:val="24"/>
        </w:rPr>
        <w:t>’</w:t>
      </w:r>
      <w:r w:rsidRPr="005907D3">
        <w:rPr>
          <w:rFonts w:ascii="IBM Plex Sans Light" w:hAnsi="IBM Plex Sans Light"/>
          <w:sz w:val="18"/>
          <w:szCs w:val="24"/>
        </w:rPr>
        <w:t>.</w:t>
      </w:r>
    </w:p>
    <w:p w14:paraId="1F046568" w14:textId="7789C124" w:rsidR="006B43AF" w:rsidRPr="005907D3" w:rsidRDefault="006B43AF" w:rsidP="006B43AF">
      <w:pPr>
        <w:rPr>
          <w:rFonts w:ascii="IBM Plex Sans Light" w:hAnsi="IBM Plex Sans Light"/>
          <w:highlight w:val="yellow"/>
        </w:rPr>
      </w:pPr>
    </w:p>
    <w:p w14:paraId="06B2F817"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Valuation analysis</w:t>
      </w:r>
    </w:p>
    <w:p w14:paraId="1AE42B67" w14:textId="77777777" w:rsidR="006B43AF" w:rsidRPr="00280504" w:rsidRDefault="006B43AF" w:rsidP="006B43AF">
      <w:pPr>
        <w:rPr>
          <w:rFonts w:ascii="IBM Plex Sans Light" w:hAnsi="IBM Plex Sans Light"/>
          <w:b/>
        </w:rPr>
      </w:pPr>
      <w:r w:rsidRPr="00280504">
        <w:rPr>
          <w:rFonts w:ascii="IBM Plex Sans Light" w:hAnsi="IBM Plex Sans Light"/>
          <w:b/>
        </w:rPr>
        <w:t>Table 9</w:t>
      </w:r>
    </w:p>
    <w:tbl>
      <w:tblPr>
        <w:tblW w:w="9811" w:type="dxa"/>
        <w:tblLayout w:type="fixed"/>
        <w:tblCellMar>
          <w:left w:w="0" w:type="dxa"/>
          <w:right w:w="0" w:type="dxa"/>
        </w:tblCellMar>
        <w:tblLook w:val="04A0" w:firstRow="1" w:lastRow="0" w:firstColumn="1" w:lastColumn="0" w:noHBand="0" w:noVBand="1"/>
      </w:tblPr>
      <w:tblGrid>
        <w:gridCol w:w="2268"/>
        <w:gridCol w:w="284"/>
        <w:gridCol w:w="453"/>
        <w:gridCol w:w="1021"/>
        <w:gridCol w:w="1021"/>
        <w:gridCol w:w="794"/>
        <w:gridCol w:w="794"/>
        <w:gridCol w:w="794"/>
        <w:gridCol w:w="794"/>
        <w:gridCol w:w="794"/>
        <w:gridCol w:w="794"/>
      </w:tblGrid>
      <w:tr w:rsidR="006B43AF" w:rsidRPr="005907D3" w14:paraId="21789199" w14:textId="77777777" w:rsidTr="004203CD">
        <w:trPr>
          <w:trHeight w:val="20"/>
        </w:trPr>
        <w:tc>
          <w:tcPr>
            <w:tcW w:w="2268" w:type="dxa"/>
            <w:tcBorders>
              <w:bottom w:val="single" w:sz="2" w:space="0" w:color="3D7FE0" w:themeColor="accent1"/>
            </w:tcBorders>
            <w:shd w:val="clear" w:color="auto" w:fill="auto"/>
            <w:vAlign w:val="bottom"/>
          </w:tcPr>
          <w:p w14:paraId="3E61C5DE" w14:textId="77777777" w:rsidR="006B43AF" w:rsidRPr="005907D3" w:rsidRDefault="006B43AF" w:rsidP="004203CD">
            <w:pPr>
              <w:pStyle w:val="TablesTColHeadsLeft"/>
              <w:rPr>
                <w:rFonts w:ascii="IBM Plex Sans Light" w:hAnsi="IBM Plex Sans Light"/>
              </w:rPr>
            </w:pPr>
          </w:p>
        </w:tc>
        <w:tc>
          <w:tcPr>
            <w:tcW w:w="284" w:type="dxa"/>
            <w:tcBorders>
              <w:bottom w:val="single" w:sz="2" w:space="0" w:color="3D7FE0" w:themeColor="accent1"/>
            </w:tcBorders>
            <w:shd w:val="clear" w:color="auto" w:fill="auto"/>
            <w:vAlign w:val="bottom"/>
          </w:tcPr>
          <w:p w14:paraId="47F09902" w14:textId="77777777" w:rsidR="006B43AF" w:rsidRPr="005907D3" w:rsidRDefault="006B43AF" w:rsidP="004203CD">
            <w:pPr>
              <w:pStyle w:val="TablesTColHeadsLeft"/>
              <w:rPr>
                <w:rFonts w:ascii="IBM Plex Sans Light" w:hAnsi="IBM Plex Sans Light"/>
              </w:rPr>
            </w:pPr>
          </w:p>
        </w:tc>
        <w:tc>
          <w:tcPr>
            <w:tcW w:w="453" w:type="dxa"/>
            <w:tcBorders>
              <w:bottom w:val="single" w:sz="2" w:space="0" w:color="3D7FE0" w:themeColor="accent1"/>
            </w:tcBorders>
          </w:tcPr>
          <w:p w14:paraId="742AC6E0" w14:textId="77777777" w:rsidR="006B43AF" w:rsidRPr="005907D3" w:rsidRDefault="006B43AF" w:rsidP="004203CD">
            <w:pPr>
              <w:pStyle w:val="TableTColHeadsBoldNoIndent"/>
              <w:rPr>
                <w:rFonts w:ascii="IBM Plex Sans Light" w:hAnsi="IBM Plex Sans Light"/>
              </w:rPr>
            </w:pPr>
          </w:p>
        </w:tc>
        <w:tc>
          <w:tcPr>
            <w:tcW w:w="1021" w:type="dxa"/>
            <w:tcBorders>
              <w:bottom w:val="single" w:sz="2" w:space="0" w:color="3D7FE0" w:themeColor="accent1"/>
            </w:tcBorders>
            <w:shd w:val="clear" w:color="auto" w:fill="auto"/>
            <w:vAlign w:val="bottom"/>
          </w:tcPr>
          <w:p w14:paraId="281C87D2" w14:textId="77777777" w:rsidR="006B43AF" w:rsidRPr="005907D3" w:rsidRDefault="006B43AF" w:rsidP="004203CD">
            <w:pPr>
              <w:pStyle w:val="TableTColHeadsBoldNoIndent"/>
              <w:rPr>
                <w:rFonts w:ascii="IBM Plex Sans Light" w:hAnsi="IBM Plex Sans Light"/>
                <w:color w:val="3D7FE0" w:themeColor="accent1"/>
                <w:sz w:val="14"/>
                <w:szCs w:val="24"/>
              </w:rPr>
            </w:pPr>
          </w:p>
        </w:tc>
        <w:tc>
          <w:tcPr>
            <w:tcW w:w="1021" w:type="dxa"/>
            <w:tcBorders>
              <w:bottom w:val="single" w:sz="2" w:space="0" w:color="3D7FE0" w:themeColor="accent1"/>
            </w:tcBorders>
            <w:shd w:val="clear" w:color="auto" w:fill="auto"/>
            <w:vAlign w:val="bottom"/>
          </w:tcPr>
          <w:p w14:paraId="69935449" w14:textId="77777777" w:rsidR="006B43AF" w:rsidRPr="005907D3" w:rsidRDefault="006B43AF" w:rsidP="004203CD">
            <w:pPr>
              <w:pStyle w:val="TablesTColHeadsBold"/>
              <w:rPr>
                <w:rFonts w:ascii="IBM Plex Sans Light" w:hAnsi="IBM Plex Sans Light"/>
                <w:color w:val="3D7FE0" w:themeColor="accent1"/>
                <w:sz w:val="14"/>
                <w:szCs w:val="24"/>
              </w:rPr>
            </w:pPr>
          </w:p>
        </w:tc>
        <w:tc>
          <w:tcPr>
            <w:tcW w:w="794" w:type="dxa"/>
            <w:tcBorders>
              <w:bottom w:val="single" w:sz="2" w:space="0" w:color="3D7FE0" w:themeColor="accent1"/>
            </w:tcBorders>
          </w:tcPr>
          <w:p w14:paraId="54155BEB" w14:textId="77777777" w:rsidR="006B43AF" w:rsidRPr="005907D3" w:rsidRDefault="006B43AF" w:rsidP="004203CD">
            <w:pPr>
              <w:pStyle w:val="TablesTColHeadsBold"/>
              <w:rPr>
                <w:rFonts w:ascii="IBM Plex Sans Light" w:hAnsi="IBM Plex Sans Light"/>
                <w:color w:val="3D7FE0" w:themeColor="accent1"/>
                <w:sz w:val="14"/>
                <w:szCs w:val="24"/>
              </w:rPr>
            </w:pPr>
          </w:p>
        </w:tc>
        <w:tc>
          <w:tcPr>
            <w:tcW w:w="794" w:type="dxa"/>
            <w:tcBorders>
              <w:bottom w:val="single" w:sz="2" w:space="0" w:color="3D7FE0" w:themeColor="accent1"/>
            </w:tcBorders>
            <w:shd w:val="clear" w:color="auto" w:fill="auto"/>
            <w:vAlign w:val="bottom"/>
          </w:tcPr>
          <w:p w14:paraId="527439AF" w14:textId="77777777" w:rsidR="006B43AF" w:rsidRPr="005907D3" w:rsidRDefault="006B43AF" w:rsidP="004203CD">
            <w:pPr>
              <w:pStyle w:val="TablesTColHeadsBold"/>
              <w:rPr>
                <w:rFonts w:ascii="IBM Plex Sans Light" w:hAnsi="IBM Plex Sans Light"/>
                <w:color w:val="3D7FE0" w:themeColor="accent1"/>
                <w:sz w:val="14"/>
                <w:szCs w:val="24"/>
              </w:rPr>
            </w:pPr>
          </w:p>
        </w:tc>
        <w:tc>
          <w:tcPr>
            <w:tcW w:w="794" w:type="dxa"/>
            <w:tcBorders>
              <w:bottom w:val="single" w:sz="2" w:space="0" w:color="3D7FE0" w:themeColor="accent1"/>
            </w:tcBorders>
            <w:shd w:val="clear" w:color="auto" w:fill="auto"/>
            <w:vAlign w:val="bottom"/>
          </w:tcPr>
          <w:p w14:paraId="4FD5DD51" w14:textId="77777777" w:rsidR="006B43AF" w:rsidRPr="005907D3" w:rsidRDefault="006B43AF" w:rsidP="004203CD">
            <w:pPr>
              <w:pStyle w:val="TablesTColHeadsBold"/>
              <w:rPr>
                <w:rFonts w:ascii="IBM Plex Sans Light" w:hAnsi="IBM Plex Sans Light"/>
                <w:color w:val="3D7FE0" w:themeColor="accent1"/>
                <w:sz w:val="14"/>
                <w:szCs w:val="24"/>
              </w:rPr>
            </w:pPr>
          </w:p>
        </w:tc>
        <w:tc>
          <w:tcPr>
            <w:tcW w:w="2382" w:type="dxa"/>
            <w:gridSpan w:val="3"/>
            <w:tcBorders>
              <w:bottom w:val="single" w:sz="2" w:space="0" w:color="3D7FE0" w:themeColor="accent1"/>
            </w:tcBorders>
            <w:shd w:val="clear" w:color="auto" w:fill="auto"/>
            <w:vAlign w:val="bottom"/>
          </w:tcPr>
          <w:p w14:paraId="5A985819" w14:textId="77777777" w:rsidR="006B43AF" w:rsidRPr="005907D3" w:rsidRDefault="006B43AF" w:rsidP="004203CD">
            <w:pPr>
              <w:pStyle w:val="TableTColHeadsBoldNoIndent"/>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p>
        </w:tc>
      </w:tr>
      <w:tr w:rsidR="006B43AF" w:rsidRPr="005907D3" w14:paraId="465E5436" w14:textId="77777777" w:rsidTr="004203CD">
        <w:trPr>
          <w:trHeight w:val="20"/>
        </w:trPr>
        <w:tc>
          <w:tcPr>
            <w:tcW w:w="2268" w:type="dxa"/>
            <w:tcBorders>
              <w:top w:val="single" w:sz="2" w:space="0" w:color="3D7FE0" w:themeColor="accent1"/>
              <w:bottom w:val="single" w:sz="2" w:space="0" w:color="3D7FE0" w:themeColor="accent1"/>
            </w:tcBorders>
            <w:shd w:val="clear" w:color="auto" w:fill="auto"/>
            <w:vAlign w:val="bottom"/>
          </w:tcPr>
          <w:p w14:paraId="29765E3E" w14:textId="77777777" w:rsidR="006B43AF" w:rsidRPr="005907D3" w:rsidRDefault="006B43AF" w:rsidP="004203CD">
            <w:pPr>
              <w:pStyle w:val="TablesTColHeadsLeft"/>
              <w:ind w:left="142" w:hanging="142"/>
              <w:rPr>
                <w:rFonts w:ascii="IBM Plex Sans Light" w:hAnsi="IBM Plex Sans Light"/>
              </w:rPr>
            </w:pPr>
            <w:r w:rsidRPr="005907D3">
              <w:rPr>
                <w:rFonts w:ascii="IBM Plex Sans Light" w:hAnsi="IBM Plex Sans Light"/>
                <w:b/>
                <w:bCs/>
                <w:color w:val="3D7FE0" w:themeColor="accent1"/>
                <w:sz w:val="14"/>
                <w:szCs w:val="24"/>
              </w:rPr>
              <w:t>Proportionally consolidated -  including Value Retail</w:t>
            </w:r>
          </w:p>
        </w:tc>
        <w:tc>
          <w:tcPr>
            <w:tcW w:w="284" w:type="dxa"/>
            <w:tcBorders>
              <w:top w:val="single" w:sz="2" w:space="0" w:color="3D7FE0" w:themeColor="accent1"/>
              <w:bottom w:val="single" w:sz="2" w:space="0" w:color="3D7FE0" w:themeColor="accent1"/>
            </w:tcBorders>
            <w:shd w:val="clear" w:color="auto" w:fill="auto"/>
            <w:vAlign w:val="bottom"/>
          </w:tcPr>
          <w:p w14:paraId="3D0A4B30" w14:textId="77777777" w:rsidR="006B43AF" w:rsidRPr="005907D3" w:rsidRDefault="006B43AF" w:rsidP="004203CD">
            <w:pPr>
              <w:pStyle w:val="TablesTColHeadsLeft"/>
              <w:rPr>
                <w:rFonts w:ascii="IBM Plex Sans Light" w:hAnsi="IBM Plex Sans Light"/>
              </w:rPr>
            </w:pPr>
          </w:p>
        </w:tc>
        <w:tc>
          <w:tcPr>
            <w:tcW w:w="453" w:type="dxa"/>
            <w:tcBorders>
              <w:top w:val="single" w:sz="2" w:space="0" w:color="3D7FE0" w:themeColor="accent1"/>
              <w:bottom w:val="single" w:sz="2" w:space="0" w:color="3D7FE0" w:themeColor="accent1"/>
            </w:tcBorders>
            <w:vAlign w:val="bottom"/>
          </w:tcPr>
          <w:p w14:paraId="4EF34209" w14:textId="77777777" w:rsidR="006B43AF" w:rsidRPr="005907D3" w:rsidRDefault="006B43AF" w:rsidP="004203CD">
            <w:pPr>
              <w:pStyle w:val="TablesTFigures"/>
              <w:spacing w:line="240" w:lineRule="exact"/>
              <w:rPr>
                <w:rFonts w:ascii="IBM Plex Sans Light" w:hAnsi="IBM Plex Sans Light"/>
                <w:sz w:val="18"/>
                <w:szCs w:val="18"/>
              </w:rPr>
            </w:pPr>
          </w:p>
        </w:tc>
        <w:tc>
          <w:tcPr>
            <w:tcW w:w="1021" w:type="dxa"/>
            <w:tcBorders>
              <w:top w:val="single" w:sz="2" w:space="0" w:color="3D7FE0" w:themeColor="accent1"/>
              <w:bottom w:val="single" w:sz="2" w:space="0" w:color="3D7FE0" w:themeColor="accent1"/>
            </w:tcBorders>
            <w:shd w:val="clear" w:color="auto" w:fill="auto"/>
            <w:vAlign w:val="bottom"/>
          </w:tcPr>
          <w:p w14:paraId="653925B0" w14:textId="77777777" w:rsidR="006B43AF" w:rsidRDefault="006B43AF" w:rsidP="004203CD">
            <w:pPr>
              <w:pStyle w:val="TableTColHeadsBoldNoIndent"/>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Properties </w:t>
            </w:r>
            <w:r w:rsidRPr="005907D3">
              <w:rPr>
                <w:rFonts w:ascii="IBM Plex Sans Light" w:hAnsi="IBM Plex Sans Light"/>
                <w:color w:val="3D7FE0" w:themeColor="accent1"/>
                <w:sz w:val="14"/>
                <w:szCs w:val="24"/>
              </w:rPr>
              <w:br/>
              <w:t>at valuation</w:t>
            </w:r>
          </w:p>
          <w:p w14:paraId="5C67C9A5" w14:textId="77777777" w:rsidR="006B43AF" w:rsidRPr="005907D3" w:rsidRDefault="006B43AF" w:rsidP="004203CD">
            <w:pPr>
              <w:pStyle w:val="TableTColHeadsBoldNoIndent"/>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vertAlign w:val="superscript"/>
              </w:rPr>
              <w:t> </w:t>
            </w:r>
            <w:r w:rsidRPr="005907D3">
              <w:rPr>
                <w:rFonts w:ascii="IBM Plex Sans Light" w:hAnsi="IBM Plex Sans Light"/>
                <w:color w:val="3D7FE0" w:themeColor="accent1"/>
                <w:sz w:val="14"/>
                <w:szCs w:val="24"/>
              </w:rPr>
              <w:br/>
              <w:t>£m </w:t>
            </w:r>
          </w:p>
        </w:tc>
        <w:tc>
          <w:tcPr>
            <w:tcW w:w="1021" w:type="dxa"/>
            <w:tcBorders>
              <w:top w:val="single" w:sz="2" w:space="0" w:color="3D7FE0" w:themeColor="accent1"/>
              <w:bottom w:val="single" w:sz="2" w:space="0" w:color="3D7FE0" w:themeColor="accent1"/>
            </w:tcBorders>
            <w:shd w:val="clear" w:color="auto" w:fill="auto"/>
            <w:vAlign w:val="bottom"/>
          </w:tcPr>
          <w:p w14:paraId="14AFB0AF"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Revaluation losses </w:t>
            </w:r>
            <w:r w:rsidRPr="005907D3">
              <w:rPr>
                <w:rFonts w:ascii="IBM Plex Sans Light" w:hAnsi="IBM Plex Sans Light"/>
                <w:color w:val="3D7FE0" w:themeColor="accent1"/>
                <w:sz w:val="14"/>
                <w:szCs w:val="24"/>
              </w:rPr>
              <w:br/>
              <w:t xml:space="preserve">in the </w:t>
            </w:r>
            <w:r>
              <w:rPr>
                <w:rFonts w:ascii="IBM Plex Sans Light" w:hAnsi="IBM Plex Sans Light"/>
                <w:color w:val="3D7FE0" w:themeColor="accent1"/>
                <w:sz w:val="14"/>
                <w:szCs w:val="24"/>
              </w:rPr>
              <w:t>year</w:t>
            </w:r>
          </w:p>
          <w:p w14:paraId="3319F913"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br/>
              <w:t>£m</w:t>
            </w:r>
          </w:p>
        </w:tc>
        <w:tc>
          <w:tcPr>
            <w:tcW w:w="794" w:type="dxa"/>
            <w:tcBorders>
              <w:top w:val="single" w:sz="2" w:space="0" w:color="3D7FE0" w:themeColor="accent1"/>
              <w:bottom w:val="single" w:sz="2" w:space="0" w:color="3D7FE0" w:themeColor="accent1"/>
            </w:tcBorders>
            <w:vAlign w:val="bottom"/>
          </w:tcPr>
          <w:p w14:paraId="06751D08"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Income </w:t>
            </w:r>
            <w:r w:rsidRPr="005907D3">
              <w:rPr>
                <w:rFonts w:ascii="IBM Plex Sans Light" w:hAnsi="IBM Plex Sans Light"/>
                <w:color w:val="3D7FE0" w:themeColor="accent1"/>
                <w:sz w:val="14"/>
                <w:szCs w:val="24"/>
              </w:rPr>
              <w:br/>
              <w:t>return</w:t>
            </w:r>
          </w:p>
          <w:p w14:paraId="55E76830" w14:textId="77564990" w:rsidR="006B43AF" w:rsidRPr="005907D3" w:rsidRDefault="007F605B" w:rsidP="004203CD">
            <w:pPr>
              <w:pStyle w:val="TablesTColHeadsBold"/>
              <w:rPr>
                <w:rFonts w:ascii="IBM Plex Sans Light" w:hAnsi="IBM Plex Sans Light"/>
                <w:color w:val="3D7FE0" w:themeColor="accent1"/>
                <w:sz w:val="14"/>
                <w:szCs w:val="24"/>
              </w:rPr>
            </w:pPr>
            <w:r>
              <w:rPr>
                <w:rFonts w:ascii="IBM Plex Sans Light" w:hAnsi="IBM Plex Sans Light"/>
                <w:color w:val="3D7FE0" w:themeColor="accent1"/>
                <w:sz w:val="14"/>
                <w:szCs w:val="24"/>
              </w:rPr>
              <w:t>a</w:t>
            </w:r>
            <w:r w:rsidR="006B43AF" w:rsidRPr="005907D3">
              <w:rPr>
                <w:rFonts w:ascii="IBM Plex Sans Light" w:hAnsi="IBM Plex Sans Light"/>
                <w:color w:val="3D7FE0" w:themeColor="accent1"/>
                <w:sz w:val="14"/>
                <w:szCs w:val="24"/>
              </w:rPr>
              <w:br/>
              <w:t>%</w:t>
            </w:r>
          </w:p>
        </w:tc>
        <w:tc>
          <w:tcPr>
            <w:tcW w:w="794" w:type="dxa"/>
            <w:tcBorders>
              <w:top w:val="single" w:sz="2" w:space="0" w:color="3D7FE0" w:themeColor="accent1"/>
              <w:bottom w:val="single" w:sz="2" w:space="0" w:color="3D7FE0" w:themeColor="accent1"/>
            </w:tcBorders>
            <w:shd w:val="clear" w:color="auto" w:fill="auto"/>
            <w:vAlign w:val="bottom"/>
          </w:tcPr>
          <w:p w14:paraId="2994E0B1"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Capital </w:t>
            </w:r>
            <w:r w:rsidRPr="005907D3">
              <w:rPr>
                <w:rFonts w:ascii="IBM Plex Sans Light" w:hAnsi="IBM Plex Sans Light"/>
                <w:color w:val="3D7FE0" w:themeColor="accent1"/>
                <w:sz w:val="14"/>
                <w:szCs w:val="24"/>
              </w:rPr>
              <w:br/>
              <w:t>return</w:t>
            </w:r>
          </w:p>
          <w:p w14:paraId="4F7CA551" w14:textId="5A11AC01" w:rsidR="006B43AF" w:rsidRPr="005907D3" w:rsidRDefault="007F605B" w:rsidP="004203CD">
            <w:pPr>
              <w:pStyle w:val="TablesTColHeadsBold"/>
              <w:rPr>
                <w:rFonts w:ascii="IBM Plex Sans Light" w:hAnsi="IBM Plex Sans Light"/>
                <w:color w:val="3D7FE0" w:themeColor="accent1"/>
                <w:sz w:val="14"/>
                <w:szCs w:val="24"/>
              </w:rPr>
            </w:pPr>
            <w:proofErr w:type="spellStart"/>
            <w:r>
              <w:rPr>
                <w:rFonts w:ascii="IBM Plex Sans Light" w:hAnsi="IBM Plex Sans Light"/>
                <w:color w:val="3D7FE0" w:themeColor="accent1"/>
                <w:sz w:val="14"/>
                <w:szCs w:val="24"/>
              </w:rPr>
              <w:t>a,b</w:t>
            </w:r>
            <w:proofErr w:type="spellEnd"/>
            <w:r w:rsidR="006B43AF" w:rsidRPr="005907D3">
              <w:rPr>
                <w:rFonts w:ascii="IBM Plex Sans Light" w:hAnsi="IBM Plex Sans Light"/>
                <w:color w:val="3D7FE0" w:themeColor="accent1"/>
                <w:sz w:val="14"/>
                <w:szCs w:val="24"/>
              </w:rPr>
              <w:br/>
              <w:t>%</w:t>
            </w:r>
          </w:p>
        </w:tc>
        <w:tc>
          <w:tcPr>
            <w:tcW w:w="794" w:type="dxa"/>
            <w:tcBorders>
              <w:top w:val="single" w:sz="2" w:space="0" w:color="3D7FE0" w:themeColor="accent1"/>
              <w:bottom w:val="single" w:sz="2" w:space="0" w:color="3D7FE0" w:themeColor="accent1"/>
            </w:tcBorders>
            <w:shd w:val="clear" w:color="auto" w:fill="auto"/>
            <w:vAlign w:val="bottom"/>
          </w:tcPr>
          <w:p w14:paraId="7BDEE50C"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Total </w:t>
            </w:r>
            <w:r w:rsidRPr="005907D3">
              <w:rPr>
                <w:rFonts w:ascii="IBM Plex Sans Light" w:hAnsi="IBM Plex Sans Light"/>
                <w:color w:val="3D7FE0" w:themeColor="accent1"/>
                <w:sz w:val="14"/>
                <w:szCs w:val="24"/>
              </w:rPr>
              <w:br/>
              <w:t>return</w:t>
            </w:r>
          </w:p>
          <w:p w14:paraId="3105E849" w14:textId="40F3E539" w:rsidR="006B43AF" w:rsidRPr="005907D3" w:rsidRDefault="007F605B" w:rsidP="004203CD">
            <w:pPr>
              <w:pStyle w:val="TablesTColHeadsBold"/>
              <w:rPr>
                <w:rFonts w:ascii="IBM Plex Sans Light" w:hAnsi="IBM Plex Sans Light"/>
                <w:color w:val="3D7FE0" w:themeColor="accent1"/>
                <w:sz w:val="14"/>
                <w:szCs w:val="24"/>
              </w:rPr>
            </w:pPr>
            <w:proofErr w:type="spellStart"/>
            <w:r>
              <w:rPr>
                <w:rFonts w:ascii="IBM Plex Sans Light" w:hAnsi="IBM Plex Sans Light"/>
                <w:color w:val="3D7FE0" w:themeColor="accent1"/>
                <w:sz w:val="14"/>
                <w:szCs w:val="24"/>
              </w:rPr>
              <w:t>a,b</w:t>
            </w:r>
            <w:proofErr w:type="spellEnd"/>
            <w:r w:rsidR="006B43AF" w:rsidRPr="005907D3">
              <w:rPr>
                <w:rFonts w:ascii="IBM Plex Sans Light" w:hAnsi="IBM Plex Sans Light"/>
                <w:color w:val="3D7FE0" w:themeColor="accent1"/>
                <w:sz w:val="14"/>
                <w:szCs w:val="24"/>
              </w:rPr>
              <w:br/>
              <w:t>%</w:t>
            </w:r>
          </w:p>
        </w:tc>
        <w:tc>
          <w:tcPr>
            <w:tcW w:w="794" w:type="dxa"/>
            <w:tcBorders>
              <w:top w:val="single" w:sz="2" w:space="0" w:color="3D7FE0" w:themeColor="accent1"/>
              <w:bottom w:val="single" w:sz="2" w:space="0" w:color="3D7FE0" w:themeColor="accent1"/>
            </w:tcBorders>
            <w:shd w:val="clear" w:color="auto" w:fill="auto"/>
            <w:vAlign w:val="bottom"/>
          </w:tcPr>
          <w:p w14:paraId="4AACF3CA"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Initial </w:t>
            </w:r>
            <w:r w:rsidRPr="005907D3">
              <w:rPr>
                <w:rFonts w:ascii="IBM Plex Sans Light" w:hAnsi="IBM Plex Sans Light"/>
                <w:color w:val="3D7FE0" w:themeColor="accent1"/>
                <w:sz w:val="14"/>
                <w:szCs w:val="24"/>
              </w:rPr>
              <w:br/>
              <w:t>yield</w:t>
            </w:r>
          </w:p>
          <w:p w14:paraId="681159DB"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br/>
              <w:t>%</w:t>
            </w:r>
          </w:p>
        </w:tc>
        <w:tc>
          <w:tcPr>
            <w:tcW w:w="794" w:type="dxa"/>
            <w:tcBorders>
              <w:top w:val="single" w:sz="2" w:space="0" w:color="3D7FE0" w:themeColor="accent1"/>
              <w:bottom w:val="single" w:sz="2" w:space="0" w:color="3D7FE0" w:themeColor="accent1"/>
            </w:tcBorders>
            <w:shd w:val="clear" w:color="auto" w:fill="auto"/>
            <w:vAlign w:val="bottom"/>
          </w:tcPr>
          <w:p w14:paraId="7CB11FB7"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True </w:t>
            </w:r>
            <w:r w:rsidRPr="005907D3">
              <w:rPr>
                <w:rFonts w:ascii="IBM Plex Sans Light" w:hAnsi="IBM Plex Sans Light"/>
                <w:color w:val="3D7FE0" w:themeColor="accent1"/>
                <w:sz w:val="14"/>
                <w:szCs w:val="24"/>
              </w:rPr>
              <w:br/>
              <w:t xml:space="preserve">equivalent </w:t>
            </w:r>
            <w:r w:rsidRPr="005907D3">
              <w:rPr>
                <w:rFonts w:ascii="IBM Plex Sans Light" w:hAnsi="IBM Plex Sans Light"/>
                <w:color w:val="3D7FE0" w:themeColor="accent1"/>
                <w:sz w:val="14"/>
                <w:szCs w:val="24"/>
              </w:rPr>
              <w:br/>
              <w:t>yield</w:t>
            </w:r>
          </w:p>
          <w:p w14:paraId="321AA4AB"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br/>
              <w:t>%</w:t>
            </w:r>
          </w:p>
        </w:tc>
        <w:tc>
          <w:tcPr>
            <w:tcW w:w="794" w:type="dxa"/>
            <w:tcBorders>
              <w:top w:val="single" w:sz="2" w:space="0" w:color="3D7FE0" w:themeColor="accent1"/>
              <w:bottom w:val="single" w:sz="2" w:space="0" w:color="3D7FE0" w:themeColor="accent1"/>
            </w:tcBorders>
            <w:shd w:val="clear" w:color="auto" w:fill="auto"/>
            <w:vAlign w:val="bottom"/>
          </w:tcPr>
          <w:p w14:paraId="432C1142" w14:textId="77777777" w:rsidR="006B43AF"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Nominal </w:t>
            </w:r>
            <w:r w:rsidRPr="005907D3">
              <w:rPr>
                <w:rFonts w:ascii="IBM Plex Sans Light" w:hAnsi="IBM Plex Sans Light"/>
                <w:color w:val="3D7FE0" w:themeColor="accent1"/>
                <w:sz w:val="14"/>
                <w:szCs w:val="24"/>
              </w:rPr>
              <w:br/>
              <w:t xml:space="preserve">equivalent </w:t>
            </w:r>
            <w:r w:rsidRPr="005907D3">
              <w:rPr>
                <w:rFonts w:ascii="IBM Plex Sans Light" w:hAnsi="IBM Plex Sans Light"/>
                <w:color w:val="3D7FE0" w:themeColor="accent1"/>
                <w:sz w:val="14"/>
                <w:szCs w:val="24"/>
              </w:rPr>
              <w:br/>
              <w:t>yield</w:t>
            </w:r>
          </w:p>
          <w:p w14:paraId="0C9EE25A" w14:textId="060A8A2C" w:rsidR="006B43AF" w:rsidRPr="005907D3" w:rsidRDefault="007F605B" w:rsidP="004203CD">
            <w:pPr>
              <w:pStyle w:val="TablesTColHeadsBold"/>
              <w:rPr>
                <w:rFonts w:ascii="IBM Plex Sans Light" w:hAnsi="IBM Plex Sans Light"/>
                <w:color w:val="3D7FE0" w:themeColor="accent1"/>
                <w:sz w:val="14"/>
                <w:szCs w:val="24"/>
              </w:rPr>
            </w:pPr>
            <w:r>
              <w:rPr>
                <w:rFonts w:ascii="IBM Plex Sans Light" w:hAnsi="IBM Plex Sans Light"/>
                <w:color w:val="3D7FE0" w:themeColor="accent1"/>
                <w:sz w:val="14"/>
                <w:szCs w:val="24"/>
              </w:rPr>
              <w:t>c</w:t>
            </w:r>
            <w:r w:rsidR="006B43AF" w:rsidRPr="005907D3">
              <w:rPr>
                <w:rFonts w:ascii="IBM Plex Sans Light" w:hAnsi="IBM Plex Sans Light"/>
                <w:color w:val="3D7FE0" w:themeColor="accent1"/>
                <w:sz w:val="14"/>
                <w:szCs w:val="24"/>
              </w:rPr>
              <w:br/>
              <w:t>%</w:t>
            </w:r>
          </w:p>
        </w:tc>
      </w:tr>
      <w:tr w:rsidR="006B43AF" w:rsidRPr="005907D3" w14:paraId="26BD11E3" w14:textId="77777777" w:rsidTr="004203CD">
        <w:trPr>
          <w:trHeight w:hRule="exact" w:val="255"/>
        </w:trPr>
        <w:tc>
          <w:tcPr>
            <w:tcW w:w="2268" w:type="dxa"/>
            <w:tcBorders>
              <w:top w:val="single" w:sz="2" w:space="0" w:color="3D7FE0" w:themeColor="accent1"/>
            </w:tcBorders>
            <w:shd w:val="clear" w:color="auto" w:fill="auto"/>
            <w:vAlign w:val="bottom"/>
          </w:tcPr>
          <w:p w14:paraId="2BD17A54"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UK</w:t>
            </w:r>
          </w:p>
        </w:tc>
        <w:tc>
          <w:tcPr>
            <w:tcW w:w="284" w:type="dxa"/>
            <w:tcBorders>
              <w:top w:val="single" w:sz="2" w:space="0" w:color="3D7FE0" w:themeColor="accent1"/>
            </w:tcBorders>
            <w:shd w:val="clear" w:color="auto" w:fill="auto"/>
            <w:vAlign w:val="bottom"/>
          </w:tcPr>
          <w:p w14:paraId="1E4EB2C6" w14:textId="77777777" w:rsidR="006B43AF" w:rsidRPr="005907D3" w:rsidRDefault="006B43AF" w:rsidP="004203CD">
            <w:pPr>
              <w:pStyle w:val="TablesTText"/>
              <w:spacing w:line="276" w:lineRule="auto"/>
              <w:rPr>
                <w:rFonts w:ascii="IBM Plex Sans Light" w:hAnsi="IBM Plex Sans Light"/>
                <w:sz w:val="18"/>
                <w:szCs w:val="18"/>
              </w:rPr>
            </w:pPr>
          </w:p>
        </w:tc>
        <w:tc>
          <w:tcPr>
            <w:tcW w:w="453" w:type="dxa"/>
            <w:tcBorders>
              <w:top w:val="single" w:sz="2" w:space="0" w:color="3D7FE0" w:themeColor="accent1"/>
            </w:tcBorders>
          </w:tcPr>
          <w:p w14:paraId="4C2D09A1" w14:textId="77777777" w:rsidR="006B43AF" w:rsidRPr="005907D3" w:rsidDel="00D32D5F" w:rsidRDefault="006B43AF" w:rsidP="004203CD">
            <w:pPr>
              <w:pStyle w:val="TablesTFigures"/>
              <w:spacing w:line="276" w:lineRule="auto"/>
              <w:rPr>
                <w:rFonts w:ascii="IBM Plex Sans Light" w:hAnsi="IBM Plex Sans Light"/>
                <w:color w:val="1D5BB7" w:themeColor="accent1" w:themeShade="BF"/>
                <w:sz w:val="18"/>
                <w:szCs w:val="18"/>
              </w:rPr>
            </w:pPr>
          </w:p>
        </w:tc>
        <w:tc>
          <w:tcPr>
            <w:tcW w:w="1021" w:type="dxa"/>
            <w:tcBorders>
              <w:top w:val="single" w:sz="2" w:space="0" w:color="3D7FE0" w:themeColor="accent1"/>
            </w:tcBorders>
            <w:shd w:val="clear" w:color="auto" w:fill="auto"/>
            <w:vAlign w:val="bottom"/>
          </w:tcPr>
          <w:p w14:paraId="76D74C10"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863.1</w:t>
            </w:r>
          </w:p>
        </w:tc>
        <w:tc>
          <w:tcPr>
            <w:tcW w:w="1021" w:type="dxa"/>
            <w:tcBorders>
              <w:top w:val="single" w:sz="2" w:space="0" w:color="3D7FE0" w:themeColor="accent1"/>
            </w:tcBorders>
            <w:shd w:val="clear" w:color="auto" w:fill="auto"/>
            <w:vAlign w:val="bottom"/>
          </w:tcPr>
          <w:p w14:paraId="3C8DF534"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(21.8)</w:t>
            </w:r>
          </w:p>
        </w:tc>
        <w:tc>
          <w:tcPr>
            <w:tcW w:w="794" w:type="dxa"/>
            <w:tcBorders>
              <w:top w:val="single" w:sz="2" w:space="0" w:color="3D7FE0" w:themeColor="accent1"/>
            </w:tcBorders>
            <w:vAlign w:val="bottom"/>
          </w:tcPr>
          <w:p w14:paraId="2D049B3E"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8.7</w:t>
            </w:r>
          </w:p>
        </w:tc>
        <w:tc>
          <w:tcPr>
            <w:tcW w:w="794" w:type="dxa"/>
            <w:tcBorders>
              <w:top w:val="single" w:sz="2" w:space="0" w:color="3D7FE0" w:themeColor="accent1"/>
            </w:tcBorders>
            <w:shd w:val="clear" w:color="auto" w:fill="auto"/>
            <w:vAlign w:val="bottom"/>
          </w:tcPr>
          <w:p w14:paraId="24C45AB7"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(2.4)</w:t>
            </w:r>
          </w:p>
        </w:tc>
        <w:tc>
          <w:tcPr>
            <w:tcW w:w="794" w:type="dxa"/>
            <w:tcBorders>
              <w:top w:val="single" w:sz="2" w:space="0" w:color="3D7FE0" w:themeColor="accent1"/>
            </w:tcBorders>
            <w:shd w:val="clear" w:color="auto" w:fill="auto"/>
            <w:vAlign w:val="bottom"/>
          </w:tcPr>
          <w:p w14:paraId="1BD8D302"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6.1</w:t>
            </w:r>
          </w:p>
        </w:tc>
        <w:tc>
          <w:tcPr>
            <w:tcW w:w="794" w:type="dxa"/>
            <w:tcBorders>
              <w:top w:val="single" w:sz="2" w:space="0" w:color="3D7FE0" w:themeColor="accent1"/>
            </w:tcBorders>
            <w:shd w:val="clear" w:color="auto" w:fill="auto"/>
            <w:vAlign w:val="bottom"/>
          </w:tcPr>
          <w:p w14:paraId="6823B3DD"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7.8</w:t>
            </w:r>
          </w:p>
        </w:tc>
        <w:tc>
          <w:tcPr>
            <w:tcW w:w="794" w:type="dxa"/>
            <w:tcBorders>
              <w:top w:val="single" w:sz="2" w:space="0" w:color="3D7FE0" w:themeColor="accent1"/>
            </w:tcBorders>
            <w:shd w:val="clear" w:color="auto" w:fill="auto"/>
            <w:vAlign w:val="bottom"/>
          </w:tcPr>
          <w:p w14:paraId="3CB811B5"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8.5</w:t>
            </w:r>
          </w:p>
        </w:tc>
        <w:tc>
          <w:tcPr>
            <w:tcW w:w="794" w:type="dxa"/>
            <w:tcBorders>
              <w:top w:val="single" w:sz="2" w:space="0" w:color="3D7FE0" w:themeColor="accent1"/>
            </w:tcBorders>
            <w:shd w:val="clear" w:color="auto" w:fill="auto"/>
            <w:vAlign w:val="bottom"/>
          </w:tcPr>
          <w:p w14:paraId="7C8C2038"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8.1</w:t>
            </w:r>
          </w:p>
        </w:tc>
      </w:tr>
      <w:tr w:rsidR="006B43AF" w:rsidRPr="005907D3" w14:paraId="62D4EEDA" w14:textId="77777777" w:rsidTr="004203CD">
        <w:trPr>
          <w:trHeight w:hRule="exact" w:val="255"/>
        </w:trPr>
        <w:tc>
          <w:tcPr>
            <w:tcW w:w="2268" w:type="dxa"/>
            <w:shd w:val="clear" w:color="auto" w:fill="auto"/>
            <w:vAlign w:val="bottom"/>
          </w:tcPr>
          <w:p w14:paraId="3E63E996"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France</w:t>
            </w:r>
          </w:p>
        </w:tc>
        <w:tc>
          <w:tcPr>
            <w:tcW w:w="284" w:type="dxa"/>
            <w:shd w:val="clear" w:color="auto" w:fill="auto"/>
            <w:vAlign w:val="bottom"/>
          </w:tcPr>
          <w:p w14:paraId="1A04FB35" w14:textId="77777777" w:rsidR="006B43AF" w:rsidRPr="005907D3" w:rsidRDefault="006B43AF" w:rsidP="004203CD">
            <w:pPr>
              <w:pStyle w:val="TablesTText"/>
              <w:spacing w:line="276" w:lineRule="auto"/>
              <w:rPr>
                <w:rFonts w:ascii="IBM Plex Sans Light" w:hAnsi="IBM Plex Sans Light"/>
                <w:sz w:val="18"/>
                <w:szCs w:val="18"/>
              </w:rPr>
            </w:pPr>
          </w:p>
        </w:tc>
        <w:tc>
          <w:tcPr>
            <w:tcW w:w="453" w:type="dxa"/>
          </w:tcPr>
          <w:p w14:paraId="4C25E051" w14:textId="4E168700" w:rsidR="006B43AF" w:rsidRPr="005907D3" w:rsidDel="00D32D5F" w:rsidRDefault="006B43AF" w:rsidP="004203CD">
            <w:pPr>
              <w:pStyle w:val="TablesTFigures"/>
              <w:spacing w:line="276" w:lineRule="auto"/>
              <w:rPr>
                <w:rFonts w:ascii="IBM Plex Sans Light" w:hAnsi="IBM Plex Sans Light"/>
                <w:color w:val="1D5BB7" w:themeColor="accent1" w:themeShade="BF"/>
                <w:sz w:val="18"/>
                <w:szCs w:val="18"/>
              </w:rPr>
            </w:pPr>
          </w:p>
        </w:tc>
        <w:tc>
          <w:tcPr>
            <w:tcW w:w="1021" w:type="dxa"/>
            <w:shd w:val="clear" w:color="auto" w:fill="auto"/>
            <w:vAlign w:val="bottom"/>
          </w:tcPr>
          <w:p w14:paraId="641B68E0"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1,003.3</w:t>
            </w:r>
          </w:p>
        </w:tc>
        <w:tc>
          <w:tcPr>
            <w:tcW w:w="1021" w:type="dxa"/>
            <w:shd w:val="clear" w:color="auto" w:fill="auto"/>
            <w:vAlign w:val="bottom"/>
          </w:tcPr>
          <w:p w14:paraId="0A935755"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(15.2)</w:t>
            </w:r>
          </w:p>
        </w:tc>
        <w:tc>
          <w:tcPr>
            <w:tcW w:w="794" w:type="dxa"/>
            <w:vAlign w:val="bottom"/>
          </w:tcPr>
          <w:p w14:paraId="518A1851"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4.6</w:t>
            </w:r>
          </w:p>
        </w:tc>
        <w:tc>
          <w:tcPr>
            <w:tcW w:w="794" w:type="dxa"/>
            <w:shd w:val="clear" w:color="auto" w:fill="auto"/>
            <w:vAlign w:val="bottom"/>
          </w:tcPr>
          <w:p w14:paraId="39D3BD5C"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(4.3)</w:t>
            </w:r>
          </w:p>
        </w:tc>
        <w:tc>
          <w:tcPr>
            <w:tcW w:w="794" w:type="dxa"/>
            <w:shd w:val="clear" w:color="auto" w:fill="auto"/>
            <w:vAlign w:val="bottom"/>
          </w:tcPr>
          <w:p w14:paraId="0B143569" w14:textId="77777777" w:rsidR="006B43AF" w:rsidRPr="00355240" w:rsidRDefault="006B43AF" w:rsidP="00024B10">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0.1</w:t>
            </w:r>
          </w:p>
        </w:tc>
        <w:tc>
          <w:tcPr>
            <w:tcW w:w="794" w:type="dxa"/>
            <w:shd w:val="clear" w:color="auto" w:fill="auto"/>
            <w:vAlign w:val="bottom"/>
          </w:tcPr>
          <w:p w14:paraId="2151BF75"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4.4</w:t>
            </w:r>
          </w:p>
        </w:tc>
        <w:tc>
          <w:tcPr>
            <w:tcW w:w="794" w:type="dxa"/>
            <w:shd w:val="clear" w:color="auto" w:fill="auto"/>
            <w:vAlign w:val="bottom"/>
          </w:tcPr>
          <w:p w14:paraId="582ABBD3"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5.3</w:t>
            </w:r>
          </w:p>
        </w:tc>
        <w:tc>
          <w:tcPr>
            <w:tcW w:w="794" w:type="dxa"/>
            <w:shd w:val="clear" w:color="auto" w:fill="auto"/>
            <w:vAlign w:val="bottom"/>
          </w:tcPr>
          <w:p w14:paraId="7A748310"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5.1</w:t>
            </w:r>
          </w:p>
        </w:tc>
      </w:tr>
      <w:tr w:rsidR="006B43AF" w:rsidRPr="005907D3" w14:paraId="22BB2D9B" w14:textId="77777777" w:rsidTr="004203CD">
        <w:trPr>
          <w:trHeight w:hRule="exact" w:val="255"/>
        </w:trPr>
        <w:tc>
          <w:tcPr>
            <w:tcW w:w="2268" w:type="dxa"/>
            <w:tcBorders>
              <w:bottom w:val="single" w:sz="2" w:space="0" w:color="3D7FE0" w:themeColor="accent1"/>
            </w:tcBorders>
            <w:shd w:val="clear" w:color="auto" w:fill="auto"/>
            <w:vAlign w:val="bottom"/>
          </w:tcPr>
          <w:p w14:paraId="1DDC0CB8"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Ireland</w:t>
            </w:r>
          </w:p>
        </w:tc>
        <w:tc>
          <w:tcPr>
            <w:tcW w:w="284" w:type="dxa"/>
            <w:tcBorders>
              <w:bottom w:val="single" w:sz="2" w:space="0" w:color="3D7FE0" w:themeColor="accent1"/>
            </w:tcBorders>
            <w:shd w:val="clear" w:color="auto" w:fill="auto"/>
            <w:vAlign w:val="bottom"/>
          </w:tcPr>
          <w:p w14:paraId="1DE0BB6C" w14:textId="77777777" w:rsidR="006B43AF" w:rsidRPr="005907D3" w:rsidRDefault="006B43AF" w:rsidP="004203CD">
            <w:pPr>
              <w:pStyle w:val="TablesTText"/>
              <w:spacing w:line="276" w:lineRule="auto"/>
              <w:rPr>
                <w:rFonts w:ascii="IBM Plex Sans Light" w:hAnsi="IBM Plex Sans Light"/>
                <w:sz w:val="18"/>
                <w:szCs w:val="18"/>
              </w:rPr>
            </w:pPr>
          </w:p>
        </w:tc>
        <w:tc>
          <w:tcPr>
            <w:tcW w:w="453" w:type="dxa"/>
            <w:tcBorders>
              <w:bottom w:val="single" w:sz="2" w:space="0" w:color="3D7FE0" w:themeColor="accent1"/>
            </w:tcBorders>
          </w:tcPr>
          <w:p w14:paraId="5182EA23" w14:textId="77777777" w:rsidR="006B43AF" w:rsidRPr="005907D3" w:rsidDel="00D32D5F" w:rsidRDefault="006B43AF" w:rsidP="004203CD">
            <w:pPr>
              <w:pStyle w:val="TablesTFigures"/>
              <w:spacing w:line="276" w:lineRule="auto"/>
              <w:rPr>
                <w:rFonts w:ascii="IBM Plex Sans Light" w:hAnsi="IBM Plex Sans Light"/>
                <w:color w:val="1D5BB7" w:themeColor="accent1" w:themeShade="BF"/>
                <w:sz w:val="18"/>
                <w:szCs w:val="18"/>
              </w:rPr>
            </w:pPr>
          </w:p>
        </w:tc>
        <w:tc>
          <w:tcPr>
            <w:tcW w:w="1021" w:type="dxa"/>
            <w:tcBorders>
              <w:bottom w:val="single" w:sz="2" w:space="0" w:color="3D7FE0" w:themeColor="accent1"/>
            </w:tcBorders>
            <w:shd w:val="clear" w:color="auto" w:fill="auto"/>
            <w:vAlign w:val="bottom"/>
          </w:tcPr>
          <w:p w14:paraId="265D1AA1"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629.7</w:t>
            </w:r>
          </w:p>
        </w:tc>
        <w:tc>
          <w:tcPr>
            <w:tcW w:w="1021" w:type="dxa"/>
            <w:tcBorders>
              <w:bottom w:val="single" w:sz="2" w:space="0" w:color="3D7FE0" w:themeColor="accent1"/>
            </w:tcBorders>
            <w:shd w:val="clear" w:color="auto" w:fill="auto"/>
            <w:vAlign w:val="bottom"/>
          </w:tcPr>
          <w:p w14:paraId="5CD36B21"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(37.5)</w:t>
            </w:r>
          </w:p>
        </w:tc>
        <w:tc>
          <w:tcPr>
            <w:tcW w:w="794" w:type="dxa"/>
            <w:tcBorders>
              <w:bottom w:val="single" w:sz="2" w:space="0" w:color="3D7FE0" w:themeColor="accent1"/>
            </w:tcBorders>
            <w:vAlign w:val="bottom"/>
          </w:tcPr>
          <w:p w14:paraId="35C1A642"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5.7</w:t>
            </w:r>
          </w:p>
        </w:tc>
        <w:tc>
          <w:tcPr>
            <w:tcW w:w="794" w:type="dxa"/>
            <w:tcBorders>
              <w:bottom w:val="single" w:sz="2" w:space="0" w:color="3D7FE0" w:themeColor="accent1"/>
            </w:tcBorders>
            <w:shd w:val="clear" w:color="auto" w:fill="auto"/>
            <w:vAlign w:val="bottom"/>
          </w:tcPr>
          <w:p w14:paraId="61140093"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(5.6)</w:t>
            </w:r>
          </w:p>
        </w:tc>
        <w:tc>
          <w:tcPr>
            <w:tcW w:w="794" w:type="dxa"/>
            <w:tcBorders>
              <w:bottom w:val="single" w:sz="2" w:space="0" w:color="3D7FE0" w:themeColor="accent1"/>
            </w:tcBorders>
            <w:shd w:val="clear" w:color="auto" w:fill="auto"/>
            <w:vAlign w:val="bottom"/>
          </w:tcPr>
          <w:p w14:paraId="5766F5FF" w14:textId="77777777" w:rsidR="006B43AF" w:rsidRPr="00355240" w:rsidRDefault="006B43AF" w:rsidP="00024B10">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(0.2)</w:t>
            </w:r>
          </w:p>
        </w:tc>
        <w:tc>
          <w:tcPr>
            <w:tcW w:w="794" w:type="dxa"/>
            <w:tcBorders>
              <w:bottom w:val="single" w:sz="2" w:space="0" w:color="3D7FE0" w:themeColor="accent1"/>
            </w:tcBorders>
            <w:shd w:val="clear" w:color="auto" w:fill="auto"/>
            <w:vAlign w:val="bottom"/>
          </w:tcPr>
          <w:p w14:paraId="23F81560"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5.4</w:t>
            </w:r>
          </w:p>
        </w:tc>
        <w:tc>
          <w:tcPr>
            <w:tcW w:w="794" w:type="dxa"/>
            <w:tcBorders>
              <w:bottom w:val="single" w:sz="2" w:space="0" w:color="3D7FE0" w:themeColor="accent1"/>
            </w:tcBorders>
            <w:shd w:val="clear" w:color="auto" w:fill="auto"/>
            <w:vAlign w:val="bottom"/>
          </w:tcPr>
          <w:p w14:paraId="7F58C043"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6.0</w:t>
            </w:r>
          </w:p>
        </w:tc>
        <w:tc>
          <w:tcPr>
            <w:tcW w:w="794" w:type="dxa"/>
            <w:tcBorders>
              <w:bottom w:val="single" w:sz="2" w:space="0" w:color="3D7FE0" w:themeColor="accent1"/>
            </w:tcBorders>
            <w:shd w:val="clear" w:color="auto" w:fill="auto"/>
            <w:vAlign w:val="bottom"/>
          </w:tcPr>
          <w:p w14:paraId="0AD4D9FB"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5.8</w:t>
            </w:r>
          </w:p>
        </w:tc>
      </w:tr>
      <w:tr w:rsidR="006B43AF" w:rsidRPr="005907D3" w14:paraId="6AB16ECF" w14:textId="77777777" w:rsidTr="004203CD">
        <w:trPr>
          <w:trHeight w:hRule="exact" w:val="255"/>
        </w:trPr>
        <w:tc>
          <w:tcPr>
            <w:tcW w:w="2268" w:type="dxa"/>
            <w:tcBorders>
              <w:top w:val="single" w:sz="2" w:space="0" w:color="3D7FE0" w:themeColor="accent1"/>
            </w:tcBorders>
            <w:shd w:val="clear" w:color="auto" w:fill="auto"/>
            <w:vAlign w:val="bottom"/>
          </w:tcPr>
          <w:p w14:paraId="01D1485D"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bCs/>
                <w:sz w:val="18"/>
                <w:szCs w:val="18"/>
              </w:rPr>
              <w:t>Flagship destinations</w:t>
            </w:r>
          </w:p>
        </w:tc>
        <w:tc>
          <w:tcPr>
            <w:tcW w:w="284" w:type="dxa"/>
            <w:tcBorders>
              <w:top w:val="single" w:sz="2" w:space="0" w:color="3D7FE0" w:themeColor="accent1"/>
            </w:tcBorders>
            <w:shd w:val="clear" w:color="auto" w:fill="auto"/>
            <w:vAlign w:val="bottom"/>
          </w:tcPr>
          <w:p w14:paraId="54D1BBF9" w14:textId="77777777" w:rsidR="006B43AF" w:rsidRPr="005907D3" w:rsidRDefault="006B43AF" w:rsidP="004203CD">
            <w:pPr>
              <w:pStyle w:val="TablesTText"/>
              <w:spacing w:line="276" w:lineRule="auto"/>
              <w:rPr>
                <w:rFonts w:ascii="IBM Plex Sans Light" w:hAnsi="IBM Plex Sans Light"/>
                <w:b/>
                <w:bCs/>
                <w:sz w:val="18"/>
                <w:szCs w:val="18"/>
              </w:rPr>
            </w:pPr>
          </w:p>
        </w:tc>
        <w:tc>
          <w:tcPr>
            <w:tcW w:w="453" w:type="dxa"/>
            <w:tcBorders>
              <w:top w:val="single" w:sz="2" w:space="0" w:color="3D7FE0" w:themeColor="accent1"/>
            </w:tcBorders>
          </w:tcPr>
          <w:p w14:paraId="0D253566" w14:textId="77777777" w:rsidR="006B43AF" w:rsidRPr="005907D3" w:rsidDel="00D32D5F" w:rsidRDefault="006B43AF" w:rsidP="004203CD">
            <w:pPr>
              <w:pStyle w:val="TablesTFigures"/>
              <w:spacing w:line="276" w:lineRule="auto"/>
              <w:rPr>
                <w:rFonts w:ascii="IBM Plex Sans Light" w:hAnsi="IBM Plex Sans Light"/>
                <w:b/>
                <w:color w:val="1D5BB7" w:themeColor="accent1" w:themeShade="BF"/>
                <w:sz w:val="18"/>
                <w:szCs w:val="18"/>
              </w:rPr>
            </w:pPr>
          </w:p>
        </w:tc>
        <w:tc>
          <w:tcPr>
            <w:tcW w:w="1021" w:type="dxa"/>
            <w:tcBorders>
              <w:top w:val="single" w:sz="2" w:space="0" w:color="3D7FE0" w:themeColor="accent1"/>
            </w:tcBorders>
            <w:shd w:val="clear" w:color="auto" w:fill="auto"/>
            <w:vAlign w:val="bottom"/>
          </w:tcPr>
          <w:p w14:paraId="677E50C9"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2,496.1</w:t>
            </w:r>
          </w:p>
        </w:tc>
        <w:tc>
          <w:tcPr>
            <w:tcW w:w="1021" w:type="dxa"/>
            <w:tcBorders>
              <w:top w:val="single" w:sz="2" w:space="0" w:color="3D7FE0" w:themeColor="accent1"/>
            </w:tcBorders>
            <w:shd w:val="clear" w:color="auto" w:fill="auto"/>
            <w:vAlign w:val="bottom"/>
          </w:tcPr>
          <w:p w14:paraId="73EE1AD7" w14:textId="77777777" w:rsidR="006B43AF" w:rsidRPr="00355240" w:rsidRDefault="006B43AF" w:rsidP="004203CD">
            <w:pPr>
              <w:pStyle w:val="TablesTText"/>
              <w:spacing w:line="276" w:lineRule="auto"/>
              <w:jc w:val="right"/>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(74.5)</w:t>
            </w:r>
          </w:p>
        </w:tc>
        <w:tc>
          <w:tcPr>
            <w:tcW w:w="794" w:type="dxa"/>
            <w:tcBorders>
              <w:top w:val="single" w:sz="2" w:space="0" w:color="3D7FE0" w:themeColor="accent1"/>
            </w:tcBorders>
            <w:vAlign w:val="bottom"/>
          </w:tcPr>
          <w:p w14:paraId="1088928F"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6.3</w:t>
            </w:r>
          </w:p>
        </w:tc>
        <w:tc>
          <w:tcPr>
            <w:tcW w:w="794" w:type="dxa"/>
            <w:tcBorders>
              <w:top w:val="single" w:sz="2" w:space="0" w:color="3D7FE0" w:themeColor="accent1"/>
            </w:tcBorders>
            <w:shd w:val="clear" w:color="auto" w:fill="auto"/>
            <w:vAlign w:val="bottom"/>
          </w:tcPr>
          <w:p w14:paraId="626B3384"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(4.0)</w:t>
            </w:r>
          </w:p>
        </w:tc>
        <w:tc>
          <w:tcPr>
            <w:tcW w:w="794" w:type="dxa"/>
            <w:tcBorders>
              <w:top w:val="single" w:sz="2" w:space="0" w:color="3D7FE0" w:themeColor="accent1"/>
            </w:tcBorders>
            <w:shd w:val="clear" w:color="auto" w:fill="auto"/>
            <w:vAlign w:val="bottom"/>
          </w:tcPr>
          <w:p w14:paraId="45A4384D"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2.0</w:t>
            </w:r>
          </w:p>
        </w:tc>
        <w:tc>
          <w:tcPr>
            <w:tcW w:w="794" w:type="dxa"/>
            <w:tcBorders>
              <w:top w:val="single" w:sz="2" w:space="0" w:color="3D7FE0" w:themeColor="accent1"/>
            </w:tcBorders>
            <w:shd w:val="clear" w:color="auto" w:fill="auto"/>
            <w:vAlign w:val="bottom"/>
          </w:tcPr>
          <w:p w14:paraId="4810CAA6"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5.8</w:t>
            </w:r>
          </w:p>
        </w:tc>
        <w:tc>
          <w:tcPr>
            <w:tcW w:w="794" w:type="dxa"/>
            <w:tcBorders>
              <w:top w:val="single" w:sz="2" w:space="0" w:color="3D7FE0" w:themeColor="accent1"/>
            </w:tcBorders>
            <w:shd w:val="clear" w:color="auto" w:fill="auto"/>
            <w:vAlign w:val="bottom"/>
          </w:tcPr>
          <w:p w14:paraId="473B12A1"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6.6</w:t>
            </w:r>
          </w:p>
        </w:tc>
        <w:tc>
          <w:tcPr>
            <w:tcW w:w="794" w:type="dxa"/>
            <w:tcBorders>
              <w:top w:val="single" w:sz="2" w:space="0" w:color="3D7FE0" w:themeColor="accent1"/>
            </w:tcBorders>
            <w:shd w:val="clear" w:color="auto" w:fill="auto"/>
            <w:vAlign w:val="bottom"/>
          </w:tcPr>
          <w:p w14:paraId="4046798A"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6.3</w:t>
            </w:r>
          </w:p>
        </w:tc>
      </w:tr>
      <w:tr w:rsidR="006B43AF" w:rsidRPr="005907D3" w14:paraId="5FD79009" w14:textId="77777777" w:rsidTr="004203CD">
        <w:trPr>
          <w:trHeight w:hRule="exact" w:val="255"/>
        </w:trPr>
        <w:tc>
          <w:tcPr>
            <w:tcW w:w="2268" w:type="dxa"/>
            <w:shd w:val="clear" w:color="auto" w:fill="auto"/>
            <w:vAlign w:val="bottom"/>
          </w:tcPr>
          <w:p w14:paraId="33F4E693"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Developments and other</w:t>
            </w:r>
          </w:p>
        </w:tc>
        <w:tc>
          <w:tcPr>
            <w:tcW w:w="284" w:type="dxa"/>
            <w:shd w:val="clear" w:color="auto" w:fill="auto"/>
            <w:vAlign w:val="bottom"/>
          </w:tcPr>
          <w:p w14:paraId="553E540B" w14:textId="77777777" w:rsidR="006B43AF" w:rsidRPr="005907D3" w:rsidRDefault="006B43AF" w:rsidP="004203CD">
            <w:pPr>
              <w:pStyle w:val="TablesTText"/>
              <w:spacing w:line="276" w:lineRule="auto"/>
              <w:rPr>
                <w:rFonts w:ascii="IBM Plex Sans Light" w:hAnsi="IBM Plex Sans Light"/>
                <w:sz w:val="18"/>
                <w:szCs w:val="18"/>
              </w:rPr>
            </w:pPr>
          </w:p>
        </w:tc>
        <w:tc>
          <w:tcPr>
            <w:tcW w:w="453" w:type="dxa"/>
          </w:tcPr>
          <w:p w14:paraId="532AFE24" w14:textId="77777777" w:rsidR="006B43AF" w:rsidRPr="005907D3" w:rsidDel="00D32D5F" w:rsidRDefault="006B43AF" w:rsidP="004203CD">
            <w:pPr>
              <w:pStyle w:val="TablesTFigures"/>
              <w:spacing w:line="276" w:lineRule="auto"/>
              <w:rPr>
                <w:rFonts w:ascii="IBM Plex Sans Light" w:hAnsi="IBM Plex Sans Light"/>
                <w:color w:val="1D5BB7" w:themeColor="accent1" w:themeShade="BF"/>
                <w:sz w:val="18"/>
                <w:szCs w:val="18"/>
              </w:rPr>
            </w:pPr>
          </w:p>
        </w:tc>
        <w:tc>
          <w:tcPr>
            <w:tcW w:w="1021" w:type="dxa"/>
            <w:shd w:val="clear" w:color="auto" w:fill="auto"/>
            <w:vAlign w:val="bottom"/>
          </w:tcPr>
          <w:p w14:paraId="3364843E"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280.0</w:t>
            </w:r>
          </w:p>
        </w:tc>
        <w:tc>
          <w:tcPr>
            <w:tcW w:w="1021" w:type="dxa"/>
            <w:shd w:val="clear" w:color="auto" w:fill="auto"/>
            <w:vAlign w:val="bottom"/>
          </w:tcPr>
          <w:p w14:paraId="32321E35"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(44.6)</w:t>
            </w:r>
          </w:p>
        </w:tc>
        <w:tc>
          <w:tcPr>
            <w:tcW w:w="794" w:type="dxa"/>
            <w:vAlign w:val="bottom"/>
          </w:tcPr>
          <w:p w14:paraId="47BDAF5F"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2.7</w:t>
            </w:r>
          </w:p>
        </w:tc>
        <w:tc>
          <w:tcPr>
            <w:tcW w:w="794" w:type="dxa"/>
            <w:shd w:val="clear" w:color="auto" w:fill="auto"/>
            <w:vAlign w:val="bottom"/>
          </w:tcPr>
          <w:p w14:paraId="52FD9A5D"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(6.2)</w:t>
            </w:r>
          </w:p>
        </w:tc>
        <w:tc>
          <w:tcPr>
            <w:tcW w:w="794" w:type="dxa"/>
            <w:shd w:val="clear" w:color="auto" w:fill="auto"/>
            <w:vAlign w:val="bottom"/>
          </w:tcPr>
          <w:p w14:paraId="6617CD3B" w14:textId="77777777" w:rsidR="006B43AF" w:rsidRPr="00355240" w:rsidRDefault="006B43AF" w:rsidP="00024B10">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(3.6)</w:t>
            </w:r>
          </w:p>
        </w:tc>
        <w:tc>
          <w:tcPr>
            <w:tcW w:w="794" w:type="dxa"/>
            <w:shd w:val="clear" w:color="auto" w:fill="auto"/>
            <w:vAlign w:val="bottom"/>
          </w:tcPr>
          <w:p w14:paraId="3A293C68"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8.2</w:t>
            </w:r>
          </w:p>
        </w:tc>
        <w:tc>
          <w:tcPr>
            <w:tcW w:w="794" w:type="dxa"/>
            <w:shd w:val="clear" w:color="auto" w:fill="auto"/>
            <w:vAlign w:val="bottom"/>
          </w:tcPr>
          <w:p w14:paraId="5AFF31CE"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10.2</w:t>
            </w:r>
          </w:p>
        </w:tc>
        <w:tc>
          <w:tcPr>
            <w:tcW w:w="794" w:type="dxa"/>
            <w:shd w:val="clear" w:color="auto" w:fill="auto"/>
            <w:vAlign w:val="bottom"/>
          </w:tcPr>
          <w:p w14:paraId="0B268561"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9.6</w:t>
            </w:r>
          </w:p>
        </w:tc>
      </w:tr>
      <w:tr w:rsidR="006B43AF" w:rsidRPr="005907D3" w14:paraId="31F97E89" w14:textId="77777777" w:rsidTr="004203CD">
        <w:trPr>
          <w:trHeight w:hRule="exact" w:val="255"/>
        </w:trPr>
        <w:tc>
          <w:tcPr>
            <w:tcW w:w="2268" w:type="dxa"/>
            <w:tcBorders>
              <w:top w:val="single" w:sz="2" w:space="0" w:color="3D7FE0" w:themeColor="accent1"/>
              <w:bottom w:val="single" w:sz="2" w:space="0" w:color="3D7FE0" w:themeColor="accent1"/>
            </w:tcBorders>
            <w:shd w:val="clear" w:color="auto" w:fill="auto"/>
            <w:vAlign w:val="bottom"/>
          </w:tcPr>
          <w:p w14:paraId="6BBD9324"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bCs/>
                <w:sz w:val="18"/>
                <w:szCs w:val="18"/>
              </w:rPr>
              <w:t>Managed portfolio</w:t>
            </w:r>
          </w:p>
        </w:tc>
        <w:tc>
          <w:tcPr>
            <w:tcW w:w="284" w:type="dxa"/>
            <w:tcBorders>
              <w:top w:val="single" w:sz="2" w:space="0" w:color="3D7FE0" w:themeColor="accent1"/>
              <w:bottom w:val="single" w:sz="2" w:space="0" w:color="3D7FE0" w:themeColor="accent1"/>
            </w:tcBorders>
            <w:shd w:val="clear" w:color="auto" w:fill="auto"/>
            <w:vAlign w:val="bottom"/>
          </w:tcPr>
          <w:p w14:paraId="62C2BF2B" w14:textId="77777777" w:rsidR="006B43AF" w:rsidRPr="005907D3" w:rsidRDefault="006B43AF" w:rsidP="004203CD">
            <w:pPr>
              <w:pStyle w:val="TablesTText"/>
              <w:spacing w:line="276" w:lineRule="auto"/>
              <w:rPr>
                <w:rFonts w:ascii="IBM Plex Sans Light" w:hAnsi="IBM Plex Sans Light"/>
                <w:b/>
                <w:bCs/>
                <w:sz w:val="18"/>
                <w:szCs w:val="18"/>
              </w:rPr>
            </w:pPr>
          </w:p>
        </w:tc>
        <w:tc>
          <w:tcPr>
            <w:tcW w:w="453" w:type="dxa"/>
            <w:tcBorders>
              <w:top w:val="single" w:sz="2" w:space="0" w:color="3D7FE0" w:themeColor="accent1"/>
              <w:bottom w:val="single" w:sz="2" w:space="0" w:color="3D7FE0" w:themeColor="accent1"/>
            </w:tcBorders>
          </w:tcPr>
          <w:p w14:paraId="642CAE75" w14:textId="77777777" w:rsidR="006B43AF" w:rsidRPr="005907D3" w:rsidDel="00D32D5F" w:rsidRDefault="006B43AF" w:rsidP="004203CD">
            <w:pPr>
              <w:pStyle w:val="TablesTFigures"/>
              <w:spacing w:line="276" w:lineRule="auto"/>
              <w:rPr>
                <w:rFonts w:ascii="IBM Plex Sans Light" w:hAnsi="IBM Plex Sans Light"/>
                <w:b/>
                <w:color w:val="1D5BB7" w:themeColor="accent1" w:themeShade="BF"/>
                <w:sz w:val="18"/>
                <w:szCs w:val="18"/>
              </w:rPr>
            </w:pPr>
          </w:p>
        </w:tc>
        <w:tc>
          <w:tcPr>
            <w:tcW w:w="1021" w:type="dxa"/>
            <w:tcBorders>
              <w:top w:val="single" w:sz="2" w:space="0" w:color="3D7FE0" w:themeColor="accent1"/>
              <w:bottom w:val="single" w:sz="2" w:space="0" w:color="3D7FE0" w:themeColor="accent1"/>
            </w:tcBorders>
            <w:shd w:val="clear" w:color="auto" w:fill="auto"/>
            <w:vAlign w:val="bottom"/>
          </w:tcPr>
          <w:p w14:paraId="212DB68B"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2,776.1</w:t>
            </w:r>
          </w:p>
        </w:tc>
        <w:tc>
          <w:tcPr>
            <w:tcW w:w="1021" w:type="dxa"/>
            <w:tcBorders>
              <w:top w:val="single" w:sz="2" w:space="0" w:color="3D7FE0" w:themeColor="accent1"/>
              <w:bottom w:val="single" w:sz="2" w:space="0" w:color="3D7FE0" w:themeColor="accent1"/>
            </w:tcBorders>
            <w:shd w:val="clear" w:color="auto" w:fill="auto"/>
            <w:vAlign w:val="bottom"/>
          </w:tcPr>
          <w:p w14:paraId="71C0A585"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(119.1)</w:t>
            </w:r>
          </w:p>
        </w:tc>
        <w:tc>
          <w:tcPr>
            <w:tcW w:w="794" w:type="dxa"/>
            <w:tcBorders>
              <w:top w:val="single" w:sz="2" w:space="0" w:color="3D7FE0" w:themeColor="accent1"/>
              <w:bottom w:val="single" w:sz="2" w:space="0" w:color="3D7FE0" w:themeColor="accent1"/>
            </w:tcBorders>
            <w:vAlign w:val="bottom"/>
          </w:tcPr>
          <w:p w14:paraId="069AD3E9"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5.9</w:t>
            </w:r>
          </w:p>
        </w:tc>
        <w:tc>
          <w:tcPr>
            <w:tcW w:w="794" w:type="dxa"/>
            <w:tcBorders>
              <w:top w:val="single" w:sz="2" w:space="0" w:color="3D7FE0" w:themeColor="accent1"/>
              <w:bottom w:val="single" w:sz="2" w:space="0" w:color="3D7FE0" w:themeColor="accent1"/>
            </w:tcBorders>
            <w:shd w:val="clear" w:color="auto" w:fill="auto"/>
            <w:vAlign w:val="bottom"/>
          </w:tcPr>
          <w:p w14:paraId="7CC03708"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(4.1)</w:t>
            </w:r>
          </w:p>
        </w:tc>
        <w:tc>
          <w:tcPr>
            <w:tcW w:w="794" w:type="dxa"/>
            <w:tcBorders>
              <w:top w:val="single" w:sz="2" w:space="0" w:color="3D7FE0" w:themeColor="accent1"/>
              <w:bottom w:val="single" w:sz="2" w:space="0" w:color="3D7FE0" w:themeColor="accent1"/>
            </w:tcBorders>
            <w:shd w:val="clear" w:color="auto" w:fill="auto"/>
            <w:vAlign w:val="bottom"/>
          </w:tcPr>
          <w:p w14:paraId="750C203E"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1.6</w:t>
            </w:r>
          </w:p>
        </w:tc>
        <w:tc>
          <w:tcPr>
            <w:tcW w:w="794" w:type="dxa"/>
            <w:tcBorders>
              <w:top w:val="single" w:sz="2" w:space="0" w:color="3D7FE0" w:themeColor="accent1"/>
              <w:bottom w:val="single" w:sz="2" w:space="0" w:color="3D7FE0" w:themeColor="accent1"/>
            </w:tcBorders>
            <w:shd w:val="clear" w:color="auto" w:fill="auto"/>
            <w:vAlign w:val="bottom"/>
          </w:tcPr>
          <w:p w14:paraId="6D3DF1EB"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5.9</w:t>
            </w:r>
          </w:p>
        </w:tc>
        <w:tc>
          <w:tcPr>
            <w:tcW w:w="794" w:type="dxa"/>
            <w:tcBorders>
              <w:top w:val="single" w:sz="2" w:space="0" w:color="3D7FE0" w:themeColor="accent1"/>
              <w:bottom w:val="single" w:sz="2" w:space="0" w:color="3D7FE0" w:themeColor="accent1"/>
            </w:tcBorders>
            <w:shd w:val="clear" w:color="auto" w:fill="auto"/>
            <w:vAlign w:val="bottom"/>
          </w:tcPr>
          <w:p w14:paraId="7C76A6E6"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6.7</w:t>
            </w:r>
          </w:p>
        </w:tc>
        <w:tc>
          <w:tcPr>
            <w:tcW w:w="794" w:type="dxa"/>
            <w:tcBorders>
              <w:top w:val="single" w:sz="2" w:space="0" w:color="3D7FE0" w:themeColor="accent1"/>
              <w:bottom w:val="single" w:sz="2" w:space="0" w:color="3D7FE0" w:themeColor="accent1"/>
            </w:tcBorders>
            <w:shd w:val="clear" w:color="auto" w:fill="auto"/>
            <w:vAlign w:val="bottom"/>
          </w:tcPr>
          <w:p w14:paraId="6EEDC05C"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6.4</w:t>
            </w:r>
          </w:p>
        </w:tc>
      </w:tr>
      <w:tr w:rsidR="006B43AF" w:rsidRPr="005907D3" w14:paraId="2329493E" w14:textId="77777777" w:rsidTr="004203CD">
        <w:trPr>
          <w:trHeight w:hRule="exact" w:val="255"/>
        </w:trPr>
        <w:tc>
          <w:tcPr>
            <w:tcW w:w="2268" w:type="dxa"/>
            <w:tcBorders>
              <w:top w:val="single" w:sz="2" w:space="0" w:color="3D7FE0" w:themeColor="accent1"/>
              <w:bottom w:val="single" w:sz="2" w:space="0" w:color="3D7FE0" w:themeColor="accent1"/>
            </w:tcBorders>
            <w:shd w:val="clear" w:color="auto" w:fill="auto"/>
            <w:vAlign w:val="bottom"/>
          </w:tcPr>
          <w:p w14:paraId="4B782403"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Value Retail</w:t>
            </w:r>
          </w:p>
        </w:tc>
        <w:tc>
          <w:tcPr>
            <w:tcW w:w="284" w:type="dxa"/>
            <w:tcBorders>
              <w:top w:val="single" w:sz="2" w:space="0" w:color="3D7FE0" w:themeColor="accent1"/>
              <w:bottom w:val="single" w:sz="2" w:space="0" w:color="3D7FE0" w:themeColor="accent1"/>
            </w:tcBorders>
            <w:shd w:val="clear" w:color="auto" w:fill="auto"/>
            <w:vAlign w:val="bottom"/>
          </w:tcPr>
          <w:p w14:paraId="5B0A638D" w14:textId="77777777" w:rsidR="006B43AF" w:rsidRPr="005907D3" w:rsidRDefault="006B43AF" w:rsidP="004203CD">
            <w:pPr>
              <w:pStyle w:val="TablesTText"/>
              <w:spacing w:line="276" w:lineRule="auto"/>
              <w:rPr>
                <w:rFonts w:ascii="IBM Plex Sans Light" w:hAnsi="IBM Plex Sans Light"/>
                <w:sz w:val="18"/>
                <w:szCs w:val="18"/>
              </w:rPr>
            </w:pPr>
          </w:p>
        </w:tc>
        <w:tc>
          <w:tcPr>
            <w:tcW w:w="453" w:type="dxa"/>
            <w:tcBorders>
              <w:top w:val="single" w:sz="2" w:space="0" w:color="3D7FE0" w:themeColor="accent1"/>
              <w:bottom w:val="single" w:sz="2" w:space="0" w:color="3D7FE0" w:themeColor="accent1"/>
            </w:tcBorders>
          </w:tcPr>
          <w:p w14:paraId="3899F79B" w14:textId="77777777" w:rsidR="006B43AF" w:rsidRPr="005907D3" w:rsidDel="00D32D5F" w:rsidRDefault="006B43AF" w:rsidP="004203CD">
            <w:pPr>
              <w:pStyle w:val="TablesTFigures"/>
              <w:spacing w:line="276" w:lineRule="auto"/>
              <w:rPr>
                <w:rFonts w:ascii="IBM Plex Sans Light" w:hAnsi="IBM Plex Sans Light"/>
                <w:color w:val="1D5BB7" w:themeColor="accent1" w:themeShade="BF"/>
                <w:sz w:val="18"/>
                <w:szCs w:val="18"/>
              </w:rPr>
            </w:pPr>
          </w:p>
        </w:tc>
        <w:tc>
          <w:tcPr>
            <w:tcW w:w="1021" w:type="dxa"/>
            <w:tcBorders>
              <w:top w:val="single" w:sz="2" w:space="0" w:color="3D7FE0" w:themeColor="accent1"/>
              <w:bottom w:val="single" w:sz="2" w:space="0" w:color="3D7FE0" w:themeColor="accent1"/>
            </w:tcBorders>
            <w:shd w:val="clear" w:color="auto" w:fill="auto"/>
            <w:vAlign w:val="bottom"/>
          </w:tcPr>
          <w:p w14:paraId="05BCD7EB"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1,885.7</w:t>
            </w:r>
          </w:p>
        </w:tc>
        <w:tc>
          <w:tcPr>
            <w:tcW w:w="1021" w:type="dxa"/>
            <w:tcBorders>
              <w:top w:val="single" w:sz="2" w:space="0" w:color="3D7FE0" w:themeColor="accent1"/>
              <w:bottom w:val="single" w:sz="2" w:space="0" w:color="3D7FE0" w:themeColor="accent1"/>
            </w:tcBorders>
            <w:shd w:val="clear" w:color="auto" w:fill="auto"/>
            <w:vAlign w:val="bottom"/>
          </w:tcPr>
          <w:p w14:paraId="38B40759"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(7.7)</w:t>
            </w:r>
          </w:p>
        </w:tc>
        <w:tc>
          <w:tcPr>
            <w:tcW w:w="794" w:type="dxa"/>
            <w:tcBorders>
              <w:top w:val="single" w:sz="2" w:space="0" w:color="3D7FE0" w:themeColor="accent1"/>
              <w:bottom w:val="single" w:sz="2" w:space="0" w:color="3D7FE0" w:themeColor="accent1"/>
            </w:tcBorders>
            <w:vAlign w:val="bottom"/>
          </w:tcPr>
          <w:p w14:paraId="6D8AA4EA"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6.2</w:t>
            </w:r>
          </w:p>
        </w:tc>
        <w:tc>
          <w:tcPr>
            <w:tcW w:w="794" w:type="dxa"/>
            <w:tcBorders>
              <w:top w:val="single" w:sz="2" w:space="0" w:color="3D7FE0" w:themeColor="accent1"/>
              <w:bottom w:val="single" w:sz="2" w:space="0" w:color="3D7FE0" w:themeColor="accent1"/>
            </w:tcBorders>
            <w:shd w:val="clear" w:color="auto" w:fill="auto"/>
            <w:vAlign w:val="bottom"/>
          </w:tcPr>
          <w:p w14:paraId="7AE59F10"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(0.4)</w:t>
            </w:r>
          </w:p>
        </w:tc>
        <w:tc>
          <w:tcPr>
            <w:tcW w:w="794" w:type="dxa"/>
            <w:tcBorders>
              <w:top w:val="single" w:sz="2" w:space="0" w:color="3D7FE0" w:themeColor="accent1"/>
              <w:bottom w:val="single" w:sz="2" w:space="0" w:color="3D7FE0" w:themeColor="accent1"/>
            </w:tcBorders>
            <w:shd w:val="clear" w:color="auto" w:fill="auto"/>
            <w:vAlign w:val="bottom"/>
          </w:tcPr>
          <w:p w14:paraId="561424F8" w14:textId="77777777" w:rsidR="006B43AF" w:rsidRPr="00355240" w:rsidRDefault="006B43AF" w:rsidP="00024B10">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5.8</w:t>
            </w:r>
          </w:p>
        </w:tc>
        <w:tc>
          <w:tcPr>
            <w:tcW w:w="794" w:type="dxa"/>
            <w:tcBorders>
              <w:top w:val="single" w:sz="2" w:space="0" w:color="3D7FE0" w:themeColor="accent1"/>
            </w:tcBorders>
            <w:shd w:val="clear" w:color="auto" w:fill="auto"/>
            <w:vAlign w:val="bottom"/>
          </w:tcPr>
          <w:p w14:paraId="5DDB172F"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p>
        </w:tc>
        <w:tc>
          <w:tcPr>
            <w:tcW w:w="794" w:type="dxa"/>
            <w:tcBorders>
              <w:top w:val="single" w:sz="2" w:space="0" w:color="3D7FE0" w:themeColor="accent1"/>
            </w:tcBorders>
            <w:shd w:val="clear" w:color="auto" w:fill="auto"/>
            <w:vAlign w:val="bottom"/>
          </w:tcPr>
          <w:p w14:paraId="39153ECA"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p>
        </w:tc>
        <w:tc>
          <w:tcPr>
            <w:tcW w:w="794" w:type="dxa"/>
            <w:tcBorders>
              <w:top w:val="single" w:sz="2" w:space="0" w:color="3D7FE0" w:themeColor="accent1"/>
            </w:tcBorders>
            <w:shd w:val="clear" w:color="auto" w:fill="auto"/>
            <w:vAlign w:val="bottom"/>
          </w:tcPr>
          <w:p w14:paraId="7F16A79E"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p>
        </w:tc>
      </w:tr>
      <w:tr w:rsidR="006B43AF" w:rsidRPr="005907D3" w14:paraId="526C0CB2" w14:textId="77777777" w:rsidTr="004203CD">
        <w:trPr>
          <w:trHeight w:hRule="exact" w:val="255"/>
        </w:trPr>
        <w:tc>
          <w:tcPr>
            <w:tcW w:w="2268" w:type="dxa"/>
            <w:tcBorders>
              <w:top w:val="single" w:sz="2" w:space="0" w:color="3D7FE0" w:themeColor="accent1"/>
              <w:bottom w:val="single" w:sz="8" w:space="0" w:color="3D7FE0" w:themeColor="accent1"/>
            </w:tcBorders>
            <w:shd w:val="clear" w:color="auto" w:fill="auto"/>
            <w:vAlign w:val="bottom"/>
          </w:tcPr>
          <w:p w14:paraId="01EB9848" w14:textId="77777777" w:rsidR="006B43AF" w:rsidRPr="005907D3" w:rsidRDefault="006B43AF" w:rsidP="004203CD">
            <w:pPr>
              <w:pStyle w:val="TablesTText"/>
              <w:spacing w:line="276" w:lineRule="auto"/>
              <w:rPr>
                <w:rFonts w:ascii="IBM Plex Sans Light" w:hAnsi="IBM Plex Sans Light"/>
                <w:b/>
                <w:sz w:val="18"/>
                <w:szCs w:val="18"/>
              </w:rPr>
            </w:pPr>
            <w:r w:rsidRPr="005907D3">
              <w:rPr>
                <w:rFonts w:ascii="IBM Plex Sans Light" w:hAnsi="IBM Plex Sans Light"/>
                <w:b/>
                <w:bCs/>
                <w:sz w:val="18"/>
                <w:szCs w:val="18"/>
              </w:rPr>
              <w:t>Group portfolio</w:t>
            </w:r>
          </w:p>
        </w:tc>
        <w:tc>
          <w:tcPr>
            <w:tcW w:w="284" w:type="dxa"/>
            <w:tcBorders>
              <w:top w:val="single" w:sz="2" w:space="0" w:color="3D7FE0" w:themeColor="accent1"/>
              <w:bottom w:val="single" w:sz="8" w:space="0" w:color="3D7FE0" w:themeColor="accent1"/>
            </w:tcBorders>
            <w:shd w:val="clear" w:color="auto" w:fill="auto"/>
            <w:vAlign w:val="bottom"/>
          </w:tcPr>
          <w:p w14:paraId="463DC3F1" w14:textId="77777777" w:rsidR="006B43AF" w:rsidRPr="005907D3" w:rsidRDefault="006B43AF" w:rsidP="004203CD">
            <w:pPr>
              <w:pStyle w:val="TablesTText"/>
              <w:spacing w:line="276" w:lineRule="auto"/>
              <w:rPr>
                <w:rFonts w:ascii="IBM Plex Sans Light" w:hAnsi="IBM Plex Sans Light"/>
                <w:b/>
                <w:sz w:val="18"/>
                <w:szCs w:val="18"/>
              </w:rPr>
            </w:pPr>
          </w:p>
        </w:tc>
        <w:tc>
          <w:tcPr>
            <w:tcW w:w="453" w:type="dxa"/>
            <w:tcBorders>
              <w:top w:val="single" w:sz="2" w:space="0" w:color="3D7FE0" w:themeColor="accent1"/>
              <w:bottom w:val="single" w:sz="8" w:space="0" w:color="3D7FE0" w:themeColor="accent1"/>
            </w:tcBorders>
          </w:tcPr>
          <w:p w14:paraId="4A92E0D3" w14:textId="77777777" w:rsidR="006B43AF" w:rsidRPr="005907D3" w:rsidDel="00D32D5F" w:rsidRDefault="006B43AF" w:rsidP="004203CD">
            <w:pPr>
              <w:pStyle w:val="TablesTFigureBold"/>
              <w:spacing w:line="276" w:lineRule="auto"/>
              <w:rPr>
                <w:rFonts w:ascii="IBM Plex Sans Light" w:eastAsia="Chronicle Text G1" w:hAnsi="IBM Plex Sans Light" w:cs="Chronicle Text G1"/>
                <w:b/>
                <w:color w:val="1D5BB7" w:themeColor="accent1" w:themeShade="BF"/>
                <w:sz w:val="18"/>
                <w:szCs w:val="18"/>
              </w:rPr>
            </w:pPr>
          </w:p>
        </w:tc>
        <w:tc>
          <w:tcPr>
            <w:tcW w:w="1021" w:type="dxa"/>
            <w:tcBorders>
              <w:top w:val="single" w:sz="2" w:space="0" w:color="3D7FE0" w:themeColor="accent1"/>
              <w:bottom w:val="single" w:sz="8" w:space="0" w:color="3D7FE0" w:themeColor="accent1"/>
            </w:tcBorders>
            <w:shd w:val="clear" w:color="auto" w:fill="auto"/>
            <w:vAlign w:val="bottom"/>
          </w:tcPr>
          <w:p w14:paraId="7FC7DB2F"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4,661.8</w:t>
            </w:r>
          </w:p>
        </w:tc>
        <w:tc>
          <w:tcPr>
            <w:tcW w:w="1021" w:type="dxa"/>
            <w:tcBorders>
              <w:top w:val="single" w:sz="2" w:space="0" w:color="3D7FE0" w:themeColor="accent1"/>
              <w:bottom w:val="single" w:sz="8" w:space="0" w:color="3D7FE0" w:themeColor="accent1"/>
            </w:tcBorders>
            <w:shd w:val="clear" w:color="auto" w:fill="auto"/>
            <w:vAlign w:val="bottom"/>
          </w:tcPr>
          <w:p w14:paraId="3130A6CA" w14:textId="77777777" w:rsidR="006B43AF" w:rsidRPr="00355240" w:rsidRDefault="006B43AF" w:rsidP="004203CD">
            <w:pPr>
              <w:pStyle w:val="TablesTFigureBracket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(126.8)</w:t>
            </w:r>
          </w:p>
        </w:tc>
        <w:tc>
          <w:tcPr>
            <w:tcW w:w="794" w:type="dxa"/>
            <w:tcBorders>
              <w:top w:val="single" w:sz="2" w:space="0" w:color="3D7FE0" w:themeColor="accent1"/>
              <w:bottom w:val="single" w:sz="8" w:space="0" w:color="3D7FE0" w:themeColor="accent1"/>
            </w:tcBorders>
            <w:vAlign w:val="bottom"/>
          </w:tcPr>
          <w:p w14:paraId="327B7205"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6.0</w:t>
            </w:r>
          </w:p>
        </w:tc>
        <w:tc>
          <w:tcPr>
            <w:tcW w:w="794" w:type="dxa"/>
            <w:tcBorders>
              <w:top w:val="single" w:sz="2" w:space="0" w:color="3D7FE0" w:themeColor="accent1"/>
              <w:bottom w:val="single" w:sz="8" w:space="0" w:color="3D7FE0" w:themeColor="accent1"/>
            </w:tcBorders>
            <w:shd w:val="clear" w:color="auto" w:fill="auto"/>
            <w:vAlign w:val="bottom"/>
          </w:tcPr>
          <w:p w14:paraId="44D1ED1A"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(2.6)</w:t>
            </w:r>
          </w:p>
        </w:tc>
        <w:tc>
          <w:tcPr>
            <w:tcW w:w="794" w:type="dxa"/>
            <w:tcBorders>
              <w:top w:val="single" w:sz="2" w:space="0" w:color="3D7FE0" w:themeColor="accent1"/>
              <w:bottom w:val="single" w:sz="8" w:space="0" w:color="3D7FE0" w:themeColor="accent1"/>
            </w:tcBorders>
            <w:shd w:val="clear" w:color="auto" w:fill="auto"/>
            <w:vAlign w:val="bottom"/>
          </w:tcPr>
          <w:p w14:paraId="4481DCA1"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r w:rsidRPr="00355240">
              <w:rPr>
                <w:rFonts w:ascii="IBM Plex Sans Medium" w:hAnsi="IBM Plex Sans Medium"/>
                <w:b/>
                <w:color w:val="3D7FE0" w:themeColor="accent1"/>
                <w:sz w:val="18"/>
                <w:szCs w:val="24"/>
              </w:rPr>
              <w:t>3.2</w:t>
            </w:r>
          </w:p>
        </w:tc>
        <w:tc>
          <w:tcPr>
            <w:tcW w:w="794" w:type="dxa"/>
            <w:shd w:val="clear" w:color="auto" w:fill="auto"/>
            <w:vAlign w:val="bottom"/>
          </w:tcPr>
          <w:p w14:paraId="44F9F2B1"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p>
        </w:tc>
        <w:tc>
          <w:tcPr>
            <w:tcW w:w="794" w:type="dxa"/>
            <w:shd w:val="clear" w:color="auto" w:fill="auto"/>
            <w:vAlign w:val="bottom"/>
          </w:tcPr>
          <w:p w14:paraId="43E040D9"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p>
        </w:tc>
        <w:tc>
          <w:tcPr>
            <w:tcW w:w="794" w:type="dxa"/>
            <w:shd w:val="clear" w:color="auto" w:fill="auto"/>
            <w:vAlign w:val="bottom"/>
          </w:tcPr>
          <w:p w14:paraId="0D24A8CA" w14:textId="77777777" w:rsidR="006B43AF" w:rsidRPr="00355240" w:rsidRDefault="006B43AF" w:rsidP="004203CD">
            <w:pPr>
              <w:pStyle w:val="TablesTFigures"/>
              <w:spacing w:line="276" w:lineRule="auto"/>
              <w:rPr>
                <w:rFonts w:ascii="IBM Plex Sans Medium" w:hAnsi="IBM Plex Sans Medium"/>
                <w:b/>
                <w:color w:val="3D7FE0" w:themeColor="accent1"/>
                <w:sz w:val="18"/>
                <w:szCs w:val="24"/>
              </w:rPr>
            </w:pPr>
          </w:p>
        </w:tc>
      </w:tr>
      <w:tr w:rsidR="006B43AF" w:rsidRPr="005907D3" w14:paraId="7E8EBB32" w14:textId="77777777" w:rsidTr="004203CD">
        <w:trPr>
          <w:trHeight w:val="20"/>
        </w:trPr>
        <w:tc>
          <w:tcPr>
            <w:tcW w:w="2268" w:type="dxa"/>
            <w:tcBorders>
              <w:top w:val="single" w:sz="8" w:space="0" w:color="3D7FE0" w:themeColor="accent1"/>
            </w:tcBorders>
            <w:shd w:val="clear" w:color="auto" w:fill="auto"/>
            <w:vAlign w:val="bottom"/>
          </w:tcPr>
          <w:p w14:paraId="162FF52A" w14:textId="77777777" w:rsidR="006B43AF" w:rsidRPr="005907D3" w:rsidRDefault="006B43AF" w:rsidP="004203CD">
            <w:pPr>
              <w:pStyle w:val="TablesTText"/>
              <w:rPr>
                <w:rFonts w:ascii="IBM Plex Sans Light" w:hAnsi="IBM Plex Sans Light"/>
                <w:sz w:val="18"/>
                <w:szCs w:val="18"/>
                <w:highlight w:val="yellow"/>
              </w:rPr>
            </w:pPr>
          </w:p>
        </w:tc>
        <w:tc>
          <w:tcPr>
            <w:tcW w:w="284" w:type="dxa"/>
            <w:tcBorders>
              <w:top w:val="single" w:sz="8" w:space="0" w:color="3D7FE0" w:themeColor="accent1"/>
            </w:tcBorders>
            <w:shd w:val="clear" w:color="auto" w:fill="auto"/>
            <w:vAlign w:val="bottom"/>
          </w:tcPr>
          <w:p w14:paraId="48DD0055" w14:textId="77777777" w:rsidR="006B43AF" w:rsidRPr="005907D3" w:rsidRDefault="006B43AF" w:rsidP="004203CD">
            <w:pPr>
              <w:pStyle w:val="TablesTText"/>
              <w:rPr>
                <w:rFonts w:ascii="IBM Plex Sans Light" w:hAnsi="IBM Plex Sans Light"/>
                <w:sz w:val="18"/>
                <w:szCs w:val="18"/>
                <w:highlight w:val="yellow"/>
              </w:rPr>
            </w:pPr>
          </w:p>
        </w:tc>
        <w:tc>
          <w:tcPr>
            <w:tcW w:w="453" w:type="dxa"/>
            <w:tcBorders>
              <w:top w:val="single" w:sz="8" w:space="0" w:color="3D7FE0" w:themeColor="accent1"/>
            </w:tcBorders>
          </w:tcPr>
          <w:p w14:paraId="61629FEF" w14:textId="77777777" w:rsidR="006B43AF" w:rsidRPr="005907D3" w:rsidRDefault="006B43AF" w:rsidP="004203CD">
            <w:pPr>
              <w:pStyle w:val="TablesTFigures"/>
              <w:rPr>
                <w:rFonts w:ascii="IBM Plex Sans Light" w:hAnsi="IBM Plex Sans Light"/>
                <w:sz w:val="18"/>
                <w:szCs w:val="18"/>
                <w:highlight w:val="yellow"/>
              </w:rPr>
            </w:pPr>
          </w:p>
        </w:tc>
        <w:tc>
          <w:tcPr>
            <w:tcW w:w="1021" w:type="dxa"/>
            <w:tcBorders>
              <w:top w:val="single" w:sz="8" w:space="0" w:color="3D7FE0" w:themeColor="accent1"/>
            </w:tcBorders>
            <w:shd w:val="clear" w:color="auto" w:fill="auto"/>
            <w:vAlign w:val="bottom"/>
          </w:tcPr>
          <w:p w14:paraId="1F9E729C" w14:textId="77777777" w:rsidR="006B43AF" w:rsidRPr="005907D3" w:rsidRDefault="006B43AF" w:rsidP="004203CD">
            <w:pPr>
              <w:pStyle w:val="TablesTFigures"/>
              <w:rPr>
                <w:rFonts w:ascii="IBM Plex Sans Light" w:hAnsi="IBM Plex Sans Light"/>
                <w:sz w:val="18"/>
                <w:szCs w:val="18"/>
                <w:highlight w:val="yellow"/>
              </w:rPr>
            </w:pPr>
          </w:p>
        </w:tc>
        <w:tc>
          <w:tcPr>
            <w:tcW w:w="1021" w:type="dxa"/>
            <w:tcBorders>
              <w:top w:val="single" w:sz="8" w:space="0" w:color="3D7FE0" w:themeColor="accent1"/>
            </w:tcBorders>
            <w:shd w:val="clear" w:color="auto" w:fill="auto"/>
            <w:vAlign w:val="bottom"/>
          </w:tcPr>
          <w:p w14:paraId="1C9F9BE6" w14:textId="77777777" w:rsidR="006B43AF" w:rsidRPr="005907D3" w:rsidRDefault="006B43AF" w:rsidP="004203CD">
            <w:pPr>
              <w:pStyle w:val="TablesTFigures"/>
              <w:rPr>
                <w:rFonts w:ascii="IBM Plex Sans Light" w:hAnsi="IBM Plex Sans Light"/>
                <w:sz w:val="18"/>
                <w:szCs w:val="18"/>
              </w:rPr>
            </w:pPr>
          </w:p>
        </w:tc>
        <w:tc>
          <w:tcPr>
            <w:tcW w:w="794" w:type="dxa"/>
            <w:tcBorders>
              <w:top w:val="single" w:sz="8" w:space="0" w:color="3D7FE0" w:themeColor="accent1"/>
            </w:tcBorders>
            <w:vAlign w:val="bottom"/>
          </w:tcPr>
          <w:p w14:paraId="322C7623" w14:textId="77777777" w:rsidR="006B43AF" w:rsidRPr="005907D3" w:rsidRDefault="006B43AF" w:rsidP="004203CD">
            <w:pPr>
              <w:pStyle w:val="TablesTFigures"/>
              <w:rPr>
                <w:rFonts w:ascii="IBM Plex Sans Light" w:hAnsi="IBM Plex Sans Light"/>
                <w:sz w:val="18"/>
                <w:szCs w:val="18"/>
                <w:highlight w:val="yellow"/>
              </w:rPr>
            </w:pPr>
          </w:p>
        </w:tc>
        <w:tc>
          <w:tcPr>
            <w:tcW w:w="794" w:type="dxa"/>
            <w:tcBorders>
              <w:top w:val="single" w:sz="8" w:space="0" w:color="3D7FE0" w:themeColor="accent1"/>
            </w:tcBorders>
            <w:shd w:val="clear" w:color="auto" w:fill="auto"/>
            <w:vAlign w:val="bottom"/>
          </w:tcPr>
          <w:p w14:paraId="6EBCDD4D" w14:textId="77777777" w:rsidR="006B43AF" w:rsidRPr="005907D3" w:rsidRDefault="006B43AF" w:rsidP="004203CD">
            <w:pPr>
              <w:pStyle w:val="TablesTFigures"/>
              <w:rPr>
                <w:rFonts w:ascii="IBM Plex Sans Light" w:hAnsi="IBM Plex Sans Light"/>
                <w:sz w:val="18"/>
                <w:szCs w:val="18"/>
                <w:highlight w:val="yellow"/>
              </w:rPr>
            </w:pPr>
          </w:p>
        </w:tc>
        <w:tc>
          <w:tcPr>
            <w:tcW w:w="794" w:type="dxa"/>
            <w:tcBorders>
              <w:top w:val="single" w:sz="8" w:space="0" w:color="3D7FE0" w:themeColor="accent1"/>
            </w:tcBorders>
            <w:shd w:val="clear" w:color="auto" w:fill="auto"/>
            <w:vAlign w:val="bottom"/>
          </w:tcPr>
          <w:p w14:paraId="5E82C2D7" w14:textId="77777777" w:rsidR="006B43AF" w:rsidRPr="005907D3" w:rsidRDefault="006B43AF" w:rsidP="004203CD">
            <w:pPr>
              <w:pStyle w:val="TablesTFigures"/>
              <w:rPr>
                <w:rFonts w:ascii="IBM Plex Sans Light" w:hAnsi="IBM Plex Sans Light"/>
                <w:sz w:val="18"/>
                <w:szCs w:val="18"/>
                <w:highlight w:val="yellow"/>
              </w:rPr>
            </w:pPr>
          </w:p>
        </w:tc>
        <w:tc>
          <w:tcPr>
            <w:tcW w:w="794" w:type="dxa"/>
            <w:shd w:val="clear" w:color="auto" w:fill="auto"/>
            <w:vAlign w:val="bottom"/>
          </w:tcPr>
          <w:p w14:paraId="59799349" w14:textId="77777777" w:rsidR="006B43AF" w:rsidRPr="005907D3" w:rsidRDefault="006B43AF" w:rsidP="004203CD">
            <w:pPr>
              <w:pStyle w:val="TablesTFigures"/>
              <w:rPr>
                <w:rFonts w:ascii="IBM Plex Sans Light" w:hAnsi="IBM Plex Sans Light"/>
                <w:sz w:val="18"/>
                <w:szCs w:val="18"/>
                <w:highlight w:val="yellow"/>
              </w:rPr>
            </w:pPr>
          </w:p>
        </w:tc>
        <w:tc>
          <w:tcPr>
            <w:tcW w:w="794" w:type="dxa"/>
            <w:shd w:val="clear" w:color="auto" w:fill="auto"/>
            <w:vAlign w:val="bottom"/>
          </w:tcPr>
          <w:p w14:paraId="281447EA" w14:textId="77777777" w:rsidR="006B43AF" w:rsidRPr="005907D3" w:rsidRDefault="006B43AF" w:rsidP="004203CD">
            <w:pPr>
              <w:pStyle w:val="TablesTFigures"/>
              <w:rPr>
                <w:rFonts w:ascii="IBM Plex Sans Light" w:hAnsi="IBM Plex Sans Light"/>
                <w:sz w:val="18"/>
                <w:szCs w:val="18"/>
                <w:highlight w:val="yellow"/>
              </w:rPr>
            </w:pPr>
          </w:p>
        </w:tc>
        <w:tc>
          <w:tcPr>
            <w:tcW w:w="794" w:type="dxa"/>
            <w:shd w:val="clear" w:color="auto" w:fill="auto"/>
            <w:vAlign w:val="bottom"/>
          </w:tcPr>
          <w:p w14:paraId="2D17A12B" w14:textId="77777777" w:rsidR="006B43AF" w:rsidRPr="005907D3" w:rsidRDefault="006B43AF" w:rsidP="004203CD">
            <w:pPr>
              <w:pStyle w:val="TablesTFigures"/>
              <w:rPr>
                <w:rFonts w:ascii="IBM Plex Sans Light" w:hAnsi="IBM Plex Sans Light"/>
                <w:sz w:val="18"/>
                <w:szCs w:val="18"/>
                <w:highlight w:val="yellow"/>
              </w:rPr>
            </w:pPr>
          </w:p>
        </w:tc>
      </w:tr>
      <w:tr w:rsidR="006B43AF" w:rsidRPr="005907D3" w14:paraId="2B67E0F3" w14:textId="77777777" w:rsidTr="004203CD">
        <w:trPr>
          <w:trHeight w:val="20"/>
        </w:trPr>
        <w:tc>
          <w:tcPr>
            <w:tcW w:w="2268" w:type="dxa"/>
            <w:tcBorders>
              <w:bottom w:val="single" w:sz="2" w:space="0" w:color="3D7FE0" w:themeColor="accent1"/>
            </w:tcBorders>
            <w:shd w:val="clear" w:color="auto" w:fill="auto"/>
            <w:vAlign w:val="bottom"/>
          </w:tcPr>
          <w:p w14:paraId="44B05F6E" w14:textId="77777777" w:rsidR="006B43AF" w:rsidRPr="005907D3" w:rsidRDefault="006B43AF" w:rsidP="004203CD">
            <w:pPr>
              <w:pStyle w:val="TablesTColHeadsLeft"/>
              <w:rPr>
                <w:rFonts w:ascii="IBM Plex Sans Light" w:hAnsi="IBM Plex Sans Light"/>
                <w:sz w:val="18"/>
                <w:szCs w:val="18"/>
              </w:rPr>
            </w:pPr>
          </w:p>
        </w:tc>
        <w:tc>
          <w:tcPr>
            <w:tcW w:w="284" w:type="dxa"/>
            <w:tcBorders>
              <w:bottom w:val="single" w:sz="2" w:space="0" w:color="3D7FE0" w:themeColor="accent1"/>
            </w:tcBorders>
            <w:shd w:val="clear" w:color="auto" w:fill="auto"/>
            <w:vAlign w:val="bottom"/>
          </w:tcPr>
          <w:p w14:paraId="3D49D8F3" w14:textId="77777777" w:rsidR="006B43AF" w:rsidRPr="005907D3" w:rsidRDefault="006B43AF" w:rsidP="004203CD">
            <w:pPr>
              <w:pStyle w:val="TablesTColHeadsLeft"/>
              <w:rPr>
                <w:rFonts w:ascii="IBM Plex Sans Light" w:hAnsi="IBM Plex Sans Light"/>
                <w:sz w:val="18"/>
                <w:szCs w:val="18"/>
              </w:rPr>
            </w:pPr>
          </w:p>
        </w:tc>
        <w:tc>
          <w:tcPr>
            <w:tcW w:w="453" w:type="dxa"/>
            <w:tcBorders>
              <w:bottom w:val="single" w:sz="2" w:space="0" w:color="3D7FE0" w:themeColor="accent1"/>
            </w:tcBorders>
          </w:tcPr>
          <w:p w14:paraId="5514C1E3" w14:textId="77777777" w:rsidR="006B43AF" w:rsidRPr="005907D3" w:rsidRDefault="006B43AF" w:rsidP="004203CD">
            <w:pPr>
              <w:pStyle w:val="TablesTFigures"/>
              <w:rPr>
                <w:rFonts w:ascii="IBM Plex Sans Light" w:hAnsi="IBM Plex Sans Light"/>
                <w:sz w:val="18"/>
                <w:szCs w:val="18"/>
                <w:highlight w:val="yellow"/>
              </w:rPr>
            </w:pPr>
          </w:p>
        </w:tc>
        <w:tc>
          <w:tcPr>
            <w:tcW w:w="1021" w:type="dxa"/>
            <w:tcBorders>
              <w:bottom w:val="single" w:sz="2" w:space="0" w:color="3D7FE0" w:themeColor="accent1"/>
            </w:tcBorders>
            <w:shd w:val="clear" w:color="auto" w:fill="auto"/>
            <w:vAlign w:val="bottom"/>
          </w:tcPr>
          <w:p w14:paraId="185EF29D" w14:textId="77777777" w:rsidR="006B43AF" w:rsidRPr="005907D3" w:rsidRDefault="006B43AF" w:rsidP="004203CD">
            <w:pPr>
              <w:pStyle w:val="TablesTFigures"/>
              <w:rPr>
                <w:rFonts w:ascii="IBM Plex Sans Light" w:hAnsi="IBM Plex Sans Light"/>
                <w:sz w:val="18"/>
                <w:szCs w:val="18"/>
                <w:highlight w:val="yellow"/>
              </w:rPr>
            </w:pPr>
          </w:p>
        </w:tc>
        <w:tc>
          <w:tcPr>
            <w:tcW w:w="1021" w:type="dxa"/>
            <w:tcBorders>
              <w:bottom w:val="single" w:sz="2" w:space="0" w:color="3D7FE0" w:themeColor="accent1"/>
            </w:tcBorders>
            <w:shd w:val="clear" w:color="auto" w:fill="auto"/>
            <w:vAlign w:val="bottom"/>
          </w:tcPr>
          <w:p w14:paraId="0D8E4003" w14:textId="77777777" w:rsidR="006B43AF" w:rsidRPr="005907D3" w:rsidRDefault="006B43AF" w:rsidP="004203CD">
            <w:pPr>
              <w:pStyle w:val="TablesTFigures"/>
              <w:rPr>
                <w:rFonts w:ascii="IBM Plex Sans Light" w:hAnsi="IBM Plex Sans Light"/>
                <w:sz w:val="18"/>
                <w:szCs w:val="18"/>
              </w:rPr>
            </w:pPr>
          </w:p>
        </w:tc>
        <w:tc>
          <w:tcPr>
            <w:tcW w:w="794" w:type="dxa"/>
            <w:tcBorders>
              <w:bottom w:val="single" w:sz="2" w:space="0" w:color="3D7FE0" w:themeColor="accent1"/>
            </w:tcBorders>
            <w:vAlign w:val="bottom"/>
          </w:tcPr>
          <w:p w14:paraId="253A77CD" w14:textId="77777777" w:rsidR="006B43AF" w:rsidRPr="005907D3" w:rsidRDefault="006B43AF" w:rsidP="004203CD">
            <w:pPr>
              <w:pStyle w:val="TablesTFigures"/>
              <w:rPr>
                <w:rFonts w:ascii="IBM Plex Sans Light" w:hAnsi="IBM Plex Sans Light"/>
                <w:sz w:val="18"/>
                <w:szCs w:val="18"/>
                <w:highlight w:val="yellow"/>
              </w:rPr>
            </w:pPr>
          </w:p>
        </w:tc>
        <w:tc>
          <w:tcPr>
            <w:tcW w:w="794" w:type="dxa"/>
            <w:tcBorders>
              <w:bottom w:val="single" w:sz="2" w:space="0" w:color="3D7FE0" w:themeColor="accent1"/>
            </w:tcBorders>
            <w:shd w:val="clear" w:color="auto" w:fill="auto"/>
            <w:vAlign w:val="bottom"/>
          </w:tcPr>
          <w:p w14:paraId="4F12BC9A" w14:textId="77777777" w:rsidR="006B43AF" w:rsidRPr="005907D3" w:rsidRDefault="006B43AF" w:rsidP="004203CD">
            <w:pPr>
              <w:pStyle w:val="TablesTFigures"/>
              <w:rPr>
                <w:rFonts w:ascii="IBM Plex Sans Light" w:hAnsi="IBM Plex Sans Light"/>
                <w:sz w:val="18"/>
                <w:szCs w:val="18"/>
                <w:highlight w:val="yellow"/>
              </w:rPr>
            </w:pPr>
          </w:p>
        </w:tc>
        <w:tc>
          <w:tcPr>
            <w:tcW w:w="794" w:type="dxa"/>
            <w:tcBorders>
              <w:bottom w:val="single" w:sz="2" w:space="0" w:color="3D7FE0" w:themeColor="accent1"/>
            </w:tcBorders>
            <w:shd w:val="clear" w:color="auto" w:fill="auto"/>
            <w:vAlign w:val="bottom"/>
          </w:tcPr>
          <w:p w14:paraId="1CDA4494" w14:textId="77777777" w:rsidR="006B43AF" w:rsidRPr="005907D3" w:rsidRDefault="006B43AF" w:rsidP="004203CD">
            <w:pPr>
              <w:pStyle w:val="TablesTFigures"/>
              <w:rPr>
                <w:rFonts w:ascii="IBM Plex Sans Light" w:hAnsi="IBM Plex Sans Light"/>
                <w:sz w:val="18"/>
                <w:szCs w:val="18"/>
                <w:highlight w:val="yellow"/>
              </w:rPr>
            </w:pPr>
          </w:p>
        </w:tc>
        <w:tc>
          <w:tcPr>
            <w:tcW w:w="2382" w:type="dxa"/>
            <w:gridSpan w:val="3"/>
            <w:tcBorders>
              <w:bottom w:val="single" w:sz="2" w:space="0" w:color="3D7FE0" w:themeColor="accent1"/>
            </w:tcBorders>
            <w:shd w:val="clear" w:color="auto" w:fill="auto"/>
            <w:vAlign w:val="bottom"/>
          </w:tcPr>
          <w:p w14:paraId="7C859311" w14:textId="77777777" w:rsidR="006B43AF" w:rsidRPr="005907D3" w:rsidRDefault="006B43AF" w:rsidP="004203CD">
            <w:pPr>
              <w:pStyle w:val="TablesTColHeadsLeft"/>
              <w:jc w:val="right"/>
              <w:rPr>
                <w:rFonts w:ascii="IBM Plex Sans Light" w:hAnsi="IBM Plex Sans Light"/>
                <w:sz w:val="14"/>
                <w:szCs w:val="14"/>
              </w:rPr>
            </w:pPr>
            <w:r w:rsidRPr="005907D3">
              <w:rPr>
                <w:rFonts w:ascii="IBM Plex Sans Light" w:hAnsi="IBM Plex Sans Light"/>
                <w:sz w:val="14"/>
                <w:szCs w:val="14"/>
              </w:rPr>
              <w:t>202</w:t>
            </w:r>
            <w:r>
              <w:rPr>
                <w:rFonts w:ascii="IBM Plex Sans Light" w:hAnsi="IBM Plex Sans Light"/>
                <w:sz w:val="14"/>
                <w:szCs w:val="14"/>
              </w:rPr>
              <w:t>2</w:t>
            </w:r>
          </w:p>
        </w:tc>
      </w:tr>
      <w:tr w:rsidR="006B43AF" w:rsidRPr="005907D3" w14:paraId="5275EA60" w14:textId="77777777" w:rsidTr="004203CD">
        <w:trPr>
          <w:trHeight w:val="20"/>
        </w:trPr>
        <w:tc>
          <w:tcPr>
            <w:tcW w:w="2268" w:type="dxa"/>
            <w:tcBorders>
              <w:top w:val="single" w:sz="2" w:space="0" w:color="3D7FE0" w:themeColor="accent1"/>
            </w:tcBorders>
            <w:shd w:val="clear" w:color="auto" w:fill="auto"/>
            <w:vAlign w:val="bottom"/>
          </w:tcPr>
          <w:p w14:paraId="4B2D81CD" w14:textId="77777777" w:rsidR="006B43AF" w:rsidRPr="005907D3" w:rsidRDefault="006B43AF" w:rsidP="004203CD">
            <w:pPr>
              <w:pStyle w:val="TablesTText"/>
              <w:rPr>
                <w:rFonts w:ascii="IBM Plex Sans Light" w:hAnsi="IBM Plex Sans Light"/>
                <w:sz w:val="18"/>
                <w:szCs w:val="18"/>
              </w:rPr>
            </w:pPr>
          </w:p>
        </w:tc>
        <w:tc>
          <w:tcPr>
            <w:tcW w:w="284" w:type="dxa"/>
            <w:tcBorders>
              <w:top w:val="single" w:sz="2" w:space="0" w:color="3D7FE0" w:themeColor="accent1"/>
            </w:tcBorders>
            <w:shd w:val="clear" w:color="auto" w:fill="auto"/>
            <w:vAlign w:val="bottom"/>
          </w:tcPr>
          <w:p w14:paraId="2BD95FCE" w14:textId="77777777" w:rsidR="006B43AF" w:rsidRPr="005907D3" w:rsidRDefault="006B43AF" w:rsidP="004203CD">
            <w:pPr>
              <w:pStyle w:val="TablesTText"/>
              <w:rPr>
                <w:rFonts w:ascii="IBM Plex Sans Light" w:hAnsi="IBM Plex Sans Light"/>
                <w:sz w:val="18"/>
                <w:szCs w:val="18"/>
              </w:rPr>
            </w:pPr>
          </w:p>
        </w:tc>
        <w:tc>
          <w:tcPr>
            <w:tcW w:w="453" w:type="dxa"/>
            <w:tcBorders>
              <w:top w:val="single" w:sz="2" w:space="0" w:color="3D7FE0" w:themeColor="accent1"/>
            </w:tcBorders>
          </w:tcPr>
          <w:p w14:paraId="4D3D1C81" w14:textId="77777777" w:rsidR="006B43AF" w:rsidRPr="005907D3" w:rsidRDefault="006B43AF" w:rsidP="004203CD">
            <w:pPr>
              <w:pStyle w:val="TablesTFigures"/>
              <w:rPr>
                <w:rFonts w:ascii="IBM Plex Sans Light" w:hAnsi="IBM Plex Sans Light"/>
                <w:sz w:val="18"/>
                <w:szCs w:val="18"/>
              </w:rPr>
            </w:pPr>
          </w:p>
        </w:tc>
        <w:tc>
          <w:tcPr>
            <w:tcW w:w="1021" w:type="dxa"/>
            <w:tcBorders>
              <w:top w:val="single" w:sz="2" w:space="0" w:color="3D7FE0" w:themeColor="accent1"/>
            </w:tcBorders>
            <w:shd w:val="clear" w:color="auto" w:fill="auto"/>
            <w:vAlign w:val="bottom"/>
          </w:tcPr>
          <w:p w14:paraId="6F620E84" w14:textId="77777777"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Properties </w:t>
            </w:r>
            <w:r w:rsidRPr="005907D3">
              <w:rPr>
                <w:rFonts w:ascii="IBM Plex Sans Light" w:hAnsi="IBM Plex Sans Light"/>
                <w:color w:val="auto"/>
                <w:sz w:val="14"/>
                <w:szCs w:val="24"/>
              </w:rPr>
              <w:br/>
              <w:t>at valuation </w:t>
            </w:r>
            <w:r w:rsidRPr="005907D3">
              <w:rPr>
                <w:rFonts w:ascii="IBM Plex Sans Light" w:hAnsi="IBM Plex Sans Light"/>
                <w:color w:val="auto"/>
                <w:sz w:val="14"/>
                <w:szCs w:val="24"/>
              </w:rPr>
              <w:br/>
            </w:r>
          </w:p>
          <w:p w14:paraId="3C7B6352" w14:textId="442C37B6"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£m </w:t>
            </w:r>
          </w:p>
        </w:tc>
        <w:tc>
          <w:tcPr>
            <w:tcW w:w="1021" w:type="dxa"/>
            <w:tcBorders>
              <w:top w:val="single" w:sz="2" w:space="0" w:color="3D7FE0" w:themeColor="accent1"/>
            </w:tcBorders>
            <w:shd w:val="clear" w:color="auto" w:fill="auto"/>
            <w:vAlign w:val="bottom"/>
          </w:tcPr>
          <w:p w14:paraId="1BE4EE64" w14:textId="5DEF7496"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Revaluation losses </w:t>
            </w:r>
            <w:r w:rsidRPr="005907D3">
              <w:rPr>
                <w:rFonts w:ascii="IBM Plex Sans Light" w:hAnsi="IBM Plex Sans Light"/>
                <w:color w:val="auto"/>
                <w:sz w:val="14"/>
                <w:szCs w:val="24"/>
              </w:rPr>
              <w:br/>
              <w:t xml:space="preserve">in the </w:t>
            </w:r>
            <w:r w:rsidR="007F605B">
              <w:rPr>
                <w:rFonts w:ascii="IBM Plex Sans Light" w:hAnsi="IBM Plex Sans Light"/>
                <w:color w:val="auto"/>
                <w:sz w:val="14"/>
                <w:szCs w:val="24"/>
              </w:rPr>
              <w:t>year</w:t>
            </w:r>
            <w:r w:rsidRPr="005907D3">
              <w:rPr>
                <w:rFonts w:ascii="IBM Plex Sans Light" w:hAnsi="IBM Plex Sans Light"/>
                <w:color w:val="auto"/>
                <w:sz w:val="14"/>
                <w:szCs w:val="24"/>
              </w:rPr>
              <w:br/>
            </w:r>
          </w:p>
          <w:p w14:paraId="649E0E30" w14:textId="1FD3D025"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£m</w:t>
            </w:r>
          </w:p>
        </w:tc>
        <w:tc>
          <w:tcPr>
            <w:tcW w:w="794" w:type="dxa"/>
            <w:tcBorders>
              <w:top w:val="single" w:sz="2" w:space="0" w:color="3D7FE0" w:themeColor="accent1"/>
            </w:tcBorders>
            <w:vAlign w:val="bottom"/>
          </w:tcPr>
          <w:p w14:paraId="0D193C78" w14:textId="1668E2F6"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Income </w:t>
            </w:r>
            <w:r w:rsidRPr="005907D3">
              <w:rPr>
                <w:rFonts w:ascii="IBM Plex Sans Light" w:hAnsi="IBM Plex Sans Light"/>
                <w:color w:val="auto"/>
                <w:sz w:val="14"/>
                <w:szCs w:val="24"/>
              </w:rPr>
              <w:br/>
              <w:t>return</w:t>
            </w:r>
            <w:r w:rsidRPr="005907D3">
              <w:rPr>
                <w:rFonts w:ascii="IBM Plex Sans Light" w:hAnsi="IBM Plex Sans Light"/>
                <w:color w:val="auto"/>
                <w:sz w:val="14"/>
                <w:szCs w:val="24"/>
              </w:rPr>
              <w:br/>
            </w:r>
            <w:r w:rsidR="007F605B">
              <w:rPr>
                <w:rFonts w:ascii="IBM Plex Sans Light" w:hAnsi="IBM Plex Sans Light"/>
                <w:color w:val="auto"/>
                <w:sz w:val="14"/>
                <w:szCs w:val="24"/>
              </w:rPr>
              <w:t>a</w:t>
            </w:r>
          </w:p>
          <w:p w14:paraId="1E9339A1" w14:textId="389A28BA"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w:t>
            </w:r>
          </w:p>
        </w:tc>
        <w:tc>
          <w:tcPr>
            <w:tcW w:w="794" w:type="dxa"/>
            <w:tcBorders>
              <w:top w:val="single" w:sz="2" w:space="0" w:color="3D7FE0" w:themeColor="accent1"/>
            </w:tcBorders>
            <w:shd w:val="clear" w:color="auto" w:fill="auto"/>
            <w:vAlign w:val="bottom"/>
          </w:tcPr>
          <w:p w14:paraId="30232088" w14:textId="720A4494"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Capital </w:t>
            </w:r>
            <w:r w:rsidRPr="005907D3">
              <w:rPr>
                <w:rFonts w:ascii="IBM Plex Sans Light" w:hAnsi="IBM Plex Sans Light"/>
                <w:color w:val="auto"/>
                <w:sz w:val="14"/>
                <w:szCs w:val="24"/>
              </w:rPr>
              <w:br/>
              <w:t>return</w:t>
            </w:r>
            <w:r w:rsidRPr="005907D3">
              <w:rPr>
                <w:rFonts w:ascii="IBM Plex Sans Light" w:hAnsi="IBM Plex Sans Light"/>
                <w:color w:val="auto"/>
                <w:sz w:val="14"/>
                <w:szCs w:val="24"/>
              </w:rPr>
              <w:br/>
            </w:r>
            <w:proofErr w:type="spellStart"/>
            <w:r w:rsidR="007F605B">
              <w:rPr>
                <w:rFonts w:ascii="IBM Plex Sans Light" w:hAnsi="IBM Plex Sans Light"/>
                <w:color w:val="auto"/>
                <w:sz w:val="14"/>
                <w:szCs w:val="24"/>
              </w:rPr>
              <w:t>a,b</w:t>
            </w:r>
            <w:proofErr w:type="spellEnd"/>
          </w:p>
          <w:p w14:paraId="1116A870" w14:textId="1C31735B"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w:t>
            </w:r>
          </w:p>
        </w:tc>
        <w:tc>
          <w:tcPr>
            <w:tcW w:w="794" w:type="dxa"/>
            <w:tcBorders>
              <w:top w:val="single" w:sz="2" w:space="0" w:color="3D7FE0" w:themeColor="accent1"/>
            </w:tcBorders>
            <w:shd w:val="clear" w:color="auto" w:fill="auto"/>
            <w:vAlign w:val="bottom"/>
          </w:tcPr>
          <w:p w14:paraId="7F6C6E10" w14:textId="4F6013D6"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Total </w:t>
            </w:r>
            <w:r w:rsidRPr="005907D3">
              <w:rPr>
                <w:rFonts w:ascii="IBM Plex Sans Light" w:hAnsi="IBM Plex Sans Light"/>
                <w:color w:val="auto"/>
                <w:sz w:val="14"/>
                <w:szCs w:val="24"/>
              </w:rPr>
              <w:br/>
              <w:t>return</w:t>
            </w:r>
            <w:r w:rsidRPr="005907D3">
              <w:rPr>
                <w:rFonts w:ascii="IBM Plex Sans Light" w:hAnsi="IBM Plex Sans Light"/>
                <w:color w:val="auto"/>
                <w:sz w:val="14"/>
                <w:szCs w:val="24"/>
              </w:rPr>
              <w:br/>
            </w:r>
            <w:proofErr w:type="spellStart"/>
            <w:r w:rsidR="007F605B">
              <w:rPr>
                <w:rFonts w:ascii="IBM Plex Sans Light" w:hAnsi="IBM Plex Sans Light"/>
                <w:color w:val="auto"/>
                <w:sz w:val="14"/>
                <w:szCs w:val="24"/>
              </w:rPr>
              <w:t>a,b</w:t>
            </w:r>
            <w:proofErr w:type="spellEnd"/>
          </w:p>
          <w:p w14:paraId="2D488716" w14:textId="4EA3DD45"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w:t>
            </w:r>
          </w:p>
        </w:tc>
        <w:tc>
          <w:tcPr>
            <w:tcW w:w="794" w:type="dxa"/>
            <w:tcBorders>
              <w:top w:val="single" w:sz="2" w:space="0" w:color="3D7FE0" w:themeColor="accent1"/>
            </w:tcBorders>
            <w:shd w:val="clear" w:color="auto" w:fill="auto"/>
            <w:vAlign w:val="bottom"/>
          </w:tcPr>
          <w:p w14:paraId="64A3314E" w14:textId="77777777"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Initial </w:t>
            </w:r>
            <w:r w:rsidRPr="005907D3">
              <w:rPr>
                <w:rFonts w:ascii="IBM Plex Sans Light" w:hAnsi="IBM Plex Sans Light"/>
                <w:color w:val="auto"/>
                <w:sz w:val="14"/>
                <w:szCs w:val="24"/>
              </w:rPr>
              <w:br/>
              <w:t>yield</w:t>
            </w:r>
            <w:r w:rsidRPr="005907D3">
              <w:rPr>
                <w:rFonts w:ascii="IBM Plex Sans Light" w:hAnsi="IBM Plex Sans Light"/>
                <w:color w:val="auto"/>
                <w:sz w:val="14"/>
                <w:szCs w:val="24"/>
              </w:rPr>
              <w:br/>
            </w:r>
          </w:p>
          <w:p w14:paraId="52732BE3" w14:textId="7DC75F62"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w:t>
            </w:r>
          </w:p>
        </w:tc>
        <w:tc>
          <w:tcPr>
            <w:tcW w:w="794" w:type="dxa"/>
            <w:tcBorders>
              <w:top w:val="single" w:sz="2" w:space="0" w:color="3D7FE0" w:themeColor="accent1"/>
            </w:tcBorders>
            <w:shd w:val="clear" w:color="auto" w:fill="auto"/>
            <w:vAlign w:val="bottom"/>
          </w:tcPr>
          <w:p w14:paraId="26AE20AD" w14:textId="77777777"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True </w:t>
            </w:r>
            <w:r w:rsidRPr="005907D3">
              <w:rPr>
                <w:rFonts w:ascii="IBM Plex Sans Light" w:hAnsi="IBM Plex Sans Light"/>
                <w:color w:val="auto"/>
                <w:sz w:val="14"/>
                <w:szCs w:val="24"/>
              </w:rPr>
              <w:br/>
              <w:t xml:space="preserve">equivalent </w:t>
            </w:r>
            <w:r w:rsidRPr="005907D3">
              <w:rPr>
                <w:rFonts w:ascii="IBM Plex Sans Light" w:hAnsi="IBM Plex Sans Light"/>
                <w:color w:val="auto"/>
                <w:sz w:val="14"/>
                <w:szCs w:val="24"/>
              </w:rPr>
              <w:br/>
              <w:t>yield</w:t>
            </w:r>
            <w:r w:rsidRPr="005907D3">
              <w:rPr>
                <w:rFonts w:ascii="IBM Plex Sans Light" w:hAnsi="IBM Plex Sans Light"/>
                <w:color w:val="auto"/>
                <w:sz w:val="14"/>
                <w:szCs w:val="24"/>
              </w:rPr>
              <w:br/>
            </w:r>
          </w:p>
          <w:p w14:paraId="27677597" w14:textId="63A75D2B"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w:t>
            </w:r>
          </w:p>
        </w:tc>
        <w:tc>
          <w:tcPr>
            <w:tcW w:w="794" w:type="dxa"/>
            <w:tcBorders>
              <w:top w:val="single" w:sz="2" w:space="0" w:color="3D7FE0" w:themeColor="accent1"/>
            </w:tcBorders>
            <w:shd w:val="clear" w:color="auto" w:fill="auto"/>
            <w:vAlign w:val="bottom"/>
          </w:tcPr>
          <w:p w14:paraId="027D27B4" w14:textId="61D61D88" w:rsidR="007F605B"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 xml:space="preserve">Nominal </w:t>
            </w:r>
            <w:r w:rsidRPr="005907D3">
              <w:rPr>
                <w:rFonts w:ascii="IBM Plex Sans Light" w:hAnsi="IBM Plex Sans Light"/>
                <w:color w:val="auto"/>
                <w:sz w:val="14"/>
                <w:szCs w:val="24"/>
              </w:rPr>
              <w:br/>
              <w:t xml:space="preserve">equivalent </w:t>
            </w:r>
            <w:r w:rsidRPr="005907D3">
              <w:rPr>
                <w:rFonts w:ascii="IBM Plex Sans Light" w:hAnsi="IBM Plex Sans Light"/>
                <w:color w:val="auto"/>
                <w:sz w:val="14"/>
                <w:szCs w:val="24"/>
              </w:rPr>
              <w:br/>
              <w:t>yield</w:t>
            </w:r>
            <w:r w:rsidRPr="005907D3">
              <w:rPr>
                <w:rFonts w:ascii="IBM Plex Sans Light" w:hAnsi="IBM Plex Sans Light"/>
                <w:color w:val="auto"/>
                <w:sz w:val="14"/>
                <w:szCs w:val="24"/>
              </w:rPr>
              <w:br/>
            </w:r>
            <w:r w:rsidR="007F605B">
              <w:rPr>
                <w:rFonts w:ascii="IBM Plex Sans Light" w:hAnsi="IBM Plex Sans Light"/>
                <w:color w:val="auto"/>
                <w:sz w:val="14"/>
                <w:szCs w:val="24"/>
              </w:rPr>
              <w:t>c</w:t>
            </w:r>
          </w:p>
          <w:p w14:paraId="4716D854" w14:textId="01284F77" w:rsidR="006B43AF" w:rsidRPr="005907D3" w:rsidRDefault="006B43AF" w:rsidP="004203CD">
            <w:pPr>
              <w:pStyle w:val="TableTColHeadsBoldNoIndent"/>
              <w:rPr>
                <w:rFonts w:ascii="IBM Plex Sans Light" w:hAnsi="IBM Plex Sans Light"/>
                <w:color w:val="auto"/>
                <w:sz w:val="14"/>
                <w:szCs w:val="24"/>
              </w:rPr>
            </w:pPr>
            <w:r w:rsidRPr="005907D3">
              <w:rPr>
                <w:rFonts w:ascii="IBM Plex Sans Light" w:hAnsi="IBM Plex Sans Light"/>
                <w:color w:val="auto"/>
                <w:sz w:val="14"/>
                <w:szCs w:val="24"/>
              </w:rPr>
              <w:t>%</w:t>
            </w:r>
          </w:p>
        </w:tc>
      </w:tr>
      <w:tr w:rsidR="006B43AF" w:rsidRPr="005907D3" w14:paraId="5FE1FB1C" w14:textId="77777777" w:rsidTr="004203CD">
        <w:trPr>
          <w:trHeight w:hRule="exact" w:val="255"/>
        </w:trPr>
        <w:tc>
          <w:tcPr>
            <w:tcW w:w="2268" w:type="dxa"/>
            <w:tcBorders>
              <w:top w:val="single" w:sz="2" w:space="0" w:color="3D7FE0" w:themeColor="accent1"/>
            </w:tcBorders>
            <w:shd w:val="clear" w:color="auto" w:fill="auto"/>
            <w:vAlign w:val="bottom"/>
          </w:tcPr>
          <w:p w14:paraId="10AD593E"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UK</w:t>
            </w:r>
          </w:p>
        </w:tc>
        <w:tc>
          <w:tcPr>
            <w:tcW w:w="284" w:type="dxa"/>
            <w:tcBorders>
              <w:top w:val="single" w:sz="2" w:space="0" w:color="3D7FE0" w:themeColor="accent1"/>
            </w:tcBorders>
            <w:shd w:val="clear" w:color="auto" w:fill="auto"/>
            <w:vAlign w:val="bottom"/>
          </w:tcPr>
          <w:p w14:paraId="6545565E" w14:textId="77777777" w:rsidR="006B43AF" w:rsidRPr="005439CC" w:rsidRDefault="006B43AF" w:rsidP="004203CD">
            <w:pPr>
              <w:pStyle w:val="13TBRightCopyIndentTableBack"/>
              <w:spacing w:line="276" w:lineRule="auto"/>
            </w:pPr>
          </w:p>
        </w:tc>
        <w:tc>
          <w:tcPr>
            <w:tcW w:w="453" w:type="dxa"/>
            <w:tcBorders>
              <w:top w:val="single" w:sz="2" w:space="0" w:color="3D7FE0" w:themeColor="accent1"/>
            </w:tcBorders>
          </w:tcPr>
          <w:p w14:paraId="300F52DA"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tcBorders>
              <w:top w:val="single" w:sz="2" w:space="0" w:color="3D7FE0" w:themeColor="accent1"/>
            </w:tcBorders>
            <w:shd w:val="clear" w:color="auto" w:fill="auto"/>
            <w:vAlign w:val="bottom"/>
          </w:tcPr>
          <w:p w14:paraId="56EA54F4"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871.0</w:t>
            </w:r>
          </w:p>
        </w:tc>
        <w:tc>
          <w:tcPr>
            <w:tcW w:w="1021" w:type="dxa"/>
            <w:tcBorders>
              <w:top w:val="single" w:sz="2" w:space="0" w:color="3D7FE0" w:themeColor="accent1"/>
            </w:tcBorders>
            <w:shd w:val="clear" w:color="auto" w:fill="auto"/>
            <w:vAlign w:val="bottom"/>
          </w:tcPr>
          <w:p w14:paraId="76C9F3B9"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(90.2)</w:t>
            </w:r>
          </w:p>
        </w:tc>
        <w:tc>
          <w:tcPr>
            <w:tcW w:w="794" w:type="dxa"/>
            <w:tcBorders>
              <w:top w:val="single" w:sz="2" w:space="0" w:color="3D7FE0" w:themeColor="accent1"/>
            </w:tcBorders>
            <w:vAlign w:val="bottom"/>
          </w:tcPr>
          <w:p w14:paraId="3C97ED4E"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7.9</w:t>
            </w:r>
          </w:p>
        </w:tc>
        <w:tc>
          <w:tcPr>
            <w:tcW w:w="794" w:type="dxa"/>
            <w:tcBorders>
              <w:top w:val="single" w:sz="2" w:space="0" w:color="3D7FE0" w:themeColor="accent1"/>
            </w:tcBorders>
            <w:shd w:val="clear" w:color="auto" w:fill="auto"/>
            <w:vAlign w:val="bottom"/>
          </w:tcPr>
          <w:p w14:paraId="2B778ECC"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(9.4)</w:t>
            </w:r>
          </w:p>
        </w:tc>
        <w:tc>
          <w:tcPr>
            <w:tcW w:w="794" w:type="dxa"/>
            <w:tcBorders>
              <w:top w:val="single" w:sz="2" w:space="0" w:color="3D7FE0" w:themeColor="accent1"/>
            </w:tcBorders>
            <w:shd w:val="clear" w:color="auto" w:fill="auto"/>
            <w:vAlign w:val="bottom"/>
          </w:tcPr>
          <w:p w14:paraId="24ADEA33"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(2.1)</w:t>
            </w:r>
          </w:p>
        </w:tc>
        <w:tc>
          <w:tcPr>
            <w:tcW w:w="794" w:type="dxa"/>
            <w:tcBorders>
              <w:top w:val="single" w:sz="2" w:space="0" w:color="3D7FE0" w:themeColor="accent1"/>
            </w:tcBorders>
            <w:shd w:val="clear" w:color="auto" w:fill="auto"/>
            <w:vAlign w:val="bottom"/>
          </w:tcPr>
          <w:p w14:paraId="3EFE61F2"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7.7</w:t>
            </w:r>
          </w:p>
        </w:tc>
        <w:tc>
          <w:tcPr>
            <w:tcW w:w="794" w:type="dxa"/>
            <w:tcBorders>
              <w:top w:val="single" w:sz="2" w:space="0" w:color="3D7FE0" w:themeColor="accent1"/>
            </w:tcBorders>
            <w:shd w:val="clear" w:color="auto" w:fill="auto"/>
            <w:vAlign w:val="bottom"/>
          </w:tcPr>
          <w:p w14:paraId="40005C54"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8.4</w:t>
            </w:r>
          </w:p>
        </w:tc>
        <w:tc>
          <w:tcPr>
            <w:tcW w:w="794" w:type="dxa"/>
            <w:tcBorders>
              <w:top w:val="single" w:sz="2" w:space="0" w:color="3D7FE0" w:themeColor="accent1"/>
            </w:tcBorders>
            <w:shd w:val="clear" w:color="auto" w:fill="auto"/>
            <w:vAlign w:val="bottom"/>
          </w:tcPr>
          <w:p w14:paraId="68E2CD11"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8.0</w:t>
            </w:r>
          </w:p>
        </w:tc>
      </w:tr>
      <w:tr w:rsidR="006B43AF" w:rsidRPr="005907D3" w14:paraId="55914FC6" w14:textId="77777777" w:rsidTr="004203CD">
        <w:trPr>
          <w:trHeight w:hRule="exact" w:val="255"/>
        </w:trPr>
        <w:tc>
          <w:tcPr>
            <w:tcW w:w="2268" w:type="dxa"/>
            <w:shd w:val="clear" w:color="auto" w:fill="auto"/>
            <w:vAlign w:val="bottom"/>
          </w:tcPr>
          <w:p w14:paraId="7B6B5DA0"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France</w:t>
            </w:r>
          </w:p>
        </w:tc>
        <w:tc>
          <w:tcPr>
            <w:tcW w:w="284" w:type="dxa"/>
            <w:shd w:val="clear" w:color="auto" w:fill="auto"/>
            <w:vAlign w:val="bottom"/>
          </w:tcPr>
          <w:p w14:paraId="60F3B803" w14:textId="77777777" w:rsidR="006B43AF" w:rsidRPr="005439CC" w:rsidRDefault="006B43AF" w:rsidP="004203CD">
            <w:pPr>
              <w:pStyle w:val="13TBRightCopyIndentTableBack"/>
              <w:spacing w:line="276" w:lineRule="auto"/>
            </w:pPr>
          </w:p>
        </w:tc>
        <w:tc>
          <w:tcPr>
            <w:tcW w:w="453" w:type="dxa"/>
          </w:tcPr>
          <w:p w14:paraId="00E732B8"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shd w:val="clear" w:color="auto" w:fill="auto"/>
            <w:vAlign w:val="bottom"/>
          </w:tcPr>
          <w:p w14:paraId="40917856"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1,241.0</w:t>
            </w:r>
          </w:p>
        </w:tc>
        <w:tc>
          <w:tcPr>
            <w:tcW w:w="1021" w:type="dxa"/>
            <w:shd w:val="clear" w:color="auto" w:fill="auto"/>
            <w:vAlign w:val="bottom"/>
          </w:tcPr>
          <w:p w14:paraId="27C25DA0"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(57.2)</w:t>
            </w:r>
          </w:p>
        </w:tc>
        <w:tc>
          <w:tcPr>
            <w:tcW w:w="794" w:type="dxa"/>
            <w:vAlign w:val="bottom"/>
          </w:tcPr>
          <w:p w14:paraId="668E9505"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4.8</w:t>
            </w:r>
          </w:p>
        </w:tc>
        <w:tc>
          <w:tcPr>
            <w:tcW w:w="794" w:type="dxa"/>
            <w:shd w:val="clear" w:color="auto" w:fill="auto"/>
            <w:vAlign w:val="bottom"/>
          </w:tcPr>
          <w:p w14:paraId="06F7CF1D"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(4.6)</w:t>
            </w:r>
          </w:p>
        </w:tc>
        <w:tc>
          <w:tcPr>
            <w:tcW w:w="794" w:type="dxa"/>
            <w:shd w:val="clear" w:color="auto" w:fill="auto"/>
            <w:vAlign w:val="bottom"/>
          </w:tcPr>
          <w:p w14:paraId="6BD14D65"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w:t>
            </w:r>
          </w:p>
        </w:tc>
        <w:tc>
          <w:tcPr>
            <w:tcW w:w="794" w:type="dxa"/>
            <w:shd w:val="clear" w:color="auto" w:fill="auto"/>
            <w:vAlign w:val="bottom"/>
          </w:tcPr>
          <w:p w14:paraId="57930EEE"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4.4</w:t>
            </w:r>
          </w:p>
        </w:tc>
        <w:tc>
          <w:tcPr>
            <w:tcW w:w="794" w:type="dxa"/>
            <w:shd w:val="clear" w:color="auto" w:fill="auto"/>
            <w:vAlign w:val="bottom"/>
          </w:tcPr>
          <w:p w14:paraId="3FB0A863"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5.2</w:t>
            </w:r>
          </w:p>
        </w:tc>
        <w:tc>
          <w:tcPr>
            <w:tcW w:w="794" w:type="dxa"/>
            <w:shd w:val="clear" w:color="auto" w:fill="auto"/>
            <w:vAlign w:val="bottom"/>
          </w:tcPr>
          <w:p w14:paraId="7738B554"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5.0</w:t>
            </w:r>
          </w:p>
        </w:tc>
      </w:tr>
      <w:tr w:rsidR="006B43AF" w:rsidRPr="005907D3" w14:paraId="100B803D" w14:textId="77777777" w:rsidTr="004203CD">
        <w:trPr>
          <w:trHeight w:hRule="exact" w:val="255"/>
        </w:trPr>
        <w:tc>
          <w:tcPr>
            <w:tcW w:w="2268" w:type="dxa"/>
            <w:tcBorders>
              <w:bottom w:val="single" w:sz="2" w:space="0" w:color="3D7FE0" w:themeColor="accent1"/>
            </w:tcBorders>
            <w:shd w:val="clear" w:color="auto" w:fill="auto"/>
            <w:vAlign w:val="bottom"/>
          </w:tcPr>
          <w:p w14:paraId="42AE4D4D"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Ireland</w:t>
            </w:r>
          </w:p>
        </w:tc>
        <w:tc>
          <w:tcPr>
            <w:tcW w:w="284" w:type="dxa"/>
            <w:tcBorders>
              <w:bottom w:val="single" w:sz="2" w:space="0" w:color="3D7FE0" w:themeColor="accent1"/>
            </w:tcBorders>
            <w:shd w:val="clear" w:color="auto" w:fill="auto"/>
            <w:vAlign w:val="bottom"/>
          </w:tcPr>
          <w:p w14:paraId="33D84BCE" w14:textId="77777777" w:rsidR="006B43AF" w:rsidRPr="005439CC" w:rsidRDefault="006B43AF" w:rsidP="004203CD">
            <w:pPr>
              <w:pStyle w:val="13TBRightCopyIndentTableBack"/>
              <w:spacing w:line="276" w:lineRule="auto"/>
            </w:pPr>
          </w:p>
        </w:tc>
        <w:tc>
          <w:tcPr>
            <w:tcW w:w="453" w:type="dxa"/>
            <w:tcBorders>
              <w:bottom w:val="single" w:sz="2" w:space="0" w:color="3D7FE0" w:themeColor="accent1"/>
            </w:tcBorders>
          </w:tcPr>
          <w:p w14:paraId="0BE0E698"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tcBorders>
              <w:bottom w:val="single" w:sz="2" w:space="0" w:color="3D7FE0" w:themeColor="accent1"/>
            </w:tcBorders>
            <w:shd w:val="clear" w:color="auto" w:fill="auto"/>
            <w:vAlign w:val="bottom"/>
          </w:tcPr>
          <w:p w14:paraId="4DFB1701"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676.4</w:t>
            </w:r>
          </w:p>
        </w:tc>
        <w:tc>
          <w:tcPr>
            <w:tcW w:w="1021" w:type="dxa"/>
            <w:tcBorders>
              <w:bottom w:val="single" w:sz="2" w:space="0" w:color="3D7FE0" w:themeColor="accent1"/>
            </w:tcBorders>
            <w:shd w:val="clear" w:color="auto" w:fill="auto"/>
            <w:vAlign w:val="bottom"/>
          </w:tcPr>
          <w:p w14:paraId="34AE6DA3"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(20.1)</w:t>
            </w:r>
          </w:p>
        </w:tc>
        <w:tc>
          <w:tcPr>
            <w:tcW w:w="794" w:type="dxa"/>
            <w:tcBorders>
              <w:bottom w:val="single" w:sz="2" w:space="0" w:color="3D7FE0" w:themeColor="accent1"/>
            </w:tcBorders>
            <w:vAlign w:val="bottom"/>
          </w:tcPr>
          <w:p w14:paraId="22B0CBC0"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5.2</w:t>
            </w:r>
          </w:p>
        </w:tc>
        <w:tc>
          <w:tcPr>
            <w:tcW w:w="794" w:type="dxa"/>
            <w:tcBorders>
              <w:bottom w:val="single" w:sz="2" w:space="0" w:color="3D7FE0" w:themeColor="accent1"/>
            </w:tcBorders>
            <w:shd w:val="clear" w:color="auto" w:fill="auto"/>
            <w:vAlign w:val="bottom"/>
          </w:tcPr>
          <w:p w14:paraId="73854DCD"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(3.0)</w:t>
            </w:r>
          </w:p>
        </w:tc>
        <w:tc>
          <w:tcPr>
            <w:tcW w:w="794" w:type="dxa"/>
            <w:tcBorders>
              <w:bottom w:val="single" w:sz="2" w:space="0" w:color="3D7FE0" w:themeColor="accent1"/>
            </w:tcBorders>
            <w:shd w:val="clear" w:color="auto" w:fill="auto"/>
            <w:vAlign w:val="bottom"/>
          </w:tcPr>
          <w:p w14:paraId="5C06B57F"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2.1</w:t>
            </w:r>
          </w:p>
        </w:tc>
        <w:tc>
          <w:tcPr>
            <w:tcW w:w="794" w:type="dxa"/>
            <w:tcBorders>
              <w:bottom w:val="single" w:sz="2" w:space="0" w:color="3D7FE0" w:themeColor="accent1"/>
            </w:tcBorders>
            <w:shd w:val="clear" w:color="auto" w:fill="auto"/>
            <w:vAlign w:val="bottom"/>
          </w:tcPr>
          <w:p w14:paraId="086DA514"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5.3</w:t>
            </w:r>
          </w:p>
        </w:tc>
        <w:tc>
          <w:tcPr>
            <w:tcW w:w="794" w:type="dxa"/>
            <w:tcBorders>
              <w:bottom w:val="single" w:sz="2" w:space="0" w:color="3D7FE0" w:themeColor="accent1"/>
            </w:tcBorders>
            <w:shd w:val="clear" w:color="auto" w:fill="auto"/>
            <w:vAlign w:val="bottom"/>
          </w:tcPr>
          <w:p w14:paraId="71629EDE"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5.7</w:t>
            </w:r>
          </w:p>
        </w:tc>
        <w:tc>
          <w:tcPr>
            <w:tcW w:w="794" w:type="dxa"/>
            <w:tcBorders>
              <w:bottom w:val="single" w:sz="2" w:space="0" w:color="3D7FE0" w:themeColor="accent1"/>
            </w:tcBorders>
            <w:shd w:val="clear" w:color="auto" w:fill="auto"/>
            <w:vAlign w:val="bottom"/>
          </w:tcPr>
          <w:p w14:paraId="6F75AA19"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5.5</w:t>
            </w:r>
          </w:p>
        </w:tc>
      </w:tr>
      <w:tr w:rsidR="006B43AF" w:rsidRPr="005907D3" w14:paraId="15D47E5A" w14:textId="77777777" w:rsidTr="004203CD">
        <w:trPr>
          <w:trHeight w:hRule="exact" w:val="255"/>
        </w:trPr>
        <w:tc>
          <w:tcPr>
            <w:tcW w:w="2268" w:type="dxa"/>
            <w:tcBorders>
              <w:top w:val="single" w:sz="2" w:space="0" w:color="3D7FE0" w:themeColor="accent1"/>
            </w:tcBorders>
            <w:shd w:val="clear" w:color="auto" w:fill="auto"/>
            <w:vAlign w:val="bottom"/>
          </w:tcPr>
          <w:p w14:paraId="24436114"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bCs/>
                <w:sz w:val="18"/>
                <w:szCs w:val="18"/>
              </w:rPr>
              <w:lastRenderedPageBreak/>
              <w:t>Flagship destinations</w:t>
            </w:r>
          </w:p>
        </w:tc>
        <w:tc>
          <w:tcPr>
            <w:tcW w:w="284" w:type="dxa"/>
            <w:tcBorders>
              <w:top w:val="single" w:sz="2" w:space="0" w:color="3D7FE0" w:themeColor="accent1"/>
            </w:tcBorders>
            <w:shd w:val="clear" w:color="auto" w:fill="auto"/>
            <w:vAlign w:val="bottom"/>
          </w:tcPr>
          <w:p w14:paraId="47F00997" w14:textId="77777777" w:rsidR="006B43AF" w:rsidRPr="005439CC" w:rsidRDefault="006B43AF" w:rsidP="004203CD">
            <w:pPr>
              <w:pStyle w:val="13TBRightCopyIndentTableBack"/>
              <w:spacing w:line="276" w:lineRule="auto"/>
            </w:pPr>
          </w:p>
        </w:tc>
        <w:tc>
          <w:tcPr>
            <w:tcW w:w="453" w:type="dxa"/>
            <w:tcBorders>
              <w:top w:val="single" w:sz="2" w:space="0" w:color="3D7FE0" w:themeColor="accent1"/>
            </w:tcBorders>
          </w:tcPr>
          <w:p w14:paraId="5EACD114"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tcBorders>
              <w:top w:val="single" w:sz="2" w:space="0" w:color="3D7FE0" w:themeColor="accent1"/>
            </w:tcBorders>
            <w:shd w:val="clear" w:color="auto" w:fill="auto"/>
            <w:vAlign w:val="bottom"/>
          </w:tcPr>
          <w:p w14:paraId="26DDC356"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2,788.4</w:t>
            </w:r>
          </w:p>
        </w:tc>
        <w:tc>
          <w:tcPr>
            <w:tcW w:w="1021" w:type="dxa"/>
            <w:tcBorders>
              <w:top w:val="single" w:sz="2" w:space="0" w:color="3D7FE0" w:themeColor="accent1"/>
            </w:tcBorders>
            <w:shd w:val="clear" w:color="auto" w:fill="auto"/>
            <w:vAlign w:val="bottom"/>
          </w:tcPr>
          <w:p w14:paraId="249B7044"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(167.5)</w:t>
            </w:r>
          </w:p>
        </w:tc>
        <w:tc>
          <w:tcPr>
            <w:tcW w:w="794" w:type="dxa"/>
            <w:tcBorders>
              <w:top w:val="single" w:sz="2" w:space="0" w:color="3D7FE0" w:themeColor="accent1"/>
            </w:tcBorders>
            <w:vAlign w:val="bottom"/>
          </w:tcPr>
          <w:p w14:paraId="7A2EB91E"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6.0</w:t>
            </w:r>
          </w:p>
        </w:tc>
        <w:tc>
          <w:tcPr>
            <w:tcW w:w="794" w:type="dxa"/>
            <w:tcBorders>
              <w:top w:val="single" w:sz="2" w:space="0" w:color="3D7FE0" w:themeColor="accent1"/>
            </w:tcBorders>
            <w:shd w:val="clear" w:color="auto" w:fill="auto"/>
            <w:vAlign w:val="bottom"/>
          </w:tcPr>
          <w:p w14:paraId="6D809A9F"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(5.9)</w:t>
            </w:r>
          </w:p>
        </w:tc>
        <w:tc>
          <w:tcPr>
            <w:tcW w:w="794" w:type="dxa"/>
            <w:tcBorders>
              <w:top w:val="single" w:sz="2" w:space="0" w:color="3D7FE0" w:themeColor="accent1"/>
            </w:tcBorders>
            <w:shd w:val="clear" w:color="auto" w:fill="auto"/>
            <w:vAlign w:val="bottom"/>
          </w:tcPr>
          <w:p w14:paraId="79B8C729"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(0.2)</w:t>
            </w:r>
          </w:p>
        </w:tc>
        <w:tc>
          <w:tcPr>
            <w:tcW w:w="794" w:type="dxa"/>
            <w:tcBorders>
              <w:top w:val="single" w:sz="2" w:space="0" w:color="3D7FE0" w:themeColor="accent1"/>
            </w:tcBorders>
            <w:shd w:val="clear" w:color="auto" w:fill="auto"/>
            <w:vAlign w:val="bottom"/>
          </w:tcPr>
          <w:p w14:paraId="40BD6469"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5.7</w:t>
            </w:r>
          </w:p>
        </w:tc>
        <w:tc>
          <w:tcPr>
            <w:tcW w:w="794" w:type="dxa"/>
            <w:tcBorders>
              <w:top w:val="single" w:sz="2" w:space="0" w:color="3D7FE0" w:themeColor="accent1"/>
            </w:tcBorders>
            <w:shd w:val="clear" w:color="auto" w:fill="auto"/>
            <w:vAlign w:val="bottom"/>
          </w:tcPr>
          <w:p w14:paraId="3CC1D501"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6.3</w:t>
            </w:r>
          </w:p>
        </w:tc>
        <w:tc>
          <w:tcPr>
            <w:tcW w:w="794" w:type="dxa"/>
            <w:tcBorders>
              <w:top w:val="single" w:sz="2" w:space="0" w:color="3D7FE0" w:themeColor="accent1"/>
            </w:tcBorders>
            <w:shd w:val="clear" w:color="auto" w:fill="auto"/>
            <w:vAlign w:val="bottom"/>
          </w:tcPr>
          <w:p w14:paraId="73155E6D"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6.1</w:t>
            </w:r>
          </w:p>
        </w:tc>
      </w:tr>
      <w:tr w:rsidR="006B43AF" w:rsidRPr="005907D3" w14:paraId="51DAB722" w14:textId="77777777" w:rsidTr="004203CD">
        <w:trPr>
          <w:trHeight w:hRule="exact" w:val="255"/>
        </w:trPr>
        <w:tc>
          <w:tcPr>
            <w:tcW w:w="2268" w:type="dxa"/>
            <w:shd w:val="clear" w:color="auto" w:fill="auto"/>
            <w:vAlign w:val="bottom"/>
          </w:tcPr>
          <w:p w14:paraId="13FFF4D3"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Developments and other</w:t>
            </w:r>
          </w:p>
        </w:tc>
        <w:tc>
          <w:tcPr>
            <w:tcW w:w="284" w:type="dxa"/>
            <w:shd w:val="clear" w:color="auto" w:fill="auto"/>
            <w:vAlign w:val="bottom"/>
          </w:tcPr>
          <w:p w14:paraId="5D6009FC" w14:textId="77777777" w:rsidR="006B43AF" w:rsidRPr="005439CC" w:rsidRDefault="006B43AF" w:rsidP="004203CD">
            <w:pPr>
              <w:pStyle w:val="13TBRightCopyIndentTableBack"/>
              <w:spacing w:line="276" w:lineRule="auto"/>
            </w:pPr>
          </w:p>
        </w:tc>
        <w:tc>
          <w:tcPr>
            <w:tcW w:w="453" w:type="dxa"/>
          </w:tcPr>
          <w:p w14:paraId="486BDF63"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shd w:val="clear" w:color="auto" w:fill="auto"/>
            <w:vAlign w:val="bottom"/>
          </w:tcPr>
          <w:p w14:paraId="6D65C6CF"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431.7</w:t>
            </w:r>
          </w:p>
        </w:tc>
        <w:tc>
          <w:tcPr>
            <w:tcW w:w="1021" w:type="dxa"/>
            <w:shd w:val="clear" w:color="auto" w:fill="auto"/>
            <w:vAlign w:val="bottom"/>
          </w:tcPr>
          <w:p w14:paraId="7488D7FA"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(53.5)</w:t>
            </w:r>
          </w:p>
        </w:tc>
        <w:tc>
          <w:tcPr>
            <w:tcW w:w="794" w:type="dxa"/>
            <w:vAlign w:val="bottom"/>
          </w:tcPr>
          <w:p w14:paraId="40D27780"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2.3</w:t>
            </w:r>
          </w:p>
        </w:tc>
        <w:tc>
          <w:tcPr>
            <w:tcW w:w="794" w:type="dxa"/>
            <w:shd w:val="clear" w:color="auto" w:fill="auto"/>
            <w:vAlign w:val="bottom"/>
          </w:tcPr>
          <w:p w14:paraId="653F2FB5"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(14.8)</w:t>
            </w:r>
          </w:p>
        </w:tc>
        <w:tc>
          <w:tcPr>
            <w:tcW w:w="794" w:type="dxa"/>
            <w:shd w:val="clear" w:color="auto" w:fill="auto"/>
            <w:vAlign w:val="bottom"/>
          </w:tcPr>
          <w:p w14:paraId="44161429"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(12.8)</w:t>
            </w:r>
          </w:p>
        </w:tc>
        <w:tc>
          <w:tcPr>
            <w:tcW w:w="794" w:type="dxa"/>
            <w:shd w:val="clear" w:color="auto" w:fill="auto"/>
            <w:vAlign w:val="bottom"/>
          </w:tcPr>
          <w:p w14:paraId="1E1047D5"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7.0</w:t>
            </w:r>
          </w:p>
        </w:tc>
        <w:tc>
          <w:tcPr>
            <w:tcW w:w="794" w:type="dxa"/>
            <w:shd w:val="clear" w:color="auto" w:fill="auto"/>
            <w:vAlign w:val="bottom"/>
          </w:tcPr>
          <w:p w14:paraId="71A06F2C"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10.3</w:t>
            </w:r>
          </w:p>
        </w:tc>
        <w:tc>
          <w:tcPr>
            <w:tcW w:w="794" w:type="dxa"/>
            <w:shd w:val="clear" w:color="auto" w:fill="auto"/>
            <w:vAlign w:val="bottom"/>
          </w:tcPr>
          <w:p w14:paraId="32D5DF0D"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9.7</w:t>
            </w:r>
          </w:p>
        </w:tc>
      </w:tr>
      <w:tr w:rsidR="006B43AF" w:rsidRPr="005907D3" w14:paraId="45CE06D0" w14:textId="77777777" w:rsidTr="004203CD">
        <w:trPr>
          <w:trHeight w:hRule="exact" w:val="255"/>
        </w:trPr>
        <w:tc>
          <w:tcPr>
            <w:tcW w:w="2268" w:type="dxa"/>
            <w:tcBorders>
              <w:top w:val="single" w:sz="2" w:space="0" w:color="3D7FE0" w:themeColor="accent1"/>
              <w:bottom w:val="single" w:sz="2" w:space="0" w:color="3D7FE0" w:themeColor="accent1"/>
            </w:tcBorders>
            <w:shd w:val="clear" w:color="auto" w:fill="auto"/>
            <w:vAlign w:val="bottom"/>
          </w:tcPr>
          <w:p w14:paraId="4EB08325"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bCs/>
                <w:sz w:val="18"/>
                <w:szCs w:val="18"/>
              </w:rPr>
              <w:t>Managed portfolio</w:t>
            </w:r>
          </w:p>
        </w:tc>
        <w:tc>
          <w:tcPr>
            <w:tcW w:w="284" w:type="dxa"/>
            <w:tcBorders>
              <w:top w:val="single" w:sz="2" w:space="0" w:color="3D7FE0" w:themeColor="accent1"/>
              <w:bottom w:val="single" w:sz="2" w:space="0" w:color="3D7FE0" w:themeColor="accent1"/>
            </w:tcBorders>
            <w:shd w:val="clear" w:color="auto" w:fill="auto"/>
            <w:vAlign w:val="bottom"/>
          </w:tcPr>
          <w:p w14:paraId="64A3FC94" w14:textId="77777777" w:rsidR="006B43AF" w:rsidRPr="005439CC" w:rsidRDefault="006B43AF" w:rsidP="004203CD">
            <w:pPr>
              <w:pStyle w:val="13TBRightCopyIndentTableBack"/>
              <w:spacing w:line="276" w:lineRule="auto"/>
            </w:pPr>
          </w:p>
        </w:tc>
        <w:tc>
          <w:tcPr>
            <w:tcW w:w="453" w:type="dxa"/>
            <w:tcBorders>
              <w:top w:val="single" w:sz="2" w:space="0" w:color="3D7FE0" w:themeColor="accent1"/>
              <w:bottom w:val="single" w:sz="2" w:space="0" w:color="3D7FE0" w:themeColor="accent1"/>
            </w:tcBorders>
          </w:tcPr>
          <w:p w14:paraId="021DA751"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tcBorders>
              <w:top w:val="single" w:sz="2" w:space="0" w:color="3D7FE0" w:themeColor="accent1"/>
              <w:bottom w:val="single" w:sz="2" w:space="0" w:color="3D7FE0" w:themeColor="accent1"/>
            </w:tcBorders>
            <w:shd w:val="clear" w:color="auto" w:fill="auto"/>
            <w:vAlign w:val="bottom"/>
          </w:tcPr>
          <w:p w14:paraId="46A870F8"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3,220.1</w:t>
            </w:r>
          </w:p>
        </w:tc>
        <w:tc>
          <w:tcPr>
            <w:tcW w:w="1021" w:type="dxa"/>
            <w:tcBorders>
              <w:top w:val="single" w:sz="2" w:space="0" w:color="3D7FE0" w:themeColor="accent1"/>
              <w:bottom w:val="single" w:sz="2" w:space="0" w:color="3D7FE0" w:themeColor="accent1"/>
            </w:tcBorders>
            <w:shd w:val="clear" w:color="auto" w:fill="auto"/>
            <w:vAlign w:val="bottom"/>
          </w:tcPr>
          <w:p w14:paraId="4702A9D2"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(221.0)</w:t>
            </w:r>
          </w:p>
        </w:tc>
        <w:tc>
          <w:tcPr>
            <w:tcW w:w="794" w:type="dxa"/>
            <w:tcBorders>
              <w:top w:val="single" w:sz="2" w:space="0" w:color="3D7FE0" w:themeColor="accent1"/>
              <w:bottom w:val="single" w:sz="2" w:space="0" w:color="3D7FE0" w:themeColor="accent1"/>
            </w:tcBorders>
            <w:vAlign w:val="bottom"/>
          </w:tcPr>
          <w:p w14:paraId="4C39B1F5"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5.4</w:t>
            </w:r>
          </w:p>
        </w:tc>
        <w:tc>
          <w:tcPr>
            <w:tcW w:w="794" w:type="dxa"/>
            <w:tcBorders>
              <w:top w:val="single" w:sz="2" w:space="0" w:color="3D7FE0" w:themeColor="accent1"/>
              <w:bottom w:val="single" w:sz="2" w:space="0" w:color="3D7FE0" w:themeColor="accent1"/>
            </w:tcBorders>
            <w:shd w:val="clear" w:color="auto" w:fill="auto"/>
            <w:vAlign w:val="bottom"/>
          </w:tcPr>
          <w:p w14:paraId="5C6CE795"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(7.3)</w:t>
            </w:r>
          </w:p>
        </w:tc>
        <w:tc>
          <w:tcPr>
            <w:tcW w:w="794" w:type="dxa"/>
            <w:tcBorders>
              <w:top w:val="single" w:sz="2" w:space="0" w:color="3D7FE0" w:themeColor="accent1"/>
              <w:bottom w:val="single" w:sz="2" w:space="0" w:color="3D7FE0" w:themeColor="accent1"/>
            </w:tcBorders>
            <w:shd w:val="clear" w:color="auto" w:fill="auto"/>
            <w:vAlign w:val="bottom"/>
          </w:tcPr>
          <w:p w14:paraId="58FD2854"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(2.3)</w:t>
            </w:r>
          </w:p>
        </w:tc>
        <w:tc>
          <w:tcPr>
            <w:tcW w:w="794" w:type="dxa"/>
            <w:tcBorders>
              <w:top w:val="single" w:sz="2" w:space="0" w:color="3D7FE0" w:themeColor="accent1"/>
              <w:bottom w:val="single" w:sz="2" w:space="0" w:color="3D7FE0" w:themeColor="accent1"/>
            </w:tcBorders>
            <w:shd w:val="clear" w:color="auto" w:fill="auto"/>
            <w:vAlign w:val="bottom"/>
          </w:tcPr>
          <w:p w14:paraId="0300F942"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5.8</w:t>
            </w:r>
          </w:p>
        </w:tc>
        <w:tc>
          <w:tcPr>
            <w:tcW w:w="794" w:type="dxa"/>
            <w:tcBorders>
              <w:top w:val="single" w:sz="2" w:space="0" w:color="3D7FE0" w:themeColor="accent1"/>
              <w:bottom w:val="single" w:sz="2" w:space="0" w:color="3D7FE0" w:themeColor="accent1"/>
            </w:tcBorders>
            <w:shd w:val="clear" w:color="auto" w:fill="auto"/>
            <w:vAlign w:val="bottom"/>
          </w:tcPr>
          <w:p w14:paraId="57670B2D"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6.6</w:t>
            </w:r>
          </w:p>
        </w:tc>
        <w:tc>
          <w:tcPr>
            <w:tcW w:w="794" w:type="dxa"/>
            <w:tcBorders>
              <w:top w:val="single" w:sz="2" w:space="0" w:color="3D7FE0" w:themeColor="accent1"/>
              <w:bottom w:val="single" w:sz="2" w:space="0" w:color="3D7FE0" w:themeColor="accent1"/>
            </w:tcBorders>
            <w:shd w:val="clear" w:color="auto" w:fill="auto"/>
            <w:vAlign w:val="bottom"/>
          </w:tcPr>
          <w:p w14:paraId="2724B204"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6.3</w:t>
            </w:r>
          </w:p>
        </w:tc>
      </w:tr>
      <w:tr w:rsidR="006B43AF" w:rsidRPr="005907D3" w14:paraId="35A2B9D0" w14:textId="77777777" w:rsidTr="004203CD">
        <w:trPr>
          <w:trHeight w:hRule="exact" w:val="255"/>
        </w:trPr>
        <w:tc>
          <w:tcPr>
            <w:tcW w:w="2268" w:type="dxa"/>
            <w:tcBorders>
              <w:top w:val="single" w:sz="2" w:space="0" w:color="3D7FE0" w:themeColor="accent1"/>
              <w:bottom w:val="single" w:sz="2" w:space="0" w:color="3D7FE0" w:themeColor="accent1"/>
            </w:tcBorders>
            <w:shd w:val="clear" w:color="auto" w:fill="auto"/>
            <w:vAlign w:val="bottom"/>
          </w:tcPr>
          <w:p w14:paraId="0BE83EB8"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Value Retail</w:t>
            </w:r>
          </w:p>
        </w:tc>
        <w:tc>
          <w:tcPr>
            <w:tcW w:w="284" w:type="dxa"/>
            <w:tcBorders>
              <w:top w:val="single" w:sz="2" w:space="0" w:color="3D7FE0" w:themeColor="accent1"/>
              <w:bottom w:val="single" w:sz="2" w:space="0" w:color="3D7FE0" w:themeColor="accent1"/>
            </w:tcBorders>
            <w:shd w:val="clear" w:color="auto" w:fill="auto"/>
            <w:vAlign w:val="bottom"/>
          </w:tcPr>
          <w:p w14:paraId="67BAD48F" w14:textId="77777777" w:rsidR="006B43AF" w:rsidRPr="005439CC" w:rsidRDefault="006B43AF" w:rsidP="004203CD">
            <w:pPr>
              <w:pStyle w:val="13TBRightCopyIndentTableBack"/>
              <w:spacing w:line="276" w:lineRule="auto"/>
            </w:pPr>
          </w:p>
        </w:tc>
        <w:tc>
          <w:tcPr>
            <w:tcW w:w="453" w:type="dxa"/>
            <w:tcBorders>
              <w:top w:val="single" w:sz="2" w:space="0" w:color="3D7FE0" w:themeColor="accent1"/>
              <w:bottom w:val="single" w:sz="2" w:space="0" w:color="3D7FE0" w:themeColor="accent1"/>
            </w:tcBorders>
          </w:tcPr>
          <w:p w14:paraId="0579693D"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tcBorders>
              <w:top w:val="single" w:sz="2" w:space="0" w:color="3D7FE0" w:themeColor="accent1"/>
              <w:bottom w:val="single" w:sz="2" w:space="0" w:color="3D7FE0" w:themeColor="accent1"/>
            </w:tcBorders>
            <w:shd w:val="clear" w:color="auto" w:fill="auto"/>
            <w:vAlign w:val="bottom"/>
          </w:tcPr>
          <w:p w14:paraId="1DC7033B"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1,887.0</w:t>
            </w:r>
          </w:p>
        </w:tc>
        <w:tc>
          <w:tcPr>
            <w:tcW w:w="1021" w:type="dxa"/>
            <w:tcBorders>
              <w:top w:val="single" w:sz="2" w:space="0" w:color="3D7FE0" w:themeColor="accent1"/>
              <w:bottom w:val="single" w:sz="2" w:space="0" w:color="3D7FE0" w:themeColor="accent1"/>
            </w:tcBorders>
            <w:shd w:val="clear" w:color="auto" w:fill="auto"/>
            <w:vAlign w:val="bottom"/>
          </w:tcPr>
          <w:p w14:paraId="76D3BF81"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(60.7)</w:t>
            </w:r>
          </w:p>
        </w:tc>
        <w:tc>
          <w:tcPr>
            <w:tcW w:w="794" w:type="dxa"/>
            <w:tcBorders>
              <w:top w:val="single" w:sz="2" w:space="0" w:color="3D7FE0" w:themeColor="accent1"/>
              <w:bottom w:val="single" w:sz="2" w:space="0" w:color="3D7FE0" w:themeColor="accent1"/>
            </w:tcBorders>
            <w:vAlign w:val="bottom"/>
          </w:tcPr>
          <w:p w14:paraId="3466A63C"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5.3</w:t>
            </w:r>
          </w:p>
        </w:tc>
        <w:tc>
          <w:tcPr>
            <w:tcW w:w="794" w:type="dxa"/>
            <w:tcBorders>
              <w:top w:val="single" w:sz="2" w:space="0" w:color="3D7FE0" w:themeColor="accent1"/>
              <w:bottom w:val="single" w:sz="2" w:space="0" w:color="3D7FE0" w:themeColor="accent1"/>
            </w:tcBorders>
            <w:shd w:val="clear" w:color="auto" w:fill="auto"/>
            <w:vAlign w:val="bottom"/>
          </w:tcPr>
          <w:p w14:paraId="610414B3"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(3.1)</w:t>
            </w:r>
          </w:p>
        </w:tc>
        <w:tc>
          <w:tcPr>
            <w:tcW w:w="794" w:type="dxa"/>
            <w:tcBorders>
              <w:top w:val="single" w:sz="2" w:space="0" w:color="3D7FE0" w:themeColor="accent1"/>
              <w:bottom w:val="single" w:sz="2" w:space="0" w:color="3D7FE0" w:themeColor="accent1"/>
            </w:tcBorders>
            <w:shd w:val="clear" w:color="auto" w:fill="auto"/>
            <w:vAlign w:val="bottom"/>
          </w:tcPr>
          <w:p w14:paraId="749B0D1D"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2.0</w:t>
            </w:r>
          </w:p>
        </w:tc>
        <w:tc>
          <w:tcPr>
            <w:tcW w:w="794" w:type="dxa"/>
            <w:tcBorders>
              <w:top w:val="single" w:sz="2" w:space="0" w:color="3D7FE0" w:themeColor="accent1"/>
            </w:tcBorders>
            <w:shd w:val="clear" w:color="auto" w:fill="auto"/>
            <w:vAlign w:val="bottom"/>
          </w:tcPr>
          <w:p w14:paraId="7B52F590" w14:textId="77777777" w:rsidR="006B43AF" w:rsidRPr="00355240" w:rsidRDefault="006B43AF" w:rsidP="004203CD">
            <w:pPr>
              <w:pStyle w:val="TablesTFigureBold"/>
              <w:spacing w:line="276" w:lineRule="auto"/>
              <w:rPr>
                <w:rFonts w:ascii="IBM Plex Sans Light" w:hAnsi="IBM Plex Sans Light"/>
                <w:bCs/>
                <w:sz w:val="18"/>
                <w:szCs w:val="24"/>
              </w:rPr>
            </w:pPr>
          </w:p>
        </w:tc>
        <w:tc>
          <w:tcPr>
            <w:tcW w:w="794" w:type="dxa"/>
            <w:tcBorders>
              <w:top w:val="single" w:sz="2" w:space="0" w:color="3D7FE0" w:themeColor="accent1"/>
            </w:tcBorders>
            <w:shd w:val="clear" w:color="auto" w:fill="auto"/>
            <w:vAlign w:val="bottom"/>
          </w:tcPr>
          <w:p w14:paraId="38A38209" w14:textId="77777777" w:rsidR="006B43AF" w:rsidRPr="00355240" w:rsidRDefault="006B43AF" w:rsidP="004203CD">
            <w:pPr>
              <w:pStyle w:val="TablesTFigureBold"/>
              <w:spacing w:line="276" w:lineRule="auto"/>
              <w:rPr>
                <w:rFonts w:ascii="IBM Plex Sans Light" w:hAnsi="IBM Plex Sans Light"/>
                <w:bCs/>
                <w:sz w:val="18"/>
                <w:szCs w:val="24"/>
              </w:rPr>
            </w:pPr>
          </w:p>
        </w:tc>
        <w:tc>
          <w:tcPr>
            <w:tcW w:w="794" w:type="dxa"/>
            <w:tcBorders>
              <w:top w:val="single" w:sz="2" w:space="0" w:color="3D7FE0" w:themeColor="accent1"/>
            </w:tcBorders>
            <w:shd w:val="clear" w:color="auto" w:fill="auto"/>
            <w:vAlign w:val="bottom"/>
          </w:tcPr>
          <w:p w14:paraId="73C05C52" w14:textId="77777777" w:rsidR="006B43AF" w:rsidRPr="00355240" w:rsidRDefault="006B43AF" w:rsidP="004203CD">
            <w:pPr>
              <w:pStyle w:val="TablesTFigureBold"/>
              <w:spacing w:line="276" w:lineRule="auto"/>
              <w:rPr>
                <w:rFonts w:ascii="IBM Plex Sans Light" w:hAnsi="IBM Plex Sans Light"/>
                <w:bCs/>
                <w:sz w:val="18"/>
                <w:szCs w:val="24"/>
              </w:rPr>
            </w:pPr>
          </w:p>
        </w:tc>
      </w:tr>
      <w:tr w:rsidR="006B43AF" w:rsidRPr="005907D3" w14:paraId="0AEDC804" w14:textId="77777777" w:rsidTr="004203CD">
        <w:trPr>
          <w:trHeight w:hRule="exact" w:val="255"/>
        </w:trPr>
        <w:tc>
          <w:tcPr>
            <w:tcW w:w="2268" w:type="dxa"/>
            <w:tcBorders>
              <w:top w:val="single" w:sz="2" w:space="0" w:color="3D7FE0" w:themeColor="accent1"/>
              <w:bottom w:val="single" w:sz="8" w:space="0" w:color="3D7FE0" w:themeColor="accent1"/>
            </w:tcBorders>
            <w:shd w:val="clear" w:color="auto" w:fill="auto"/>
            <w:vAlign w:val="bottom"/>
          </w:tcPr>
          <w:p w14:paraId="3EBF3C80"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bCs/>
                <w:sz w:val="18"/>
                <w:szCs w:val="18"/>
              </w:rPr>
              <w:t>Group portfolio</w:t>
            </w:r>
          </w:p>
        </w:tc>
        <w:tc>
          <w:tcPr>
            <w:tcW w:w="284" w:type="dxa"/>
            <w:tcBorders>
              <w:top w:val="single" w:sz="2" w:space="0" w:color="3D7FE0" w:themeColor="accent1"/>
              <w:bottom w:val="single" w:sz="8" w:space="0" w:color="3D7FE0" w:themeColor="accent1"/>
            </w:tcBorders>
            <w:shd w:val="clear" w:color="auto" w:fill="auto"/>
            <w:vAlign w:val="bottom"/>
          </w:tcPr>
          <w:p w14:paraId="4980CF78" w14:textId="77777777" w:rsidR="006B43AF" w:rsidRPr="005439CC" w:rsidRDefault="006B43AF" w:rsidP="004203CD">
            <w:pPr>
              <w:pStyle w:val="13TBRightCopyIndentTableBack"/>
              <w:spacing w:line="276" w:lineRule="auto"/>
            </w:pPr>
          </w:p>
        </w:tc>
        <w:tc>
          <w:tcPr>
            <w:tcW w:w="453" w:type="dxa"/>
            <w:tcBorders>
              <w:top w:val="single" w:sz="2" w:space="0" w:color="3D7FE0" w:themeColor="accent1"/>
              <w:bottom w:val="single" w:sz="8" w:space="0" w:color="3D7FE0" w:themeColor="accent1"/>
            </w:tcBorders>
          </w:tcPr>
          <w:p w14:paraId="6DA407AE" w14:textId="77777777" w:rsidR="006B43AF" w:rsidRPr="005907D3" w:rsidRDefault="006B43AF" w:rsidP="004203CD">
            <w:pPr>
              <w:pStyle w:val="TablesTFigures"/>
              <w:spacing w:line="276" w:lineRule="auto"/>
              <w:rPr>
                <w:rFonts w:ascii="IBM Plex Sans Light" w:hAnsi="IBM Plex Sans Light"/>
                <w:sz w:val="18"/>
                <w:szCs w:val="18"/>
              </w:rPr>
            </w:pPr>
          </w:p>
        </w:tc>
        <w:tc>
          <w:tcPr>
            <w:tcW w:w="1021" w:type="dxa"/>
            <w:tcBorders>
              <w:top w:val="single" w:sz="2" w:space="0" w:color="3D7FE0" w:themeColor="accent1"/>
              <w:bottom w:val="single" w:sz="8" w:space="0" w:color="3D7FE0" w:themeColor="accent1"/>
            </w:tcBorders>
            <w:shd w:val="clear" w:color="auto" w:fill="auto"/>
            <w:vAlign w:val="bottom"/>
          </w:tcPr>
          <w:p w14:paraId="48C79D4A"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5,107.1</w:t>
            </w:r>
          </w:p>
        </w:tc>
        <w:tc>
          <w:tcPr>
            <w:tcW w:w="1021" w:type="dxa"/>
            <w:tcBorders>
              <w:top w:val="single" w:sz="2" w:space="0" w:color="3D7FE0" w:themeColor="accent1"/>
              <w:bottom w:val="single" w:sz="8" w:space="0" w:color="3D7FE0" w:themeColor="accent1"/>
            </w:tcBorders>
            <w:shd w:val="clear" w:color="auto" w:fill="auto"/>
            <w:vAlign w:val="bottom"/>
          </w:tcPr>
          <w:p w14:paraId="2CE9FC1F"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(281.7)</w:t>
            </w:r>
          </w:p>
        </w:tc>
        <w:tc>
          <w:tcPr>
            <w:tcW w:w="794" w:type="dxa"/>
            <w:tcBorders>
              <w:top w:val="single" w:sz="2" w:space="0" w:color="3D7FE0" w:themeColor="accent1"/>
              <w:bottom w:val="single" w:sz="8" w:space="0" w:color="3D7FE0" w:themeColor="accent1"/>
            </w:tcBorders>
            <w:vAlign w:val="bottom"/>
          </w:tcPr>
          <w:p w14:paraId="2779FBBE" w14:textId="77777777" w:rsidR="006B43AF" w:rsidRPr="00355240" w:rsidRDefault="006B43AF" w:rsidP="004203CD">
            <w:pPr>
              <w:pStyle w:val="TablesTFigureBold"/>
              <w:spacing w:line="276" w:lineRule="auto"/>
              <w:rPr>
                <w:rFonts w:ascii="IBM Plex Sans Light" w:hAnsi="IBM Plex Sans Light"/>
                <w:bCs/>
                <w:sz w:val="18"/>
                <w:szCs w:val="24"/>
              </w:rPr>
            </w:pPr>
            <w:r w:rsidRPr="00355240">
              <w:rPr>
                <w:rFonts w:ascii="IBM Plex Sans Light" w:hAnsi="IBM Plex Sans Light"/>
                <w:bCs/>
                <w:sz w:val="18"/>
                <w:szCs w:val="24"/>
              </w:rPr>
              <w:t>5.3</w:t>
            </w:r>
          </w:p>
        </w:tc>
        <w:tc>
          <w:tcPr>
            <w:tcW w:w="794" w:type="dxa"/>
            <w:tcBorders>
              <w:top w:val="single" w:sz="2" w:space="0" w:color="3D7FE0" w:themeColor="accent1"/>
              <w:bottom w:val="single" w:sz="8" w:space="0" w:color="3D7FE0" w:themeColor="accent1"/>
            </w:tcBorders>
            <w:shd w:val="clear" w:color="auto" w:fill="auto"/>
            <w:vAlign w:val="bottom"/>
          </w:tcPr>
          <w:p w14:paraId="0DBB70A2"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(5.8)</w:t>
            </w:r>
          </w:p>
        </w:tc>
        <w:tc>
          <w:tcPr>
            <w:tcW w:w="794" w:type="dxa"/>
            <w:tcBorders>
              <w:top w:val="single" w:sz="2" w:space="0" w:color="3D7FE0" w:themeColor="accent1"/>
              <w:bottom w:val="single" w:sz="8" w:space="0" w:color="3D7FE0" w:themeColor="accent1"/>
            </w:tcBorders>
            <w:shd w:val="clear" w:color="auto" w:fill="auto"/>
            <w:vAlign w:val="bottom"/>
          </w:tcPr>
          <w:p w14:paraId="6ADCAAB3" w14:textId="77777777" w:rsidR="006B43AF" w:rsidRPr="00355240" w:rsidRDefault="006B43AF" w:rsidP="00024B10">
            <w:pPr>
              <w:pStyle w:val="TablesTFigureBrackets"/>
              <w:spacing w:line="276" w:lineRule="auto"/>
              <w:rPr>
                <w:rFonts w:ascii="IBM Plex Sans Light" w:hAnsi="IBM Plex Sans Light"/>
                <w:bCs/>
                <w:sz w:val="18"/>
                <w:szCs w:val="24"/>
              </w:rPr>
            </w:pPr>
            <w:r w:rsidRPr="00355240">
              <w:rPr>
                <w:rFonts w:ascii="IBM Plex Sans Light" w:hAnsi="IBM Plex Sans Light"/>
                <w:bCs/>
                <w:sz w:val="18"/>
                <w:szCs w:val="24"/>
              </w:rPr>
              <w:t>(0.7)</w:t>
            </w:r>
          </w:p>
        </w:tc>
        <w:tc>
          <w:tcPr>
            <w:tcW w:w="794" w:type="dxa"/>
            <w:shd w:val="clear" w:color="auto" w:fill="auto"/>
            <w:vAlign w:val="bottom"/>
          </w:tcPr>
          <w:p w14:paraId="2E8D898B" w14:textId="77777777" w:rsidR="006B43AF" w:rsidRPr="00355240" w:rsidRDefault="006B43AF" w:rsidP="004203CD">
            <w:pPr>
              <w:pStyle w:val="TablesTFigureBold"/>
              <w:spacing w:line="276" w:lineRule="auto"/>
              <w:rPr>
                <w:rFonts w:ascii="IBM Plex Sans Light" w:hAnsi="IBM Plex Sans Light"/>
                <w:bCs/>
                <w:sz w:val="18"/>
                <w:szCs w:val="24"/>
              </w:rPr>
            </w:pPr>
          </w:p>
        </w:tc>
        <w:tc>
          <w:tcPr>
            <w:tcW w:w="794" w:type="dxa"/>
            <w:shd w:val="clear" w:color="auto" w:fill="auto"/>
            <w:vAlign w:val="bottom"/>
          </w:tcPr>
          <w:p w14:paraId="06E25E5C" w14:textId="77777777" w:rsidR="006B43AF" w:rsidRPr="00355240" w:rsidRDefault="006B43AF" w:rsidP="004203CD">
            <w:pPr>
              <w:pStyle w:val="TablesTFigureBold"/>
              <w:spacing w:line="276" w:lineRule="auto"/>
              <w:rPr>
                <w:rFonts w:ascii="IBM Plex Sans Light" w:hAnsi="IBM Plex Sans Light"/>
                <w:bCs/>
                <w:sz w:val="18"/>
                <w:szCs w:val="24"/>
              </w:rPr>
            </w:pPr>
          </w:p>
        </w:tc>
        <w:tc>
          <w:tcPr>
            <w:tcW w:w="794" w:type="dxa"/>
            <w:shd w:val="clear" w:color="auto" w:fill="auto"/>
            <w:vAlign w:val="bottom"/>
          </w:tcPr>
          <w:p w14:paraId="354AA020" w14:textId="77777777" w:rsidR="006B43AF" w:rsidRPr="00355240" w:rsidRDefault="006B43AF" w:rsidP="004203CD">
            <w:pPr>
              <w:pStyle w:val="TablesTFigureBold"/>
              <w:spacing w:line="276" w:lineRule="auto"/>
              <w:rPr>
                <w:rFonts w:ascii="IBM Plex Sans Light" w:hAnsi="IBM Plex Sans Light"/>
                <w:bCs/>
                <w:sz w:val="18"/>
                <w:szCs w:val="24"/>
              </w:rPr>
            </w:pPr>
          </w:p>
        </w:tc>
      </w:tr>
    </w:tbl>
    <w:p w14:paraId="4A7C58C3" w14:textId="66D32A9C" w:rsidR="007F605B" w:rsidRDefault="007F605B" w:rsidP="006B43AF">
      <w:pPr>
        <w:pStyle w:val="Footnotes"/>
        <w:numPr>
          <w:ilvl w:val="1"/>
          <w:numId w:val="36"/>
        </w:numPr>
        <w:spacing w:before="120" w:after="0" w:line="240" w:lineRule="auto"/>
        <w:ind w:left="284" w:hanging="284"/>
        <w:rPr>
          <w:rFonts w:ascii="IBM Plex Sans Light" w:hAnsi="IBM Plex Sans Light"/>
          <w:sz w:val="16"/>
          <w:szCs w:val="22"/>
        </w:rPr>
      </w:pPr>
      <w:r>
        <w:rPr>
          <w:rFonts w:ascii="IBM Plex Sans Light" w:hAnsi="IBM Plex Sans Light"/>
          <w:sz w:val="16"/>
          <w:szCs w:val="22"/>
        </w:rPr>
        <w:t>Returns included 100% of Italik, 75% of which was classified as a trading property until its sale in March 2023.</w:t>
      </w:r>
    </w:p>
    <w:p w14:paraId="5F1EF381" w14:textId="5D636DE9" w:rsidR="006B43AF" w:rsidRPr="00575489" w:rsidRDefault="006B43AF" w:rsidP="006B43AF">
      <w:pPr>
        <w:pStyle w:val="Footnotes"/>
        <w:numPr>
          <w:ilvl w:val="1"/>
          <w:numId w:val="36"/>
        </w:numPr>
        <w:spacing w:before="120" w:after="0" w:line="240" w:lineRule="auto"/>
        <w:ind w:left="284" w:hanging="284"/>
        <w:rPr>
          <w:rFonts w:ascii="IBM Plex Sans Light" w:hAnsi="IBM Plex Sans Light"/>
          <w:sz w:val="16"/>
          <w:szCs w:val="22"/>
        </w:rPr>
      </w:pPr>
      <w:r w:rsidRPr="00575489">
        <w:rPr>
          <w:rFonts w:ascii="IBM Plex Sans Light" w:hAnsi="IBM Plex Sans Light"/>
          <w:sz w:val="16"/>
          <w:szCs w:val="22"/>
        </w:rPr>
        <w:tab/>
      </w:r>
      <w:r>
        <w:rPr>
          <w:rFonts w:ascii="IBM Plex Sans Light" w:hAnsi="IBM Plex Sans Light"/>
          <w:sz w:val="16"/>
          <w:szCs w:val="22"/>
        </w:rPr>
        <w:t>Capital and Total return figures include the losses on disposal and impairment charges on derecognised assets (Highcross and O’Parinor)</w:t>
      </w:r>
    </w:p>
    <w:p w14:paraId="41708297" w14:textId="77777777" w:rsidR="006B43AF" w:rsidRPr="00575489" w:rsidRDefault="006B43AF" w:rsidP="006B43AF">
      <w:pPr>
        <w:pStyle w:val="Footnotes"/>
        <w:numPr>
          <w:ilvl w:val="1"/>
          <w:numId w:val="36"/>
        </w:numPr>
        <w:spacing w:before="120" w:after="0" w:line="240" w:lineRule="auto"/>
        <w:ind w:left="284" w:hanging="284"/>
        <w:rPr>
          <w:rFonts w:ascii="IBM Plex Sans Light" w:hAnsi="IBM Plex Sans Light"/>
          <w:sz w:val="16"/>
          <w:szCs w:val="22"/>
        </w:rPr>
      </w:pPr>
      <w:r w:rsidRPr="00575489">
        <w:rPr>
          <w:rFonts w:ascii="IBM Plex Sans Light" w:hAnsi="IBM Plex Sans Light"/>
          <w:sz w:val="16"/>
          <w:szCs w:val="22"/>
        </w:rPr>
        <w:tab/>
      </w:r>
      <w:r>
        <w:rPr>
          <w:rFonts w:ascii="IBM Plex Sans Light" w:hAnsi="IBM Plex Sans Light"/>
          <w:sz w:val="16"/>
          <w:szCs w:val="22"/>
        </w:rPr>
        <w:t>Nominal equivalent yields are included within the unobservable inputs to the portfolio valuations as defined by IFRS 13. The nominal equivalent yield for the Reported Group was 5.7% (2022: 5.7%)</w:t>
      </w:r>
      <w:r w:rsidRPr="00575489">
        <w:rPr>
          <w:rFonts w:ascii="IBM Plex Sans Light" w:hAnsi="IBM Plex Sans Light"/>
          <w:sz w:val="16"/>
          <w:szCs w:val="22"/>
        </w:rPr>
        <w:t xml:space="preserve">. </w:t>
      </w:r>
    </w:p>
    <w:p w14:paraId="2AA20066" w14:textId="7AC36B33" w:rsidR="006B43AF" w:rsidRPr="005907D3" w:rsidRDefault="006B43AF" w:rsidP="006B43AF">
      <w:pPr>
        <w:pStyle w:val="Footnotes"/>
        <w:rPr>
          <w:rFonts w:ascii="IBM Plex Sans Light" w:hAnsi="IBM Plex Sans Light"/>
          <w:highlight w:val="yellow"/>
        </w:rPr>
      </w:pPr>
    </w:p>
    <w:p w14:paraId="23F60AFE"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Net Initial Yield </w:t>
      </w:r>
    </w:p>
    <w:p w14:paraId="3110861F" w14:textId="77777777" w:rsidR="006B43AF" w:rsidRPr="00280504" w:rsidRDefault="006B43AF" w:rsidP="006B43AF">
      <w:pPr>
        <w:rPr>
          <w:rFonts w:ascii="IBM Plex Sans Light" w:hAnsi="IBM Plex Sans Light"/>
          <w:b/>
        </w:rPr>
      </w:pPr>
      <w:r w:rsidRPr="00280504">
        <w:rPr>
          <w:rFonts w:ascii="IBM Plex Sans Light" w:hAnsi="IBM Plex Sans Light"/>
          <w:b/>
        </w:rPr>
        <w:t>Table 10</w:t>
      </w:r>
    </w:p>
    <w:p w14:paraId="61F6108D" w14:textId="77777777" w:rsidR="006B43AF" w:rsidRPr="00280504" w:rsidRDefault="006B43AF" w:rsidP="006B43AF">
      <w:pPr>
        <w:pStyle w:val="TablesTHeading1"/>
        <w:pBdr>
          <w:bottom w:val="none" w:sz="0" w:space="0" w:color="auto"/>
        </w:pBdr>
        <w:rPr>
          <w:rFonts w:ascii="IBM Plex Sans Light" w:hAnsi="IBM Plex Sans Light"/>
          <w:b/>
          <w:bCs/>
          <w:color w:val="auto"/>
          <w:sz w:val="18"/>
          <w:szCs w:val="24"/>
        </w:rPr>
      </w:pPr>
    </w:p>
    <w:p w14:paraId="37E5E164" w14:textId="77777777" w:rsidR="006B43AF" w:rsidRPr="005907D3" w:rsidRDefault="006B43AF" w:rsidP="006B43AF">
      <w:pPr>
        <w:pStyle w:val="TablesTHeading2"/>
        <w:rPr>
          <w:rFonts w:ascii="IBM Plex Sans Light" w:hAnsi="IBM Plex Sans Light"/>
          <w:b w:val="0"/>
          <w:color w:val="3D7FE0" w:themeColor="accent1"/>
        </w:rPr>
      </w:pPr>
      <w:r w:rsidRPr="005907D3">
        <w:rPr>
          <w:rFonts w:ascii="IBM Plex Sans Light" w:hAnsi="IBM Plex Sans Light"/>
          <w:b w:val="0"/>
          <w:color w:val="3D7FE0" w:themeColor="accent1"/>
        </w:rPr>
        <w:t xml:space="preserve">Investment portfolio </w:t>
      </w:r>
    </w:p>
    <w:tbl>
      <w:tblPr>
        <w:tblW w:w="9922" w:type="dxa"/>
        <w:tblLayout w:type="fixed"/>
        <w:tblCellMar>
          <w:left w:w="0" w:type="dxa"/>
          <w:right w:w="0" w:type="dxa"/>
        </w:tblCellMar>
        <w:tblLook w:val="04A0" w:firstRow="1" w:lastRow="0" w:firstColumn="1" w:lastColumn="0" w:noHBand="0" w:noVBand="1"/>
      </w:tblPr>
      <w:tblGrid>
        <w:gridCol w:w="5670"/>
        <w:gridCol w:w="709"/>
        <w:gridCol w:w="284"/>
        <w:gridCol w:w="934"/>
        <w:gridCol w:w="1134"/>
        <w:gridCol w:w="1191"/>
      </w:tblGrid>
      <w:tr w:rsidR="006B43AF" w:rsidRPr="005907D3" w14:paraId="51B310CD" w14:textId="77777777" w:rsidTr="004203CD">
        <w:trPr>
          <w:trHeight w:val="20"/>
        </w:trPr>
        <w:tc>
          <w:tcPr>
            <w:tcW w:w="5670" w:type="dxa"/>
            <w:tcBorders>
              <w:bottom w:val="single" w:sz="2" w:space="0" w:color="3D7FE0" w:themeColor="accent1"/>
            </w:tcBorders>
            <w:shd w:val="clear" w:color="auto" w:fill="auto"/>
            <w:vAlign w:val="bottom"/>
          </w:tcPr>
          <w:p w14:paraId="09048FF3" w14:textId="77777777" w:rsidR="006B43AF" w:rsidRPr="005907D3" w:rsidRDefault="006B43AF" w:rsidP="004203CD">
            <w:pPr>
              <w:pStyle w:val="TablesTColHeadsLeft"/>
              <w:rPr>
                <w:rFonts w:ascii="IBM Plex Sans Light" w:hAnsi="IBM Plex Sans Light"/>
                <w:b/>
                <w:bCs/>
                <w:color w:val="3D7FE0" w:themeColor="accent1"/>
                <w:sz w:val="14"/>
                <w:szCs w:val="14"/>
              </w:rPr>
            </w:pPr>
            <w:r w:rsidRPr="005907D3">
              <w:rPr>
                <w:rFonts w:ascii="IBM Plex Sans Light" w:hAnsi="IBM Plex Sans Light"/>
                <w:b/>
                <w:bCs/>
                <w:color w:val="3D7FE0" w:themeColor="accent1"/>
                <w:sz w:val="14"/>
                <w:szCs w:val="14"/>
              </w:rPr>
              <w:t>Proportionally consolidated</w:t>
            </w:r>
          </w:p>
        </w:tc>
        <w:tc>
          <w:tcPr>
            <w:tcW w:w="709" w:type="dxa"/>
            <w:tcBorders>
              <w:bottom w:val="single" w:sz="2" w:space="0" w:color="3D7FE0" w:themeColor="accent1"/>
            </w:tcBorders>
            <w:shd w:val="clear" w:color="auto" w:fill="auto"/>
            <w:vAlign w:val="bottom"/>
          </w:tcPr>
          <w:p w14:paraId="0F130FDB" w14:textId="77777777" w:rsidR="006B43AF" w:rsidRPr="005907D3" w:rsidRDefault="006B43AF" w:rsidP="004203CD">
            <w:pPr>
              <w:pStyle w:val="TablesTColHeadsLeft"/>
              <w:rPr>
                <w:rFonts w:ascii="IBM Plex Sans Light" w:hAnsi="IBM Plex Sans Light"/>
                <w:b/>
                <w:bCs/>
                <w:color w:val="3D7FE0" w:themeColor="accent1"/>
                <w:sz w:val="14"/>
                <w:szCs w:val="14"/>
              </w:rPr>
            </w:pPr>
          </w:p>
        </w:tc>
        <w:tc>
          <w:tcPr>
            <w:tcW w:w="284" w:type="dxa"/>
            <w:tcBorders>
              <w:bottom w:val="single" w:sz="2" w:space="0" w:color="3D7FE0" w:themeColor="accent1"/>
            </w:tcBorders>
          </w:tcPr>
          <w:p w14:paraId="69540F56" w14:textId="77777777" w:rsidR="006B43AF" w:rsidRPr="005907D3" w:rsidRDefault="006B43AF" w:rsidP="004203CD">
            <w:pPr>
              <w:pStyle w:val="TablesTColHeadsBold"/>
              <w:rPr>
                <w:rFonts w:ascii="IBM Plex Sans Light" w:hAnsi="IBM Plex Sans Light"/>
                <w:b w:val="0"/>
                <w:sz w:val="14"/>
                <w:szCs w:val="14"/>
                <w:highlight w:val="yellow"/>
              </w:rPr>
            </w:pPr>
          </w:p>
        </w:tc>
        <w:tc>
          <w:tcPr>
            <w:tcW w:w="934" w:type="dxa"/>
            <w:tcBorders>
              <w:bottom w:val="single" w:sz="2" w:space="0" w:color="3D7FE0" w:themeColor="accent1"/>
            </w:tcBorders>
            <w:vAlign w:val="bottom"/>
          </w:tcPr>
          <w:p w14:paraId="58DD3AB8" w14:textId="77777777" w:rsidR="006B43AF" w:rsidRPr="005907D3" w:rsidRDefault="006B43AF" w:rsidP="004203CD">
            <w:pPr>
              <w:pStyle w:val="TablesTColHeadsBold"/>
              <w:rPr>
                <w:rFonts w:ascii="IBM Plex Sans Light" w:hAnsi="IBM Plex Sans Light"/>
                <w:bCs/>
                <w:sz w:val="14"/>
                <w:szCs w:val="14"/>
                <w:highlight w:val="yellow"/>
              </w:rPr>
            </w:pPr>
            <w:r w:rsidRPr="005907D3">
              <w:rPr>
                <w:rFonts w:ascii="IBM Plex Sans Light" w:hAnsi="IBM Plex Sans Light"/>
                <w:bCs/>
                <w:color w:val="auto"/>
                <w:sz w:val="14"/>
                <w:szCs w:val="14"/>
              </w:rPr>
              <w:t>Note</w:t>
            </w:r>
          </w:p>
        </w:tc>
        <w:tc>
          <w:tcPr>
            <w:tcW w:w="1134" w:type="dxa"/>
            <w:tcBorders>
              <w:bottom w:val="single" w:sz="2" w:space="0" w:color="3D7FE0" w:themeColor="accent1"/>
            </w:tcBorders>
            <w:shd w:val="clear" w:color="auto" w:fill="auto"/>
            <w:vAlign w:val="bottom"/>
          </w:tcPr>
          <w:p w14:paraId="3A2294F0" w14:textId="77777777" w:rsidR="006B43AF" w:rsidRPr="005907D3" w:rsidRDefault="006B43AF" w:rsidP="004203CD">
            <w:pPr>
              <w:pStyle w:val="TablesTColHeadsBold"/>
              <w:rPr>
                <w:rFonts w:ascii="IBM Plex Sans Light" w:hAnsi="IBM Plex Sans Light"/>
                <w:bCs/>
                <w:color w:val="3D7FE0" w:themeColor="accent1"/>
                <w:sz w:val="14"/>
                <w:szCs w:val="14"/>
              </w:rPr>
            </w:pPr>
            <w:r w:rsidRPr="005907D3">
              <w:rPr>
                <w:rFonts w:ascii="IBM Plex Sans Light" w:hAnsi="IBM Plex Sans Light"/>
                <w:color w:val="3D7FE0" w:themeColor="accent1"/>
                <w:sz w:val="14"/>
                <w:szCs w:val="14"/>
              </w:rPr>
              <w:t>202</w:t>
            </w:r>
            <w:r>
              <w:rPr>
                <w:rFonts w:ascii="IBM Plex Sans Light" w:hAnsi="IBM Plex Sans Light"/>
                <w:color w:val="3D7FE0" w:themeColor="accent1"/>
                <w:sz w:val="14"/>
                <w:szCs w:val="14"/>
              </w:rPr>
              <w:t>3</w:t>
            </w:r>
            <w:r w:rsidRPr="005907D3">
              <w:rPr>
                <w:rFonts w:ascii="IBM Plex Sans Light" w:hAnsi="IBM Plex Sans Light"/>
                <w:color w:val="3D7FE0" w:themeColor="accent1"/>
                <w:sz w:val="14"/>
                <w:szCs w:val="14"/>
              </w:rPr>
              <w:br/>
              <w:t>£m</w:t>
            </w:r>
          </w:p>
        </w:tc>
        <w:tc>
          <w:tcPr>
            <w:tcW w:w="1191" w:type="dxa"/>
            <w:tcBorders>
              <w:bottom w:val="single" w:sz="2" w:space="0" w:color="3D7FE0" w:themeColor="accent1"/>
            </w:tcBorders>
            <w:shd w:val="clear" w:color="auto" w:fill="auto"/>
            <w:vAlign w:val="bottom"/>
          </w:tcPr>
          <w:p w14:paraId="5BB88AD6" w14:textId="77777777" w:rsidR="006B43AF" w:rsidRPr="005907D3" w:rsidRDefault="006B43AF" w:rsidP="004203CD">
            <w:pPr>
              <w:pStyle w:val="TablesTColHead"/>
              <w:rPr>
                <w:rFonts w:ascii="IBM Plex Sans Light" w:hAnsi="IBM Plex Sans Light"/>
                <w:color w:val="3D7FE0" w:themeColor="accent1"/>
                <w:sz w:val="14"/>
                <w:szCs w:val="14"/>
              </w:rPr>
            </w:pPr>
            <w:r w:rsidRPr="005907D3">
              <w:rPr>
                <w:rFonts w:ascii="IBM Plex Sans Light" w:hAnsi="IBM Plex Sans Light"/>
                <w:sz w:val="14"/>
                <w:szCs w:val="14"/>
              </w:rPr>
              <w:t>202</w:t>
            </w:r>
            <w:r>
              <w:rPr>
                <w:rFonts w:ascii="IBM Plex Sans Light" w:hAnsi="IBM Plex Sans Light"/>
                <w:sz w:val="14"/>
                <w:szCs w:val="14"/>
              </w:rPr>
              <w:t>2</w:t>
            </w:r>
            <w:r w:rsidRPr="005907D3">
              <w:rPr>
                <w:rFonts w:ascii="IBM Plex Sans Light" w:hAnsi="IBM Plex Sans Light"/>
                <w:sz w:val="14"/>
                <w:szCs w:val="14"/>
              </w:rPr>
              <w:br/>
              <w:t>£m</w:t>
            </w:r>
          </w:p>
        </w:tc>
      </w:tr>
      <w:tr w:rsidR="006B43AF" w:rsidRPr="00A539C8" w14:paraId="11F63132" w14:textId="77777777" w:rsidTr="004203CD">
        <w:trPr>
          <w:trHeight w:val="20"/>
        </w:trPr>
        <w:tc>
          <w:tcPr>
            <w:tcW w:w="5670" w:type="dxa"/>
            <w:tcBorders>
              <w:top w:val="single" w:sz="2" w:space="0" w:color="3D7FE0" w:themeColor="accent1"/>
            </w:tcBorders>
            <w:shd w:val="clear" w:color="auto" w:fill="auto"/>
            <w:vAlign w:val="center"/>
          </w:tcPr>
          <w:p w14:paraId="5D98793D"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Wholly owned</w:t>
            </w:r>
          </w:p>
        </w:tc>
        <w:tc>
          <w:tcPr>
            <w:tcW w:w="709" w:type="dxa"/>
            <w:tcBorders>
              <w:top w:val="single" w:sz="2" w:space="0" w:color="3D7FE0" w:themeColor="accent1"/>
            </w:tcBorders>
            <w:shd w:val="clear" w:color="auto" w:fill="auto"/>
            <w:vAlign w:val="bottom"/>
          </w:tcPr>
          <w:p w14:paraId="3D700129" w14:textId="77777777" w:rsidR="006B43AF" w:rsidRPr="005907D3" w:rsidRDefault="006B43AF" w:rsidP="004203CD">
            <w:pPr>
              <w:pStyle w:val="TablesTText"/>
              <w:spacing w:line="276" w:lineRule="auto"/>
              <w:rPr>
                <w:rFonts w:ascii="IBM Plex Sans Light" w:hAnsi="IBM Plex Sans Light"/>
              </w:rPr>
            </w:pPr>
          </w:p>
        </w:tc>
        <w:tc>
          <w:tcPr>
            <w:tcW w:w="284" w:type="dxa"/>
            <w:tcBorders>
              <w:top w:val="single" w:sz="2" w:space="0" w:color="3D7FE0" w:themeColor="accent1"/>
            </w:tcBorders>
            <w:vAlign w:val="bottom"/>
          </w:tcPr>
          <w:p w14:paraId="0CE9603C" w14:textId="77777777" w:rsidR="006B43AF" w:rsidRPr="005907D3" w:rsidRDefault="006B43AF" w:rsidP="004203CD">
            <w:pPr>
              <w:pStyle w:val="TablesTFigureBold"/>
              <w:spacing w:line="276" w:lineRule="auto"/>
              <w:rPr>
                <w:rFonts w:ascii="IBM Plex Sans Light" w:hAnsi="IBM Plex Sans Light"/>
                <w:sz w:val="16"/>
                <w:szCs w:val="16"/>
              </w:rPr>
            </w:pPr>
            <w:r w:rsidRPr="005907D3">
              <w:rPr>
                <w:rFonts w:ascii="IBM Plex Sans Light" w:hAnsi="IBM Plex Sans Light"/>
                <w:sz w:val="16"/>
                <w:szCs w:val="16"/>
              </w:rPr>
              <w:t>a</w:t>
            </w:r>
          </w:p>
        </w:tc>
        <w:tc>
          <w:tcPr>
            <w:tcW w:w="934" w:type="dxa"/>
            <w:tcBorders>
              <w:top w:val="single" w:sz="2" w:space="0" w:color="3D7FE0" w:themeColor="accent1"/>
            </w:tcBorders>
            <w:vAlign w:val="center"/>
          </w:tcPr>
          <w:p w14:paraId="701D8535" w14:textId="77777777" w:rsidR="006B43AF" w:rsidRPr="005907D3" w:rsidRDefault="006B43AF" w:rsidP="004203CD">
            <w:pPr>
              <w:pStyle w:val="TablesTFigureBold"/>
              <w:spacing w:line="276" w:lineRule="auto"/>
              <w:rPr>
                <w:rFonts w:ascii="IBM Plex Sans Light" w:hAnsi="IBM Plex Sans Light"/>
                <w:sz w:val="16"/>
                <w:szCs w:val="16"/>
              </w:rPr>
            </w:pPr>
            <w:r w:rsidRPr="005907D3">
              <w:rPr>
                <w:rFonts w:ascii="IBM Plex Sans Light" w:hAnsi="IBM Plex Sans Light"/>
                <w:sz w:val="16"/>
                <w:szCs w:val="16"/>
              </w:rPr>
              <w:t>3B</w:t>
            </w:r>
          </w:p>
        </w:tc>
        <w:tc>
          <w:tcPr>
            <w:tcW w:w="1134" w:type="dxa"/>
            <w:tcBorders>
              <w:top w:val="single" w:sz="2" w:space="0" w:color="3D7FE0" w:themeColor="accent1"/>
            </w:tcBorders>
            <w:shd w:val="clear" w:color="auto" w:fill="auto"/>
            <w:vAlign w:val="bottom"/>
          </w:tcPr>
          <w:p w14:paraId="378C30ED"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1,396.2</w:t>
            </w:r>
          </w:p>
        </w:tc>
        <w:tc>
          <w:tcPr>
            <w:tcW w:w="1191" w:type="dxa"/>
            <w:tcBorders>
              <w:top w:val="single" w:sz="2" w:space="0" w:color="3D7FE0" w:themeColor="accent1"/>
            </w:tcBorders>
            <w:shd w:val="clear" w:color="auto" w:fill="auto"/>
            <w:vAlign w:val="bottom"/>
          </w:tcPr>
          <w:p w14:paraId="183DB284"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1,461.0</w:t>
            </w:r>
          </w:p>
        </w:tc>
      </w:tr>
      <w:tr w:rsidR="006B43AF" w:rsidRPr="00A539C8" w14:paraId="264B3E5C" w14:textId="77777777" w:rsidTr="004203CD">
        <w:trPr>
          <w:trHeight w:val="20"/>
        </w:trPr>
        <w:tc>
          <w:tcPr>
            <w:tcW w:w="5670" w:type="dxa"/>
            <w:shd w:val="clear" w:color="auto" w:fill="auto"/>
            <w:vAlign w:val="center"/>
          </w:tcPr>
          <w:p w14:paraId="2CCA0A55" w14:textId="77777777" w:rsidR="006B43AF" w:rsidRPr="005907D3" w:rsidDel="000F4640"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Share of Property interests</w:t>
            </w:r>
          </w:p>
        </w:tc>
        <w:tc>
          <w:tcPr>
            <w:tcW w:w="709" w:type="dxa"/>
            <w:shd w:val="clear" w:color="auto" w:fill="auto"/>
            <w:vAlign w:val="bottom"/>
          </w:tcPr>
          <w:p w14:paraId="5DFB1713" w14:textId="77777777" w:rsidR="006B43AF" w:rsidRPr="005907D3" w:rsidDel="000F4640" w:rsidRDefault="006B43AF" w:rsidP="004203CD">
            <w:pPr>
              <w:pStyle w:val="TablesTText"/>
              <w:spacing w:line="276" w:lineRule="auto"/>
              <w:jc w:val="center"/>
              <w:rPr>
                <w:rFonts w:ascii="IBM Plex Sans Light" w:hAnsi="IBM Plex Sans Light"/>
              </w:rPr>
            </w:pPr>
          </w:p>
        </w:tc>
        <w:tc>
          <w:tcPr>
            <w:tcW w:w="284" w:type="dxa"/>
            <w:vAlign w:val="bottom"/>
          </w:tcPr>
          <w:p w14:paraId="04B11696" w14:textId="77777777" w:rsidR="006B43AF" w:rsidRPr="005907D3" w:rsidRDefault="006B43AF" w:rsidP="004203CD">
            <w:pPr>
              <w:pStyle w:val="TablesTFigureBold"/>
              <w:spacing w:line="276" w:lineRule="auto"/>
              <w:rPr>
                <w:rFonts w:ascii="IBM Plex Sans Light" w:hAnsi="IBM Plex Sans Light"/>
                <w:sz w:val="16"/>
                <w:szCs w:val="16"/>
              </w:rPr>
            </w:pPr>
          </w:p>
        </w:tc>
        <w:tc>
          <w:tcPr>
            <w:tcW w:w="934" w:type="dxa"/>
            <w:vAlign w:val="center"/>
          </w:tcPr>
          <w:p w14:paraId="18BC3470" w14:textId="77777777" w:rsidR="006B43AF" w:rsidRPr="005907D3" w:rsidRDefault="006B43AF" w:rsidP="004203CD">
            <w:pPr>
              <w:pStyle w:val="TablesTFigureBold"/>
              <w:spacing w:line="276" w:lineRule="auto"/>
              <w:rPr>
                <w:rFonts w:ascii="IBM Plex Sans Light" w:hAnsi="IBM Plex Sans Light"/>
                <w:sz w:val="16"/>
                <w:szCs w:val="16"/>
              </w:rPr>
            </w:pPr>
            <w:r w:rsidRPr="005907D3">
              <w:rPr>
                <w:rFonts w:ascii="IBM Plex Sans Light" w:hAnsi="IBM Plex Sans Light"/>
                <w:sz w:val="16"/>
                <w:szCs w:val="16"/>
              </w:rPr>
              <w:t>3B</w:t>
            </w:r>
          </w:p>
        </w:tc>
        <w:tc>
          <w:tcPr>
            <w:tcW w:w="1134" w:type="dxa"/>
            <w:shd w:val="clear" w:color="auto" w:fill="auto"/>
            <w:vAlign w:val="bottom"/>
          </w:tcPr>
          <w:p w14:paraId="07346C28" w14:textId="77777777" w:rsidR="006B43AF" w:rsidRPr="00A539C8" w:rsidDel="001753EC"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1,379.9</w:t>
            </w:r>
          </w:p>
        </w:tc>
        <w:tc>
          <w:tcPr>
            <w:tcW w:w="1191" w:type="dxa"/>
            <w:shd w:val="clear" w:color="auto" w:fill="auto"/>
            <w:vAlign w:val="bottom"/>
          </w:tcPr>
          <w:p w14:paraId="0125E83E" w14:textId="77777777" w:rsidR="006B43AF" w:rsidRPr="005907D3" w:rsidDel="001753EC"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1,722.9</w:t>
            </w:r>
          </w:p>
        </w:tc>
      </w:tr>
      <w:tr w:rsidR="006B43AF" w:rsidRPr="00A539C8" w14:paraId="7822FB49" w14:textId="77777777" w:rsidTr="004203CD">
        <w:trPr>
          <w:trHeight w:val="20"/>
        </w:trPr>
        <w:tc>
          <w:tcPr>
            <w:tcW w:w="5670" w:type="dxa"/>
            <w:shd w:val="clear" w:color="auto" w:fill="auto"/>
            <w:vAlign w:val="center"/>
          </w:tcPr>
          <w:p w14:paraId="2FA40CDE" w14:textId="77777777" w:rsidR="006B43AF" w:rsidRPr="005907D3" w:rsidDel="000F4640"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Trading properties</w:t>
            </w:r>
          </w:p>
        </w:tc>
        <w:tc>
          <w:tcPr>
            <w:tcW w:w="709" w:type="dxa"/>
            <w:shd w:val="clear" w:color="auto" w:fill="auto"/>
            <w:vAlign w:val="bottom"/>
          </w:tcPr>
          <w:p w14:paraId="438E5D87" w14:textId="77777777" w:rsidR="006B43AF" w:rsidRPr="005907D3" w:rsidDel="000F4640" w:rsidRDefault="006B43AF" w:rsidP="004203CD">
            <w:pPr>
              <w:pStyle w:val="TablesTText"/>
              <w:spacing w:line="276" w:lineRule="auto"/>
              <w:jc w:val="center"/>
              <w:rPr>
                <w:rFonts w:ascii="IBM Plex Sans Light" w:hAnsi="IBM Plex Sans Light"/>
              </w:rPr>
            </w:pPr>
          </w:p>
        </w:tc>
        <w:tc>
          <w:tcPr>
            <w:tcW w:w="284" w:type="dxa"/>
            <w:vAlign w:val="bottom"/>
          </w:tcPr>
          <w:p w14:paraId="47A6E111" w14:textId="77777777" w:rsidR="006B43AF" w:rsidRPr="005907D3" w:rsidRDefault="006B43AF" w:rsidP="004203CD">
            <w:pPr>
              <w:pStyle w:val="TablesTFigureBold"/>
              <w:spacing w:line="276" w:lineRule="auto"/>
              <w:rPr>
                <w:rFonts w:ascii="IBM Plex Sans Light" w:hAnsi="IBM Plex Sans Light"/>
                <w:sz w:val="16"/>
                <w:szCs w:val="16"/>
              </w:rPr>
            </w:pPr>
          </w:p>
        </w:tc>
        <w:tc>
          <w:tcPr>
            <w:tcW w:w="934" w:type="dxa"/>
            <w:vAlign w:val="center"/>
          </w:tcPr>
          <w:p w14:paraId="6815233D" w14:textId="77777777" w:rsidR="006B43AF" w:rsidRPr="005907D3" w:rsidRDefault="006B43AF" w:rsidP="004203CD">
            <w:pPr>
              <w:pStyle w:val="TablesTFigureBold"/>
              <w:spacing w:line="276" w:lineRule="auto"/>
              <w:rPr>
                <w:rFonts w:ascii="IBM Plex Sans Light" w:hAnsi="IBM Plex Sans Light"/>
                <w:sz w:val="16"/>
                <w:szCs w:val="16"/>
              </w:rPr>
            </w:pPr>
            <w:r w:rsidRPr="005907D3">
              <w:rPr>
                <w:rFonts w:ascii="IBM Plex Sans Light" w:hAnsi="IBM Plex Sans Light"/>
                <w:sz w:val="16"/>
                <w:szCs w:val="16"/>
              </w:rPr>
              <w:t>3B</w:t>
            </w:r>
          </w:p>
        </w:tc>
        <w:tc>
          <w:tcPr>
            <w:tcW w:w="1134" w:type="dxa"/>
            <w:shd w:val="clear" w:color="auto" w:fill="auto"/>
            <w:vAlign w:val="bottom"/>
          </w:tcPr>
          <w:p w14:paraId="0DF5C1BE" w14:textId="77777777" w:rsidR="006B43AF" w:rsidRPr="00A539C8" w:rsidDel="001753EC"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w:t>
            </w:r>
          </w:p>
        </w:tc>
        <w:tc>
          <w:tcPr>
            <w:tcW w:w="1191" w:type="dxa"/>
            <w:shd w:val="clear" w:color="auto" w:fill="auto"/>
            <w:vAlign w:val="bottom"/>
          </w:tcPr>
          <w:p w14:paraId="28163CB0" w14:textId="77777777" w:rsidR="006B43AF" w:rsidRPr="005907D3" w:rsidDel="001753EC"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36.2</w:t>
            </w:r>
          </w:p>
        </w:tc>
      </w:tr>
      <w:tr w:rsidR="006B43AF" w:rsidRPr="00A539C8" w14:paraId="50F2DBAD" w14:textId="77777777" w:rsidTr="004203CD">
        <w:trPr>
          <w:trHeight w:val="20"/>
        </w:trPr>
        <w:tc>
          <w:tcPr>
            <w:tcW w:w="5670" w:type="dxa"/>
            <w:tcBorders>
              <w:top w:val="single" w:sz="2" w:space="0" w:color="3D7FE0" w:themeColor="accent1"/>
            </w:tcBorders>
            <w:shd w:val="clear" w:color="auto" w:fill="auto"/>
            <w:vAlign w:val="center"/>
          </w:tcPr>
          <w:p w14:paraId="710F0711" w14:textId="77777777" w:rsidR="006B43AF" w:rsidRPr="005907D3" w:rsidRDefault="006B43AF" w:rsidP="004203CD">
            <w:pPr>
              <w:pStyle w:val="TablesTText"/>
              <w:spacing w:line="276" w:lineRule="auto"/>
              <w:rPr>
                <w:rFonts w:ascii="IBM Plex Sans Light" w:hAnsi="IBM Plex Sans Light"/>
                <w:b/>
                <w:sz w:val="18"/>
                <w:szCs w:val="18"/>
              </w:rPr>
            </w:pPr>
            <w:r w:rsidRPr="005907D3">
              <w:rPr>
                <w:rFonts w:ascii="IBM Plex Sans Light" w:hAnsi="IBM Plex Sans Light"/>
                <w:b/>
                <w:sz w:val="18"/>
                <w:szCs w:val="18"/>
              </w:rPr>
              <w:t>Net investment portfolio valuation on a proportionally consolidated basis</w:t>
            </w:r>
          </w:p>
        </w:tc>
        <w:tc>
          <w:tcPr>
            <w:tcW w:w="709" w:type="dxa"/>
            <w:tcBorders>
              <w:top w:val="single" w:sz="2" w:space="0" w:color="3D7FE0" w:themeColor="accent1"/>
            </w:tcBorders>
            <w:shd w:val="clear" w:color="auto" w:fill="auto"/>
            <w:vAlign w:val="bottom"/>
          </w:tcPr>
          <w:p w14:paraId="688F1893" w14:textId="77777777" w:rsidR="006B43AF" w:rsidRPr="005907D3" w:rsidRDefault="006B43AF" w:rsidP="004203CD">
            <w:pPr>
              <w:pStyle w:val="TablesTText"/>
              <w:spacing w:line="276" w:lineRule="auto"/>
              <w:jc w:val="center"/>
              <w:rPr>
                <w:rFonts w:ascii="IBM Plex Sans Light" w:hAnsi="IBM Plex Sans Light"/>
              </w:rPr>
            </w:pPr>
          </w:p>
        </w:tc>
        <w:tc>
          <w:tcPr>
            <w:tcW w:w="284" w:type="dxa"/>
            <w:tcBorders>
              <w:top w:val="single" w:sz="2" w:space="0" w:color="3D7FE0" w:themeColor="accent1"/>
            </w:tcBorders>
            <w:vAlign w:val="bottom"/>
          </w:tcPr>
          <w:p w14:paraId="54AEB3EA" w14:textId="77777777" w:rsidR="006B43AF" w:rsidRPr="005907D3" w:rsidRDefault="006B43AF" w:rsidP="004203CD">
            <w:pPr>
              <w:pStyle w:val="TablesTFigureBold"/>
              <w:spacing w:line="276" w:lineRule="auto"/>
              <w:rPr>
                <w:rFonts w:ascii="IBM Plex Sans Light" w:hAnsi="IBM Plex Sans Light"/>
                <w:bCs/>
                <w:sz w:val="16"/>
                <w:szCs w:val="16"/>
              </w:rPr>
            </w:pPr>
          </w:p>
        </w:tc>
        <w:tc>
          <w:tcPr>
            <w:tcW w:w="934" w:type="dxa"/>
            <w:tcBorders>
              <w:top w:val="single" w:sz="2" w:space="0" w:color="3D7FE0" w:themeColor="accent1"/>
            </w:tcBorders>
            <w:vAlign w:val="center"/>
          </w:tcPr>
          <w:p w14:paraId="4D390328" w14:textId="77777777" w:rsidR="006B43AF" w:rsidRPr="005907D3" w:rsidRDefault="006B43AF" w:rsidP="004203CD">
            <w:pPr>
              <w:pStyle w:val="TablesTFigureBold"/>
              <w:spacing w:line="276" w:lineRule="auto"/>
              <w:rPr>
                <w:rFonts w:ascii="IBM Plex Sans Light" w:hAnsi="IBM Plex Sans Light"/>
                <w:bCs/>
                <w:sz w:val="16"/>
                <w:szCs w:val="16"/>
              </w:rPr>
            </w:pPr>
            <w:r w:rsidRPr="005907D3">
              <w:rPr>
                <w:rFonts w:ascii="IBM Plex Sans Light" w:hAnsi="IBM Plex Sans Light"/>
                <w:bCs/>
                <w:sz w:val="16"/>
                <w:szCs w:val="16"/>
              </w:rPr>
              <w:t>3B</w:t>
            </w:r>
          </w:p>
        </w:tc>
        <w:tc>
          <w:tcPr>
            <w:tcW w:w="1134" w:type="dxa"/>
            <w:tcBorders>
              <w:top w:val="single" w:sz="2" w:space="0" w:color="3D7FE0" w:themeColor="accent1"/>
            </w:tcBorders>
            <w:shd w:val="clear" w:color="auto" w:fill="auto"/>
            <w:vAlign w:val="bottom"/>
          </w:tcPr>
          <w:p w14:paraId="1F3AE5A2"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2,776.1</w:t>
            </w:r>
          </w:p>
        </w:tc>
        <w:tc>
          <w:tcPr>
            <w:tcW w:w="1191" w:type="dxa"/>
            <w:tcBorders>
              <w:top w:val="single" w:sz="2" w:space="0" w:color="3D7FE0" w:themeColor="accent1"/>
            </w:tcBorders>
            <w:shd w:val="clear" w:color="auto" w:fill="auto"/>
            <w:vAlign w:val="bottom"/>
          </w:tcPr>
          <w:p w14:paraId="318831FF"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3,220.1</w:t>
            </w:r>
          </w:p>
        </w:tc>
      </w:tr>
      <w:tr w:rsidR="006B43AF" w:rsidRPr="00A539C8" w14:paraId="2DBCC843" w14:textId="77777777" w:rsidTr="004203CD">
        <w:trPr>
          <w:trHeight w:val="20"/>
        </w:trPr>
        <w:tc>
          <w:tcPr>
            <w:tcW w:w="5670" w:type="dxa"/>
            <w:tcBorders>
              <w:bottom w:val="single" w:sz="2" w:space="0" w:color="3D7FE0" w:themeColor="accent1"/>
            </w:tcBorders>
            <w:shd w:val="clear" w:color="auto" w:fill="auto"/>
            <w:vAlign w:val="center"/>
          </w:tcPr>
          <w:p w14:paraId="0FE26619" w14:textId="77777777" w:rsidR="006B43AF" w:rsidRPr="005907D3" w:rsidRDefault="006B43AF" w:rsidP="004203CD">
            <w:pPr>
              <w:pStyle w:val="TablesTText"/>
              <w:spacing w:line="276" w:lineRule="auto"/>
              <w:rPr>
                <w:rFonts w:ascii="IBM Plex Sans Light" w:hAnsi="IBM Plex Sans Light"/>
                <w:sz w:val="18"/>
                <w:szCs w:val="18"/>
                <w:highlight w:val="yellow"/>
              </w:rPr>
            </w:pPr>
            <w:r w:rsidRPr="005907D3">
              <w:rPr>
                <w:rFonts w:ascii="IBM Plex Sans Light" w:hAnsi="IBM Plex Sans Light"/>
                <w:sz w:val="18"/>
                <w:szCs w:val="18"/>
              </w:rPr>
              <w:t>Less: Developments</w:t>
            </w:r>
          </w:p>
        </w:tc>
        <w:tc>
          <w:tcPr>
            <w:tcW w:w="709" w:type="dxa"/>
            <w:tcBorders>
              <w:bottom w:val="single" w:sz="2" w:space="0" w:color="3D7FE0" w:themeColor="accent1"/>
            </w:tcBorders>
            <w:shd w:val="clear" w:color="auto" w:fill="auto"/>
            <w:vAlign w:val="bottom"/>
          </w:tcPr>
          <w:p w14:paraId="7B739649" w14:textId="77777777" w:rsidR="006B43AF" w:rsidRPr="005907D3" w:rsidRDefault="006B43AF" w:rsidP="004203CD">
            <w:pPr>
              <w:pStyle w:val="TablesTText"/>
              <w:spacing w:line="276" w:lineRule="auto"/>
              <w:jc w:val="center"/>
              <w:rPr>
                <w:rFonts w:ascii="IBM Plex Sans Light" w:hAnsi="IBM Plex Sans Light"/>
                <w:highlight w:val="yellow"/>
              </w:rPr>
            </w:pPr>
          </w:p>
        </w:tc>
        <w:tc>
          <w:tcPr>
            <w:tcW w:w="284" w:type="dxa"/>
            <w:tcBorders>
              <w:bottom w:val="single" w:sz="2" w:space="0" w:color="3D7FE0" w:themeColor="accent1"/>
            </w:tcBorders>
            <w:vAlign w:val="bottom"/>
          </w:tcPr>
          <w:p w14:paraId="1C595A1E" w14:textId="77777777" w:rsidR="006B43AF" w:rsidRPr="005907D3" w:rsidRDefault="006B43AF" w:rsidP="004203CD">
            <w:pPr>
              <w:pStyle w:val="TablesTFigureBold"/>
              <w:spacing w:line="276" w:lineRule="auto"/>
              <w:rPr>
                <w:rFonts w:ascii="IBM Plex Sans Light" w:hAnsi="IBM Plex Sans Light"/>
                <w:sz w:val="16"/>
                <w:szCs w:val="16"/>
              </w:rPr>
            </w:pPr>
            <w:r>
              <w:rPr>
                <w:rFonts w:ascii="IBM Plex Sans Light" w:hAnsi="IBM Plex Sans Light"/>
                <w:sz w:val="16"/>
                <w:szCs w:val="16"/>
              </w:rPr>
              <w:t>b</w:t>
            </w:r>
          </w:p>
        </w:tc>
        <w:tc>
          <w:tcPr>
            <w:tcW w:w="934" w:type="dxa"/>
            <w:tcBorders>
              <w:bottom w:val="single" w:sz="2" w:space="0" w:color="3D7FE0" w:themeColor="accent1"/>
            </w:tcBorders>
            <w:vAlign w:val="center"/>
          </w:tcPr>
          <w:p w14:paraId="2AE30472" w14:textId="77777777" w:rsidR="006B43AF" w:rsidRPr="005907D3" w:rsidRDefault="006B43AF" w:rsidP="004203CD">
            <w:pPr>
              <w:pStyle w:val="TablesTFigureBold"/>
              <w:spacing w:line="276" w:lineRule="auto"/>
              <w:rPr>
                <w:rFonts w:ascii="IBM Plex Sans Light" w:hAnsi="IBM Plex Sans Light"/>
                <w:sz w:val="16"/>
                <w:szCs w:val="16"/>
              </w:rPr>
            </w:pPr>
          </w:p>
        </w:tc>
        <w:tc>
          <w:tcPr>
            <w:tcW w:w="1134" w:type="dxa"/>
            <w:tcBorders>
              <w:bottom w:val="single" w:sz="2" w:space="0" w:color="3D7FE0" w:themeColor="accent1"/>
            </w:tcBorders>
            <w:shd w:val="clear" w:color="auto" w:fill="auto"/>
            <w:vAlign w:val="bottom"/>
          </w:tcPr>
          <w:p w14:paraId="622E5132" w14:textId="77777777" w:rsidR="006B43AF" w:rsidRPr="00A539C8" w:rsidRDefault="006B43AF" w:rsidP="004203CD">
            <w:pPr>
              <w:pStyle w:val="TablesTFigureBracket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(192.3)</w:t>
            </w:r>
          </w:p>
        </w:tc>
        <w:tc>
          <w:tcPr>
            <w:tcW w:w="1191" w:type="dxa"/>
            <w:tcBorders>
              <w:bottom w:val="single" w:sz="2" w:space="0" w:color="3D7FE0" w:themeColor="accent1"/>
            </w:tcBorders>
            <w:shd w:val="clear" w:color="auto" w:fill="auto"/>
            <w:vAlign w:val="bottom"/>
          </w:tcPr>
          <w:p w14:paraId="25EDC574"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(249.0)</w:t>
            </w:r>
          </w:p>
        </w:tc>
      </w:tr>
      <w:tr w:rsidR="006B43AF" w:rsidRPr="00A539C8" w14:paraId="1555C4B7" w14:textId="77777777" w:rsidTr="004203CD">
        <w:trPr>
          <w:trHeight w:val="20"/>
        </w:trPr>
        <w:tc>
          <w:tcPr>
            <w:tcW w:w="5670" w:type="dxa"/>
            <w:tcBorders>
              <w:top w:val="single" w:sz="2" w:space="0" w:color="3D7FE0" w:themeColor="accent1"/>
            </w:tcBorders>
            <w:shd w:val="clear" w:color="auto" w:fill="auto"/>
            <w:vAlign w:val="center"/>
          </w:tcPr>
          <w:p w14:paraId="3E5B7301" w14:textId="77777777" w:rsidR="006B43AF" w:rsidRPr="005907D3" w:rsidRDefault="006B43AF" w:rsidP="004203CD">
            <w:pPr>
              <w:pStyle w:val="TablesTText"/>
              <w:spacing w:line="276" w:lineRule="auto"/>
              <w:rPr>
                <w:rFonts w:ascii="IBM Plex Sans Light" w:hAnsi="IBM Plex Sans Light"/>
                <w:b/>
                <w:sz w:val="18"/>
                <w:szCs w:val="18"/>
              </w:rPr>
            </w:pPr>
            <w:r w:rsidRPr="005907D3">
              <w:rPr>
                <w:rFonts w:ascii="IBM Plex Sans Light" w:hAnsi="IBM Plex Sans Light"/>
                <w:b/>
                <w:sz w:val="18"/>
                <w:szCs w:val="18"/>
              </w:rPr>
              <w:t>Completed investment portfolio</w:t>
            </w:r>
          </w:p>
        </w:tc>
        <w:tc>
          <w:tcPr>
            <w:tcW w:w="709" w:type="dxa"/>
            <w:tcBorders>
              <w:top w:val="single" w:sz="2" w:space="0" w:color="3D7FE0" w:themeColor="accent1"/>
            </w:tcBorders>
            <w:shd w:val="clear" w:color="auto" w:fill="auto"/>
            <w:vAlign w:val="bottom"/>
          </w:tcPr>
          <w:p w14:paraId="5557BDD6" w14:textId="77777777" w:rsidR="006B43AF" w:rsidRPr="005907D3" w:rsidRDefault="006B43AF" w:rsidP="004203CD">
            <w:pPr>
              <w:pStyle w:val="TablesTTextBold"/>
              <w:spacing w:line="276" w:lineRule="auto"/>
              <w:jc w:val="center"/>
              <w:rPr>
                <w:rFonts w:ascii="IBM Plex Sans Light" w:hAnsi="IBM Plex Sans Light"/>
              </w:rPr>
            </w:pPr>
          </w:p>
        </w:tc>
        <w:tc>
          <w:tcPr>
            <w:tcW w:w="284" w:type="dxa"/>
            <w:tcBorders>
              <w:top w:val="single" w:sz="2" w:space="0" w:color="3D7FE0" w:themeColor="accent1"/>
            </w:tcBorders>
            <w:vAlign w:val="bottom"/>
          </w:tcPr>
          <w:p w14:paraId="221A97BB" w14:textId="77777777" w:rsidR="006B43AF" w:rsidRPr="005907D3" w:rsidRDefault="006B43AF" w:rsidP="004203CD">
            <w:pPr>
              <w:pStyle w:val="TablesTFigureBold"/>
              <w:spacing w:line="276" w:lineRule="auto"/>
              <w:rPr>
                <w:rFonts w:ascii="IBM Plex Sans Light" w:hAnsi="IBM Plex Sans Light"/>
                <w:b/>
                <w:sz w:val="16"/>
                <w:szCs w:val="16"/>
                <w:highlight w:val="yellow"/>
              </w:rPr>
            </w:pPr>
          </w:p>
        </w:tc>
        <w:tc>
          <w:tcPr>
            <w:tcW w:w="934" w:type="dxa"/>
            <w:tcBorders>
              <w:top w:val="single" w:sz="2" w:space="0" w:color="3D7FE0" w:themeColor="accent1"/>
            </w:tcBorders>
            <w:vAlign w:val="center"/>
          </w:tcPr>
          <w:p w14:paraId="713BA45E" w14:textId="77777777" w:rsidR="006B43AF" w:rsidRPr="005907D3" w:rsidRDefault="006B43AF" w:rsidP="004203CD">
            <w:pPr>
              <w:pStyle w:val="TablesTFigureBold"/>
              <w:spacing w:line="276" w:lineRule="auto"/>
              <w:rPr>
                <w:rFonts w:ascii="IBM Plex Sans Light" w:hAnsi="IBM Plex Sans Light"/>
                <w:b/>
                <w:sz w:val="16"/>
                <w:szCs w:val="16"/>
                <w:highlight w:val="yellow"/>
              </w:rPr>
            </w:pPr>
          </w:p>
        </w:tc>
        <w:tc>
          <w:tcPr>
            <w:tcW w:w="1134" w:type="dxa"/>
            <w:tcBorders>
              <w:top w:val="single" w:sz="2" w:space="0" w:color="3D7FE0" w:themeColor="accent1"/>
            </w:tcBorders>
            <w:shd w:val="clear" w:color="auto" w:fill="auto"/>
            <w:vAlign w:val="bottom"/>
          </w:tcPr>
          <w:p w14:paraId="181D9646"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2,583.8</w:t>
            </w:r>
          </w:p>
        </w:tc>
        <w:tc>
          <w:tcPr>
            <w:tcW w:w="1191" w:type="dxa"/>
            <w:tcBorders>
              <w:top w:val="single" w:sz="2" w:space="0" w:color="3D7FE0" w:themeColor="accent1"/>
            </w:tcBorders>
            <w:shd w:val="clear" w:color="auto" w:fill="auto"/>
            <w:vAlign w:val="bottom"/>
          </w:tcPr>
          <w:p w14:paraId="421AB31A"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2,971.1</w:t>
            </w:r>
          </w:p>
        </w:tc>
      </w:tr>
      <w:tr w:rsidR="006B43AF" w:rsidRPr="00A539C8" w14:paraId="3F60C902" w14:textId="77777777" w:rsidTr="004203CD">
        <w:trPr>
          <w:trHeight w:val="20"/>
        </w:trPr>
        <w:tc>
          <w:tcPr>
            <w:tcW w:w="5670" w:type="dxa"/>
            <w:tcBorders>
              <w:bottom w:val="single" w:sz="2" w:space="0" w:color="3D7FE0" w:themeColor="accent1"/>
            </w:tcBorders>
            <w:shd w:val="clear" w:color="auto" w:fill="auto"/>
            <w:vAlign w:val="center"/>
          </w:tcPr>
          <w:p w14:paraId="166852E9"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Purchasers’ costs</w:t>
            </w:r>
          </w:p>
        </w:tc>
        <w:tc>
          <w:tcPr>
            <w:tcW w:w="709" w:type="dxa"/>
            <w:tcBorders>
              <w:bottom w:val="single" w:sz="2" w:space="0" w:color="3D7FE0" w:themeColor="accent1"/>
            </w:tcBorders>
            <w:shd w:val="clear" w:color="auto" w:fill="auto"/>
            <w:vAlign w:val="bottom"/>
          </w:tcPr>
          <w:p w14:paraId="3B41717D" w14:textId="77777777" w:rsidR="006B43AF" w:rsidRPr="005907D3" w:rsidRDefault="006B43AF" w:rsidP="004203CD">
            <w:pPr>
              <w:pStyle w:val="TablesTText"/>
              <w:spacing w:line="276" w:lineRule="auto"/>
              <w:jc w:val="center"/>
              <w:rPr>
                <w:rFonts w:ascii="IBM Plex Sans Light" w:hAnsi="IBM Plex Sans Light"/>
              </w:rPr>
            </w:pPr>
          </w:p>
        </w:tc>
        <w:tc>
          <w:tcPr>
            <w:tcW w:w="284" w:type="dxa"/>
            <w:tcBorders>
              <w:bottom w:val="single" w:sz="2" w:space="0" w:color="3D7FE0" w:themeColor="accent1"/>
            </w:tcBorders>
            <w:vAlign w:val="bottom"/>
          </w:tcPr>
          <w:p w14:paraId="58AB8EC4" w14:textId="77777777" w:rsidR="006B43AF" w:rsidRPr="005907D3" w:rsidRDefault="006B43AF" w:rsidP="004203CD">
            <w:pPr>
              <w:pStyle w:val="TablesTFigureBold"/>
              <w:spacing w:line="276" w:lineRule="auto"/>
              <w:rPr>
                <w:rFonts w:ascii="IBM Plex Sans Light" w:hAnsi="IBM Plex Sans Light"/>
                <w:sz w:val="16"/>
                <w:szCs w:val="16"/>
              </w:rPr>
            </w:pPr>
            <w:r>
              <w:rPr>
                <w:rFonts w:ascii="IBM Plex Sans Light" w:hAnsi="IBM Plex Sans Light"/>
                <w:sz w:val="16"/>
                <w:szCs w:val="16"/>
              </w:rPr>
              <w:t>c</w:t>
            </w:r>
          </w:p>
        </w:tc>
        <w:tc>
          <w:tcPr>
            <w:tcW w:w="934" w:type="dxa"/>
            <w:tcBorders>
              <w:bottom w:val="single" w:sz="2" w:space="0" w:color="3D7FE0" w:themeColor="accent1"/>
            </w:tcBorders>
            <w:vAlign w:val="center"/>
          </w:tcPr>
          <w:p w14:paraId="4890E48C"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tcBorders>
              <w:bottom w:val="single" w:sz="2" w:space="0" w:color="3D7FE0" w:themeColor="accent1"/>
            </w:tcBorders>
            <w:shd w:val="clear" w:color="auto" w:fill="auto"/>
            <w:vAlign w:val="bottom"/>
          </w:tcPr>
          <w:p w14:paraId="799CA58C"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171.9</w:t>
            </w:r>
          </w:p>
        </w:tc>
        <w:tc>
          <w:tcPr>
            <w:tcW w:w="1191" w:type="dxa"/>
            <w:tcBorders>
              <w:bottom w:val="single" w:sz="2" w:space="0" w:color="3D7FE0" w:themeColor="accent1"/>
            </w:tcBorders>
            <w:shd w:val="clear" w:color="auto" w:fill="auto"/>
            <w:vAlign w:val="bottom"/>
          </w:tcPr>
          <w:p w14:paraId="0987F222"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197.2</w:t>
            </w:r>
          </w:p>
        </w:tc>
      </w:tr>
      <w:tr w:rsidR="006B43AF" w:rsidRPr="00A539C8" w14:paraId="594C2759" w14:textId="77777777" w:rsidTr="004203CD">
        <w:trPr>
          <w:trHeight w:val="20"/>
        </w:trPr>
        <w:tc>
          <w:tcPr>
            <w:tcW w:w="5670" w:type="dxa"/>
            <w:tcBorders>
              <w:top w:val="single" w:sz="2" w:space="0" w:color="3D7FE0" w:themeColor="accent1"/>
              <w:bottom w:val="single" w:sz="2" w:space="0" w:color="3D7FE0" w:themeColor="accent1"/>
            </w:tcBorders>
            <w:shd w:val="clear" w:color="auto" w:fill="auto"/>
            <w:vAlign w:val="center"/>
          </w:tcPr>
          <w:p w14:paraId="7F0C3694"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sz w:val="18"/>
                <w:szCs w:val="18"/>
              </w:rPr>
              <w:t>Grossed up completed investment portfolio</w:t>
            </w:r>
            <w:r w:rsidRPr="005907D3">
              <w:rPr>
                <w:rFonts w:ascii="IBM Plex Sans Light" w:hAnsi="IBM Plex Sans Light"/>
                <w:b/>
                <w:bCs/>
                <w:sz w:val="18"/>
                <w:szCs w:val="18"/>
              </w:rPr>
              <w:t xml:space="preserve"> </w:t>
            </w:r>
          </w:p>
        </w:tc>
        <w:tc>
          <w:tcPr>
            <w:tcW w:w="709" w:type="dxa"/>
            <w:tcBorders>
              <w:top w:val="single" w:sz="2" w:space="0" w:color="3D7FE0" w:themeColor="accent1"/>
              <w:bottom w:val="single" w:sz="2" w:space="0" w:color="3D7FE0" w:themeColor="accent1"/>
            </w:tcBorders>
            <w:shd w:val="clear" w:color="auto" w:fill="auto"/>
            <w:vAlign w:val="bottom"/>
          </w:tcPr>
          <w:p w14:paraId="1296B857" w14:textId="77777777" w:rsidR="006B43AF" w:rsidRPr="005907D3" w:rsidRDefault="006B43AF" w:rsidP="004203CD">
            <w:pPr>
              <w:pStyle w:val="TablesTTextBold"/>
              <w:spacing w:line="276" w:lineRule="auto"/>
              <w:jc w:val="center"/>
              <w:rPr>
                <w:rFonts w:ascii="IBM Plex Sans Light" w:hAnsi="IBM Plex Sans Light"/>
                <w:b/>
                <w:bCs/>
                <w:szCs w:val="17"/>
              </w:rPr>
            </w:pPr>
            <w:r w:rsidRPr="005907D3">
              <w:rPr>
                <w:rFonts w:ascii="IBM Plex Sans Light" w:hAnsi="IBM Plex Sans Light"/>
                <w:b/>
                <w:bCs/>
                <w:szCs w:val="17"/>
              </w:rPr>
              <w:t>A</w:t>
            </w:r>
          </w:p>
        </w:tc>
        <w:tc>
          <w:tcPr>
            <w:tcW w:w="284" w:type="dxa"/>
            <w:tcBorders>
              <w:top w:val="single" w:sz="2" w:space="0" w:color="3D7FE0" w:themeColor="accent1"/>
              <w:bottom w:val="single" w:sz="2" w:space="0" w:color="3D7FE0" w:themeColor="accent1"/>
            </w:tcBorders>
            <w:vAlign w:val="bottom"/>
          </w:tcPr>
          <w:p w14:paraId="3B2A9CB9" w14:textId="77777777" w:rsidR="006B43AF" w:rsidRPr="005907D3" w:rsidRDefault="006B43AF" w:rsidP="004203CD">
            <w:pPr>
              <w:pStyle w:val="TablesTTextBold"/>
              <w:spacing w:line="276" w:lineRule="auto"/>
              <w:jc w:val="right"/>
              <w:rPr>
                <w:rFonts w:ascii="IBM Plex Sans Light" w:hAnsi="IBM Plex Sans Light"/>
                <w:b/>
                <w:bCs/>
                <w:sz w:val="16"/>
                <w:szCs w:val="16"/>
              </w:rPr>
            </w:pPr>
          </w:p>
        </w:tc>
        <w:tc>
          <w:tcPr>
            <w:tcW w:w="934" w:type="dxa"/>
            <w:tcBorders>
              <w:top w:val="single" w:sz="2" w:space="0" w:color="3D7FE0" w:themeColor="accent1"/>
              <w:bottom w:val="single" w:sz="2" w:space="0" w:color="3D7FE0" w:themeColor="accent1"/>
            </w:tcBorders>
            <w:vAlign w:val="center"/>
          </w:tcPr>
          <w:p w14:paraId="6CCB4B1B" w14:textId="77777777" w:rsidR="006B43AF" w:rsidRPr="005907D3" w:rsidRDefault="006B43AF" w:rsidP="004203CD">
            <w:pPr>
              <w:pStyle w:val="TablesTTextBold"/>
              <w:spacing w:line="276" w:lineRule="auto"/>
              <w:jc w:val="right"/>
              <w:rPr>
                <w:rFonts w:ascii="IBM Plex Sans Light" w:hAnsi="IBM Plex Sans Light"/>
                <w:b/>
                <w:bCs/>
                <w:sz w:val="16"/>
                <w:szCs w:val="16"/>
              </w:rPr>
            </w:pPr>
          </w:p>
        </w:tc>
        <w:tc>
          <w:tcPr>
            <w:tcW w:w="1134" w:type="dxa"/>
            <w:tcBorders>
              <w:top w:val="single" w:sz="2" w:space="0" w:color="3D7FE0" w:themeColor="accent1"/>
              <w:bottom w:val="single" w:sz="2" w:space="0" w:color="3D7FE0" w:themeColor="accent1"/>
            </w:tcBorders>
            <w:shd w:val="clear" w:color="auto" w:fill="auto"/>
            <w:vAlign w:val="bottom"/>
          </w:tcPr>
          <w:p w14:paraId="4E0D4C36"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2,755.7</w:t>
            </w:r>
          </w:p>
        </w:tc>
        <w:tc>
          <w:tcPr>
            <w:tcW w:w="1191" w:type="dxa"/>
            <w:tcBorders>
              <w:top w:val="single" w:sz="2" w:space="0" w:color="3D7FE0" w:themeColor="accent1"/>
              <w:bottom w:val="single" w:sz="2" w:space="0" w:color="3D7FE0" w:themeColor="accent1"/>
            </w:tcBorders>
            <w:shd w:val="clear" w:color="auto" w:fill="auto"/>
            <w:vAlign w:val="bottom"/>
          </w:tcPr>
          <w:p w14:paraId="6F3181C4"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3,168.3</w:t>
            </w:r>
          </w:p>
        </w:tc>
      </w:tr>
      <w:tr w:rsidR="006B43AF" w:rsidRPr="00A539C8" w14:paraId="21CCCABA" w14:textId="77777777" w:rsidTr="004203CD">
        <w:trPr>
          <w:trHeight w:val="20"/>
        </w:trPr>
        <w:tc>
          <w:tcPr>
            <w:tcW w:w="5670" w:type="dxa"/>
            <w:tcBorders>
              <w:top w:val="single" w:sz="2" w:space="0" w:color="3D7FE0" w:themeColor="accent1"/>
            </w:tcBorders>
            <w:shd w:val="clear" w:color="auto" w:fill="auto"/>
            <w:vAlign w:val="center"/>
          </w:tcPr>
          <w:p w14:paraId="598E77F1" w14:textId="77777777" w:rsidR="006B43AF" w:rsidRPr="005907D3" w:rsidRDefault="006B43AF" w:rsidP="004203CD">
            <w:pPr>
              <w:pStyle w:val="TablesTText"/>
              <w:spacing w:line="276" w:lineRule="auto"/>
              <w:rPr>
                <w:rFonts w:ascii="IBM Plex Sans Light" w:hAnsi="IBM Plex Sans Light"/>
                <w:sz w:val="18"/>
                <w:szCs w:val="18"/>
              </w:rPr>
            </w:pPr>
          </w:p>
        </w:tc>
        <w:tc>
          <w:tcPr>
            <w:tcW w:w="709" w:type="dxa"/>
            <w:tcBorders>
              <w:top w:val="single" w:sz="2" w:space="0" w:color="3D7FE0" w:themeColor="accent1"/>
            </w:tcBorders>
            <w:shd w:val="clear" w:color="auto" w:fill="auto"/>
            <w:vAlign w:val="bottom"/>
          </w:tcPr>
          <w:p w14:paraId="499C46FF"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tcBorders>
              <w:top w:val="single" w:sz="2" w:space="0" w:color="3D7FE0" w:themeColor="accent1"/>
            </w:tcBorders>
            <w:vAlign w:val="bottom"/>
          </w:tcPr>
          <w:p w14:paraId="0B5C7470"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934" w:type="dxa"/>
            <w:tcBorders>
              <w:top w:val="single" w:sz="2" w:space="0" w:color="3D7FE0" w:themeColor="accent1"/>
            </w:tcBorders>
            <w:vAlign w:val="center"/>
          </w:tcPr>
          <w:p w14:paraId="74EBB152"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tcBorders>
              <w:top w:val="single" w:sz="2" w:space="0" w:color="3D7FE0" w:themeColor="accent1"/>
            </w:tcBorders>
            <w:shd w:val="clear" w:color="auto" w:fill="auto"/>
            <w:vAlign w:val="bottom"/>
          </w:tcPr>
          <w:p w14:paraId="10FE7F51"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p>
        </w:tc>
        <w:tc>
          <w:tcPr>
            <w:tcW w:w="1191" w:type="dxa"/>
            <w:tcBorders>
              <w:top w:val="single" w:sz="2" w:space="0" w:color="3D7FE0" w:themeColor="accent1"/>
            </w:tcBorders>
            <w:shd w:val="clear" w:color="auto" w:fill="auto"/>
            <w:vAlign w:val="bottom"/>
          </w:tcPr>
          <w:p w14:paraId="0E6708E4" w14:textId="77777777" w:rsidR="006B43AF" w:rsidRPr="005907D3" w:rsidRDefault="006B43AF" w:rsidP="004203CD">
            <w:pPr>
              <w:pStyle w:val="TablesTFigures"/>
              <w:spacing w:line="240" w:lineRule="exact"/>
              <w:rPr>
                <w:rFonts w:ascii="IBM Plex Sans Light" w:hAnsi="IBM Plex Sans Light"/>
                <w:sz w:val="18"/>
                <w:szCs w:val="18"/>
              </w:rPr>
            </w:pPr>
          </w:p>
        </w:tc>
      </w:tr>
      <w:tr w:rsidR="006B43AF" w:rsidRPr="00A539C8" w14:paraId="45D7AE78" w14:textId="77777777" w:rsidTr="004203CD">
        <w:trPr>
          <w:trHeight w:val="20"/>
        </w:trPr>
        <w:tc>
          <w:tcPr>
            <w:tcW w:w="5670" w:type="dxa"/>
            <w:shd w:val="clear" w:color="auto" w:fill="auto"/>
            <w:vAlign w:val="center"/>
          </w:tcPr>
          <w:p w14:paraId="488A0861"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 xml:space="preserve">Annualised cash passing rental income </w:t>
            </w:r>
          </w:p>
        </w:tc>
        <w:tc>
          <w:tcPr>
            <w:tcW w:w="709" w:type="dxa"/>
            <w:shd w:val="clear" w:color="auto" w:fill="auto"/>
            <w:vAlign w:val="bottom"/>
          </w:tcPr>
          <w:p w14:paraId="72703DAA"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vAlign w:val="bottom"/>
          </w:tcPr>
          <w:p w14:paraId="56FA8716"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934" w:type="dxa"/>
            <w:vAlign w:val="center"/>
          </w:tcPr>
          <w:p w14:paraId="641D3939"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shd w:val="clear" w:color="auto" w:fill="auto"/>
            <w:vAlign w:val="bottom"/>
          </w:tcPr>
          <w:p w14:paraId="50291E91"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182.4</w:t>
            </w:r>
          </w:p>
        </w:tc>
        <w:tc>
          <w:tcPr>
            <w:tcW w:w="1191" w:type="dxa"/>
            <w:shd w:val="clear" w:color="auto" w:fill="auto"/>
            <w:vAlign w:val="bottom"/>
          </w:tcPr>
          <w:p w14:paraId="548678DE"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207.1</w:t>
            </w:r>
          </w:p>
        </w:tc>
      </w:tr>
      <w:tr w:rsidR="006B43AF" w:rsidRPr="00A539C8" w14:paraId="1A793093" w14:textId="77777777" w:rsidTr="004203CD">
        <w:trPr>
          <w:trHeight w:val="20"/>
        </w:trPr>
        <w:tc>
          <w:tcPr>
            <w:tcW w:w="5670" w:type="dxa"/>
            <w:shd w:val="clear" w:color="auto" w:fill="auto"/>
            <w:vAlign w:val="center"/>
          </w:tcPr>
          <w:p w14:paraId="7E4D18EB"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Non recoverable costs</w:t>
            </w:r>
          </w:p>
        </w:tc>
        <w:tc>
          <w:tcPr>
            <w:tcW w:w="709" w:type="dxa"/>
            <w:shd w:val="clear" w:color="auto" w:fill="auto"/>
            <w:vAlign w:val="bottom"/>
          </w:tcPr>
          <w:p w14:paraId="6EC1DBB7"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vAlign w:val="bottom"/>
          </w:tcPr>
          <w:p w14:paraId="1E16EE7F" w14:textId="77777777" w:rsidR="006B43AF" w:rsidRPr="005907D3" w:rsidRDefault="006B43AF" w:rsidP="004203CD">
            <w:pPr>
              <w:pStyle w:val="TablesTFigureBrackets"/>
              <w:spacing w:line="276" w:lineRule="auto"/>
              <w:rPr>
                <w:rFonts w:ascii="IBM Plex Sans Light" w:hAnsi="IBM Plex Sans Light"/>
                <w:sz w:val="16"/>
                <w:szCs w:val="16"/>
                <w:highlight w:val="yellow"/>
              </w:rPr>
            </w:pPr>
          </w:p>
        </w:tc>
        <w:tc>
          <w:tcPr>
            <w:tcW w:w="934" w:type="dxa"/>
            <w:vAlign w:val="center"/>
          </w:tcPr>
          <w:p w14:paraId="70C85114" w14:textId="77777777" w:rsidR="006B43AF" w:rsidRPr="005907D3" w:rsidRDefault="006B43AF" w:rsidP="004203CD">
            <w:pPr>
              <w:pStyle w:val="TablesTFigureBrackets"/>
              <w:spacing w:line="276" w:lineRule="auto"/>
              <w:rPr>
                <w:rFonts w:ascii="IBM Plex Sans Light" w:hAnsi="IBM Plex Sans Light"/>
                <w:sz w:val="16"/>
                <w:szCs w:val="16"/>
                <w:highlight w:val="yellow"/>
              </w:rPr>
            </w:pPr>
          </w:p>
        </w:tc>
        <w:tc>
          <w:tcPr>
            <w:tcW w:w="1134" w:type="dxa"/>
            <w:shd w:val="clear" w:color="auto" w:fill="auto"/>
            <w:vAlign w:val="bottom"/>
          </w:tcPr>
          <w:p w14:paraId="4FDB6F64" w14:textId="77777777" w:rsidR="006B43AF" w:rsidRPr="00A539C8" w:rsidRDefault="006B43AF" w:rsidP="004203CD">
            <w:pPr>
              <w:pStyle w:val="TablesTFigureBracket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(15.5)</w:t>
            </w:r>
          </w:p>
        </w:tc>
        <w:tc>
          <w:tcPr>
            <w:tcW w:w="1191" w:type="dxa"/>
            <w:shd w:val="clear" w:color="auto" w:fill="auto"/>
            <w:vAlign w:val="bottom"/>
          </w:tcPr>
          <w:p w14:paraId="304D245F"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(21.1)</w:t>
            </w:r>
          </w:p>
        </w:tc>
      </w:tr>
      <w:tr w:rsidR="006B43AF" w:rsidRPr="00A539C8" w14:paraId="57077D68" w14:textId="77777777" w:rsidTr="00024B10">
        <w:trPr>
          <w:trHeight w:val="20"/>
        </w:trPr>
        <w:tc>
          <w:tcPr>
            <w:tcW w:w="5670" w:type="dxa"/>
            <w:tcBorders>
              <w:bottom w:val="single" w:sz="2" w:space="0" w:color="3D7FE0" w:themeColor="accent1"/>
            </w:tcBorders>
            <w:shd w:val="clear" w:color="auto" w:fill="auto"/>
            <w:vAlign w:val="center"/>
          </w:tcPr>
          <w:p w14:paraId="364925A2"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Rents payable</w:t>
            </w:r>
          </w:p>
        </w:tc>
        <w:tc>
          <w:tcPr>
            <w:tcW w:w="709" w:type="dxa"/>
            <w:tcBorders>
              <w:bottom w:val="single" w:sz="2" w:space="0" w:color="3D7FE0" w:themeColor="accent1"/>
            </w:tcBorders>
            <w:shd w:val="clear" w:color="auto" w:fill="auto"/>
            <w:vAlign w:val="bottom"/>
          </w:tcPr>
          <w:p w14:paraId="2F359477"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tcBorders>
              <w:bottom w:val="single" w:sz="2" w:space="0" w:color="3D7FE0" w:themeColor="accent1"/>
            </w:tcBorders>
            <w:vAlign w:val="bottom"/>
          </w:tcPr>
          <w:p w14:paraId="358D6030" w14:textId="77777777" w:rsidR="006B43AF" w:rsidRPr="005907D3" w:rsidRDefault="006B43AF" w:rsidP="004203CD">
            <w:pPr>
              <w:pStyle w:val="TablesTFigureBrackets"/>
              <w:spacing w:line="276" w:lineRule="auto"/>
              <w:rPr>
                <w:rFonts w:ascii="IBM Plex Sans Light" w:hAnsi="IBM Plex Sans Light"/>
                <w:sz w:val="16"/>
                <w:szCs w:val="16"/>
                <w:highlight w:val="yellow"/>
              </w:rPr>
            </w:pPr>
          </w:p>
        </w:tc>
        <w:tc>
          <w:tcPr>
            <w:tcW w:w="934" w:type="dxa"/>
            <w:tcBorders>
              <w:bottom w:val="single" w:sz="2" w:space="0" w:color="3D7FE0" w:themeColor="accent1"/>
            </w:tcBorders>
            <w:vAlign w:val="center"/>
          </w:tcPr>
          <w:p w14:paraId="0BAFEBCE" w14:textId="77777777" w:rsidR="006B43AF" w:rsidRPr="005907D3" w:rsidRDefault="006B43AF" w:rsidP="004203CD">
            <w:pPr>
              <w:pStyle w:val="TablesTFigureBrackets"/>
              <w:spacing w:line="276" w:lineRule="auto"/>
              <w:rPr>
                <w:rFonts w:ascii="IBM Plex Sans Light" w:hAnsi="IBM Plex Sans Light"/>
                <w:sz w:val="16"/>
                <w:szCs w:val="16"/>
                <w:highlight w:val="yellow"/>
              </w:rPr>
            </w:pPr>
          </w:p>
        </w:tc>
        <w:tc>
          <w:tcPr>
            <w:tcW w:w="1134" w:type="dxa"/>
            <w:tcBorders>
              <w:bottom w:val="single" w:sz="2" w:space="0" w:color="3D7FE0" w:themeColor="accent1"/>
            </w:tcBorders>
            <w:shd w:val="clear" w:color="auto" w:fill="auto"/>
            <w:vAlign w:val="bottom"/>
          </w:tcPr>
          <w:p w14:paraId="76F5F38E" w14:textId="77777777" w:rsidR="006B43AF" w:rsidRPr="00A539C8" w:rsidRDefault="006B43AF" w:rsidP="004203CD">
            <w:pPr>
              <w:pStyle w:val="TablesTFigureBracket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(4.1)</w:t>
            </w:r>
          </w:p>
        </w:tc>
        <w:tc>
          <w:tcPr>
            <w:tcW w:w="1191" w:type="dxa"/>
            <w:tcBorders>
              <w:bottom w:val="single" w:sz="2" w:space="0" w:color="3D7FE0" w:themeColor="accent1"/>
            </w:tcBorders>
            <w:shd w:val="clear" w:color="auto" w:fill="auto"/>
            <w:vAlign w:val="bottom"/>
          </w:tcPr>
          <w:p w14:paraId="548D97DB"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(3.8)</w:t>
            </w:r>
          </w:p>
        </w:tc>
      </w:tr>
      <w:tr w:rsidR="006B43AF" w:rsidRPr="00A539C8" w14:paraId="17F508E5" w14:textId="77777777" w:rsidTr="00024B10">
        <w:trPr>
          <w:trHeight w:val="20"/>
        </w:trPr>
        <w:tc>
          <w:tcPr>
            <w:tcW w:w="5670" w:type="dxa"/>
            <w:tcBorders>
              <w:top w:val="single" w:sz="2" w:space="0" w:color="3D7FE0" w:themeColor="accent1"/>
            </w:tcBorders>
            <w:shd w:val="clear" w:color="auto" w:fill="auto"/>
            <w:vAlign w:val="center"/>
          </w:tcPr>
          <w:p w14:paraId="5562D83F"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 xml:space="preserve">Annualised net rent </w:t>
            </w:r>
          </w:p>
        </w:tc>
        <w:tc>
          <w:tcPr>
            <w:tcW w:w="709" w:type="dxa"/>
            <w:tcBorders>
              <w:top w:val="single" w:sz="2" w:space="0" w:color="3D7FE0" w:themeColor="accent1"/>
            </w:tcBorders>
            <w:shd w:val="clear" w:color="auto" w:fill="auto"/>
            <w:vAlign w:val="bottom"/>
          </w:tcPr>
          <w:p w14:paraId="4C0EBE14" w14:textId="77777777" w:rsidR="006B43AF" w:rsidRPr="005907D3" w:rsidRDefault="006B43AF" w:rsidP="004203CD">
            <w:pPr>
              <w:pStyle w:val="TablesTTextBold"/>
              <w:spacing w:line="276" w:lineRule="auto"/>
              <w:jc w:val="center"/>
              <w:rPr>
                <w:rFonts w:ascii="IBM Plex Sans Light" w:hAnsi="IBM Plex Sans Light"/>
                <w:b/>
                <w:bCs/>
                <w:szCs w:val="17"/>
              </w:rPr>
            </w:pPr>
            <w:r w:rsidRPr="005907D3">
              <w:rPr>
                <w:rFonts w:ascii="IBM Plex Sans Light" w:hAnsi="IBM Plex Sans Light"/>
                <w:b/>
                <w:bCs/>
                <w:szCs w:val="17"/>
              </w:rPr>
              <w:t>B</w:t>
            </w:r>
          </w:p>
        </w:tc>
        <w:tc>
          <w:tcPr>
            <w:tcW w:w="284" w:type="dxa"/>
            <w:tcBorders>
              <w:top w:val="single" w:sz="2" w:space="0" w:color="3D7FE0" w:themeColor="accent1"/>
            </w:tcBorders>
            <w:vAlign w:val="bottom"/>
          </w:tcPr>
          <w:p w14:paraId="6C9EF342" w14:textId="77777777" w:rsidR="006B43AF" w:rsidRPr="005907D3" w:rsidRDefault="006B43AF" w:rsidP="004203CD">
            <w:pPr>
              <w:pStyle w:val="TablesTTextBold"/>
              <w:spacing w:line="276" w:lineRule="auto"/>
              <w:jc w:val="right"/>
              <w:rPr>
                <w:rFonts w:ascii="IBM Plex Sans Light" w:hAnsi="IBM Plex Sans Light"/>
                <w:b/>
                <w:bCs/>
                <w:sz w:val="16"/>
                <w:szCs w:val="16"/>
              </w:rPr>
            </w:pPr>
          </w:p>
        </w:tc>
        <w:tc>
          <w:tcPr>
            <w:tcW w:w="934" w:type="dxa"/>
            <w:tcBorders>
              <w:top w:val="single" w:sz="2" w:space="0" w:color="3D7FE0" w:themeColor="accent1"/>
            </w:tcBorders>
            <w:vAlign w:val="center"/>
          </w:tcPr>
          <w:p w14:paraId="28E71DB2" w14:textId="77777777" w:rsidR="006B43AF" w:rsidRPr="005907D3" w:rsidRDefault="006B43AF" w:rsidP="004203CD">
            <w:pPr>
              <w:pStyle w:val="TablesTTextBold"/>
              <w:spacing w:line="276" w:lineRule="auto"/>
              <w:jc w:val="right"/>
              <w:rPr>
                <w:rFonts w:ascii="IBM Plex Sans Light" w:hAnsi="IBM Plex Sans Light"/>
                <w:b/>
                <w:bCs/>
                <w:sz w:val="16"/>
                <w:szCs w:val="16"/>
              </w:rPr>
            </w:pPr>
          </w:p>
        </w:tc>
        <w:tc>
          <w:tcPr>
            <w:tcW w:w="1134" w:type="dxa"/>
            <w:tcBorders>
              <w:top w:val="single" w:sz="2" w:space="0" w:color="3D7FE0" w:themeColor="accent1"/>
            </w:tcBorders>
            <w:shd w:val="clear" w:color="auto" w:fill="auto"/>
            <w:vAlign w:val="bottom"/>
          </w:tcPr>
          <w:p w14:paraId="456AECBD"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162.8</w:t>
            </w:r>
          </w:p>
        </w:tc>
        <w:tc>
          <w:tcPr>
            <w:tcW w:w="1191" w:type="dxa"/>
            <w:tcBorders>
              <w:top w:val="single" w:sz="2" w:space="0" w:color="3D7FE0" w:themeColor="accent1"/>
            </w:tcBorders>
            <w:shd w:val="clear" w:color="auto" w:fill="auto"/>
            <w:vAlign w:val="bottom"/>
          </w:tcPr>
          <w:p w14:paraId="3208D58B"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182.2</w:t>
            </w:r>
          </w:p>
        </w:tc>
      </w:tr>
      <w:tr w:rsidR="006B43AF" w:rsidRPr="00A539C8" w14:paraId="2A81E226" w14:textId="77777777" w:rsidTr="00024B10">
        <w:trPr>
          <w:trHeight w:val="20"/>
        </w:trPr>
        <w:tc>
          <w:tcPr>
            <w:tcW w:w="5670" w:type="dxa"/>
            <w:shd w:val="clear" w:color="auto" w:fill="auto"/>
            <w:vAlign w:val="center"/>
          </w:tcPr>
          <w:p w14:paraId="2E62F30A"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Add:</w:t>
            </w:r>
          </w:p>
        </w:tc>
        <w:tc>
          <w:tcPr>
            <w:tcW w:w="709" w:type="dxa"/>
            <w:shd w:val="clear" w:color="auto" w:fill="auto"/>
            <w:vAlign w:val="bottom"/>
          </w:tcPr>
          <w:p w14:paraId="251282CD"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vAlign w:val="bottom"/>
          </w:tcPr>
          <w:p w14:paraId="5230C6D7" w14:textId="77777777" w:rsidR="006B43AF" w:rsidRPr="005907D3" w:rsidRDefault="006B43AF" w:rsidP="004203CD">
            <w:pPr>
              <w:pStyle w:val="TablesTFigures"/>
              <w:spacing w:line="276" w:lineRule="auto"/>
              <w:rPr>
                <w:rFonts w:ascii="IBM Plex Sans Light" w:hAnsi="IBM Plex Sans Light"/>
                <w:sz w:val="16"/>
                <w:szCs w:val="16"/>
              </w:rPr>
            </w:pPr>
          </w:p>
        </w:tc>
        <w:tc>
          <w:tcPr>
            <w:tcW w:w="934" w:type="dxa"/>
            <w:vAlign w:val="center"/>
          </w:tcPr>
          <w:p w14:paraId="3449142D"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shd w:val="clear" w:color="auto" w:fill="auto"/>
            <w:vAlign w:val="bottom"/>
          </w:tcPr>
          <w:p w14:paraId="7297D5AA"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p>
        </w:tc>
        <w:tc>
          <w:tcPr>
            <w:tcW w:w="1191" w:type="dxa"/>
            <w:shd w:val="clear" w:color="auto" w:fill="auto"/>
            <w:vAlign w:val="bottom"/>
          </w:tcPr>
          <w:p w14:paraId="45ECDA5C" w14:textId="77777777" w:rsidR="006B43AF" w:rsidRPr="005907D3" w:rsidRDefault="006B43AF" w:rsidP="004203CD">
            <w:pPr>
              <w:pStyle w:val="TablesTFigures"/>
              <w:spacing w:line="240" w:lineRule="exact"/>
              <w:rPr>
                <w:rFonts w:ascii="IBM Plex Sans Light" w:hAnsi="IBM Plex Sans Light"/>
                <w:sz w:val="18"/>
                <w:szCs w:val="18"/>
              </w:rPr>
            </w:pPr>
          </w:p>
        </w:tc>
      </w:tr>
      <w:tr w:rsidR="006B43AF" w:rsidRPr="00A539C8" w14:paraId="326E87AD" w14:textId="77777777" w:rsidTr="004203CD">
        <w:trPr>
          <w:trHeight w:val="20"/>
        </w:trPr>
        <w:tc>
          <w:tcPr>
            <w:tcW w:w="5670" w:type="dxa"/>
            <w:shd w:val="clear" w:color="auto" w:fill="auto"/>
            <w:vAlign w:val="center"/>
          </w:tcPr>
          <w:p w14:paraId="53CDA6C4"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Notional rent expiration of rent-free periods and other lease incentives</w:t>
            </w:r>
          </w:p>
        </w:tc>
        <w:tc>
          <w:tcPr>
            <w:tcW w:w="709" w:type="dxa"/>
            <w:shd w:val="clear" w:color="auto" w:fill="auto"/>
            <w:vAlign w:val="bottom"/>
          </w:tcPr>
          <w:p w14:paraId="13839AAD"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vAlign w:val="bottom"/>
          </w:tcPr>
          <w:p w14:paraId="3AD1A0C9" w14:textId="77777777" w:rsidR="006B43AF" w:rsidRPr="005907D3" w:rsidRDefault="006B43AF" w:rsidP="004203CD">
            <w:pPr>
              <w:pStyle w:val="TablesTFigures"/>
              <w:spacing w:line="276" w:lineRule="auto"/>
              <w:rPr>
                <w:rFonts w:ascii="IBM Plex Sans Light" w:hAnsi="IBM Plex Sans Light"/>
                <w:sz w:val="16"/>
                <w:szCs w:val="16"/>
              </w:rPr>
            </w:pPr>
            <w:r>
              <w:rPr>
                <w:rFonts w:ascii="IBM Plex Sans Light" w:hAnsi="IBM Plex Sans Light"/>
                <w:sz w:val="16"/>
                <w:szCs w:val="16"/>
              </w:rPr>
              <w:t>d</w:t>
            </w:r>
          </w:p>
        </w:tc>
        <w:tc>
          <w:tcPr>
            <w:tcW w:w="934" w:type="dxa"/>
            <w:vAlign w:val="center"/>
          </w:tcPr>
          <w:p w14:paraId="171212DE"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shd w:val="clear" w:color="auto" w:fill="auto"/>
            <w:vAlign w:val="bottom"/>
          </w:tcPr>
          <w:p w14:paraId="2B6A8BF1"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7.8</w:t>
            </w:r>
          </w:p>
        </w:tc>
        <w:tc>
          <w:tcPr>
            <w:tcW w:w="1191" w:type="dxa"/>
            <w:shd w:val="clear" w:color="auto" w:fill="auto"/>
            <w:vAlign w:val="bottom"/>
          </w:tcPr>
          <w:p w14:paraId="3187665B"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3.2</w:t>
            </w:r>
          </w:p>
        </w:tc>
      </w:tr>
      <w:tr w:rsidR="006B43AF" w:rsidRPr="00A539C8" w14:paraId="473C8094" w14:textId="77777777" w:rsidTr="004203CD">
        <w:trPr>
          <w:trHeight w:val="20"/>
        </w:trPr>
        <w:tc>
          <w:tcPr>
            <w:tcW w:w="5670" w:type="dxa"/>
            <w:tcBorders>
              <w:bottom w:val="single" w:sz="2" w:space="0" w:color="3D7FE0" w:themeColor="accent1"/>
            </w:tcBorders>
            <w:shd w:val="clear" w:color="auto" w:fill="auto"/>
            <w:vAlign w:val="center"/>
          </w:tcPr>
          <w:p w14:paraId="5557D0C9"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Future rent on signed leases</w:t>
            </w:r>
          </w:p>
        </w:tc>
        <w:tc>
          <w:tcPr>
            <w:tcW w:w="709" w:type="dxa"/>
            <w:tcBorders>
              <w:bottom w:val="single" w:sz="2" w:space="0" w:color="3D7FE0" w:themeColor="accent1"/>
            </w:tcBorders>
            <w:shd w:val="clear" w:color="auto" w:fill="auto"/>
            <w:vAlign w:val="bottom"/>
          </w:tcPr>
          <w:p w14:paraId="24F1A02A"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tcBorders>
              <w:bottom w:val="single" w:sz="2" w:space="0" w:color="3D7FE0" w:themeColor="accent1"/>
            </w:tcBorders>
            <w:vAlign w:val="bottom"/>
          </w:tcPr>
          <w:p w14:paraId="649A295F" w14:textId="77777777" w:rsidR="006B43AF" w:rsidRPr="005907D3" w:rsidRDefault="006B43AF" w:rsidP="004203CD">
            <w:pPr>
              <w:pStyle w:val="TablesTFigures"/>
              <w:spacing w:line="276" w:lineRule="auto"/>
              <w:rPr>
                <w:rFonts w:ascii="IBM Plex Sans Light" w:hAnsi="IBM Plex Sans Light"/>
                <w:sz w:val="16"/>
                <w:szCs w:val="16"/>
              </w:rPr>
            </w:pPr>
          </w:p>
        </w:tc>
        <w:tc>
          <w:tcPr>
            <w:tcW w:w="934" w:type="dxa"/>
            <w:tcBorders>
              <w:bottom w:val="single" w:sz="2" w:space="0" w:color="3D7FE0" w:themeColor="accent1"/>
            </w:tcBorders>
            <w:vAlign w:val="center"/>
          </w:tcPr>
          <w:p w14:paraId="0932119C"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tcBorders>
              <w:bottom w:val="single" w:sz="2" w:space="0" w:color="3D7FE0" w:themeColor="accent1"/>
            </w:tcBorders>
            <w:shd w:val="clear" w:color="auto" w:fill="auto"/>
            <w:vAlign w:val="bottom"/>
          </w:tcPr>
          <w:p w14:paraId="60DA36F5"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1.7</w:t>
            </w:r>
          </w:p>
        </w:tc>
        <w:tc>
          <w:tcPr>
            <w:tcW w:w="1191" w:type="dxa"/>
            <w:tcBorders>
              <w:bottom w:val="single" w:sz="2" w:space="0" w:color="3D7FE0" w:themeColor="accent1"/>
            </w:tcBorders>
            <w:shd w:val="clear" w:color="auto" w:fill="auto"/>
            <w:vAlign w:val="bottom"/>
          </w:tcPr>
          <w:p w14:paraId="2E7B3211"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3.8</w:t>
            </w:r>
          </w:p>
        </w:tc>
      </w:tr>
      <w:tr w:rsidR="006B43AF" w:rsidRPr="00A539C8" w14:paraId="285CEAF2" w14:textId="77777777" w:rsidTr="004203CD">
        <w:trPr>
          <w:trHeight w:val="20"/>
        </w:trPr>
        <w:tc>
          <w:tcPr>
            <w:tcW w:w="5670" w:type="dxa"/>
            <w:tcBorders>
              <w:top w:val="single" w:sz="2" w:space="0" w:color="3D7FE0" w:themeColor="accent1"/>
            </w:tcBorders>
            <w:shd w:val="clear" w:color="auto" w:fill="auto"/>
            <w:vAlign w:val="center"/>
          </w:tcPr>
          <w:p w14:paraId="771D95C3"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sz w:val="18"/>
                <w:szCs w:val="18"/>
              </w:rPr>
              <w:t>Topped-up annualised net rent</w:t>
            </w:r>
            <w:r w:rsidRPr="005907D3">
              <w:rPr>
                <w:rFonts w:ascii="IBM Plex Sans Light" w:hAnsi="IBM Plex Sans Light"/>
                <w:b/>
                <w:bCs/>
                <w:sz w:val="18"/>
                <w:szCs w:val="18"/>
              </w:rPr>
              <w:t xml:space="preserve"> </w:t>
            </w:r>
          </w:p>
        </w:tc>
        <w:tc>
          <w:tcPr>
            <w:tcW w:w="709" w:type="dxa"/>
            <w:tcBorders>
              <w:top w:val="single" w:sz="2" w:space="0" w:color="3D7FE0" w:themeColor="accent1"/>
            </w:tcBorders>
            <w:shd w:val="clear" w:color="auto" w:fill="auto"/>
            <w:vAlign w:val="bottom"/>
          </w:tcPr>
          <w:p w14:paraId="45075E8A" w14:textId="77777777" w:rsidR="006B43AF" w:rsidRPr="005907D3" w:rsidRDefault="006B43AF" w:rsidP="004203CD">
            <w:pPr>
              <w:pStyle w:val="TablesTTextBold"/>
              <w:spacing w:line="276" w:lineRule="auto"/>
              <w:jc w:val="center"/>
              <w:rPr>
                <w:rFonts w:ascii="IBM Plex Sans Light" w:hAnsi="IBM Plex Sans Light"/>
                <w:b/>
                <w:bCs/>
                <w:szCs w:val="17"/>
              </w:rPr>
            </w:pPr>
            <w:r w:rsidRPr="005907D3">
              <w:rPr>
                <w:rFonts w:ascii="IBM Plex Sans Light" w:hAnsi="IBM Plex Sans Light"/>
                <w:b/>
                <w:bCs/>
                <w:szCs w:val="17"/>
              </w:rPr>
              <w:t>C</w:t>
            </w:r>
          </w:p>
        </w:tc>
        <w:tc>
          <w:tcPr>
            <w:tcW w:w="284" w:type="dxa"/>
            <w:tcBorders>
              <w:top w:val="single" w:sz="2" w:space="0" w:color="3D7FE0" w:themeColor="accent1"/>
            </w:tcBorders>
            <w:vAlign w:val="bottom"/>
          </w:tcPr>
          <w:p w14:paraId="46C2A1FC" w14:textId="77777777" w:rsidR="006B43AF" w:rsidRPr="005907D3" w:rsidRDefault="006B43AF" w:rsidP="004203CD">
            <w:pPr>
              <w:pStyle w:val="TablesTTextBold"/>
              <w:spacing w:line="276" w:lineRule="auto"/>
              <w:jc w:val="right"/>
              <w:rPr>
                <w:rFonts w:ascii="IBM Plex Sans Light" w:hAnsi="IBM Plex Sans Light"/>
                <w:b/>
                <w:bCs/>
                <w:sz w:val="16"/>
                <w:szCs w:val="16"/>
              </w:rPr>
            </w:pPr>
          </w:p>
        </w:tc>
        <w:tc>
          <w:tcPr>
            <w:tcW w:w="934" w:type="dxa"/>
            <w:tcBorders>
              <w:top w:val="single" w:sz="2" w:space="0" w:color="3D7FE0" w:themeColor="accent1"/>
            </w:tcBorders>
            <w:vAlign w:val="center"/>
          </w:tcPr>
          <w:p w14:paraId="33CD0FD2" w14:textId="77777777" w:rsidR="006B43AF" w:rsidRPr="005907D3" w:rsidRDefault="006B43AF" w:rsidP="004203CD">
            <w:pPr>
              <w:pStyle w:val="TablesTTextBold"/>
              <w:spacing w:line="276" w:lineRule="auto"/>
              <w:jc w:val="right"/>
              <w:rPr>
                <w:rFonts w:ascii="IBM Plex Sans Light" w:hAnsi="IBM Plex Sans Light"/>
                <w:b/>
                <w:bCs/>
                <w:sz w:val="16"/>
                <w:szCs w:val="16"/>
              </w:rPr>
            </w:pPr>
          </w:p>
        </w:tc>
        <w:tc>
          <w:tcPr>
            <w:tcW w:w="1134" w:type="dxa"/>
            <w:tcBorders>
              <w:top w:val="single" w:sz="2" w:space="0" w:color="3D7FE0" w:themeColor="accent1"/>
            </w:tcBorders>
            <w:shd w:val="clear" w:color="auto" w:fill="auto"/>
            <w:vAlign w:val="bottom"/>
          </w:tcPr>
          <w:p w14:paraId="5CE4CBDF"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172.3</w:t>
            </w:r>
          </w:p>
        </w:tc>
        <w:tc>
          <w:tcPr>
            <w:tcW w:w="1191" w:type="dxa"/>
            <w:tcBorders>
              <w:top w:val="single" w:sz="2" w:space="0" w:color="3D7FE0" w:themeColor="accent1"/>
            </w:tcBorders>
            <w:shd w:val="clear" w:color="auto" w:fill="auto"/>
            <w:vAlign w:val="bottom"/>
          </w:tcPr>
          <w:p w14:paraId="506E0905"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189.2</w:t>
            </w:r>
          </w:p>
        </w:tc>
      </w:tr>
      <w:tr w:rsidR="006B43AF" w:rsidRPr="00A539C8" w14:paraId="244F1094" w14:textId="77777777" w:rsidTr="004203CD">
        <w:trPr>
          <w:trHeight w:val="20"/>
        </w:trPr>
        <w:tc>
          <w:tcPr>
            <w:tcW w:w="5670" w:type="dxa"/>
            <w:tcBorders>
              <w:bottom w:val="single" w:sz="2" w:space="0" w:color="3D7FE0" w:themeColor="accent1"/>
            </w:tcBorders>
            <w:shd w:val="clear" w:color="auto" w:fill="auto"/>
            <w:vAlign w:val="center"/>
          </w:tcPr>
          <w:p w14:paraId="0FAE0F7F" w14:textId="77777777" w:rsidR="006B43AF" w:rsidRPr="005907D3" w:rsidRDefault="006B43AF" w:rsidP="004203CD">
            <w:pPr>
              <w:pStyle w:val="TablesTText"/>
              <w:spacing w:line="276" w:lineRule="auto"/>
              <w:rPr>
                <w:rFonts w:ascii="IBM Plex Sans Light" w:hAnsi="IBM Plex Sans Light"/>
                <w:sz w:val="18"/>
                <w:szCs w:val="18"/>
              </w:rPr>
            </w:pPr>
            <w:r w:rsidRPr="005907D3">
              <w:rPr>
                <w:rFonts w:ascii="IBM Plex Sans Light" w:hAnsi="IBM Plex Sans Light"/>
                <w:sz w:val="18"/>
                <w:szCs w:val="18"/>
              </w:rPr>
              <w:t>Add back: Non recoverable costs</w:t>
            </w:r>
          </w:p>
        </w:tc>
        <w:tc>
          <w:tcPr>
            <w:tcW w:w="709" w:type="dxa"/>
            <w:tcBorders>
              <w:bottom w:val="single" w:sz="2" w:space="0" w:color="3D7FE0" w:themeColor="accent1"/>
            </w:tcBorders>
            <w:shd w:val="clear" w:color="auto" w:fill="auto"/>
            <w:vAlign w:val="bottom"/>
          </w:tcPr>
          <w:p w14:paraId="23953CDA" w14:textId="77777777" w:rsidR="006B43AF" w:rsidRPr="005907D3" w:rsidRDefault="006B43AF" w:rsidP="004203CD">
            <w:pPr>
              <w:pStyle w:val="TablesTText"/>
              <w:spacing w:line="276" w:lineRule="auto"/>
              <w:jc w:val="center"/>
              <w:rPr>
                <w:rFonts w:ascii="IBM Plex Sans Light" w:hAnsi="IBM Plex Sans Light"/>
                <w:b/>
                <w:bCs/>
              </w:rPr>
            </w:pPr>
          </w:p>
        </w:tc>
        <w:tc>
          <w:tcPr>
            <w:tcW w:w="284" w:type="dxa"/>
            <w:tcBorders>
              <w:bottom w:val="single" w:sz="2" w:space="0" w:color="3D7FE0" w:themeColor="accent1"/>
            </w:tcBorders>
            <w:vAlign w:val="bottom"/>
          </w:tcPr>
          <w:p w14:paraId="2F4C3623"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934" w:type="dxa"/>
            <w:tcBorders>
              <w:bottom w:val="single" w:sz="2" w:space="0" w:color="3D7FE0" w:themeColor="accent1"/>
            </w:tcBorders>
            <w:vAlign w:val="center"/>
          </w:tcPr>
          <w:p w14:paraId="19C5A65F"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tcBorders>
              <w:bottom w:val="single" w:sz="2" w:space="0" w:color="3D7FE0" w:themeColor="accent1"/>
            </w:tcBorders>
            <w:shd w:val="clear" w:color="auto" w:fill="auto"/>
            <w:vAlign w:val="bottom"/>
          </w:tcPr>
          <w:p w14:paraId="4E8C5331"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15.5</w:t>
            </w:r>
          </w:p>
        </w:tc>
        <w:tc>
          <w:tcPr>
            <w:tcW w:w="1191" w:type="dxa"/>
            <w:tcBorders>
              <w:bottom w:val="single" w:sz="2" w:space="0" w:color="3D7FE0" w:themeColor="accent1"/>
            </w:tcBorders>
            <w:shd w:val="clear" w:color="auto" w:fill="auto"/>
            <w:vAlign w:val="bottom"/>
          </w:tcPr>
          <w:p w14:paraId="78605FFB" w14:textId="77777777" w:rsidR="006B43AF" w:rsidRPr="005907D3"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21.1</w:t>
            </w:r>
          </w:p>
        </w:tc>
      </w:tr>
      <w:tr w:rsidR="006B43AF" w:rsidRPr="00A539C8" w14:paraId="5F9395D8" w14:textId="77777777" w:rsidTr="004203CD">
        <w:trPr>
          <w:trHeight w:val="20"/>
        </w:trPr>
        <w:tc>
          <w:tcPr>
            <w:tcW w:w="5670" w:type="dxa"/>
            <w:tcBorders>
              <w:top w:val="single" w:sz="2" w:space="0" w:color="3D7FE0" w:themeColor="accent1"/>
              <w:bottom w:val="single" w:sz="2" w:space="0" w:color="3D7FE0" w:themeColor="accent1"/>
            </w:tcBorders>
            <w:shd w:val="clear" w:color="auto" w:fill="auto"/>
            <w:vAlign w:val="center"/>
          </w:tcPr>
          <w:p w14:paraId="083BC2EE" w14:textId="77777777" w:rsidR="006B43AF" w:rsidRPr="005907D3" w:rsidRDefault="006B43AF" w:rsidP="004203CD">
            <w:pPr>
              <w:pStyle w:val="TablesTText"/>
              <w:spacing w:line="276" w:lineRule="auto"/>
              <w:rPr>
                <w:rFonts w:ascii="IBM Plex Sans Light" w:hAnsi="IBM Plex Sans Light"/>
                <w:b/>
                <w:bCs/>
                <w:sz w:val="18"/>
                <w:szCs w:val="18"/>
              </w:rPr>
            </w:pPr>
            <w:r w:rsidRPr="005907D3">
              <w:rPr>
                <w:rFonts w:ascii="IBM Plex Sans Light" w:hAnsi="IBM Plex Sans Light"/>
                <w:b/>
                <w:sz w:val="18"/>
                <w:szCs w:val="18"/>
              </w:rPr>
              <w:t>Passing rents</w:t>
            </w:r>
          </w:p>
        </w:tc>
        <w:tc>
          <w:tcPr>
            <w:tcW w:w="709" w:type="dxa"/>
            <w:tcBorders>
              <w:top w:val="single" w:sz="2" w:space="0" w:color="3D7FE0" w:themeColor="accent1"/>
              <w:bottom w:val="single" w:sz="2" w:space="0" w:color="3D7FE0" w:themeColor="accent1"/>
            </w:tcBorders>
            <w:shd w:val="clear" w:color="auto" w:fill="auto"/>
            <w:vAlign w:val="bottom"/>
          </w:tcPr>
          <w:p w14:paraId="77B1CAAC" w14:textId="77777777" w:rsidR="006B43AF" w:rsidRPr="005907D3" w:rsidRDefault="006B43AF" w:rsidP="004203CD">
            <w:pPr>
              <w:pStyle w:val="TablesTTextBold"/>
              <w:spacing w:line="276" w:lineRule="auto"/>
              <w:jc w:val="right"/>
              <w:rPr>
                <w:rFonts w:ascii="IBM Plex Sans Light" w:hAnsi="IBM Plex Sans Light"/>
                <w:b/>
                <w:bCs/>
                <w:szCs w:val="17"/>
              </w:rPr>
            </w:pPr>
          </w:p>
        </w:tc>
        <w:tc>
          <w:tcPr>
            <w:tcW w:w="284" w:type="dxa"/>
            <w:tcBorders>
              <w:top w:val="single" w:sz="2" w:space="0" w:color="3D7FE0" w:themeColor="accent1"/>
              <w:bottom w:val="single" w:sz="2" w:space="0" w:color="3D7FE0" w:themeColor="accent1"/>
            </w:tcBorders>
            <w:vAlign w:val="bottom"/>
          </w:tcPr>
          <w:p w14:paraId="7AB91ABF" w14:textId="77777777" w:rsidR="006B43AF" w:rsidRPr="005907D3" w:rsidRDefault="006B43AF" w:rsidP="004203CD">
            <w:pPr>
              <w:pStyle w:val="TablesTFigureBold"/>
              <w:spacing w:line="276" w:lineRule="auto"/>
              <w:rPr>
                <w:rFonts w:ascii="IBM Plex Sans Light" w:hAnsi="IBM Plex Sans Light"/>
                <w:sz w:val="16"/>
                <w:szCs w:val="16"/>
              </w:rPr>
            </w:pPr>
          </w:p>
        </w:tc>
        <w:tc>
          <w:tcPr>
            <w:tcW w:w="934" w:type="dxa"/>
            <w:tcBorders>
              <w:top w:val="single" w:sz="2" w:space="0" w:color="3D7FE0" w:themeColor="accent1"/>
              <w:bottom w:val="single" w:sz="2" w:space="0" w:color="3D7FE0" w:themeColor="accent1"/>
            </w:tcBorders>
            <w:vAlign w:val="center"/>
          </w:tcPr>
          <w:p w14:paraId="2A4411BE" w14:textId="77777777" w:rsidR="006B43AF" w:rsidRPr="005907D3" w:rsidRDefault="006B43AF" w:rsidP="004203CD">
            <w:pPr>
              <w:pStyle w:val="TablesTFigureBold"/>
              <w:spacing w:line="276" w:lineRule="auto"/>
              <w:rPr>
                <w:rFonts w:ascii="IBM Plex Sans Light" w:hAnsi="IBM Plex Sans Light"/>
                <w:sz w:val="16"/>
                <w:szCs w:val="16"/>
              </w:rPr>
            </w:pPr>
            <w:r>
              <w:rPr>
                <w:rFonts w:ascii="IBM Plex Sans Light" w:hAnsi="IBM Plex Sans Light"/>
                <w:sz w:val="16"/>
                <w:szCs w:val="16"/>
              </w:rPr>
              <w:t>Table 4</w:t>
            </w:r>
          </w:p>
        </w:tc>
        <w:tc>
          <w:tcPr>
            <w:tcW w:w="1134" w:type="dxa"/>
            <w:tcBorders>
              <w:top w:val="single" w:sz="2" w:space="0" w:color="3D7FE0" w:themeColor="accent1"/>
              <w:bottom w:val="single" w:sz="2" w:space="0" w:color="3D7FE0" w:themeColor="accent1"/>
            </w:tcBorders>
            <w:shd w:val="clear" w:color="auto" w:fill="auto"/>
            <w:vAlign w:val="bottom"/>
          </w:tcPr>
          <w:p w14:paraId="10695F59"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187.8</w:t>
            </w:r>
          </w:p>
        </w:tc>
        <w:tc>
          <w:tcPr>
            <w:tcW w:w="1191" w:type="dxa"/>
            <w:tcBorders>
              <w:top w:val="single" w:sz="2" w:space="0" w:color="3D7FE0" w:themeColor="accent1"/>
              <w:bottom w:val="single" w:sz="2" w:space="0" w:color="3D7FE0" w:themeColor="accent1"/>
            </w:tcBorders>
            <w:shd w:val="clear" w:color="auto" w:fill="auto"/>
            <w:vAlign w:val="bottom"/>
          </w:tcPr>
          <w:p w14:paraId="357B8B16"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210.3</w:t>
            </w:r>
          </w:p>
        </w:tc>
      </w:tr>
      <w:tr w:rsidR="006B43AF" w:rsidRPr="00A539C8" w14:paraId="242B5543" w14:textId="77777777" w:rsidTr="004203CD">
        <w:trPr>
          <w:trHeight w:val="20"/>
        </w:trPr>
        <w:tc>
          <w:tcPr>
            <w:tcW w:w="5670" w:type="dxa"/>
            <w:tcBorders>
              <w:top w:val="single" w:sz="2" w:space="0" w:color="3D7FE0" w:themeColor="accent1"/>
            </w:tcBorders>
            <w:shd w:val="clear" w:color="auto" w:fill="auto"/>
            <w:vAlign w:val="center"/>
          </w:tcPr>
          <w:p w14:paraId="3BE86AEB" w14:textId="77777777" w:rsidR="006B43AF" w:rsidRPr="005907D3" w:rsidRDefault="006B43AF" w:rsidP="004203CD">
            <w:pPr>
              <w:pStyle w:val="TablesTTextBold"/>
              <w:spacing w:line="276" w:lineRule="auto"/>
              <w:rPr>
                <w:rFonts w:ascii="IBM Plex Sans Light" w:hAnsi="IBM Plex Sans Light"/>
                <w:sz w:val="18"/>
                <w:szCs w:val="18"/>
              </w:rPr>
            </w:pPr>
          </w:p>
        </w:tc>
        <w:tc>
          <w:tcPr>
            <w:tcW w:w="709" w:type="dxa"/>
            <w:tcBorders>
              <w:top w:val="single" w:sz="2" w:space="0" w:color="3D7FE0" w:themeColor="accent1"/>
            </w:tcBorders>
            <w:shd w:val="clear" w:color="auto" w:fill="auto"/>
            <w:vAlign w:val="bottom"/>
          </w:tcPr>
          <w:p w14:paraId="5E5A7EFA" w14:textId="77777777" w:rsidR="006B43AF" w:rsidRPr="005907D3" w:rsidRDefault="006B43AF" w:rsidP="004203CD">
            <w:pPr>
              <w:pStyle w:val="TablesTTextBold"/>
              <w:spacing w:line="276" w:lineRule="auto"/>
              <w:jc w:val="center"/>
              <w:rPr>
                <w:rFonts w:ascii="IBM Plex Sans Light" w:hAnsi="IBM Plex Sans Light"/>
                <w:b/>
                <w:bCs/>
              </w:rPr>
            </w:pPr>
          </w:p>
        </w:tc>
        <w:tc>
          <w:tcPr>
            <w:tcW w:w="284" w:type="dxa"/>
            <w:tcBorders>
              <w:top w:val="single" w:sz="2" w:space="0" w:color="3D7FE0" w:themeColor="accent1"/>
            </w:tcBorders>
            <w:vAlign w:val="bottom"/>
          </w:tcPr>
          <w:p w14:paraId="50C63335"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934" w:type="dxa"/>
            <w:tcBorders>
              <w:top w:val="single" w:sz="2" w:space="0" w:color="3D7FE0" w:themeColor="accent1"/>
            </w:tcBorders>
            <w:vAlign w:val="center"/>
          </w:tcPr>
          <w:p w14:paraId="5EA751CB" w14:textId="77777777" w:rsidR="006B43AF" w:rsidRPr="005907D3" w:rsidRDefault="006B43AF" w:rsidP="004203CD">
            <w:pPr>
              <w:pStyle w:val="TablesTFigures"/>
              <w:spacing w:line="276" w:lineRule="auto"/>
              <w:rPr>
                <w:rFonts w:ascii="IBM Plex Sans Light" w:hAnsi="IBM Plex Sans Light"/>
                <w:sz w:val="16"/>
                <w:szCs w:val="16"/>
                <w:highlight w:val="yellow"/>
              </w:rPr>
            </w:pPr>
          </w:p>
        </w:tc>
        <w:tc>
          <w:tcPr>
            <w:tcW w:w="1134" w:type="dxa"/>
            <w:tcBorders>
              <w:top w:val="single" w:sz="2" w:space="0" w:color="3D7FE0" w:themeColor="accent1"/>
            </w:tcBorders>
            <w:shd w:val="clear" w:color="auto" w:fill="auto"/>
            <w:vAlign w:val="bottom"/>
          </w:tcPr>
          <w:p w14:paraId="53F9B4E8"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p>
        </w:tc>
        <w:tc>
          <w:tcPr>
            <w:tcW w:w="1191" w:type="dxa"/>
            <w:tcBorders>
              <w:top w:val="single" w:sz="2" w:space="0" w:color="3D7FE0" w:themeColor="accent1"/>
            </w:tcBorders>
            <w:shd w:val="clear" w:color="auto" w:fill="auto"/>
            <w:vAlign w:val="bottom"/>
          </w:tcPr>
          <w:p w14:paraId="2D9E1228" w14:textId="77777777" w:rsidR="006B43AF" w:rsidRPr="005907D3" w:rsidRDefault="006B43AF" w:rsidP="004203CD">
            <w:pPr>
              <w:pStyle w:val="TablesTFigures"/>
              <w:spacing w:line="240" w:lineRule="exact"/>
              <w:rPr>
                <w:rFonts w:ascii="IBM Plex Sans Light" w:hAnsi="IBM Plex Sans Light"/>
                <w:sz w:val="18"/>
                <w:szCs w:val="18"/>
              </w:rPr>
            </w:pPr>
          </w:p>
        </w:tc>
      </w:tr>
      <w:tr w:rsidR="006B43AF" w:rsidRPr="00A539C8" w14:paraId="4BA63A87" w14:textId="77777777" w:rsidTr="004203CD">
        <w:trPr>
          <w:trHeight w:val="20"/>
        </w:trPr>
        <w:tc>
          <w:tcPr>
            <w:tcW w:w="5670" w:type="dxa"/>
            <w:tcBorders>
              <w:bottom w:val="single" w:sz="8" w:space="0" w:color="3D7FE0" w:themeColor="accent1"/>
            </w:tcBorders>
            <w:shd w:val="clear" w:color="auto" w:fill="auto"/>
            <w:vAlign w:val="center"/>
          </w:tcPr>
          <w:p w14:paraId="2D729ED1" w14:textId="77777777" w:rsidR="006B43AF" w:rsidRPr="005907D3" w:rsidRDefault="006B43AF" w:rsidP="004203CD">
            <w:pPr>
              <w:pStyle w:val="TablesTText"/>
              <w:spacing w:line="276" w:lineRule="auto"/>
              <w:rPr>
                <w:rFonts w:ascii="IBM Plex Sans Light" w:hAnsi="IBM Plex Sans Light"/>
                <w:b/>
                <w:sz w:val="18"/>
                <w:szCs w:val="18"/>
              </w:rPr>
            </w:pPr>
            <w:r>
              <w:rPr>
                <w:rFonts w:ascii="IBM Plex Sans Light" w:hAnsi="IBM Plex Sans Light"/>
                <w:b/>
                <w:sz w:val="18"/>
                <w:szCs w:val="18"/>
              </w:rPr>
              <w:t>N</w:t>
            </w:r>
            <w:r w:rsidRPr="005907D3">
              <w:rPr>
                <w:rFonts w:ascii="IBM Plex Sans Light" w:hAnsi="IBM Plex Sans Light"/>
                <w:b/>
                <w:sz w:val="18"/>
                <w:szCs w:val="18"/>
              </w:rPr>
              <w:t xml:space="preserve">et initial yield </w:t>
            </w:r>
          </w:p>
        </w:tc>
        <w:tc>
          <w:tcPr>
            <w:tcW w:w="709" w:type="dxa"/>
            <w:tcBorders>
              <w:bottom w:val="single" w:sz="8" w:space="0" w:color="3D7FE0" w:themeColor="accent1"/>
            </w:tcBorders>
            <w:shd w:val="clear" w:color="auto" w:fill="auto"/>
            <w:vAlign w:val="bottom"/>
          </w:tcPr>
          <w:p w14:paraId="2143899A" w14:textId="77777777" w:rsidR="006B43AF" w:rsidRPr="005907D3" w:rsidRDefault="006B43AF" w:rsidP="004203CD">
            <w:pPr>
              <w:pStyle w:val="TablesTText"/>
              <w:spacing w:line="276" w:lineRule="auto"/>
              <w:jc w:val="center"/>
              <w:rPr>
                <w:rFonts w:ascii="IBM Plex Sans Light" w:hAnsi="IBM Plex Sans Light"/>
                <w:b/>
                <w:bCs/>
              </w:rPr>
            </w:pPr>
            <w:r w:rsidRPr="005907D3">
              <w:rPr>
                <w:rFonts w:ascii="IBM Plex Sans Light" w:hAnsi="IBM Plex Sans Light"/>
                <w:b/>
                <w:bCs/>
              </w:rPr>
              <w:t>B/A</w:t>
            </w:r>
          </w:p>
        </w:tc>
        <w:tc>
          <w:tcPr>
            <w:tcW w:w="284" w:type="dxa"/>
            <w:tcBorders>
              <w:bottom w:val="single" w:sz="8" w:space="0" w:color="3D7FE0" w:themeColor="accent1"/>
            </w:tcBorders>
            <w:vAlign w:val="bottom"/>
          </w:tcPr>
          <w:p w14:paraId="37028BF9" w14:textId="77777777" w:rsidR="006B43AF" w:rsidRPr="005907D3" w:rsidRDefault="006B43AF" w:rsidP="004203CD">
            <w:pPr>
              <w:pStyle w:val="TablesTFigureBold"/>
              <w:spacing w:line="276" w:lineRule="auto"/>
              <w:rPr>
                <w:rFonts w:ascii="IBM Plex Sans Light" w:hAnsi="IBM Plex Sans Light"/>
                <w:sz w:val="12"/>
                <w:szCs w:val="12"/>
                <w:highlight w:val="yellow"/>
              </w:rPr>
            </w:pPr>
          </w:p>
        </w:tc>
        <w:tc>
          <w:tcPr>
            <w:tcW w:w="934" w:type="dxa"/>
            <w:tcBorders>
              <w:bottom w:val="single" w:sz="8" w:space="0" w:color="3D7FE0" w:themeColor="accent1"/>
            </w:tcBorders>
            <w:vAlign w:val="center"/>
          </w:tcPr>
          <w:p w14:paraId="77C09DAE" w14:textId="77777777" w:rsidR="006B43AF" w:rsidRPr="005907D3" w:rsidRDefault="006B43AF" w:rsidP="004203CD">
            <w:pPr>
              <w:pStyle w:val="TablesTFigureBold"/>
              <w:spacing w:line="276" w:lineRule="auto"/>
              <w:rPr>
                <w:rFonts w:ascii="IBM Plex Sans Light" w:hAnsi="IBM Plex Sans Light"/>
                <w:sz w:val="12"/>
                <w:szCs w:val="12"/>
                <w:highlight w:val="yellow"/>
              </w:rPr>
            </w:pPr>
          </w:p>
        </w:tc>
        <w:tc>
          <w:tcPr>
            <w:tcW w:w="1134" w:type="dxa"/>
            <w:tcBorders>
              <w:bottom w:val="single" w:sz="8" w:space="0" w:color="3D7FE0" w:themeColor="accent1"/>
            </w:tcBorders>
            <w:shd w:val="clear" w:color="auto" w:fill="auto"/>
            <w:vAlign w:val="bottom"/>
          </w:tcPr>
          <w:p w14:paraId="336E0E54"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5.9%</w:t>
            </w:r>
          </w:p>
        </w:tc>
        <w:tc>
          <w:tcPr>
            <w:tcW w:w="1191" w:type="dxa"/>
            <w:tcBorders>
              <w:bottom w:val="single" w:sz="8" w:space="0" w:color="3D7FE0" w:themeColor="accent1"/>
            </w:tcBorders>
            <w:shd w:val="clear" w:color="auto" w:fill="auto"/>
            <w:vAlign w:val="bottom"/>
          </w:tcPr>
          <w:p w14:paraId="20287892"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5.8%</w:t>
            </w:r>
          </w:p>
        </w:tc>
      </w:tr>
      <w:tr w:rsidR="006B43AF" w:rsidRPr="00A539C8" w14:paraId="6D4EB4A2" w14:textId="77777777" w:rsidTr="004203CD">
        <w:trPr>
          <w:trHeight w:val="20"/>
        </w:trPr>
        <w:tc>
          <w:tcPr>
            <w:tcW w:w="5670" w:type="dxa"/>
            <w:tcBorders>
              <w:top w:val="single" w:sz="8" w:space="0" w:color="3D7FE0" w:themeColor="accent1"/>
              <w:bottom w:val="single" w:sz="8" w:space="0" w:color="3D7FE0" w:themeColor="accent1"/>
            </w:tcBorders>
            <w:shd w:val="clear" w:color="auto" w:fill="auto"/>
            <w:vAlign w:val="center"/>
          </w:tcPr>
          <w:p w14:paraId="43201D71" w14:textId="77777777" w:rsidR="006B43AF" w:rsidRPr="005907D3" w:rsidRDefault="006B43AF" w:rsidP="004203CD">
            <w:pPr>
              <w:pStyle w:val="TablesTText"/>
              <w:spacing w:line="276" w:lineRule="auto"/>
              <w:rPr>
                <w:rFonts w:ascii="IBM Plex Sans Light" w:hAnsi="IBM Plex Sans Light"/>
                <w:b/>
                <w:sz w:val="18"/>
                <w:szCs w:val="18"/>
              </w:rPr>
            </w:pPr>
            <w:r w:rsidRPr="005907D3">
              <w:rPr>
                <w:rFonts w:ascii="IBM Plex Sans Light" w:hAnsi="IBM Plex Sans Light"/>
                <w:b/>
                <w:sz w:val="18"/>
                <w:szCs w:val="18"/>
              </w:rPr>
              <w:t>‘</w:t>
            </w:r>
            <w:r>
              <w:rPr>
                <w:rFonts w:ascii="IBM Plex Sans Light" w:hAnsi="IBM Plex Sans Light"/>
                <w:b/>
                <w:sz w:val="18"/>
                <w:szCs w:val="18"/>
              </w:rPr>
              <w:t>T</w:t>
            </w:r>
            <w:r w:rsidRPr="005907D3">
              <w:rPr>
                <w:rFonts w:ascii="IBM Plex Sans Light" w:hAnsi="IBM Plex Sans Light"/>
                <w:b/>
                <w:sz w:val="18"/>
                <w:szCs w:val="18"/>
              </w:rPr>
              <w:t>opped-up’ net initial yield</w:t>
            </w:r>
          </w:p>
        </w:tc>
        <w:tc>
          <w:tcPr>
            <w:tcW w:w="709" w:type="dxa"/>
            <w:tcBorders>
              <w:top w:val="single" w:sz="8" w:space="0" w:color="3D7FE0" w:themeColor="accent1"/>
              <w:bottom w:val="single" w:sz="8" w:space="0" w:color="3D7FE0" w:themeColor="accent1"/>
            </w:tcBorders>
            <w:shd w:val="clear" w:color="auto" w:fill="auto"/>
            <w:vAlign w:val="bottom"/>
          </w:tcPr>
          <w:p w14:paraId="42164E12" w14:textId="77777777" w:rsidR="006B43AF" w:rsidRPr="005907D3" w:rsidRDefault="006B43AF" w:rsidP="004203CD">
            <w:pPr>
              <w:pStyle w:val="TablesTText"/>
              <w:spacing w:line="276" w:lineRule="auto"/>
              <w:jc w:val="center"/>
              <w:rPr>
                <w:rFonts w:ascii="IBM Plex Sans Light" w:hAnsi="IBM Plex Sans Light"/>
                <w:b/>
                <w:bCs/>
              </w:rPr>
            </w:pPr>
            <w:r w:rsidRPr="005907D3">
              <w:rPr>
                <w:rFonts w:ascii="IBM Plex Sans Light" w:hAnsi="IBM Plex Sans Light"/>
                <w:b/>
                <w:bCs/>
              </w:rPr>
              <w:t>C/A</w:t>
            </w:r>
          </w:p>
        </w:tc>
        <w:tc>
          <w:tcPr>
            <w:tcW w:w="284" w:type="dxa"/>
            <w:tcBorders>
              <w:top w:val="single" w:sz="8" w:space="0" w:color="3D7FE0" w:themeColor="accent1"/>
              <w:bottom w:val="single" w:sz="8" w:space="0" w:color="3D7FE0" w:themeColor="accent1"/>
            </w:tcBorders>
            <w:vAlign w:val="bottom"/>
          </w:tcPr>
          <w:p w14:paraId="6CBDD018" w14:textId="77777777" w:rsidR="006B43AF" w:rsidRPr="005907D3" w:rsidRDefault="006B43AF" w:rsidP="004203CD">
            <w:pPr>
              <w:pStyle w:val="TablesTFigureBold"/>
              <w:spacing w:line="276" w:lineRule="auto"/>
              <w:rPr>
                <w:rFonts w:ascii="IBM Plex Sans Light" w:hAnsi="IBM Plex Sans Light"/>
                <w:highlight w:val="yellow"/>
              </w:rPr>
            </w:pPr>
          </w:p>
        </w:tc>
        <w:tc>
          <w:tcPr>
            <w:tcW w:w="934" w:type="dxa"/>
            <w:tcBorders>
              <w:top w:val="single" w:sz="8" w:space="0" w:color="3D7FE0" w:themeColor="accent1"/>
              <w:bottom w:val="single" w:sz="8" w:space="0" w:color="3D7FE0" w:themeColor="accent1"/>
            </w:tcBorders>
            <w:vAlign w:val="center"/>
          </w:tcPr>
          <w:p w14:paraId="48E51477" w14:textId="77777777" w:rsidR="006B43AF" w:rsidRPr="005907D3" w:rsidRDefault="006B43AF" w:rsidP="004203CD">
            <w:pPr>
              <w:pStyle w:val="TablesTFigureBold"/>
              <w:spacing w:line="276" w:lineRule="auto"/>
              <w:rPr>
                <w:rFonts w:ascii="IBM Plex Sans Light" w:hAnsi="IBM Plex Sans Light"/>
                <w:highlight w:val="yellow"/>
              </w:rPr>
            </w:pPr>
          </w:p>
        </w:tc>
        <w:tc>
          <w:tcPr>
            <w:tcW w:w="1134" w:type="dxa"/>
            <w:tcBorders>
              <w:top w:val="single" w:sz="8" w:space="0" w:color="3D7FE0" w:themeColor="accent1"/>
              <w:bottom w:val="single" w:sz="8" w:space="0" w:color="3D7FE0" w:themeColor="accent1"/>
            </w:tcBorders>
            <w:shd w:val="clear" w:color="auto" w:fill="auto"/>
            <w:vAlign w:val="bottom"/>
          </w:tcPr>
          <w:p w14:paraId="174EFADD" w14:textId="77777777" w:rsidR="006B43AF" w:rsidRPr="00A539C8" w:rsidRDefault="006B43AF" w:rsidP="004203CD">
            <w:pPr>
              <w:pStyle w:val="TablesTFigures"/>
              <w:spacing w:line="276" w:lineRule="auto"/>
              <w:rPr>
                <w:rFonts w:ascii="IBM Plex Sans Medium" w:hAnsi="IBM Plex Sans Medium"/>
                <w:b/>
                <w:bCs/>
                <w:color w:val="3D7FE0" w:themeColor="accent1"/>
                <w:sz w:val="18"/>
                <w:szCs w:val="18"/>
              </w:rPr>
            </w:pPr>
            <w:r w:rsidRPr="00A539C8">
              <w:rPr>
                <w:rFonts w:ascii="IBM Plex Sans Medium" w:hAnsi="IBM Plex Sans Medium"/>
                <w:b/>
                <w:bCs/>
                <w:color w:val="3D7FE0" w:themeColor="accent1"/>
                <w:sz w:val="18"/>
                <w:szCs w:val="18"/>
              </w:rPr>
              <w:t>6.3%</w:t>
            </w:r>
          </w:p>
        </w:tc>
        <w:tc>
          <w:tcPr>
            <w:tcW w:w="1191" w:type="dxa"/>
            <w:tcBorders>
              <w:top w:val="single" w:sz="8" w:space="0" w:color="3D7FE0" w:themeColor="accent1"/>
              <w:bottom w:val="single" w:sz="8" w:space="0" w:color="3D7FE0" w:themeColor="accent1"/>
            </w:tcBorders>
            <w:shd w:val="clear" w:color="auto" w:fill="auto"/>
            <w:vAlign w:val="bottom"/>
          </w:tcPr>
          <w:p w14:paraId="4BFABDC3" w14:textId="77777777" w:rsidR="006B43AF" w:rsidRPr="00A539C8" w:rsidRDefault="006B43AF" w:rsidP="004203CD">
            <w:pPr>
              <w:pStyle w:val="TablesTFigures"/>
              <w:spacing w:line="240" w:lineRule="exact"/>
              <w:rPr>
                <w:rFonts w:ascii="IBM Plex Sans Light" w:hAnsi="IBM Plex Sans Light"/>
                <w:sz w:val="18"/>
                <w:szCs w:val="18"/>
              </w:rPr>
            </w:pPr>
            <w:r w:rsidRPr="00A539C8">
              <w:rPr>
                <w:rFonts w:ascii="IBM Plex Sans Light" w:hAnsi="IBM Plex Sans Light"/>
                <w:sz w:val="18"/>
                <w:szCs w:val="18"/>
              </w:rPr>
              <w:t>6.0%</w:t>
            </w:r>
          </w:p>
        </w:tc>
      </w:tr>
    </w:tbl>
    <w:p w14:paraId="7F74A009" w14:textId="77777777" w:rsidR="006B43AF" w:rsidRPr="003A37F2" w:rsidRDefault="006B43AF" w:rsidP="006B43AF">
      <w:pPr>
        <w:pStyle w:val="Footnotes"/>
        <w:numPr>
          <w:ilvl w:val="1"/>
          <w:numId w:val="37"/>
        </w:numPr>
        <w:spacing w:before="120" w:after="0" w:line="240" w:lineRule="auto"/>
        <w:ind w:left="284" w:hanging="284"/>
        <w:rPr>
          <w:rFonts w:ascii="IBM Plex Sans Light" w:hAnsi="IBM Plex Sans Light"/>
          <w:sz w:val="16"/>
          <w:szCs w:val="22"/>
        </w:rPr>
      </w:pPr>
      <w:r>
        <w:rPr>
          <w:rFonts w:ascii="IBM Plex Sans Light" w:hAnsi="IBM Plex Sans Light"/>
          <w:sz w:val="16"/>
          <w:szCs w:val="22"/>
        </w:rPr>
        <w:t>31 December 2022 figure included 100% of Italik, 75% of which is part of trading properties. The Group’s 100% interest was sold in March 2023.</w:t>
      </w:r>
    </w:p>
    <w:p w14:paraId="382C7CC5" w14:textId="77777777" w:rsidR="006B43AF" w:rsidRPr="003A37F2" w:rsidRDefault="006B43AF" w:rsidP="006B43AF">
      <w:pPr>
        <w:pStyle w:val="Footnotes"/>
        <w:numPr>
          <w:ilvl w:val="1"/>
          <w:numId w:val="37"/>
        </w:numPr>
        <w:spacing w:before="120" w:after="0" w:line="240" w:lineRule="auto"/>
        <w:ind w:left="284" w:hanging="284"/>
        <w:rPr>
          <w:rFonts w:ascii="IBM Plex Sans Light" w:hAnsi="IBM Plex Sans Light"/>
          <w:sz w:val="16"/>
          <w:szCs w:val="22"/>
        </w:rPr>
      </w:pPr>
      <w:r w:rsidRPr="003A37F2">
        <w:rPr>
          <w:rFonts w:ascii="IBM Plex Sans Light" w:hAnsi="IBM Plex Sans Light"/>
          <w:sz w:val="16"/>
          <w:szCs w:val="22"/>
        </w:rPr>
        <w:tab/>
      </w:r>
      <w:r>
        <w:rPr>
          <w:rFonts w:ascii="IBM Plex Sans Light" w:hAnsi="IBM Plex Sans Light"/>
          <w:sz w:val="16"/>
          <w:szCs w:val="22"/>
        </w:rPr>
        <w:t>Included within the Developments and other portfolio.</w:t>
      </w:r>
    </w:p>
    <w:p w14:paraId="1DBB6304" w14:textId="77777777" w:rsidR="006B43AF" w:rsidRDefault="006B43AF" w:rsidP="006B43AF">
      <w:pPr>
        <w:pStyle w:val="Footnotes"/>
        <w:numPr>
          <w:ilvl w:val="1"/>
          <w:numId w:val="37"/>
        </w:numPr>
        <w:spacing w:before="120" w:after="0" w:line="240" w:lineRule="auto"/>
        <w:ind w:left="284" w:hanging="284"/>
        <w:rPr>
          <w:rFonts w:ascii="IBM Plex Sans Light" w:hAnsi="IBM Plex Sans Light"/>
          <w:sz w:val="16"/>
          <w:szCs w:val="22"/>
        </w:rPr>
      </w:pPr>
      <w:r>
        <w:rPr>
          <w:rFonts w:ascii="IBM Plex Sans Light" w:hAnsi="IBM Plex Sans Light"/>
          <w:sz w:val="16"/>
          <w:szCs w:val="22"/>
        </w:rPr>
        <w:t>Purchasers’ costs equate to 6.7% (2022: 6.7%) of the value of the completed investment portfolio.</w:t>
      </w:r>
    </w:p>
    <w:p w14:paraId="38D254F0" w14:textId="77777777" w:rsidR="006B43AF" w:rsidRDefault="006B43AF" w:rsidP="006B43AF">
      <w:pPr>
        <w:pStyle w:val="Footnotes"/>
        <w:numPr>
          <w:ilvl w:val="1"/>
          <w:numId w:val="37"/>
        </w:numPr>
        <w:spacing w:before="120" w:after="0" w:line="240" w:lineRule="auto"/>
        <w:ind w:left="284" w:hanging="284"/>
        <w:rPr>
          <w:rFonts w:ascii="IBM Plex Sans Light" w:hAnsi="IBM Plex Sans Light"/>
          <w:sz w:val="16"/>
          <w:szCs w:val="22"/>
        </w:rPr>
      </w:pPr>
      <w:r>
        <w:rPr>
          <w:rFonts w:ascii="IBM Plex Sans Light" w:hAnsi="IBM Plex Sans Light"/>
          <w:sz w:val="16"/>
          <w:szCs w:val="22"/>
        </w:rPr>
        <w:t>Weighted average remaining rent-free period is 0.5 years (2022: 0.7 years).</w:t>
      </w:r>
    </w:p>
    <w:p w14:paraId="781155C6" w14:textId="77777777" w:rsidR="006B43AF" w:rsidRPr="005907D3" w:rsidRDefault="006B43AF" w:rsidP="006B43AF">
      <w:pPr>
        <w:pStyle w:val="Footnotes"/>
        <w:rPr>
          <w:rFonts w:ascii="IBM Plex Sans Light" w:hAnsi="IBM Plex Sans Light"/>
          <w:sz w:val="16"/>
          <w:szCs w:val="22"/>
        </w:rPr>
      </w:pPr>
    </w:p>
    <w:p w14:paraId="4C147DEC"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Capital expenditure</w:t>
      </w:r>
    </w:p>
    <w:p w14:paraId="492F9D47" w14:textId="77777777" w:rsidR="006B43AF" w:rsidRPr="00280504" w:rsidRDefault="006B43AF" w:rsidP="006B43AF">
      <w:pPr>
        <w:rPr>
          <w:rFonts w:ascii="IBM Plex Sans Light" w:hAnsi="IBM Plex Sans Light"/>
          <w:b/>
        </w:rPr>
      </w:pPr>
      <w:r w:rsidRPr="00280504">
        <w:rPr>
          <w:rFonts w:ascii="IBM Plex Sans Light" w:hAnsi="IBM Plex Sans Light"/>
          <w:b/>
        </w:rPr>
        <w:t>Table 11</w:t>
      </w:r>
    </w:p>
    <w:tbl>
      <w:tblPr>
        <w:tblW w:w="9950" w:type="dxa"/>
        <w:tblLayout w:type="fixed"/>
        <w:tblCellMar>
          <w:left w:w="0" w:type="dxa"/>
          <w:right w:w="0" w:type="dxa"/>
        </w:tblCellMar>
        <w:tblLook w:val="04A0" w:firstRow="1" w:lastRow="0" w:firstColumn="1" w:lastColumn="0" w:noHBand="0" w:noVBand="1"/>
      </w:tblPr>
      <w:tblGrid>
        <w:gridCol w:w="3686"/>
        <w:gridCol w:w="425"/>
        <w:gridCol w:w="452"/>
        <w:gridCol w:w="851"/>
        <w:gridCol w:w="850"/>
        <w:gridCol w:w="993"/>
        <w:gridCol w:w="850"/>
        <w:gridCol w:w="851"/>
        <w:gridCol w:w="992"/>
      </w:tblGrid>
      <w:tr w:rsidR="006B43AF" w:rsidRPr="005907D3" w14:paraId="6CBF1FCD" w14:textId="77777777" w:rsidTr="004203CD">
        <w:trPr>
          <w:trHeight w:val="20"/>
        </w:trPr>
        <w:tc>
          <w:tcPr>
            <w:tcW w:w="3686" w:type="dxa"/>
            <w:tcBorders>
              <w:bottom w:val="single" w:sz="2" w:space="0" w:color="3D7FE0" w:themeColor="accent1"/>
            </w:tcBorders>
            <w:shd w:val="clear" w:color="auto" w:fill="auto"/>
            <w:vAlign w:val="bottom"/>
          </w:tcPr>
          <w:p w14:paraId="42B17EC4" w14:textId="77777777" w:rsidR="006B43AF" w:rsidRPr="005907D3" w:rsidRDefault="006B43AF" w:rsidP="004203CD">
            <w:pPr>
              <w:pStyle w:val="TablesTColHeadsLeft"/>
              <w:rPr>
                <w:rFonts w:ascii="IBM Plex Sans Light" w:hAnsi="IBM Plex Sans Light"/>
                <w:highlight w:val="yellow"/>
              </w:rPr>
            </w:pPr>
          </w:p>
        </w:tc>
        <w:tc>
          <w:tcPr>
            <w:tcW w:w="425" w:type="dxa"/>
            <w:tcBorders>
              <w:bottom w:val="single" w:sz="2" w:space="0" w:color="3D7FE0" w:themeColor="accent1"/>
            </w:tcBorders>
            <w:shd w:val="clear" w:color="auto" w:fill="auto"/>
            <w:vAlign w:val="bottom"/>
          </w:tcPr>
          <w:p w14:paraId="2E58F41B" w14:textId="77777777" w:rsidR="006B43AF" w:rsidRPr="005907D3" w:rsidRDefault="006B43AF" w:rsidP="004203CD">
            <w:pPr>
              <w:pStyle w:val="TablesTColHeadsLeft"/>
              <w:rPr>
                <w:rFonts w:ascii="IBM Plex Sans Light" w:hAnsi="IBM Plex Sans Light"/>
                <w:highlight w:val="yellow"/>
              </w:rPr>
            </w:pPr>
          </w:p>
        </w:tc>
        <w:tc>
          <w:tcPr>
            <w:tcW w:w="452" w:type="dxa"/>
            <w:tcBorders>
              <w:bottom w:val="single" w:sz="2" w:space="0" w:color="3D7FE0" w:themeColor="accent1"/>
            </w:tcBorders>
            <w:shd w:val="clear" w:color="auto" w:fill="auto"/>
            <w:vAlign w:val="bottom"/>
          </w:tcPr>
          <w:p w14:paraId="25996D8D" w14:textId="77777777" w:rsidR="006B43AF" w:rsidRPr="005907D3" w:rsidRDefault="006B43AF" w:rsidP="004203CD">
            <w:pPr>
              <w:pStyle w:val="TablesTColHeadsLeft"/>
              <w:rPr>
                <w:rFonts w:ascii="IBM Plex Sans Light" w:hAnsi="IBM Plex Sans Light"/>
                <w:highlight w:val="yellow"/>
              </w:rPr>
            </w:pPr>
          </w:p>
        </w:tc>
        <w:tc>
          <w:tcPr>
            <w:tcW w:w="2694" w:type="dxa"/>
            <w:gridSpan w:val="3"/>
            <w:tcBorders>
              <w:bottom w:val="single" w:sz="2" w:space="0" w:color="3D7FE0" w:themeColor="accent1"/>
            </w:tcBorders>
            <w:shd w:val="clear" w:color="auto" w:fill="auto"/>
            <w:vAlign w:val="bottom"/>
          </w:tcPr>
          <w:p w14:paraId="0A0C877A"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202</w:t>
            </w:r>
            <w:r>
              <w:rPr>
                <w:rFonts w:ascii="IBM Plex Sans Light" w:hAnsi="IBM Plex Sans Light"/>
                <w:color w:val="3D7FE0" w:themeColor="accent1"/>
                <w:sz w:val="14"/>
                <w:szCs w:val="14"/>
              </w:rPr>
              <w:t>3</w:t>
            </w:r>
          </w:p>
        </w:tc>
        <w:tc>
          <w:tcPr>
            <w:tcW w:w="2693" w:type="dxa"/>
            <w:gridSpan w:val="3"/>
            <w:tcBorders>
              <w:bottom w:val="single" w:sz="2" w:space="0" w:color="3D7FE0" w:themeColor="accent1"/>
            </w:tcBorders>
            <w:shd w:val="clear" w:color="auto" w:fill="auto"/>
            <w:vAlign w:val="bottom"/>
          </w:tcPr>
          <w:p w14:paraId="1DB61137"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202</w:t>
            </w:r>
            <w:r>
              <w:rPr>
                <w:rFonts w:ascii="IBM Plex Sans Light" w:hAnsi="IBM Plex Sans Light"/>
                <w:sz w:val="14"/>
                <w:szCs w:val="14"/>
              </w:rPr>
              <w:t>2</w:t>
            </w:r>
          </w:p>
        </w:tc>
      </w:tr>
      <w:tr w:rsidR="006B43AF" w:rsidRPr="005907D3" w14:paraId="2613C6DC" w14:textId="77777777" w:rsidTr="004203CD">
        <w:trPr>
          <w:trHeight w:val="20"/>
        </w:trPr>
        <w:tc>
          <w:tcPr>
            <w:tcW w:w="3686" w:type="dxa"/>
            <w:tcBorders>
              <w:top w:val="single" w:sz="2" w:space="0" w:color="3D7FE0" w:themeColor="accent1"/>
              <w:bottom w:val="single" w:sz="2" w:space="0" w:color="3D7FE0" w:themeColor="accent1"/>
            </w:tcBorders>
            <w:shd w:val="clear" w:color="auto" w:fill="auto"/>
            <w:vAlign w:val="bottom"/>
          </w:tcPr>
          <w:p w14:paraId="7B33FDD8" w14:textId="77777777" w:rsidR="006B43AF" w:rsidRPr="005907D3" w:rsidRDefault="006B43AF" w:rsidP="004203CD">
            <w:pPr>
              <w:pStyle w:val="TablesTColHeadsLeft"/>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 xml:space="preserve">Proportionally consolidated </w:t>
            </w:r>
          </w:p>
        </w:tc>
        <w:tc>
          <w:tcPr>
            <w:tcW w:w="425" w:type="dxa"/>
            <w:tcBorders>
              <w:top w:val="single" w:sz="2" w:space="0" w:color="3D7FE0" w:themeColor="accent1"/>
              <w:bottom w:val="single" w:sz="2" w:space="0" w:color="3D7FE0" w:themeColor="accent1"/>
            </w:tcBorders>
            <w:shd w:val="clear" w:color="auto" w:fill="auto"/>
            <w:vAlign w:val="bottom"/>
          </w:tcPr>
          <w:p w14:paraId="149E49C6" w14:textId="77777777" w:rsidR="006B43AF" w:rsidRPr="005907D3" w:rsidRDefault="006B43AF" w:rsidP="004203CD">
            <w:pPr>
              <w:pStyle w:val="TablesTColHeadsLeft"/>
              <w:rPr>
                <w:rFonts w:ascii="IBM Plex Sans Light" w:hAnsi="IBM Plex Sans Light"/>
                <w:b/>
                <w:bCs/>
                <w:color w:val="3D7FE0" w:themeColor="accent1"/>
                <w:sz w:val="14"/>
                <w:szCs w:val="24"/>
              </w:rPr>
            </w:pPr>
          </w:p>
        </w:tc>
        <w:tc>
          <w:tcPr>
            <w:tcW w:w="452" w:type="dxa"/>
            <w:tcBorders>
              <w:top w:val="single" w:sz="2" w:space="0" w:color="3D7FE0" w:themeColor="accent1"/>
              <w:bottom w:val="single" w:sz="2" w:space="0" w:color="3D7FE0" w:themeColor="accent1"/>
            </w:tcBorders>
            <w:shd w:val="clear" w:color="auto" w:fill="auto"/>
            <w:vAlign w:val="bottom"/>
          </w:tcPr>
          <w:p w14:paraId="1780DF9D" w14:textId="77777777" w:rsidR="006B43AF" w:rsidRPr="005907D3" w:rsidRDefault="006B43AF" w:rsidP="004203CD">
            <w:pPr>
              <w:pStyle w:val="TablesTColHeadsLeft"/>
              <w:jc w:val="center"/>
              <w:rPr>
                <w:rFonts w:ascii="IBM Plex Sans Light" w:hAnsi="IBM Plex Sans Light"/>
                <w:b/>
                <w:bCs/>
              </w:rPr>
            </w:pPr>
            <w:r w:rsidRPr="005907D3">
              <w:rPr>
                <w:rFonts w:ascii="IBM Plex Sans Light" w:hAnsi="IBM Plex Sans Light"/>
                <w:b/>
                <w:bCs/>
                <w:sz w:val="14"/>
                <w:szCs w:val="24"/>
              </w:rPr>
              <w:t>Note</w:t>
            </w:r>
          </w:p>
        </w:tc>
        <w:tc>
          <w:tcPr>
            <w:tcW w:w="851" w:type="dxa"/>
            <w:tcBorders>
              <w:top w:val="single" w:sz="2" w:space="0" w:color="3D7FE0" w:themeColor="accent1"/>
              <w:bottom w:val="single" w:sz="2" w:space="0" w:color="3D7FE0" w:themeColor="accent1"/>
            </w:tcBorders>
            <w:shd w:val="clear" w:color="auto" w:fill="auto"/>
            <w:vAlign w:val="bottom"/>
          </w:tcPr>
          <w:p w14:paraId="460F43BB"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Reported</w:t>
            </w:r>
            <w:r w:rsidRPr="005907D3">
              <w:rPr>
                <w:rFonts w:ascii="IBM Plex Sans Light" w:hAnsi="IBM Plex Sans Light"/>
                <w:color w:val="3D7FE0" w:themeColor="accent1"/>
                <w:sz w:val="14"/>
                <w:szCs w:val="14"/>
              </w:rPr>
              <w:br/>
              <w:t>Group</w:t>
            </w:r>
            <w:r w:rsidRPr="005907D3">
              <w:rPr>
                <w:rFonts w:ascii="IBM Plex Sans Light" w:hAnsi="IBM Plex Sans Light"/>
                <w:color w:val="3D7FE0" w:themeColor="accent1"/>
                <w:sz w:val="14"/>
                <w:szCs w:val="14"/>
              </w:rPr>
              <w:br/>
              <w:t>£m</w:t>
            </w:r>
          </w:p>
        </w:tc>
        <w:tc>
          <w:tcPr>
            <w:tcW w:w="850" w:type="dxa"/>
            <w:tcBorders>
              <w:top w:val="single" w:sz="2" w:space="0" w:color="3D7FE0" w:themeColor="accent1"/>
              <w:bottom w:val="single" w:sz="2" w:space="0" w:color="3D7FE0" w:themeColor="accent1"/>
            </w:tcBorders>
            <w:shd w:val="clear" w:color="auto" w:fill="auto"/>
            <w:vAlign w:val="bottom"/>
          </w:tcPr>
          <w:p w14:paraId="52A63187"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Share of</w:t>
            </w:r>
            <w:r w:rsidRPr="005907D3">
              <w:rPr>
                <w:rFonts w:ascii="IBM Plex Sans Light" w:hAnsi="IBM Plex Sans Light"/>
                <w:color w:val="3D7FE0" w:themeColor="accent1"/>
                <w:sz w:val="14"/>
                <w:szCs w:val="14"/>
              </w:rPr>
              <w:br/>
              <w:t>Property</w:t>
            </w:r>
            <w:r w:rsidRPr="005907D3">
              <w:rPr>
                <w:rFonts w:ascii="IBM Plex Sans Light" w:hAnsi="IBM Plex Sans Light"/>
                <w:color w:val="3D7FE0" w:themeColor="accent1"/>
                <w:sz w:val="14"/>
                <w:szCs w:val="14"/>
              </w:rPr>
              <w:br/>
              <w:t>interests</w:t>
            </w:r>
            <w:r w:rsidRPr="005907D3">
              <w:rPr>
                <w:rFonts w:ascii="IBM Plex Sans Light" w:hAnsi="IBM Plex Sans Light"/>
                <w:color w:val="3D7FE0" w:themeColor="accent1"/>
                <w:sz w:val="14"/>
                <w:szCs w:val="14"/>
              </w:rPr>
              <w:br/>
              <w:t>£m</w:t>
            </w:r>
          </w:p>
        </w:tc>
        <w:tc>
          <w:tcPr>
            <w:tcW w:w="993" w:type="dxa"/>
            <w:tcBorders>
              <w:top w:val="single" w:sz="2" w:space="0" w:color="3D7FE0" w:themeColor="accent1"/>
              <w:bottom w:val="single" w:sz="2" w:space="0" w:color="3D7FE0" w:themeColor="accent1"/>
            </w:tcBorders>
            <w:shd w:val="clear" w:color="auto" w:fill="auto"/>
            <w:vAlign w:val="bottom"/>
          </w:tcPr>
          <w:p w14:paraId="4CC6E4A7"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Proportionally</w:t>
            </w:r>
            <w:r w:rsidRPr="005907D3">
              <w:rPr>
                <w:rFonts w:ascii="IBM Plex Sans Light" w:hAnsi="IBM Plex Sans Light"/>
                <w:color w:val="3D7FE0" w:themeColor="accent1"/>
                <w:sz w:val="14"/>
                <w:szCs w:val="14"/>
              </w:rPr>
              <w:br/>
              <w:t>consolidated</w:t>
            </w:r>
            <w:r w:rsidRPr="005907D3">
              <w:rPr>
                <w:rFonts w:ascii="IBM Plex Sans Light" w:hAnsi="IBM Plex Sans Light"/>
                <w:color w:val="3D7FE0" w:themeColor="accent1"/>
                <w:sz w:val="14"/>
                <w:szCs w:val="14"/>
              </w:rPr>
              <w:br/>
              <w:t>£m</w:t>
            </w:r>
          </w:p>
        </w:tc>
        <w:tc>
          <w:tcPr>
            <w:tcW w:w="850" w:type="dxa"/>
            <w:tcBorders>
              <w:top w:val="single" w:sz="2" w:space="0" w:color="3D7FE0" w:themeColor="accent1"/>
              <w:bottom w:val="single" w:sz="2" w:space="0" w:color="3D7FE0" w:themeColor="accent1"/>
            </w:tcBorders>
            <w:shd w:val="clear" w:color="auto" w:fill="auto"/>
            <w:vAlign w:val="bottom"/>
          </w:tcPr>
          <w:p w14:paraId="053EC7FE"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Reported</w:t>
            </w:r>
            <w:r w:rsidRPr="005907D3">
              <w:rPr>
                <w:rFonts w:ascii="IBM Plex Sans Light" w:hAnsi="IBM Plex Sans Light"/>
                <w:sz w:val="14"/>
                <w:szCs w:val="14"/>
              </w:rPr>
              <w:br/>
              <w:t>Group</w:t>
            </w:r>
            <w:r w:rsidRPr="005907D3">
              <w:rPr>
                <w:rFonts w:ascii="IBM Plex Sans Light" w:hAnsi="IBM Plex Sans Light"/>
                <w:sz w:val="14"/>
                <w:szCs w:val="14"/>
              </w:rPr>
              <w:br/>
              <w:t>£m</w:t>
            </w:r>
          </w:p>
        </w:tc>
        <w:tc>
          <w:tcPr>
            <w:tcW w:w="851" w:type="dxa"/>
            <w:tcBorders>
              <w:top w:val="single" w:sz="2" w:space="0" w:color="3D7FE0" w:themeColor="accent1"/>
              <w:bottom w:val="single" w:sz="2" w:space="0" w:color="3D7FE0" w:themeColor="accent1"/>
            </w:tcBorders>
            <w:shd w:val="clear" w:color="auto" w:fill="auto"/>
            <w:vAlign w:val="bottom"/>
          </w:tcPr>
          <w:p w14:paraId="548B0F46"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Share of</w:t>
            </w:r>
            <w:r w:rsidRPr="005907D3">
              <w:rPr>
                <w:rFonts w:ascii="IBM Plex Sans Light" w:hAnsi="IBM Plex Sans Light"/>
                <w:sz w:val="14"/>
                <w:szCs w:val="14"/>
              </w:rPr>
              <w:br/>
              <w:t>Property</w:t>
            </w:r>
            <w:r w:rsidRPr="005907D3">
              <w:rPr>
                <w:rFonts w:ascii="IBM Plex Sans Light" w:hAnsi="IBM Plex Sans Light"/>
                <w:sz w:val="14"/>
                <w:szCs w:val="14"/>
              </w:rPr>
              <w:br/>
              <w:t xml:space="preserve"> interests</w:t>
            </w:r>
            <w:r w:rsidRPr="005907D3">
              <w:rPr>
                <w:rFonts w:ascii="IBM Plex Sans Light" w:hAnsi="IBM Plex Sans Light"/>
                <w:sz w:val="14"/>
                <w:szCs w:val="14"/>
              </w:rPr>
              <w:br/>
              <w:t>£m</w:t>
            </w:r>
          </w:p>
        </w:tc>
        <w:tc>
          <w:tcPr>
            <w:tcW w:w="992" w:type="dxa"/>
            <w:tcBorders>
              <w:top w:val="single" w:sz="2" w:space="0" w:color="3D7FE0" w:themeColor="accent1"/>
              <w:bottom w:val="single" w:sz="2" w:space="0" w:color="3D7FE0" w:themeColor="accent1"/>
            </w:tcBorders>
            <w:shd w:val="clear" w:color="auto" w:fill="auto"/>
            <w:vAlign w:val="bottom"/>
          </w:tcPr>
          <w:p w14:paraId="75D5CC83"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Proportionally</w:t>
            </w:r>
            <w:r w:rsidRPr="005907D3">
              <w:rPr>
                <w:rFonts w:ascii="IBM Plex Sans Light" w:hAnsi="IBM Plex Sans Light"/>
                <w:sz w:val="14"/>
                <w:szCs w:val="14"/>
              </w:rPr>
              <w:br/>
              <w:t xml:space="preserve"> consolidated</w:t>
            </w:r>
            <w:r w:rsidRPr="005907D3">
              <w:rPr>
                <w:rFonts w:ascii="IBM Plex Sans Light" w:hAnsi="IBM Plex Sans Light"/>
                <w:sz w:val="14"/>
                <w:szCs w:val="14"/>
              </w:rPr>
              <w:br/>
              <w:t>£m</w:t>
            </w:r>
          </w:p>
        </w:tc>
      </w:tr>
      <w:tr w:rsidR="006B43AF" w:rsidRPr="005907D3" w14:paraId="014BA385" w14:textId="77777777" w:rsidTr="004203CD">
        <w:trPr>
          <w:trHeight w:hRule="exact" w:val="255"/>
        </w:trPr>
        <w:tc>
          <w:tcPr>
            <w:tcW w:w="3686" w:type="dxa"/>
            <w:shd w:val="clear" w:color="auto" w:fill="auto"/>
            <w:vAlign w:val="bottom"/>
          </w:tcPr>
          <w:p w14:paraId="5FC0B6C5"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 xml:space="preserve">Developments </w:t>
            </w:r>
          </w:p>
        </w:tc>
        <w:tc>
          <w:tcPr>
            <w:tcW w:w="425" w:type="dxa"/>
            <w:shd w:val="clear" w:color="auto" w:fill="auto"/>
            <w:vAlign w:val="bottom"/>
          </w:tcPr>
          <w:p w14:paraId="7F307D07" w14:textId="77777777" w:rsidR="006B43AF" w:rsidRPr="005907D3" w:rsidRDefault="006B43AF" w:rsidP="004203CD">
            <w:pPr>
              <w:pStyle w:val="TablesTText"/>
              <w:spacing w:line="240" w:lineRule="auto"/>
              <w:rPr>
                <w:rFonts w:ascii="IBM Plex Sans Light" w:hAnsi="IBM Plex Sans Light"/>
                <w:sz w:val="18"/>
                <w:szCs w:val="18"/>
              </w:rPr>
            </w:pPr>
          </w:p>
        </w:tc>
        <w:tc>
          <w:tcPr>
            <w:tcW w:w="452" w:type="dxa"/>
            <w:shd w:val="clear" w:color="auto" w:fill="auto"/>
            <w:vAlign w:val="bottom"/>
          </w:tcPr>
          <w:p w14:paraId="0239711B"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851" w:type="dxa"/>
            <w:shd w:val="clear" w:color="auto" w:fill="auto"/>
            <w:vAlign w:val="bottom"/>
          </w:tcPr>
          <w:p w14:paraId="70B4BA26"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3</w:t>
            </w:r>
          </w:p>
        </w:tc>
        <w:tc>
          <w:tcPr>
            <w:tcW w:w="850" w:type="dxa"/>
            <w:shd w:val="clear" w:color="auto" w:fill="auto"/>
            <w:vAlign w:val="bottom"/>
          </w:tcPr>
          <w:p w14:paraId="60563D7D"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10</w:t>
            </w:r>
          </w:p>
        </w:tc>
        <w:tc>
          <w:tcPr>
            <w:tcW w:w="993" w:type="dxa"/>
            <w:shd w:val="clear" w:color="auto" w:fill="auto"/>
            <w:vAlign w:val="bottom"/>
          </w:tcPr>
          <w:p w14:paraId="6781D4BA"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13</w:t>
            </w:r>
          </w:p>
        </w:tc>
        <w:tc>
          <w:tcPr>
            <w:tcW w:w="850" w:type="dxa"/>
            <w:shd w:val="clear" w:color="auto" w:fill="auto"/>
            <w:vAlign w:val="bottom"/>
          </w:tcPr>
          <w:p w14:paraId="7ACAC81F"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5</w:t>
            </w:r>
          </w:p>
        </w:tc>
        <w:tc>
          <w:tcPr>
            <w:tcW w:w="851" w:type="dxa"/>
            <w:shd w:val="clear" w:color="auto" w:fill="auto"/>
            <w:vAlign w:val="bottom"/>
          </w:tcPr>
          <w:p w14:paraId="506C4452"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10</w:t>
            </w:r>
          </w:p>
        </w:tc>
        <w:tc>
          <w:tcPr>
            <w:tcW w:w="992" w:type="dxa"/>
            <w:shd w:val="clear" w:color="auto" w:fill="auto"/>
            <w:vAlign w:val="bottom"/>
          </w:tcPr>
          <w:p w14:paraId="6485EFC1"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15</w:t>
            </w:r>
          </w:p>
        </w:tc>
      </w:tr>
      <w:tr w:rsidR="006B43AF" w:rsidRPr="005907D3" w14:paraId="575B0204" w14:textId="77777777" w:rsidTr="004203CD">
        <w:trPr>
          <w:trHeight w:hRule="exact" w:val="255"/>
        </w:trPr>
        <w:tc>
          <w:tcPr>
            <w:tcW w:w="3686" w:type="dxa"/>
            <w:shd w:val="clear" w:color="auto" w:fill="auto"/>
            <w:vAlign w:val="bottom"/>
          </w:tcPr>
          <w:p w14:paraId="4DCCE814"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Capital expenditure – creating area</w:t>
            </w:r>
          </w:p>
        </w:tc>
        <w:tc>
          <w:tcPr>
            <w:tcW w:w="425" w:type="dxa"/>
            <w:shd w:val="clear" w:color="auto" w:fill="auto"/>
            <w:vAlign w:val="bottom"/>
          </w:tcPr>
          <w:p w14:paraId="48F01B09" w14:textId="77777777" w:rsidR="006B43AF" w:rsidRPr="005907D3" w:rsidRDefault="006B43AF" w:rsidP="004203CD">
            <w:pPr>
              <w:pStyle w:val="TablesTText"/>
              <w:spacing w:line="240" w:lineRule="auto"/>
              <w:rPr>
                <w:rFonts w:ascii="IBM Plex Sans Light" w:hAnsi="IBM Plex Sans Light"/>
                <w:sz w:val="18"/>
                <w:szCs w:val="18"/>
              </w:rPr>
            </w:pPr>
          </w:p>
        </w:tc>
        <w:tc>
          <w:tcPr>
            <w:tcW w:w="452" w:type="dxa"/>
            <w:shd w:val="clear" w:color="auto" w:fill="auto"/>
            <w:vAlign w:val="bottom"/>
          </w:tcPr>
          <w:p w14:paraId="3E4A106C"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851" w:type="dxa"/>
            <w:shd w:val="clear" w:color="auto" w:fill="auto"/>
            <w:vAlign w:val="bottom"/>
          </w:tcPr>
          <w:p w14:paraId="3A64C525"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w:t>
            </w:r>
          </w:p>
        </w:tc>
        <w:tc>
          <w:tcPr>
            <w:tcW w:w="850" w:type="dxa"/>
            <w:shd w:val="clear" w:color="auto" w:fill="auto"/>
            <w:vAlign w:val="bottom"/>
          </w:tcPr>
          <w:p w14:paraId="46EBE1FA" w14:textId="77777777" w:rsidR="006B43AF" w:rsidRPr="003555F8" w:rsidRDefault="006B43AF" w:rsidP="004203CD">
            <w:pPr>
              <w:pStyle w:val="TablesTFigureBold"/>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993" w:type="dxa"/>
            <w:shd w:val="clear" w:color="auto" w:fill="auto"/>
            <w:vAlign w:val="bottom"/>
          </w:tcPr>
          <w:p w14:paraId="6248FCE0"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w:t>
            </w:r>
          </w:p>
        </w:tc>
        <w:tc>
          <w:tcPr>
            <w:tcW w:w="850" w:type="dxa"/>
            <w:shd w:val="clear" w:color="auto" w:fill="auto"/>
            <w:vAlign w:val="bottom"/>
          </w:tcPr>
          <w:p w14:paraId="2519FB0A"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14</w:t>
            </w:r>
          </w:p>
        </w:tc>
        <w:tc>
          <w:tcPr>
            <w:tcW w:w="851" w:type="dxa"/>
            <w:shd w:val="clear" w:color="auto" w:fill="auto"/>
            <w:vAlign w:val="bottom"/>
          </w:tcPr>
          <w:p w14:paraId="70C0640E"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w:t>
            </w:r>
          </w:p>
        </w:tc>
        <w:tc>
          <w:tcPr>
            <w:tcW w:w="992" w:type="dxa"/>
            <w:shd w:val="clear" w:color="auto" w:fill="auto"/>
            <w:vAlign w:val="bottom"/>
          </w:tcPr>
          <w:p w14:paraId="1FCB5A7C"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14</w:t>
            </w:r>
          </w:p>
        </w:tc>
      </w:tr>
      <w:tr w:rsidR="006B43AF" w:rsidRPr="005907D3" w14:paraId="6660028F" w14:textId="77777777" w:rsidTr="004203CD">
        <w:trPr>
          <w:trHeight w:hRule="exact" w:val="255"/>
        </w:trPr>
        <w:tc>
          <w:tcPr>
            <w:tcW w:w="3686" w:type="dxa"/>
            <w:shd w:val="clear" w:color="auto" w:fill="auto"/>
            <w:vAlign w:val="bottom"/>
          </w:tcPr>
          <w:p w14:paraId="59692B6B"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Capital expenditure – no additional area</w:t>
            </w:r>
          </w:p>
        </w:tc>
        <w:tc>
          <w:tcPr>
            <w:tcW w:w="425" w:type="dxa"/>
            <w:shd w:val="clear" w:color="auto" w:fill="auto"/>
            <w:vAlign w:val="bottom"/>
          </w:tcPr>
          <w:p w14:paraId="32B38B27" w14:textId="77777777" w:rsidR="006B43AF" w:rsidRPr="005907D3" w:rsidRDefault="006B43AF" w:rsidP="004203CD">
            <w:pPr>
              <w:pStyle w:val="TablesTText"/>
              <w:spacing w:line="240" w:lineRule="auto"/>
              <w:rPr>
                <w:rFonts w:ascii="IBM Plex Sans Light" w:hAnsi="IBM Plex Sans Light"/>
                <w:sz w:val="18"/>
                <w:szCs w:val="18"/>
              </w:rPr>
            </w:pPr>
          </w:p>
        </w:tc>
        <w:tc>
          <w:tcPr>
            <w:tcW w:w="452" w:type="dxa"/>
            <w:shd w:val="clear" w:color="auto" w:fill="auto"/>
            <w:vAlign w:val="bottom"/>
          </w:tcPr>
          <w:p w14:paraId="2CEE247F"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851" w:type="dxa"/>
            <w:shd w:val="clear" w:color="auto" w:fill="auto"/>
            <w:vAlign w:val="bottom"/>
          </w:tcPr>
          <w:p w14:paraId="46FAE0FF"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12</w:t>
            </w:r>
          </w:p>
        </w:tc>
        <w:tc>
          <w:tcPr>
            <w:tcW w:w="850" w:type="dxa"/>
            <w:shd w:val="clear" w:color="auto" w:fill="auto"/>
            <w:vAlign w:val="bottom"/>
          </w:tcPr>
          <w:p w14:paraId="21966DB5"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13</w:t>
            </w:r>
          </w:p>
        </w:tc>
        <w:tc>
          <w:tcPr>
            <w:tcW w:w="993" w:type="dxa"/>
            <w:shd w:val="clear" w:color="auto" w:fill="auto"/>
            <w:vAlign w:val="bottom"/>
          </w:tcPr>
          <w:p w14:paraId="22FB6EC8"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25</w:t>
            </w:r>
          </w:p>
        </w:tc>
        <w:tc>
          <w:tcPr>
            <w:tcW w:w="850" w:type="dxa"/>
            <w:shd w:val="clear" w:color="auto" w:fill="auto"/>
            <w:vAlign w:val="bottom"/>
          </w:tcPr>
          <w:p w14:paraId="22D5A0B6"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3</w:t>
            </w:r>
          </w:p>
        </w:tc>
        <w:tc>
          <w:tcPr>
            <w:tcW w:w="851" w:type="dxa"/>
            <w:shd w:val="clear" w:color="auto" w:fill="auto"/>
            <w:vAlign w:val="bottom"/>
          </w:tcPr>
          <w:p w14:paraId="7883267A"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24</w:t>
            </w:r>
          </w:p>
        </w:tc>
        <w:tc>
          <w:tcPr>
            <w:tcW w:w="992" w:type="dxa"/>
            <w:shd w:val="clear" w:color="auto" w:fill="auto"/>
            <w:vAlign w:val="bottom"/>
          </w:tcPr>
          <w:p w14:paraId="5A6817A5"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27</w:t>
            </w:r>
          </w:p>
        </w:tc>
      </w:tr>
      <w:tr w:rsidR="006B43AF" w:rsidRPr="005907D3" w14:paraId="1557DC7E" w14:textId="77777777" w:rsidTr="004203CD">
        <w:trPr>
          <w:trHeight w:hRule="exact" w:val="255"/>
        </w:trPr>
        <w:tc>
          <w:tcPr>
            <w:tcW w:w="3686" w:type="dxa"/>
            <w:tcBorders>
              <w:bottom w:val="single" w:sz="2" w:space="0" w:color="3D7FE0" w:themeColor="accent1"/>
            </w:tcBorders>
            <w:shd w:val="clear" w:color="auto" w:fill="auto"/>
            <w:vAlign w:val="bottom"/>
          </w:tcPr>
          <w:p w14:paraId="0C4F1E31"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lastRenderedPageBreak/>
              <w:t>Tenant incentives</w:t>
            </w:r>
          </w:p>
        </w:tc>
        <w:tc>
          <w:tcPr>
            <w:tcW w:w="425" w:type="dxa"/>
            <w:tcBorders>
              <w:bottom w:val="single" w:sz="2" w:space="0" w:color="3D7FE0" w:themeColor="accent1"/>
            </w:tcBorders>
            <w:shd w:val="clear" w:color="auto" w:fill="auto"/>
          </w:tcPr>
          <w:p w14:paraId="5245E30A" w14:textId="77777777" w:rsidR="006B43AF" w:rsidRPr="003A37F2" w:rsidRDefault="006B43AF" w:rsidP="004203CD">
            <w:pPr>
              <w:pStyle w:val="TablesTText"/>
              <w:spacing w:line="240" w:lineRule="auto"/>
              <w:jc w:val="center"/>
              <w:rPr>
                <w:rFonts w:ascii="IBM Plex Sans Light" w:hAnsi="IBM Plex Sans Light"/>
                <w:sz w:val="18"/>
                <w:szCs w:val="18"/>
              </w:rPr>
            </w:pPr>
          </w:p>
        </w:tc>
        <w:tc>
          <w:tcPr>
            <w:tcW w:w="452" w:type="dxa"/>
            <w:tcBorders>
              <w:bottom w:val="single" w:sz="2" w:space="0" w:color="3D7FE0" w:themeColor="accent1"/>
            </w:tcBorders>
            <w:shd w:val="clear" w:color="auto" w:fill="auto"/>
            <w:vAlign w:val="bottom"/>
          </w:tcPr>
          <w:p w14:paraId="5E23DB09"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851" w:type="dxa"/>
            <w:tcBorders>
              <w:bottom w:val="single" w:sz="2" w:space="0" w:color="3D7FE0" w:themeColor="accent1"/>
            </w:tcBorders>
            <w:shd w:val="clear" w:color="auto" w:fill="auto"/>
            <w:vAlign w:val="bottom"/>
          </w:tcPr>
          <w:p w14:paraId="2096D165"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w:t>
            </w:r>
          </w:p>
        </w:tc>
        <w:tc>
          <w:tcPr>
            <w:tcW w:w="850" w:type="dxa"/>
            <w:tcBorders>
              <w:bottom w:val="single" w:sz="2" w:space="0" w:color="3D7FE0" w:themeColor="accent1"/>
            </w:tcBorders>
            <w:shd w:val="clear" w:color="auto" w:fill="auto"/>
            <w:vAlign w:val="bottom"/>
          </w:tcPr>
          <w:p w14:paraId="54EBE376"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w:t>
            </w:r>
          </w:p>
        </w:tc>
        <w:tc>
          <w:tcPr>
            <w:tcW w:w="993" w:type="dxa"/>
            <w:tcBorders>
              <w:bottom w:val="single" w:sz="2" w:space="0" w:color="3D7FE0" w:themeColor="accent1"/>
            </w:tcBorders>
            <w:shd w:val="clear" w:color="auto" w:fill="auto"/>
            <w:vAlign w:val="bottom"/>
          </w:tcPr>
          <w:p w14:paraId="7882028D"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8</w:t>
            </w:r>
          </w:p>
        </w:tc>
        <w:tc>
          <w:tcPr>
            <w:tcW w:w="850" w:type="dxa"/>
            <w:tcBorders>
              <w:bottom w:val="single" w:sz="2" w:space="0" w:color="3D7FE0" w:themeColor="accent1"/>
            </w:tcBorders>
            <w:shd w:val="clear" w:color="auto" w:fill="auto"/>
            <w:vAlign w:val="bottom"/>
          </w:tcPr>
          <w:p w14:paraId="2EA8CF83"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16</w:t>
            </w:r>
          </w:p>
        </w:tc>
        <w:tc>
          <w:tcPr>
            <w:tcW w:w="851" w:type="dxa"/>
            <w:tcBorders>
              <w:bottom w:val="single" w:sz="2" w:space="0" w:color="3D7FE0" w:themeColor="accent1"/>
            </w:tcBorders>
            <w:shd w:val="clear" w:color="auto" w:fill="auto"/>
            <w:vAlign w:val="bottom"/>
          </w:tcPr>
          <w:p w14:paraId="1D2DAAD6"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w:t>
            </w:r>
          </w:p>
        </w:tc>
        <w:tc>
          <w:tcPr>
            <w:tcW w:w="992" w:type="dxa"/>
            <w:tcBorders>
              <w:bottom w:val="single" w:sz="2" w:space="0" w:color="3D7FE0" w:themeColor="accent1"/>
            </w:tcBorders>
            <w:shd w:val="clear" w:color="auto" w:fill="auto"/>
            <w:vAlign w:val="bottom"/>
          </w:tcPr>
          <w:p w14:paraId="7BFF89D6"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17</w:t>
            </w:r>
          </w:p>
        </w:tc>
      </w:tr>
      <w:tr w:rsidR="006B43AF" w:rsidRPr="005907D3" w14:paraId="173D9832" w14:textId="77777777" w:rsidTr="004203CD">
        <w:trPr>
          <w:trHeight w:hRule="exact" w:val="255"/>
        </w:trPr>
        <w:tc>
          <w:tcPr>
            <w:tcW w:w="3686" w:type="dxa"/>
            <w:tcBorders>
              <w:top w:val="single" w:sz="2" w:space="0" w:color="3D7FE0" w:themeColor="accent1"/>
            </w:tcBorders>
            <w:shd w:val="clear" w:color="auto" w:fill="auto"/>
            <w:vAlign w:val="bottom"/>
          </w:tcPr>
          <w:p w14:paraId="66B28A17" w14:textId="77777777" w:rsidR="006B43AF" w:rsidRPr="005907D3" w:rsidRDefault="006B43AF" w:rsidP="004203CD">
            <w:pPr>
              <w:pStyle w:val="TablesTTextBold"/>
              <w:spacing w:line="240" w:lineRule="auto"/>
              <w:rPr>
                <w:rFonts w:ascii="IBM Plex Sans Light" w:hAnsi="IBM Plex Sans Light"/>
                <w:b/>
                <w:bCs/>
                <w:sz w:val="18"/>
                <w:szCs w:val="18"/>
              </w:rPr>
            </w:pPr>
            <w:r w:rsidRPr="005907D3">
              <w:rPr>
                <w:rFonts w:ascii="IBM Plex Sans Light" w:hAnsi="IBM Plex Sans Light"/>
                <w:b/>
                <w:bCs/>
                <w:sz w:val="18"/>
                <w:szCs w:val="18"/>
              </w:rPr>
              <w:t xml:space="preserve">Total </w:t>
            </w:r>
          </w:p>
        </w:tc>
        <w:tc>
          <w:tcPr>
            <w:tcW w:w="425" w:type="dxa"/>
            <w:tcBorders>
              <w:top w:val="single" w:sz="2" w:space="0" w:color="3D7FE0" w:themeColor="accent1"/>
            </w:tcBorders>
            <w:shd w:val="clear" w:color="auto" w:fill="auto"/>
          </w:tcPr>
          <w:p w14:paraId="6A6876A9" w14:textId="77777777" w:rsidR="006B43AF" w:rsidRPr="003A37F2" w:rsidRDefault="006B43AF" w:rsidP="004203CD">
            <w:pPr>
              <w:pStyle w:val="TablesTTextBold"/>
              <w:spacing w:line="240" w:lineRule="auto"/>
              <w:jc w:val="center"/>
              <w:rPr>
                <w:rFonts w:ascii="IBM Plex Sans Light" w:hAnsi="IBM Plex Sans Light"/>
                <w:b/>
                <w:bCs/>
                <w:sz w:val="18"/>
                <w:szCs w:val="18"/>
              </w:rPr>
            </w:pPr>
          </w:p>
        </w:tc>
        <w:tc>
          <w:tcPr>
            <w:tcW w:w="452" w:type="dxa"/>
            <w:tcBorders>
              <w:top w:val="single" w:sz="2" w:space="0" w:color="3D7FE0" w:themeColor="accent1"/>
            </w:tcBorders>
            <w:shd w:val="clear" w:color="auto" w:fill="auto"/>
            <w:vAlign w:val="bottom"/>
          </w:tcPr>
          <w:p w14:paraId="449D1739" w14:textId="77777777" w:rsidR="006B43AF" w:rsidRPr="005907D3" w:rsidRDefault="006B43AF" w:rsidP="004203CD">
            <w:pPr>
              <w:pStyle w:val="TablesTTextBold"/>
              <w:spacing w:line="240" w:lineRule="auto"/>
              <w:jc w:val="center"/>
              <w:rPr>
                <w:rFonts w:ascii="IBM Plex Sans Light" w:hAnsi="IBM Plex Sans Light"/>
                <w:sz w:val="18"/>
                <w:szCs w:val="18"/>
              </w:rPr>
            </w:pPr>
            <w:r w:rsidRPr="005907D3">
              <w:rPr>
                <w:rFonts w:ascii="IBM Plex Sans Light" w:hAnsi="IBM Plex Sans Light"/>
                <w:sz w:val="18"/>
                <w:szCs w:val="18"/>
              </w:rPr>
              <w:t>3B</w:t>
            </w:r>
          </w:p>
        </w:tc>
        <w:tc>
          <w:tcPr>
            <w:tcW w:w="851" w:type="dxa"/>
            <w:tcBorders>
              <w:top w:val="single" w:sz="2" w:space="0" w:color="3D7FE0" w:themeColor="accent1"/>
            </w:tcBorders>
            <w:shd w:val="clear" w:color="auto" w:fill="auto"/>
            <w:vAlign w:val="bottom"/>
          </w:tcPr>
          <w:p w14:paraId="5990B9C6"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20</w:t>
            </w:r>
          </w:p>
        </w:tc>
        <w:tc>
          <w:tcPr>
            <w:tcW w:w="850" w:type="dxa"/>
            <w:tcBorders>
              <w:top w:val="single" w:sz="2" w:space="0" w:color="3D7FE0" w:themeColor="accent1"/>
            </w:tcBorders>
            <w:shd w:val="clear" w:color="auto" w:fill="auto"/>
            <w:vAlign w:val="bottom"/>
          </w:tcPr>
          <w:p w14:paraId="2033D97E"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27</w:t>
            </w:r>
          </w:p>
        </w:tc>
        <w:tc>
          <w:tcPr>
            <w:tcW w:w="993" w:type="dxa"/>
            <w:tcBorders>
              <w:top w:val="single" w:sz="2" w:space="0" w:color="3D7FE0" w:themeColor="accent1"/>
            </w:tcBorders>
            <w:shd w:val="clear" w:color="auto" w:fill="auto"/>
            <w:vAlign w:val="bottom"/>
          </w:tcPr>
          <w:p w14:paraId="002B7438"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47</w:t>
            </w:r>
          </w:p>
        </w:tc>
        <w:tc>
          <w:tcPr>
            <w:tcW w:w="850" w:type="dxa"/>
            <w:tcBorders>
              <w:top w:val="single" w:sz="2" w:space="0" w:color="3D7FE0" w:themeColor="accent1"/>
            </w:tcBorders>
            <w:shd w:val="clear" w:color="auto" w:fill="auto"/>
            <w:vAlign w:val="bottom"/>
          </w:tcPr>
          <w:p w14:paraId="1E1639B9" w14:textId="77777777" w:rsidR="006B43AF" w:rsidRPr="00BB116B"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38</w:t>
            </w:r>
          </w:p>
        </w:tc>
        <w:tc>
          <w:tcPr>
            <w:tcW w:w="851" w:type="dxa"/>
            <w:tcBorders>
              <w:top w:val="single" w:sz="2" w:space="0" w:color="3D7FE0" w:themeColor="accent1"/>
            </w:tcBorders>
            <w:shd w:val="clear" w:color="auto" w:fill="auto"/>
            <w:vAlign w:val="bottom"/>
          </w:tcPr>
          <w:p w14:paraId="55B13C95" w14:textId="77777777" w:rsidR="006B43AF" w:rsidRPr="00BB116B"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35</w:t>
            </w:r>
          </w:p>
        </w:tc>
        <w:tc>
          <w:tcPr>
            <w:tcW w:w="992" w:type="dxa"/>
            <w:tcBorders>
              <w:top w:val="single" w:sz="2" w:space="0" w:color="3D7FE0" w:themeColor="accent1"/>
            </w:tcBorders>
            <w:shd w:val="clear" w:color="auto" w:fill="auto"/>
            <w:vAlign w:val="bottom"/>
          </w:tcPr>
          <w:p w14:paraId="0B6E0835" w14:textId="77777777" w:rsidR="006B43AF" w:rsidRPr="00BB116B"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73</w:t>
            </w:r>
          </w:p>
        </w:tc>
      </w:tr>
      <w:tr w:rsidR="006B43AF" w:rsidRPr="005907D3" w14:paraId="01CE16A0" w14:textId="77777777" w:rsidTr="004203CD">
        <w:trPr>
          <w:trHeight w:val="20"/>
        </w:trPr>
        <w:tc>
          <w:tcPr>
            <w:tcW w:w="3686" w:type="dxa"/>
            <w:tcBorders>
              <w:bottom w:val="single" w:sz="2" w:space="0" w:color="3D7FE0" w:themeColor="accent1"/>
            </w:tcBorders>
            <w:shd w:val="clear" w:color="auto" w:fill="auto"/>
            <w:vAlign w:val="bottom"/>
          </w:tcPr>
          <w:p w14:paraId="31047FD2"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Conversion from accruals to cash basis</w:t>
            </w:r>
          </w:p>
        </w:tc>
        <w:tc>
          <w:tcPr>
            <w:tcW w:w="425" w:type="dxa"/>
            <w:tcBorders>
              <w:bottom w:val="single" w:sz="2" w:space="0" w:color="3D7FE0" w:themeColor="accent1"/>
            </w:tcBorders>
            <w:shd w:val="clear" w:color="auto" w:fill="auto"/>
          </w:tcPr>
          <w:p w14:paraId="14A863F9" w14:textId="77777777" w:rsidR="006B43AF" w:rsidRPr="003A37F2" w:rsidRDefault="006B43AF" w:rsidP="004203CD">
            <w:pPr>
              <w:pStyle w:val="TablesTText"/>
              <w:spacing w:line="240" w:lineRule="auto"/>
              <w:jc w:val="center"/>
              <w:rPr>
                <w:rFonts w:ascii="IBM Plex Sans Light" w:hAnsi="IBM Plex Sans Light"/>
                <w:sz w:val="18"/>
                <w:szCs w:val="18"/>
              </w:rPr>
            </w:pPr>
          </w:p>
        </w:tc>
        <w:tc>
          <w:tcPr>
            <w:tcW w:w="452" w:type="dxa"/>
            <w:tcBorders>
              <w:bottom w:val="single" w:sz="2" w:space="0" w:color="3D7FE0" w:themeColor="accent1"/>
            </w:tcBorders>
            <w:shd w:val="clear" w:color="auto" w:fill="auto"/>
            <w:vAlign w:val="bottom"/>
          </w:tcPr>
          <w:p w14:paraId="1B100247"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851" w:type="dxa"/>
            <w:tcBorders>
              <w:bottom w:val="single" w:sz="2" w:space="0" w:color="3D7FE0" w:themeColor="accent1"/>
            </w:tcBorders>
            <w:shd w:val="clear" w:color="auto" w:fill="auto"/>
            <w:vAlign w:val="bottom"/>
          </w:tcPr>
          <w:p w14:paraId="503427D2" w14:textId="77777777" w:rsidR="006B43AF" w:rsidRPr="003555F8" w:rsidRDefault="006B43AF" w:rsidP="004203CD">
            <w:pPr>
              <w:pStyle w:val="TablesTFigureBracket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w:t>
            </w:r>
          </w:p>
        </w:tc>
        <w:tc>
          <w:tcPr>
            <w:tcW w:w="850" w:type="dxa"/>
            <w:tcBorders>
              <w:bottom w:val="single" w:sz="2" w:space="0" w:color="3D7FE0" w:themeColor="accent1"/>
            </w:tcBorders>
            <w:shd w:val="clear" w:color="auto" w:fill="auto"/>
            <w:vAlign w:val="bottom"/>
          </w:tcPr>
          <w:p w14:paraId="7BE88ECF"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(3)</w:t>
            </w:r>
          </w:p>
        </w:tc>
        <w:tc>
          <w:tcPr>
            <w:tcW w:w="993" w:type="dxa"/>
            <w:tcBorders>
              <w:bottom w:val="single" w:sz="2" w:space="0" w:color="3D7FE0" w:themeColor="accent1"/>
            </w:tcBorders>
            <w:shd w:val="clear" w:color="auto" w:fill="auto"/>
            <w:vAlign w:val="bottom"/>
          </w:tcPr>
          <w:p w14:paraId="23BB8E24"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w:t>
            </w:r>
          </w:p>
        </w:tc>
        <w:tc>
          <w:tcPr>
            <w:tcW w:w="850" w:type="dxa"/>
            <w:tcBorders>
              <w:bottom w:val="single" w:sz="2" w:space="0" w:color="3D7FE0" w:themeColor="accent1"/>
            </w:tcBorders>
            <w:shd w:val="clear" w:color="auto" w:fill="auto"/>
            <w:vAlign w:val="bottom"/>
          </w:tcPr>
          <w:p w14:paraId="6D48C721"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(2)</w:t>
            </w:r>
          </w:p>
        </w:tc>
        <w:tc>
          <w:tcPr>
            <w:tcW w:w="851" w:type="dxa"/>
            <w:tcBorders>
              <w:bottom w:val="single" w:sz="2" w:space="0" w:color="3D7FE0" w:themeColor="accent1"/>
            </w:tcBorders>
            <w:shd w:val="clear" w:color="auto" w:fill="auto"/>
            <w:vAlign w:val="bottom"/>
          </w:tcPr>
          <w:p w14:paraId="1C0C24D7"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5</w:t>
            </w:r>
          </w:p>
        </w:tc>
        <w:tc>
          <w:tcPr>
            <w:tcW w:w="992" w:type="dxa"/>
            <w:tcBorders>
              <w:bottom w:val="single" w:sz="2" w:space="0" w:color="3D7FE0" w:themeColor="accent1"/>
            </w:tcBorders>
            <w:shd w:val="clear" w:color="auto" w:fill="auto"/>
            <w:vAlign w:val="bottom"/>
          </w:tcPr>
          <w:p w14:paraId="18EE1CA8"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3</w:t>
            </w:r>
          </w:p>
        </w:tc>
      </w:tr>
      <w:tr w:rsidR="006B43AF" w:rsidRPr="005907D3" w14:paraId="037C644A" w14:textId="77777777" w:rsidTr="004203CD">
        <w:trPr>
          <w:trHeight w:val="20"/>
        </w:trPr>
        <w:tc>
          <w:tcPr>
            <w:tcW w:w="3686" w:type="dxa"/>
            <w:tcBorders>
              <w:top w:val="single" w:sz="2" w:space="0" w:color="3D7FE0" w:themeColor="accent1"/>
              <w:bottom w:val="single" w:sz="8" w:space="0" w:color="3D7FE0" w:themeColor="accent1"/>
            </w:tcBorders>
            <w:shd w:val="clear" w:color="auto" w:fill="auto"/>
            <w:vAlign w:val="bottom"/>
          </w:tcPr>
          <w:p w14:paraId="5A46B770" w14:textId="77777777" w:rsidR="006B43AF" w:rsidRPr="005907D3" w:rsidRDefault="006B43AF" w:rsidP="004203CD">
            <w:pPr>
              <w:pStyle w:val="TablesTTextBold"/>
              <w:spacing w:line="240" w:lineRule="auto"/>
              <w:rPr>
                <w:rFonts w:ascii="IBM Plex Sans Light" w:hAnsi="IBM Plex Sans Light"/>
                <w:b/>
                <w:bCs/>
                <w:sz w:val="18"/>
                <w:szCs w:val="18"/>
              </w:rPr>
            </w:pPr>
            <w:r w:rsidRPr="005907D3">
              <w:rPr>
                <w:rFonts w:ascii="IBM Plex Sans Light" w:hAnsi="IBM Plex Sans Light"/>
                <w:b/>
                <w:bCs/>
                <w:sz w:val="18"/>
                <w:szCs w:val="18"/>
              </w:rPr>
              <w:t xml:space="preserve">Total on cash basis </w:t>
            </w:r>
          </w:p>
        </w:tc>
        <w:tc>
          <w:tcPr>
            <w:tcW w:w="425" w:type="dxa"/>
            <w:tcBorders>
              <w:top w:val="single" w:sz="2" w:space="0" w:color="3D7FE0" w:themeColor="accent1"/>
              <w:bottom w:val="single" w:sz="8" w:space="0" w:color="3D7FE0" w:themeColor="accent1"/>
            </w:tcBorders>
            <w:shd w:val="clear" w:color="auto" w:fill="auto"/>
          </w:tcPr>
          <w:p w14:paraId="65F8302F" w14:textId="77777777" w:rsidR="006B43AF" w:rsidRPr="003A37F2" w:rsidRDefault="006B43AF" w:rsidP="004203CD">
            <w:pPr>
              <w:pStyle w:val="TablesTTextBold"/>
              <w:spacing w:line="240" w:lineRule="auto"/>
              <w:jc w:val="center"/>
              <w:rPr>
                <w:rFonts w:ascii="IBM Plex Sans Light" w:hAnsi="IBM Plex Sans Light"/>
                <w:b/>
                <w:bCs/>
                <w:sz w:val="18"/>
                <w:szCs w:val="18"/>
              </w:rPr>
            </w:pPr>
          </w:p>
        </w:tc>
        <w:tc>
          <w:tcPr>
            <w:tcW w:w="452" w:type="dxa"/>
            <w:tcBorders>
              <w:top w:val="single" w:sz="2" w:space="0" w:color="3D7FE0" w:themeColor="accent1"/>
              <w:bottom w:val="single" w:sz="8" w:space="0" w:color="3D7FE0" w:themeColor="accent1"/>
            </w:tcBorders>
            <w:shd w:val="clear" w:color="auto" w:fill="auto"/>
            <w:vAlign w:val="bottom"/>
          </w:tcPr>
          <w:p w14:paraId="7D5D6C83" w14:textId="77777777" w:rsidR="006B43AF" w:rsidRPr="005907D3" w:rsidRDefault="006B43AF" w:rsidP="004203CD">
            <w:pPr>
              <w:pStyle w:val="TablesTTextBold"/>
              <w:spacing w:line="240" w:lineRule="auto"/>
              <w:jc w:val="center"/>
              <w:rPr>
                <w:rFonts w:ascii="IBM Plex Sans Light" w:hAnsi="IBM Plex Sans Light"/>
                <w:sz w:val="18"/>
                <w:szCs w:val="18"/>
              </w:rPr>
            </w:pPr>
          </w:p>
        </w:tc>
        <w:tc>
          <w:tcPr>
            <w:tcW w:w="851" w:type="dxa"/>
            <w:tcBorders>
              <w:top w:val="single" w:sz="2" w:space="0" w:color="3D7FE0" w:themeColor="accent1"/>
              <w:bottom w:val="single" w:sz="8" w:space="0" w:color="3D7FE0" w:themeColor="accent1"/>
            </w:tcBorders>
            <w:shd w:val="clear" w:color="auto" w:fill="auto"/>
            <w:vAlign w:val="bottom"/>
          </w:tcPr>
          <w:p w14:paraId="0418DDF2"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19</w:t>
            </w:r>
          </w:p>
        </w:tc>
        <w:tc>
          <w:tcPr>
            <w:tcW w:w="850" w:type="dxa"/>
            <w:tcBorders>
              <w:top w:val="single" w:sz="2" w:space="0" w:color="3D7FE0" w:themeColor="accent1"/>
              <w:bottom w:val="single" w:sz="8" w:space="0" w:color="3D7FE0" w:themeColor="accent1"/>
            </w:tcBorders>
            <w:shd w:val="clear" w:color="auto" w:fill="auto"/>
            <w:vAlign w:val="bottom"/>
          </w:tcPr>
          <w:p w14:paraId="4907463C"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24</w:t>
            </w:r>
          </w:p>
        </w:tc>
        <w:tc>
          <w:tcPr>
            <w:tcW w:w="993" w:type="dxa"/>
            <w:tcBorders>
              <w:top w:val="single" w:sz="2" w:space="0" w:color="3D7FE0" w:themeColor="accent1"/>
              <w:bottom w:val="single" w:sz="8" w:space="0" w:color="3D7FE0" w:themeColor="accent1"/>
            </w:tcBorders>
            <w:shd w:val="clear" w:color="auto" w:fill="auto"/>
            <w:vAlign w:val="bottom"/>
          </w:tcPr>
          <w:p w14:paraId="371E43EA" w14:textId="77777777" w:rsidR="006B43AF" w:rsidRPr="003555F8" w:rsidRDefault="006B43AF" w:rsidP="004203CD">
            <w:pPr>
              <w:pStyle w:val="TablesTFigures"/>
              <w:spacing w:line="240"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43</w:t>
            </w:r>
          </w:p>
        </w:tc>
        <w:tc>
          <w:tcPr>
            <w:tcW w:w="850" w:type="dxa"/>
            <w:tcBorders>
              <w:top w:val="single" w:sz="2" w:space="0" w:color="3D7FE0" w:themeColor="accent1"/>
              <w:bottom w:val="single" w:sz="8" w:space="0" w:color="3D7FE0" w:themeColor="accent1"/>
            </w:tcBorders>
            <w:shd w:val="clear" w:color="auto" w:fill="auto"/>
            <w:vAlign w:val="bottom"/>
          </w:tcPr>
          <w:p w14:paraId="1F2032DD"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36</w:t>
            </w:r>
          </w:p>
        </w:tc>
        <w:tc>
          <w:tcPr>
            <w:tcW w:w="851" w:type="dxa"/>
            <w:tcBorders>
              <w:top w:val="single" w:sz="2" w:space="0" w:color="3D7FE0" w:themeColor="accent1"/>
              <w:bottom w:val="single" w:sz="8" w:space="0" w:color="3D7FE0" w:themeColor="accent1"/>
            </w:tcBorders>
            <w:shd w:val="clear" w:color="auto" w:fill="auto"/>
            <w:vAlign w:val="bottom"/>
          </w:tcPr>
          <w:p w14:paraId="314C0D5F"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40</w:t>
            </w:r>
          </w:p>
        </w:tc>
        <w:tc>
          <w:tcPr>
            <w:tcW w:w="992" w:type="dxa"/>
            <w:tcBorders>
              <w:top w:val="single" w:sz="2" w:space="0" w:color="3D7FE0" w:themeColor="accent1"/>
              <w:bottom w:val="single" w:sz="8" w:space="0" w:color="3D7FE0" w:themeColor="accent1"/>
            </w:tcBorders>
            <w:shd w:val="clear" w:color="auto" w:fill="auto"/>
            <w:vAlign w:val="bottom"/>
          </w:tcPr>
          <w:p w14:paraId="4DA9BB1F" w14:textId="77777777" w:rsidR="006B43AF" w:rsidRPr="005774D7" w:rsidRDefault="006B43AF" w:rsidP="004203CD">
            <w:pPr>
              <w:pStyle w:val="TablesTFigures"/>
              <w:spacing w:line="240" w:lineRule="auto"/>
              <w:rPr>
                <w:rFonts w:ascii="IBM Plex Sans Light" w:hAnsi="IBM Plex Sans Light"/>
                <w:sz w:val="18"/>
                <w:szCs w:val="18"/>
              </w:rPr>
            </w:pPr>
            <w:r w:rsidRPr="003555F8">
              <w:rPr>
                <w:rFonts w:ascii="IBM Plex Sans Light" w:hAnsi="IBM Plex Sans Light"/>
                <w:sz w:val="18"/>
                <w:szCs w:val="18"/>
              </w:rPr>
              <w:t>76</w:t>
            </w:r>
          </w:p>
        </w:tc>
      </w:tr>
    </w:tbl>
    <w:p w14:paraId="0C52948E" w14:textId="77777777" w:rsidR="006B43AF" w:rsidRPr="005907D3" w:rsidRDefault="006B43AF" w:rsidP="006B43AF">
      <w:pPr>
        <w:pStyle w:val="Footnotesnoindent0"/>
        <w:rPr>
          <w:rFonts w:ascii="IBM Plex Sans Light" w:hAnsi="IBM Plex Sans Light"/>
        </w:rPr>
      </w:pPr>
    </w:p>
    <w:p w14:paraId="11B25B43" w14:textId="77777777" w:rsidR="006B43AF" w:rsidRDefault="006B43AF" w:rsidP="006B43AF">
      <w:pPr>
        <w:spacing w:after="0"/>
        <w:rPr>
          <w:rFonts w:ascii="IBM Plex Sans Medium" w:eastAsia="Yu Gothic Light" w:hAnsi="IBM Plex Sans Medium"/>
          <w:b/>
          <w:color w:val="3D7FE0" w:themeColor="accent1"/>
          <w:spacing w:val="0"/>
          <w:sz w:val="20"/>
        </w:rPr>
      </w:pPr>
      <w:r>
        <w:rPr>
          <w:rFonts w:ascii="IBM Plex Sans Medium" w:eastAsia="Yu Gothic Light" w:hAnsi="IBM Plex Sans Medium"/>
          <w:b/>
          <w:color w:val="3D7FE0" w:themeColor="accent1"/>
          <w:spacing w:val="0"/>
          <w:sz w:val="20"/>
        </w:rPr>
        <w:t>BALANCE SHEET INFORMATION</w:t>
      </w:r>
    </w:p>
    <w:p w14:paraId="0263E519" w14:textId="77777777" w:rsidR="006B43AF" w:rsidRPr="00C06C7F" w:rsidRDefault="006B43AF" w:rsidP="006B43AF">
      <w:pPr>
        <w:spacing w:after="0"/>
        <w:rPr>
          <w:rFonts w:ascii="IBM Plex Sans Medium" w:eastAsia="Yu Gothic Light" w:hAnsi="IBM Plex Sans Medium"/>
          <w:b/>
          <w:color w:val="3D7FE0" w:themeColor="accent1"/>
          <w:spacing w:val="0"/>
          <w:sz w:val="20"/>
        </w:rPr>
      </w:pPr>
    </w:p>
    <w:p w14:paraId="4D5895B2" w14:textId="77777777" w:rsidR="006B43AF" w:rsidRDefault="006B43AF" w:rsidP="006B43AF">
      <w:pPr>
        <w:rPr>
          <w:rFonts w:ascii="IBM Plex Sans Light" w:hAnsi="IBM Plex Sans Light"/>
        </w:rPr>
      </w:pPr>
      <w:r w:rsidRPr="005907D3">
        <w:rPr>
          <w:rFonts w:ascii="IBM Plex Sans Light" w:hAnsi="IBM Plex Sans Light"/>
        </w:rPr>
        <w:t xml:space="preserve">Note 2 to the financial statements shows the Group’s proportionally consolidated income statement. The Group’s proportionally consolidated balance sheet and net debt are shown in Tables </w:t>
      </w:r>
      <w:r w:rsidRPr="005907D3">
        <w:rPr>
          <w:rFonts w:ascii="IBM Plex Sans Light" w:eastAsia="Wingdings" w:hAnsi="IBM Plex Sans Light" w:cs="Wingdings"/>
        </w:rPr>
        <w:t>12</w:t>
      </w:r>
      <w:r w:rsidRPr="005907D3">
        <w:rPr>
          <w:rFonts w:ascii="IBM Plex Sans Light" w:hAnsi="IBM Plex Sans Light"/>
        </w:rPr>
        <w:t xml:space="preserve"> and </w:t>
      </w:r>
      <w:r w:rsidRPr="005907D3">
        <w:rPr>
          <w:rFonts w:ascii="IBM Plex Sans Light" w:eastAsia="Wingdings" w:hAnsi="IBM Plex Sans Light" w:cs="Wingdings"/>
        </w:rPr>
        <w:t>13</w:t>
      </w:r>
      <w:r w:rsidRPr="005907D3">
        <w:rPr>
          <w:rFonts w:ascii="IBM Plex Sans Light" w:hAnsi="IBM Plex Sans Light"/>
        </w:rPr>
        <w:t xml:space="preserve"> respectively.</w:t>
      </w:r>
      <w:r>
        <w:rPr>
          <w:rFonts w:ascii="IBM Plex Sans Light" w:hAnsi="IBM Plex Sans Light"/>
        </w:rPr>
        <w:t xml:space="preserve"> </w:t>
      </w:r>
      <w:r w:rsidRPr="005907D3">
        <w:rPr>
          <w:rFonts w:ascii="IBM Plex Sans Light" w:hAnsi="IBM Plex Sans Light"/>
        </w:rPr>
        <w:t xml:space="preserve">As explained in note 3 to the financial </w:t>
      </w:r>
      <w:r>
        <w:rPr>
          <w:rFonts w:ascii="IBM Plex Sans Light" w:hAnsi="IBM Plex Sans Light"/>
        </w:rPr>
        <w:t>information</w:t>
      </w:r>
      <w:r w:rsidRPr="005907D3">
        <w:rPr>
          <w:rFonts w:ascii="IBM Plex Sans Light" w:hAnsi="IBM Plex Sans Light"/>
        </w:rPr>
        <w:t>, the Group’s interest in Value Retail is not proportionally consolidated as it is not under the Group’s management.</w:t>
      </w:r>
    </w:p>
    <w:p w14:paraId="5A73AE8C"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Balance sheet </w:t>
      </w:r>
    </w:p>
    <w:p w14:paraId="22FC1C62" w14:textId="77777777" w:rsidR="006B43AF" w:rsidRPr="00280504" w:rsidRDefault="006B43AF" w:rsidP="006B43AF">
      <w:pPr>
        <w:rPr>
          <w:rFonts w:ascii="IBM Plex Sans Light" w:hAnsi="IBM Plex Sans Light"/>
          <w:b/>
        </w:rPr>
      </w:pPr>
      <w:r w:rsidRPr="00280504">
        <w:rPr>
          <w:rFonts w:ascii="IBM Plex Sans Light" w:hAnsi="IBM Plex Sans Light"/>
          <w:b/>
        </w:rPr>
        <w:t>Table 12</w:t>
      </w:r>
    </w:p>
    <w:tbl>
      <w:tblPr>
        <w:tblW w:w="9909" w:type="dxa"/>
        <w:tblLayout w:type="fixed"/>
        <w:tblCellMar>
          <w:left w:w="0" w:type="dxa"/>
          <w:right w:w="0" w:type="dxa"/>
        </w:tblCellMar>
        <w:tblLook w:val="04A0" w:firstRow="1" w:lastRow="0" w:firstColumn="1" w:lastColumn="0" w:noHBand="0" w:noVBand="1"/>
      </w:tblPr>
      <w:tblGrid>
        <w:gridCol w:w="3402"/>
        <w:gridCol w:w="426"/>
        <w:gridCol w:w="894"/>
        <w:gridCol w:w="1037"/>
        <w:gridCol w:w="1038"/>
        <w:gridCol w:w="6"/>
        <w:gridCol w:w="1031"/>
        <w:gridCol w:w="1037"/>
        <w:gridCol w:w="1029"/>
        <w:gridCol w:w="9"/>
      </w:tblGrid>
      <w:tr w:rsidR="006B43AF" w:rsidRPr="005907D3" w14:paraId="4F7CFEA4" w14:textId="77777777" w:rsidTr="004203CD">
        <w:trPr>
          <w:gridAfter w:val="1"/>
          <w:wAfter w:w="9" w:type="dxa"/>
          <w:cantSplit/>
          <w:trHeight w:val="20"/>
        </w:trPr>
        <w:tc>
          <w:tcPr>
            <w:tcW w:w="3402" w:type="dxa"/>
            <w:tcBorders>
              <w:bottom w:val="single" w:sz="2" w:space="0" w:color="3D7FE0" w:themeColor="accent1"/>
            </w:tcBorders>
            <w:shd w:val="clear" w:color="auto" w:fill="auto"/>
          </w:tcPr>
          <w:p w14:paraId="3CD9A82E" w14:textId="77777777" w:rsidR="006B43AF" w:rsidRPr="005907D3" w:rsidRDefault="006B43AF" w:rsidP="004203CD">
            <w:pPr>
              <w:pStyle w:val="TablesTColHead"/>
              <w:rPr>
                <w:rFonts w:ascii="IBM Plex Sans Light" w:hAnsi="IBM Plex Sans Light"/>
                <w:highlight w:val="yellow"/>
              </w:rPr>
            </w:pPr>
          </w:p>
        </w:tc>
        <w:tc>
          <w:tcPr>
            <w:tcW w:w="426" w:type="dxa"/>
            <w:tcBorders>
              <w:bottom w:val="single" w:sz="2" w:space="0" w:color="3D7FE0" w:themeColor="accent1"/>
            </w:tcBorders>
            <w:shd w:val="clear" w:color="auto" w:fill="auto"/>
          </w:tcPr>
          <w:p w14:paraId="0515B89E" w14:textId="77777777" w:rsidR="006B43AF" w:rsidRPr="005907D3" w:rsidRDefault="006B43AF" w:rsidP="004203CD">
            <w:pPr>
              <w:pStyle w:val="TablesTColHead"/>
              <w:jc w:val="center"/>
              <w:rPr>
                <w:rFonts w:ascii="IBM Plex Sans Light" w:hAnsi="IBM Plex Sans Light"/>
                <w:highlight w:val="yellow"/>
              </w:rPr>
            </w:pPr>
          </w:p>
        </w:tc>
        <w:tc>
          <w:tcPr>
            <w:tcW w:w="2975" w:type="dxa"/>
            <w:gridSpan w:val="4"/>
            <w:tcBorders>
              <w:bottom w:val="single" w:sz="2" w:space="0" w:color="3D7FE0" w:themeColor="accent1"/>
            </w:tcBorders>
            <w:shd w:val="clear" w:color="auto" w:fill="auto"/>
            <w:vAlign w:val="bottom"/>
          </w:tcPr>
          <w:p w14:paraId="2D5838F3" w14:textId="77777777" w:rsidR="006B43AF" w:rsidRPr="003555F8" w:rsidRDefault="006B43AF" w:rsidP="004203CD">
            <w:pPr>
              <w:pStyle w:val="TablesTColHeadsBold"/>
              <w:rPr>
                <w:rFonts w:ascii="IBM Plex Sans Light" w:hAnsi="IBM Plex Sans Light"/>
                <w:color w:val="3D7FE0" w:themeColor="accent1"/>
              </w:rPr>
            </w:pPr>
            <w:r w:rsidRPr="003555F8">
              <w:rPr>
                <w:rFonts w:ascii="IBM Plex Sans Light" w:hAnsi="IBM Plex Sans Light"/>
                <w:color w:val="3D7FE0" w:themeColor="accent1"/>
                <w:sz w:val="14"/>
                <w:szCs w:val="14"/>
              </w:rPr>
              <w:t>2023</w:t>
            </w:r>
          </w:p>
        </w:tc>
        <w:tc>
          <w:tcPr>
            <w:tcW w:w="3097" w:type="dxa"/>
            <w:gridSpan w:val="3"/>
            <w:tcBorders>
              <w:bottom w:val="single" w:sz="2" w:space="0" w:color="3D7FE0" w:themeColor="accent1"/>
            </w:tcBorders>
            <w:shd w:val="clear" w:color="auto" w:fill="auto"/>
            <w:vAlign w:val="bottom"/>
          </w:tcPr>
          <w:p w14:paraId="2C8D9AEB" w14:textId="77777777" w:rsidR="006B43AF" w:rsidRPr="005907D3" w:rsidRDefault="006B43AF" w:rsidP="004203CD">
            <w:pPr>
              <w:pStyle w:val="TablesTColHead"/>
              <w:rPr>
                <w:rFonts w:ascii="IBM Plex Sans Light" w:hAnsi="IBM Plex Sans Light"/>
              </w:rPr>
            </w:pPr>
            <w:r w:rsidRPr="005907D3">
              <w:rPr>
                <w:rFonts w:ascii="IBM Plex Sans Light" w:hAnsi="IBM Plex Sans Light"/>
              </w:rPr>
              <w:t>202</w:t>
            </w:r>
            <w:r>
              <w:rPr>
                <w:rFonts w:ascii="IBM Plex Sans Light" w:hAnsi="IBM Plex Sans Light"/>
              </w:rPr>
              <w:t>2</w:t>
            </w:r>
          </w:p>
        </w:tc>
      </w:tr>
      <w:tr w:rsidR="006B43AF" w:rsidRPr="005907D3" w14:paraId="4BC4EBC8" w14:textId="77777777" w:rsidTr="004203CD">
        <w:trPr>
          <w:cantSplit/>
          <w:trHeight w:val="20"/>
        </w:trPr>
        <w:tc>
          <w:tcPr>
            <w:tcW w:w="3402" w:type="dxa"/>
            <w:tcBorders>
              <w:bottom w:val="single" w:sz="2" w:space="0" w:color="3D7FE0" w:themeColor="accent1"/>
            </w:tcBorders>
            <w:shd w:val="clear" w:color="auto" w:fill="auto"/>
          </w:tcPr>
          <w:p w14:paraId="0941A82E" w14:textId="77777777" w:rsidR="006B43AF" w:rsidRPr="005907D3" w:rsidRDefault="006B43AF" w:rsidP="004203CD">
            <w:pPr>
              <w:rPr>
                <w:rFonts w:ascii="IBM Plex Sans Light" w:hAnsi="IBM Plex Sans Light"/>
                <w:highlight w:val="yellow"/>
              </w:rPr>
            </w:pPr>
          </w:p>
        </w:tc>
        <w:tc>
          <w:tcPr>
            <w:tcW w:w="426" w:type="dxa"/>
            <w:tcBorders>
              <w:bottom w:val="single" w:sz="2" w:space="0" w:color="3D7FE0" w:themeColor="accent1"/>
            </w:tcBorders>
            <w:shd w:val="clear" w:color="auto" w:fill="auto"/>
            <w:vAlign w:val="bottom"/>
          </w:tcPr>
          <w:p w14:paraId="36DDB4F1" w14:textId="77777777" w:rsidR="006B43AF" w:rsidRPr="005907D3" w:rsidRDefault="006B43AF" w:rsidP="004203CD">
            <w:pPr>
              <w:pStyle w:val="TablesTColHeadsBold"/>
              <w:jc w:val="center"/>
              <w:rPr>
                <w:rFonts w:ascii="IBM Plex Sans Light" w:hAnsi="IBM Plex Sans Light"/>
              </w:rPr>
            </w:pPr>
            <w:r w:rsidRPr="00A04876">
              <w:rPr>
                <w:rFonts w:ascii="IBM Plex Sans Light" w:hAnsi="IBM Plex Sans Light"/>
                <w:color w:val="auto"/>
                <w:sz w:val="16"/>
                <w:szCs w:val="28"/>
              </w:rPr>
              <w:t>Note</w:t>
            </w:r>
          </w:p>
        </w:tc>
        <w:tc>
          <w:tcPr>
            <w:tcW w:w="894" w:type="dxa"/>
            <w:tcBorders>
              <w:top w:val="single" w:sz="2" w:space="0" w:color="4175BA"/>
              <w:bottom w:val="single" w:sz="2" w:space="0" w:color="3D7FE0" w:themeColor="accent1"/>
            </w:tcBorders>
            <w:shd w:val="clear" w:color="auto" w:fill="auto"/>
            <w:vAlign w:val="bottom"/>
          </w:tcPr>
          <w:p w14:paraId="72735F49" w14:textId="77777777" w:rsidR="006B43AF" w:rsidRPr="003555F8" w:rsidRDefault="006B43AF" w:rsidP="004203CD">
            <w:pPr>
              <w:pStyle w:val="TablesTColHeadsBold"/>
              <w:rPr>
                <w:rFonts w:ascii="IBM Plex Sans Light" w:hAnsi="IBM Plex Sans Light"/>
                <w:color w:val="3D7FE0" w:themeColor="accent1"/>
                <w:sz w:val="14"/>
                <w:szCs w:val="14"/>
              </w:rPr>
            </w:pPr>
            <w:r w:rsidRPr="003555F8">
              <w:rPr>
                <w:rFonts w:ascii="IBM Plex Sans Light" w:hAnsi="IBM Plex Sans Light"/>
                <w:color w:val="3D7FE0" w:themeColor="accent1"/>
                <w:sz w:val="14"/>
                <w:szCs w:val="14"/>
              </w:rPr>
              <w:t xml:space="preserve">Reported </w:t>
            </w:r>
            <w:r w:rsidRPr="003555F8">
              <w:rPr>
                <w:rFonts w:ascii="IBM Plex Sans Light" w:hAnsi="IBM Plex Sans Light"/>
                <w:color w:val="3D7FE0" w:themeColor="accent1"/>
                <w:sz w:val="14"/>
                <w:szCs w:val="14"/>
              </w:rPr>
              <w:br/>
              <w:t>Group</w:t>
            </w:r>
            <w:r w:rsidRPr="003555F8">
              <w:rPr>
                <w:rFonts w:ascii="IBM Plex Sans Light" w:hAnsi="IBM Plex Sans Light"/>
                <w:color w:val="3D7FE0" w:themeColor="accent1"/>
                <w:sz w:val="14"/>
                <w:szCs w:val="14"/>
              </w:rPr>
              <w:br/>
              <w:t>£m</w:t>
            </w:r>
          </w:p>
        </w:tc>
        <w:tc>
          <w:tcPr>
            <w:tcW w:w="1037" w:type="dxa"/>
            <w:tcBorders>
              <w:top w:val="single" w:sz="2" w:space="0" w:color="4175BA"/>
              <w:bottom w:val="single" w:sz="2" w:space="0" w:color="3D7FE0" w:themeColor="accent1"/>
            </w:tcBorders>
            <w:shd w:val="clear" w:color="auto" w:fill="auto"/>
            <w:vAlign w:val="bottom"/>
          </w:tcPr>
          <w:p w14:paraId="4F1B5646" w14:textId="77777777" w:rsidR="006B43AF" w:rsidRPr="003555F8" w:rsidRDefault="006B43AF" w:rsidP="004203CD">
            <w:pPr>
              <w:pStyle w:val="TablesTColHeadsBold"/>
              <w:rPr>
                <w:rFonts w:ascii="IBM Plex Sans Light" w:hAnsi="IBM Plex Sans Light"/>
                <w:color w:val="3D7FE0" w:themeColor="accent1"/>
                <w:sz w:val="14"/>
                <w:szCs w:val="14"/>
              </w:rPr>
            </w:pPr>
            <w:r w:rsidRPr="003555F8">
              <w:rPr>
                <w:rFonts w:ascii="IBM Plex Sans Light" w:hAnsi="IBM Plex Sans Light"/>
                <w:color w:val="3D7FE0" w:themeColor="accent1"/>
                <w:sz w:val="14"/>
                <w:szCs w:val="14"/>
              </w:rPr>
              <w:t xml:space="preserve">Share of </w:t>
            </w:r>
            <w:r w:rsidRPr="003555F8">
              <w:rPr>
                <w:rFonts w:ascii="IBM Plex Sans Light" w:hAnsi="IBM Plex Sans Light"/>
                <w:color w:val="3D7FE0" w:themeColor="accent1"/>
                <w:sz w:val="14"/>
                <w:szCs w:val="14"/>
              </w:rPr>
              <w:br/>
              <w:t xml:space="preserve">Property </w:t>
            </w:r>
            <w:r w:rsidRPr="003555F8">
              <w:rPr>
                <w:rFonts w:ascii="IBM Plex Sans Light" w:hAnsi="IBM Plex Sans Light"/>
                <w:color w:val="3D7FE0" w:themeColor="accent1"/>
                <w:sz w:val="14"/>
                <w:szCs w:val="14"/>
              </w:rPr>
              <w:br/>
              <w:t>interests</w:t>
            </w:r>
            <w:r w:rsidRPr="003555F8">
              <w:rPr>
                <w:rFonts w:ascii="IBM Plex Sans Light" w:hAnsi="IBM Plex Sans Light"/>
                <w:color w:val="3D7FE0" w:themeColor="accent1"/>
                <w:sz w:val="14"/>
                <w:szCs w:val="14"/>
              </w:rPr>
              <w:br/>
              <w:t>£m</w:t>
            </w:r>
          </w:p>
        </w:tc>
        <w:tc>
          <w:tcPr>
            <w:tcW w:w="1038" w:type="dxa"/>
            <w:tcBorders>
              <w:top w:val="single" w:sz="2" w:space="0" w:color="4175BA"/>
              <w:bottom w:val="single" w:sz="2" w:space="0" w:color="3D7FE0" w:themeColor="accent1"/>
            </w:tcBorders>
            <w:shd w:val="clear" w:color="auto" w:fill="auto"/>
            <w:vAlign w:val="bottom"/>
          </w:tcPr>
          <w:p w14:paraId="66C9A4DA" w14:textId="77777777" w:rsidR="006B43AF" w:rsidRPr="003555F8" w:rsidRDefault="006B43AF" w:rsidP="004203CD">
            <w:pPr>
              <w:pStyle w:val="TablesTColHeadsBold"/>
              <w:rPr>
                <w:rFonts w:ascii="IBM Plex Sans Light" w:hAnsi="IBM Plex Sans Light"/>
                <w:color w:val="3D7FE0" w:themeColor="accent1"/>
                <w:sz w:val="14"/>
                <w:szCs w:val="14"/>
              </w:rPr>
            </w:pPr>
            <w:r w:rsidRPr="003555F8">
              <w:rPr>
                <w:rFonts w:ascii="IBM Plex Sans Light" w:hAnsi="IBM Plex Sans Light"/>
                <w:color w:val="3D7FE0" w:themeColor="accent1"/>
                <w:sz w:val="14"/>
                <w:szCs w:val="14"/>
              </w:rPr>
              <w:t>Proportionally</w:t>
            </w:r>
            <w:r w:rsidRPr="003555F8">
              <w:rPr>
                <w:rFonts w:ascii="IBM Plex Sans Light" w:hAnsi="IBM Plex Sans Light"/>
                <w:color w:val="3D7FE0" w:themeColor="accent1"/>
                <w:sz w:val="14"/>
                <w:szCs w:val="14"/>
              </w:rPr>
              <w:br/>
              <w:t>consolidated</w:t>
            </w:r>
            <w:r w:rsidRPr="003555F8">
              <w:rPr>
                <w:rFonts w:ascii="IBM Plex Sans Light" w:hAnsi="IBM Plex Sans Light"/>
                <w:color w:val="3D7FE0" w:themeColor="accent1"/>
                <w:sz w:val="14"/>
                <w:szCs w:val="14"/>
              </w:rPr>
              <w:br/>
              <w:t>£m</w:t>
            </w:r>
          </w:p>
        </w:tc>
        <w:tc>
          <w:tcPr>
            <w:tcW w:w="1037" w:type="dxa"/>
            <w:gridSpan w:val="2"/>
            <w:tcBorders>
              <w:top w:val="single" w:sz="2" w:space="0" w:color="4175BA"/>
              <w:bottom w:val="single" w:sz="2" w:space="0" w:color="3D7FE0" w:themeColor="accent1"/>
            </w:tcBorders>
            <w:shd w:val="clear" w:color="auto" w:fill="auto"/>
            <w:vAlign w:val="bottom"/>
          </w:tcPr>
          <w:p w14:paraId="60C62ED6" w14:textId="77777777" w:rsidR="006B43AF" w:rsidRPr="005907D3" w:rsidRDefault="006B43AF" w:rsidP="004203CD">
            <w:pPr>
              <w:pStyle w:val="TablesTColHead"/>
              <w:rPr>
                <w:rFonts w:ascii="IBM Plex Sans Light" w:hAnsi="IBM Plex Sans Light"/>
              </w:rPr>
            </w:pPr>
            <w:r w:rsidRPr="005907D3">
              <w:rPr>
                <w:rFonts w:ascii="IBM Plex Sans Light" w:hAnsi="IBM Plex Sans Light"/>
              </w:rPr>
              <w:t xml:space="preserve">Reported </w:t>
            </w:r>
            <w:r w:rsidRPr="005907D3">
              <w:rPr>
                <w:rFonts w:ascii="IBM Plex Sans Light" w:hAnsi="IBM Plex Sans Light"/>
              </w:rPr>
              <w:br/>
              <w:t>Group</w:t>
            </w:r>
            <w:r w:rsidRPr="005907D3">
              <w:rPr>
                <w:rFonts w:ascii="IBM Plex Sans Light" w:hAnsi="IBM Plex Sans Light"/>
              </w:rPr>
              <w:br/>
              <w:t>£m</w:t>
            </w:r>
          </w:p>
        </w:tc>
        <w:tc>
          <w:tcPr>
            <w:tcW w:w="1037" w:type="dxa"/>
            <w:tcBorders>
              <w:top w:val="single" w:sz="2" w:space="0" w:color="4175BA"/>
              <w:bottom w:val="single" w:sz="2" w:space="0" w:color="3D7FE0" w:themeColor="accent1"/>
            </w:tcBorders>
            <w:shd w:val="clear" w:color="auto" w:fill="auto"/>
            <w:vAlign w:val="bottom"/>
          </w:tcPr>
          <w:p w14:paraId="2DFFBA4F" w14:textId="77777777" w:rsidR="006B43AF" w:rsidRPr="005907D3" w:rsidRDefault="006B43AF" w:rsidP="004203CD">
            <w:pPr>
              <w:pStyle w:val="TablesTColHead"/>
              <w:rPr>
                <w:rFonts w:ascii="IBM Plex Sans Light" w:hAnsi="IBM Plex Sans Light"/>
              </w:rPr>
            </w:pPr>
            <w:r w:rsidRPr="005907D3">
              <w:rPr>
                <w:rFonts w:ascii="IBM Plex Sans Light" w:hAnsi="IBM Plex Sans Light"/>
              </w:rPr>
              <w:t xml:space="preserve">Share of </w:t>
            </w:r>
            <w:r w:rsidRPr="005907D3">
              <w:rPr>
                <w:rFonts w:ascii="IBM Plex Sans Light" w:hAnsi="IBM Plex Sans Light"/>
              </w:rPr>
              <w:br/>
              <w:t xml:space="preserve">Property </w:t>
            </w:r>
            <w:r w:rsidRPr="005907D3">
              <w:rPr>
                <w:rFonts w:ascii="IBM Plex Sans Light" w:hAnsi="IBM Plex Sans Light"/>
              </w:rPr>
              <w:br/>
              <w:t>interests</w:t>
            </w:r>
            <w:r w:rsidRPr="005907D3">
              <w:rPr>
                <w:rFonts w:ascii="IBM Plex Sans Light" w:hAnsi="IBM Plex Sans Light"/>
              </w:rPr>
              <w:br/>
              <w:t>£m</w:t>
            </w:r>
          </w:p>
        </w:tc>
        <w:tc>
          <w:tcPr>
            <w:tcW w:w="1038" w:type="dxa"/>
            <w:gridSpan w:val="2"/>
            <w:tcBorders>
              <w:top w:val="single" w:sz="2" w:space="0" w:color="4175BA"/>
              <w:bottom w:val="single" w:sz="2" w:space="0" w:color="3D7FE0" w:themeColor="accent1"/>
            </w:tcBorders>
            <w:shd w:val="clear" w:color="auto" w:fill="auto"/>
            <w:vAlign w:val="bottom"/>
          </w:tcPr>
          <w:p w14:paraId="469B3820" w14:textId="77777777" w:rsidR="006B43AF" w:rsidRPr="005907D3" w:rsidRDefault="006B43AF" w:rsidP="004203CD">
            <w:pPr>
              <w:pStyle w:val="TablesTColHead"/>
              <w:rPr>
                <w:rFonts w:ascii="IBM Plex Sans Light" w:hAnsi="IBM Plex Sans Light"/>
              </w:rPr>
            </w:pPr>
            <w:r w:rsidRPr="005907D3">
              <w:rPr>
                <w:rFonts w:ascii="IBM Plex Sans Light" w:hAnsi="IBM Plex Sans Light"/>
              </w:rPr>
              <w:t>Proportionally</w:t>
            </w:r>
            <w:r w:rsidRPr="005907D3">
              <w:rPr>
                <w:rFonts w:ascii="IBM Plex Sans Light" w:hAnsi="IBM Plex Sans Light"/>
              </w:rPr>
              <w:br/>
              <w:t>consolidated</w:t>
            </w:r>
            <w:r w:rsidRPr="005907D3">
              <w:rPr>
                <w:rFonts w:ascii="IBM Plex Sans Light" w:hAnsi="IBM Plex Sans Light"/>
              </w:rPr>
              <w:br/>
              <w:t>£m</w:t>
            </w:r>
          </w:p>
        </w:tc>
      </w:tr>
      <w:tr w:rsidR="006B43AF" w:rsidRPr="005907D3" w14:paraId="7FCFA979" w14:textId="77777777" w:rsidTr="004203CD">
        <w:trPr>
          <w:cantSplit/>
          <w:trHeight w:val="20"/>
        </w:trPr>
        <w:tc>
          <w:tcPr>
            <w:tcW w:w="3402" w:type="dxa"/>
            <w:tcBorders>
              <w:top w:val="single" w:sz="2" w:space="0" w:color="3D7FE0" w:themeColor="accent1"/>
            </w:tcBorders>
            <w:shd w:val="clear" w:color="auto" w:fill="auto"/>
            <w:vAlign w:val="bottom"/>
          </w:tcPr>
          <w:p w14:paraId="5C962E6C" w14:textId="77777777" w:rsidR="006B43AF" w:rsidRPr="005907D3" w:rsidRDefault="006B43AF" w:rsidP="004203CD">
            <w:pPr>
              <w:pStyle w:val="TablesTTextBold"/>
              <w:spacing w:line="240" w:lineRule="exact"/>
              <w:rPr>
                <w:rFonts w:ascii="IBM Plex Sans Light" w:hAnsi="IBM Plex Sans Light"/>
                <w:sz w:val="18"/>
                <w:szCs w:val="18"/>
              </w:rPr>
            </w:pPr>
            <w:r w:rsidRPr="005907D3">
              <w:rPr>
                <w:rFonts w:ascii="IBM Plex Sans Light" w:hAnsi="IBM Plex Sans Light"/>
                <w:b/>
                <w:bCs/>
                <w:sz w:val="18"/>
                <w:szCs w:val="18"/>
              </w:rPr>
              <w:t>Non-current assets</w:t>
            </w:r>
          </w:p>
        </w:tc>
        <w:tc>
          <w:tcPr>
            <w:tcW w:w="426" w:type="dxa"/>
            <w:tcBorders>
              <w:top w:val="single" w:sz="2" w:space="0" w:color="3D7FE0" w:themeColor="accent1"/>
            </w:tcBorders>
            <w:shd w:val="clear" w:color="auto" w:fill="auto"/>
            <w:vAlign w:val="bottom"/>
          </w:tcPr>
          <w:p w14:paraId="087FCC1D" w14:textId="77777777" w:rsidR="006B43AF" w:rsidRPr="005907D3" w:rsidRDefault="006B43AF" w:rsidP="004203CD">
            <w:pPr>
              <w:pStyle w:val="TablesTTextBold"/>
              <w:spacing w:line="240" w:lineRule="exact"/>
              <w:jc w:val="center"/>
              <w:rPr>
                <w:rFonts w:ascii="IBM Plex Sans Light" w:hAnsi="IBM Plex Sans Light"/>
                <w:sz w:val="18"/>
                <w:szCs w:val="18"/>
              </w:rPr>
            </w:pPr>
          </w:p>
        </w:tc>
        <w:tc>
          <w:tcPr>
            <w:tcW w:w="894" w:type="dxa"/>
            <w:tcBorders>
              <w:top w:val="single" w:sz="2" w:space="0" w:color="3D7FE0" w:themeColor="accent1"/>
            </w:tcBorders>
            <w:shd w:val="clear" w:color="auto" w:fill="auto"/>
          </w:tcPr>
          <w:p w14:paraId="29C63713" w14:textId="77777777" w:rsidR="006B43AF" w:rsidRPr="005907D3" w:rsidRDefault="006B43AF" w:rsidP="004203CD">
            <w:pPr>
              <w:pStyle w:val="TablesTFigureBold"/>
              <w:rPr>
                <w:rFonts w:ascii="IBM Plex Sans Light" w:hAnsi="IBM Plex Sans Light"/>
                <w:color w:val="3D7FE0" w:themeColor="accent1"/>
                <w:sz w:val="18"/>
                <w:szCs w:val="18"/>
                <w:highlight w:val="yellow"/>
              </w:rPr>
            </w:pPr>
          </w:p>
        </w:tc>
        <w:tc>
          <w:tcPr>
            <w:tcW w:w="1037" w:type="dxa"/>
            <w:tcBorders>
              <w:top w:val="single" w:sz="2" w:space="0" w:color="3D7FE0" w:themeColor="accent1"/>
            </w:tcBorders>
            <w:shd w:val="clear" w:color="auto" w:fill="auto"/>
          </w:tcPr>
          <w:p w14:paraId="343B92C5" w14:textId="77777777" w:rsidR="006B43AF" w:rsidRPr="005907D3" w:rsidRDefault="006B43AF" w:rsidP="004203CD">
            <w:pPr>
              <w:pStyle w:val="TablesTFigureBold"/>
              <w:rPr>
                <w:rFonts w:ascii="IBM Plex Sans Light" w:hAnsi="IBM Plex Sans Light"/>
                <w:color w:val="3D7FE0" w:themeColor="accent1"/>
                <w:sz w:val="18"/>
                <w:szCs w:val="18"/>
                <w:highlight w:val="yellow"/>
              </w:rPr>
            </w:pPr>
          </w:p>
        </w:tc>
        <w:tc>
          <w:tcPr>
            <w:tcW w:w="1038" w:type="dxa"/>
            <w:tcBorders>
              <w:top w:val="single" w:sz="2" w:space="0" w:color="3D7FE0" w:themeColor="accent1"/>
            </w:tcBorders>
            <w:shd w:val="clear" w:color="auto" w:fill="auto"/>
          </w:tcPr>
          <w:p w14:paraId="6C7A5240" w14:textId="77777777" w:rsidR="006B43AF" w:rsidRPr="005907D3" w:rsidRDefault="006B43AF" w:rsidP="004203CD">
            <w:pPr>
              <w:pStyle w:val="TablesTFigureBold"/>
              <w:rPr>
                <w:rFonts w:ascii="IBM Plex Sans Light" w:hAnsi="IBM Plex Sans Light"/>
                <w:color w:val="3D7FE0" w:themeColor="accent1"/>
                <w:sz w:val="18"/>
                <w:szCs w:val="18"/>
                <w:highlight w:val="yellow"/>
              </w:rPr>
            </w:pPr>
          </w:p>
        </w:tc>
        <w:tc>
          <w:tcPr>
            <w:tcW w:w="1037" w:type="dxa"/>
            <w:gridSpan w:val="2"/>
            <w:tcBorders>
              <w:top w:val="single" w:sz="2" w:space="0" w:color="3D7FE0" w:themeColor="accent1"/>
            </w:tcBorders>
            <w:shd w:val="clear" w:color="auto" w:fill="auto"/>
          </w:tcPr>
          <w:p w14:paraId="2BB2546B" w14:textId="77777777" w:rsidR="006B43AF" w:rsidRPr="005907D3" w:rsidRDefault="006B43AF" w:rsidP="004203CD">
            <w:pPr>
              <w:pStyle w:val="TablesTFigures"/>
              <w:rPr>
                <w:rFonts w:ascii="IBM Plex Sans Light" w:hAnsi="IBM Plex Sans Light"/>
                <w:sz w:val="18"/>
                <w:szCs w:val="18"/>
              </w:rPr>
            </w:pPr>
          </w:p>
        </w:tc>
        <w:tc>
          <w:tcPr>
            <w:tcW w:w="1037" w:type="dxa"/>
            <w:tcBorders>
              <w:top w:val="single" w:sz="2" w:space="0" w:color="3D7FE0" w:themeColor="accent1"/>
            </w:tcBorders>
            <w:shd w:val="clear" w:color="auto" w:fill="auto"/>
          </w:tcPr>
          <w:p w14:paraId="735D4763" w14:textId="77777777" w:rsidR="006B43AF" w:rsidRPr="005907D3" w:rsidRDefault="006B43AF" w:rsidP="004203CD">
            <w:pPr>
              <w:pStyle w:val="TablesTFigures"/>
              <w:rPr>
                <w:rFonts w:ascii="IBM Plex Sans Light" w:hAnsi="IBM Plex Sans Light"/>
                <w:sz w:val="18"/>
                <w:szCs w:val="18"/>
              </w:rPr>
            </w:pPr>
          </w:p>
        </w:tc>
        <w:tc>
          <w:tcPr>
            <w:tcW w:w="1038" w:type="dxa"/>
            <w:gridSpan w:val="2"/>
            <w:tcBorders>
              <w:top w:val="single" w:sz="2" w:space="0" w:color="3D7FE0" w:themeColor="accent1"/>
            </w:tcBorders>
            <w:shd w:val="clear" w:color="auto" w:fill="auto"/>
          </w:tcPr>
          <w:p w14:paraId="5C889BD9" w14:textId="77777777" w:rsidR="006B43AF" w:rsidRPr="005907D3" w:rsidRDefault="006B43AF" w:rsidP="004203CD">
            <w:pPr>
              <w:pStyle w:val="TablesTFigures"/>
              <w:rPr>
                <w:rFonts w:ascii="IBM Plex Sans Light" w:hAnsi="IBM Plex Sans Light"/>
                <w:sz w:val="18"/>
                <w:szCs w:val="18"/>
              </w:rPr>
            </w:pPr>
          </w:p>
        </w:tc>
      </w:tr>
      <w:tr w:rsidR="006B43AF" w:rsidRPr="005907D3" w14:paraId="2712E0F6" w14:textId="77777777" w:rsidTr="004203CD">
        <w:trPr>
          <w:cantSplit/>
          <w:trHeight w:val="20"/>
        </w:trPr>
        <w:tc>
          <w:tcPr>
            <w:tcW w:w="3402" w:type="dxa"/>
            <w:shd w:val="clear" w:color="auto" w:fill="auto"/>
            <w:vAlign w:val="bottom"/>
          </w:tcPr>
          <w:p w14:paraId="5CA57866"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Investment properties</w:t>
            </w:r>
          </w:p>
        </w:tc>
        <w:tc>
          <w:tcPr>
            <w:tcW w:w="426" w:type="dxa"/>
            <w:shd w:val="clear" w:color="auto" w:fill="auto"/>
            <w:vAlign w:val="center"/>
          </w:tcPr>
          <w:p w14:paraId="5308BB31"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11023459"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1,396.2</w:t>
            </w:r>
          </w:p>
        </w:tc>
        <w:tc>
          <w:tcPr>
            <w:tcW w:w="1037" w:type="dxa"/>
            <w:shd w:val="clear" w:color="auto" w:fill="auto"/>
            <w:vAlign w:val="bottom"/>
          </w:tcPr>
          <w:p w14:paraId="1C9F033D"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1,379.9</w:t>
            </w:r>
          </w:p>
        </w:tc>
        <w:tc>
          <w:tcPr>
            <w:tcW w:w="1038" w:type="dxa"/>
            <w:shd w:val="clear" w:color="auto" w:fill="auto"/>
            <w:vAlign w:val="bottom"/>
          </w:tcPr>
          <w:p w14:paraId="1B4C0AE3"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2,776.1</w:t>
            </w:r>
          </w:p>
        </w:tc>
        <w:tc>
          <w:tcPr>
            <w:tcW w:w="1037" w:type="dxa"/>
            <w:gridSpan w:val="2"/>
            <w:shd w:val="clear" w:color="auto" w:fill="auto"/>
            <w:vAlign w:val="bottom"/>
          </w:tcPr>
          <w:p w14:paraId="4F4A6421"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1,461.0</w:t>
            </w:r>
          </w:p>
        </w:tc>
        <w:tc>
          <w:tcPr>
            <w:tcW w:w="1037" w:type="dxa"/>
            <w:shd w:val="clear" w:color="auto" w:fill="auto"/>
            <w:vAlign w:val="bottom"/>
          </w:tcPr>
          <w:p w14:paraId="73F032A2"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1,722.9</w:t>
            </w:r>
          </w:p>
        </w:tc>
        <w:tc>
          <w:tcPr>
            <w:tcW w:w="1038" w:type="dxa"/>
            <w:gridSpan w:val="2"/>
            <w:shd w:val="clear" w:color="auto" w:fill="auto"/>
            <w:vAlign w:val="bottom"/>
          </w:tcPr>
          <w:p w14:paraId="60D3593A"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3,183.9</w:t>
            </w:r>
          </w:p>
        </w:tc>
      </w:tr>
      <w:tr w:rsidR="006B43AF" w:rsidRPr="005907D3" w14:paraId="62B10778" w14:textId="77777777" w:rsidTr="004203CD">
        <w:trPr>
          <w:cantSplit/>
          <w:trHeight w:val="20"/>
        </w:trPr>
        <w:tc>
          <w:tcPr>
            <w:tcW w:w="3402" w:type="dxa"/>
            <w:shd w:val="clear" w:color="auto" w:fill="auto"/>
            <w:vAlign w:val="bottom"/>
          </w:tcPr>
          <w:p w14:paraId="1A4CFD82"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Interests in leasehold properties</w:t>
            </w:r>
          </w:p>
        </w:tc>
        <w:tc>
          <w:tcPr>
            <w:tcW w:w="426" w:type="dxa"/>
            <w:shd w:val="clear" w:color="auto" w:fill="auto"/>
            <w:vAlign w:val="center"/>
          </w:tcPr>
          <w:p w14:paraId="16A62A4A"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7FB105FC"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32.7</w:t>
            </w:r>
          </w:p>
        </w:tc>
        <w:tc>
          <w:tcPr>
            <w:tcW w:w="1037" w:type="dxa"/>
            <w:shd w:val="clear" w:color="auto" w:fill="auto"/>
            <w:vAlign w:val="bottom"/>
          </w:tcPr>
          <w:p w14:paraId="453FA216"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15.4</w:t>
            </w:r>
          </w:p>
        </w:tc>
        <w:tc>
          <w:tcPr>
            <w:tcW w:w="1038" w:type="dxa"/>
            <w:shd w:val="clear" w:color="auto" w:fill="auto"/>
            <w:vAlign w:val="bottom"/>
          </w:tcPr>
          <w:p w14:paraId="353A047A"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48.1</w:t>
            </w:r>
          </w:p>
        </w:tc>
        <w:tc>
          <w:tcPr>
            <w:tcW w:w="1037" w:type="dxa"/>
            <w:gridSpan w:val="2"/>
            <w:shd w:val="clear" w:color="auto" w:fill="auto"/>
            <w:vAlign w:val="bottom"/>
          </w:tcPr>
          <w:p w14:paraId="0DCA9809"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34.0</w:t>
            </w:r>
          </w:p>
        </w:tc>
        <w:tc>
          <w:tcPr>
            <w:tcW w:w="1037" w:type="dxa"/>
            <w:shd w:val="clear" w:color="auto" w:fill="auto"/>
            <w:vAlign w:val="bottom"/>
          </w:tcPr>
          <w:p w14:paraId="30375156"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15.4</w:t>
            </w:r>
          </w:p>
        </w:tc>
        <w:tc>
          <w:tcPr>
            <w:tcW w:w="1038" w:type="dxa"/>
            <w:gridSpan w:val="2"/>
            <w:shd w:val="clear" w:color="auto" w:fill="auto"/>
            <w:vAlign w:val="bottom"/>
          </w:tcPr>
          <w:p w14:paraId="55380F55"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49.4</w:t>
            </w:r>
          </w:p>
        </w:tc>
      </w:tr>
      <w:tr w:rsidR="006B43AF" w:rsidRPr="005907D3" w14:paraId="0CE0837B" w14:textId="77777777" w:rsidTr="004203CD">
        <w:trPr>
          <w:cantSplit/>
          <w:trHeight w:val="20"/>
        </w:trPr>
        <w:tc>
          <w:tcPr>
            <w:tcW w:w="3402" w:type="dxa"/>
            <w:shd w:val="clear" w:color="auto" w:fill="auto"/>
            <w:vAlign w:val="bottom"/>
          </w:tcPr>
          <w:p w14:paraId="3C786D65"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Right-of-use assets</w:t>
            </w:r>
          </w:p>
        </w:tc>
        <w:tc>
          <w:tcPr>
            <w:tcW w:w="426" w:type="dxa"/>
            <w:shd w:val="clear" w:color="auto" w:fill="auto"/>
            <w:vAlign w:val="center"/>
          </w:tcPr>
          <w:p w14:paraId="73099D9F"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52F0C61C"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3.9</w:t>
            </w:r>
          </w:p>
        </w:tc>
        <w:tc>
          <w:tcPr>
            <w:tcW w:w="1037" w:type="dxa"/>
            <w:shd w:val="clear" w:color="auto" w:fill="auto"/>
            <w:vAlign w:val="bottom"/>
          </w:tcPr>
          <w:p w14:paraId="79ED08FE"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shd w:val="clear" w:color="auto" w:fill="auto"/>
            <w:vAlign w:val="bottom"/>
          </w:tcPr>
          <w:p w14:paraId="157EFCE6"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3.9</w:t>
            </w:r>
          </w:p>
        </w:tc>
        <w:tc>
          <w:tcPr>
            <w:tcW w:w="1037" w:type="dxa"/>
            <w:gridSpan w:val="2"/>
            <w:shd w:val="clear" w:color="auto" w:fill="auto"/>
            <w:vAlign w:val="bottom"/>
          </w:tcPr>
          <w:p w14:paraId="43B8CA83"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9.5</w:t>
            </w:r>
          </w:p>
        </w:tc>
        <w:tc>
          <w:tcPr>
            <w:tcW w:w="1037" w:type="dxa"/>
            <w:shd w:val="clear" w:color="auto" w:fill="auto"/>
            <w:vAlign w:val="bottom"/>
          </w:tcPr>
          <w:p w14:paraId="233DDDF5"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c>
          <w:tcPr>
            <w:tcW w:w="1038" w:type="dxa"/>
            <w:gridSpan w:val="2"/>
            <w:shd w:val="clear" w:color="auto" w:fill="auto"/>
            <w:vAlign w:val="bottom"/>
          </w:tcPr>
          <w:p w14:paraId="1778B5BB"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9.5</w:t>
            </w:r>
          </w:p>
        </w:tc>
      </w:tr>
      <w:tr w:rsidR="006B43AF" w:rsidRPr="005907D3" w14:paraId="28DB67AD" w14:textId="77777777" w:rsidTr="004203CD">
        <w:trPr>
          <w:cantSplit/>
          <w:trHeight w:val="20"/>
        </w:trPr>
        <w:tc>
          <w:tcPr>
            <w:tcW w:w="3402" w:type="dxa"/>
            <w:shd w:val="clear" w:color="auto" w:fill="auto"/>
            <w:vAlign w:val="bottom"/>
          </w:tcPr>
          <w:p w14:paraId="1C20B02C"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Plant and equipment</w:t>
            </w:r>
          </w:p>
        </w:tc>
        <w:tc>
          <w:tcPr>
            <w:tcW w:w="426" w:type="dxa"/>
            <w:shd w:val="clear" w:color="auto" w:fill="auto"/>
            <w:vAlign w:val="center"/>
          </w:tcPr>
          <w:p w14:paraId="2D133B16"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55CE902F"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0.9</w:t>
            </w:r>
          </w:p>
        </w:tc>
        <w:tc>
          <w:tcPr>
            <w:tcW w:w="1037" w:type="dxa"/>
            <w:shd w:val="clear" w:color="auto" w:fill="auto"/>
            <w:vAlign w:val="bottom"/>
          </w:tcPr>
          <w:p w14:paraId="707E4911"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shd w:val="clear" w:color="auto" w:fill="auto"/>
            <w:vAlign w:val="bottom"/>
          </w:tcPr>
          <w:p w14:paraId="37C603E4"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0.9</w:t>
            </w:r>
          </w:p>
        </w:tc>
        <w:tc>
          <w:tcPr>
            <w:tcW w:w="1037" w:type="dxa"/>
            <w:gridSpan w:val="2"/>
            <w:shd w:val="clear" w:color="auto" w:fill="auto"/>
            <w:vAlign w:val="bottom"/>
          </w:tcPr>
          <w:p w14:paraId="42901F44"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1.4</w:t>
            </w:r>
          </w:p>
        </w:tc>
        <w:tc>
          <w:tcPr>
            <w:tcW w:w="1037" w:type="dxa"/>
            <w:shd w:val="clear" w:color="auto" w:fill="auto"/>
            <w:vAlign w:val="bottom"/>
          </w:tcPr>
          <w:p w14:paraId="2E0C3A96"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c>
          <w:tcPr>
            <w:tcW w:w="1038" w:type="dxa"/>
            <w:gridSpan w:val="2"/>
            <w:shd w:val="clear" w:color="auto" w:fill="auto"/>
            <w:vAlign w:val="bottom"/>
          </w:tcPr>
          <w:p w14:paraId="26305FE4"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1.4</w:t>
            </w:r>
          </w:p>
        </w:tc>
      </w:tr>
      <w:tr w:rsidR="006B43AF" w:rsidRPr="005907D3" w14:paraId="51DAEC1E" w14:textId="77777777" w:rsidTr="004203CD">
        <w:trPr>
          <w:cantSplit/>
          <w:trHeight w:val="20"/>
        </w:trPr>
        <w:tc>
          <w:tcPr>
            <w:tcW w:w="3402" w:type="dxa"/>
            <w:shd w:val="clear" w:color="auto" w:fill="auto"/>
            <w:vAlign w:val="bottom"/>
          </w:tcPr>
          <w:p w14:paraId="04251405"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Investment in joint ventures</w:t>
            </w:r>
          </w:p>
        </w:tc>
        <w:tc>
          <w:tcPr>
            <w:tcW w:w="426" w:type="dxa"/>
            <w:shd w:val="clear" w:color="auto" w:fill="auto"/>
            <w:vAlign w:val="center"/>
          </w:tcPr>
          <w:p w14:paraId="1D7DB1D3"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7A1BB35B"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1,193.2</w:t>
            </w:r>
          </w:p>
        </w:tc>
        <w:tc>
          <w:tcPr>
            <w:tcW w:w="1037" w:type="dxa"/>
            <w:shd w:val="clear" w:color="auto" w:fill="auto"/>
            <w:vAlign w:val="bottom"/>
          </w:tcPr>
          <w:p w14:paraId="13BCA3BF" w14:textId="77777777" w:rsidR="006B43AF" w:rsidRPr="003555F8" w:rsidRDefault="006B43AF" w:rsidP="004203CD">
            <w:pPr>
              <w:pStyle w:val="TablesTFigureBracket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(1,193.2)</w:t>
            </w:r>
          </w:p>
        </w:tc>
        <w:tc>
          <w:tcPr>
            <w:tcW w:w="1038" w:type="dxa"/>
            <w:shd w:val="clear" w:color="auto" w:fill="auto"/>
            <w:vAlign w:val="bottom"/>
          </w:tcPr>
          <w:p w14:paraId="46E28943"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7" w:type="dxa"/>
            <w:gridSpan w:val="2"/>
            <w:shd w:val="clear" w:color="auto" w:fill="auto"/>
            <w:vAlign w:val="bottom"/>
          </w:tcPr>
          <w:p w14:paraId="7BB8B5FD"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1,342.4</w:t>
            </w:r>
          </w:p>
        </w:tc>
        <w:tc>
          <w:tcPr>
            <w:tcW w:w="1037" w:type="dxa"/>
            <w:shd w:val="clear" w:color="auto" w:fill="auto"/>
            <w:vAlign w:val="bottom"/>
          </w:tcPr>
          <w:p w14:paraId="782AA544" w14:textId="77777777" w:rsidR="006B43AF" w:rsidRPr="005907D3" w:rsidRDefault="006B43AF" w:rsidP="004203CD">
            <w:pPr>
              <w:pStyle w:val="TablesTFigureBrackets"/>
              <w:spacing w:line="276" w:lineRule="auto"/>
              <w:rPr>
                <w:rFonts w:ascii="IBM Plex Sans Light" w:hAnsi="IBM Plex Sans Light"/>
                <w:sz w:val="18"/>
                <w:szCs w:val="18"/>
              </w:rPr>
            </w:pPr>
            <w:r w:rsidRPr="003555F8">
              <w:rPr>
                <w:rFonts w:ascii="IBM Plex Sans Light" w:hAnsi="IBM Plex Sans Light"/>
                <w:sz w:val="18"/>
                <w:szCs w:val="18"/>
              </w:rPr>
              <w:t>(1,342.4)</w:t>
            </w:r>
          </w:p>
        </w:tc>
        <w:tc>
          <w:tcPr>
            <w:tcW w:w="1038" w:type="dxa"/>
            <w:gridSpan w:val="2"/>
            <w:shd w:val="clear" w:color="auto" w:fill="auto"/>
            <w:vAlign w:val="bottom"/>
          </w:tcPr>
          <w:p w14:paraId="1713135F"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r>
      <w:tr w:rsidR="006B43AF" w:rsidRPr="005907D3" w14:paraId="6470B3FA" w14:textId="77777777" w:rsidTr="004203CD">
        <w:trPr>
          <w:cantSplit/>
          <w:trHeight w:val="20"/>
        </w:trPr>
        <w:tc>
          <w:tcPr>
            <w:tcW w:w="3402" w:type="dxa"/>
            <w:shd w:val="clear" w:color="auto" w:fill="auto"/>
            <w:vAlign w:val="bottom"/>
          </w:tcPr>
          <w:p w14:paraId="56A1151C"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Investment in associates</w:t>
            </w:r>
          </w:p>
        </w:tc>
        <w:tc>
          <w:tcPr>
            <w:tcW w:w="426" w:type="dxa"/>
            <w:shd w:val="clear" w:color="auto" w:fill="auto"/>
            <w:vAlign w:val="center"/>
          </w:tcPr>
          <w:p w14:paraId="7CB3C7AF"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18006FB9"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1,115.0</w:t>
            </w:r>
          </w:p>
        </w:tc>
        <w:tc>
          <w:tcPr>
            <w:tcW w:w="1037" w:type="dxa"/>
            <w:shd w:val="clear" w:color="auto" w:fill="auto"/>
            <w:vAlign w:val="bottom"/>
          </w:tcPr>
          <w:p w14:paraId="63CADC74" w14:textId="77777777" w:rsidR="006B43AF" w:rsidRPr="003555F8" w:rsidRDefault="006B43AF" w:rsidP="003E46CC">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shd w:val="clear" w:color="auto" w:fill="auto"/>
            <w:vAlign w:val="bottom"/>
          </w:tcPr>
          <w:p w14:paraId="78783C95"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1,115.0</w:t>
            </w:r>
          </w:p>
        </w:tc>
        <w:tc>
          <w:tcPr>
            <w:tcW w:w="1037" w:type="dxa"/>
            <w:gridSpan w:val="2"/>
            <w:shd w:val="clear" w:color="auto" w:fill="auto"/>
            <w:vAlign w:val="bottom"/>
          </w:tcPr>
          <w:p w14:paraId="37B9164B"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1,297.1</w:t>
            </w:r>
          </w:p>
        </w:tc>
        <w:tc>
          <w:tcPr>
            <w:tcW w:w="1037" w:type="dxa"/>
            <w:shd w:val="clear" w:color="auto" w:fill="auto"/>
            <w:vAlign w:val="bottom"/>
          </w:tcPr>
          <w:p w14:paraId="5298FFF4" w14:textId="77777777" w:rsidR="006B43AF" w:rsidRPr="005907D3" w:rsidRDefault="006B43AF" w:rsidP="004203CD">
            <w:pPr>
              <w:pStyle w:val="TablesTFigureBrackets"/>
              <w:spacing w:line="276" w:lineRule="auto"/>
              <w:rPr>
                <w:rFonts w:ascii="IBM Plex Sans Light" w:hAnsi="IBM Plex Sans Light"/>
                <w:sz w:val="18"/>
                <w:szCs w:val="18"/>
              </w:rPr>
            </w:pPr>
            <w:r w:rsidRPr="003555F8">
              <w:rPr>
                <w:rFonts w:ascii="IBM Plex Sans Light" w:hAnsi="IBM Plex Sans Light"/>
                <w:sz w:val="18"/>
                <w:szCs w:val="18"/>
              </w:rPr>
              <w:t>(107.7)</w:t>
            </w:r>
          </w:p>
        </w:tc>
        <w:tc>
          <w:tcPr>
            <w:tcW w:w="1038" w:type="dxa"/>
            <w:gridSpan w:val="2"/>
            <w:shd w:val="clear" w:color="auto" w:fill="auto"/>
            <w:vAlign w:val="bottom"/>
          </w:tcPr>
          <w:p w14:paraId="52A02322"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1,189.4</w:t>
            </w:r>
          </w:p>
        </w:tc>
      </w:tr>
      <w:tr w:rsidR="006B43AF" w:rsidRPr="005907D3" w14:paraId="62B4E56E" w14:textId="77777777" w:rsidTr="004203CD">
        <w:trPr>
          <w:cantSplit/>
          <w:trHeight w:val="20"/>
        </w:trPr>
        <w:tc>
          <w:tcPr>
            <w:tcW w:w="3402" w:type="dxa"/>
            <w:shd w:val="clear" w:color="auto" w:fill="auto"/>
            <w:vAlign w:val="bottom"/>
          </w:tcPr>
          <w:p w14:paraId="52B57BD9"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Other investments</w:t>
            </w:r>
          </w:p>
        </w:tc>
        <w:tc>
          <w:tcPr>
            <w:tcW w:w="426" w:type="dxa"/>
            <w:shd w:val="clear" w:color="auto" w:fill="auto"/>
            <w:vAlign w:val="center"/>
          </w:tcPr>
          <w:p w14:paraId="175D219B"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6ADEEEC1"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8.8</w:t>
            </w:r>
          </w:p>
        </w:tc>
        <w:tc>
          <w:tcPr>
            <w:tcW w:w="1037" w:type="dxa"/>
            <w:shd w:val="clear" w:color="auto" w:fill="auto"/>
            <w:vAlign w:val="bottom"/>
          </w:tcPr>
          <w:p w14:paraId="057A4BD7"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shd w:val="clear" w:color="auto" w:fill="auto"/>
            <w:vAlign w:val="bottom"/>
          </w:tcPr>
          <w:p w14:paraId="3FBC35F8"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8.8</w:t>
            </w:r>
          </w:p>
        </w:tc>
        <w:tc>
          <w:tcPr>
            <w:tcW w:w="1037" w:type="dxa"/>
            <w:gridSpan w:val="2"/>
            <w:shd w:val="clear" w:color="auto" w:fill="auto"/>
            <w:vAlign w:val="bottom"/>
          </w:tcPr>
          <w:p w14:paraId="326F5425"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9.8</w:t>
            </w:r>
          </w:p>
        </w:tc>
        <w:tc>
          <w:tcPr>
            <w:tcW w:w="1037" w:type="dxa"/>
            <w:shd w:val="clear" w:color="auto" w:fill="auto"/>
            <w:vAlign w:val="bottom"/>
          </w:tcPr>
          <w:p w14:paraId="73FBDC3D"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c>
          <w:tcPr>
            <w:tcW w:w="1038" w:type="dxa"/>
            <w:gridSpan w:val="2"/>
            <w:shd w:val="clear" w:color="auto" w:fill="auto"/>
            <w:vAlign w:val="bottom"/>
          </w:tcPr>
          <w:p w14:paraId="203D1755"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9.8</w:t>
            </w:r>
          </w:p>
        </w:tc>
      </w:tr>
      <w:tr w:rsidR="006B43AF" w:rsidRPr="005907D3" w14:paraId="7C169D8D" w14:textId="77777777" w:rsidTr="004203CD">
        <w:trPr>
          <w:cantSplit/>
          <w:trHeight w:val="20"/>
        </w:trPr>
        <w:tc>
          <w:tcPr>
            <w:tcW w:w="3402" w:type="dxa"/>
            <w:shd w:val="clear" w:color="auto" w:fill="auto"/>
            <w:vAlign w:val="bottom"/>
          </w:tcPr>
          <w:p w14:paraId="50D286B9"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Trade and other receivables</w:t>
            </w:r>
          </w:p>
        </w:tc>
        <w:tc>
          <w:tcPr>
            <w:tcW w:w="426" w:type="dxa"/>
            <w:shd w:val="clear" w:color="auto" w:fill="auto"/>
            <w:vAlign w:val="center"/>
          </w:tcPr>
          <w:p w14:paraId="37875846"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5E5252F0"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1.9</w:t>
            </w:r>
          </w:p>
        </w:tc>
        <w:tc>
          <w:tcPr>
            <w:tcW w:w="1037" w:type="dxa"/>
            <w:shd w:val="clear" w:color="auto" w:fill="auto"/>
            <w:vAlign w:val="bottom"/>
          </w:tcPr>
          <w:p w14:paraId="1744B567"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1.3</w:t>
            </w:r>
          </w:p>
        </w:tc>
        <w:tc>
          <w:tcPr>
            <w:tcW w:w="1038" w:type="dxa"/>
            <w:shd w:val="clear" w:color="auto" w:fill="auto"/>
            <w:vAlign w:val="bottom"/>
          </w:tcPr>
          <w:p w14:paraId="41EFFFB1"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3.2</w:t>
            </w:r>
          </w:p>
        </w:tc>
        <w:tc>
          <w:tcPr>
            <w:tcW w:w="1037" w:type="dxa"/>
            <w:gridSpan w:val="2"/>
            <w:shd w:val="clear" w:color="auto" w:fill="auto"/>
            <w:vAlign w:val="bottom"/>
          </w:tcPr>
          <w:p w14:paraId="2F3109E2"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3.2</w:t>
            </w:r>
          </w:p>
        </w:tc>
        <w:tc>
          <w:tcPr>
            <w:tcW w:w="1037" w:type="dxa"/>
            <w:shd w:val="clear" w:color="auto" w:fill="auto"/>
            <w:vAlign w:val="bottom"/>
          </w:tcPr>
          <w:p w14:paraId="0755021D"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5.0</w:t>
            </w:r>
          </w:p>
        </w:tc>
        <w:tc>
          <w:tcPr>
            <w:tcW w:w="1038" w:type="dxa"/>
            <w:gridSpan w:val="2"/>
            <w:shd w:val="clear" w:color="auto" w:fill="auto"/>
            <w:vAlign w:val="bottom"/>
          </w:tcPr>
          <w:p w14:paraId="633ED24C"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8.2</w:t>
            </w:r>
          </w:p>
        </w:tc>
      </w:tr>
      <w:tr w:rsidR="006B43AF" w:rsidRPr="005907D3" w14:paraId="0AB909ED" w14:textId="77777777" w:rsidTr="004203CD">
        <w:trPr>
          <w:cantSplit/>
          <w:trHeight w:val="20"/>
        </w:trPr>
        <w:tc>
          <w:tcPr>
            <w:tcW w:w="3402" w:type="dxa"/>
            <w:shd w:val="clear" w:color="auto" w:fill="auto"/>
            <w:vAlign w:val="bottom"/>
          </w:tcPr>
          <w:p w14:paraId="0AA7124D"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Derivative financial instruments</w:t>
            </w:r>
          </w:p>
        </w:tc>
        <w:tc>
          <w:tcPr>
            <w:tcW w:w="426" w:type="dxa"/>
            <w:shd w:val="clear" w:color="auto" w:fill="auto"/>
            <w:vAlign w:val="center"/>
          </w:tcPr>
          <w:p w14:paraId="4675D2FD"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312C0489"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7" w:type="dxa"/>
            <w:shd w:val="clear" w:color="auto" w:fill="auto"/>
            <w:vAlign w:val="bottom"/>
          </w:tcPr>
          <w:p w14:paraId="00B6C055"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shd w:val="clear" w:color="auto" w:fill="auto"/>
            <w:vAlign w:val="bottom"/>
          </w:tcPr>
          <w:p w14:paraId="7DFD3812"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7" w:type="dxa"/>
            <w:gridSpan w:val="2"/>
            <w:shd w:val="clear" w:color="auto" w:fill="auto"/>
            <w:vAlign w:val="bottom"/>
          </w:tcPr>
          <w:p w14:paraId="765CF768"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7.0</w:t>
            </w:r>
          </w:p>
        </w:tc>
        <w:tc>
          <w:tcPr>
            <w:tcW w:w="1037" w:type="dxa"/>
            <w:shd w:val="clear" w:color="auto" w:fill="auto"/>
            <w:vAlign w:val="bottom"/>
          </w:tcPr>
          <w:p w14:paraId="678C59AC"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6.3</w:t>
            </w:r>
          </w:p>
        </w:tc>
        <w:tc>
          <w:tcPr>
            <w:tcW w:w="1038" w:type="dxa"/>
            <w:gridSpan w:val="2"/>
            <w:shd w:val="clear" w:color="auto" w:fill="auto"/>
            <w:vAlign w:val="bottom"/>
          </w:tcPr>
          <w:p w14:paraId="0E59164C"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13.3</w:t>
            </w:r>
          </w:p>
        </w:tc>
      </w:tr>
      <w:tr w:rsidR="006B43AF" w:rsidRPr="005907D3" w14:paraId="0E898D75" w14:textId="77777777" w:rsidTr="004203CD">
        <w:trPr>
          <w:cantSplit/>
          <w:trHeight w:val="20"/>
        </w:trPr>
        <w:tc>
          <w:tcPr>
            <w:tcW w:w="3402" w:type="dxa"/>
            <w:tcBorders>
              <w:bottom w:val="single" w:sz="2" w:space="0" w:color="3D7FE0" w:themeColor="accent1"/>
            </w:tcBorders>
            <w:shd w:val="clear" w:color="auto" w:fill="auto"/>
            <w:vAlign w:val="bottom"/>
          </w:tcPr>
          <w:p w14:paraId="77BE71EE"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Restricted monetary assets</w:t>
            </w:r>
          </w:p>
        </w:tc>
        <w:tc>
          <w:tcPr>
            <w:tcW w:w="426" w:type="dxa"/>
            <w:tcBorders>
              <w:bottom w:val="single" w:sz="2" w:space="0" w:color="3D7FE0" w:themeColor="accent1"/>
            </w:tcBorders>
            <w:shd w:val="clear" w:color="auto" w:fill="auto"/>
            <w:vAlign w:val="center"/>
          </w:tcPr>
          <w:p w14:paraId="6025B770"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tcBorders>
              <w:bottom w:val="single" w:sz="2" w:space="0" w:color="3D7FE0" w:themeColor="accent1"/>
            </w:tcBorders>
            <w:shd w:val="clear" w:color="auto" w:fill="auto"/>
            <w:vAlign w:val="bottom"/>
          </w:tcPr>
          <w:p w14:paraId="21FB26D2"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21.4</w:t>
            </w:r>
          </w:p>
        </w:tc>
        <w:tc>
          <w:tcPr>
            <w:tcW w:w="1037" w:type="dxa"/>
            <w:tcBorders>
              <w:bottom w:val="single" w:sz="2" w:space="0" w:color="3D7FE0" w:themeColor="accent1"/>
            </w:tcBorders>
            <w:shd w:val="clear" w:color="auto" w:fill="auto"/>
            <w:vAlign w:val="bottom"/>
          </w:tcPr>
          <w:p w14:paraId="3B0D05AE"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tcBorders>
              <w:bottom w:val="single" w:sz="2" w:space="0" w:color="3D7FE0" w:themeColor="accent1"/>
            </w:tcBorders>
            <w:shd w:val="clear" w:color="auto" w:fill="auto"/>
            <w:vAlign w:val="bottom"/>
          </w:tcPr>
          <w:p w14:paraId="7D9FB14F"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21.4</w:t>
            </w:r>
          </w:p>
        </w:tc>
        <w:tc>
          <w:tcPr>
            <w:tcW w:w="1037" w:type="dxa"/>
            <w:gridSpan w:val="2"/>
            <w:tcBorders>
              <w:bottom w:val="single" w:sz="2" w:space="0" w:color="3D7FE0" w:themeColor="accent1"/>
            </w:tcBorders>
            <w:shd w:val="clear" w:color="auto" w:fill="auto"/>
            <w:vAlign w:val="bottom"/>
          </w:tcPr>
          <w:p w14:paraId="72622061"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21.4</w:t>
            </w:r>
          </w:p>
        </w:tc>
        <w:tc>
          <w:tcPr>
            <w:tcW w:w="1037" w:type="dxa"/>
            <w:tcBorders>
              <w:bottom w:val="single" w:sz="2" w:space="0" w:color="3D7FE0" w:themeColor="accent1"/>
            </w:tcBorders>
            <w:shd w:val="clear" w:color="auto" w:fill="auto"/>
            <w:vAlign w:val="bottom"/>
          </w:tcPr>
          <w:p w14:paraId="39810CAB"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c>
          <w:tcPr>
            <w:tcW w:w="1038" w:type="dxa"/>
            <w:gridSpan w:val="2"/>
            <w:tcBorders>
              <w:bottom w:val="single" w:sz="2" w:space="0" w:color="3D7FE0" w:themeColor="accent1"/>
            </w:tcBorders>
            <w:shd w:val="clear" w:color="auto" w:fill="auto"/>
            <w:vAlign w:val="bottom"/>
          </w:tcPr>
          <w:p w14:paraId="26CFD776"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21.4</w:t>
            </w:r>
          </w:p>
        </w:tc>
      </w:tr>
      <w:tr w:rsidR="006B43AF" w:rsidRPr="005907D3" w14:paraId="0759D310" w14:textId="77777777" w:rsidTr="004203CD">
        <w:trPr>
          <w:cantSplit/>
          <w:trHeight w:val="20"/>
        </w:trPr>
        <w:tc>
          <w:tcPr>
            <w:tcW w:w="3402" w:type="dxa"/>
            <w:tcBorders>
              <w:top w:val="single" w:sz="2" w:space="0" w:color="3D7FE0" w:themeColor="accent1"/>
            </w:tcBorders>
            <w:shd w:val="clear" w:color="auto" w:fill="auto"/>
            <w:vAlign w:val="center"/>
          </w:tcPr>
          <w:p w14:paraId="4E046ED6" w14:textId="77777777" w:rsidR="006B43AF" w:rsidRPr="005907D3" w:rsidRDefault="006B43AF" w:rsidP="004203CD">
            <w:pPr>
              <w:pStyle w:val="TablesTText"/>
              <w:spacing w:line="276" w:lineRule="auto"/>
              <w:rPr>
                <w:rFonts w:ascii="IBM Plex Sans Light" w:hAnsi="IBM Plex Sans Light"/>
                <w:sz w:val="18"/>
                <w:szCs w:val="18"/>
              </w:rPr>
            </w:pPr>
          </w:p>
        </w:tc>
        <w:tc>
          <w:tcPr>
            <w:tcW w:w="426" w:type="dxa"/>
            <w:tcBorders>
              <w:top w:val="single" w:sz="2" w:space="0" w:color="3D7FE0" w:themeColor="accent1"/>
            </w:tcBorders>
            <w:shd w:val="clear" w:color="auto" w:fill="auto"/>
            <w:vAlign w:val="center"/>
          </w:tcPr>
          <w:p w14:paraId="1B1CDD76"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tcBorders>
              <w:top w:val="single" w:sz="2" w:space="0" w:color="3D7FE0" w:themeColor="accent1"/>
            </w:tcBorders>
            <w:shd w:val="clear" w:color="auto" w:fill="auto"/>
            <w:vAlign w:val="bottom"/>
          </w:tcPr>
          <w:p w14:paraId="3D68C9EA"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3,774.0</w:t>
            </w:r>
          </w:p>
        </w:tc>
        <w:tc>
          <w:tcPr>
            <w:tcW w:w="1037" w:type="dxa"/>
            <w:tcBorders>
              <w:top w:val="single" w:sz="2" w:space="0" w:color="3D7FE0" w:themeColor="accent1"/>
            </w:tcBorders>
            <w:shd w:val="clear" w:color="auto" w:fill="auto"/>
            <w:vAlign w:val="bottom"/>
          </w:tcPr>
          <w:p w14:paraId="7816EBDF"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r w:rsidRPr="005774D7">
              <w:rPr>
                <w:rFonts w:ascii="IBM Plex Sans Medium" w:hAnsi="IBM Plex Sans Medium"/>
                <w:b/>
                <w:bCs/>
                <w:color w:val="3D7FE0" w:themeColor="accent1"/>
                <w:sz w:val="18"/>
                <w:szCs w:val="18"/>
              </w:rPr>
              <w:t>2</w:t>
            </w:r>
            <w:r>
              <w:rPr>
                <w:rFonts w:ascii="IBM Plex Sans Medium" w:hAnsi="IBM Plex Sans Medium"/>
                <w:b/>
                <w:bCs/>
                <w:color w:val="3D7FE0" w:themeColor="accent1"/>
                <w:sz w:val="18"/>
                <w:szCs w:val="18"/>
              </w:rPr>
              <w:t>03.4</w:t>
            </w:r>
          </w:p>
        </w:tc>
        <w:tc>
          <w:tcPr>
            <w:tcW w:w="1038" w:type="dxa"/>
            <w:tcBorders>
              <w:top w:val="single" w:sz="2" w:space="0" w:color="3D7FE0" w:themeColor="accent1"/>
            </w:tcBorders>
            <w:shd w:val="clear" w:color="auto" w:fill="auto"/>
            <w:vAlign w:val="bottom"/>
          </w:tcPr>
          <w:p w14:paraId="2263D05C"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3,977.4</w:t>
            </w:r>
          </w:p>
        </w:tc>
        <w:tc>
          <w:tcPr>
            <w:tcW w:w="1037" w:type="dxa"/>
            <w:gridSpan w:val="2"/>
            <w:tcBorders>
              <w:top w:val="single" w:sz="2" w:space="0" w:color="3D7FE0" w:themeColor="accent1"/>
            </w:tcBorders>
            <w:shd w:val="clear" w:color="auto" w:fill="auto"/>
            <w:vAlign w:val="center"/>
          </w:tcPr>
          <w:p w14:paraId="6A3D271F" w14:textId="77777777" w:rsidR="006B43AF" w:rsidRPr="005907D3" w:rsidRDefault="006B43AF" w:rsidP="004203CD">
            <w:pPr>
              <w:pStyle w:val="TablesTFigures"/>
              <w:spacing w:line="276" w:lineRule="auto"/>
              <w:rPr>
                <w:rFonts w:ascii="IBM Plex Sans Light" w:hAnsi="IBM Plex Sans Light"/>
                <w:bCs/>
                <w:sz w:val="18"/>
                <w:szCs w:val="18"/>
              </w:rPr>
            </w:pPr>
            <w:r w:rsidRPr="005907D3">
              <w:rPr>
                <w:rFonts w:ascii="IBM Plex Sans Light" w:hAnsi="IBM Plex Sans Light"/>
                <w:sz w:val="18"/>
                <w:szCs w:val="18"/>
              </w:rPr>
              <w:t>4,</w:t>
            </w:r>
            <w:r>
              <w:rPr>
                <w:rFonts w:ascii="IBM Plex Sans Light" w:hAnsi="IBM Plex Sans Light"/>
                <w:sz w:val="18"/>
                <w:szCs w:val="18"/>
              </w:rPr>
              <w:t>186.8</w:t>
            </w:r>
          </w:p>
        </w:tc>
        <w:tc>
          <w:tcPr>
            <w:tcW w:w="1037" w:type="dxa"/>
            <w:tcBorders>
              <w:top w:val="single" w:sz="2" w:space="0" w:color="3D7FE0" w:themeColor="accent1"/>
            </w:tcBorders>
            <w:shd w:val="clear" w:color="auto" w:fill="auto"/>
            <w:vAlign w:val="center"/>
          </w:tcPr>
          <w:p w14:paraId="4712B7F6" w14:textId="77777777" w:rsidR="006B43AF" w:rsidRPr="005907D3" w:rsidRDefault="006B43AF" w:rsidP="004203CD">
            <w:pPr>
              <w:pStyle w:val="TablesTFigures"/>
              <w:spacing w:line="276" w:lineRule="auto"/>
              <w:rPr>
                <w:rFonts w:ascii="IBM Plex Sans Light" w:hAnsi="IBM Plex Sans Light"/>
                <w:bCs/>
                <w:sz w:val="18"/>
                <w:szCs w:val="18"/>
              </w:rPr>
            </w:pPr>
            <w:r>
              <w:rPr>
                <w:rFonts w:ascii="IBM Plex Sans Light" w:hAnsi="IBM Plex Sans Light"/>
                <w:sz w:val="18"/>
                <w:szCs w:val="18"/>
              </w:rPr>
              <w:t>299.5</w:t>
            </w:r>
          </w:p>
        </w:tc>
        <w:tc>
          <w:tcPr>
            <w:tcW w:w="1038" w:type="dxa"/>
            <w:gridSpan w:val="2"/>
            <w:tcBorders>
              <w:top w:val="single" w:sz="2" w:space="0" w:color="3D7FE0" w:themeColor="accent1"/>
            </w:tcBorders>
            <w:shd w:val="clear" w:color="auto" w:fill="auto"/>
            <w:vAlign w:val="center"/>
          </w:tcPr>
          <w:p w14:paraId="34284131" w14:textId="6B869EA0" w:rsidR="006B43AF" w:rsidRPr="005907D3" w:rsidRDefault="006B43AF" w:rsidP="004203CD">
            <w:pPr>
              <w:pStyle w:val="TablesTFigures"/>
              <w:spacing w:line="276" w:lineRule="auto"/>
              <w:rPr>
                <w:rFonts w:ascii="IBM Plex Sans Light" w:hAnsi="IBM Plex Sans Light"/>
                <w:bCs/>
                <w:sz w:val="18"/>
                <w:szCs w:val="18"/>
              </w:rPr>
            </w:pPr>
            <w:r w:rsidRPr="005907D3">
              <w:rPr>
                <w:rFonts w:ascii="IBM Plex Sans Light" w:hAnsi="IBM Plex Sans Light"/>
                <w:sz w:val="18"/>
                <w:szCs w:val="18"/>
              </w:rPr>
              <w:t>4,</w:t>
            </w:r>
            <w:r w:rsidR="00B82D5E">
              <w:rPr>
                <w:rFonts w:ascii="IBM Plex Sans Light" w:hAnsi="IBM Plex Sans Light"/>
                <w:sz w:val="18"/>
                <w:szCs w:val="18"/>
              </w:rPr>
              <w:t>486.3</w:t>
            </w:r>
          </w:p>
        </w:tc>
      </w:tr>
      <w:tr w:rsidR="006B43AF" w:rsidRPr="005907D3" w14:paraId="3B5DBACE" w14:textId="77777777" w:rsidTr="004203CD">
        <w:trPr>
          <w:cantSplit/>
          <w:trHeight w:val="20"/>
        </w:trPr>
        <w:tc>
          <w:tcPr>
            <w:tcW w:w="3402" w:type="dxa"/>
            <w:shd w:val="clear" w:color="auto" w:fill="auto"/>
            <w:vAlign w:val="center"/>
          </w:tcPr>
          <w:p w14:paraId="1C02D39F"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Current assets</w:t>
            </w:r>
          </w:p>
        </w:tc>
        <w:tc>
          <w:tcPr>
            <w:tcW w:w="426" w:type="dxa"/>
            <w:shd w:val="clear" w:color="auto" w:fill="auto"/>
            <w:vAlign w:val="center"/>
          </w:tcPr>
          <w:p w14:paraId="337D4731" w14:textId="77777777" w:rsidR="006B43AF" w:rsidRPr="005907D3" w:rsidRDefault="006B43AF" w:rsidP="004203CD">
            <w:pPr>
              <w:pStyle w:val="TablesTTextBold"/>
              <w:spacing w:line="276" w:lineRule="auto"/>
              <w:jc w:val="center"/>
              <w:rPr>
                <w:rFonts w:ascii="IBM Plex Sans Light" w:hAnsi="IBM Plex Sans Light"/>
                <w:b/>
                <w:bCs/>
                <w:sz w:val="18"/>
                <w:szCs w:val="18"/>
              </w:rPr>
            </w:pPr>
          </w:p>
        </w:tc>
        <w:tc>
          <w:tcPr>
            <w:tcW w:w="894" w:type="dxa"/>
            <w:shd w:val="clear" w:color="auto" w:fill="auto"/>
          </w:tcPr>
          <w:p w14:paraId="6820E0C4"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shd w:val="clear" w:color="auto" w:fill="auto"/>
          </w:tcPr>
          <w:p w14:paraId="505BA15C"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p>
        </w:tc>
        <w:tc>
          <w:tcPr>
            <w:tcW w:w="1038" w:type="dxa"/>
            <w:shd w:val="clear" w:color="auto" w:fill="auto"/>
          </w:tcPr>
          <w:p w14:paraId="664A1E50"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gridSpan w:val="2"/>
            <w:shd w:val="clear" w:color="auto" w:fill="auto"/>
            <w:vAlign w:val="center"/>
          </w:tcPr>
          <w:p w14:paraId="4479BF60" w14:textId="77777777" w:rsidR="006B43AF" w:rsidRPr="005907D3" w:rsidRDefault="006B43AF" w:rsidP="004203CD">
            <w:pPr>
              <w:pStyle w:val="TablesTFigures"/>
              <w:spacing w:line="276" w:lineRule="auto"/>
              <w:rPr>
                <w:rFonts w:ascii="IBM Plex Sans Light" w:hAnsi="IBM Plex Sans Light"/>
                <w:sz w:val="18"/>
                <w:szCs w:val="18"/>
              </w:rPr>
            </w:pPr>
          </w:p>
        </w:tc>
        <w:tc>
          <w:tcPr>
            <w:tcW w:w="1037" w:type="dxa"/>
            <w:shd w:val="clear" w:color="auto" w:fill="auto"/>
            <w:vAlign w:val="center"/>
          </w:tcPr>
          <w:p w14:paraId="0DAF9753" w14:textId="77777777" w:rsidR="006B43AF" w:rsidRPr="005907D3" w:rsidRDefault="006B43AF" w:rsidP="004203CD">
            <w:pPr>
              <w:pStyle w:val="TablesTFigures"/>
              <w:spacing w:line="276" w:lineRule="auto"/>
              <w:rPr>
                <w:rFonts w:ascii="IBM Plex Sans Light" w:hAnsi="IBM Plex Sans Light"/>
                <w:sz w:val="18"/>
                <w:szCs w:val="18"/>
              </w:rPr>
            </w:pPr>
          </w:p>
        </w:tc>
        <w:tc>
          <w:tcPr>
            <w:tcW w:w="1038" w:type="dxa"/>
            <w:gridSpan w:val="2"/>
            <w:shd w:val="clear" w:color="auto" w:fill="auto"/>
            <w:vAlign w:val="center"/>
          </w:tcPr>
          <w:p w14:paraId="244D0FA4" w14:textId="77777777" w:rsidR="006B43AF" w:rsidRPr="005907D3" w:rsidRDefault="006B43AF" w:rsidP="004203CD">
            <w:pPr>
              <w:pStyle w:val="TablesTFigures"/>
              <w:spacing w:line="276" w:lineRule="auto"/>
              <w:rPr>
                <w:rFonts w:ascii="IBM Plex Sans Light" w:hAnsi="IBM Plex Sans Light"/>
                <w:sz w:val="18"/>
                <w:szCs w:val="18"/>
              </w:rPr>
            </w:pPr>
          </w:p>
        </w:tc>
      </w:tr>
      <w:tr w:rsidR="006B43AF" w:rsidRPr="005907D3" w14:paraId="4D50E428" w14:textId="77777777" w:rsidTr="004203CD">
        <w:trPr>
          <w:cantSplit/>
          <w:trHeight w:val="20"/>
        </w:trPr>
        <w:tc>
          <w:tcPr>
            <w:tcW w:w="3402" w:type="dxa"/>
            <w:shd w:val="clear" w:color="auto" w:fill="auto"/>
            <w:vAlign w:val="bottom"/>
          </w:tcPr>
          <w:p w14:paraId="15D43B78"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Trading properties</w:t>
            </w:r>
          </w:p>
        </w:tc>
        <w:tc>
          <w:tcPr>
            <w:tcW w:w="426" w:type="dxa"/>
            <w:shd w:val="clear" w:color="auto" w:fill="auto"/>
            <w:vAlign w:val="center"/>
          </w:tcPr>
          <w:p w14:paraId="09FA1AC7"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5AE1EFE6"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7" w:type="dxa"/>
            <w:shd w:val="clear" w:color="auto" w:fill="auto"/>
            <w:vAlign w:val="bottom"/>
          </w:tcPr>
          <w:p w14:paraId="28BD3FD2"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8" w:type="dxa"/>
            <w:shd w:val="clear" w:color="auto" w:fill="auto"/>
            <w:vAlign w:val="bottom"/>
          </w:tcPr>
          <w:p w14:paraId="7F461907"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w:t>
            </w:r>
          </w:p>
        </w:tc>
        <w:tc>
          <w:tcPr>
            <w:tcW w:w="1037" w:type="dxa"/>
            <w:gridSpan w:val="2"/>
            <w:shd w:val="clear" w:color="auto" w:fill="auto"/>
            <w:vAlign w:val="bottom"/>
          </w:tcPr>
          <w:p w14:paraId="3F3B1528"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36.2</w:t>
            </w:r>
          </w:p>
        </w:tc>
        <w:tc>
          <w:tcPr>
            <w:tcW w:w="1037" w:type="dxa"/>
            <w:shd w:val="clear" w:color="auto" w:fill="auto"/>
            <w:vAlign w:val="bottom"/>
          </w:tcPr>
          <w:p w14:paraId="58A783DC"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c>
          <w:tcPr>
            <w:tcW w:w="1038" w:type="dxa"/>
            <w:gridSpan w:val="2"/>
            <w:shd w:val="clear" w:color="auto" w:fill="auto"/>
            <w:vAlign w:val="bottom"/>
          </w:tcPr>
          <w:p w14:paraId="2D7A7114"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36.2</w:t>
            </w:r>
          </w:p>
        </w:tc>
      </w:tr>
      <w:tr w:rsidR="006B43AF" w:rsidRPr="005907D3" w14:paraId="4D54F380" w14:textId="77777777" w:rsidTr="004203CD">
        <w:trPr>
          <w:cantSplit/>
          <w:trHeight w:val="20"/>
        </w:trPr>
        <w:tc>
          <w:tcPr>
            <w:tcW w:w="3402" w:type="dxa"/>
            <w:shd w:val="clear" w:color="auto" w:fill="auto"/>
            <w:vAlign w:val="bottom"/>
          </w:tcPr>
          <w:p w14:paraId="334DAED8"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Trade and other receivables</w:t>
            </w:r>
          </w:p>
        </w:tc>
        <w:tc>
          <w:tcPr>
            <w:tcW w:w="426" w:type="dxa"/>
            <w:shd w:val="clear" w:color="auto" w:fill="auto"/>
            <w:vAlign w:val="center"/>
          </w:tcPr>
          <w:p w14:paraId="463965EA"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2307ACDC"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74.1</w:t>
            </w:r>
          </w:p>
        </w:tc>
        <w:tc>
          <w:tcPr>
            <w:tcW w:w="1037" w:type="dxa"/>
            <w:shd w:val="clear" w:color="auto" w:fill="auto"/>
            <w:vAlign w:val="bottom"/>
          </w:tcPr>
          <w:p w14:paraId="787F2825" w14:textId="42D83D9F"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w:t>
            </w:r>
            <w:r w:rsidR="00D80027">
              <w:rPr>
                <w:rFonts w:ascii="IBM Plex Sans Medium" w:hAnsi="IBM Plex Sans Medium"/>
                <w:b/>
                <w:bCs/>
                <w:color w:val="3D7FE0" w:themeColor="accent1"/>
                <w:sz w:val="18"/>
                <w:szCs w:val="18"/>
              </w:rPr>
              <w:t>2.0</w:t>
            </w:r>
          </w:p>
        </w:tc>
        <w:tc>
          <w:tcPr>
            <w:tcW w:w="1038" w:type="dxa"/>
            <w:shd w:val="clear" w:color="auto" w:fill="auto"/>
            <w:vAlign w:val="bottom"/>
          </w:tcPr>
          <w:p w14:paraId="4134046F" w14:textId="7CC0DB51"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9</w:t>
            </w:r>
            <w:r w:rsidR="00D80027">
              <w:rPr>
                <w:rFonts w:ascii="IBM Plex Sans Medium" w:hAnsi="IBM Plex Sans Medium"/>
                <w:b/>
                <w:bCs/>
                <w:color w:val="3D7FE0" w:themeColor="accent1"/>
                <w:sz w:val="18"/>
                <w:szCs w:val="18"/>
              </w:rPr>
              <w:t>6.1</w:t>
            </w:r>
          </w:p>
        </w:tc>
        <w:tc>
          <w:tcPr>
            <w:tcW w:w="1037" w:type="dxa"/>
            <w:gridSpan w:val="2"/>
            <w:shd w:val="clear" w:color="auto" w:fill="auto"/>
            <w:vAlign w:val="bottom"/>
          </w:tcPr>
          <w:p w14:paraId="039AECDF"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85.9</w:t>
            </w:r>
          </w:p>
        </w:tc>
        <w:tc>
          <w:tcPr>
            <w:tcW w:w="1037" w:type="dxa"/>
            <w:shd w:val="clear" w:color="auto" w:fill="auto"/>
            <w:vAlign w:val="bottom"/>
          </w:tcPr>
          <w:p w14:paraId="697DD29E"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43.4</w:t>
            </w:r>
          </w:p>
        </w:tc>
        <w:tc>
          <w:tcPr>
            <w:tcW w:w="1038" w:type="dxa"/>
            <w:gridSpan w:val="2"/>
            <w:shd w:val="clear" w:color="auto" w:fill="auto"/>
            <w:vAlign w:val="bottom"/>
          </w:tcPr>
          <w:p w14:paraId="1B05ECAA"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129.3</w:t>
            </w:r>
          </w:p>
        </w:tc>
      </w:tr>
      <w:tr w:rsidR="006B43AF" w:rsidRPr="005907D3" w14:paraId="294E3E40" w14:textId="77777777" w:rsidTr="004203CD">
        <w:trPr>
          <w:cantSplit/>
          <w:trHeight w:val="20"/>
        </w:trPr>
        <w:tc>
          <w:tcPr>
            <w:tcW w:w="3402" w:type="dxa"/>
            <w:shd w:val="clear" w:color="auto" w:fill="auto"/>
            <w:vAlign w:val="bottom"/>
          </w:tcPr>
          <w:p w14:paraId="4F0E42C0"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Derivative financial instruments</w:t>
            </w:r>
          </w:p>
        </w:tc>
        <w:tc>
          <w:tcPr>
            <w:tcW w:w="426" w:type="dxa"/>
            <w:shd w:val="clear" w:color="auto" w:fill="auto"/>
            <w:vAlign w:val="center"/>
          </w:tcPr>
          <w:p w14:paraId="7123A400"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7F57958C"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5.2</w:t>
            </w:r>
          </w:p>
        </w:tc>
        <w:tc>
          <w:tcPr>
            <w:tcW w:w="1037" w:type="dxa"/>
            <w:shd w:val="clear" w:color="auto" w:fill="auto"/>
            <w:vAlign w:val="bottom"/>
          </w:tcPr>
          <w:p w14:paraId="5E111E4F"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1.4</w:t>
            </w:r>
          </w:p>
        </w:tc>
        <w:tc>
          <w:tcPr>
            <w:tcW w:w="1038" w:type="dxa"/>
            <w:shd w:val="clear" w:color="auto" w:fill="auto"/>
            <w:vAlign w:val="bottom"/>
          </w:tcPr>
          <w:p w14:paraId="51C49FAE"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6.6</w:t>
            </w:r>
          </w:p>
        </w:tc>
        <w:tc>
          <w:tcPr>
            <w:tcW w:w="1037" w:type="dxa"/>
            <w:gridSpan w:val="2"/>
            <w:shd w:val="clear" w:color="auto" w:fill="auto"/>
            <w:vAlign w:val="bottom"/>
          </w:tcPr>
          <w:p w14:paraId="7F2EAE06"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0.1</w:t>
            </w:r>
          </w:p>
        </w:tc>
        <w:tc>
          <w:tcPr>
            <w:tcW w:w="1037" w:type="dxa"/>
            <w:shd w:val="clear" w:color="auto" w:fill="auto"/>
            <w:vAlign w:val="bottom"/>
          </w:tcPr>
          <w:p w14:paraId="3CD717E3"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w:t>
            </w:r>
          </w:p>
        </w:tc>
        <w:tc>
          <w:tcPr>
            <w:tcW w:w="1038" w:type="dxa"/>
            <w:gridSpan w:val="2"/>
            <w:shd w:val="clear" w:color="auto" w:fill="auto"/>
            <w:vAlign w:val="bottom"/>
          </w:tcPr>
          <w:p w14:paraId="22BC351C"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0.1</w:t>
            </w:r>
          </w:p>
        </w:tc>
      </w:tr>
      <w:tr w:rsidR="006B43AF" w:rsidRPr="005907D3" w14:paraId="7B50747C" w14:textId="77777777" w:rsidTr="004203CD">
        <w:trPr>
          <w:cantSplit/>
          <w:trHeight w:val="20"/>
        </w:trPr>
        <w:tc>
          <w:tcPr>
            <w:tcW w:w="3402" w:type="dxa"/>
            <w:shd w:val="clear" w:color="auto" w:fill="auto"/>
            <w:vAlign w:val="bottom"/>
          </w:tcPr>
          <w:p w14:paraId="39B6F73D"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Restricted monetary assets</w:t>
            </w:r>
          </w:p>
        </w:tc>
        <w:tc>
          <w:tcPr>
            <w:tcW w:w="426" w:type="dxa"/>
            <w:shd w:val="clear" w:color="auto" w:fill="auto"/>
          </w:tcPr>
          <w:p w14:paraId="3B37BEC5" w14:textId="77777777" w:rsidR="006B43AF" w:rsidRPr="00E17ACB"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649E5CB6"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2.2</w:t>
            </w:r>
          </w:p>
        </w:tc>
        <w:tc>
          <w:tcPr>
            <w:tcW w:w="1037" w:type="dxa"/>
            <w:shd w:val="clear" w:color="auto" w:fill="auto"/>
            <w:vAlign w:val="bottom"/>
          </w:tcPr>
          <w:p w14:paraId="2A57A775"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0.2</w:t>
            </w:r>
          </w:p>
        </w:tc>
        <w:tc>
          <w:tcPr>
            <w:tcW w:w="1038" w:type="dxa"/>
            <w:shd w:val="clear" w:color="auto" w:fill="auto"/>
            <w:vAlign w:val="bottom"/>
          </w:tcPr>
          <w:p w14:paraId="7FBFF836"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2.4</w:t>
            </w:r>
          </w:p>
        </w:tc>
        <w:tc>
          <w:tcPr>
            <w:tcW w:w="1037" w:type="dxa"/>
            <w:gridSpan w:val="2"/>
            <w:shd w:val="clear" w:color="auto" w:fill="auto"/>
            <w:vAlign w:val="bottom"/>
          </w:tcPr>
          <w:p w14:paraId="02A21F1D"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8.6</w:t>
            </w:r>
          </w:p>
        </w:tc>
        <w:tc>
          <w:tcPr>
            <w:tcW w:w="1037" w:type="dxa"/>
            <w:shd w:val="clear" w:color="auto" w:fill="auto"/>
            <w:vAlign w:val="bottom"/>
          </w:tcPr>
          <w:p w14:paraId="209059CE"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21.0</w:t>
            </w:r>
          </w:p>
        </w:tc>
        <w:tc>
          <w:tcPr>
            <w:tcW w:w="1038" w:type="dxa"/>
            <w:gridSpan w:val="2"/>
            <w:shd w:val="clear" w:color="auto" w:fill="auto"/>
            <w:vAlign w:val="bottom"/>
          </w:tcPr>
          <w:p w14:paraId="5CD1E524"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29.6</w:t>
            </w:r>
          </w:p>
        </w:tc>
      </w:tr>
      <w:tr w:rsidR="006B43AF" w:rsidRPr="005907D3" w14:paraId="0FA0E859" w14:textId="77777777" w:rsidTr="004203CD">
        <w:trPr>
          <w:cantSplit/>
          <w:trHeight w:val="20"/>
        </w:trPr>
        <w:tc>
          <w:tcPr>
            <w:tcW w:w="3402" w:type="dxa"/>
            <w:tcBorders>
              <w:bottom w:val="single" w:sz="2" w:space="0" w:color="3D7FE0" w:themeColor="accent1"/>
            </w:tcBorders>
            <w:shd w:val="clear" w:color="auto" w:fill="auto"/>
            <w:vAlign w:val="bottom"/>
          </w:tcPr>
          <w:p w14:paraId="5891B427" w14:textId="77777777" w:rsidR="006B43AF" w:rsidRPr="005907D3" w:rsidRDefault="006B43AF" w:rsidP="004203CD">
            <w:pPr>
              <w:pStyle w:val="TablesTText"/>
              <w:spacing w:line="276" w:lineRule="auto"/>
              <w:rPr>
                <w:rFonts w:ascii="IBM Plex Sans Light" w:hAnsi="IBM Plex Sans Light"/>
                <w:sz w:val="18"/>
                <w:szCs w:val="18"/>
              </w:rPr>
            </w:pPr>
            <w:r w:rsidRPr="00BB116B">
              <w:rPr>
                <w:rFonts w:ascii="IBM Plex Sans Light" w:hAnsi="IBM Plex Sans Light"/>
                <w:sz w:val="18"/>
                <w:szCs w:val="18"/>
              </w:rPr>
              <w:t>Cash and cash equivalents</w:t>
            </w:r>
          </w:p>
        </w:tc>
        <w:tc>
          <w:tcPr>
            <w:tcW w:w="426" w:type="dxa"/>
            <w:tcBorders>
              <w:bottom w:val="single" w:sz="2" w:space="0" w:color="3D7FE0" w:themeColor="accent1"/>
            </w:tcBorders>
            <w:shd w:val="clear" w:color="auto" w:fill="auto"/>
          </w:tcPr>
          <w:p w14:paraId="68B926CA" w14:textId="77777777" w:rsidR="006B43AF" w:rsidRPr="00E17ACB" w:rsidRDefault="006B43AF" w:rsidP="004203CD">
            <w:pPr>
              <w:pStyle w:val="TablesTText"/>
              <w:spacing w:line="276" w:lineRule="auto"/>
              <w:jc w:val="center"/>
              <w:rPr>
                <w:rFonts w:ascii="IBM Plex Sans Light" w:hAnsi="IBM Plex Sans Light"/>
                <w:sz w:val="18"/>
                <w:szCs w:val="18"/>
              </w:rPr>
            </w:pPr>
          </w:p>
        </w:tc>
        <w:tc>
          <w:tcPr>
            <w:tcW w:w="894" w:type="dxa"/>
            <w:tcBorders>
              <w:bottom w:val="single" w:sz="2" w:space="0" w:color="3D7FE0" w:themeColor="accent1"/>
            </w:tcBorders>
            <w:shd w:val="clear" w:color="auto" w:fill="auto"/>
            <w:vAlign w:val="bottom"/>
          </w:tcPr>
          <w:p w14:paraId="2211FF6E"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472.3</w:t>
            </w:r>
          </w:p>
        </w:tc>
        <w:tc>
          <w:tcPr>
            <w:tcW w:w="1037" w:type="dxa"/>
            <w:tcBorders>
              <w:bottom w:val="single" w:sz="2" w:space="0" w:color="3D7FE0" w:themeColor="accent1"/>
            </w:tcBorders>
            <w:shd w:val="clear" w:color="auto" w:fill="auto"/>
            <w:vAlign w:val="bottom"/>
          </w:tcPr>
          <w:p w14:paraId="2780F5F4"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97.3</w:t>
            </w:r>
          </w:p>
        </w:tc>
        <w:tc>
          <w:tcPr>
            <w:tcW w:w="1038" w:type="dxa"/>
            <w:tcBorders>
              <w:bottom w:val="single" w:sz="2" w:space="0" w:color="3D7FE0" w:themeColor="accent1"/>
            </w:tcBorders>
            <w:shd w:val="clear" w:color="auto" w:fill="auto"/>
            <w:vAlign w:val="bottom"/>
          </w:tcPr>
          <w:p w14:paraId="19686710"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569.6</w:t>
            </w:r>
          </w:p>
        </w:tc>
        <w:tc>
          <w:tcPr>
            <w:tcW w:w="1037" w:type="dxa"/>
            <w:gridSpan w:val="2"/>
            <w:tcBorders>
              <w:bottom w:val="single" w:sz="2" w:space="0" w:color="3D7FE0" w:themeColor="accent1"/>
            </w:tcBorders>
            <w:shd w:val="clear" w:color="auto" w:fill="auto"/>
            <w:vAlign w:val="bottom"/>
          </w:tcPr>
          <w:p w14:paraId="554686FC"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218.8</w:t>
            </w:r>
          </w:p>
        </w:tc>
        <w:tc>
          <w:tcPr>
            <w:tcW w:w="1037" w:type="dxa"/>
            <w:tcBorders>
              <w:bottom w:val="single" w:sz="2" w:space="0" w:color="3D7FE0" w:themeColor="accent1"/>
            </w:tcBorders>
            <w:shd w:val="clear" w:color="auto" w:fill="auto"/>
            <w:vAlign w:val="bottom"/>
          </w:tcPr>
          <w:p w14:paraId="0DB557E7"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117.7</w:t>
            </w:r>
          </w:p>
        </w:tc>
        <w:tc>
          <w:tcPr>
            <w:tcW w:w="1038" w:type="dxa"/>
            <w:gridSpan w:val="2"/>
            <w:tcBorders>
              <w:bottom w:val="single" w:sz="2" w:space="0" w:color="3D7FE0" w:themeColor="accent1"/>
            </w:tcBorders>
            <w:shd w:val="clear" w:color="auto" w:fill="auto"/>
            <w:vAlign w:val="bottom"/>
          </w:tcPr>
          <w:p w14:paraId="00F9F10B" w14:textId="77777777" w:rsidR="006B43AF" w:rsidRPr="005907D3"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336.5</w:t>
            </w:r>
          </w:p>
        </w:tc>
      </w:tr>
      <w:tr w:rsidR="006B43AF" w:rsidRPr="005907D3" w14:paraId="3A7041B3" w14:textId="77777777" w:rsidTr="004203CD">
        <w:trPr>
          <w:cantSplit/>
          <w:trHeight w:val="20"/>
        </w:trPr>
        <w:tc>
          <w:tcPr>
            <w:tcW w:w="3402" w:type="dxa"/>
            <w:tcBorders>
              <w:top w:val="single" w:sz="2" w:space="0" w:color="3D7FE0" w:themeColor="accent1"/>
            </w:tcBorders>
            <w:shd w:val="clear" w:color="auto" w:fill="auto"/>
            <w:vAlign w:val="center"/>
          </w:tcPr>
          <w:p w14:paraId="2AFE5E66" w14:textId="77777777" w:rsidR="006B43AF" w:rsidRPr="005907D3" w:rsidRDefault="006B43AF" w:rsidP="004203CD">
            <w:pPr>
              <w:pStyle w:val="TablesTText"/>
              <w:spacing w:line="276" w:lineRule="auto"/>
              <w:rPr>
                <w:rFonts w:ascii="IBM Plex Sans Light" w:hAnsi="IBM Plex Sans Light"/>
                <w:sz w:val="18"/>
                <w:szCs w:val="18"/>
                <w:highlight w:val="yellow"/>
              </w:rPr>
            </w:pPr>
          </w:p>
        </w:tc>
        <w:tc>
          <w:tcPr>
            <w:tcW w:w="426" w:type="dxa"/>
            <w:tcBorders>
              <w:top w:val="single" w:sz="2" w:space="0" w:color="3D7FE0" w:themeColor="accent1"/>
            </w:tcBorders>
            <w:shd w:val="clear" w:color="auto" w:fill="auto"/>
            <w:vAlign w:val="center"/>
          </w:tcPr>
          <w:p w14:paraId="7B7839A4" w14:textId="77777777" w:rsidR="006B43AF" w:rsidRPr="005907D3" w:rsidRDefault="006B43AF" w:rsidP="004203CD">
            <w:pPr>
              <w:pStyle w:val="TablesTText"/>
              <w:spacing w:line="276" w:lineRule="auto"/>
              <w:jc w:val="center"/>
              <w:rPr>
                <w:rFonts w:ascii="IBM Plex Sans Light" w:hAnsi="IBM Plex Sans Light"/>
                <w:sz w:val="18"/>
                <w:szCs w:val="18"/>
                <w:highlight w:val="yellow"/>
              </w:rPr>
            </w:pPr>
          </w:p>
        </w:tc>
        <w:tc>
          <w:tcPr>
            <w:tcW w:w="894" w:type="dxa"/>
            <w:tcBorders>
              <w:top w:val="single" w:sz="2" w:space="0" w:color="3D7FE0" w:themeColor="accent1"/>
            </w:tcBorders>
            <w:shd w:val="clear" w:color="auto" w:fill="auto"/>
            <w:vAlign w:val="bottom"/>
          </w:tcPr>
          <w:p w14:paraId="4E48552E" w14:textId="77777777"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553.8</w:t>
            </w:r>
          </w:p>
        </w:tc>
        <w:tc>
          <w:tcPr>
            <w:tcW w:w="1037" w:type="dxa"/>
            <w:tcBorders>
              <w:top w:val="single" w:sz="2" w:space="0" w:color="3D7FE0" w:themeColor="accent1"/>
            </w:tcBorders>
            <w:shd w:val="clear" w:color="auto" w:fill="auto"/>
            <w:vAlign w:val="bottom"/>
          </w:tcPr>
          <w:p w14:paraId="47F8AD09" w14:textId="0DAABB79"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12</w:t>
            </w:r>
            <w:r w:rsidR="00D80027">
              <w:rPr>
                <w:rFonts w:ascii="IBM Plex Sans Medium" w:hAnsi="IBM Plex Sans Medium"/>
                <w:b/>
                <w:bCs/>
                <w:color w:val="3D7FE0" w:themeColor="accent1"/>
                <w:sz w:val="18"/>
                <w:szCs w:val="18"/>
              </w:rPr>
              <w:t>0.9</w:t>
            </w:r>
          </w:p>
        </w:tc>
        <w:tc>
          <w:tcPr>
            <w:tcW w:w="1038" w:type="dxa"/>
            <w:tcBorders>
              <w:top w:val="single" w:sz="2" w:space="0" w:color="3D7FE0" w:themeColor="accent1"/>
            </w:tcBorders>
            <w:shd w:val="clear" w:color="auto" w:fill="auto"/>
            <w:vAlign w:val="bottom"/>
          </w:tcPr>
          <w:p w14:paraId="2A131E9E" w14:textId="69E6CCF9" w:rsidR="006B43AF" w:rsidRPr="003555F8" w:rsidRDefault="006B43AF" w:rsidP="004203CD">
            <w:pPr>
              <w:pStyle w:val="TablesTFigures"/>
              <w:spacing w:line="276" w:lineRule="auto"/>
              <w:rPr>
                <w:rFonts w:ascii="IBM Plex Sans Medium" w:hAnsi="IBM Plex Sans Medium"/>
                <w:b/>
                <w:bCs/>
                <w:color w:val="3D7FE0" w:themeColor="accent1"/>
                <w:sz w:val="18"/>
                <w:szCs w:val="18"/>
              </w:rPr>
            </w:pPr>
            <w:r w:rsidRPr="003555F8">
              <w:rPr>
                <w:rFonts w:ascii="IBM Plex Sans Medium" w:hAnsi="IBM Plex Sans Medium"/>
                <w:b/>
                <w:bCs/>
                <w:color w:val="3D7FE0" w:themeColor="accent1"/>
                <w:sz w:val="18"/>
                <w:szCs w:val="18"/>
              </w:rPr>
              <w:t>67</w:t>
            </w:r>
            <w:r w:rsidR="00D80027">
              <w:rPr>
                <w:rFonts w:ascii="IBM Plex Sans Medium" w:hAnsi="IBM Plex Sans Medium"/>
                <w:b/>
                <w:bCs/>
                <w:color w:val="3D7FE0" w:themeColor="accent1"/>
                <w:sz w:val="18"/>
                <w:szCs w:val="18"/>
              </w:rPr>
              <w:t>4.7</w:t>
            </w:r>
          </w:p>
        </w:tc>
        <w:tc>
          <w:tcPr>
            <w:tcW w:w="1037" w:type="dxa"/>
            <w:gridSpan w:val="2"/>
            <w:tcBorders>
              <w:top w:val="single" w:sz="2" w:space="0" w:color="3D7FE0" w:themeColor="accent1"/>
            </w:tcBorders>
            <w:shd w:val="clear" w:color="auto" w:fill="auto"/>
            <w:vAlign w:val="bottom"/>
          </w:tcPr>
          <w:p w14:paraId="3A8A5FE7" w14:textId="77777777" w:rsidR="006B43AF" w:rsidRPr="003555F8"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349.6</w:t>
            </w:r>
          </w:p>
        </w:tc>
        <w:tc>
          <w:tcPr>
            <w:tcW w:w="1037" w:type="dxa"/>
            <w:tcBorders>
              <w:top w:val="single" w:sz="2" w:space="0" w:color="3D7FE0" w:themeColor="accent1"/>
            </w:tcBorders>
            <w:shd w:val="clear" w:color="auto" w:fill="auto"/>
            <w:vAlign w:val="bottom"/>
          </w:tcPr>
          <w:p w14:paraId="698DE5DA" w14:textId="77777777" w:rsidR="006B43AF" w:rsidRPr="003555F8"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182.1</w:t>
            </w:r>
          </w:p>
        </w:tc>
        <w:tc>
          <w:tcPr>
            <w:tcW w:w="1038" w:type="dxa"/>
            <w:gridSpan w:val="2"/>
            <w:tcBorders>
              <w:top w:val="single" w:sz="2" w:space="0" w:color="3D7FE0" w:themeColor="accent1"/>
            </w:tcBorders>
            <w:shd w:val="clear" w:color="auto" w:fill="auto"/>
            <w:vAlign w:val="bottom"/>
          </w:tcPr>
          <w:p w14:paraId="03B7BA3C" w14:textId="77777777" w:rsidR="006B43AF" w:rsidRPr="003555F8" w:rsidRDefault="006B43AF" w:rsidP="004203CD">
            <w:pPr>
              <w:pStyle w:val="TablesTFigures"/>
              <w:spacing w:line="276" w:lineRule="auto"/>
              <w:rPr>
                <w:rFonts w:ascii="IBM Plex Sans Light" w:hAnsi="IBM Plex Sans Light"/>
                <w:sz w:val="18"/>
                <w:szCs w:val="18"/>
              </w:rPr>
            </w:pPr>
            <w:r w:rsidRPr="003555F8">
              <w:rPr>
                <w:rFonts w:ascii="IBM Plex Sans Light" w:hAnsi="IBM Plex Sans Light"/>
                <w:sz w:val="18"/>
                <w:szCs w:val="18"/>
              </w:rPr>
              <w:t>531.7</w:t>
            </w:r>
          </w:p>
        </w:tc>
      </w:tr>
      <w:tr w:rsidR="006B43AF" w:rsidRPr="005907D3" w14:paraId="5C5AF805" w14:textId="77777777" w:rsidTr="004203CD">
        <w:trPr>
          <w:cantSplit/>
          <w:trHeight w:val="20"/>
        </w:trPr>
        <w:tc>
          <w:tcPr>
            <w:tcW w:w="3402" w:type="dxa"/>
            <w:tcBorders>
              <w:bottom w:val="single" w:sz="2" w:space="0" w:color="3D7FE0" w:themeColor="accent1"/>
            </w:tcBorders>
            <w:shd w:val="clear" w:color="auto" w:fill="auto"/>
            <w:vAlign w:val="center"/>
          </w:tcPr>
          <w:p w14:paraId="7F9548D0"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Total assets</w:t>
            </w:r>
          </w:p>
        </w:tc>
        <w:tc>
          <w:tcPr>
            <w:tcW w:w="426" w:type="dxa"/>
            <w:tcBorders>
              <w:bottom w:val="single" w:sz="2" w:space="0" w:color="3D7FE0" w:themeColor="accent1"/>
            </w:tcBorders>
            <w:shd w:val="clear" w:color="auto" w:fill="auto"/>
            <w:vAlign w:val="center"/>
          </w:tcPr>
          <w:p w14:paraId="1D175D22" w14:textId="77777777" w:rsidR="006B43AF" w:rsidRPr="005907D3" w:rsidRDefault="006B43AF" w:rsidP="004203CD">
            <w:pPr>
              <w:pStyle w:val="TablesTTextBold"/>
              <w:spacing w:line="276" w:lineRule="auto"/>
              <w:jc w:val="center"/>
              <w:rPr>
                <w:rFonts w:ascii="IBM Plex Sans Light" w:hAnsi="IBM Plex Sans Light"/>
                <w:b/>
                <w:bCs/>
                <w:sz w:val="18"/>
                <w:szCs w:val="18"/>
              </w:rPr>
            </w:pPr>
          </w:p>
        </w:tc>
        <w:tc>
          <w:tcPr>
            <w:tcW w:w="894" w:type="dxa"/>
            <w:tcBorders>
              <w:bottom w:val="single" w:sz="2" w:space="0" w:color="3D7FE0" w:themeColor="accent1"/>
            </w:tcBorders>
            <w:shd w:val="clear" w:color="auto" w:fill="auto"/>
            <w:vAlign w:val="bottom"/>
          </w:tcPr>
          <w:p w14:paraId="245CA7B6"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r w:rsidRPr="005774D7">
              <w:rPr>
                <w:rFonts w:ascii="IBM Plex Sans Medium" w:hAnsi="IBM Plex Sans Medium"/>
                <w:b/>
                <w:bCs/>
                <w:color w:val="3D7FE0" w:themeColor="accent1"/>
                <w:sz w:val="18"/>
                <w:szCs w:val="18"/>
              </w:rPr>
              <w:t>4,</w:t>
            </w:r>
            <w:r>
              <w:rPr>
                <w:rFonts w:ascii="IBM Plex Sans Medium" w:hAnsi="IBM Plex Sans Medium"/>
                <w:b/>
                <w:bCs/>
                <w:color w:val="3D7FE0" w:themeColor="accent1"/>
                <w:sz w:val="18"/>
                <w:szCs w:val="18"/>
              </w:rPr>
              <w:t>327.8</w:t>
            </w:r>
          </w:p>
        </w:tc>
        <w:tc>
          <w:tcPr>
            <w:tcW w:w="1037" w:type="dxa"/>
            <w:tcBorders>
              <w:bottom w:val="single" w:sz="2" w:space="0" w:color="3D7FE0" w:themeColor="accent1"/>
            </w:tcBorders>
            <w:shd w:val="clear" w:color="auto" w:fill="auto"/>
            <w:vAlign w:val="bottom"/>
          </w:tcPr>
          <w:p w14:paraId="119ABA1A" w14:textId="56525940"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32</w:t>
            </w:r>
            <w:r w:rsidR="00D80027">
              <w:rPr>
                <w:rFonts w:ascii="IBM Plex Sans Medium" w:hAnsi="IBM Plex Sans Medium"/>
                <w:b/>
                <w:bCs/>
                <w:color w:val="3D7FE0" w:themeColor="accent1"/>
                <w:sz w:val="18"/>
                <w:szCs w:val="18"/>
              </w:rPr>
              <w:t>4.3</w:t>
            </w:r>
          </w:p>
        </w:tc>
        <w:tc>
          <w:tcPr>
            <w:tcW w:w="1038" w:type="dxa"/>
            <w:tcBorders>
              <w:bottom w:val="single" w:sz="2" w:space="0" w:color="3D7FE0" w:themeColor="accent1"/>
            </w:tcBorders>
            <w:shd w:val="clear" w:color="auto" w:fill="auto"/>
            <w:vAlign w:val="bottom"/>
          </w:tcPr>
          <w:p w14:paraId="77E227C5" w14:textId="3036E290"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4,65</w:t>
            </w:r>
            <w:r w:rsidR="00D80027">
              <w:rPr>
                <w:rFonts w:ascii="IBM Plex Sans Medium" w:hAnsi="IBM Plex Sans Medium"/>
                <w:b/>
                <w:bCs/>
                <w:color w:val="3D7FE0" w:themeColor="accent1"/>
                <w:sz w:val="18"/>
                <w:szCs w:val="18"/>
              </w:rPr>
              <w:t>2.1</w:t>
            </w:r>
          </w:p>
        </w:tc>
        <w:tc>
          <w:tcPr>
            <w:tcW w:w="1037" w:type="dxa"/>
            <w:gridSpan w:val="2"/>
            <w:tcBorders>
              <w:bottom w:val="single" w:sz="2" w:space="0" w:color="3D7FE0" w:themeColor="accent1"/>
            </w:tcBorders>
            <w:shd w:val="clear" w:color="auto" w:fill="auto"/>
            <w:vAlign w:val="center"/>
          </w:tcPr>
          <w:p w14:paraId="3A1CB6D7" w14:textId="77777777" w:rsidR="006B43AF" w:rsidRPr="005907D3" w:rsidRDefault="006B43AF" w:rsidP="004203CD">
            <w:pPr>
              <w:pStyle w:val="TablesTFigures"/>
              <w:spacing w:line="276" w:lineRule="auto"/>
              <w:rPr>
                <w:rFonts w:ascii="IBM Plex Sans Light" w:hAnsi="IBM Plex Sans Light"/>
                <w:bCs/>
                <w:sz w:val="18"/>
                <w:szCs w:val="18"/>
              </w:rPr>
            </w:pPr>
            <w:r>
              <w:rPr>
                <w:rFonts w:ascii="IBM Plex Sans Light" w:hAnsi="IBM Plex Sans Light"/>
                <w:sz w:val="18"/>
                <w:szCs w:val="18"/>
              </w:rPr>
              <w:t>4,536.4</w:t>
            </w:r>
          </w:p>
        </w:tc>
        <w:tc>
          <w:tcPr>
            <w:tcW w:w="1037" w:type="dxa"/>
            <w:tcBorders>
              <w:bottom w:val="single" w:sz="2" w:space="0" w:color="3D7FE0" w:themeColor="accent1"/>
            </w:tcBorders>
            <w:shd w:val="clear" w:color="auto" w:fill="auto"/>
            <w:vAlign w:val="center"/>
          </w:tcPr>
          <w:p w14:paraId="7A9F1CC2" w14:textId="77777777" w:rsidR="006B43AF" w:rsidRPr="005907D3" w:rsidRDefault="006B43AF" w:rsidP="004203CD">
            <w:pPr>
              <w:pStyle w:val="TablesTFigures"/>
              <w:spacing w:line="276" w:lineRule="auto"/>
              <w:rPr>
                <w:rFonts w:ascii="IBM Plex Sans Light" w:hAnsi="IBM Plex Sans Light"/>
                <w:bCs/>
                <w:sz w:val="18"/>
                <w:szCs w:val="18"/>
              </w:rPr>
            </w:pPr>
            <w:r>
              <w:rPr>
                <w:rFonts w:ascii="IBM Plex Sans Light" w:hAnsi="IBM Plex Sans Light"/>
                <w:sz w:val="18"/>
                <w:szCs w:val="18"/>
              </w:rPr>
              <w:t>481.6</w:t>
            </w:r>
          </w:p>
        </w:tc>
        <w:tc>
          <w:tcPr>
            <w:tcW w:w="1038" w:type="dxa"/>
            <w:gridSpan w:val="2"/>
            <w:tcBorders>
              <w:bottom w:val="single" w:sz="2" w:space="0" w:color="3D7FE0" w:themeColor="accent1"/>
            </w:tcBorders>
            <w:shd w:val="clear" w:color="auto" w:fill="auto"/>
            <w:vAlign w:val="center"/>
          </w:tcPr>
          <w:p w14:paraId="451F49B1" w14:textId="77777777" w:rsidR="006B43AF" w:rsidRPr="005907D3" w:rsidRDefault="006B43AF" w:rsidP="004203CD">
            <w:pPr>
              <w:pStyle w:val="TablesTFigures"/>
              <w:spacing w:line="276" w:lineRule="auto"/>
              <w:rPr>
                <w:rFonts w:ascii="IBM Plex Sans Light" w:hAnsi="IBM Plex Sans Light"/>
                <w:bCs/>
                <w:sz w:val="18"/>
                <w:szCs w:val="18"/>
              </w:rPr>
            </w:pPr>
            <w:r>
              <w:rPr>
                <w:rFonts w:ascii="IBM Plex Sans Light" w:hAnsi="IBM Plex Sans Light"/>
                <w:sz w:val="18"/>
                <w:szCs w:val="18"/>
              </w:rPr>
              <w:t>5,018.0</w:t>
            </w:r>
          </w:p>
        </w:tc>
      </w:tr>
      <w:tr w:rsidR="006B43AF" w:rsidRPr="005907D3" w14:paraId="491A964C" w14:textId="77777777" w:rsidTr="004203CD">
        <w:trPr>
          <w:cantSplit/>
          <w:trHeight w:val="20"/>
        </w:trPr>
        <w:tc>
          <w:tcPr>
            <w:tcW w:w="3402" w:type="dxa"/>
            <w:tcBorders>
              <w:top w:val="single" w:sz="2" w:space="0" w:color="3D7FE0" w:themeColor="accent1"/>
            </w:tcBorders>
            <w:shd w:val="clear" w:color="auto" w:fill="auto"/>
            <w:vAlign w:val="center"/>
          </w:tcPr>
          <w:p w14:paraId="28E9C729"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Current liabilities</w:t>
            </w:r>
          </w:p>
        </w:tc>
        <w:tc>
          <w:tcPr>
            <w:tcW w:w="426" w:type="dxa"/>
            <w:tcBorders>
              <w:top w:val="single" w:sz="2" w:space="0" w:color="3D7FE0" w:themeColor="accent1"/>
            </w:tcBorders>
            <w:shd w:val="clear" w:color="auto" w:fill="auto"/>
            <w:vAlign w:val="center"/>
          </w:tcPr>
          <w:p w14:paraId="2B8A4697" w14:textId="77777777" w:rsidR="006B43AF" w:rsidRPr="005907D3" w:rsidRDefault="006B43AF" w:rsidP="004203CD">
            <w:pPr>
              <w:pStyle w:val="TablesTTextBold"/>
              <w:spacing w:line="276" w:lineRule="auto"/>
              <w:jc w:val="center"/>
              <w:rPr>
                <w:rFonts w:ascii="IBM Plex Sans Light" w:hAnsi="IBM Plex Sans Light"/>
                <w:b/>
                <w:bCs/>
                <w:sz w:val="18"/>
                <w:szCs w:val="18"/>
              </w:rPr>
            </w:pPr>
          </w:p>
        </w:tc>
        <w:tc>
          <w:tcPr>
            <w:tcW w:w="894" w:type="dxa"/>
            <w:tcBorders>
              <w:top w:val="single" w:sz="2" w:space="0" w:color="3D7FE0" w:themeColor="accent1"/>
            </w:tcBorders>
            <w:shd w:val="clear" w:color="auto" w:fill="auto"/>
          </w:tcPr>
          <w:p w14:paraId="72C2C866"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tcBorders>
              <w:top w:val="single" w:sz="2" w:space="0" w:color="3D7FE0" w:themeColor="accent1"/>
            </w:tcBorders>
            <w:shd w:val="clear" w:color="auto" w:fill="auto"/>
          </w:tcPr>
          <w:p w14:paraId="358EDE14"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p>
        </w:tc>
        <w:tc>
          <w:tcPr>
            <w:tcW w:w="1038" w:type="dxa"/>
            <w:tcBorders>
              <w:top w:val="single" w:sz="2" w:space="0" w:color="3D7FE0" w:themeColor="accent1"/>
            </w:tcBorders>
            <w:shd w:val="clear" w:color="auto" w:fill="auto"/>
          </w:tcPr>
          <w:p w14:paraId="44EA63D5" w14:textId="77777777" w:rsidR="006B43AF" w:rsidRPr="005774D7"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gridSpan w:val="2"/>
            <w:tcBorders>
              <w:top w:val="single" w:sz="2" w:space="0" w:color="3D7FE0" w:themeColor="accent1"/>
            </w:tcBorders>
            <w:shd w:val="clear" w:color="auto" w:fill="auto"/>
            <w:vAlign w:val="center"/>
          </w:tcPr>
          <w:p w14:paraId="6F04AF8D" w14:textId="77777777" w:rsidR="006B43AF" w:rsidRPr="005907D3" w:rsidRDefault="006B43AF" w:rsidP="004203CD">
            <w:pPr>
              <w:pStyle w:val="TablesTFigures"/>
              <w:spacing w:line="276" w:lineRule="auto"/>
              <w:rPr>
                <w:rFonts w:ascii="IBM Plex Sans Light" w:hAnsi="IBM Plex Sans Light"/>
                <w:sz w:val="18"/>
                <w:szCs w:val="18"/>
              </w:rPr>
            </w:pPr>
          </w:p>
        </w:tc>
        <w:tc>
          <w:tcPr>
            <w:tcW w:w="1037" w:type="dxa"/>
            <w:tcBorders>
              <w:top w:val="single" w:sz="2" w:space="0" w:color="3D7FE0" w:themeColor="accent1"/>
            </w:tcBorders>
            <w:shd w:val="clear" w:color="auto" w:fill="auto"/>
            <w:vAlign w:val="center"/>
          </w:tcPr>
          <w:p w14:paraId="21CFB7E0" w14:textId="77777777" w:rsidR="006B43AF" w:rsidRPr="005907D3" w:rsidRDefault="006B43AF" w:rsidP="004203CD">
            <w:pPr>
              <w:pStyle w:val="TablesTFigures"/>
              <w:spacing w:line="276" w:lineRule="auto"/>
              <w:rPr>
                <w:rFonts w:ascii="IBM Plex Sans Light" w:hAnsi="IBM Plex Sans Light"/>
                <w:sz w:val="18"/>
                <w:szCs w:val="18"/>
              </w:rPr>
            </w:pPr>
          </w:p>
        </w:tc>
        <w:tc>
          <w:tcPr>
            <w:tcW w:w="1038" w:type="dxa"/>
            <w:gridSpan w:val="2"/>
            <w:tcBorders>
              <w:top w:val="single" w:sz="2" w:space="0" w:color="3D7FE0" w:themeColor="accent1"/>
            </w:tcBorders>
            <w:shd w:val="clear" w:color="auto" w:fill="auto"/>
            <w:vAlign w:val="center"/>
          </w:tcPr>
          <w:p w14:paraId="38CDC565" w14:textId="77777777" w:rsidR="006B43AF" w:rsidRPr="005907D3" w:rsidRDefault="006B43AF" w:rsidP="004203CD">
            <w:pPr>
              <w:pStyle w:val="TablesTFigures"/>
              <w:spacing w:line="276" w:lineRule="auto"/>
              <w:rPr>
                <w:rFonts w:ascii="IBM Plex Sans Light" w:hAnsi="IBM Plex Sans Light"/>
                <w:sz w:val="18"/>
                <w:szCs w:val="18"/>
              </w:rPr>
            </w:pPr>
          </w:p>
        </w:tc>
      </w:tr>
      <w:tr w:rsidR="006B43AF" w:rsidRPr="005907D3" w14:paraId="52D6A65A" w14:textId="77777777" w:rsidTr="004203CD">
        <w:trPr>
          <w:cantSplit/>
          <w:trHeight w:val="20"/>
        </w:trPr>
        <w:tc>
          <w:tcPr>
            <w:tcW w:w="3402" w:type="dxa"/>
            <w:shd w:val="clear" w:color="auto" w:fill="auto"/>
            <w:vAlign w:val="bottom"/>
          </w:tcPr>
          <w:p w14:paraId="1C04BCF3"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Trade and other payables</w:t>
            </w:r>
          </w:p>
        </w:tc>
        <w:tc>
          <w:tcPr>
            <w:tcW w:w="426" w:type="dxa"/>
            <w:shd w:val="clear" w:color="auto" w:fill="auto"/>
            <w:vAlign w:val="center"/>
          </w:tcPr>
          <w:p w14:paraId="7CD179DC"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0B3CE6FC"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(129.9)</w:t>
            </w:r>
          </w:p>
        </w:tc>
        <w:tc>
          <w:tcPr>
            <w:tcW w:w="1037" w:type="dxa"/>
            <w:shd w:val="clear" w:color="auto" w:fill="auto"/>
            <w:vAlign w:val="bottom"/>
          </w:tcPr>
          <w:p w14:paraId="3A7600FA" w14:textId="449E80E2"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(4</w:t>
            </w:r>
            <w:r w:rsidR="00D80027">
              <w:rPr>
                <w:rFonts w:ascii="IBM Plex Sans Medium" w:hAnsi="IBM Plex Sans Medium"/>
                <w:b/>
                <w:bCs/>
                <w:color w:val="3D7FE0" w:themeColor="accent1"/>
                <w:sz w:val="18"/>
                <w:szCs w:val="18"/>
              </w:rPr>
              <w:t>6.0</w:t>
            </w:r>
            <w:r w:rsidRPr="009177D7">
              <w:rPr>
                <w:rFonts w:ascii="IBM Plex Sans Medium" w:hAnsi="IBM Plex Sans Medium"/>
                <w:b/>
                <w:bCs/>
                <w:color w:val="3D7FE0" w:themeColor="accent1"/>
                <w:sz w:val="18"/>
                <w:szCs w:val="18"/>
              </w:rPr>
              <w:t>)</w:t>
            </w:r>
          </w:p>
        </w:tc>
        <w:tc>
          <w:tcPr>
            <w:tcW w:w="1038" w:type="dxa"/>
            <w:shd w:val="clear" w:color="auto" w:fill="auto"/>
            <w:vAlign w:val="bottom"/>
          </w:tcPr>
          <w:p w14:paraId="5C104FD5" w14:textId="0FC33E63"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(17</w:t>
            </w:r>
            <w:r w:rsidR="00D80027">
              <w:rPr>
                <w:rFonts w:ascii="IBM Plex Sans Medium" w:hAnsi="IBM Plex Sans Medium"/>
                <w:b/>
                <w:bCs/>
                <w:color w:val="3D7FE0" w:themeColor="accent1"/>
                <w:sz w:val="18"/>
                <w:szCs w:val="18"/>
              </w:rPr>
              <w:t>5.9</w:t>
            </w:r>
            <w:r w:rsidRPr="009177D7">
              <w:rPr>
                <w:rFonts w:ascii="IBM Plex Sans Medium" w:hAnsi="IBM Plex Sans Medium"/>
                <w:b/>
                <w:bCs/>
                <w:color w:val="3D7FE0" w:themeColor="accent1"/>
                <w:sz w:val="18"/>
                <w:szCs w:val="18"/>
              </w:rPr>
              <w:t>)</w:t>
            </w:r>
          </w:p>
        </w:tc>
        <w:tc>
          <w:tcPr>
            <w:tcW w:w="1037" w:type="dxa"/>
            <w:gridSpan w:val="2"/>
            <w:shd w:val="clear" w:color="auto" w:fill="auto"/>
            <w:vAlign w:val="bottom"/>
          </w:tcPr>
          <w:p w14:paraId="78D3967C"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(168.5)</w:t>
            </w:r>
          </w:p>
        </w:tc>
        <w:tc>
          <w:tcPr>
            <w:tcW w:w="1037" w:type="dxa"/>
            <w:shd w:val="clear" w:color="auto" w:fill="auto"/>
            <w:vAlign w:val="bottom"/>
          </w:tcPr>
          <w:p w14:paraId="684119C4"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(66.8)</w:t>
            </w:r>
          </w:p>
        </w:tc>
        <w:tc>
          <w:tcPr>
            <w:tcW w:w="1038" w:type="dxa"/>
            <w:gridSpan w:val="2"/>
            <w:shd w:val="clear" w:color="auto" w:fill="auto"/>
            <w:vAlign w:val="bottom"/>
          </w:tcPr>
          <w:p w14:paraId="248664D3"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(235.3)</w:t>
            </w:r>
          </w:p>
        </w:tc>
      </w:tr>
      <w:tr w:rsidR="006B43AF" w:rsidRPr="005907D3" w14:paraId="144F7038" w14:textId="77777777" w:rsidTr="004203CD">
        <w:trPr>
          <w:cantSplit/>
          <w:trHeight w:val="20"/>
        </w:trPr>
        <w:tc>
          <w:tcPr>
            <w:tcW w:w="3402" w:type="dxa"/>
            <w:shd w:val="clear" w:color="auto" w:fill="auto"/>
            <w:vAlign w:val="bottom"/>
          </w:tcPr>
          <w:p w14:paraId="0FB8B147"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Loans</w:t>
            </w:r>
          </w:p>
        </w:tc>
        <w:tc>
          <w:tcPr>
            <w:tcW w:w="426" w:type="dxa"/>
            <w:shd w:val="clear" w:color="auto" w:fill="auto"/>
            <w:vAlign w:val="center"/>
          </w:tcPr>
          <w:p w14:paraId="3B759775"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294032DB"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(108.6)</w:t>
            </w:r>
          </w:p>
        </w:tc>
        <w:tc>
          <w:tcPr>
            <w:tcW w:w="1037" w:type="dxa"/>
            <w:shd w:val="clear" w:color="auto" w:fill="auto"/>
            <w:vAlign w:val="bottom"/>
          </w:tcPr>
          <w:p w14:paraId="1EEBBCC0" w14:textId="77777777" w:rsidR="006B43AF" w:rsidRPr="009177D7" w:rsidRDefault="006B43AF" w:rsidP="004203CD">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(260.0)</w:t>
            </w:r>
          </w:p>
        </w:tc>
        <w:tc>
          <w:tcPr>
            <w:tcW w:w="1038" w:type="dxa"/>
            <w:shd w:val="clear" w:color="auto" w:fill="auto"/>
            <w:vAlign w:val="bottom"/>
          </w:tcPr>
          <w:p w14:paraId="54B4C646" w14:textId="77777777" w:rsidR="006B43AF" w:rsidRPr="009177D7" w:rsidRDefault="006B43AF" w:rsidP="004203CD">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(368.6)</w:t>
            </w:r>
          </w:p>
        </w:tc>
        <w:tc>
          <w:tcPr>
            <w:tcW w:w="1037" w:type="dxa"/>
            <w:gridSpan w:val="2"/>
            <w:shd w:val="clear" w:color="auto" w:fill="auto"/>
            <w:vAlign w:val="bottom"/>
          </w:tcPr>
          <w:p w14:paraId="362751EF" w14:textId="77777777" w:rsidR="006B43AF" w:rsidRPr="005907D3" w:rsidRDefault="006B43AF" w:rsidP="004203CD">
            <w:pPr>
              <w:pStyle w:val="TablesTFigures"/>
              <w:spacing w:line="276" w:lineRule="auto"/>
              <w:rPr>
                <w:rFonts w:ascii="IBM Plex Sans Light" w:hAnsi="IBM Plex Sans Light"/>
                <w:sz w:val="18"/>
                <w:szCs w:val="18"/>
              </w:rPr>
            </w:pPr>
            <w:r w:rsidRPr="009177D7">
              <w:rPr>
                <w:rFonts w:ascii="IBM Plex Sans Light" w:hAnsi="IBM Plex Sans Light"/>
                <w:sz w:val="18"/>
                <w:szCs w:val="18"/>
              </w:rPr>
              <w:t>–</w:t>
            </w:r>
          </w:p>
        </w:tc>
        <w:tc>
          <w:tcPr>
            <w:tcW w:w="1037" w:type="dxa"/>
            <w:shd w:val="clear" w:color="auto" w:fill="auto"/>
            <w:vAlign w:val="bottom"/>
          </w:tcPr>
          <w:p w14:paraId="1D7F03E2"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(126.1)</w:t>
            </w:r>
          </w:p>
        </w:tc>
        <w:tc>
          <w:tcPr>
            <w:tcW w:w="1038" w:type="dxa"/>
            <w:gridSpan w:val="2"/>
            <w:shd w:val="clear" w:color="auto" w:fill="auto"/>
            <w:vAlign w:val="bottom"/>
          </w:tcPr>
          <w:p w14:paraId="2CC4C893"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(126.1)</w:t>
            </w:r>
          </w:p>
        </w:tc>
      </w:tr>
      <w:tr w:rsidR="006B43AF" w:rsidRPr="005907D3" w14:paraId="2BD6612A" w14:textId="77777777" w:rsidTr="004203CD">
        <w:trPr>
          <w:cantSplit/>
          <w:trHeight w:val="20"/>
        </w:trPr>
        <w:tc>
          <w:tcPr>
            <w:tcW w:w="3402" w:type="dxa"/>
            <w:shd w:val="clear" w:color="auto" w:fill="auto"/>
            <w:vAlign w:val="bottom"/>
          </w:tcPr>
          <w:p w14:paraId="4690CC64"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Tax</w:t>
            </w:r>
          </w:p>
        </w:tc>
        <w:tc>
          <w:tcPr>
            <w:tcW w:w="426" w:type="dxa"/>
            <w:shd w:val="clear" w:color="auto" w:fill="auto"/>
            <w:vAlign w:val="center"/>
          </w:tcPr>
          <w:p w14:paraId="3BFDED13"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177CB617"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(0.3)</w:t>
            </w:r>
          </w:p>
        </w:tc>
        <w:tc>
          <w:tcPr>
            <w:tcW w:w="1037" w:type="dxa"/>
            <w:shd w:val="clear" w:color="auto" w:fill="auto"/>
            <w:vAlign w:val="bottom"/>
          </w:tcPr>
          <w:p w14:paraId="26624F13"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w:t>
            </w:r>
          </w:p>
        </w:tc>
        <w:tc>
          <w:tcPr>
            <w:tcW w:w="1038" w:type="dxa"/>
            <w:shd w:val="clear" w:color="auto" w:fill="auto"/>
            <w:vAlign w:val="bottom"/>
          </w:tcPr>
          <w:p w14:paraId="248040A7"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(0.3)</w:t>
            </w:r>
          </w:p>
        </w:tc>
        <w:tc>
          <w:tcPr>
            <w:tcW w:w="1037" w:type="dxa"/>
            <w:gridSpan w:val="2"/>
            <w:shd w:val="clear" w:color="auto" w:fill="auto"/>
            <w:vAlign w:val="bottom"/>
          </w:tcPr>
          <w:p w14:paraId="673D1BB6"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(0.5)</w:t>
            </w:r>
          </w:p>
        </w:tc>
        <w:tc>
          <w:tcPr>
            <w:tcW w:w="1037" w:type="dxa"/>
            <w:shd w:val="clear" w:color="auto" w:fill="auto"/>
            <w:vAlign w:val="bottom"/>
          </w:tcPr>
          <w:p w14:paraId="2E5CF52D"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(0.3)</w:t>
            </w:r>
          </w:p>
        </w:tc>
        <w:tc>
          <w:tcPr>
            <w:tcW w:w="1038" w:type="dxa"/>
            <w:gridSpan w:val="2"/>
            <w:shd w:val="clear" w:color="auto" w:fill="auto"/>
            <w:vAlign w:val="bottom"/>
          </w:tcPr>
          <w:p w14:paraId="3F3693F1"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(0.8)</w:t>
            </w:r>
          </w:p>
        </w:tc>
      </w:tr>
      <w:tr w:rsidR="006B43AF" w:rsidRPr="005907D3" w14:paraId="2D32A94C" w14:textId="77777777" w:rsidTr="004203CD">
        <w:trPr>
          <w:cantSplit/>
          <w:trHeight w:val="20"/>
        </w:trPr>
        <w:tc>
          <w:tcPr>
            <w:tcW w:w="3402" w:type="dxa"/>
            <w:tcBorders>
              <w:bottom w:val="single" w:sz="2" w:space="0" w:color="3D7FE0" w:themeColor="accent1"/>
            </w:tcBorders>
            <w:shd w:val="clear" w:color="auto" w:fill="auto"/>
            <w:vAlign w:val="bottom"/>
          </w:tcPr>
          <w:p w14:paraId="5A5A4F37"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Derivative financial instruments</w:t>
            </w:r>
          </w:p>
        </w:tc>
        <w:tc>
          <w:tcPr>
            <w:tcW w:w="426" w:type="dxa"/>
            <w:tcBorders>
              <w:bottom w:val="single" w:sz="2" w:space="0" w:color="3D7FE0" w:themeColor="accent1"/>
            </w:tcBorders>
            <w:shd w:val="clear" w:color="auto" w:fill="auto"/>
            <w:vAlign w:val="center"/>
          </w:tcPr>
          <w:p w14:paraId="559DCB58"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tcBorders>
              <w:bottom w:val="single" w:sz="2" w:space="0" w:color="3D7FE0" w:themeColor="accent1"/>
            </w:tcBorders>
            <w:shd w:val="clear" w:color="auto" w:fill="auto"/>
            <w:vAlign w:val="bottom"/>
          </w:tcPr>
          <w:p w14:paraId="218ECB0F"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(2.3)</w:t>
            </w:r>
          </w:p>
        </w:tc>
        <w:tc>
          <w:tcPr>
            <w:tcW w:w="1037" w:type="dxa"/>
            <w:tcBorders>
              <w:bottom w:val="single" w:sz="2" w:space="0" w:color="3D7FE0" w:themeColor="accent1"/>
            </w:tcBorders>
            <w:shd w:val="clear" w:color="auto" w:fill="auto"/>
            <w:vAlign w:val="bottom"/>
          </w:tcPr>
          <w:p w14:paraId="7E10BAFD"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w:t>
            </w:r>
          </w:p>
        </w:tc>
        <w:tc>
          <w:tcPr>
            <w:tcW w:w="1038" w:type="dxa"/>
            <w:tcBorders>
              <w:bottom w:val="single" w:sz="2" w:space="0" w:color="3D7FE0" w:themeColor="accent1"/>
            </w:tcBorders>
            <w:shd w:val="clear" w:color="auto" w:fill="auto"/>
            <w:vAlign w:val="bottom"/>
          </w:tcPr>
          <w:p w14:paraId="62E2731F"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(2.3)</w:t>
            </w:r>
          </w:p>
        </w:tc>
        <w:tc>
          <w:tcPr>
            <w:tcW w:w="1037" w:type="dxa"/>
            <w:gridSpan w:val="2"/>
            <w:tcBorders>
              <w:bottom w:val="single" w:sz="2" w:space="0" w:color="3D7FE0" w:themeColor="accent1"/>
            </w:tcBorders>
            <w:shd w:val="clear" w:color="auto" w:fill="auto"/>
            <w:vAlign w:val="bottom"/>
          </w:tcPr>
          <w:p w14:paraId="246745CE" w14:textId="77777777" w:rsidR="006B43AF" w:rsidRPr="005907D3" w:rsidRDefault="006B43AF" w:rsidP="004203CD">
            <w:pPr>
              <w:pStyle w:val="TablesTFigures"/>
              <w:spacing w:line="276" w:lineRule="auto"/>
              <w:rPr>
                <w:rFonts w:ascii="IBM Plex Sans Light" w:hAnsi="IBM Plex Sans Light"/>
                <w:sz w:val="18"/>
                <w:szCs w:val="18"/>
              </w:rPr>
            </w:pPr>
            <w:r w:rsidRPr="009177D7">
              <w:rPr>
                <w:rFonts w:ascii="IBM Plex Sans Light" w:hAnsi="IBM Plex Sans Light"/>
                <w:sz w:val="18"/>
                <w:szCs w:val="18"/>
              </w:rPr>
              <w:t>(16.1)</w:t>
            </w:r>
          </w:p>
        </w:tc>
        <w:tc>
          <w:tcPr>
            <w:tcW w:w="1037" w:type="dxa"/>
            <w:tcBorders>
              <w:bottom w:val="single" w:sz="2" w:space="0" w:color="3D7FE0" w:themeColor="accent1"/>
            </w:tcBorders>
            <w:shd w:val="clear" w:color="auto" w:fill="auto"/>
            <w:vAlign w:val="bottom"/>
          </w:tcPr>
          <w:p w14:paraId="28EDA5A3" w14:textId="77777777" w:rsidR="006B43AF" w:rsidRPr="005907D3" w:rsidRDefault="006B43AF" w:rsidP="004203CD">
            <w:pPr>
              <w:pStyle w:val="TablesTFigures"/>
              <w:spacing w:line="276" w:lineRule="auto"/>
              <w:rPr>
                <w:rFonts w:ascii="IBM Plex Sans Light" w:hAnsi="IBM Plex Sans Light"/>
                <w:sz w:val="18"/>
                <w:szCs w:val="18"/>
              </w:rPr>
            </w:pPr>
            <w:r w:rsidRPr="009177D7">
              <w:rPr>
                <w:rFonts w:ascii="IBM Plex Sans Light" w:hAnsi="IBM Plex Sans Light"/>
                <w:sz w:val="18"/>
                <w:szCs w:val="18"/>
              </w:rPr>
              <w:t>–</w:t>
            </w:r>
          </w:p>
        </w:tc>
        <w:tc>
          <w:tcPr>
            <w:tcW w:w="1038" w:type="dxa"/>
            <w:gridSpan w:val="2"/>
            <w:tcBorders>
              <w:bottom w:val="single" w:sz="2" w:space="0" w:color="3D7FE0" w:themeColor="accent1"/>
            </w:tcBorders>
            <w:shd w:val="clear" w:color="auto" w:fill="auto"/>
            <w:vAlign w:val="bottom"/>
          </w:tcPr>
          <w:p w14:paraId="3FF821BA" w14:textId="77777777" w:rsidR="006B43AF" w:rsidRPr="005907D3" w:rsidRDefault="006B43AF" w:rsidP="004203CD">
            <w:pPr>
              <w:pStyle w:val="TablesTFigures"/>
              <w:spacing w:line="276" w:lineRule="auto"/>
              <w:rPr>
                <w:rFonts w:ascii="IBM Plex Sans Light" w:hAnsi="IBM Plex Sans Light"/>
                <w:sz w:val="18"/>
                <w:szCs w:val="18"/>
              </w:rPr>
            </w:pPr>
            <w:r w:rsidRPr="009177D7">
              <w:rPr>
                <w:rFonts w:ascii="IBM Plex Sans Light" w:hAnsi="IBM Plex Sans Light"/>
                <w:sz w:val="18"/>
                <w:szCs w:val="18"/>
              </w:rPr>
              <w:t>(16.1)</w:t>
            </w:r>
          </w:p>
        </w:tc>
      </w:tr>
      <w:tr w:rsidR="006B43AF" w:rsidRPr="005907D3" w14:paraId="5F31F6BF" w14:textId="77777777" w:rsidTr="004203CD">
        <w:trPr>
          <w:cantSplit/>
          <w:trHeight w:val="20"/>
        </w:trPr>
        <w:tc>
          <w:tcPr>
            <w:tcW w:w="3402" w:type="dxa"/>
            <w:tcBorders>
              <w:top w:val="single" w:sz="2" w:space="0" w:color="3D7FE0" w:themeColor="accent1"/>
            </w:tcBorders>
            <w:shd w:val="clear" w:color="auto" w:fill="auto"/>
            <w:vAlign w:val="center"/>
          </w:tcPr>
          <w:p w14:paraId="0B95A274" w14:textId="77777777" w:rsidR="006B43AF" w:rsidRPr="005907D3" w:rsidRDefault="006B43AF" w:rsidP="004203CD">
            <w:pPr>
              <w:pStyle w:val="TablesTText"/>
              <w:spacing w:line="276" w:lineRule="auto"/>
              <w:rPr>
                <w:rFonts w:ascii="IBM Plex Sans Light" w:hAnsi="IBM Plex Sans Light"/>
                <w:b/>
                <w:bCs/>
                <w:sz w:val="18"/>
                <w:szCs w:val="18"/>
              </w:rPr>
            </w:pPr>
          </w:p>
        </w:tc>
        <w:tc>
          <w:tcPr>
            <w:tcW w:w="426" w:type="dxa"/>
            <w:tcBorders>
              <w:top w:val="single" w:sz="2" w:space="0" w:color="3D7FE0" w:themeColor="accent1"/>
            </w:tcBorders>
            <w:shd w:val="clear" w:color="auto" w:fill="auto"/>
            <w:vAlign w:val="center"/>
          </w:tcPr>
          <w:p w14:paraId="0685E774" w14:textId="77777777" w:rsidR="006B43AF" w:rsidRPr="005907D3" w:rsidRDefault="006B43AF" w:rsidP="004203CD">
            <w:pPr>
              <w:pStyle w:val="TablesTText"/>
              <w:spacing w:line="276" w:lineRule="auto"/>
              <w:jc w:val="center"/>
              <w:rPr>
                <w:rFonts w:ascii="IBM Plex Sans Light" w:hAnsi="IBM Plex Sans Light"/>
                <w:b/>
                <w:bCs/>
                <w:sz w:val="18"/>
                <w:szCs w:val="18"/>
              </w:rPr>
            </w:pPr>
          </w:p>
        </w:tc>
        <w:tc>
          <w:tcPr>
            <w:tcW w:w="894" w:type="dxa"/>
            <w:tcBorders>
              <w:top w:val="single" w:sz="2" w:space="0" w:color="3D7FE0" w:themeColor="accent1"/>
            </w:tcBorders>
            <w:shd w:val="clear" w:color="auto" w:fill="auto"/>
            <w:vAlign w:val="bottom"/>
          </w:tcPr>
          <w:p w14:paraId="5A0D002A"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(241.1)</w:t>
            </w:r>
          </w:p>
        </w:tc>
        <w:tc>
          <w:tcPr>
            <w:tcW w:w="1037" w:type="dxa"/>
            <w:tcBorders>
              <w:top w:val="single" w:sz="2" w:space="0" w:color="3D7FE0" w:themeColor="accent1"/>
            </w:tcBorders>
            <w:shd w:val="clear" w:color="auto" w:fill="auto"/>
            <w:vAlign w:val="bottom"/>
          </w:tcPr>
          <w:p w14:paraId="3FCC3FD9" w14:textId="503D1F1A"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(30</w:t>
            </w:r>
            <w:r w:rsidR="00D80027">
              <w:rPr>
                <w:rFonts w:ascii="IBM Plex Sans Medium" w:hAnsi="IBM Plex Sans Medium"/>
                <w:b/>
                <w:bCs/>
                <w:color w:val="3D7FE0" w:themeColor="accent1"/>
                <w:sz w:val="18"/>
                <w:szCs w:val="18"/>
              </w:rPr>
              <w:t>6.0</w:t>
            </w:r>
            <w:r w:rsidRPr="009177D7">
              <w:rPr>
                <w:rFonts w:ascii="IBM Plex Sans Medium" w:hAnsi="IBM Plex Sans Medium"/>
                <w:b/>
                <w:bCs/>
                <w:color w:val="3D7FE0" w:themeColor="accent1"/>
                <w:sz w:val="18"/>
                <w:szCs w:val="18"/>
              </w:rPr>
              <w:t>)</w:t>
            </w:r>
          </w:p>
        </w:tc>
        <w:tc>
          <w:tcPr>
            <w:tcW w:w="1038" w:type="dxa"/>
            <w:tcBorders>
              <w:top w:val="single" w:sz="2" w:space="0" w:color="3D7FE0" w:themeColor="accent1"/>
            </w:tcBorders>
            <w:shd w:val="clear" w:color="auto" w:fill="auto"/>
            <w:vAlign w:val="bottom"/>
          </w:tcPr>
          <w:p w14:paraId="19BA3396" w14:textId="53DEF8B1"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(54</w:t>
            </w:r>
            <w:r w:rsidR="00D80027">
              <w:rPr>
                <w:rFonts w:ascii="IBM Plex Sans Medium" w:hAnsi="IBM Plex Sans Medium"/>
                <w:b/>
                <w:bCs/>
                <w:color w:val="3D7FE0" w:themeColor="accent1"/>
                <w:sz w:val="18"/>
                <w:szCs w:val="18"/>
              </w:rPr>
              <w:t>7.1</w:t>
            </w:r>
            <w:r w:rsidRPr="009177D7">
              <w:rPr>
                <w:rFonts w:ascii="IBM Plex Sans Medium" w:hAnsi="IBM Plex Sans Medium"/>
                <w:b/>
                <w:bCs/>
                <w:color w:val="3D7FE0" w:themeColor="accent1"/>
                <w:sz w:val="18"/>
                <w:szCs w:val="18"/>
              </w:rPr>
              <w:t>)</w:t>
            </w:r>
          </w:p>
        </w:tc>
        <w:tc>
          <w:tcPr>
            <w:tcW w:w="1037" w:type="dxa"/>
            <w:gridSpan w:val="2"/>
            <w:shd w:val="clear" w:color="auto" w:fill="auto"/>
            <w:vAlign w:val="bottom"/>
          </w:tcPr>
          <w:p w14:paraId="1759CD79"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(185.1)</w:t>
            </w:r>
          </w:p>
        </w:tc>
        <w:tc>
          <w:tcPr>
            <w:tcW w:w="1037" w:type="dxa"/>
            <w:shd w:val="clear" w:color="auto" w:fill="auto"/>
            <w:vAlign w:val="bottom"/>
          </w:tcPr>
          <w:p w14:paraId="6B2C5579"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(193.2)</w:t>
            </w:r>
          </w:p>
        </w:tc>
        <w:tc>
          <w:tcPr>
            <w:tcW w:w="1038" w:type="dxa"/>
            <w:gridSpan w:val="2"/>
            <w:shd w:val="clear" w:color="auto" w:fill="auto"/>
            <w:vAlign w:val="bottom"/>
          </w:tcPr>
          <w:p w14:paraId="1ED7FDD7"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(378.3)</w:t>
            </w:r>
          </w:p>
        </w:tc>
      </w:tr>
      <w:tr w:rsidR="006B43AF" w:rsidRPr="005907D3" w14:paraId="5E56D237" w14:textId="77777777" w:rsidTr="004203CD">
        <w:trPr>
          <w:cantSplit/>
          <w:trHeight w:val="20"/>
        </w:trPr>
        <w:tc>
          <w:tcPr>
            <w:tcW w:w="3402" w:type="dxa"/>
            <w:shd w:val="clear" w:color="auto" w:fill="auto"/>
            <w:vAlign w:val="center"/>
          </w:tcPr>
          <w:p w14:paraId="1AD3EED5"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Non-current liabilities</w:t>
            </w:r>
          </w:p>
        </w:tc>
        <w:tc>
          <w:tcPr>
            <w:tcW w:w="426" w:type="dxa"/>
            <w:shd w:val="clear" w:color="auto" w:fill="auto"/>
            <w:vAlign w:val="center"/>
          </w:tcPr>
          <w:p w14:paraId="4F7E1501" w14:textId="77777777" w:rsidR="006B43AF" w:rsidRPr="005907D3" w:rsidRDefault="006B43AF" w:rsidP="004203CD">
            <w:pPr>
              <w:pStyle w:val="TablesTTextBold"/>
              <w:spacing w:line="276" w:lineRule="auto"/>
              <w:jc w:val="center"/>
              <w:rPr>
                <w:rFonts w:ascii="IBM Plex Sans Light" w:hAnsi="IBM Plex Sans Light"/>
                <w:b/>
                <w:bCs/>
                <w:sz w:val="18"/>
                <w:szCs w:val="18"/>
              </w:rPr>
            </w:pPr>
          </w:p>
        </w:tc>
        <w:tc>
          <w:tcPr>
            <w:tcW w:w="894" w:type="dxa"/>
            <w:shd w:val="clear" w:color="auto" w:fill="auto"/>
          </w:tcPr>
          <w:p w14:paraId="32F8A6F9" w14:textId="77777777" w:rsidR="006B43AF" w:rsidRPr="00BB116B" w:rsidRDefault="006B43AF" w:rsidP="004203CD">
            <w:pPr>
              <w:pStyle w:val="TablesTFigureBrackets"/>
              <w:spacing w:line="276" w:lineRule="auto"/>
              <w:rPr>
                <w:rFonts w:ascii="IBM Plex Sans Medium" w:hAnsi="IBM Plex Sans Medium"/>
                <w:b/>
                <w:bCs/>
                <w:color w:val="3D7FE0" w:themeColor="accent1"/>
                <w:sz w:val="18"/>
                <w:szCs w:val="18"/>
              </w:rPr>
            </w:pPr>
          </w:p>
        </w:tc>
        <w:tc>
          <w:tcPr>
            <w:tcW w:w="1037" w:type="dxa"/>
            <w:shd w:val="clear" w:color="auto" w:fill="auto"/>
          </w:tcPr>
          <w:p w14:paraId="082A6F9C" w14:textId="77777777" w:rsidR="006B43AF" w:rsidRPr="00BB116B" w:rsidRDefault="006B43AF" w:rsidP="004203CD">
            <w:pPr>
              <w:pStyle w:val="TablesTFigureBrackets"/>
              <w:spacing w:line="276" w:lineRule="auto"/>
              <w:rPr>
                <w:rFonts w:ascii="IBM Plex Sans Medium" w:hAnsi="IBM Plex Sans Medium"/>
                <w:b/>
                <w:bCs/>
                <w:color w:val="3D7FE0" w:themeColor="accent1"/>
                <w:sz w:val="18"/>
                <w:szCs w:val="18"/>
              </w:rPr>
            </w:pPr>
          </w:p>
        </w:tc>
        <w:tc>
          <w:tcPr>
            <w:tcW w:w="1038" w:type="dxa"/>
            <w:shd w:val="clear" w:color="auto" w:fill="auto"/>
          </w:tcPr>
          <w:p w14:paraId="5F085C48" w14:textId="77777777" w:rsidR="006B43AF" w:rsidRPr="00BB116B" w:rsidRDefault="006B43AF" w:rsidP="004203CD">
            <w:pPr>
              <w:pStyle w:val="TablesTFigureBrackets"/>
              <w:spacing w:line="276" w:lineRule="auto"/>
              <w:rPr>
                <w:rFonts w:ascii="IBM Plex Sans Medium" w:hAnsi="IBM Plex Sans Medium"/>
                <w:b/>
                <w:bCs/>
                <w:color w:val="3D7FE0" w:themeColor="accent1"/>
                <w:sz w:val="18"/>
                <w:szCs w:val="18"/>
              </w:rPr>
            </w:pPr>
          </w:p>
        </w:tc>
        <w:tc>
          <w:tcPr>
            <w:tcW w:w="1037" w:type="dxa"/>
            <w:gridSpan w:val="2"/>
            <w:shd w:val="clear" w:color="auto" w:fill="auto"/>
            <w:vAlign w:val="center"/>
          </w:tcPr>
          <w:p w14:paraId="5EC9213A" w14:textId="77777777" w:rsidR="006B43AF" w:rsidRPr="005907D3" w:rsidRDefault="006B43AF" w:rsidP="004203CD">
            <w:pPr>
              <w:pStyle w:val="TablesTFigures"/>
              <w:spacing w:line="276" w:lineRule="auto"/>
              <w:rPr>
                <w:rFonts w:ascii="IBM Plex Sans Light" w:hAnsi="IBM Plex Sans Light"/>
                <w:sz w:val="18"/>
                <w:szCs w:val="18"/>
              </w:rPr>
            </w:pPr>
          </w:p>
        </w:tc>
        <w:tc>
          <w:tcPr>
            <w:tcW w:w="1037" w:type="dxa"/>
            <w:shd w:val="clear" w:color="auto" w:fill="auto"/>
            <w:vAlign w:val="center"/>
          </w:tcPr>
          <w:p w14:paraId="650C9D90" w14:textId="77777777" w:rsidR="006B43AF" w:rsidRPr="005907D3" w:rsidRDefault="006B43AF" w:rsidP="004203CD">
            <w:pPr>
              <w:pStyle w:val="TablesTFigures"/>
              <w:spacing w:line="276" w:lineRule="auto"/>
              <w:rPr>
                <w:rFonts w:ascii="IBM Plex Sans Light" w:hAnsi="IBM Plex Sans Light"/>
                <w:sz w:val="18"/>
                <w:szCs w:val="18"/>
              </w:rPr>
            </w:pPr>
          </w:p>
        </w:tc>
        <w:tc>
          <w:tcPr>
            <w:tcW w:w="1038" w:type="dxa"/>
            <w:gridSpan w:val="2"/>
            <w:shd w:val="clear" w:color="auto" w:fill="auto"/>
            <w:vAlign w:val="center"/>
          </w:tcPr>
          <w:p w14:paraId="300581F1" w14:textId="77777777" w:rsidR="006B43AF" w:rsidRPr="005907D3" w:rsidRDefault="006B43AF" w:rsidP="004203CD">
            <w:pPr>
              <w:pStyle w:val="TablesTFigures"/>
              <w:spacing w:line="276" w:lineRule="auto"/>
              <w:rPr>
                <w:rFonts w:ascii="IBM Plex Sans Light" w:hAnsi="IBM Plex Sans Light"/>
                <w:sz w:val="18"/>
                <w:szCs w:val="18"/>
              </w:rPr>
            </w:pPr>
          </w:p>
        </w:tc>
      </w:tr>
      <w:tr w:rsidR="006B43AF" w:rsidRPr="005907D3" w14:paraId="3B09E2C5" w14:textId="77777777" w:rsidTr="004203CD">
        <w:trPr>
          <w:cantSplit/>
          <w:trHeight w:val="20"/>
        </w:trPr>
        <w:tc>
          <w:tcPr>
            <w:tcW w:w="3402" w:type="dxa"/>
            <w:shd w:val="clear" w:color="auto" w:fill="auto"/>
            <w:vAlign w:val="bottom"/>
          </w:tcPr>
          <w:p w14:paraId="43CB75C0"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Trade and other payables</w:t>
            </w:r>
          </w:p>
        </w:tc>
        <w:tc>
          <w:tcPr>
            <w:tcW w:w="426" w:type="dxa"/>
            <w:shd w:val="clear" w:color="auto" w:fill="auto"/>
            <w:vAlign w:val="center"/>
          </w:tcPr>
          <w:p w14:paraId="6F71248F"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62946BAC"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(55.5)</w:t>
            </w:r>
          </w:p>
        </w:tc>
        <w:tc>
          <w:tcPr>
            <w:tcW w:w="1037" w:type="dxa"/>
            <w:shd w:val="clear" w:color="auto" w:fill="auto"/>
            <w:vAlign w:val="bottom"/>
          </w:tcPr>
          <w:p w14:paraId="72F38AB6"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(2.4)</w:t>
            </w:r>
          </w:p>
        </w:tc>
        <w:tc>
          <w:tcPr>
            <w:tcW w:w="1038" w:type="dxa"/>
            <w:shd w:val="clear" w:color="auto" w:fill="auto"/>
            <w:vAlign w:val="bottom"/>
          </w:tcPr>
          <w:p w14:paraId="041D512C"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(57.9)</w:t>
            </w:r>
          </w:p>
        </w:tc>
        <w:tc>
          <w:tcPr>
            <w:tcW w:w="1037" w:type="dxa"/>
            <w:gridSpan w:val="2"/>
            <w:shd w:val="clear" w:color="auto" w:fill="auto"/>
            <w:vAlign w:val="bottom"/>
          </w:tcPr>
          <w:p w14:paraId="73BFAB92"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(56.3)</w:t>
            </w:r>
          </w:p>
        </w:tc>
        <w:tc>
          <w:tcPr>
            <w:tcW w:w="1037" w:type="dxa"/>
            <w:shd w:val="clear" w:color="auto" w:fill="auto"/>
            <w:vAlign w:val="bottom"/>
          </w:tcPr>
          <w:p w14:paraId="1B25EEC9"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(7.0)</w:t>
            </w:r>
          </w:p>
        </w:tc>
        <w:tc>
          <w:tcPr>
            <w:tcW w:w="1038" w:type="dxa"/>
            <w:gridSpan w:val="2"/>
            <w:shd w:val="clear" w:color="auto" w:fill="auto"/>
            <w:vAlign w:val="bottom"/>
          </w:tcPr>
          <w:p w14:paraId="19465A7B"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(63.3)</w:t>
            </w:r>
          </w:p>
        </w:tc>
      </w:tr>
      <w:tr w:rsidR="006B43AF" w:rsidRPr="005907D3" w14:paraId="1520948E" w14:textId="77777777" w:rsidTr="004203CD">
        <w:trPr>
          <w:cantSplit/>
          <w:trHeight w:val="20"/>
        </w:trPr>
        <w:tc>
          <w:tcPr>
            <w:tcW w:w="3402" w:type="dxa"/>
            <w:shd w:val="clear" w:color="auto" w:fill="auto"/>
            <w:vAlign w:val="bottom"/>
          </w:tcPr>
          <w:p w14:paraId="054D815A"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Obligations under head leases</w:t>
            </w:r>
          </w:p>
        </w:tc>
        <w:tc>
          <w:tcPr>
            <w:tcW w:w="426" w:type="dxa"/>
            <w:shd w:val="clear" w:color="auto" w:fill="auto"/>
            <w:vAlign w:val="center"/>
          </w:tcPr>
          <w:p w14:paraId="09680EC0"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780A7FF0"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(37.3)</w:t>
            </w:r>
          </w:p>
        </w:tc>
        <w:tc>
          <w:tcPr>
            <w:tcW w:w="1037" w:type="dxa"/>
            <w:shd w:val="clear" w:color="auto" w:fill="auto"/>
            <w:vAlign w:val="bottom"/>
          </w:tcPr>
          <w:p w14:paraId="45DB1020"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(15.8)</w:t>
            </w:r>
          </w:p>
        </w:tc>
        <w:tc>
          <w:tcPr>
            <w:tcW w:w="1038" w:type="dxa"/>
            <w:shd w:val="clear" w:color="auto" w:fill="auto"/>
            <w:vAlign w:val="bottom"/>
          </w:tcPr>
          <w:p w14:paraId="000671DF"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(53.1)</w:t>
            </w:r>
          </w:p>
        </w:tc>
        <w:tc>
          <w:tcPr>
            <w:tcW w:w="1037" w:type="dxa"/>
            <w:gridSpan w:val="2"/>
            <w:shd w:val="clear" w:color="auto" w:fill="auto"/>
            <w:vAlign w:val="bottom"/>
          </w:tcPr>
          <w:p w14:paraId="124B2E1D"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(38.1)</w:t>
            </w:r>
          </w:p>
        </w:tc>
        <w:tc>
          <w:tcPr>
            <w:tcW w:w="1037" w:type="dxa"/>
            <w:shd w:val="clear" w:color="auto" w:fill="auto"/>
            <w:vAlign w:val="bottom"/>
          </w:tcPr>
          <w:p w14:paraId="6934C78E"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(15.8)</w:t>
            </w:r>
          </w:p>
        </w:tc>
        <w:tc>
          <w:tcPr>
            <w:tcW w:w="1038" w:type="dxa"/>
            <w:gridSpan w:val="2"/>
            <w:shd w:val="clear" w:color="auto" w:fill="auto"/>
            <w:vAlign w:val="bottom"/>
          </w:tcPr>
          <w:p w14:paraId="28D882D9"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(53.9)</w:t>
            </w:r>
          </w:p>
        </w:tc>
      </w:tr>
      <w:tr w:rsidR="006B43AF" w:rsidRPr="005907D3" w14:paraId="01DA1284" w14:textId="77777777" w:rsidTr="004203CD">
        <w:trPr>
          <w:cantSplit/>
          <w:trHeight w:val="20"/>
        </w:trPr>
        <w:tc>
          <w:tcPr>
            <w:tcW w:w="3402" w:type="dxa"/>
            <w:shd w:val="clear" w:color="auto" w:fill="auto"/>
            <w:vAlign w:val="bottom"/>
          </w:tcPr>
          <w:p w14:paraId="1DEFB746"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Loans</w:t>
            </w:r>
          </w:p>
        </w:tc>
        <w:tc>
          <w:tcPr>
            <w:tcW w:w="426" w:type="dxa"/>
            <w:shd w:val="clear" w:color="auto" w:fill="auto"/>
            <w:vAlign w:val="center"/>
          </w:tcPr>
          <w:p w14:paraId="1056A7F0"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67755BCE"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(1,515.9)</w:t>
            </w:r>
          </w:p>
        </w:tc>
        <w:tc>
          <w:tcPr>
            <w:tcW w:w="1037" w:type="dxa"/>
            <w:shd w:val="clear" w:color="auto" w:fill="auto"/>
            <w:vAlign w:val="bottom"/>
          </w:tcPr>
          <w:p w14:paraId="1C4FE1D4"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w:t>
            </w:r>
          </w:p>
        </w:tc>
        <w:tc>
          <w:tcPr>
            <w:tcW w:w="1038" w:type="dxa"/>
            <w:shd w:val="clear" w:color="auto" w:fill="auto"/>
            <w:vAlign w:val="bottom"/>
          </w:tcPr>
          <w:p w14:paraId="3F973C63"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(1,515.9)</w:t>
            </w:r>
          </w:p>
        </w:tc>
        <w:tc>
          <w:tcPr>
            <w:tcW w:w="1037" w:type="dxa"/>
            <w:gridSpan w:val="2"/>
            <w:shd w:val="clear" w:color="auto" w:fill="auto"/>
            <w:vAlign w:val="bottom"/>
          </w:tcPr>
          <w:p w14:paraId="27F4688D"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(1,646.4)</w:t>
            </w:r>
          </w:p>
        </w:tc>
        <w:tc>
          <w:tcPr>
            <w:tcW w:w="1037" w:type="dxa"/>
            <w:shd w:val="clear" w:color="auto" w:fill="auto"/>
            <w:vAlign w:val="bottom"/>
          </w:tcPr>
          <w:p w14:paraId="665BA0BE"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(265.5)</w:t>
            </w:r>
          </w:p>
        </w:tc>
        <w:tc>
          <w:tcPr>
            <w:tcW w:w="1038" w:type="dxa"/>
            <w:gridSpan w:val="2"/>
            <w:shd w:val="clear" w:color="auto" w:fill="auto"/>
            <w:vAlign w:val="bottom"/>
          </w:tcPr>
          <w:p w14:paraId="643289B7"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(1,911.9)</w:t>
            </w:r>
          </w:p>
        </w:tc>
      </w:tr>
      <w:tr w:rsidR="006B43AF" w:rsidRPr="005907D3" w14:paraId="54A3A8C6" w14:textId="77777777" w:rsidTr="004203CD">
        <w:trPr>
          <w:cantSplit/>
          <w:trHeight w:val="20"/>
        </w:trPr>
        <w:tc>
          <w:tcPr>
            <w:tcW w:w="3402" w:type="dxa"/>
            <w:shd w:val="clear" w:color="auto" w:fill="auto"/>
            <w:vAlign w:val="bottom"/>
          </w:tcPr>
          <w:p w14:paraId="26050E0C"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Deferred tax</w:t>
            </w:r>
          </w:p>
        </w:tc>
        <w:tc>
          <w:tcPr>
            <w:tcW w:w="426" w:type="dxa"/>
            <w:shd w:val="clear" w:color="auto" w:fill="auto"/>
            <w:vAlign w:val="center"/>
          </w:tcPr>
          <w:p w14:paraId="2AF8AFC4"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shd w:val="clear" w:color="auto" w:fill="auto"/>
            <w:vAlign w:val="bottom"/>
          </w:tcPr>
          <w:p w14:paraId="217BAEAC"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(0.4)</w:t>
            </w:r>
          </w:p>
        </w:tc>
        <w:tc>
          <w:tcPr>
            <w:tcW w:w="1037" w:type="dxa"/>
            <w:shd w:val="clear" w:color="auto" w:fill="auto"/>
            <w:vAlign w:val="bottom"/>
          </w:tcPr>
          <w:p w14:paraId="20E8C65E"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(0.1)</w:t>
            </w:r>
          </w:p>
        </w:tc>
        <w:tc>
          <w:tcPr>
            <w:tcW w:w="1038" w:type="dxa"/>
            <w:shd w:val="clear" w:color="auto" w:fill="auto"/>
            <w:vAlign w:val="bottom"/>
          </w:tcPr>
          <w:p w14:paraId="1D0EBB60"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(0.5)</w:t>
            </w:r>
          </w:p>
        </w:tc>
        <w:tc>
          <w:tcPr>
            <w:tcW w:w="1037" w:type="dxa"/>
            <w:gridSpan w:val="2"/>
            <w:shd w:val="clear" w:color="auto" w:fill="auto"/>
            <w:vAlign w:val="bottom"/>
          </w:tcPr>
          <w:p w14:paraId="59370054"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(0.4)</w:t>
            </w:r>
          </w:p>
        </w:tc>
        <w:tc>
          <w:tcPr>
            <w:tcW w:w="1037" w:type="dxa"/>
            <w:shd w:val="clear" w:color="auto" w:fill="auto"/>
            <w:vAlign w:val="bottom"/>
          </w:tcPr>
          <w:p w14:paraId="2E148809"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(0.1)</w:t>
            </w:r>
          </w:p>
        </w:tc>
        <w:tc>
          <w:tcPr>
            <w:tcW w:w="1038" w:type="dxa"/>
            <w:gridSpan w:val="2"/>
            <w:shd w:val="clear" w:color="auto" w:fill="auto"/>
            <w:vAlign w:val="bottom"/>
          </w:tcPr>
          <w:p w14:paraId="64B37BDD"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(0.5)</w:t>
            </w:r>
          </w:p>
        </w:tc>
      </w:tr>
      <w:tr w:rsidR="006B43AF" w:rsidRPr="005907D3" w14:paraId="688581D5" w14:textId="77777777" w:rsidTr="004203CD">
        <w:trPr>
          <w:cantSplit/>
          <w:trHeight w:val="20"/>
        </w:trPr>
        <w:tc>
          <w:tcPr>
            <w:tcW w:w="3402" w:type="dxa"/>
            <w:tcBorders>
              <w:bottom w:val="single" w:sz="2" w:space="0" w:color="3D7FE0" w:themeColor="accent1"/>
            </w:tcBorders>
            <w:shd w:val="clear" w:color="auto" w:fill="auto"/>
            <w:vAlign w:val="bottom"/>
          </w:tcPr>
          <w:p w14:paraId="258E8574" w14:textId="77777777" w:rsidR="006B43AF" w:rsidRPr="005907D3" w:rsidRDefault="006B43AF" w:rsidP="004203CD">
            <w:pPr>
              <w:pStyle w:val="TablesTText"/>
              <w:spacing w:line="276" w:lineRule="auto"/>
              <w:rPr>
                <w:rFonts w:ascii="IBM Plex Sans Light" w:hAnsi="IBM Plex Sans Light"/>
                <w:sz w:val="18"/>
                <w:szCs w:val="18"/>
              </w:rPr>
            </w:pPr>
            <w:r w:rsidRPr="00CE5A72">
              <w:rPr>
                <w:rFonts w:ascii="IBM Plex Sans Light" w:hAnsi="IBM Plex Sans Light"/>
                <w:sz w:val="18"/>
                <w:szCs w:val="18"/>
              </w:rPr>
              <w:t>Derivative financial instruments</w:t>
            </w:r>
          </w:p>
        </w:tc>
        <w:tc>
          <w:tcPr>
            <w:tcW w:w="426" w:type="dxa"/>
            <w:tcBorders>
              <w:bottom w:val="single" w:sz="2" w:space="0" w:color="3D7FE0" w:themeColor="accent1"/>
            </w:tcBorders>
            <w:shd w:val="clear" w:color="auto" w:fill="auto"/>
            <w:vAlign w:val="center"/>
          </w:tcPr>
          <w:p w14:paraId="67A27E97"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tcBorders>
              <w:bottom w:val="single" w:sz="2" w:space="0" w:color="3D7FE0" w:themeColor="accent1"/>
            </w:tcBorders>
            <w:shd w:val="clear" w:color="auto" w:fill="auto"/>
            <w:vAlign w:val="bottom"/>
          </w:tcPr>
          <w:p w14:paraId="5FDF63AF"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(15.0)</w:t>
            </w:r>
          </w:p>
        </w:tc>
        <w:tc>
          <w:tcPr>
            <w:tcW w:w="1037" w:type="dxa"/>
            <w:tcBorders>
              <w:bottom w:val="single" w:sz="2" w:space="0" w:color="3D7FE0" w:themeColor="accent1"/>
            </w:tcBorders>
            <w:shd w:val="clear" w:color="auto" w:fill="auto"/>
            <w:vAlign w:val="bottom"/>
          </w:tcPr>
          <w:p w14:paraId="180021F2"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w:t>
            </w:r>
          </w:p>
        </w:tc>
        <w:tc>
          <w:tcPr>
            <w:tcW w:w="1038" w:type="dxa"/>
            <w:tcBorders>
              <w:bottom w:val="single" w:sz="2" w:space="0" w:color="3D7FE0" w:themeColor="accent1"/>
            </w:tcBorders>
            <w:shd w:val="clear" w:color="auto" w:fill="auto"/>
            <w:vAlign w:val="bottom"/>
          </w:tcPr>
          <w:p w14:paraId="5822ED92"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(15.0)</w:t>
            </w:r>
          </w:p>
        </w:tc>
        <w:tc>
          <w:tcPr>
            <w:tcW w:w="1037" w:type="dxa"/>
            <w:gridSpan w:val="2"/>
            <w:tcBorders>
              <w:bottom w:val="single" w:sz="2" w:space="0" w:color="3D7FE0" w:themeColor="accent1"/>
            </w:tcBorders>
            <w:shd w:val="clear" w:color="auto" w:fill="auto"/>
            <w:vAlign w:val="bottom"/>
          </w:tcPr>
          <w:p w14:paraId="4F00DDC5"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(23.7)</w:t>
            </w:r>
          </w:p>
        </w:tc>
        <w:tc>
          <w:tcPr>
            <w:tcW w:w="1037" w:type="dxa"/>
            <w:tcBorders>
              <w:bottom w:val="single" w:sz="2" w:space="0" w:color="3D7FE0" w:themeColor="accent1"/>
            </w:tcBorders>
            <w:shd w:val="clear" w:color="auto" w:fill="auto"/>
            <w:vAlign w:val="bottom"/>
          </w:tcPr>
          <w:p w14:paraId="6F489F56"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w:t>
            </w:r>
          </w:p>
        </w:tc>
        <w:tc>
          <w:tcPr>
            <w:tcW w:w="1038" w:type="dxa"/>
            <w:gridSpan w:val="2"/>
            <w:tcBorders>
              <w:bottom w:val="single" w:sz="2" w:space="0" w:color="3D7FE0" w:themeColor="accent1"/>
            </w:tcBorders>
            <w:shd w:val="clear" w:color="auto" w:fill="auto"/>
            <w:vAlign w:val="bottom"/>
          </w:tcPr>
          <w:p w14:paraId="50159F1A"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(23.7)</w:t>
            </w:r>
          </w:p>
        </w:tc>
      </w:tr>
      <w:tr w:rsidR="006B43AF" w:rsidRPr="005907D3" w14:paraId="36667F78" w14:textId="77777777" w:rsidTr="004203CD">
        <w:trPr>
          <w:cantSplit/>
          <w:trHeight w:val="20"/>
        </w:trPr>
        <w:tc>
          <w:tcPr>
            <w:tcW w:w="3402" w:type="dxa"/>
            <w:tcBorders>
              <w:top w:val="single" w:sz="2" w:space="0" w:color="3D7FE0" w:themeColor="accent1"/>
              <w:bottom w:val="single" w:sz="2" w:space="0" w:color="3D7FE0" w:themeColor="accent1"/>
            </w:tcBorders>
            <w:shd w:val="clear" w:color="auto" w:fill="auto"/>
            <w:vAlign w:val="center"/>
          </w:tcPr>
          <w:p w14:paraId="64D2BCF7" w14:textId="77777777" w:rsidR="006B43AF" w:rsidRPr="005907D3" w:rsidRDefault="006B43AF" w:rsidP="004203CD">
            <w:pPr>
              <w:pStyle w:val="TablesTText"/>
              <w:spacing w:line="276" w:lineRule="auto"/>
              <w:rPr>
                <w:rFonts w:ascii="IBM Plex Sans Light" w:hAnsi="IBM Plex Sans Light"/>
                <w:sz w:val="18"/>
                <w:szCs w:val="18"/>
              </w:rPr>
            </w:pPr>
          </w:p>
        </w:tc>
        <w:tc>
          <w:tcPr>
            <w:tcW w:w="426" w:type="dxa"/>
            <w:tcBorders>
              <w:top w:val="single" w:sz="2" w:space="0" w:color="3D7FE0" w:themeColor="accent1"/>
              <w:bottom w:val="single" w:sz="2" w:space="0" w:color="3D7FE0" w:themeColor="accent1"/>
            </w:tcBorders>
            <w:shd w:val="clear" w:color="auto" w:fill="auto"/>
            <w:vAlign w:val="center"/>
          </w:tcPr>
          <w:p w14:paraId="03A841DA" w14:textId="77777777" w:rsidR="006B43AF" w:rsidRPr="005907D3" w:rsidRDefault="006B43AF" w:rsidP="004203CD">
            <w:pPr>
              <w:pStyle w:val="TablesTText"/>
              <w:spacing w:line="276" w:lineRule="auto"/>
              <w:jc w:val="center"/>
              <w:rPr>
                <w:rFonts w:ascii="IBM Plex Sans Light" w:hAnsi="IBM Plex Sans Light"/>
                <w:sz w:val="18"/>
                <w:szCs w:val="18"/>
              </w:rPr>
            </w:pPr>
          </w:p>
        </w:tc>
        <w:tc>
          <w:tcPr>
            <w:tcW w:w="894" w:type="dxa"/>
            <w:tcBorders>
              <w:top w:val="single" w:sz="2" w:space="0" w:color="3D7FE0" w:themeColor="accent1"/>
              <w:bottom w:val="single" w:sz="2" w:space="0" w:color="3D7FE0" w:themeColor="accent1"/>
            </w:tcBorders>
            <w:shd w:val="clear" w:color="auto" w:fill="auto"/>
            <w:vAlign w:val="bottom"/>
          </w:tcPr>
          <w:p w14:paraId="68F2EDCF"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(1,624.1)</w:t>
            </w:r>
          </w:p>
        </w:tc>
        <w:tc>
          <w:tcPr>
            <w:tcW w:w="1037" w:type="dxa"/>
            <w:tcBorders>
              <w:top w:val="single" w:sz="2" w:space="0" w:color="3D7FE0" w:themeColor="accent1"/>
              <w:bottom w:val="single" w:sz="2" w:space="0" w:color="3D7FE0" w:themeColor="accent1"/>
            </w:tcBorders>
            <w:shd w:val="clear" w:color="auto" w:fill="auto"/>
            <w:vAlign w:val="bottom"/>
          </w:tcPr>
          <w:p w14:paraId="4A99FF15"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(18.3)</w:t>
            </w:r>
          </w:p>
        </w:tc>
        <w:tc>
          <w:tcPr>
            <w:tcW w:w="1038" w:type="dxa"/>
            <w:tcBorders>
              <w:top w:val="single" w:sz="2" w:space="0" w:color="3D7FE0" w:themeColor="accent1"/>
              <w:bottom w:val="single" w:sz="2" w:space="0" w:color="3D7FE0" w:themeColor="accent1"/>
            </w:tcBorders>
            <w:shd w:val="clear" w:color="auto" w:fill="auto"/>
            <w:vAlign w:val="bottom"/>
          </w:tcPr>
          <w:p w14:paraId="10DB9D27"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(1,642.4)</w:t>
            </w:r>
          </w:p>
        </w:tc>
        <w:tc>
          <w:tcPr>
            <w:tcW w:w="1037" w:type="dxa"/>
            <w:gridSpan w:val="2"/>
            <w:tcBorders>
              <w:top w:val="single" w:sz="2" w:space="0" w:color="3D7FE0" w:themeColor="accent1"/>
              <w:bottom w:val="single" w:sz="2" w:space="0" w:color="3D7FE0" w:themeColor="accent1"/>
            </w:tcBorders>
            <w:shd w:val="clear" w:color="auto" w:fill="auto"/>
            <w:vAlign w:val="bottom"/>
          </w:tcPr>
          <w:p w14:paraId="54289072"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(1,764.9)</w:t>
            </w:r>
          </w:p>
        </w:tc>
        <w:tc>
          <w:tcPr>
            <w:tcW w:w="1037" w:type="dxa"/>
            <w:tcBorders>
              <w:top w:val="single" w:sz="2" w:space="0" w:color="3D7FE0" w:themeColor="accent1"/>
              <w:bottom w:val="single" w:sz="2" w:space="0" w:color="3D7FE0" w:themeColor="accent1"/>
            </w:tcBorders>
            <w:shd w:val="clear" w:color="auto" w:fill="auto"/>
            <w:vAlign w:val="bottom"/>
          </w:tcPr>
          <w:p w14:paraId="333A56DB"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(288.4)</w:t>
            </w:r>
          </w:p>
        </w:tc>
        <w:tc>
          <w:tcPr>
            <w:tcW w:w="1038" w:type="dxa"/>
            <w:gridSpan w:val="2"/>
            <w:tcBorders>
              <w:top w:val="single" w:sz="2" w:space="0" w:color="3D7FE0" w:themeColor="accent1"/>
              <w:bottom w:val="single" w:sz="2" w:space="0" w:color="3D7FE0" w:themeColor="accent1"/>
            </w:tcBorders>
            <w:shd w:val="clear" w:color="auto" w:fill="auto"/>
            <w:vAlign w:val="bottom"/>
          </w:tcPr>
          <w:p w14:paraId="6022E98C"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(2,053.3)</w:t>
            </w:r>
          </w:p>
        </w:tc>
      </w:tr>
      <w:tr w:rsidR="006B43AF" w:rsidRPr="005907D3" w14:paraId="18045D78" w14:textId="77777777" w:rsidTr="004203CD">
        <w:trPr>
          <w:cantSplit/>
          <w:trHeight w:val="20"/>
        </w:trPr>
        <w:tc>
          <w:tcPr>
            <w:tcW w:w="3402" w:type="dxa"/>
            <w:tcBorders>
              <w:top w:val="single" w:sz="2" w:space="0" w:color="3D7FE0" w:themeColor="accent1"/>
              <w:bottom w:val="single" w:sz="2" w:space="0" w:color="3D7FE0" w:themeColor="accent1"/>
            </w:tcBorders>
            <w:shd w:val="clear" w:color="auto" w:fill="auto"/>
            <w:vAlign w:val="center"/>
          </w:tcPr>
          <w:p w14:paraId="1534EFBE"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Total liabilities</w:t>
            </w:r>
          </w:p>
        </w:tc>
        <w:tc>
          <w:tcPr>
            <w:tcW w:w="426" w:type="dxa"/>
            <w:tcBorders>
              <w:top w:val="single" w:sz="2" w:space="0" w:color="3D7FE0" w:themeColor="accent1"/>
              <w:bottom w:val="single" w:sz="2" w:space="0" w:color="3D7FE0" w:themeColor="accent1"/>
            </w:tcBorders>
            <w:shd w:val="clear" w:color="auto" w:fill="auto"/>
            <w:vAlign w:val="center"/>
          </w:tcPr>
          <w:p w14:paraId="2ADE1B00" w14:textId="77777777" w:rsidR="006B43AF" w:rsidRPr="005907D3" w:rsidRDefault="006B43AF" w:rsidP="004203CD">
            <w:pPr>
              <w:pStyle w:val="TablesTTextBold"/>
              <w:spacing w:line="276" w:lineRule="auto"/>
              <w:jc w:val="center"/>
              <w:rPr>
                <w:rFonts w:ascii="IBM Plex Sans Light" w:hAnsi="IBM Plex Sans Light"/>
                <w:sz w:val="18"/>
                <w:szCs w:val="18"/>
              </w:rPr>
            </w:pPr>
          </w:p>
        </w:tc>
        <w:tc>
          <w:tcPr>
            <w:tcW w:w="894" w:type="dxa"/>
            <w:tcBorders>
              <w:top w:val="single" w:sz="2" w:space="0" w:color="3D7FE0" w:themeColor="accent1"/>
              <w:bottom w:val="single" w:sz="2" w:space="0" w:color="3D7FE0" w:themeColor="accent1"/>
            </w:tcBorders>
            <w:shd w:val="clear" w:color="auto" w:fill="auto"/>
            <w:vAlign w:val="bottom"/>
          </w:tcPr>
          <w:p w14:paraId="25BE93B6" w14:textId="77777777"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(1,865.2)</w:t>
            </w:r>
          </w:p>
        </w:tc>
        <w:tc>
          <w:tcPr>
            <w:tcW w:w="1037" w:type="dxa"/>
            <w:tcBorders>
              <w:top w:val="single" w:sz="2" w:space="0" w:color="3D7FE0" w:themeColor="accent1"/>
              <w:bottom w:val="single" w:sz="2" w:space="0" w:color="3D7FE0" w:themeColor="accent1"/>
            </w:tcBorders>
            <w:shd w:val="clear" w:color="auto" w:fill="auto"/>
            <w:vAlign w:val="bottom"/>
          </w:tcPr>
          <w:p w14:paraId="1B357640" w14:textId="52DF4B2F"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(32</w:t>
            </w:r>
            <w:r w:rsidR="00D80027">
              <w:rPr>
                <w:rFonts w:ascii="IBM Plex Sans Medium" w:hAnsi="IBM Plex Sans Medium"/>
                <w:b/>
                <w:bCs/>
                <w:color w:val="3D7FE0" w:themeColor="accent1"/>
                <w:sz w:val="18"/>
                <w:szCs w:val="18"/>
              </w:rPr>
              <w:t>4.3</w:t>
            </w:r>
            <w:r w:rsidRPr="009177D7">
              <w:rPr>
                <w:rFonts w:ascii="IBM Plex Sans Medium" w:hAnsi="IBM Plex Sans Medium"/>
                <w:b/>
                <w:bCs/>
                <w:color w:val="3D7FE0" w:themeColor="accent1"/>
                <w:sz w:val="18"/>
                <w:szCs w:val="18"/>
              </w:rPr>
              <w:t>)</w:t>
            </w:r>
          </w:p>
        </w:tc>
        <w:tc>
          <w:tcPr>
            <w:tcW w:w="1038" w:type="dxa"/>
            <w:tcBorders>
              <w:top w:val="single" w:sz="2" w:space="0" w:color="3D7FE0" w:themeColor="accent1"/>
              <w:bottom w:val="single" w:sz="2" w:space="0" w:color="3D7FE0" w:themeColor="accent1"/>
            </w:tcBorders>
            <w:shd w:val="clear" w:color="auto" w:fill="auto"/>
            <w:vAlign w:val="bottom"/>
          </w:tcPr>
          <w:p w14:paraId="6D063383" w14:textId="5B543512" w:rsidR="006B43AF" w:rsidRPr="009177D7" w:rsidRDefault="006B43AF" w:rsidP="003E46CC">
            <w:pPr>
              <w:pStyle w:val="TablesTFigureBracket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(2,1</w:t>
            </w:r>
            <w:r w:rsidR="00D80027">
              <w:rPr>
                <w:rFonts w:ascii="IBM Plex Sans Medium" w:hAnsi="IBM Plex Sans Medium"/>
                <w:b/>
                <w:bCs/>
                <w:color w:val="3D7FE0" w:themeColor="accent1"/>
                <w:sz w:val="18"/>
                <w:szCs w:val="18"/>
              </w:rPr>
              <w:t>89.5</w:t>
            </w:r>
            <w:r w:rsidRPr="009177D7">
              <w:rPr>
                <w:rFonts w:ascii="IBM Plex Sans Medium" w:hAnsi="IBM Plex Sans Medium"/>
                <w:b/>
                <w:bCs/>
                <w:color w:val="3D7FE0" w:themeColor="accent1"/>
                <w:sz w:val="18"/>
                <w:szCs w:val="18"/>
              </w:rPr>
              <w:t>)</w:t>
            </w:r>
          </w:p>
        </w:tc>
        <w:tc>
          <w:tcPr>
            <w:tcW w:w="1037" w:type="dxa"/>
            <w:gridSpan w:val="2"/>
            <w:tcBorders>
              <w:top w:val="single" w:sz="2" w:space="0" w:color="3D7FE0" w:themeColor="accent1"/>
              <w:bottom w:val="single" w:sz="2" w:space="0" w:color="3D7FE0" w:themeColor="accent1"/>
            </w:tcBorders>
            <w:shd w:val="clear" w:color="auto" w:fill="auto"/>
            <w:vAlign w:val="bottom"/>
          </w:tcPr>
          <w:p w14:paraId="21F3269F"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(1,950.0)</w:t>
            </w:r>
          </w:p>
        </w:tc>
        <w:tc>
          <w:tcPr>
            <w:tcW w:w="1037" w:type="dxa"/>
            <w:tcBorders>
              <w:top w:val="single" w:sz="2" w:space="0" w:color="3D7FE0" w:themeColor="accent1"/>
              <w:bottom w:val="single" w:sz="2" w:space="0" w:color="3D7FE0" w:themeColor="accent1"/>
            </w:tcBorders>
            <w:shd w:val="clear" w:color="auto" w:fill="auto"/>
            <w:vAlign w:val="bottom"/>
          </w:tcPr>
          <w:p w14:paraId="081D6952"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(481.6)</w:t>
            </w:r>
          </w:p>
        </w:tc>
        <w:tc>
          <w:tcPr>
            <w:tcW w:w="1038" w:type="dxa"/>
            <w:gridSpan w:val="2"/>
            <w:tcBorders>
              <w:top w:val="single" w:sz="2" w:space="0" w:color="3D7FE0" w:themeColor="accent1"/>
              <w:bottom w:val="single" w:sz="2" w:space="0" w:color="3D7FE0" w:themeColor="accent1"/>
            </w:tcBorders>
            <w:shd w:val="clear" w:color="auto" w:fill="auto"/>
            <w:vAlign w:val="bottom"/>
          </w:tcPr>
          <w:p w14:paraId="6B5E342C"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(2,431.6)</w:t>
            </w:r>
          </w:p>
        </w:tc>
      </w:tr>
      <w:tr w:rsidR="006B43AF" w:rsidRPr="005907D3" w14:paraId="2ED925E7" w14:textId="77777777" w:rsidTr="004203CD">
        <w:trPr>
          <w:cantSplit/>
          <w:trHeight w:val="20"/>
        </w:trPr>
        <w:tc>
          <w:tcPr>
            <w:tcW w:w="3402" w:type="dxa"/>
            <w:tcBorders>
              <w:top w:val="single" w:sz="2" w:space="0" w:color="3D7FE0" w:themeColor="accent1"/>
              <w:bottom w:val="single" w:sz="2" w:space="0" w:color="3D7FE0" w:themeColor="accent1"/>
            </w:tcBorders>
            <w:shd w:val="clear" w:color="auto" w:fill="auto"/>
            <w:vAlign w:val="center"/>
          </w:tcPr>
          <w:p w14:paraId="7A828434"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Net assets</w:t>
            </w:r>
          </w:p>
        </w:tc>
        <w:tc>
          <w:tcPr>
            <w:tcW w:w="426" w:type="dxa"/>
            <w:tcBorders>
              <w:top w:val="single" w:sz="2" w:space="0" w:color="3D7FE0" w:themeColor="accent1"/>
              <w:bottom w:val="single" w:sz="2" w:space="0" w:color="3D7FE0" w:themeColor="accent1"/>
            </w:tcBorders>
            <w:shd w:val="clear" w:color="auto" w:fill="auto"/>
            <w:vAlign w:val="center"/>
          </w:tcPr>
          <w:p w14:paraId="7C16C742" w14:textId="77777777" w:rsidR="006B43AF" w:rsidRPr="005907D3" w:rsidRDefault="006B43AF" w:rsidP="004203CD">
            <w:pPr>
              <w:pStyle w:val="TablesTTextBold"/>
              <w:spacing w:line="276" w:lineRule="auto"/>
              <w:jc w:val="center"/>
              <w:rPr>
                <w:rFonts w:ascii="IBM Plex Sans Light" w:hAnsi="IBM Plex Sans Light"/>
                <w:sz w:val="18"/>
                <w:szCs w:val="18"/>
              </w:rPr>
            </w:pPr>
          </w:p>
        </w:tc>
        <w:tc>
          <w:tcPr>
            <w:tcW w:w="894" w:type="dxa"/>
            <w:tcBorders>
              <w:top w:val="single" w:sz="2" w:space="0" w:color="3D7FE0" w:themeColor="accent1"/>
              <w:bottom w:val="single" w:sz="2" w:space="0" w:color="3D7FE0" w:themeColor="accent1"/>
            </w:tcBorders>
            <w:shd w:val="clear" w:color="auto" w:fill="auto"/>
            <w:vAlign w:val="bottom"/>
          </w:tcPr>
          <w:p w14:paraId="10E71F4C"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2,462.6</w:t>
            </w:r>
          </w:p>
        </w:tc>
        <w:tc>
          <w:tcPr>
            <w:tcW w:w="1037" w:type="dxa"/>
            <w:tcBorders>
              <w:top w:val="single" w:sz="2" w:space="0" w:color="3D7FE0" w:themeColor="accent1"/>
              <w:bottom w:val="single" w:sz="2" w:space="0" w:color="3D7FE0" w:themeColor="accent1"/>
            </w:tcBorders>
            <w:shd w:val="clear" w:color="auto" w:fill="auto"/>
            <w:vAlign w:val="bottom"/>
          </w:tcPr>
          <w:p w14:paraId="0DA864E1"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w:t>
            </w:r>
          </w:p>
        </w:tc>
        <w:tc>
          <w:tcPr>
            <w:tcW w:w="1038" w:type="dxa"/>
            <w:tcBorders>
              <w:top w:val="single" w:sz="2" w:space="0" w:color="3D7FE0" w:themeColor="accent1"/>
              <w:bottom w:val="single" w:sz="2" w:space="0" w:color="3D7FE0" w:themeColor="accent1"/>
            </w:tcBorders>
            <w:shd w:val="clear" w:color="auto" w:fill="auto"/>
            <w:vAlign w:val="bottom"/>
          </w:tcPr>
          <w:p w14:paraId="1032BD0B" w14:textId="77777777" w:rsidR="006B43AF" w:rsidRPr="009177D7" w:rsidRDefault="006B43AF" w:rsidP="004203CD">
            <w:pPr>
              <w:pStyle w:val="TablesTFigures"/>
              <w:spacing w:line="276" w:lineRule="auto"/>
              <w:rPr>
                <w:rFonts w:ascii="IBM Plex Sans Medium" w:hAnsi="IBM Plex Sans Medium"/>
                <w:b/>
                <w:bCs/>
                <w:color w:val="3D7FE0" w:themeColor="accent1"/>
                <w:sz w:val="18"/>
                <w:szCs w:val="18"/>
              </w:rPr>
            </w:pPr>
            <w:r w:rsidRPr="009177D7">
              <w:rPr>
                <w:rFonts w:ascii="IBM Plex Sans Medium" w:hAnsi="IBM Plex Sans Medium"/>
                <w:b/>
                <w:bCs/>
                <w:color w:val="3D7FE0" w:themeColor="accent1"/>
                <w:sz w:val="18"/>
                <w:szCs w:val="18"/>
              </w:rPr>
              <w:t>2,462.6</w:t>
            </w:r>
          </w:p>
        </w:tc>
        <w:tc>
          <w:tcPr>
            <w:tcW w:w="1037" w:type="dxa"/>
            <w:gridSpan w:val="2"/>
            <w:tcBorders>
              <w:top w:val="single" w:sz="2" w:space="0" w:color="3D7FE0" w:themeColor="accent1"/>
              <w:bottom w:val="single" w:sz="2" w:space="0" w:color="3D7FE0" w:themeColor="accent1"/>
            </w:tcBorders>
            <w:shd w:val="clear" w:color="auto" w:fill="auto"/>
            <w:vAlign w:val="bottom"/>
          </w:tcPr>
          <w:p w14:paraId="058B1668"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2,586.4</w:t>
            </w:r>
          </w:p>
        </w:tc>
        <w:tc>
          <w:tcPr>
            <w:tcW w:w="1037" w:type="dxa"/>
            <w:tcBorders>
              <w:top w:val="single" w:sz="2" w:space="0" w:color="3D7FE0" w:themeColor="accent1"/>
              <w:bottom w:val="single" w:sz="2" w:space="0" w:color="3D7FE0" w:themeColor="accent1"/>
            </w:tcBorders>
            <w:shd w:val="clear" w:color="auto" w:fill="auto"/>
            <w:vAlign w:val="bottom"/>
          </w:tcPr>
          <w:p w14:paraId="43E74B3A"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w:t>
            </w:r>
          </w:p>
        </w:tc>
        <w:tc>
          <w:tcPr>
            <w:tcW w:w="1038" w:type="dxa"/>
            <w:gridSpan w:val="2"/>
            <w:tcBorders>
              <w:top w:val="single" w:sz="2" w:space="0" w:color="3D7FE0" w:themeColor="accent1"/>
              <w:bottom w:val="single" w:sz="2" w:space="0" w:color="3D7FE0" w:themeColor="accent1"/>
            </w:tcBorders>
            <w:shd w:val="clear" w:color="auto" w:fill="auto"/>
            <w:vAlign w:val="bottom"/>
          </w:tcPr>
          <w:p w14:paraId="1B3DD9CC" w14:textId="77777777" w:rsidR="006B43AF" w:rsidRPr="005907D3" w:rsidRDefault="006B43AF" w:rsidP="004203CD">
            <w:pPr>
              <w:pStyle w:val="TablesTFigureBrackets"/>
              <w:spacing w:line="276" w:lineRule="auto"/>
              <w:rPr>
                <w:rFonts w:ascii="IBM Plex Sans Light" w:hAnsi="IBM Plex Sans Light"/>
                <w:sz w:val="18"/>
                <w:szCs w:val="18"/>
              </w:rPr>
            </w:pPr>
            <w:r w:rsidRPr="009177D7">
              <w:rPr>
                <w:rFonts w:ascii="IBM Plex Sans Light" w:hAnsi="IBM Plex Sans Light"/>
                <w:sz w:val="18"/>
                <w:szCs w:val="18"/>
              </w:rPr>
              <w:t>2,586.4</w:t>
            </w:r>
          </w:p>
        </w:tc>
      </w:tr>
      <w:tr w:rsidR="006B43AF" w:rsidRPr="005907D3" w14:paraId="1780FBB5" w14:textId="77777777" w:rsidTr="004203CD">
        <w:trPr>
          <w:cantSplit/>
          <w:trHeight w:val="20"/>
        </w:trPr>
        <w:tc>
          <w:tcPr>
            <w:tcW w:w="3402" w:type="dxa"/>
            <w:shd w:val="clear" w:color="auto" w:fill="auto"/>
            <w:vAlign w:val="bottom"/>
          </w:tcPr>
          <w:p w14:paraId="5B8FCAA2" w14:textId="77777777" w:rsidR="006B43AF" w:rsidRPr="005907D3" w:rsidRDefault="006B43AF" w:rsidP="004203CD">
            <w:pPr>
              <w:pStyle w:val="TablesTText"/>
              <w:tabs>
                <w:tab w:val="left" w:pos="1440"/>
              </w:tabs>
              <w:spacing w:line="276" w:lineRule="auto"/>
              <w:ind w:left="142" w:hanging="142"/>
              <w:rPr>
                <w:rFonts w:ascii="IBM Plex Sans Light" w:hAnsi="IBM Plex Sans Light"/>
                <w:b/>
                <w:bCs/>
                <w:sz w:val="18"/>
                <w:szCs w:val="18"/>
              </w:rPr>
            </w:pPr>
            <w:r w:rsidRPr="005907D3">
              <w:rPr>
                <w:rFonts w:ascii="IBM Plex Sans Light" w:hAnsi="IBM Plex Sans Light"/>
                <w:spacing w:val="-4"/>
                <w:sz w:val="18"/>
              </w:rPr>
              <w:t>EPRA adjustment</w:t>
            </w:r>
          </w:p>
        </w:tc>
        <w:tc>
          <w:tcPr>
            <w:tcW w:w="426" w:type="dxa"/>
            <w:shd w:val="clear" w:color="auto" w:fill="auto"/>
            <w:vAlign w:val="center"/>
          </w:tcPr>
          <w:p w14:paraId="365DA023" w14:textId="77777777" w:rsidR="006B43AF" w:rsidRPr="005907D3" w:rsidRDefault="006B43AF" w:rsidP="004203CD">
            <w:pPr>
              <w:pStyle w:val="TablesTTextBold"/>
              <w:spacing w:line="276" w:lineRule="auto"/>
              <w:jc w:val="center"/>
              <w:rPr>
                <w:rFonts w:ascii="IBM Plex Sans Light" w:hAnsi="IBM Plex Sans Light"/>
                <w:sz w:val="18"/>
                <w:szCs w:val="18"/>
              </w:rPr>
            </w:pPr>
            <w:r>
              <w:rPr>
                <w:rFonts w:ascii="IBM Plex Sans Light" w:hAnsi="IBM Plex Sans Light"/>
                <w:sz w:val="18"/>
                <w:szCs w:val="18"/>
              </w:rPr>
              <w:t>9</w:t>
            </w:r>
            <w:r w:rsidRPr="005907D3">
              <w:rPr>
                <w:rFonts w:ascii="IBM Plex Sans Light" w:hAnsi="IBM Plex Sans Light"/>
                <w:sz w:val="18"/>
                <w:szCs w:val="18"/>
              </w:rPr>
              <w:t>B</w:t>
            </w:r>
          </w:p>
        </w:tc>
        <w:tc>
          <w:tcPr>
            <w:tcW w:w="894" w:type="dxa"/>
            <w:shd w:val="clear" w:color="auto" w:fill="auto"/>
          </w:tcPr>
          <w:p w14:paraId="40D53F26" w14:textId="77777777" w:rsidR="006B43AF" w:rsidRPr="00E17ACB"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shd w:val="clear" w:color="auto" w:fill="auto"/>
          </w:tcPr>
          <w:p w14:paraId="4FE465E0" w14:textId="77777777" w:rsidR="006B43AF" w:rsidRPr="00E17ACB" w:rsidRDefault="006B43AF" w:rsidP="004203CD">
            <w:pPr>
              <w:pStyle w:val="TablesTFigures"/>
              <w:spacing w:line="276" w:lineRule="auto"/>
              <w:rPr>
                <w:rFonts w:ascii="IBM Plex Sans Medium" w:hAnsi="IBM Plex Sans Medium"/>
                <w:b/>
                <w:bCs/>
                <w:color w:val="3D7FE0" w:themeColor="accent1"/>
                <w:sz w:val="18"/>
                <w:szCs w:val="18"/>
              </w:rPr>
            </w:pPr>
          </w:p>
        </w:tc>
        <w:tc>
          <w:tcPr>
            <w:tcW w:w="1038" w:type="dxa"/>
            <w:shd w:val="clear" w:color="auto" w:fill="auto"/>
            <w:vAlign w:val="center"/>
          </w:tcPr>
          <w:p w14:paraId="082530C0" w14:textId="77777777" w:rsidR="006B43AF" w:rsidRPr="00E17ACB" w:rsidRDefault="006B43AF" w:rsidP="004203CD">
            <w:pPr>
              <w:pStyle w:val="TablesTFigureBrackets"/>
              <w:spacing w:line="276" w:lineRule="auto"/>
              <w:jc w:val="center"/>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 xml:space="preserve">            79.4  </w:t>
            </w:r>
          </w:p>
        </w:tc>
        <w:tc>
          <w:tcPr>
            <w:tcW w:w="1037" w:type="dxa"/>
            <w:gridSpan w:val="2"/>
            <w:shd w:val="clear" w:color="auto" w:fill="auto"/>
            <w:vAlign w:val="bottom"/>
          </w:tcPr>
          <w:p w14:paraId="15CBD838" w14:textId="77777777" w:rsidR="006B43AF" w:rsidRPr="009177D7" w:rsidRDefault="006B43AF" w:rsidP="004203CD">
            <w:pPr>
              <w:pStyle w:val="TablesTFigureBrackets"/>
              <w:spacing w:line="276" w:lineRule="auto"/>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 xml:space="preserve"> </w:t>
            </w:r>
          </w:p>
        </w:tc>
        <w:tc>
          <w:tcPr>
            <w:tcW w:w="1037" w:type="dxa"/>
            <w:shd w:val="clear" w:color="auto" w:fill="auto"/>
            <w:vAlign w:val="bottom"/>
          </w:tcPr>
          <w:p w14:paraId="4832A519" w14:textId="77777777" w:rsidR="006B43AF" w:rsidRPr="005907D3" w:rsidRDefault="006B43AF" w:rsidP="004203CD">
            <w:pPr>
              <w:pStyle w:val="TablesTFigures"/>
              <w:spacing w:line="276" w:lineRule="auto"/>
              <w:rPr>
                <w:rFonts w:ascii="IBM Plex Sans Light" w:hAnsi="IBM Plex Sans Light"/>
                <w:sz w:val="18"/>
                <w:szCs w:val="18"/>
              </w:rPr>
            </w:pPr>
          </w:p>
        </w:tc>
        <w:tc>
          <w:tcPr>
            <w:tcW w:w="1038" w:type="dxa"/>
            <w:gridSpan w:val="2"/>
            <w:shd w:val="clear" w:color="auto" w:fill="auto"/>
            <w:vAlign w:val="bottom"/>
          </w:tcPr>
          <w:p w14:paraId="59F4983B" w14:textId="77777777" w:rsidR="006B43AF" w:rsidRPr="005907D3" w:rsidRDefault="006B43AF" w:rsidP="004203CD">
            <w:pPr>
              <w:pStyle w:val="TablesTFigureBrackets"/>
              <w:spacing w:line="276" w:lineRule="auto"/>
              <w:rPr>
                <w:rFonts w:ascii="IBM Plex Sans Light" w:hAnsi="IBM Plex Sans Light"/>
                <w:sz w:val="18"/>
                <w:szCs w:val="18"/>
              </w:rPr>
            </w:pPr>
            <w:r>
              <w:rPr>
                <w:rFonts w:ascii="IBM Plex Sans Light" w:hAnsi="IBM Plex Sans Light"/>
                <w:sz w:val="18"/>
                <w:szCs w:val="18"/>
              </w:rPr>
              <w:t>47.3</w:t>
            </w:r>
          </w:p>
        </w:tc>
      </w:tr>
      <w:tr w:rsidR="006B43AF" w:rsidRPr="005907D3" w14:paraId="3850088C" w14:textId="77777777" w:rsidTr="004203CD">
        <w:trPr>
          <w:cantSplit/>
          <w:trHeight w:val="20"/>
        </w:trPr>
        <w:tc>
          <w:tcPr>
            <w:tcW w:w="3402" w:type="dxa"/>
            <w:tcBorders>
              <w:top w:val="single" w:sz="2" w:space="0" w:color="3D7FE0" w:themeColor="accent1"/>
            </w:tcBorders>
            <w:shd w:val="clear" w:color="auto" w:fill="auto"/>
            <w:vAlign w:val="center"/>
          </w:tcPr>
          <w:p w14:paraId="4A451449" w14:textId="77777777" w:rsidR="006B43AF" w:rsidRPr="009177D7" w:rsidRDefault="006B43AF" w:rsidP="004203CD">
            <w:pPr>
              <w:pStyle w:val="TablesTText"/>
              <w:spacing w:line="276" w:lineRule="auto"/>
              <w:rPr>
                <w:rFonts w:ascii="IBM Plex Sans Light" w:hAnsi="IBM Plex Sans Light"/>
                <w:b/>
                <w:bCs/>
                <w:sz w:val="18"/>
                <w:szCs w:val="18"/>
              </w:rPr>
            </w:pPr>
            <w:r>
              <w:rPr>
                <w:rFonts w:ascii="IBM Plex Sans Light" w:hAnsi="IBM Plex Sans Light"/>
                <w:b/>
                <w:bCs/>
                <w:sz w:val="18"/>
                <w:szCs w:val="18"/>
              </w:rPr>
              <w:t>EPRA NTA</w:t>
            </w:r>
          </w:p>
        </w:tc>
        <w:tc>
          <w:tcPr>
            <w:tcW w:w="426" w:type="dxa"/>
            <w:tcBorders>
              <w:top w:val="single" w:sz="2" w:space="0" w:color="3D7FE0" w:themeColor="accent1"/>
            </w:tcBorders>
            <w:shd w:val="clear" w:color="auto" w:fill="auto"/>
            <w:vAlign w:val="center"/>
          </w:tcPr>
          <w:p w14:paraId="572823F0" w14:textId="77777777" w:rsidR="006B43AF" w:rsidRPr="005907D3" w:rsidRDefault="006B43AF" w:rsidP="004203CD">
            <w:pPr>
              <w:pStyle w:val="TablesTTextBold"/>
              <w:spacing w:line="276" w:lineRule="auto"/>
              <w:jc w:val="center"/>
              <w:rPr>
                <w:rFonts w:ascii="IBM Plex Sans Light" w:hAnsi="IBM Plex Sans Light"/>
                <w:sz w:val="18"/>
                <w:szCs w:val="18"/>
              </w:rPr>
            </w:pPr>
            <w:r>
              <w:rPr>
                <w:rFonts w:ascii="IBM Plex Sans Light" w:hAnsi="IBM Plex Sans Light"/>
                <w:sz w:val="18"/>
                <w:szCs w:val="18"/>
              </w:rPr>
              <w:t>10C</w:t>
            </w:r>
          </w:p>
        </w:tc>
        <w:tc>
          <w:tcPr>
            <w:tcW w:w="894" w:type="dxa"/>
            <w:tcBorders>
              <w:top w:val="single" w:sz="2" w:space="0" w:color="3D7FE0" w:themeColor="accent1"/>
            </w:tcBorders>
            <w:shd w:val="clear" w:color="auto" w:fill="auto"/>
          </w:tcPr>
          <w:p w14:paraId="39F78BD9" w14:textId="77777777" w:rsidR="006B43AF" w:rsidRPr="00E17ACB"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tcBorders>
              <w:top w:val="single" w:sz="2" w:space="0" w:color="3D7FE0" w:themeColor="accent1"/>
            </w:tcBorders>
            <w:shd w:val="clear" w:color="auto" w:fill="auto"/>
          </w:tcPr>
          <w:p w14:paraId="68BCDF9E" w14:textId="77777777" w:rsidR="006B43AF" w:rsidRPr="00E17ACB" w:rsidRDefault="006B43AF" w:rsidP="004203CD">
            <w:pPr>
              <w:pStyle w:val="TablesTFigures"/>
              <w:spacing w:line="276" w:lineRule="auto"/>
              <w:rPr>
                <w:rFonts w:ascii="IBM Plex Sans Medium" w:hAnsi="IBM Plex Sans Medium"/>
                <w:b/>
                <w:bCs/>
                <w:color w:val="3D7FE0" w:themeColor="accent1"/>
                <w:sz w:val="18"/>
                <w:szCs w:val="18"/>
              </w:rPr>
            </w:pPr>
          </w:p>
        </w:tc>
        <w:tc>
          <w:tcPr>
            <w:tcW w:w="1038" w:type="dxa"/>
            <w:tcBorders>
              <w:top w:val="single" w:sz="2" w:space="0" w:color="3D7FE0" w:themeColor="accent1"/>
            </w:tcBorders>
            <w:shd w:val="clear" w:color="auto" w:fill="auto"/>
            <w:vAlign w:val="bottom"/>
          </w:tcPr>
          <w:p w14:paraId="30DB9DCC" w14:textId="77777777" w:rsidR="006B43AF" w:rsidRPr="00BB116B" w:rsidRDefault="006B43AF" w:rsidP="004203CD">
            <w:pPr>
              <w:pStyle w:val="TablesTFigures"/>
              <w:spacing w:line="276" w:lineRule="auto"/>
              <w:rPr>
                <w:rFonts w:ascii="IBM Plex Sans Medium" w:hAnsi="IBM Plex Sans Medium"/>
                <w:b/>
                <w:bCs/>
                <w:color w:val="3D7FE0" w:themeColor="accent1"/>
                <w:sz w:val="18"/>
                <w:szCs w:val="18"/>
              </w:rPr>
            </w:pPr>
            <w:r>
              <w:rPr>
                <w:rFonts w:ascii="IBM Plex Sans Medium" w:hAnsi="IBM Plex Sans Medium"/>
                <w:b/>
                <w:bCs/>
                <w:color w:val="3D7FE0" w:themeColor="accent1"/>
                <w:sz w:val="18"/>
                <w:szCs w:val="18"/>
              </w:rPr>
              <w:t>2,542.0</w:t>
            </w:r>
          </w:p>
        </w:tc>
        <w:tc>
          <w:tcPr>
            <w:tcW w:w="1037" w:type="dxa"/>
            <w:gridSpan w:val="2"/>
            <w:tcBorders>
              <w:top w:val="single" w:sz="2" w:space="0" w:color="3D7FE0" w:themeColor="accent1"/>
            </w:tcBorders>
            <w:shd w:val="clear" w:color="auto" w:fill="auto"/>
            <w:vAlign w:val="center"/>
          </w:tcPr>
          <w:p w14:paraId="74415613" w14:textId="77777777" w:rsidR="006B43AF" w:rsidRPr="005907D3" w:rsidRDefault="006B43AF" w:rsidP="004203CD">
            <w:pPr>
              <w:pStyle w:val="TablesTFigures"/>
              <w:spacing w:line="276" w:lineRule="auto"/>
              <w:rPr>
                <w:rFonts w:ascii="IBM Plex Sans Light" w:hAnsi="IBM Plex Sans Light"/>
                <w:sz w:val="18"/>
                <w:szCs w:val="18"/>
              </w:rPr>
            </w:pPr>
          </w:p>
        </w:tc>
        <w:tc>
          <w:tcPr>
            <w:tcW w:w="1037" w:type="dxa"/>
            <w:tcBorders>
              <w:top w:val="single" w:sz="2" w:space="0" w:color="3D7FE0" w:themeColor="accent1"/>
            </w:tcBorders>
            <w:shd w:val="clear" w:color="auto" w:fill="auto"/>
            <w:vAlign w:val="center"/>
          </w:tcPr>
          <w:p w14:paraId="0990153C" w14:textId="77777777" w:rsidR="006B43AF" w:rsidRPr="005907D3" w:rsidRDefault="006B43AF" w:rsidP="004203CD">
            <w:pPr>
              <w:pStyle w:val="TablesTFigures"/>
              <w:spacing w:line="276" w:lineRule="auto"/>
              <w:rPr>
                <w:rFonts w:ascii="IBM Plex Sans Light" w:hAnsi="IBM Plex Sans Light"/>
                <w:sz w:val="18"/>
                <w:szCs w:val="18"/>
              </w:rPr>
            </w:pPr>
          </w:p>
        </w:tc>
        <w:tc>
          <w:tcPr>
            <w:tcW w:w="1038" w:type="dxa"/>
            <w:gridSpan w:val="2"/>
            <w:tcBorders>
              <w:top w:val="single" w:sz="2" w:space="0" w:color="3D7FE0" w:themeColor="accent1"/>
            </w:tcBorders>
            <w:shd w:val="clear" w:color="auto" w:fill="auto"/>
            <w:vAlign w:val="center"/>
          </w:tcPr>
          <w:p w14:paraId="778B5BDC" w14:textId="77777777" w:rsidR="006B43AF" w:rsidRPr="005907D3" w:rsidRDefault="006B43AF" w:rsidP="004203CD">
            <w:pPr>
              <w:pStyle w:val="TablesTFigures"/>
              <w:spacing w:line="276" w:lineRule="auto"/>
              <w:rPr>
                <w:rFonts w:ascii="IBM Plex Sans Light" w:hAnsi="IBM Plex Sans Light"/>
                <w:sz w:val="18"/>
                <w:szCs w:val="18"/>
              </w:rPr>
            </w:pPr>
            <w:r>
              <w:rPr>
                <w:rFonts w:ascii="IBM Plex Sans Light" w:hAnsi="IBM Plex Sans Light"/>
                <w:sz w:val="18"/>
                <w:szCs w:val="18"/>
              </w:rPr>
              <w:t>2,633.7</w:t>
            </w:r>
          </w:p>
        </w:tc>
      </w:tr>
      <w:tr w:rsidR="006B43AF" w:rsidRPr="005907D3" w14:paraId="5541F6FA" w14:textId="77777777" w:rsidTr="004203CD">
        <w:trPr>
          <w:cantSplit/>
          <w:trHeight w:val="20"/>
        </w:trPr>
        <w:tc>
          <w:tcPr>
            <w:tcW w:w="3402" w:type="dxa"/>
            <w:tcBorders>
              <w:top w:val="single" w:sz="2" w:space="0" w:color="3D7FE0" w:themeColor="accent1"/>
              <w:bottom w:val="single" w:sz="8" w:space="0" w:color="3D7FE0" w:themeColor="accent1"/>
            </w:tcBorders>
            <w:shd w:val="clear" w:color="auto" w:fill="auto"/>
            <w:vAlign w:val="center"/>
          </w:tcPr>
          <w:p w14:paraId="7164C5FD" w14:textId="77777777" w:rsidR="006B43AF" w:rsidRPr="005907D3" w:rsidRDefault="006B43AF" w:rsidP="004203CD">
            <w:pPr>
              <w:pStyle w:val="TablesTTextBold"/>
              <w:spacing w:line="276" w:lineRule="auto"/>
              <w:rPr>
                <w:rFonts w:ascii="IBM Plex Sans Light" w:hAnsi="IBM Plex Sans Light"/>
                <w:b/>
                <w:bCs/>
                <w:sz w:val="18"/>
                <w:szCs w:val="18"/>
              </w:rPr>
            </w:pPr>
            <w:r w:rsidRPr="005907D3">
              <w:rPr>
                <w:rFonts w:ascii="IBM Plex Sans Light" w:hAnsi="IBM Plex Sans Light"/>
                <w:b/>
                <w:bCs/>
                <w:sz w:val="18"/>
                <w:szCs w:val="18"/>
              </w:rPr>
              <w:t>EPRA NTA</w:t>
            </w:r>
            <w:r>
              <w:rPr>
                <w:rFonts w:ascii="IBM Plex Sans Light" w:hAnsi="IBM Plex Sans Light"/>
                <w:b/>
                <w:bCs/>
                <w:sz w:val="18"/>
                <w:szCs w:val="18"/>
              </w:rPr>
              <w:t xml:space="preserve"> per share</w:t>
            </w:r>
          </w:p>
        </w:tc>
        <w:tc>
          <w:tcPr>
            <w:tcW w:w="426" w:type="dxa"/>
            <w:tcBorders>
              <w:top w:val="single" w:sz="2" w:space="0" w:color="3D7FE0" w:themeColor="accent1"/>
              <w:bottom w:val="single" w:sz="8" w:space="0" w:color="3D7FE0" w:themeColor="accent1"/>
            </w:tcBorders>
            <w:shd w:val="clear" w:color="auto" w:fill="auto"/>
            <w:vAlign w:val="center"/>
          </w:tcPr>
          <w:p w14:paraId="420C60AA" w14:textId="77777777" w:rsidR="006B43AF" w:rsidRPr="005907D3" w:rsidRDefault="006B43AF" w:rsidP="004203CD">
            <w:pPr>
              <w:pStyle w:val="TablesTTextBold"/>
              <w:spacing w:line="276" w:lineRule="auto"/>
              <w:jc w:val="center"/>
              <w:rPr>
                <w:rFonts w:ascii="IBM Plex Sans Light" w:hAnsi="IBM Plex Sans Light"/>
                <w:sz w:val="18"/>
                <w:szCs w:val="18"/>
              </w:rPr>
            </w:pPr>
            <w:r>
              <w:rPr>
                <w:rFonts w:ascii="IBM Plex Sans Light" w:hAnsi="IBM Plex Sans Light"/>
                <w:sz w:val="18"/>
                <w:szCs w:val="18"/>
              </w:rPr>
              <w:t>10C</w:t>
            </w:r>
          </w:p>
        </w:tc>
        <w:tc>
          <w:tcPr>
            <w:tcW w:w="894" w:type="dxa"/>
            <w:tcBorders>
              <w:top w:val="single" w:sz="2" w:space="0" w:color="3D7FE0" w:themeColor="accent1"/>
              <w:bottom w:val="single" w:sz="8" w:space="0" w:color="3D7FE0" w:themeColor="accent1"/>
            </w:tcBorders>
            <w:shd w:val="clear" w:color="auto" w:fill="auto"/>
            <w:vAlign w:val="bottom"/>
          </w:tcPr>
          <w:p w14:paraId="6FE52702" w14:textId="77777777" w:rsidR="006B43AF" w:rsidRPr="00E17ACB" w:rsidRDefault="006B43AF" w:rsidP="004203CD">
            <w:pPr>
              <w:pStyle w:val="TablesTFigures"/>
              <w:spacing w:line="276" w:lineRule="auto"/>
              <w:rPr>
                <w:rFonts w:ascii="IBM Plex Sans Medium" w:hAnsi="IBM Plex Sans Medium"/>
                <w:b/>
                <w:bCs/>
                <w:color w:val="3D7FE0" w:themeColor="accent1"/>
                <w:sz w:val="18"/>
                <w:szCs w:val="18"/>
              </w:rPr>
            </w:pPr>
          </w:p>
        </w:tc>
        <w:tc>
          <w:tcPr>
            <w:tcW w:w="1037" w:type="dxa"/>
            <w:tcBorders>
              <w:top w:val="single" w:sz="2" w:space="0" w:color="3D7FE0" w:themeColor="accent1"/>
              <w:bottom w:val="single" w:sz="8" w:space="0" w:color="3D7FE0" w:themeColor="accent1"/>
            </w:tcBorders>
            <w:shd w:val="clear" w:color="auto" w:fill="auto"/>
            <w:vAlign w:val="bottom"/>
          </w:tcPr>
          <w:p w14:paraId="45165BFB" w14:textId="77777777" w:rsidR="006B43AF" w:rsidRPr="00E17ACB" w:rsidRDefault="006B43AF" w:rsidP="004203CD">
            <w:pPr>
              <w:pStyle w:val="TablesTFigures"/>
              <w:spacing w:line="276" w:lineRule="auto"/>
              <w:rPr>
                <w:rFonts w:ascii="IBM Plex Sans Medium" w:hAnsi="IBM Plex Sans Medium"/>
                <w:b/>
                <w:bCs/>
                <w:color w:val="3D7FE0" w:themeColor="accent1"/>
                <w:sz w:val="18"/>
                <w:szCs w:val="18"/>
              </w:rPr>
            </w:pPr>
          </w:p>
        </w:tc>
        <w:tc>
          <w:tcPr>
            <w:tcW w:w="1038" w:type="dxa"/>
            <w:tcBorders>
              <w:top w:val="single" w:sz="2" w:space="0" w:color="3D7FE0" w:themeColor="accent1"/>
              <w:bottom w:val="single" w:sz="8" w:space="0" w:color="3D7FE0" w:themeColor="accent1"/>
            </w:tcBorders>
            <w:shd w:val="clear" w:color="auto" w:fill="auto"/>
            <w:vAlign w:val="bottom"/>
          </w:tcPr>
          <w:p w14:paraId="05D38786" w14:textId="77777777" w:rsidR="006B43AF" w:rsidRPr="00CE5A72" w:rsidRDefault="006B43AF" w:rsidP="004203CD">
            <w:pPr>
              <w:pStyle w:val="TablesTFigures"/>
              <w:spacing w:line="276" w:lineRule="auto"/>
              <w:rPr>
                <w:rFonts w:ascii="IBM Plex Sans Medium" w:hAnsi="IBM Plex Sans Medium"/>
                <w:color w:val="3D7FE0" w:themeColor="accent1"/>
                <w:sz w:val="18"/>
                <w:szCs w:val="18"/>
              </w:rPr>
            </w:pPr>
            <w:r>
              <w:rPr>
                <w:rFonts w:ascii="IBM Plex Sans Medium" w:hAnsi="IBM Plex Sans Medium"/>
                <w:b/>
                <w:bCs/>
                <w:color w:val="3D7FE0" w:themeColor="accent1"/>
                <w:sz w:val="18"/>
                <w:szCs w:val="18"/>
              </w:rPr>
              <w:t>51p</w:t>
            </w:r>
          </w:p>
        </w:tc>
        <w:tc>
          <w:tcPr>
            <w:tcW w:w="1037" w:type="dxa"/>
            <w:gridSpan w:val="2"/>
            <w:tcBorders>
              <w:top w:val="single" w:sz="2" w:space="0" w:color="3D7FE0" w:themeColor="accent1"/>
              <w:bottom w:val="single" w:sz="8" w:space="0" w:color="3D7FE0" w:themeColor="accent1"/>
            </w:tcBorders>
            <w:shd w:val="clear" w:color="auto" w:fill="auto"/>
            <w:vAlign w:val="center"/>
          </w:tcPr>
          <w:p w14:paraId="1F02E344" w14:textId="77777777" w:rsidR="006B43AF" w:rsidRPr="005907D3" w:rsidRDefault="006B43AF" w:rsidP="004203CD">
            <w:pPr>
              <w:pStyle w:val="TablesTFigures"/>
              <w:spacing w:line="276" w:lineRule="auto"/>
              <w:rPr>
                <w:rFonts w:ascii="IBM Plex Sans Light" w:hAnsi="IBM Plex Sans Light"/>
                <w:sz w:val="18"/>
                <w:szCs w:val="18"/>
              </w:rPr>
            </w:pPr>
          </w:p>
        </w:tc>
        <w:tc>
          <w:tcPr>
            <w:tcW w:w="1037" w:type="dxa"/>
            <w:tcBorders>
              <w:top w:val="single" w:sz="2" w:space="0" w:color="3D7FE0" w:themeColor="accent1"/>
              <w:bottom w:val="single" w:sz="8" w:space="0" w:color="3D7FE0" w:themeColor="accent1"/>
            </w:tcBorders>
            <w:shd w:val="clear" w:color="auto" w:fill="auto"/>
            <w:vAlign w:val="center"/>
          </w:tcPr>
          <w:p w14:paraId="4CD57B66" w14:textId="77777777" w:rsidR="006B43AF" w:rsidRPr="005907D3" w:rsidRDefault="006B43AF" w:rsidP="004203CD">
            <w:pPr>
              <w:pStyle w:val="TablesTFigures"/>
              <w:spacing w:line="276" w:lineRule="auto"/>
              <w:rPr>
                <w:rFonts w:ascii="IBM Plex Sans Light" w:hAnsi="IBM Plex Sans Light"/>
                <w:sz w:val="18"/>
                <w:szCs w:val="18"/>
              </w:rPr>
            </w:pPr>
          </w:p>
        </w:tc>
        <w:tc>
          <w:tcPr>
            <w:tcW w:w="1038" w:type="dxa"/>
            <w:gridSpan w:val="2"/>
            <w:tcBorders>
              <w:top w:val="single" w:sz="2" w:space="0" w:color="3D7FE0" w:themeColor="accent1"/>
              <w:bottom w:val="single" w:sz="8" w:space="0" w:color="3D7FE0" w:themeColor="accent1"/>
            </w:tcBorders>
            <w:shd w:val="clear" w:color="auto" w:fill="auto"/>
            <w:vAlign w:val="center"/>
          </w:tcPr>
          <w:p w14:paraId="34EBCDC6" w14:textId="77777777" w:rsidR="006B43AF" w:rsidRPr="005907D3" w:rsidRDefault="006B43AF" w:rsidP="004203CD">
            <w:pPr>
              <w:pStyle w:val="TablesTFigures"/>
              <w:spacing w:line="276" w:lineRule="auto"/>
              <w:rPr>
                <w:rFonts w:ascii="IBM Plex Sans Light" w:hAnsi="IBM Plex Sans Light"/>
                <w:sz w:val="18"/>
                <w:szCs w:val="18"/>
              </w:rPr>
            </w:pPr>
            <w:r>
              <w:rPr>
                <w:rFonts w:ascii="IBM Plex Sans Light" w:hAnsi="IBM Plex Sans Light"/>
                <w:sz w:val="18"/>
                <w:szCs w:val="18"/>
              </w:rPr>
              <w:t>53p</w:t>
            </w:r>
          </w:p>
        </w:tc>
      </w:tr>
    </w:tbl>
    <w:p w14:paraId="5EACAAB0" w14:textId="77777777" w:rsidR="006B43AF" w:rsidRDefault="006B43AF" w:rsidP="006B43AF">
      <w:pPr>
        <w:pStyle w:val="TablesTHeading1"/>
        <w:pBdr>
          <w:bottom w:val="none" w:sz="0" w:space="0" w:color="auto"/>
        </w:pBdr>
        <w:ind w:right="-142"/>
        <w:rPr>
          <w:rFonts w:ascii="IBM Plex Sans Light" w:hAnsi="IBM Plex Sans Light"/>
          <w:color w:val="3D7FE0" w:themeColor="accent1"/>
        </w:rPr>
      </w:pPr>
    </w:p>
    <w:p w14:paraId="70DF885C" w14:textId="71D39101" w:rsidR="006B43AF" w:rsidRDefault="006B43AF" w:rsidP="006B43AF">
      <w:pPr>
        <w:spacing w:after="0" w:line="240" w:lineRule="auto"/>
        <w:rPr>
          <w:rFonts w:ascii="IBM Plex Sans Medium" w:eastAsia="Yu Gothic Light" w:hAnsi="IBM Plex Sans Medium"/>
          <w:b/>
          <w:color w:val="3D7FE0" w:themeColor="accent1"/>
          <w:spacing w:val="0"/>
          <w:szCs w:val="22"/>
        </w:rPr>
      </w:pPr>
    </w:p>
    <w:p w14:paraId="4A7F1227"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Net debt </w:t>
      </w:r>
    </w:p>
    <w:p w14:paraId="07E84F31" w14:textId="77777777" w:rsidR="006B43AF" w:rsidRPr="00280504" w:rsidRDefault="006B43AF" w:rsidP="006B43AF">
      <w:pPr>
        <w:rPr>
          <w:rFonts w:ascii="IBM Plex Sans Light" w:hAnsi="IBM Plex Sans Light"/>
          <w:b/>
        </w:rPr>
      </w:pPr>
      <w:r w:rsidRPr="00280504">
        <w:rPr>
          <w:rFonts w:ascii="IBM Plex Sans Light" w:hAnsi="IBM Plex Sans Light"/>
          <w:b/>
        </w:rPr>
        <w:t>Table 13</w:t>
      </w:r>
    </w:p>
    <w:tbl>
      <w:tblPr>
        <w:tblW w:w="9906" w:type="dxa"/>
        <w:tblLayout w:type="fixed"/>
        <w:tblCellMar>
          <w:left w:w="0" w:type="dxa"/>
          <w:right w:w="0" w:type="dxa"/>
        </w:tblCellMar>
        <w:tblLook w:val="04A0" w:firstRow="1" w:lastRow="0" w:firstColumn="1" w:lastColumn="0" w:noHBand="0" w:noVBand="1"/>
      </w:tblPr>
      <w:tblGrid>
        <w:gridCol w:w="2835"/>
        <w:gridCol w:w="284"/>
        <w:gridCol w:w="516"/>
        <w:gridCol w:w="1168"/>
        <w:gridCol w:w="992"/>
        <w:gridCol w:w="992"/>
        <w:gridCol w:w="993"/>
        <w:gridCol w:w="992"/>
        <w:gridCol w:w="1134"/>
      </w:tblGrid>
      <w:tr w:rsidR="006B43AF" w:rsidRPr="005907D3" w14:paraId="7F58FC2E" w14:textId="77777777" w:rsidTr="004203CD">
        <w:trPr>
          <w:trHeight w:val="20"/>
        </w:trPr>
        <w:tc>
          <w:tcPr>
            <w:tcW w:w="2835" w:type="dxa"/>
            <w:tcBorders>
              <w:bottom w:val="single" w:sz="2" w:space="0" w:color="3D7FE0" w:themeColor="accent1"/>
            </w:tcBorders>
            <w:shd w:val="clear" w:color="auto" w:fill="auto"/>
            <w:vAlign w:val="bottom"/>
          </w:tcPr>
          <w:p w14:paraId="7632C94A" w14:textId="77777777" w:rsidR="006B43AF" w:rsidRPr="005907D3" w:rsidRDefault="006B43AF" w:rsidP="004203CD">
            <w:pPr>
              <w:pStyle w:val="TablesTColHead"/>
              <w:rPr>
                <w:rFonts w:ascii="IBM Plex Sans Light" w:hAnsi="IBM Plex Sans Light"/>
              </w:rPr>
            </w:pPr>
          </w:p>
        </w:tc>
        <w:tc>
          <w:tcPr>
            <w:tcW w:w="284" w:type="dxa"/>
            <w:tcBorders>
              <w:bottom w:val="single" w:sz="2" w:space="0" w:color="3D7FE0" w:themeColor="accent1"/>
            </w:tcBorders>
            <w:shd w:val="clear" w:color="auto" w:fill="auto"/>
            <w:vAlign w:val="bottom"/>
          </w:tcPr>
          <w:p w14:paraId="15610875" w14:textId="77777777" w:rsidR="006B43AF" w:rsidRPr="005907D3" w:rsidRDefault="006B43AF" w:rsidP="004203CD">
            <w:pPr>
              <w:pStyle w:val="TablesTColHead"/>
              <w:rPr>
                <w:rFonts w:ascii="IBM Plex Sans Light" w:hAnsi="IBM Plex Sans Light"/>
              </w:rPr>
            </w:pPr>
          </w:p>
        </w:tc>
        <w:tc>
          <w:tcPr>
            <w:tcW w:w="516" w:type="dxa"/>
            <w:tcBorders>
              <w:bottom w:val="single" w:sz="2" w:space="0" w:color="3D7FE0" w:themeColor="accent1"/>
            </w:tcBorders>
            <w:shd w:val="clear" w:color="auto" w:fill="auto"/>
            <w:vAlign w:val="bottom"/>
          </w:tcPr>
          <w:p w14:paraId="468E2B9F" w14:textId="77777777" w:rsidR="006B43AF" w:rsidRPr="005907D3" w:rsidRDefault="006B43AF" w:rsidP="004203CD">
            <w:pPr>
              <w:pStyle w:val="TablesTColHead"/>
              <w:rPr>
                <w:rFonts w:ascii="IBM Plex Sans Light" w:hAnsi="IBM Plex Sans Light"/>
              </w:rPr>
            </w:pPr>
          </w:p>
        </w:tc>
        <w:tc>
          <w:tcPr>
            <w:tcW w:w="3152" w:type="dxa"/>
            <w:gridSpan w:val="3"/>
            <w:tcBorders>
              <w:bottom w:val="single" w:sz="2" w:space="0" w:color="3D7FE0" w:themeColor="accent1"/>
            </w:tcBorders>
            <w:shd w:val="clear" w:color="auto" w:fill="auto"/>
            <w:vAlign w:val="bottom"/>
          </w:tcPr>
          <w:p w14:paraId="572C58AA" w14:textId="77777777" w:rsidR="006B43AF" w:rsidRPr="005907D3" w:rsidRDefault="006B43AF" w:rsidP="004203CD">
            <w:pPr>
              <w:pStyle w:val="TablesTColHeadsBold"/>
              <w:rPr>
                <w:rFonts w:ascii="IBM Plex Sans Light" w:hAnsi="IBM Plex Sans Light"/>
                <w:color w:val="3D7FE0" w:themeColor="accent1"/>
              </w:rPr>
            </w:pPr>
            <w:r w:rsidRPr="00F3112C">
              <w:rPr>
                <w:rFonts w:ascii="IBM Plex Sans Light" w:hAnsi="IBM Plex Sans Light"/>
                <w:bCs/>
                <w:color w:val="3D7FE0" w:themeColor="accent1"/>
                <w:sz w:val="14"/>
                <w:szCs w:val="24"/>
              </w:rPr>
              <w:t>2023</w:t>
            </w:r>
          </w:p>
        </w:tc>
        <w:tc>
          <w:tcPr>
            <w:tcW w:w="3119" w:type="dxa"/>
            <w:gridSpan w:val="3"/>
            <w:tcBorders>
              <w:bottom w:val="single" w:sz="2" w:space="0" w:color="3D7FE0" w:themeColor="accent1"/>
            </w:tcBorders>
            <w:shd w:val="clear" w:color="auto" w:fill="auto"/>
            <w:vAlign w:val="bottom"/>
          </w:tcPr>
          <w:p w14:paraId="5B524CCB" w14:textId="77777777" w:rsidR="006B43AF" w:rsidRPr="005907D3" w:rsidRDefault="006B43AF" w:rsidP="004203CD">
            <w:pPr>
              <w:pStyle w:val="TablesTColHead"/>
              <w:rPr>
                <w:rFonts w:ascii="IBM Plex Sans Light" w:hAnsi="IBM Plex Sans Light"/>
              </w:rPr>
            </w:pPr>
            <w:r w:rsidRPr="00F3112C">
              <w:rPr>
                <w:rFonts w:ascii="IBM Plex Sans Light" w:hAnsi="IBM Plex Sans Light"/>
                <w:sz w:val="14"/>
                <w:szCs w:val="24"/>
              </w:rPr>
              <w:t>2022</w:t>
            </w:r>
          </w:p>
        </w:tc>
      </w:tr>
      <w:tr w:rsidR="006B43AF" w:rsidRPr="005907D3" w14:paraId="15DA8657" w14:textId="77777777" w:rsidTr="004203CD">
        <w:trPr>
          <w:trHeight w:val="20"/>
        </w:trPr>
        <w:tc>
          <w:tcPr>
            <w:tcW w:w="2835" w:type="dxa"/>
            <w:tcBorders>
              <w:top w:val="single" w:sz="2" w:space="0" w:color="3D7FE0" w:themeColor="accent1"/>
              <w:bottom w:val="single" w:sz="2" w:space="0" w:color="3D7FE0" w:themeColor="accent1"/>
            </w:tcBorders>
            <w:shd w:val="clear" w:color="auto" w:fill="auto"/>
            <w:vAlign w:val="bottom"/>
          </w:tcPr>
          <w:p w14:paraId="13CF7B42" w14:textId="77777777" w:rsidR="006B43AF" w:rsidRPr="005907D3" w:rsidRDefault="006B43AF" w:rsidP="004203CD">
            <w:pPr>
              <w:rPr>
                <w:rFonts w:ascii="IBM Plex Sans Light" w:hAnsi="IBM Plex Sans Light"/>
              </w:rPr>
            </w:pPr>
            <w:r w:rsidRPr="005907D3">
              <w:rPr>
                <w:rFonts w:ascii="IBM Plex Sans Light" w:hAnsi="IBM Plex Sans Light"/>
                <w:b/>
                <w:bCs/>
                <w:color w:val="3D7FE0" w:themeColor="accent1"/>
                <w:sz w:val="14"/>
              </w:rPr>
              <w:t xml:space="preserve">Proportionally consolidated </w:t>
            </w:r>
          </w:p>
        </w:tc>
        <w:tc>
          <w:tcPr>
            <w:tcW w:w="284" w:type="dxa"/>
            <w:tcBorders>
              <w:top w:val="single" w:sz="2" w:space="0" w:color="3D7FE0" w:themeColor="accent1"/>
              <w:bottom w:val="single" w:sz="2" w:space="0" w:color="3D7FE0" w:themeColor="accent1"/>
            </w:tcBorders>
            <w:shd w:val="clear" w:color="auto" w:fill="auto"/>
            <w:vAlign w:val="bottom"/>
          </w:tcPr>
          <w:p w14:paraId="19B840E9" w14:textId="77777777" w:rsidR="006B43AF" w:rsidRPr="005907D3" w:rsidRDefault="006B43AF" w:rsidP="004203CD">
            <w:pPr>
              <w:rPr>
                <w:rFonts w:ascii="IBM Plex Sans Light" w:hAnsi="IBM Plex Sans Light"/>
              </w:rPr>
            </w:pPr>
          </w:p>
        </w:tc>
        <w:tc>
          <w:tcPr>
            <w:tcW w:w="516" w:type="dxa"/>
            <w:tcBorders>
              <w:top w:val="single" w:sz="2" w:space="0" w:color="3D7FE0" w:themeColor="accent1"/>
              <w:bottom w:val="single" w:sz="2" w:space="0" w:color="3D7FE0" w:themeColor="accent1"/>
            </w:tcBorders>
            <w:shd w:val="clear" w:color="auto" w:fill="auto"/>
            <w:vAlign w:val="bottom"/>
          </w:tcPr>
          <w:p w14:paraId="4C9EEB62" w14:textId="77777777" w:rsidR="006B43AF" w:rsidRPr="005907D3" w:rsidRDefault="006B43AF" w:rsidP="004203CD">
            <w:pPr>
              <w:rPr>
                <w:rFonts w:ascii="IBM Plex Sans Light" w:hAnsi="IBM Plex Sans Light"/>
              </w:rPr>
            </w:pPr>
          </w:p>
        </w:tc>
        <w:tc>
          <w:tcPr>
            <w:tcW w:w="1168" w:type="dxa"/>
            <w:tcBorders>
              <w:top w:val="single" w:sz="2" w:space="0" w:color="3D7FE0" w:themeColor="accent1"/>
              <w:bottom w:val="single" w:sz="2" w:space="0" w:color="3D7FE0" w:themeColor="accent1"/>
            </w:tcBorders>
            <w:shd w:val="clear" w:color="auto" w:fill="auto"/>
            <w:vAlign w:val="bottom"/>
          </w:tcPr>
          <w:p w14:paraId="07B8E60C"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Reported </w:t>
            </w:r>
            <w:r w:rsidRPr="005907D3">
              <w:rPr>
                <w:rFonts w:ascii="IBM Plex Sans Light" w:hAnsi="IBM Plex Sans Light"/>
                <w:color w:val="3D7FE0" w:themeColor="accent1"/>
                <w:sz w:val="14"/>
                <w:szCs w:val="24"/>
              </w:rPr>
              <w:br/>
              <w:t>Group</w:t>
            </w:r>
            <w:r w:rsidRPr="005907D3">
              <w:rPr>
                <w:rFonts w:ascii="IBM Plex Sans Light" w:hAnsi="IBM Plex Sans Light"/>
                <w:color w:val="3D7FE0" w:themeColor="accent1"/>
                <w:sz w:val="14"/>
                <w:szCs w:val="24"/>
              </w:rPr>
              <w:br/>
              <w:t>£m</w:t>
            </w:r>
          </w:p>
        </w:tc>
        <w:tc>
          <w:tcPr>
            <w:tcW w:w="992" w:type="dxa"/>
            <w:tcBorders>
              <w:top w:val="single" w:sz="2" w:space="0" w:color="3D7FE0" w:themeColor="accent1"/>
              <w:bottom w:val="single" w:sz="2" w:space="0" w:color="3D7FE0" w:themeColor="accent1"/>
            </w:tcBorders>
            <w:shd w:val="clear" w:color="auto" w:fill="auto"/>
            <w:vAlign w:val="bottom"/>
          </w:tcPr>
          <w:p w14:paraId="5B5E0CDC"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Share of </w:t>
            </w:r>
            <w:r w:rsidRPr="005907D3">
              <w:rPr>
                <w:rFonts w:ascii="IBM Plex Sans Light" w:hAnsi="IBM Plex Sans Light"/>
                <w:color w:val="3D7FE0" w:themeColor="accent1"/>
                <w:sz w:val="14"/>
                <w:szCs w:val="24"/>
              </w:rPr>
              <w:br/>
              <w:t xml:space="preserve">Property </w:t>
            </w:r>
            <w:r w:rsidRPr="005907D3">
              <w:rPr>
                <w:rFonts w:ascii="IBM Plex Sans Light" w:hAnsi="IBM Plex Sans Light"/>
                <w:color w:val="3D7FE0" w:themeColor="accent1"/>
                <w:sz w:val="14"/>
                <w:szCs w:val="24"/>
              </w:rPr>
              <w:br/>
              <w:t>interests</w:t>
            </w:r>
            <w:r w:rsidRPr="005907D3">
              <w:rPr>
                <w:rFonts w:ascii="IBM Plex Sans Light" w:hAnsi="IBM Plex Sans Light"/>
                <w:color w:val="3D7FE0" w:themeColor="accent1"/>
                <w:sz w:val="14"/>
                <w:szCs w:val="24"/>
              </w:rPr>
              <w:br/>
              <w:t>£m</w:t>
            </w:r>
          </w:p>
        </w:tc>
        <w:tc>
          <w:tcPr>
            <w:tcW w:w="992" w:type="dxa"/>
            <w:tcBorders>
              <w:top w:val="single" w:sz="2" w:space="0" w:color="3D7FE0" w:themeColor="accent1"/>
              <w:bottom w:val="single" w:sz="2" w:space="0" w:color="3D7FE0" w:themeColor="accent1"/>
            </w:tcBorders>
            <w:shd w:val="clear" w:color="auto" w:fill="auto"/>
            <w:vAlign w:val="bottom"/>
          </w:tcPr>
          <w:p w14:paraId="42203E18"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Total</w:t>
            </w:r>
            <w:r w:rsidRPr="005907D3">
              <w:rPr>
                <w:rFonts w:ascii="IBM Plex Sans Light" w:hAnsi="IBM Plex Sans Light"/>
                <w:color w:val="3D7FE0" w:themeColor="accent1"/>
                <w:sz w:val="14"/>
                <w:szCs w:val="24"/>
              </w:rPr>
              <w:br/>
              <w:t>£m</w:t>
            </w:r>
          </w:p>
        </w:tc>
        <w:tc>
          <w:tcPr>
            <w:tcW w:w="993" w:type="dxa"/>
            <w:tcBorders>
              <w:top w:val="single" w:sz="2" w:space="0" w:color="3D7FE0" w:themeColor="accent1"/>
              <w:bottom w:val="single" w:sz="2" w:space="0" w:color="3D7FE0" w:themeColor="accent1"/>
            </w:tcBorders>
            <w:shd w:val="clear" w:color="auto" w:fill="auto"/>
            <w:vAlign w:val="bottom"/>
          </w:tcPr>
          <w:p w14:paraId="69FB0751"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 xml:space="preserve">Reported </w:t>
            </w:r>
            <w:r w:rsidRPr="005907D3">
              <w:rPr>
                <w:rFonts w:ascii="IBM Plex Sans Light" w:hAnsi="IBM Plex Sans Light"/>
                <w:sz w:val="14"/>
                <w:szCs w:val="24"/>
              </w:rPr>
              <w:br/>
              <w:t>Group</w:t>
            </w:r>
            <w:r w:rsidRPr="005907D3">
              <w:rPr>
                <w:rFonts w:ascii="IBM Plex Sans Light" w:hAnsi="IBM Plex Sans Light"/>
                <w:sz w:val="14"/>
                <w:szCs w:val="24"/>
              </w:rPr>
              <w:br/>
              <w:t>£m</w:t>
            </w:r>
          </w:p>
        </w:tc>
        <w:tc>
          <w:tcPr>
            <w:tcW w:w="992" w:type="dxa"/>
            <w:tcBorders>
              <w:top w:val="single" w:sz="2" w:space="0" w:color="3D7FE0" w:themeColor="accent1"/>
              <w:bottom w:val="single" w:sz="2" w:space="0" w:color="3D7FE0" w:themeColor="accent1"/>
            </w:tcBorders>
            <w:shd w:val="clear" w:color="auto" w:fill="auto"/>
            <w:vAlign w:val="bottom"/>
          </w:tcPr>
          <w:p w14:paraId="5E549E24"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 xml:space="preserve">Share of </w:t>
            </w:r>
            <w:r w:rsidRPr="005907D3">
              <w:rPr>
                <w:rFonts w:ascii="IBM Plex Sans Light" w:hAnsi="IBM Plex Sans Light"/>
                <w:sz w:val="14"/>
                <w:szCs w:val="24"/>
              </w:rPr>
              <w:br/>
              <w:t xml:space="preserve">Property </w:t>
            </w:r>
            <w:r w:rsidRPr="005907D3">
              <w:rPr>
                <w:rFonts w:ascii="IBM Plex Sans Light" w:hAnsi="IBM Plex Sans Light"/>
                <w:sz w:val="14"/>
                <w:szCs w:val="24"/>
              </w:rPr>
              <w:br/>
              <w:t>interests</w:t>
            </w:r>
            <w:r w:rsidRPr="005907D3">
              <w:rPr>
                <w:rFonts w:ascii="IBM Plex Sans Light" w:hAnsi="IBM Plex Sans Light"/>
                <w:sz w:val="14"/>
                <w:szCs w:val="24"/>
              </w:rPr>
              <w:br/>
              <w:t>£m</w:t>
            </w:r>
          </w:p>
        </w:tc>
        <w:tc>
          <w:tcPr>
            <w:tcW w:w="1134" w:type="dxa"/>
            <w:tcBorders>
              <w:top w:val="single" w:sz="2" w:space="0" w:color="3D7FE0" w:themeColor="accent1"/>
              <w:bottom w:val="single" w:sz="2" w:space="0" w:color="3D7FE0" w:themeColor="accent1"/>
            </w:tcBorders>
            <w:shd w:val="clear" w:color="auto" w:fill="auto"/>
            <w:vAlign w:val="bottom"/>
          </w:tcPr>
          <w:p w14:paraId="6F43C49C"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Total</w:t>
            </w:r>
            <w:r w:rsidRPr="005907D3">
              <w:rPr>
                <w:rFonts w:ascii="IBM Plex Sans Light" w:hAnsi="IBM Plex Sans Light"/>
                <w:sz w:val="14"/>
                <w:szCs w:val="24"/>
              </w:rPr>
              <w:br/>
              <w:t>£m</w:t>
            </w:r>
          </w:p>
        </w:tc>
      </w:tr>
      <w:tr w:rsidR="006B43AF" w:rsidRPr="005907D3" w14:paraId="492E425E" w14:textId="77777777" w:rsidTr="004203CD">
        <w:trPr>
          <w:trHeight w:val="20"/>
        </w:trPr>
        <w:tc>
          <w:tcPr>
            <w:tcW w:w="2835" w:type="dxa"/>
            <w:tcBorders>
              <w:top w:val="single" w:sz="2" w:space="0" w:color="3D7FE0" w:themeColor="accent1"/>
            </w:tcBorders>
            <w:shd w:val="clear" w:color="auto" w:fill="auto"/>
            <w:vAlign w:val="bottom"/>
          </w:tcPr>
          <w:p w14:paraId="7B608035" w14:textId="77777777" w:rsidR="006B43AF" w:rsidRPr="005907D3" w:rsidRDefault="006B43AF" w:rsidP="004203CD">
            <w:pPr>
              <w:pStyle w:val="TablesTText"/>
              <w:rPr>
                <w:rFonts w:ascii="IBM Plex Sans Light" w:hAnsi="IBM Plex Sans Light"/>
                <w:sz w:val="18"/>
                <w:szCs w:val="24"/>
                <w:vertAlign w:val="superscript"/>
              </w:rPr>
            </w:pPr>
            <w:r w:rsidRPr="005907D3">
              <w:rPr>
                <w:rFonts w:ascii="IBM Plex Sans Light" w:hAnsi="IBM Plex Sans Light"/>
                <w:sz w:val="18"/>
                <w:szCs w:val="24"/>
              </w:rPr>
              <w:t xml:space="preserve">Cash and </w:t>
            </w:r>
            <w:r>
              <w:rPr>
                <w:rFonts w:ascii="IBM Plex Sans Light" w:hAnsi="IBM Plex Sans Light"/>
                <w:sz w:val="18"/>
                <w:szCs w:val="24"/>
              </w:rPr>
              <w:t>cash equivalents</w:t>
            </w:r>
          </w:p>
        </w:tc>
        <w:tc>
          <w:tcPr>
            <w:tcW w:w="284" w:type="dxa"/>
            <w:tcBorders>
              <w:top w:val="single" w:sz="2" w:space="0" w:color="3D7FE0" w:themeColor="accent1"/>
            </w:tcBorders>
            <w:shd w:val="clear" w:color="auto" w:fill="auto"/>
            <w:vAlign w:val="bottom"/>
          </w:tcPr>
          <w:p w14:paraId="402371D5" w14:textId="77777777" w:rsidR="006B43AF" w:rsidRPr="005907D3" w:rsidRDefault="006B43AF" w:rsidP="004203CD">
            <w:pPr>
              <w:pStyle w:val="TablesTText"/>
              <w:rPr>
                <w:rFonts w:ascii="IBM Plex Sans Light" w:hAnsi="IBM Plex Sans Light"/>
                <w:sz w:val="18"/>
                <w:szCs w:val="24"/>
                <w:vertAlign w:val="superscript"/>
              </w:rPr>
            </w:pPr>
          </w:p>
        </w:tc>
        <w:tc>
          <w:tcPr>
            <w:tcW w:w="516" w:type="dxa"/>
            <w:tcBorders>
              <w:top w:val="single" w:sz="2" w:space="0" w:color="3D7FE0" w:themeColor="accent1"/>
            </w:tcBorders>
            <w:shd w:val="clear" w:color="auto" w:fill="auto"/>
            <w:vAlign w:val="bottom"/>
          </w:tcPr>
          <w:p w14:paraId="2AD2C688" w14:textId="77777777" w:rsidR="006B43AF" w:rsidRPr="005907D3" w:rsidRDefault="006B43AF" w:rsidP="004203CD">
            <w:pPr>
              <w:pStyle w:val="TablesTText"/>
              <w:jc w:val="center"/>
              <w:rPr>
                <w:rFonts w:ascii="IBM Plex Sans Light" w:hAnsi="IBM Plex Sans Light"/>
                <w:vertAlign w:val="superscript"/>
              </w:rPr>
            </w:pPr>
          </w:p>
        </w:tc>
        <w:tc>
          <w:tcPr>
            <w:tcW w:w="1168" w:type="dxa"/>
            <w:tcBorders>
              <w:top w:val="single" w:sz="2" w:space="0" w:color="3D7FE0" w:themeColor="accent1"/>
            </w:tcBorders>
            <w:shd w:val="clear" w:color="auto" w:fill="auto"/>
            <w:vAlign w:val="bottom"/>
          </w:tcPr>
          <w:p w14:paraId="73171430"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472.3</w:t>
            </w:r>
          </w:p>
        </w:tc>
        <w:tc>
          <w:tcPr>
            <w:tcW w:w="992" w:type="dxa"/>
            <w:tcBorders>
              <w:top w:val="single" w:sz="2" w:space="0" w:color="3D7FE0" w:themeColor="accent1"/>
            </w:tcBorders>
            <w:shd w:val="clear" w:color="auto" w:fill="auto"/>
            <w:vAlign w:val="bottom"/>
          </w:tcPr>
          <w:p w14:paraId="576E6BE6"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97.3</w:t>
            </w:r>
          </w:p>
        </w:tc>
        <w:tc>
          <w:tcPr>
            <w:tcW w:w="992" w:type="dxa"/>
            <w:tcBorders>
              <w:top w:val="single" w:sz="2" w:space="0" w:color="3D7FE0" w:themeColor="accent1"/>
            </w:tcBorders>
            <w:shd w:val="clear" w:color="auto" w:fill="auto"/>
            <w:vAlign w:val="bottom"/>
          </w:tcPr>
          <w:p w14:paraId="422E3723"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569.6</w:t>
            </w:r>
          </w:p>
        </w:tc>
        <w:tc>
          <w:tcPr>
            <w:tcW w:w="993" w:type="dxa"/>
            <w:tcBorders>
              <w:top w:val="single" w:sz="2" w:space="0" w:color="3D7FE0" w:themeColor="accent1"/>
            </w:tcBorders>
            <w:shd w:val="clear" w:color="auto" w:fill="auto"/>
            <w:vAlign w:val="bottom"/>
          </w:tcPr>
          <w:p w14:paraId="020618BA" w14:textId="77777777" w:rsidR="006B43AF" w:rsidRPr="00F3112C" w:rsidRDefault="006B43AF" w:rsidP="004203CD">
            <w:pPr>
              <w:pStyle w:val="TablesTFigures"/>
              <w:spacing w:line="240" w:lineRule="exact"/>
              <w:rPr>
                <w:rFonts w:ascii="IBM Plex Sans Light" w:hAnsi="IBM Plex Sans Light"/>
                <w:sz w:val="18"/>
                <w:szCs w:val="18"/>
              </w:rPr>
            </w:pPr>
            <w:r w:rsidRPr="00F3112C">
              <w:rPr>
                <w:rFonts w:ascii="IBM Plex Sans Light" w:hAnsi="IBM Plex Sans Light"/>
                <w:sz w:val="18"/>
                <w:szCs w:val="18"/>
              </w:rPr>
              <w:t>218.8</w:t>
            </w:r>
          </w:p>
        </w:tc>
        <w:tc>
          <w:tcPr>
            <w:tcW w:w="992" w:type="dxa"/>
            <w:tcBorders>
              <w:top w:val="single" w:sz="2" w:space="0" w:color="3D7FE0" w:themeColor="accent1"/>
            </w:tcBorders>
            <w:shd w:val="clear" w:color="auto" w:fill="auto"/>
            <w:vAlign w:val="bottom"/>
          </w:tcPr>
          <w:p w14:paraId="3EEF5756" w14:textId="77777777" w:rsidR="006B43AF" w:rsidRPr="00F3112C" w:rsidRDefault="006B43AF" w:rsidP="004203CD">
            <w:pPr>
              <w:pStyle w:val="TablesTFigures"/>
              <w:spacing w:line="240" w:lineRule="exact"/>
              <w:rPr>
                <w:rFonts w:ascii="IBM Plex Sans Light" w:hAnsi="IBM Plex Sans Light"/>
                <w:sz w:val="18"/>
                <w:szCs w:val="18"/>
              </w:rPr>
            </w:pPr>
            <w:r w:rsidRPr="00F3112C">
              <w:rPr>
                <w:rFonts w:ascii="IBM Plex Sans Light" w:hAnsi="IBM Plex Sans Light"/>
                <w:sz w:val="18"/>
                <w:szCs w:val="18"/>
              </w:rPr>
              <w:t>117.7</w:t>
            </w:r>
          </w:p>
        </w:tc>
        <w:tc>
          <w:tcPr>
            <w:tcW w:w="1134" w:type="dxa"/>
            <w:tcBorders>
              <w:top w:val="single" w:sz="2" w:space="0" w:color="3D7FE0" w:themeColor="accent1"/>
            </w:tcBorders>
            <w:shd w:val="clear" w:color="auto" w:fill="auto"/>
            <w:vAlign w:val="bottom"/>
          </w:tcPr>
          <w:p w14:paraId="7EF647D2" w14:textId="77777777" w:rsidR="006B43AF" w:rsidRPr="00F3112C" w:rsidRDefault="006B43AF" w:rsidP="004203CD">
            <w:pPr>
              <w:pStyle w:val="TablesTFigures"/>
              <w:spacing w:line="240" w:lineRule="exact"/>
              <w:rPr>
                <w:rFonts w:ascii="IBM Plex Sans Light" w:hAnsi="IBM Plex Sans Light"/>
                <w:sz w:val="18"/>
                <w:szCs w:val="18"/>
              </w:rPr>
            </w:pPr>
            <w:r w:rsidRPr="00F3112C">
              <w:rPr>
                <w:rFonts w:ascii="IBM Plex Sans Light" w:hAnsi="IBM Plex Sans Light"/>
                <w:sz w:val="18"/>
                <w:szCs w:val="18"/>
              </w:rPr>
              <w:t>336.5</w:t>
            </w:r>
          </w:p>
        </w:tc>
      </w:tr>
      <w:tr w:rsidR="006B43AF" w:rsidRPr="005907D3" w14:paraId="237B5C6D" w14:textId="77777777" w:rsidTr="004203CD">
        <w:trPr>
          <w:trHeight w:val="20"/>
        </w:trPr>
        <w:tc>
          <w:tcPr>
            <w:tcW w:w="2835" w:type="dxa"/>
            <w:shd w:val="clear" w:color="auto" w:fill="auto"/>
            <w:vAlign w:val="bottom"/>
          </w:tcPr>
          <w:p w14:paraId="0EB4EC63" w14:textId="77777777" w:rsidR="006B43AF" w:rsidRPr="005907D3" w:rsidRDefault="006B43AF" w:rsidP="004203CD">
            <w:pPr>
              <w:pStyle w:val="TablesTText"/>
              <w:rPr>
                <w:rFonts w:ascii="IBM Plex Sans Light" w:hAnsi="IBM Plex Sans Light"/>
                <w:sz w:val="18"/>
                <w:szCs w:val="24"/>
              </w:rPr>
            </w:pPr>
            <w:r w:rsidRPr="005907D3">
              <w:rPr>
                <w:rFonts w:ascii="IBM Plex Sans Light" w:hAnsi="IBM Plex Sans Light"/>
                <w:sz w:val="18"/>
                <w:szCs w:val="24"/>
              </w:rPr>
              <w:t>Loans</w:t>
            </w:r>
          </w:p>
        </w:tc>
        <w:tc>
          <w:tcPr>
            <w:tcW w:w="284" w:type="dxa"/>
            <w:shd w:val="clear" w:color="auto" w:fill="auto"/>
            <w:vAlign w:val="bottom"/>
          </w:tcPr>
          <w:p w14:paraId="4DDD5C71" w14:textId="77777777" w:rsidR="006B43AF" w:rsidRPr="005907D3" w:rsidRDefault="006B43AF" w:rsidP="004203CD">
            <w:pPr>
              <w:pStyle w:val="TablesTText"/>
              <w:rPr>
                <w:rFonts w:ascii="IBM Plex Sans Light" w:hAnsi="IBM Plex Sans Light"/>
                <w:sz w:val="18"/>
                <w:szCs w:val="24"/>
              </w:rPr>
            </w:pPr>
          </w:p>
        </w:tc>
        <w:tc>
          <w:tcPr>
            <w:tcW w:w="516" w:type="dxa"/>
            <w:shd w:val="clear" w:color="auto" w:fill="auto"/>
            <w:vAlign w:val="bottom"/>
          </w:tcPr>
          <w:p w14:paraId="40304A05" w14:textId="77777777" w:rsidR="006B43AF" w:rsidRPr="005907D3" w:rsidRDefault="006B43AF" w:rsidP="004203CD">
            <w:pPr>
              <w:pStyle w:val="TablesTText"/>
              <w:jc w:val="center"/>
              <w:rPr>
                <w:rFonts w:ascii="IBM Plex Sans Light" w:hAnsi="IBM Plex Sans Light"/>
              </w:rPr>
            </w:pPr>
          </w:p>
        </w:tc>
        <w:tc>
          <w:tcPr>
            <w:tcW w:w="1168" w:type="dxa"/>
            <w:shd w:val="clear" w:color="auto" w:fill="auto"/>
            <w:vAlign w:val="bottom"/>
          </w:tcPr>
          <w:p w14:paraId="17947C08"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(1,624.5)</w:t>
            </w:r>
          </w:p>
        </w:tc>
        <w:tc>
          <w:tcPr>
            <w:tcW w:w="992" w:type="dxa"/>
            <w:shd w:val="clear" w:color="auto" w:fill="auto"/>
            <w:vAlign w:val="bottom"/>
          </w:tcPr>
          <w:p w14:paraId="36670D0F"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(260.0)</w:t>
            </w:r>
          </w:p>
        </w:tc>
        <w:tc>
          <w:tcPr>
            <w:tcW w:w="992" w:type="dxa"/>
            <w:shd w:val="clear" w:color="auto" w:fill="auto"/>
            <w:vAlign w:val="bottom"/>
          </w:tcPr>
          <w:p w14:paraId="2A6CBD3C"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(1,884.5)</w:t>
            </w:r>
          </w:p>
        </w:tc>
        <w:tc>
          <w:tcPr>
            <w:tcW w:w="993" w:type="dxa"/>
            <w:shd w:val="clear" w:color="auto" w:fill="auto"/>
            <w:vAlign w:val="bottom"/>
          </w:tcPr>
          <w:p w14:paraId="28A476E6"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(1,646.4)</w:t>
            </w:r>
          </w:p>
        </w:tc>
        <w:tc>
          <w:tcPr>
            <w:tcW w:w="992" w:type="dxa"/>
            <w:shd w:val="clear" w:color="auto" w:fill="auto"/>
            <w:vAlign w:val="bottom"/>
          </w:tcPr>
          <w:p w14:paraId="48720FB3"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(391.6)</w:t>
            </w:r>
          </w:p>
        </w:tc>
        <w:tc>
          <w:tcPr>
            <w:tcW w:w="1134" w:type="dxa"/>
            <w:shd w:val="clear" w:color="auto" w:fill="auto"/>
            <w:vAlign w:val="bottom"/>
          </w:tcPr>
          <w:p w14:paraId="5AD11E11"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(2,038.0)</w:t>
            </w:r>
          </w:p>
        </w:tc>
      </w:tr>
      <w:tr w:rsidR="006B43AF" w:rsidRPr="005907D3" w14:paraId="7AAA68D2" w14:textId="77777777" w:rsidTr="004203CD">
        <w:trPr>
          <w:trHeight w:val="20"/>
        </w:trPr>
        <w:tc>
          <w:tcPr>
            <w:tcW w:w="2835" w:type="dxa"/>
            <w:shd w:val="clear" w:color="auto" w:fill="auto"/>
            <w:vAlign w:val="bottom"/>
          </w:tcPr>
          <w:p w14:paraId="4E958ACD" w14:textId="77777777" w:rsidR="006B43AF" w:rsidRPr="005907D3" w:rsidRDefault="006B43AF" w:rsidP="004203CD">
            <w:pPr>
              <w:pStyle w:val="TablesTText"/>
              <w:rPr>
                <w:rFonts w:ascii="IBM Plex Sans Light" w:hAnsi="IBM Plex Sans Light"/>
                <w:sz w:val="18"/>
                <w:szCs w:val="24"/>
              </w:rPr>
            </w:pPr>
            <w:r w:rsidRPr="005907D3">
              <w:rPr>
                <w:rFonts w:ascii="IBM Plex Sans Light" w:hAnsi="IBM Plex Sans Light"/>
                <w:sz w:val="18"/>
                <w:szCs w:val="24"/>
              </w:rPr>
              <w:t>Fair value of currency swaps</w:t>
            </w:r>
          </w:p>
        </w:tc>
        <w:tc>
          <w:tcPr>
            <w:tcW w:w="284" w:type="dxa"/>
            <w:shd w:val="clear" w:color="auto" w:fill="auto"/>
            <w:vAlign w:val="bottom"/>
          </w:tcPr>
          <w:p w14:paraId="59FAC612" w14:textId="77777777" w:rsidR="006B43AF" w:rsidRPr="005907D3" w:rsidRDefault="006B43AF" w:rsidP="004203CD">
            <w:pPr>
              <w:pStyle w:val="TablesTText"/>
              <w:rPr>
                <w:rFonts w:ascii="IBM Plex Sans Light" w:hAnsi="IBM Plex Sans Light"/>
                <w:sz w:val="18"/>
                <w:szCs w:val="24"/>
              </w:rPr>
            </w:pPr>
          </w:p>
        </w:tc>
        <w:tc>
          <w:tcPr>
            <w:tcW w:w="516" w:type="dxa"/>
            <w:shd w:val="clear" w:color="auto" w:fill="auto"/>
            <w:vAlign w:val="bottom"/>
          </w:tcPr>
          <w:p w14:paraId="048D7417" w14:textId="77777777" w:rsidR="006B43AF" w:rsidRPr="005907D3" w:rsidRDefault="006B43AF" w:rsidP="004203CD">
            <w:pPr>
              <w:pStyle w:val="TablesTText"/>
              <w:rPr>
                <w:rFonts w:ascii="IBM Plex Sans Light" w:hAnsi="IBM Plex Sans Light"/>
              </w:rPr>
            </w:pPr>
          </w:p>
        </w:tc>
        <w:tc>
          <w:tcPr>
            <w:tcW w:w="1168" w:type="dxa"/>
            <w:shd w:val="clear" w:color="auto" w:fill="auto"/>
            <w:vAlign w:val="bottom"/>
          </w:tcPr>
          <w:p w14:paraId="41AB37C6"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(11.4)</w:t>
            </w:r>
          </w:p>
        </w:tc>
        <w:tc>
          <w:tcPr>
            <w:tcW w:w="992" w:type="dxa"/>
            <w:shd w:val="clear" w:color="auto" w:fill="auto"/>
            <w:vAlign w:val="bottom"/>
          </w:tcPr>
          <w:p w14:paraId="60878137"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w:t>
            </w:r>
          </w:p>
        </w:tc>
        <w:tc>
          <w:tcPr>
            <w:tcW w:w="992" w:type="dxa"/>
            <w:shd w:val="clear" w:color="auto" w:fill="auto"/>
            <w:vAlign w:val="bottom"/>
          </w:tcPr>
          <w:p w14:paraId="49751676"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(11.4)</w:t>
            </w:r>
          </w:p>
        </w:tc>
        <w:tc>
          <w:tcPr>
            <w:tcW w:w="993" w:type="dxa"/>
            <w:shd w:val="clear" w:color="auto" w:fill="auto"/>
            <w:vAlign w:val="bottom"/>
          </w:tcPr>
          <w:p w14:paraId="2BEB93E5"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(30.6)</w:t>
            </w:r>
          </w:p>
        </w:tc>
        <w:tc>
          <w:tcPr>
            <w:tcW w:w="992" w:type="dxa"/>
            <w:shd w:val="clear" w:color="auto" w:fill="auto"/>
            <w:vAlign w:val="bottom"/>
          </w:tcPr>
          <w:p w14:paraId="079588AB" w14:textId="77777777" w:rsidR="006B43AF" w:rsidRPr="00F3112C" w:rsidRDefault="006B43AF" w:rsidP="004203CD">
            <w:pPr>
              <w:pStyle w:val="TablesTFigures"/>
              <w:spacing w:line="240" w:lineRule="exact"/>
              <w:rPr>
                <w:rFonts w:ascii="IBM Plex Sans Light" w:hAnsi="IBM Plex Sans Light"/>
                <w:sz w:val="18"/>
                <w:szCs w:val="18"/>
              </w:rPr>
            </w:pPr>
            <w:r w:rsidRPr="00F3112C">
              <w:rPr>
                <w:rFonts w:ascii="IBM Plex Sans Light" w:hAnsi="IBM Plex Sans Light"/>
                <w:sz w:val="18"/>
                <w:szCs w:val="18"/>
              </w:rPr>
              <w:t>–</w:t>
            </w:r>
          </w:p>
        </w:tc>
        <w:tc>
          <w:tcPr>
            <w:tcW w:w="1134" w:type="dxa"/>
            <w:shd w:val="clear" w:color="auto" w:fill="auto"/>
            <w:vAlign w:val="bottom"/>
          </w:tcPr>
          <w:p w14:paraId="0EA8BEBF"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(30.6)</w:t>
            </w:r>
          </w:p>
        </w:tc>
      </w:tr>
      <w:tr w:rsidR="006B43AF" w:rsidRPr="005907D3" w14:paraId="1E392596" w14:textId="77777777" w:rsidTr="004203CD">
        <w:trPr>
          <w:trHeight w:val="227"/>
        </w:trPr>
        <w:tc>
          <w:tcPr>
            <w:tcW w:w="2835" w:type="dxa"/>
            <w:tcBorders>
              <w:top w:val="single" w:sz="2" w:space="0" w:color="3D7FE0" w:themeColor="accent1"/>
              <w:bottom w:val="single" w:sz="8" w:space="0" w:color="3D7FE0" w:themeColor="accent1"/>
            </w:tcBorders>
            <w:shd w:val="clear" w:color="auto" w:fill="auto"/>
            <w:vAlign w:val="bottom"/>
          </w:tcPr>
          <w:p w14:paraId="76842C68" w14:textId="77777777" w:rsidR="006B43AF" w:rsidRPr="005907D3" w:rsidRDefault="006B43AF" w:rsidP="004203CD">
            <w:pPr>
              <w:pStyle w:val="TablesTText"/>
              <w:rPr>
                <w:rFonts w:ascii="IBM Plex Sans Light" w:hAnsi="IBM Plex Sans Light"/>
                <w:b/>
                <w:sz w:val="18"/>
                <w:szCs w:val="24"/>
              </w:rPr>
            </w:pPr>
            <w:r w:rsidRPr="005907D3">
              <w:rPr>
                <w:rFonts w:ascii="IBM Plex Sans Light" w:hAnsi="IBM Plex Sans Light"/>
                <w:b/>
                <w:sz w:val="18"/>
                <w:szCs w:val="24"/>
              </w:rPr>
              <w:t>Net debt</w:t>
            </w:r>
          </w:p>
        </w:tc>
        <w:tc>
          <w:tcPr>
            <w:tcW w:w="284" w:type="dxa"/>
            <w:tcBorders>
              <w:top w:val="single" w:sz="2" w:space="0" w:color="3D7FE0" w:themeColor="accent1"/>
              <w:bottom w:val="single" w:sz="8" w:space="0" w:color="3D7FE0" w:themeColor="accent1"/>
            </w:tcBorders>
            <w:shd w:val="clear" w:color="auto" w:fill="auto"/>
            <w:vAlign w:val="bottom"/>
          </w:tcPr>
          <w:p w14:paraId="47A8962E" w14:textId="77777777" w:rsidR="006B43AF" w:rsidRPr="00E17ACB" w:rsidRDefault="006B43AF" w:rsidP="004203CD">
            <w:pPr>
              <w:pStyle w:val="13TBRightCopy158mmTableBack"/>
              <w:rPr>
                <w:sz w:val="16"/>
                <w:szCs w:val="16"/>
              </w:rPr>
            </w:pPr>
          </w:p>
        </w:tc>
        <w:tc>
          <w:tcPr>
            <w:tcW w:w="516" w:type="dxa"/>
            <w:tcBorders>
              <w:top w:val="single" w:sz="2" w:space="0" w:color="3D7FE0" w:themeColor="accent1"/>
              <w:bottom w:val="single" w:sz="8" w:space="0" w:color="3D7FE0" w:themeColor="accent1"/>
            </w:tcBorders>
            <w:shd w:val="clear" w:color="auto" w:fill="auto"/>
            <w:vAlign w:val="bottom"/>
          </w:tcPr>
          <w:p w14:paraId="29963B0E" w14:textId="77777777" w:rsidR="006B43AF" w:rsidRPr="005907D3" w:rsidRDefault="006B43AF" w:rsidP="004203CD">
            <w:pPr>
              <w:pStyle w:val="TablesTText"/>
              <w:rPr>
                <w:rFonts w:ascii="IBM Plex Sans Light" w:hAnsi="IBM Plex Sans Light"/>
                <w:b/>
              </w:rPr>
            </w:pPr>
          </w:p>
        </w:tc>
        <w:tc>
          <w:tcPr>
            <w:tcW w:w="1168" w:type="dxa"/>
            <w:tcBorders>
              <w:top w:val="single" w:sz="2" w:space="0" w:color="3D7FE0" w:themeColor="accent1"/>
              <w:bottom w:val="single" w:sz="8" w:space="0" w:color="3D7FE0" w:themeColor="accent1"/>
            </w:tcBorders>
            <w:shd w:val="clear" w:color="auto" w:fill="auto"/>
            <w:vAlign w:val="bottom"/>
          </w:tcPr>
          <w:p w14:paraId="0364417C"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(1,163.6)</w:t>
            </w:r>
          </w:p>
        </w:tc>
        <w:tc>
          <w:tcPr>
            <w:tcW w:w="992" w:type="dxa"/>
            <w:tcBorders>
              <w:top w:val="single" w:sz="2" w:space="0" w:color="3D7FE0" w:themeColor="accent1"/>
              <w:bottom w:val="single" w:sz="8" w:space="0" w:color="3D7FE0" w:themeColor="accent1"/>
            </w:tcBorders>
            <w:shd w:val="clear" w:color="auto" w:fill="auto"/>
            <w:vAlign w:val="bottom"/>
          </w:tcPr>
          <w:p w14:paraId="3830EAC5"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(162.7)</w:t>
            </w:r>
          </w:p>
        </w:tc>
        <w:tc>
          <w:tcPr>
            <w:tcW w:w="992" w:type="dxa"/>
            <w:tcBorders>
              <w:top w:val="single" w:sz="2" w:space="0" w:color="3D7FE0" w:themeColor="accent1"/>
              <w:bottom w:val="single" w:sz="8" w:space="0" w:color="3D7FE0" w:themeColor="accent1"/>
            </w:tcBorders>
            <w:shd w:val="clear" w:color="auto" w:fill="auto"/>
            <w:vAlign w:val="bottom"/>
          </w:tcPr>
          <w:p w14:paraId="47AB4E4C"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F3112C">
              <w:rPr>
                <w:rFonts w:ascii="IBM Plex Sans Medium" w:eastAsia="Times New Roman" w:hAnsi="IBM Plex Sans Medium" w:cs="Times New Roman"/>
                <w:b/>
                <w:bCs/>
                <w:color w:val="3D7FE0" w:themeColor="accent1"/>
                <w:spacing w:val="-4"/>
                <w:sz w:val="18"/>
                <w:szCs w:val="18"/>
              </w:rPr>
              <w:t>(1,326.3)</w:t>
            </w:r>
          </w:p>
        </w:tc>
        <w:tc>
          <w:tcPr>
            <w:tcW w:w="993" w:type="dxa"/>
            <w:tcBorders>
              <w:top w:val="single" w:sz="2" w:space="0" w:color="3D7FE0" w:themeColor="accent1"/>
              <w:bottom w:val="single" w:sz="8" w:space="0" w:color="3D7FE0" w:themeColor="accent1"/>
            </w:tcBorders>
            <w:shd w:val="clear" w:color="auto" w:fill="auto"/>
            <w:vAlign w:val="bottom"/>
          </w:tcPr>
          <w:p w14:paraId="11E7A56F"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(1,458.2)</w:t>
            </w:r>
          </w:p>
        </w:tc>
        <w:tc>
          <w:tcPr>
            <w:tcW w:w="992" w:type="dxa"/>
            <w:tcBorders>
              <w:top w:val="single" w:sz="2" w:space="0" w:color="3D7FE0" w:themeColor="accent1"/>
              <w:bottom w:val="single" w:sz="8" w:space="0" w:color="3D7FE0" w:themeColor="accent1"/>
            </w:tcBorders>
            <w:shd w:val="clear" w:color="auto" w:fill="auto"/>
            <w:vAlign w:val="bottom"/>
          </w:tcPr>
          <w:p w14:paraId="7EC25568"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(273.9)</w:t>
            </w:r>
          </w:p>
        </w:tc>
        <w:tc>
          <w:tcPr>
            <w:tcW w:w="1134" w:type="dxa"/>
            <w:tcBorders>
              <w:top w:val="single" w:sz="2" w:space="0" w:color="3D7FE0" w:themeColor="accent1"/>
              <w:bottom w:val="single" w:sz="8" w:space="0" w:color="3D7FE0" w:themeColor="accent1"/>
            </w:tcBorders>
            <w:shd w:val="clear" w:color="auto" w:fill="auto"/>
            <w:vAlign w:val="bottom"/>
          </w:tcPr>
          <w:p w14:paraId="00537EEE" w14:textId="77777777" w:rsidR="006B43AF" w:rsidRPr="00F3112C" w:rsidRDefault="006B43AF" w:rsidP="004203CD">
            <w:pPr>
              <w:pStyle w:val="TablesTFigureBrackets"/>
              <w:spacing w:line="240" w:lineRule="exact"/>
              <w:rPr>
                <w:rFonts w:ascii="IBM Plex Sans Light" w:hAnsi="IBM Plex Sans Light"/>
                <w:sz w:val="18"/>
                <w:szCs w:val="18"/>
              </w:rPr>
            </w:pPr>
            <w:r w:rsidRPr="00F3112C">
              <w:rPr>
                <w:rFonts w:ascii="IBM Plex Sans Light" w:hAnsi="IBM Plex Sans Light"/>
                <w:sz w:val="18"/>
                <w:szCs w:val="18"/>
              </w:rPr>
              <w:t>(1,732.1)</w:t>
            </w:r>
          </w:p>
        </w:tc>
      </w:tr>
    </w:tbl>
    <w:p w14:paraId="1163BD05" w14:textId="77777777" w:rsidR="006B43AF" w:rsidRDefault="006B43AF" w:rsidP="006B43AF">
      <w:pPr>
        <w:pStyle w:val="TablesTHeading1"/>
        <w:pBdr>
          <w:bottom w:val="none" w:sz="0" w:space="0" w:color="auto"/>
        </w:pBdr>
        <w:ind w:right="-143"/>
        <w:rPr>
          <w:rFonts w:ascii="IBM Plex Sans Light" w:hAnsi="IBM Plex Sans Light"/>
          <w:color w:val="3D7FE0" w:themeColor="accent1"/>
        </w:rPr>
      </w:pPr>
    </w:p>
    <w:p w14:paraId="3A571C4B" w14:textId="77777777" w:rsidR="006B43AF" w:rsidRDefault="006B43AF" w:rsidP="006B43AF">
      <w:pPr>
        <w:pStyle w:val="TablesTHeading1"/>
        <w:pBdr>
          <w:bottom w:val="none" w:sz="0" w:space="0" w:color="auto"/>
        </w:pBdr>
        <w:ind w:right="-143"/>
        <w:rPr>
          <w:rFonts w:ascii="IBM Plex Sans Light" w:hAnsi="IBM Plex Sans Light"/>
          <w:color w:val="3D7FE0" w:themeColor="accent1"/>
        </w:rPr>
      </w:pPr>
    </w:p>
    <w:p w14:paraId="3AE53AEB" w14:textId="77777777" w:rsidR="006B43AF" w:rsidRDefault="006B43AF" w:rsidP="006B43AF">
      <w:pPr>
        <w:pStyle w:val="TablesTHeading1"/>
        <w:pBdr>
          <w:bottom w:val="none" w:sz="0" w:space="0" w:color="auto"/>
        </w:pBdr>
        <w:ind w:right="-143"/>
        <w:rPr>
          <w:rFonts w:ascii="IBM Plex Sans Light" w:hAnsi="IBM Plex Sans Light"/>
          <w:color w:val="3D7FE0" w:themeColor="accent1"/>
        </w:rPr>
      </w:pPr>
    </w:p>
    <w:p w14:paraId="071222C4"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Movement in net debt </w:t>
      </w:r>
    </w:p>
    <w:p w14:paraId="5DCC6110" w14:textId="77777777" w:rsidR="006B43AF" w:rsidRPr="00280504" w:rsidRDefault="006B43AF" w:rsidP="006B43AF">
      <w:pPr>
        <w:rPr>
          <w:rFonts w:ascii="IBM Plex Sans Light" w:hAnsi="IBM Plex Sans Light"/>
          <w:b/>
        </w:rPr>
      </w:pPr>
      <w:r w:rsidRPr="00280504">
        <w:rPr>
          <w:rFonts w:ascii="IBM Plex Sans Light" w:hAnsi="IBM Plex Sans Light"/>
          <w:b/>
        </w:rPr>
        <w:t>Table 14</w:t>
      </w:r>
    </w:p>
    <w:tbl>
      <w:tblPr>
        <w:tblW w:w="9920" w:type="dxa"/>
        <w:tblLayout w:type="fixed"/>
        <w:tblCellMar>
          <w:left w:w="0" w:type="dxa"/>
          <w:right w:w="0" w:type="dxa"/>
        </w:tblCellMar>
        <w:tblLook w:val="04A0" w:firstRow="1" w:lastRow="0" w:firstColumn="1" w:lastColumn="0" w:noHBand="0" w:noVBand="1"/>
      </w:tblPr>
      <w:tblGrid>
        <w:gridCol w:w="7371"/>
        <w:gridCol w:w="509"/>
        <w:gridCol w:w="1023"/>
        <w:gridCol w:w="1017"/>
      </w:tblGrid>
      <w:tr w:rsidR="006B43AF" w:rsidRPr="005907D3" w14:paraId="09C5D799" w14:textId="77777777" w:rsidTr="004203CD">
        <w:trPr>
          <w:trHeight w:val="20"/>
        </w:trPr>
        <w:tc>
          <w:tcPr>
            <w:tcW w:w="7371" w:type="dxa"/>
            <w:tcBorders>
              <w:bottom w:val="single" w:sz="2" w:space="0" w:color="3D7FE0" w:themeColor="accent1"/>
            </w:tcBorders>
            <w:vAlign w:val="bottom"/>
          </w:tcPr>
          <w:p w14:paraId="04B494EF" w14:textId="77777777" w:rsidR="006B43AF" w:rsidRPr="005907D3" w:rsidRDefault="006B43AF" w:rsidP="004203CD">
            <w:pPr>
              <w:pStyle w:val="TablesTColHeadsLeft"/>
              <w:rPr>
                <w:rFonts w:ascii="IBM Plex Sans Light" w:hAnsi="IBM Plex Sans Light"/>
                <w:highlight w:val="yellow"/>
              </w:rPr>
            </w:pPr>
            <w:bookmarkStart w:id="7" w:name="_Hlk77954983"/>
            <w:r w:rsidRPr="005907D3">
              <w:rPr>
                <w:rFonts w:ascii="IBM Plex Sans Light" w:hAnsi="IBM Plex Sans Light"/>
                <w:b/>
                <w:bCs/>
                <w:color w:val="3D7FE0" w:themeColor="accent1"/>
                <w:sz w:val="14"/>
                <w:szCs w:val="24"/>
              </w:rPr>
              <w:t xml:space="preserve">Proportionally consolidated </w:t>
            </w:r>
          </w:p>
        </w:tc>
        <w:tc>
          <w:tcPr>
            <w:tcW w:w="509" w:type="dxa"/>
            <w:tcBorders>
              <w:bottom w:val="single" w:sz="2" w:space="0" w:color="3D7FE0" w:themeColor="accent1"/>
            </w:tcBorders>
            <w:vAlign w:val="bottom"/>
          </w:tcPr>
          <w:p w14:paraId="1EC23A71" w14:textId="77777777" w:rsidR="006B43AF" w:rsidRPr="005907D3" w:rsidRDefault="006B43AF" w:rsidP="004203CD">
            <w:pPr>
              <w:pStyle w:val="TablesTColHeadsLeft"/>
              <w:jc w:val="center"/>
              <w:rPr>
                <w:rFonts w:ascii="IBM Plex Sans Light" w:hAnsi="IBM Plex Sans Light"/>
                <w:highlight w:val="yellow"/>
              </w:rPr>
            </w:pPr>
          </w:p>
        </w:tc>
        <w:tc>
          <w:tcPr>
            <w:tcW w:w="1023" w:type="dxa"/>
            <w:tcBorders>
              <w:bottom w:val="single" w:sz="2" w:space="0" w:color="3D7FE0" w:themeColor="accent1"/>
            </w:tcBorders>
            <w:shd w:val="clear" w:color="auto" w:fill="auto"/>
            <w:vAlign w:val="bottom"/>
          </w:tcPr>
          <w:p w14:paraId="1C48BB93" w14:textId="77777777" w:rsidR="006B43AF" w:rsidRPr="005907D3" w:rsidRDefault="006B43AF" w:rsidP="004203CD">
            <w:pPr>
              <w:pStyle w:val="TablesTColHeadsBold"/>
              <w:rPr>
                <w:rFonts w:ascii="IBM Plex Sans Light" w:hAnsi="IBM Plex Sans Light"/>
                <w:color w:val="3D7FE0" w:themeColor="accent1"/>
                <w:sz w:val="14"/>
                <w:szCs w:val="14"/>
              </w:rPr>
            </w:pPr>
            <w:r w:rsidRPr="005907D3">
              <w:rPr>
                <w:rFonts w:ascii="IBM Plex Sans Light" w:hAnsi="IBM Plex Sans Light"/>
                <w:color w:val="3D7FE0" w:themeColor="accent1"/>
                <w:sz w:val="14"/>
                <w:szCs w:val="14"/>
              </w:rPr>
              <w:t>202</w:t>
            </w:r>
            <w:r>
              <w:rPr>
                <w:rFonts w:ascii="IBM Plex Sans Light" w:hAnsi="IBM Plex Sans Light"/>
                <w:color w:val="3D7FE0" w:themeColor="accent1"/>
                <w:sz w:val="14"/>
                <w:szCs w:val="14"/>
              </w:rPr>
              <w:t>3</w:t>
            </w:r>
            <w:r w:rsidRPr="005907D3">
              <w:rPr>
                <w:rFonts w:ascii="IBM Plex Sans Light" w:hAnsi="IBM Plex Sans Light"/>
                <w:color w:val="3D7FE0" w:themeColor="accent1"/>
                <w:sz w:val="14"/>
                <w:szCs w:val="14"/>
              </w:rPr>
              <w:br/>
              <w:t>£m</w:t>
            </w:r>
          </w:p>
        </w:tc>
        <w:tc>
          <w:tcPr>
            <w:tcW w:w="1017" w:type="dxa"/>
            <w:tcBorders>
              <w:bottom w:val="single" w:sz="2" w:space="0" w:color="3D7FE0" w:themeColor="accent1"/>
            </w:tcBorders>
            <w:shd w:val="clear" w:color="auto" w:fill="auto"/>
            <w:vAlign w:val="bottom"/>
          </w:tcPr>
          <w:p w14:paraId="2D50A48F" w14:textId="77777777" w:rsidR="006B43AF" w:rsidRPr="005907D3" w:rsidRDefault="006B43AF" w:rsidP="004203CD">
            <w:pPr>
              <w:pStyle w:val="TablesTColHead"/>
              <w:rPr>
                <w:rFonts w:ascii="IBM Plex Sans Light" w:hAnsi="IBM Plex Sans Light"/>
                <w:sz w:val="14"/>
                <w:szCs w:val="14"/>
              </w:rPr>
            </w:pPr>
            <w:r w:rsidRPr="005907D3">
              <w:rPr>
                <w:rFonts w:ascii="IBM Plex Sans Light" w:hAnsi="IBM Plex Sans Light"/>
                <w:sz w:val="14"/>
                <w:szCs w:val="14"/>
              </w:rPr>
              <w:t>202</w:t>
            </w:r>
            <w:r>
              <w:rPr>
                <w:rFonts w:ascii="IBM Plex Sans Light" w:hAnsi="IBM Plex Sans Light"/>
                <w:sz w:val="14"/>
                <w:szCs w:val="14"/>
              </w:rPr>
              <w:t>2</w:t>
            </w:r>
            <w:r w:rsidRPr="005907D3">
              <w:rPr>
                <w:rFonts w:ascii="IBM Plex Sans Light" w:hAnsi="IBM Plex Sans Light"/>
                <w:sz w:val="14"/>
                <w:szCs w:val="14"/>
              </w:rPr>
              <w:br/>
              <w:t>£m</w:t>
            </w:r>
          </w:p>
        </w:tc>
      </w:tr>
      <w:tr w:rsidR="006B43AF" w:rsidRPr="005907D3" w14:paraId="0DDE2442" w14:textId="77777777" w:rsidTr="004203CD">
        <w:trPr>
          <w:trHeight w:val="20"/>
        </w:trPr>
        <w:tc>
          <w:tcPr>
            <w:tcW w:w="7371" w:type="dxa"/>
            <w:tcBorders>
              <w:top w:val="single" w:sz="2" w:space="0" w:color="3D7FE0" w:themeColor="accent1"/>
            </w:tcBorders>
            <w:vAlign w:val="center"/>
          </w:tcPr>
          <w:p w14:paraId="05ECAD4D"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r w:rsidRPr="005907D3">
              <w:rPr>
                <w:rFonts w:ascii="IBM Plex Sans Light" w:hAnsi="IBM Plex Sans Light"/>
                <w:b/>
                <w:bCs/>
                <w:sz w:val="18"/>
                <w:szCs w:val="18"/>
              </w:rPr>
              <w:t>Opening net debt</w:t>
            </w:r>
          </w:p>
        </w:tc>
        <w:tc>
          <w:tcPr>
            <w:tcW w:w="509" w:type="dxa"/>
            <w:tcBorders>
              <w:top w:val="single" w:sz="2" w:space="0" w:color="3D7FE0" w:themeColor="accent1"/>
            </w:tcBorders>
          </w:tcPr>
          <w:p w14:paraId="63C11699"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tcBorders>
            <w:shd w:val="clear" w:color="auto" w:fill="auto"/>
            <w:vAlign w:val="bottom"/>
          </w:tcPr>
          <w:p w14:paraId="018CCB32" w14:textId="77777777" w:rsidR="006B43AF" w:rsidRPr="005363BC" w:rsidRDefault="006B43AF" w:rsidP="004203CD">
            <w:pPr>
              <w:pStyle w:val="TableFiguresBracketsBold"/>
              <w:rPr>
                <w:rFonts w:ascii="IBM Plex Sans Medium" w:hAnsi="IBM Plex Sans Medium"/>
                <w:color w:val="3D7FE0" w:themeColor="accent1"/>
                <w:spacing w:val="-4"/>
                <w:sz w:val="18"/>
                <w:szCs w:val="18"/>
              </w:rPr>
            </w:pPr>
            <w:r w:rsidRPr="005363BC">
              <w:rPr>
                <w:rFonts w:ascii="IBM Plex Sans Medium" w:hAnsi="IBM Plex Sans Medium"/>
                <w:color w:val="3D7FE0" w:themeColor="accent1"/>
                <w:spacing w:val="-4"/>
                <w:sz w:val="18"/>
                <w:szCs w:val="18"/>
              </w:rPr>
              <w:t>(1,732.1)</w:t>
            </w:r>
          </w:p>
        </w:tc>
        <w:tc>
          <w:tcPr>
            <w:tcW w:w="1017" w:type="dxa"/>
            <w:tcBorders>
              <w:top w:val="single" w:sz="2" w:space="0" w:color="3D7FE0" w:themeColor="accent1"/>
            </w:tcBorders>
            <w:shd w:val="clear" w:color="auto" w:fill="auto"/>
            <w:vAlign w:val="bottom"/>
          </w:tcPr>
          <w:p w14:paraId="115BE7F4"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(1,798.8)</w:t>
            </w:r>
          </w:p>
        </w:tc>
      </w:tr>
      <w:tr w:rsidR="006B43AF" w:rsidRPr="005907D3" w14:paraId="7A90D97B" w14:textId="77777777" w:rsidTr="004203CD">
        <w:trPr>
          <w:trHeight w:val="20"/>
        </w:trPr>
        <w:tc>
          <w:tcPr>
            <w:tcW w:w="7371" w:type="dxa"/>
            <w:vAlign w:val="center"/>
          </w:tcPr>
          <w:p w14:paraId="1E21A1D4"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Profit from operating activities</w:t>
            </w:r>
          </w:p>
        </w:tc>
        <w:tc>
          <w:tcPr>
            <w:tcW w:w="509" w:type="dxa"/>
          </w:tcPr>
          <w:p w14:paraId="0B49F36F"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shd w:val="clear" w:color="auto" w:fill="auto"/>
            <w:vAlign w:val="bottom"/>
          </w:tcPr>
          <w:p w14:paraId="2F0CA801"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117.3</w:t>
            </w:r>
          </w:p>
        </w:tc>
        <w:tc>
          <w:tcPr>
            <w:tcW w:w="1017" w:type="dxa"/>
            <w:shd w:val="clear" w:color="auto" w:fill="auto"/>
            <w:vAlign w:val="bottom"/>
          </w:tcPr>
          <w:p w14:paraId="1395F2D0" w14:textId="77777777" w:rsidR="006B43AF" w:rsidRPr="005907D3" w:rsidRDefault="006B43AF" w:rsidP="004203CD">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129.3</w:t>
            </w:r>
          </w:p>
        </w:tc>
      </w:tr>
      <w:tr w:rsidR="006B43AF" w:rsidRPr="005907D3" w14:paraId="2D29F154" w14:textId="77777777" w:rsidTr="004203CD">
        <w:trPr>
          <w:trHeight w:val="20"/>
        </w:trPr>
        <w:tc>
          <w:tcPr>
            <w:tcW w:w="7371" w:type="dxa"/>
            <w:vAlign w:val="center"/>
          </w:tcPr>
          <w:p w14:paraId="21F449EB"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Decrease in receivables and restricted monetary assets</w:t>
            </w:r>
          </w:p>
        </w:tc>
        <w:tc>
          <w:tcPr>
            <w:tcW w:w="509" w:type="dxa"/>
          </w:tcPr>
          <w:p w14:paraId="33C492C4"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shd w:val="clear" w:color="auto" w:fill="auto"/>
            <w:vAlign w:val="bottom"/>
          </w:tcPr>
          <w:p w14:paraId="173F2D3E" w14:textId="4884DC10"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w:t>
            </w:r>
            <w:r w:rsidR="00D80027">
              <w:rPr>
                <w:rFonts w:ascii="IBM Plex Sans Medium" w:eastAsia="Times New Roman" w:hAnsi="IBM Plex Sans Medium" w:cs="Times New Roman"/>
                <w:b/>
                <w:bCs/>
                <w:color w:val="3D7FE0" w:themeColor="accent1"/>
                <w:spacing w:val="-4"/>
                <w:sz w:val="18"/>
                <w:szCs w:val="18"/>
              </w:rPr>
              <w:t>6.5</w:t>
            </w:r>
          </w:p>
        </w:tc>
        <w:tc>
          <w:tcPr>
            <w:tcW w:w="1017" w:type="dxa"/>
            <w:shd w:val="clear" w:color="auto" w:fill="auto"/>
            <w:vAlign w:val="bottom"/>
          </w:tcPr>
          <w:p w14:paraId="6DB7544D" w14:textId="77777777" w:rsidR="006B43AF" w:rsidRPr="005907D3" w:rsidRDefault="006B43AF" w:rsidP="004203CD">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27.5</w:t>
            </w:r>
          </w:p>
        </w:tc>
      </w:tr>
      <w:tr w:rsidR="006B43AF" w:rsidRPr="005907D3" w14:paraId="4AC4104B" w14:textId="77777777" w:rsidTr="004203CD">
        <w:trPr>
          <w:trHeight w:val="20"/>
        </w:trPr>
        <w:tc>
          <w:tcPr>
            <w:tcW w:w="7371" w:type="dxa"/>
            <w:vAlign w:val="center"/>
          </w:tcPr>
          <w:p w14:paraId="3D1BF7F6" w14:textId="529C9B36" w:rsidR="006B43AF" w:rsidRPr="005907D3" w:rsidRDefault="006E4E31" w:rsidP="004203CD">
            <w:pPr>
              <w:pStyle w:val="TablesTFigureBrackets"/>
              <w:spacing w:line="240" w:lineRule="exact"/>
              <w:jc w:val="left"/>
              <w:rPr>
                <w:rFonts w:ascii="IBM Plex Sans Light" w:hAnsi="IBM Plex Sans Light"/>
                <w:sz w:val="18"/>
                <w:szCs w:val="18"/>
              </w:rPr>
            </w:pPr>
            <w:r>
              <w:rPr>
                <w:rFonts w:ascii="IBM Plex Sans Light" w:hAnsi="IBM Plex Sans Light"/>
                <w:sz w:val="18"/>
                <w:szCs w:val="18"/>
              </w:rPr>
              <w:t>(Decrease)/i</w:t>
            </w:r>
            <w:r w:rsidR="006B43AF">
              <w:rPr>
                <w:rFonts w:ascii="IBM Plex Sans Light" w:hAnsi="IBM Plex Sans Light"/>
                <w:sz w:val="18"/>
                <w:szCs w:val="18"/>
              </w:rPr>
              <w:t>ncrease</w:t>
            </w:r>
            <w:r w:rsidR="006B43AF" w:rsidRPr="005907D3">
              <w:rPr>
                <w:rFonts w:ascii="IBM Plex Sans Light" w:hAnsi="IBM Plex Sans Light"/>
                <w:sz w:val="18"/>
                <w:szCs w:val="18"/>
              </w:rPr>
              <w:t xml:space="preserve"> in payables</w:t>
            </w:r>
          </w:p>
        </w:tc>
        <w:tc>
          <w:tcPr>
            <w:tcW w:w="509" w:type="dxa"/>
          </w:tcPr>
          <w:p w14:paraId="7504670A"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shd w:val="clear" w:color="auto" w:fill="auto"/>
            <w:vAlign w:val="bottom"/>
          </w:tcPr>
          <w:p w14:paraId="44F1E032" w14:textId="2BFB3A90" w:rsidR="006B43AF" w:rsidRPr="005363BC" w:rsidRDefault="006B43AF" w:rsidP="008B3C5C">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w:t>
            </w:r>
            <w:r w:rsidR="00D80027">
              <w:rPr>
                <w:rFonts w:ascii="IBM Plex Sans Medium" w:eastAsia="Times New Roman" w:hAnsi="IBM Plex Sans Medium" w:cs="Times New Roman"/>
                <w:b/>
                <w:bCs/>
                <w:color w:val="3D7FE0" w:themeColor="accent1"/>
                <w:spacing w:val="-4"/>
                <w:sz w:val="18"/>
                <w:szCs w:val="18"/>
              </w:rPr>
              <w:t>31.0</w:t>
            </w:r>
            <w:r w:rsidRPr="005363BC">
              <w:rPr>
                <w:rFonts w:ascii="IBM Plex Sans Medium" w:eastAsia="Times New Roman" w:hAnsi="IBM Plex Sans Medium" w:cs="Times New Roman"/>
                <w:b/>
                <w:bCs/>
                <w:color w:val="3D7FE0" w:themeColor="accent1"/>
                <w:spacing w:val="-4"/>
                <w:sz w:val="18"/>
                <w:szCs w:val="18"/>
              </w:rPr>
              <w:t>)</w:t>
            </w:r>
          </w:p>
        </w:tc>
        <w:tc>
          <w:tcPr>
            <w:tcW w:w="1017" w:type="dxa"/>
            <w:shd w:val="clear" w:color="auto" w:fill="auto"/>
            <w:vAlign w:val="bottom"/>
          </w:tcPr>
          <w:p w14:paraId="0E32B7DB"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8.2</w:t>
            </w:r>
          </w:p>
        </w:tc>
      </w:tr>
      <w:tr w:rsidR="006B43AF" w:rsidRPr="005907D3" w14:paraId="32A62FE8" w14:textId="77777777" w:rsidTr="004203CD">
        <w:trPr>
          <w:trHeight w:val="20"/>
        </w:trPr>
        <w:tc>
          <w:tcPr>
            <w:tcW w:w="7371" w:type="dxa"/>
            <w:tcBorders>
              <w:bottom w:val="single" w:sz="2" w:space="0" w:color="3D7FE0" w:themeColor="accent1"/>
            </w:tcBorders>
            <w:vAlign w:val="center"/>
          </w:tcPr>
          <w:p w14:paraId="5EB1EEE0"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Adjustment for non-cash items</w:t>
            </w:r>
          </w:p>
        </w:tc>
        <w:tc>
          <w:tcPr>
            <w:tcW w:w="509" w:type="dxa"/>
            <w:tcBorders>
              <w:bottom w:val="single" w:sz="2" w:space="0" w:color="3D7FE0" w:themeColor="accent1"/>
            </w:tcBorders>
          </w:tcPr>
          <w:p w14:paraId="6B25FB36"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tcBorders>
              <w:bottom w:val="single" w:sz="2" w:space="0" w:color="3D7FE0" w:themeColor="accent1"/>
            </w:tcBorders>
            <w:shd w:val="clear" w:color="auto" w:fill="auto"/>
            <w:vAlign w:val="bottom"/>
          </w:tcPr>
          <w:p w14:paraId="2B233FC7"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0.7</w:t>
            </w:r>
          </w:p>
        </w:tc>
        <w:tc>
          <w:tcPr>
            <w:tcW w:w="1017" w:type="dxa"/>
            <w:tcBorders>
              <w:bottom w:val="single" w:sz="2" w:space="0" w:color="3D7FE0" w:themeColor="accent1"/>
            </w:tcBorders>
            <w:shd w:val="clear" w:color="auto" w:fill="auto"/>
            <w:vAlign w:val="bottom"/>
          </w:tcPr>
          <w:p w14:paraId="02528432"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0.7</w:t>
            </w:r>
          </w:p>
        </w:tc>
      </w:tr>
      <w:tr w:rsidR="006B43AF" w:rsidRPr="005907D3" w14:paraId="31873A44" w14:textId="77777777" w:rsidTr="004203CD">
        <w:trPr>
          <w:trHeight w:val="20"/>
        </w:trPr>
        <w:tc>
          <w:tcPr>
            <w:tcW w:w="7371" w:type="dxa"/>
            <w:tcBorders>
              <w:top w:val="single" w:sz="2" w:space="0" w:color="3D7FE0" w:themeColor="accent1"/>
            </w:tcBorders>
            <w:vAlign w:val="center"/>
          </w:tcPr>
          <w:p w14:paraId="2C88A489"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b/>
                <w:bCs/>
                <w:sz w:val="18"/>
                <w:szCs w:val="18"/>
              </w:rPr>
              <w:t>Cash generated from operations</w:t>
            </w:r>
          </w:p>
        </w:tc>
        <w:tc>
          <w:tcPr>
            <w:tcW w:w="509" w:type="dxa"/>
            <w:tcBorders>
              <w:top w:val="single" w:sz="2" w:space="0" w:color="3D7FE0" w:themeColor="accent1"/>
            </w:tcBorders>
          </w:tcPr>
          <w:p w14:paraId="111CF0AB"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tcBorders>
              <w:top w:val="single" w:sz="2" w:space="0" w:color="3D7FE0" w:themeColor="accent1"/>
            </w:tcBorders>
            <w:shd w:val="clear" w:color="auto" w:fill="auto"/>
            <w:vAlign w:val="bottom"/>
          </w:tcPr>
          <w:p w14:paraId="1E497BE2"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103.5</w:t>
            </w:r>
          </w:p>
        </w:tc>
        <w:tc>
          <w:tcPr>
            <w:tcW w:w="1017" w:type="dxa"/>
            <w:tcBorders>
              <w:top w:val="single" w:sz="2" w:space="0" w:color="3D7FE0" w:themeColor="accent1"/>
            </w:tcBorders>
            <w:shd w:val="clear" w:color="auto" w:fill="auto"/>
            <w:vAlign w:val="bottom"/>
          </w:tcPr>
          <w:p w14:paraId="04224394" w14:textId="77777777" w:rsidR="006B43AF" w:rsidRPr="005907D3" w:rsidRDefault="006B43AF" w:rsidP="004203CD">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165.7</w:t>
            </w:r>
          </w:p>
        </w:tc>
      </w:tr>
      <w:tr w:rsidR="006B43AF" w:rsidRPr="005907D3" w14:paraId="1FC59CE1" w14:textId="77777777" w:rsidTr="004203CD">
        <w:trPr>
          <w:trHeight w:val="20"/>
        </w:trPr>
        <w:tc>
          <w:tcPr>
            <w:tcW w:w="7371" w:type="dxa"/>
            <w:vAlign w:val="center"/>
          </w:tcPr>
          <w:p w14:paraId="2BD310B4"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Interest received</w:t>
            </w:r>
          </w:p>
        </w:tc>
        <w:tc>
          <w:tcPr>
            <w:tcW w:w="509" w:type="dxa"/>
          </w:tcPr>
          <w:p w14:paraId="5B34A69A"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shd w:val="clear" w:color="auto" w:fill="auto"/>
            <w:vAlign w:val="bottom"/>
          </w:tcPr>
          <w:p w14:paraId="0DE83A4A"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43.6</w:t>
            </w:r>
          </w:p>
        </w:tc>
        <w:tc>
          <w:tcPr>
            <w:tcW w:w="1017" w:type="dxa"/>
            <w:shd w:val="clear" w:color="auto" w:fill="auto"/>
            <w:vAlign w:val="bottom"/>
          </w:tcPr>
          <w:p w14:paraId="2110E248" w14:textId="77777777" w:rsidR="006B43AF" w:rsidRPr="005907D3" w:rsidRDefault="006B43AF" w:rsidP="004203CD">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16.8</w:t>
            </w:r>
          </w:p>
        </w:tc>
      </w:tr>
      <w:tr w:rsidR="006B43AF" w:rsidRPr="005907D3" w14:paraId="4EFD0352" w14:textId="77777777" w:rsidTr="004203CD">
        <w:trPr>
          <w:trHeight w:val="20"/>
        </w:trPr>
        <w:tc>
          <w:tcPr>
            <w:tcW w:w="7371" w:type="dxa"/>
            <w:vAlign w:val="center"/>
          </w:tcPr>
          <w:p w14:paraId="7B202A78"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Interest paid</w:t>
            </w:r>
          </w:p>
        </w:tc>
        <w:tc>
          <w:tcPr>
            <w:tcW w:w="509" w:type="dxa"/>
          </w:tcPr>
          <w:p w14:paraId="1C0A296B"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shd w:val="clear" w:color="auto" w:fill="auto"/>
            <w:vAlign w:val="bottom"/>
          </w:tcPr>
          <w:p w14:paraId="4CE3B008"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(93.5)</w:t>
            </w:r>
          </w:p>
        </w:tc>
        <w:tc>
          <w:tcPr>
            <w:tcW w:w="1017" w:type="dxa"/>
            <w:shd w:val="clear" w:color="auto" w:fill="auto"/>
            <w:vAlign w:val="bottom"/>
          </w:tcPr>
          <w:p w14:paraId="55E50BA8"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(73.5)</w:t>
            </w:r>
          </w:p>
        </w:tc>
      </w:tr>
      <w:tr w:rsidR="006B43AF" w:rsidRPr="005907D3" w14:paraId="4CE745A2" w14:textId="77777777" w:rsidTr="004203CD">
        <w:trPr>
          <w:trHeight w:val="20"/>
        </w:trPr>
        <w:tc>
          <w:tcPr>
            <w:tcW w:w="7371" w:type="dxa"/>
            <w:vAlign w:val="center"/>
          </w:tcPr>
          <w:p w14:paraId="5B755214"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 xml:space="preserve">Redemption premiums and fees from early repayment of debt </w:t>
            </w:r>
          </w:p>
        </w:tc>
        <w:tc>
          <w:tcPr>
            <w:tcW w:w="509" w:type="dxa"/>
          </w:tcPr>
          <w:p w14:paraId="3EDABBAE" w14:textId="77777777" w:rsidR="006B43AF" w:rsidRPr="00C954F1" w:rsidRDefault="006B43AF" w:rsidP="004203CD">
            <w:pPr>
              <w:pStyle w:val="TablesTFigureBrackets"/>
              <w:spacing w:line="240" w:lineRule="exact"/>
              <w:jc w:val="center"/>
              <w:rPr>
                <w:rFonts w:ascii="IBM Plex Sans Light" w:hAnsi="IBM Plex Sans Light"/>
              </w:rPr>
            </w:pPr>
          </w:p>
        </w:tc>
        <w:tc>
          <w:tcPr>
            <w:tcW w:w="1023" w:type="dxa"/>
            <w:shd w:val="clear" w:color="auto" w:fill="auto"/>
            <w:vAlign w:val="bottom"/>
          </w:tcPr>
          <w:p w14:paraId="685EEA0F"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4.3</w:t>
            </w:r>
          </w:p>
        </w:tc>
        <w:tc>
          <w:tcPr>
            <w:tcW w:w="1017" w:type="dxa"/>
            <w:shd w:val="clear" w:color="auto" w:fill="auto"/>
            <w:vAlign w:val="bottom"/>
          </w:tcPr>
          <w:p w14:paraId="1C463837"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w:t>
            </w:r>
          </w:p>
        </w:tc>
      </w:tr>
      <w:tr w:rsidR="006B43AF" w:rsidRPr="005907D3" w14:paraId="1F938E18" w14:textId="77777777" w:rsidTr="004203CD">
        <w:trPr>
          <w:trHeight w:val="20"/>
        </w:trPr>
        <w:tc>
          <w:tcPr>
            <w:tcW w:w="7371" w:type="dxa"/>
            <w:vAlign w:val="center"/>
          </w:tcPr>
          <w:p w14:paraId="5F6745C5" w14:textId="77777777" w:rsidR="006B43AF" w:rsidRPr="005907D3" w:rsidRDefault="006B43AF" w:rsidP="004203CD">
            <w:pPr>
              <w:pStyle w:val="TablesTFigures"/>
              <w:spacing w:line="240" w:lineRule="auto"/>
              <w:jc w:val="left"/>
              <w:rPr>
                <w:rFonts w:ascii="IBM Plex Sans Light" w:hAnsi="IBM Plex Sans Light"/>
                <w:sz w:val="18"/>
                <w:szCs w:val="18"/>
              </w:rPr>
            </w:pPr>
            <w:r w:rsidRPr="005907D3">
              <w:rPr>
                <w:rFonts w:ascii="IBM Plex Sans Light" w:hAnsi="IBM Plex Sans Light"/>
                <w:sz w:val="18"/>
                <w:szCs w:val="18"/>
              </w:rPr>
              <w:t>Debt and loan facility issuance and extension fees</w:t>
            </w:r>
          </w:p>
        </w:tc>
        <w:tc>
          <w:tcPr>
            <w:tcW w:w="509" w:type="dxa"/>
          </w:tcPr>
          <w:p w14:paraId="17EC8251" w14:textId="77777777" w:rsidR="006B43AF" w:rsidRPr="00C954F1" w:rsidRDefault="006B43AF" w:rsidP="004203CD">
            <w:pPr>
              <w:pStyle w:val="TablesTFigures"/>
              <w:spacing w:line="240" w:lineRule="auto"/>
              <w:jc w:val="center"/>
              <w:rPr>
                <w:rFonts w:ascii="IBM Plex Sans Light" w:hAnsi="IBM Plex Sans Light"/>
                <w:sz w:val="18"/>
                <w:szCs w:val="18"/>
              </w:rPr>
            </w:pPr>
          </w:p>
        </w:tc>
        <w:tc>
          <w:tcPr>
            <w:tcW w:w="1023" w:type="dxa"/>
            <w:shd w:val="clear" w:color="auto" w:fill="auto"/>
            <w:vAlign w:val="bottom"/>
          </w:tcPr>
          <w:p w14:paraId="6750188B"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(0.6)</w:t>
            </w:r>
          </w:p>
        </w:tc>
        <w:tc>
          <w:tcPr>
            <w:tcW w:w="1017" w:type="dxa"/>
            <w:shd w:val="clear" w:color="auto" w:fill="auto"/>
            <w:vAlign w:val="bottom"/>
          </w:tcPr>
          <w:p w14:paraId="06CA7267" w14:textId="77777777" w:rsidR="006B43AF" w:rsidRPr="005907D3" w:rsidRDefault="006B43AF" w:rsidP="00024B10">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(2.8)</w:t>
            </w:r>
          </w:p>
        </w:tc>
      </w:tr>
      <w:tr w:rsidR="006B43AF" w:rsidRPr="005907D3" w14:paraId="51BE2967" w14:textId="77777777" w:rsidTr="004203CD">
        <w:trPr>
          <w:trHeight w:val="20"/>
        </w:trPr>
        <w:tc>
          <w:tcPr>
            <w:tcW w:w="7371" w:type="dxa"/>
            <w:vAlign w:val="center"/>
          </w:tcPr>
          <w:p w14:paraId="7ABEFCCA" w14:textId="77777777" w:rsidR="006B43AF" w:rsidRPr="005907D3" w:rsidDel="00D059B4"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Bond issue costs</w:t>
            </w:r>
          </w:p>
        </w:tc>
        <w:tc>
          <w:tcPr>
            <w:tcW w:w="509" w:type="dxa"/>
          </w:tcPr>
          <w:p w14:paraId="0BF4DBEE" w14:textId="77777777" w:rsidR="006B43AF" w:rsidRPr="00C954F1" w:rsidDel="00D059B4" w:rsidRDefault="006B43AF" w:rsidP="004203CD">
            <w:pPr>
              <w:pStyle w:val="TablesTFigures"/>
              <w:spacing w:line="240" w:lineRule="exact"/>
              <w:jc w:val="center"/>
              <w:rPr>
                <w:rFonts w:ascii="IBM Plex Sans Light" w:hAnsi="IBM Plex Sans Light"/>
                <w:sz w:val="18"/>
                <w:szCs w:val="18"/>
              </w:rPr>
            </w:pPr>
          </w:p>
        </w:tc>
        <w:tc>
          <w:tcPr>
            <w:tcW w:w="1023" w:type="dxa"/>
            <w:shd w:val="clear" w:color="auto" w:fill="auto"/>
            <w:vAlign w:val="bottom"/>
          </w:tcPr>
          <w:p w14:paraId="4BA5E764" w14:textId="77777777" w:rsidR="006B43AF" w:rsidRPr="005363BC" w:rsidDel="00AF4E85"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73.6</w:t>
            </w:r>
          </w:p>
        </w:tc>
        <w:tc>
          <w:tcPr>
            <w:tcW w:w="1017" w:type="dxa"/>
            <w:shd w:val="clear" w:color="auto" w:fill="auto"/>
            <w:vAlign w:val="bottom"/>
          </w:tcPr>
          <w:p w14:paraId="36AACE6E"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w:t>
            </w:r>
          </w:p>
        </w:tc>
      </w:tr>
      <w:tr w:rsidR="006B43AF" w:rsidRPr="005907D3" w14:paraId="7822B0C8" w14:textId="77777777" w:rsidTr="004203CD">
        <w:trPr>
          <w:trHeight w:val="258"/>
        </w:trPr>
        <w:tc>
          <w:tcPr>
            <w:tcW w:w="7371" w:type="dxa"/>
            <w:vAlign w:val="center"/>
          </w:tcPr>
          <w:p w14:paraId="07472D49"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Premiums on hedging activities</w:t>
            </w:r>
          </w:p>
        </w:tc>
        <w:tc>
          <w:tcPr>
            <w:tcW w:w="509" w:type="dxa"/>
          </w:tcPr>
          <w:p w14:paraId="50A10D54" w14:textId="77777777" w:rsidR="006B43AF" w:rsidRPr="00C954F1" w:rsidRDefault="006B43AF" w:rsidP="004203CD">
            <w:pPr>
              <w:pStyle w:val="TablesTFigures"/>
              <w:spacing w:line="240" w:lineRule="exact"/>
              <w:jc w:val="center"/>
              <w:rPr>
                <w:rFonts w:ascii="IBM Plex Sans Light" w:hAnsi="IBM Plex Sans Light"/>
                <w:sz w:val="18"/>
                <w:szCs w:val="18"/>
              </w:rPr>
            </w:pPr>
          </w:p>
        </w:tc>
        <w:tc>
          <w:tcPr>
            <w:tcW w:w="1023" w:type="dxa"/>
            <w:shd w:val="clear" w:color="auto" w:fill="auto"/>
            <w:vAlign w:val="bottom"/>
          </w:tcPr>
          <w:p w14:paraId="4D89381D" w14:textId="77777777" w:rsidR="006B43AF" w:rsidRPr="005363BC" w:rsidRDefault="006B43AF" w:rsidP="008B3C5C">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w:t>
            </w:r>
          </w:p>
        </w:tc>
        <w:tc>
          <w:tcPr>
            <w:tcW w:w="1017" w:type="dxa"/>
            <w:shd w:val="clear" w:color="auto" w:fill="auto"/>
            <w:vAlign w:val="bottom"/>
          </w:tcPr>
          <w:p w14:paraId="243AA041"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(3.9)</w:t>
            </w:r>
          </w:p>
        </w:tc>
      </w:tr>
      <w:tr w:rsidR="006B43AF" w:rsidRPr="005907D3" w14:paraId="10D008EE" w14:textId="77777777" w:rsidTr="004203CD">
        <w:trPr>
          <w:trHeight w:val="20"/>
        </w:trPr>
        <w:tc>
          <w:tcPr>
            <w:tcW w:w="7371" w:type="dxa"/>
            <w:vAlign w:val="center"/>
          </w:tcPr>
          <w:p w14:paraId="65E4DA52"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Tax repaid/(paid)</w:t>
            </w:r>
          </w:p>
        </w:tc>
        <w:tc>
          <w:tcPr>
            <w:tcW w:w="509" w:type="dxa"/>
          </w:tcPr>
          <w:p w14:paraId="17986AC3"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shd w:val="clear" w:color="auto" w:fill="auto"/>
            <w:vAlign w:val="bottom"/>
          </w:tcPr>
          <w:p w14:paraId="4D446EB1" w14:textId="77777777" w:rsidR="006B43AF" w:rsidRPr="005363BC" w:rsidRDefault="006B43AF" w:rsidP="008B3C5C">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(0.4)</w:t>
            </w:r>
          </w:p>
        </w:tc>
        <w:tc>
          <w:tcPr>
            <w:tcW w:w="1017" w:type="dxa"/>
            <w:shd w:val="clear" w:color="auto" w:fill="auto"/>
            <w:vAlign w:val="bottom"/>
          </w:tcPr>
          <w:p w14:paraId="55574A73"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0.1</w:t>
            </w:r>
          </w:p>
        </w:tc>
      </w:tr>
      <w:tr w:rsidR="006B43AF" w:rsidRPr="005907D3" w14:paraId="676699AA" w14:textId="77777777" w:rsidTr="004203CD">
        <w:trPr>
          <w:trHeight w:val="20"/>
        </w:trPr>
        <w:tc>
          <w:tcPr>
            <w:tcW w:w="7371" w:type="dxa"/>
            <w:tcBorders>
              <w:top w:val="single" w:sz="2" w:space="0" w:color="3D7FE0" w:themeColor="accent1"/>
              <w:bottom w:val="single" w:sz="2" w:space="0" w:color="3D7FE0" w:themeColor="accent1"/>
            </w:tcBorders>
            <w:vAlign w:val="center"/>
          </w:tcPr>
          <w:p w14:paraId="17F33C33"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r w:rsidRPr="005907D3">
              <w:rPr>
                <w:rFonts w:ascii="IBM Plex Sans Light" w:hAnsi="IBM Plex Sans Light"/>
                <w:b/>
                <w:bCs/>
                <w:sz w:val="18"/>
                <w:szCs w:val="18"/>
              </w:rPr>
              <w:t>Cash flows from operating activities</w:t>
            </w:r>
          </w:p>
        </w:tc>
        <w:tc>
          <w:tcPr>
            <w:tcW w:w="509" w:type="dxa"/>
            <w:tcBorders>
              <w:top w:val="single" w:sz="2" w:space="0" w:color="3D7FE0" w:themeColor="accent1"/>
              <w:bottom w:val="single" w:sz="2" w:space="0" w:color="3D7FE0" w:themeColor="accent1"/>
            </w:tcBorders>
          </w:tcPr>
          <w:p w14:paraId="69592AAB"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bottom w:val="single" w:sz="2" w:space="0" w:color="3D7FE0" w:themeColor="accent1"/>
            </w:tcBorders>
            <w:shd w:val="clear" w:color="auto" w:fill="auto"/>
            <w:vAlign w:val="bottom"/>
          </w:tcPr>
          <w:p w14:paraId="1CC6E087"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130.5</w:t>
            </w:r>
          </w:p>
        </w:tc>
        <w:tc>
          <w:tcPr>
            <w:tcW w:w="1017" w:type="dxa"/>
            <w:tcBorders>
              <w:top w:val="single" w:sz="2" w:space="0" w:color="3D7FE0" w:themeColor="accent1"/>
              <w:bottom w:val="single" w:sz="2" w:space="0" w:color="3D7FE0" w:themeColor="accent1"/>
            </w:tcBorders>
            <w:shd w:val="clear" w:color="auto" w:fill="auto"/>
            <w:vAlign w:val="bottom"/>
          </w:tcPr>
          <w:p w14:paraId="14A05EEE"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102.4</w:t>
            </w:r>
          </w:p>
        </w:tc>
      </w:tr>
      <w:tr w:rsidR="006B43AF" w:rsidRPr="005907D3" w14:paraId="01202510" w14:textId="77777777" w:rsidTr="004203CD">
        <w:trPr>
          <w:trHeight w:val="20"/>
        </w:trPr>
        <w:tc>
          <w:tcPr>
            <w:tcW w:w="7371" w:type="dxa"/>
            <w:tcBorders>
              <w:top w:val="single" w:sz="2" w:space="0" w:color="3D7FE0" w:themeColor="accent1"/>
            </w:tcBorders>
            <w:vAlign w:val="center"/>
          </w:tcPr>
          <w:p w14:paraId="6621FA5A"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p>
        </w:tc>
        <w:tc>
          <w:tcPr>
            <w:tcW w:w="509" w:type="dxa"/>
            <w:tcBorders>
              <w:top w:val="single" w:sz="2" w:space="0" w:color="3D7FE0" w:themeColor="accent1"/>
            </w:tcBorders>
          </w:tcPr>
          <w:p w14:paraId="408E489B"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tcBorders>
            <w:shd w:val="clear" w:color="auto" w:fill="auto"/>
          </w:tcPr>
          <w:p w14:paraId="2D842A17" w14:textId="77777777" w:rsidR="006B43AF" w:rsidRPr="00CE5A72" w:rsidRDefault="006B43AF" w:rsidP="004203CD">
            <w:pPr>
              <w:pStyle w:val="TablesTFigures"/>
              <w:spacing w:line="240" w:lineRule="exact"/>
              <w:rPr>
                <w:rFonts w:ascii="IBM Plex Sans Medium" w:hAnsi="IBM Plex Sans Medium"/>
                <w:b/>
                <w:bCs/>
                <w:color w:val="3D7FE0" w:themeColor="accent1"/>
                <w:sz w:val="18"/>
                <w:szCs w:val="18"/>
              </w:rPr>
            </w:pPr>
          </w:p>
        </w:tc>
        <w:tc>
          <w:tcPr>
            <w:tcW w:w="1017" w:type="dxa"/>
            <w:tcBorders>
              <w:top w:val="single" w:sz="2" w:space="0" w:color="3D7FE0" w:themeColor="accent1"/>
            </w:tcBorders>
            <w:shd w:val="clear" w:color="auto" w:fill="auto"/>
          </w:tcPr>
          <w:p w14:paraId="424F8EA5" w14:textId="77777777" w:rsidR="006B43AF" w:rsidRPr="00C954F1" w:rsidRDefault="006B43AF" w:rsidP="004203CD">
            <w:pPr>
              <w:pStyle w:val="TablesTFigureBrackets"/>
              <w:spacing w:line="240" w:lineRule="exact"/>
              <w:rPr>
                <w:rFonts w:ascii="IBM Plex Sans Light" w:hAnsi="IBM Plex Sans Light"/>
                <w:sz w:val="18"/>
                <w:szCs w:val="18"/>
              </w:rPr>
            </w:pPr>
          </w:p>
        </w:tc>
      </w:tr>
      <w:tr w:rsidR="006B43AF" w:rsidRPr="005907D3" w14:paraId="4BAC5567" w14:textId="77777777" w:rsidTr="004203CD">
        <w:trPr>
          <w:trHeight w:val="20"/>
        </w:trPr>
        <w:tc>
          <w:tcPr>
            <w:tcW w:w="7371" w:type="dxa"/>
            <w:vAlign w:val="center"/>
          </w:tcPr>
          <w:p w14:paraId="493A977A" w14:textId="77777777" w:rsidR="006B43AF" w:rsidRPr="00F3112C" w:rsidRDefault="006B43AF" w:rsidP="004203CD">
            <w:pPr>
              <w:pStyle w:val="TablesTFigureBrackets"/>
              <w:spacing w:line="240" w:lineRule="exact"/>
              <w:jc w:val="left"/>
              <w:rPr>
                <w:rFonts w:ascii="IBM Plex Sans Light" w:hAnsi="IBM Plex Sans Light"/>
                <w:b/>
                <w:bCs/>
                <w:sz w:val="18"/>
                <w:szCs w:val="18"/>
              </w:rPr>
            </w:pPr>
            <w:r>
              <w:rPr>
                <w:rFonts w:ascii="IBM Plex Sans Light" w:hAnsi="IBM Plex Sans Light"/>
                <w:b/>
                <w:bCs/>
                <w:sz w:val="18"/>
                <w:szCs w:val="18"/>
              </w:rPr>
              <w:t>Investing activities</w:t>
            </w:r>
          </w:p>
        </w:tc>
        <w:tc>
          <w:tcPr>
            <w:tcW w:w="509" w:type="dxa"/>
          </w:tcPr>
          <w:p w14:paraId="67D1F3CB"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shd w:val="clear" w:color="auto" w:fill="auto"/>
          </w:tcPr>
          <w:p w14:paraId="7C829B31" w14:textId="77777777" w:rsidR="006B43AF" w:rsidRPr="00CE5A72" w:rsidRDefault="006B43AF" w:rsidP="004203CD">
            <w:pPr>
              <w:pStyle w:val="TablesTFigures"/>
              <w:spacing w:line="240" w:lineRule="exact"/>
              <w:rPr>
                <w:rFonts w:ascii="IBM Plex Sans Medium" w:hAnsi="IBM Plex Sans Medium"/>
                <w:b/>
                <w:bCs/>
                <w:color w:val="3D7FE0" w:themeColor="accent1"/>
                <w:sz w:val="18"/>
                <w:szCs w:val="18"/>
              </w:rPr>
            </w:pPr>
          </w:p>
        </w:tc>
        <w:tc>
          <w:tcPr>
            <w:tcW w:w="1017" w:type="dxa"/>
            <w:shd w:val="clear" w:color="auto" w:fill="auto"/>
          </w:tcPr>
          <w:p w14:paraId="3988AEF2" w14:textId="77777777" w:rsidR="006B43AF" w:rsidRPr="00C954F1" w:rsidRDefault="006B43AF" w:rsidP="004203CD">
            <w:pPr>
              <w:pStyle w:val="TablesTFigureBrackets"/>
              <w:spacing w:line="240" w:lineRule="exact"/>
              <w:rPr>
                <w:rFonts w:ascii="IBM Plex Sans Light" w:hAnsi="IBM Plex Sans Light"/>
                <w:sz w:val="18"/>
                <w:szCs w:val="18"/>
              </w:rPr>
            </w:pPr>
          </w:p>
        </w:tc>
      </w:tr>
      <w:tr w:rsidR="006B43AF" w:rsidRPr="005907D3" w14:paraId="205EFAA0" w14:textId="77777777" w:rsidTr="004203CD">
        <w:trPr>
          <w:trHeight w:val="20"/>
        </w:trPr>
        <w:tc>
          <w:tcPr>
            <w:tcW w:w="7371" w:type="dxa"/>
            <w:vAlign w:val="center"/>
          </w:tcPr>
          <w:p w14:paraId="2D5521F1" w14:textId="77777777" w:rsidR="006B43AF" w:rsidRPr="005907D3" w:rsidRDefault="006B43AF" w:rsidP="004203CD">
            <w:pPr>
              <w:pStyle w:val="TablesTFigureBrackets"/>
              <w:spacing w:line="240" w:lineRule="exact"/>
              <w:jc w:val="left"/>
              <w:rPr>
                <w:rFonts w:ascii="IBM Plex Sans Light" w:hAnsi="IBM Plex Sans Light"/>
                <w:sz w:val="18"/>
                <w:szCs w:val="18"/>
              </w:rPr>
            </w:pPr>
            <w:r>
              <w:rPr>
                <w:rFonts w:ascii="IBM Plex Sans Light" w:hAnsi="IBM Plex Sans Light"/>
                <w:sz w:val="18"/>
                <w:szCs w:val="18"/>
              </w:rPr>
              <w:t>C</w:t>
            </w:r>
            <w:r w:rsidRPr="005907D3">
              <w:rPr>
                <w:rFonts w:ascii="IBM Plex Sans Light" w:hAnsi="IBM Plex Sans Light"/>
                <w:sz w:val="18"/>
                <w:szCs w:val="18"/>
              </w:rPr>
              <w:t>apital expenditure</w:t>
            </w:r>
          </w:p>
        </w:tc>
        <w:tc>
          <w:tcPr>
            <w:tcW w:w="509" w:type="dxa"/>
          </w:tcPr>
          <w:p w14:paraId="3603E601"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shd w:val="clear" w:color="auto" w:fill="auto"/>
            <w:vAlign w:val="bottom"/>
          </w:tcPr>
          <w:p w14:paraId="4E9B8AD4"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(42.9)</w:t>
            </w:r>
          </w:p>
        </w:tc>
        <w:tc>
          <w:tcPr>
            <w:tcW w:w="1017" w:type="dxa"/>
            <w:shd w:val="clear" w:color="auto" w:fill="auto"/>
            <w:vAlign w:val="bottom"/>
          </w:tcPr>
          <w:p w14:paraId="4029D862"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(76.3)</w:t>
            </w:r>
          </w:p>
        </w:tc>
      </w:tr>
      <w:tr w:rsidR="006B43AF" w:rsidRPr="005907D3" w14:paraId="666331C8" w14:textId="77777777" w:rsidTr="004203CD">
        <w:trPr>
          <w:trHeight w:val="20"/>
        </w:trPr>
        <w:tc>
          <w:tcPr>
            <w:tcW w:w="7371" w:type="dxa"/>
            <w:vAlign w:val="center"/>
          </w:tcPr>
          <w:p w14:paraId="76C1897D" w14:textId="77777777" w:rsidR="006B43AF" w:rsidRDefault="006B43AF" w:rsidP="004203CD">
            <w:pPr>
              <w:pStyle w:val="TablesTFigureBrackets"/>
              <w:spacing w:line="240" w:lineRule="exact"/>
              <w:jc w:val="left"/>
              <w:rPr>
                <w:rFonts w:ascii="IBM Plex Sans Light" w:hAnsi="IBM Plex Sans Light"/>
                <w:sz w:val="18"/>
                <w:szCs w:val="18"/>
              </w:rPr>
            </w:pPr>
            <w:r>
              <w:rPr>
                <w:rFonts w:ascii="IBM Plex Sans Light" w:hAnsi="IBM Plex Sans Light"/>
                <w:sz w:val="18"/>
                <w:szCs w:val="18"/>
              </w:rPr>
              <w:t>Derecognition of JV cash</w:t>
            </w:r>
          </w:p>
        </w:tc>
        <w:tc>
          <w:tcPr>
            <w:tcW w:w="509" w:type="dxa"/>
          </w:tcPr>
          <w:p w14:paraId="79C4778B"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shd w:val="clear" w:color="auto" w:fill="auto"/>
            <w:vAlign w:val="bottom"/>
          </w:tcPr>
          <w:p w14:paraId="012B0882"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(15.6)</w:t>
            </w:r>
          </w:p>
        </w:tc>
        <w:tc>
          <w:tcPr>
            <w:tcW w:w="1017" w:type="dxa"/>
            <w:shd w:val="clear" w:color="auto" w:fill="auto"/>
            <w:vAlign w:val="bottom"/>
          </w:tcPr>
          <w:p w14:paraId="6AF22430"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w:t>
            </w:r>
          </w:p>
        </w:tc>
      </w:tr>
      <w:tr w:rsidR="006B43AF" w:rsidRPr="005907D3" w14:paraId="12C62A74" w14:textId="77777777" w:rsidTr="004203CD">
        <w:trPr>
          <w:trHeight w:val="20"/>
        </w:trPr>
        <w:tc>
          <w:tcPr>
            <w:tcW w:w="7371" w:type="dxa"/>
            <w:vAlign w:val="center"/>
          </w:tcPr>
          <w:p w14:paraId="0679C410" w14:textId="77777777" w:rsidR="006B43AF" w:rsidRDefault="006B43AF" w:rsidP="004203CD">
            <w:pPr>
              <w:pStyle w:val="TablesTFigureBrackets"/>
              <w:spacing w:line="240" w:lineRule="exact"/>
              <w:jc w:val="left"/>
              <w:rPr>
                <w:rFonts w:ascii="IBM Plex Sans Light" w:hAnsi="IBM Plex Sans Light"/>
                <w:sz w:val="18"/>
                <w:szCs w:val="18"/>
              </w:rPr>
            </w:pPr>
            <w:r>
              <w:rPr>
                <w:rFonts w:ascii="IBM Plex Sans Light" w:hAnsi="IBM Plex Sans Light"/>
                <w:sz w:val="18"/>
                <w:szCs w:val="18"/>
              </w:rPr>
              <w:t>Derecognition of JV secured debt</w:t>
            </w:r>
          </w:p>
        </w:tc>
        <w:tc>
          <w:tcPr>
            <w:tcW w:w="509" w:type="dxa"/>
          </w:tcPr>
          <w:p w14:paraId="08635DB4"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shd w:val="clear" w:color="auto" w:fill="auto"/>
            <w:vAlign w:val="bottom"/>
          </w:tcPr>
          <w:p w14:paraId="670E653B" w14:textId="77777777" w:rsidR="006B43AF" w:rsidRPr="005363BC" w:rsidRDefault="006B43AF" w:rsidP="00024B10">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125.0</w:t>
            </w:r>
          </w:p>
        </w:tc>
        <w:tc>
          <w:tcPr>
            <w:tcW w:w="1017" w:type="dxa"/>
            <w:shd w:val="clear" w:color="auto" w:fill="auto"/>
            <w:vAlign w:val="bottom"/>
          </w:tcPr>
          <w:p w14:paraId="2E4E7408"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w:t>
            </w:r>
          </w:p>
        </w:tc>
      </w:tr>
      <w:tr w:rsidR="006B43AF" w:rsidRPr="005907D3" w14:paraId="29E765B1" w14:textId="77777777" w:rsidTr="004203CD">
        <w:trPr>
          <w:trHeight w:val="20"/>
        </w:trPr>
        <w:tc>
          <w:tcPr>
            <w:tcW w:w="7371" w:type="dxa"/>
            <w:vAlign w:val="center"/>
          </w:tcPr>
          <w:p w14:paraId="57576BEC" w14:textId="77777777" w:rsidR="006B43AF" w:rsidRDefault="006B43AF" w:rsidP="004203CD">
            <w:pPr>
              <w:pStyle w:val="TablesTFigureBrackets"/>
              <w:spacing w:line="240" w:lineRule="exact"/>
              <w:jc w:val="left"/>
              <w:rPr>
                <w:rFonts w:ascii="IBM Plex Sans Light" w:hAnsi="IBM Plex Sans Light"/>
                <w:sz w:val="18"/>
                <w:szCs w:val="18"/>
              </w:rPr>
            </w:pPr>
            <w:r>
              <w:rPr>
                <w:rFonts w:ascii="IBM Plex Sans Light" w:hAnsi="IBM Plex Sans Light"/>
                <w:sz w:val="18"/>
                <w:szCs w:val="18"/>
              </w:rPr>
              <w:t>Cash held within sold or derecognised entities</w:t>
            </w:r>
          </w:p>
        </w:tc>
        <w:tc>
          <w:tcPr>
            <w:tcW w:w="509" w:type="dxa"/>
          </w:tcPr>
          <w:p w14:paraId="4FD41706"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shd w:val="clear" w:color="auto" w:fill="auto"/>
            <w:vAlign w:val="bottom"/>
          </w:tcPr>
          <w:p w14:paraId="1684164D"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(8.4)</w:t>
            </w:r>
          </w:p>
        </w:tc>
        <w:tc>
          <w:tcPr>
            <w:tcW w:w="1017" w:type="dxa"/>
            <w:shd w:val="clear" w:color="auto" w:fill="auto"/>
            <w:vAlign w:val="bottom"/>
          </w:tcPr>
          <w:p w14:paraId="645848A2"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w:t>
            </w:r>
          </w:p>
        </w:tc>
      </w:tr>
      <w:tr w:rsidR="006B43AF" w:rsidRPr="005907D3" w14:paraId="4DC161A9" w14:textId="77777777" w:rsidTr="004203CD">
        <w:trPr>
          <w:trHeight w:val="20"/>
        </w:trPr>
        <w:tc>
          <w:tcPr>
            <w:tcW w:w="7371" w:type="dxa"/>
            <w:tcBorders>
              <w:bottom w:val="single" w:sz="2" w:space="0" w:color="3D7FE0" w:themeColor="accent1"/>
            </w:tcBorders>
            <w:vAlign w:val="center"/>
          </w:tcPr>
          <w:p w14:paraId="2D34EDED"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Sale of properties</w:t>
            </w:r>
          </w:p>
        </w:tc>
        <w:tc>
          <w:tcPr>
            <w:tcW w:w="509" w:type="dxa"/>
            <w:tcBorders>
              <w:bottom w:val="single" w:sz="2" w:space="0" w:color="3D7FE0" w:themeColor="accent1"/>
            </w:tcBorders>
          </w:tcPr>
          <w:p w14:paraId="62986088" w14:textId="77777777" w:rsidR="006B43AF" w:rsidRPr="00C954F1" w:rsidRDefault="006B43AF" w:rsidP="004203CD">
            <w:pPr>
              <w:pStyle w:val="TablesTFigures"/>
              <w:spacing w:line="240" w:lineRule="exact"/>
              <w:jc w:val="center"/>
              <w:rPr>
                <w:rFonts w:ascii="IBM Plex Sans Light" w:hAnsi="IBM Plex Sans Light"/>
                <w:sz w:val="18"/>
                <w:szCs w:val="18"/>
              </w:rPr>
            </w:pPr>
          </w:p>
        </w:tc>
        <w:tc>
          <w:tcPr>
            <w:tcW w:w="1023" w:type="dxa"/>
            <w:tcBorders>
              <w:bottom w:val="single" w:sz="2" w:space="0" w:color="3D7FE0" w:themeColor="accent1"/>
            </w:tcBorders>
            <w:shd w:val="clear" w:color="auto" w:fill="auto"/>
            <w:vAlign w:val="bottom"/>
          </w:tcPr>
          <w:p w14:paraId="0ABC2D88"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216.4</w:t>
            </w:r>
          </w:p>
        </w:tc>
        <w:tc>
          <w:tcPr>
            <w:tcW w:w="1017" w:type="dxa"/>
            <w:tcBorders>
              <w:bottom w:val="single" w:sz="2" w:space="0" w:color="3D7FE0" w:themeColor="accent1"/>
            </w:tcBorders>
            <w:shd w:val="clear" w:color="auto" w:fill="auto"/>
            <w:vAlign w:val="bottom"/>
          </w:tcPr>
          <w:p w14:paraId="702B7200"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191.9</w:t>
            </w:r>
          </w:p>
        </w:tc>
      </w:tr>
      <w:tr w:rsidR="006B43AF" w:rsidRPr="005907D3" w14:paraId="0FD8832F" w14:textId="77777777" w:rsidTr="004203CD">
        <w:trPr>
          <w:trHeight w:val="20"/>
        </w:trPr>
        <w:tc>
          <w:tcPr>
            <w:tcW w:w="7371" w:type="dxa"/>
            <w:tcBorders>
              <w:top w:val="single" w:sz="2" w:space="0" w:color="3D7FE0" w:themeColor="accent1"/>
              <w:bottom w:val="single" w:sz="2" w:space="0" w:color="3D7FE0" w:themeColor="accent1"/>
            </w:tcBorders>
            <w:vAlign w:val="center"/>
          </w:tcPr>
          <w:p w14:paraId="0ECC6D62"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r w:rsidRPr="005907D3">
              <w:rPr>
                <w:rFonts w:ascii="IBM Plex Sans Light" w:hAnsi="IBM Plex Sans Light"/>
                <w:b/>
                <w:bCs/>
                <w:sz w:val="18"/>
                <w:szCs w:val="18"/>
              </w:rPr>
              <w:t>Cash flows from investing activities</w:t>
            </w:r>
          </w:p>
        </w:tc>
        <w:tc>
          <w:tcPr>
            <w:tcW w:w="509" w:type="dxa"/>
            <w:tcBorders>
              <w:top w:val="single" w:sz="2" w:space="0" w:color="3D7FE0" w:themeColor="accent1"/>
              <w:bottom w:val="single" w:sz="2" w:space="0" w:color="3D7FE0" w:themeColor="accent1"/>
            </w:tcBorders>
          </w:tcPr>
          <w:p w14:paraId="538D0C09"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bottom w:val="single" w:sz="2" w:space="0" w:color="3D7FE0" w:themeColor="accent1"/>
            </w:tcBorders>
            <w:shd w:val="clear" w:color="auto" w:fill="auto"/>
            <w:vAlign w:val="bottom"/>
          </w:tcPr>
          <w:p w14:paraId="6513A164"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274.5</w:t>
            </w:r>
          </w:p>
        </w:tc>
        <w:tc>
          <w:tcPr>
            <w:tcW w:w="1017" w:type="dxa"/>
            <w:tcBorders>
              <w:top w:val="single" w:sz="2" w:space="0" w:color="3D7FE0" w:themeColor="accent1"/>
              <w:bottom w:val="single" w:sz="2" w:space="0" w:color="3D7FE0" w:themeColor="accent1"/>
            </w:tcBorders>
            <w:shd w:val="clear" w:color="auto" w:fill="auto"/>
            <w:vAlign w:val="bottom"/>
          </w:tcPr>
          <w:p w14:paraId="3D23574A" w14:textId="77777777" w:rsidR="006B43AF" w:rsidRPr="005907D3" w:rsidRDefault="006B43AF" w:rsidP="00024B10">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115.6</w:t>
            </w:r>
          </w:p>
        </w:tc>
      </w:tr>
      <w:tr w:rsidR="006B43AF" w:rsidRPr="005907D3" w14:paraId="44CD471C" w14:textId="77777777" w:rsidTr="004203CD">
        <w:trPr>
          <w:trHeight w:val="20"/>
        </w:trPr>
        <w:tc>
          <w:tcPr>
            <w:tcW w:w="7371" w:type="dxa"/>
            <w:tcBorders>
              <w:top w:val="single" w:sz="2" w:space="0" w:color="3D7FE0" w:themeColor="accent1"/>
            </w:tcBorders>
            <w:vAlign w:val="center"/>
          </w:tcPr>
          <w:p w14:paraId="002D58A0"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p>
        </w:tc>
        <w:tc>
          <w:tcPr>
            <w:tcW w:w="509" w:type="dxa"/>
            <w:tcBorders>
              <w:top w:val="single" w:sz="2" w:space="0" w:color="3D7FE0" w:themeColor="accent1"/>
            </w:tcBorders>
          </w:tcPr>
          <w:p w14:paraId="66ADAE97"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tcBorders>
            <w:shd w:val="clear" w:color="auto" w:fill="auto"/>
          </w:tcPr>
          <w:p w14:paraId="300FC71A" w14:textId="77777777" w:rsidR="006B43AF" w:rsidRPr="00CE5A72" w:rsidRDefault="006B43AF" w:rsidP="004203CD">
            <w:pPr>
              <w:pStyle w:val="TablesTFigures"/>
              <w:spacing w:line="240" w:lineRule="exact"/>
              <w:rPr>
                <w:rFonts w:ascii="IBM Plex Sans Medium" w:hAnsi="IBM Plex Sans Medium"/>
                <w:b/>
                <w:bCs/>
                <w:color w:val="3D7FE0" w:themeColor="accent1"/>
                <w:sz w:val="18"/>
                <w:szCs w:val="18"/>
              </w:rPr>
            </w:pPr>
          </w:p>
        </w:tc>
        <w:tc>
          <w:tcPr>
            <w:tcW w:w="1017" w:type="dxa"/>
            <w:tcBorders>
              <w:top w:val="single" w:sz="2" w:space="0" w:color="3D7FE0" w:themeColor="accent1"/>
            </w:tcBorders>
            <w:shd w:val="clear" w:color="auto" w:fill="auto"/>
            <w:vAlign w:val="bottom"/>
          </w:tcPr>
          <w:p w14:paraId="6855F60D" w14:textId="77777777" w:rsidR="006B43AF" w:rsidRPr="005907D3" w:rsidRDefault="006B43AF" w:rsidP="004203CD">
            <w:pPr>
              <w:pStyle w:val="TablesTFigures"/>
              <w:spacing w:line="240" w:lineRule="exact"/>
              <w:rPr>
                <w:rFonts w:ascii="IBM Plex Sans Light" w:hAnsi="IBM Plex Sans Light"/>
                <w:sz w:val="18"/>
                <w:szCs w:val="18"/>
              </w:rPr>
            </w:pPr>
          </w:p>
        </w:tc>
      </w:tr>
      <w:tr w:rsidR="006B43AF" w:rsidRPr="005907D3" w14:paraId="789FAFAB" w14:textId="77777777" w:rsidTr="004203CD">
        <w:trPr>
          <w:trHeight w:val="20"/>
        </w:trPr>
        <w:tc>
          <w:tcPr>
            <w:tcW w:w="7371" w:type="dxa"/>
            <w:vAlign w:val="center"/>
          </w:tcPr>
          <w:p w14:paraId="122DD6B7"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r>
              <w:rPr>
                <w:rFonts w:ascii="IBM Plex Sans Light" w:hAnsi="IBM Plex Sans Light"/>
                <w:b/>
                <w:bCs/>
                <w:sz w:val="18"/>
                <w:szCs w:val="18"/>
              </w:rPr>
              <w:t>Financing activities</w:t>
            </w:r>
          </w:p>
        </w:tc>
        <w:tc>
          <w:tcPr>
            <w:tcW w:w="509" w:type="dxa"/>
          </w:tcPr>
          <w:p w14:paraId="0392E048"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shd w:val="clear" w:color="auto" w:fill="auto"/>
          </w:tcPr>
          <w:p w14:paraId="34B2EDAB" w14:textId="77777777" w:rsidR="006B43AF" w:rsidRPr="00CE5A72" w:rsidRDefault="006B43AF" w:rsidP="004203CD">
            <w:pPr>
              <w:pStyle w:val="TablesTFigures"/>
              <w:spacing w:line="240" w:lineRule="exact"/>
              <w:rPr>
                <w:rFonts w:ascii="IBM Plex Sans Medium" w:hAnsi="IBM Plex Sans Medium"/>
                <w:b/>
                <w:bCs/>
                <w:color w:val="3D7FE0" w:themeColor="accent1"/>
                <w:sz w:val="18"/>
                <w:szCs w:val="18"/>
              </w:rPr>
            </w:pPr>
          </w:p>
        </w:tc>
        <w:tc>
          <w:tcPr>
            <w:tcW w:w="1017" w:type="dxa"/>
            <w:shd w:val="clear" w:color="auto" w:fill="auto"/>
            <w:vAlign w:val="bottom"/>
          </w:tcPr>
          <w:p w14:paraId="4F5485D9" w14:textId="77777777" w:rsidR="006B43AF" w:rsidRPr="005907D3" w:rsidRDefault="006B43AF" w:rsidP="004203CD">
            <w:pPr>
              <w:pStyle w:val="TablesTFigures"/>
              <w:spacing w:line="240" w:lineRule="exact"/>
              <w:rPr>
                <w:rFonts w:ascii="IBM Plex Sans Light" w:hAnsi="IBM Plex Sans Light"/>
                <w:sz w:val="18"/>
                <w:szCs w:val="18"/>
              </w:rPr>
            </w:pPr>
          </w:p>
        </w:tc>
      </w:tr>
      <w:tr w:rsidR="006B43AF" w:rsidRPr="005907D3" w14:paraId="67B487A4" w14:textId="77777777" w:rsidTr="004203CD">
        <w:trPr>
          <w:trHeight w:val="20"/>
        </w:trPr>
        <w:tc>
          <w:tcPr>
            <w:tcW w:w="7371" w:type="dxa"/>
            <w:vAlign w:val="center"/>
          </w:tcPr>
          <w:p w14:paraId="21232B29"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Share issue expenses</w:t>
            </w:r>
          </w:p>
        </w:tc>
        <w:tc>
          <w:tcPr>
            <w:tcW w:w="509" w:type="dxa"/>
          </w:tcPr>
          <w:p w14:paraId="5D3B7712" w14:textId="77777777" w:rsidR="006B43AF" w:rsidRPr="00C954F1" w:rsidRDefault="006B43AF" w:rsidP="004203CD">
            <w:pPr>
              <w:pStyle w:val="TablesTFigures"/>
              <w:spacing w:line="240" w:lineRule="exact"/>
              <w:jc w:val="center"/>
              <w:rPr>
                <w:rFonts w:ascii="IBM Plex Sans Light" w:hAnsi="IBM Plex Sans Light"/>
                <w:sz w:val="18"/>
                <w:szCs w:val="18"/>
              </w:rPr>
            </w:pPr>
          </w:p>
        </w:tc>
        <w:tc>
          <w:tcPr>
            <w:tcW w:w="1023" w:type="dxa"/>
            <w:shd w:val="clear" w:color="auto" w:fill="auto"/>
            <w:vAlign w:val="bottom"/>
          </w:tcPr>
          <w:p w14:paraId="4D53C9B3" w14:textId="77777777" w:rsidR="006B43AF" w:rsidRPr="005363BC" w:rsidRDefault="006B43AF" w:rsidP="00024B10">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w:t>
            </w:r>
          </w:p>
        </w:tc>
        <w:tc>
          <w:tcPr>
            <w:tcW w:w="1017" w:type="dxa"/>
            <w:shd w:val="clear" w:color="auto" w:fill="auto"/>
            <w:vAlign w:val="bottom"/>
          </w:tcPr>
          <w:p w14:paraId="226DC1E7"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(0.5)</w:t>
            </w:r>
          </w:p>
        </w:tc>
      </w:tr>
      <w:tr w:rsidR="006B43AF" w:rsidRPr="005907D3" w14:paraId="5CBF47D9" w14:textId="77777777" w:rsidTr="004203CD">
        <w:trPr>
          <w:trHeight w:val="20"/>
        </w:trPr>
        <w:tc>
          <w:tcPr>
            <w:tcW w:w="7371" w:type="dxa"/>
            <w:vAlign w:val="center"/>
          </w:tcPr>
          <w:p w14:paraId="13C49EC9"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Purchase of own shares</w:t>
            </w:r>
          </w:p>
        </w:tc>
        <w:tc>
          <w:tcPr>
            <w:tcW w:w="509" w:type="dxa"/>
          </w:tcPr>
          <w:p w14:paraId="790C3053"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shd w:val="clear" w:color="auto" w:fill="auto"/>
            <w:vAlign w:val="bottom"/>
          </w:tcPr>
          <w:p w14:paraId="63A6DFE7" w14:textId="77777777" w:rsidR="006B43AF" w:rsidRPr="005363BC" w:rsidRDefault="006B43AF" w:rsidP="00024B10">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w:t>
            </w:r>
          </w:p>
        </w:tc>
        <w:tc>
          <w:tcPr>
            <w:tcW w:w="1017" w:type="dxa"/>
            <w:shd w:val="clear" w:color="auto" w:fill="auto"/>
            <w:vAlign w:val="bottom"/>
          </w:tcPr>
          <w:p w14:paraId="13E89596"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(6.7)</w:t>
            </w:r>
          </w:p>
        </w:tc>
      </w:tr>
      <w:tr w:rsidR="006B43AF" w:rsidRPr="005907D3" w14:paraId="7F135C7C" w14:textId="77777777" w:rsidTr="004203CD">
        <w:trPr>
          <w:trHeight w:val="20"/>
        </w:trPr>
        <w:tc>
          <w:tcPr>
            <w:tcW w:w="7371" w:type="dxa"/>
            <w:vAlign w:val="center"/>
          </w:tcPr>
          <w:p w14:paraId="31343E0E" w14:textId="77777777" w:rsidR="006B43AF" w:rsidRPr="005907D3" w:rsidRDefault="006B43AF" w:rsidP="004203CD">
            <w:pPr>
              <w:pStyle w:val="TablesTFigures"/>
              <w:spacing w:line="240" w:lineRule="exact"/>
              <w:jc w:val="left"/>
              <w:rPr>
                <w:rFonts w:ascii="IBM Plex Sans Light" w:hAnsi="IBM Plex Sans Light"/>
                <w:sz w:val="18"/>
                <w:szCs w:val="18"/>
              </w:rPr>
            </w:pPr>
            <w:r w:rsidRPr="005907D3">
              <w:rPr>
                <w:rFonts w:ascii="IBM Plex Sans Light" w:hAnsi="IBM Plex Sans Light"/>
                <w:sz w:val="18"/>
                <w:szCs w:val="18"/>
              </w:rPr>
              <w:t>Proceeds from awards of own shares</w:t>
            </w:r>
          </w:p>
        </w:tc>
        <w:tc>
          <w:tcPr>
            <w:tcW w:w="509" w:type="dxa"/>
          </w:tcPr>
          <w:p w14:paraId="3C3D59FB" w14:textId="77777777" w:rsidR="006B43AF" w:rsidRPr="00C954F1" w:rsidRDefault="006B43AF" w:rsidP="004203CD">
            <w:pPr>
              <w:pStyle w:val="TablesTFigures"/>
              <w:spacing w:line="240" w:lineRule="exact"/>
              <w:jc w:val="center"/>
              <w:rPr>
                <w:rFonts w:ascii="IBM Plex Sans Light" w:hAnsi="IBM Plex Sans Light"/>
                <w:sz w:val="18"/>
                <w:szCs w:val="18"/>
              </w:rPr>
            </w:pPr>
          </w:p>
        </w:tc>
        <w:tc>
          <w:tcPr>
            <w:tcW w:w="1023" w:type="dxa"/>
            <w:shd w:val="clear" w:color="auto" w:fill="auto"/>
            <w:vAlign w:val="bottom"/>
          </w:tcPr>
          <w:p w14:paraId="18B1C32F" w14:textId="77777777" w:rsidR="006B43AF" w:rsidRPr="005363B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0.1</w:t>
            </w:r>
          </w:p>
        </w:tc>
        <w:tc>
          <w:tcPr>
            <w:tcW w:w="1017" w:type="dxa"/>
            <w:shd w:val="clear" w:color="auto" w:fill="auto"/>
            <w:vAlign w:val="bottom"/>
          </w:tcPr>
          <w:p w14:paraId="7699A31C" w14:textId="77777777" w:rsidR="006B43AF" w:rsidRPr="005907D3" w:rsidRDefault="006B43AF" w:rsidP="004203CD">
            <w:pPr>
              <w:pStyle w:val="TablesTFigures"/>
              <w:spacing w:line="240" w:lineRule="exact"/>
              <w:rPr>
                <w:rFonts w:ascii="IBM Plex Sans Light" w:hAnsi="IBM Plex Sans Light"/>
                <w:sz w:val="18"/>
                <w:szCs w:val="18"/>
              </w:rPr>
            </w:pPr>
            <w:r w:rsidRPr="005363BC">
              <w:rPr>
                <w:rFonts w:ascii="IBM Plex Sans Light" w:hAnsi="IBM Plex Sans Light"/>
                <w:sz w:val="18"/>
                <w:szCs w:val="18"/>
              </w:rPr>
              <w:t>0.1</w:t>
            </w:r>
          </w:p>
        </w:tc>
      </w:tr>
      <w:tr w:rsidR="006B43AF" w:rsidRPr="005907D3" w14:paraId="282F368C" w14:textId="77777777" w:rsidTr="004203CD">
        <w:trPr>
          <w:trHeight w:val="20"/>
        </w:trPr>
        <w:tc>
          <w:tcPr>
            <w:tcW w:w="7371" w:type="dxa"/>
            <w:tcBorders>
              <w:bottom w:val="single" w:sz="2" w:space="0" w:color="3D7FE0" w:themeColor="accent1"/>
            </w:tcBorders>
            <w:vAlign w:val="center"/>
          </w:tcPr>
          <w:p w14:paraId="24CFEFDE"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Equity dividends paid</w:t>
            </w:r>
          </w:p>
        </w:tc>
        <w:tc>
          <w:tcPr>
            <w:tcW w:w="509" w:type="dxa"/>
            <w:tcBorders>
              <w:bottom w:val="single" w:sz="2" w:space="0" w:color="3D7FE0" w:themeColor="accent1"/>
            </w:tcBorders>
          </w:tcPr>
          <w:p w14:paraId="5831E400"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tcBorders>
              <w:bottom w:val="single" w:sz="2" w:space="0" w:color="3D7FE0" w:themeColor="accent1"/>
            </w:tcBorders>
            <w:shd w:val="clear" w:color="auto" w:fill="auto"/>
            <w:vAlign w:val="bottom"/>
          </w:tcPr>
          <w:p w14:paraId="0D04B15D"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(30.0)</w:t>
            </w:r>
          </w:p>
        </w:tc>
        <w:tc>
          <w:tcPr>
            <w:tcW w:w="1017" w:type="dxa"/>
            <w:tcBorders>
              <w:bottom w:val="single" w:sz="2" w:space="0" w:color="3D7FE0" w:themeColor="accent1"/>
            </w:tcBorders>
            <w:shd w:val="clear" w:color="auto" w:fill="auto"/>
            <w:vAlign w:val="bottom"/>
          </w:tcPr>
          <w:p w14:paraId="0814FCB4"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(13.2)</w:t>
            </w:r>
          </w:p>
        </w:tc>
      </w:tr>
      <w:tr w:rsidR="006B43AF" w:rsidRPr="005907D3" w14:paraId="7F58886D" w14:textId="77777777" w:rsidTr="004203CD">
        <w:trPr>
          <w:trHeight w:val="20"/>
        </w:trPr>
        <w:tc>
          <w:tcPr>
            <w:tcW w:w="7371" w:type="dxa"/>
            <w:tcBorders>
              <w:top w:val="single" w:sz="2" w:space="0" w:color="3D7FE0" w:themeColor="accent1"/>
              <w:bottom w:val="single" w:sz="2" w:space="0" w:color="3D7FE0" w:themeColor="accent1"/>
            </w:tcBorders>
            <w:vAlign w:val="center"/>
          </w:tcPr>
          <w:p w14:paraId="364C5255"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r w:rsidRPr="005907D3">
              <w:rPr>
                <w:rFonts w:ascii="IBM Plex Sans Light" w:hAnsi="IBM Plex Sans Light"/>
                <w:b/>
                <w:bCs/>
                <w:sz w:val="18"/>
                <w:szCs w:val="18"/>
              </w:rPr>
              <w:t>Cash flows from financing activities</w:t>
            </w:r>
          </w:p>
        </w:tc>
        <w:tc>
          <w:tcPr>
            <w:tcW w:w="509" w:type="dxa"/>
            <w:tcBorders>
              <w:top w:val="single" w:sz="2" w:space="0" w:color="3D7FE0" w:themeColor="accent1"/>
              <w:bottom w:val="single" w:sz="2" w:space="0" w:color="3D7FE0" w:themeColor="accent1"/>
            </w:tcBorders>
          </w:tcPr>
          <w:p w14:paraId="28FF4692"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bottom w:val="single" w:sz="2" w:space="0" w:color="3D7FE0" w:themeColor="accent1"/>
            </w:tcBorders>
            <w:shd w:val="clear" w:color="auto" w:fill="auto"/>
            <w:vAlign w:val="bottom"/>
          </w:tcPr>
          <w:p w14:paraId="644311A6"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(29.9)</w:t>
            </w:r>
          </w:p>
        </w:tc>
        <w:tc>
          <w:tcPr>
            <w:tcW w:w="1017" w:type="dxa"/>
            <w:tcBorders>
              <w:top w:val="single" w:sz="2" w:space="0" w:color="3D7FE0" w:themeColor="accent1"/>
              <w:bottom w:val="single" w:sz="2" w:space="0" w:color="3D7FE0" w:themeColor="accent1"/>
            </w:tcBorders>
            <w:shd w:val="clear" w:color="auto" w:fill="auto"/>
            <w:vAlign w:val="bottom"/>
          </w:tcPr>
          <w:p w14:paraId="7C08F97F"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(20.3)</w:t>
            </w:r>
          </w:p>
        </w:tc>
      </w:tr>
      <w:tr w:rsidR="006B43AF" w:rsidRPr="005907D3" w14:paraId="6EF43091" w14:textId="77777777" w:rsidTr="004203CD">
        <w:trPr>
          <w:trHeight w:val="20"/>
        </w:trPr>
        <w:tc>
          <w:tcPr>
            <w:tcW w:w="7371" w:type="dxa"/>
            <w:tcBorders>
              <w:top w:val="single" w:sz="2" w:space="0" w:color="3D7FE0" w:themeColor="accent1"/>
              <w:bottom w:val="single" w:sz="2" w:space="0" w:color="3D7FE0" w:themeColor="accent1"/>
            </w:tcBorders>
            <w:vAlign w:val="center"/>
          </w:tcPr>
          <w:p w14:paraId="0276B137"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Exchange translation movement</w:t>
            </w:r>
          </w:p>
        </w:tc>
        <w:tc>
          <w:tcPr>
            <w:tcW w:w="509" w:type="dxa"/>
            <w:tcBorders>
              <w:top w:val="single" w:sz="2" w:space="0" w:color="3D7FE0" w:themeColor="accent1"/>
              <w:bottom w:val="single" w:sz="2" w:space="0" w:color="3D7FE0" w:themeColor="accent1"/>
            </w:tcBorders>
          </w:tcPr>
          <w:p w14:paraId="1E7948F3" w14:textId="77777777" w:rsidR="006B43AF" w:rsidRPr="00C954F1" w:rsidRDefault="006B43AF" w:rsidP="004203CD">
            <w:pPr>
              <w:pStyle w:val="TablesTFigureBrackets"/>
              <w:spacing w:line="240" w:lineRule="exact"/>
              <w:jc w:val="center"/>
              <w:rPr>
                <w:rFonts w:ascii="IBM Plex Sans Light" w:hAnsi="IBM Plex Sans Light"/>
                <w:sz w:val="18"/>
                <w:szCs w:val="18"/>
              </w:rPr>
            </w:pPr>
          </w:p>
        </w:tc>
        <w:tc>
          <w:tcPr>
            <w:tcW w:w="1023" w:type="dxa"/>
            <w:tcBorders>
              <w:top w:val="single" w:sz="2" w:space="0" w:color="3D7FE0" w:themeColor="accent1"/>
              <w:bottom w:val="single" w:sz="2" w:space="0" w:color="3D7FE0" w:themeColor="accent1"/>
            </w:tcBorders>
            <w:shd w:val="clear" w:color="auto" w:fill="auto"/>
            <w:vAlign w:val="bottom"/>
          </w:tcPr>
          <w:p w14:paraId="2DF04E13" w14:textId="77777777" w:rsidR="006B43AF" w:rsidRPr="005363BC" w:rsidRDefault="006B43AF" w:rsidP="00024B10">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30.7</w:t>
            </w:r>
          </w:p>
        </w:tc>
        <w:tc>
          <w:tcPr>
            <w:tcW w:w="1017" w:type="dxa"/>
            <w:tcBorders>
              <w:top w:val="single" w:sz="2" w:space="0" w:color="3D7FE0" w:themeColor="accent1"/>
              <w:bottom w:val="single" w:sz="2" w:space="0" w:color="3D7FE0" w:themeColor="accent1"/>
            </w:tcBorders>
            <w:shd w:val="clear" w:color="auto" w:fill="auto"/>
            <w:vAlign w:val="bottom"/>
          </w:tcPr>
          <w:p w14:paraId="76EFF76E" w14:textId="77777777" w:rsidR="006B43AF" w:rsidRPr="005907D3" w:rsidRDefault="006B43AF" w:rsidP="00024B10">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(131.0)</w:t>
            </w:r>
          </w:p>
        </w:tc>
      </w:tr>
      <w:tr w:rsidR="006B43AF" w:rsidRPr="005907D3" w14:paraId="3D4806B1" w14:textId="77777777" w:rsidTr="004203CD">
        <w:trPr>
          <w:trHeight w:val="58"/>
        </w:trPr>
        <w:tc>
          <w:tcPr>
            <w:tcW w:w="7371" w:type="dxa"/>
            <w:tcBorders>
              <w:top w:val="single" w:sz="2" w:space="0" w:color="3D7FE0" w:themeColor="accent1"/>
              <w:bottom w:val="single" w:sz="8" w:space="0" w:color="3D7FE0" w:themeColor="accent1"/>
            </w:tcBorders>
            <w:vAlign w:val="center"/>
          </w:tcPr>
          <w:p w14:paraId="28F82363" w14:textId="77777777" w:rsidR="006B43AF" w:rsidRPr="005907D3" w:rsidRDefault="006B43AF" w:rsidP="004203CD">
            <w:pPr>
              <w:pStyle w:val="TablesTFigureBrackets"/>
              <w:spacing w:line="240" w:lineRule="exact"/>
              <w:jc w:val="left"/>
              <w:rPr>
                <w:rFonts w:ascii="IBM Plex Sans Light" w:hAnsi="IBM Plex Sans Light"/>
                <w:b/>
                <w:bCs/>
                <w:sz w:val="18"/>
                <w:szCs w:val="18"/>
              </w:rPr>
            </w:pPr>
            <w:r w:rsidRPr="005907D3">
              <w:rPr>
                <w:rFonts w:ascii="IBM Plex Sans Light" w:hAnsi="IBM Plex Sans Light"/>
                <w:b/>
                <w:bCs/>
                <w:sz w:val="18"/>
                <w:szCs w:val="18"/>
              </w:rPr>
              <w:t>Closing net debt</w:t>
            </w:r>
          </w:p>
        </w:tc>
        <w:tc>
          <w:tcPr>
            <w:tcW w:w="509" w:type="dxa"/>
            <w:tcBorders>
              <w:top w:val="single" w:sz="2" w:space="0" w:color="3D7FE0" w:themeColor="accent1"/>
              <w:bottom w:val="single" w:sz="8" w:space="0" w:color="3D7FE0" w:themeColor="accent1"/>
            </w:tcBorders>
          </w:tcPr>
          <w:p w14:paraId="5272586B" w14:textId="77777777" w:rsidR="006B43AF" w:rsidRPr="00C954F1" w:rsidRDefault="006B43AF" w:rsidP="004203CD">
            <w:pPr>
              <w:pStyle w:val="TablesTFigureBrackets"/>
              <w:spacing w:line="240" w:lineRule="exact"/>
              <w:jc w:val="center"/>
              <w:rPr>
                <w:rFonts w:ascii="IBM Plex Sans Light" w:hAnsi="IBM Plex Sans Light"/>
                <w:b/>
                <w:bCs/>
                <w:sz w:val="18"/>
                <w:szCs w:val="18"/>
              </w:rPr>
            </w:pPr>
          </w:p>
        </w:tc>
        <w:tc>
          <w:tcPr>
            <w:tcW w:w="1023" w:type="dxa"/>
            <w:tcBorders>
              <w:top w:val="single" w:sz="2" w:space="0" w:color="3D7FE0" w:themeColor="accent1"/>
              <w:bottom w:val="single" w:sz="8" w:space="0" w:color="3D7FE0" w:themeColor="accent1"/>
            </w:tcBorders>
            <w:shd w:val="clear" w:color="auto" w:fill="auto"/>
            <w:vAlign w:val="bottom"/>
          </w:tcPr>
          <w:p w14:paraId="07B6D758" w14:textId="77777777" w:rsidR="006B43AF" w:rsidRPr="005363B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sidRPr="005363BC">
              <w:rPr>
                <w:rFonts w:ascii="IBM Plex Sans Medium" w:eastAsia="Times New Roman" w:hAnsi="IBM Plex Sans Medium" w:cs="Times New Roman"/>
                <w:b/>
                <w:bCs/>
                <w:color w:val="3D7FE0" w:themeColor="accent1"/>
                <w:spacing w:val="-4"/>
                <w:sz w:val="18"/>
                <w:szCs w:val="18"/>
              </w:rPr>
              <w:t>(1,326.3)</w:t>
            </w:r>
          </w:p>
        </w:tc>
        <w:tc>
          <w:tcPr>
            <w:tcW w:w="1017" w:type="dxa"/>
            <w:tcBorders>
              <w:top w:val="single" w:sz="2" w:space="0" w:color="3D7FE0" w:themeColor="accent1"/>
              <w:bottom w:val="single" w:sz="8" w:space="0" w:color="3D7FE0" w:themeColor="accent1"/>
            </w:tcBorders>
            <w:shd w:val="clear" w:color="auto" w:fill="auto"/>
            <w:vAlign w:val="bottom"/>
          </w:tcPr>
          <w:p w14:paraId="0C6FEF9D" w14:textId="77777777" w:rsidR="006B43AF" w:rsidRPr="005907D3" w:rsidRDefault="006B43AF" w:rsidP="004203CD">
            <w:pPr>
              <w:pStyle w:val="TablesTFigureBrackets"/>
              <w:spacing w:line="240" w:lineRule="exact"/>
              <w:rPr>
                <w:rFonts w:ascii="IBM Plex Sans Light" w:hAnsi="IBM Plex Sans Light"/>
                <w:sz w:val="18"/>
                <w:szCs w:val="18"/>
              </w:rPr>
            </w:pPr>
            <w:r w:rsidRPr="005363BC">
              <w:rPr>
                <w:rFonts w:ascii="IBM Plex Sans Light" w:hAnsi="IBM Plex Sans Light"/>
                <w:sz w:val="18"/>
                <w:szCs w:val="18"/>
              </w:rPr>
              <w:t>(1,732.1)</w:t>
            </w:r>
          </w:p>
        </w:tc>
      </w:tr>
      <w:bookmarkEnd w:id="7"/>
    </w:tbl>
    <w:p w14:paraId="16163BAF" w14:textId="2C16ECB1" w:rsidR="006B43AF" w:rsidRDefault="006B43AF" w:rsidP="006B43AF">
      <w:pPr>
        <w:spacing w:after="0" w:line="240" w:lineRule="auto"/>
        <w:rPr>
          <w:rFonts w:ascii="IBM Plex Sans Light" w:eastAsia="Yu Gothic Light" w:hAnsi="IBM Plex Sans Light"/>
          <w:color w:val="3D7FE0" w:themeColor="accent1"/>
          <w:spacing w:val="0"/>
          <w:sz w:val="16"/>
          <w:szCs w:val="22"/>
        </w:rPr>
      </w:pPr>
    </w:p>
    <w:p w14:paraId="6DFC54B4"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Total accounting return</w:t>
      </w:r>
    </w:p>
    <w:p w14:paraId="044A7D13" w14:textId="77777777" w:rsidR="006B43AF" w:rsidRPr="00280504" w:rsidRDefault="006B43AF" w:rsidP="006B43AF">
      <w:pPr>
        <w:rPr>
          <w:rFonts w:ascii="IBM Plex Sans Light" w:hAnsi="IBM Plex Sans Light"/>
          <w:b/>
        </w:rPr>
      </w:pPr>
      <w:r w:rsidRPr="00280504">
        <w:rPr>
          <w:rFonts w:ascii="IBM Plex Sans Light" w:hAnsi="IBM Plex Sans Light"/>
          <w:b/>
        </w:rPr>
        <w:t>Table 15</w:t>
      </w:r>
    </w:p>
    <w:tbl>
      <w:tblPr>
        <w:tblW w:w="9922" w:type="dxa"/>
        <w:tblLayout w:type="fixed"/>
        <w:tblCellMar>
          <w:left w:w="0" w:type="dxa"/>
          <w:right w:w="0" w:type="dxa"/>
        </w:tblCellMar>
        <w:tblLook w:val="04A0" w:firstRow="1" w:lastRow="0" w:firstColumn="1" w:lastColumn="0" w:noHBand="0" w:noVBand="1"/>
      </w:tblPr>
      <w:tblGrid>
        <w:gridCol w:w="5529"/>
        <w:gridCol w:w="425"/>
        <w:gridCol w:w="848"/>
        <w:gridCol w:w="993"/>
        <w:gridCol w:w="992"/>
        <w:gridCol w:w="1135"/>
      </w:tblGrid>
      <w:tr w:rsidR="006B43AF" w:rsidRPr="005907D3" w14:paraId="4760A86A" w14:textId="77777777" w:rsidTr="004203CD">
        <w:trPr>
          <w:trHeight w:val="20"/>
        </w:trPr>
        <w:tc>
          <w:tcPr>
            <w:tcW w:w="5529" w:type="dxa"/>
            <w:tcBorders>
              <w:bottom w:val="single" w:sz="2" w:space="0" w:color="3D7FE0" w:themeColor="accent1"/>
            </w:tcBorders>
            <w:shd w:val="clear" w:color="auto" w:fill="auto"/>
            <w:vAlign w:val="bottom"/>
          </w:tcPr>
          <w:p w14:paraId="38ACE2CC" w14:textId="77777777" w:rsidR="006B43AF" w:rsidRPr="005907D3" w:rsidRDefault="006B43AF" w:rsidP="004203CD">
            <w:pPr>
              <w:pStyle w:val="TablesTColHead"/>
              <w:rPr>
                <w:rFonts w:ascii="IBM Plex Sans Light" w:hAnsi="IBM Plex Sans Light"/>
              </w:rPr>
            </w:pPr>
          </w:p>
        </w:tc>
        <w:tc>
          <w:tcPr>
            <w:tcW w:w="425" w:type="dxa"/>
            <w:tcBorders>
              <w:bottom w:val="single" w:sz="2" w:space="0" w:color="3D7FE0" w:themeColor="accent1"/>
            </w:tcBorders>
            <w:shd w:val="clear" w:color="auto" w:fill="auto"/>
            <w:vAlign w:val="bottom"/>
          </w:tcPr>
          <w:p w14:paraId="5B857BFB" w14:textId="77777777" w:rsidR="006B43AF" w:rsidRPr="005907D3" w:rsidRDefault="006B43AF" w:rsidP="004203CD">
            <w:pPr>
              <w:pStyle w:val="TablesTColHeadsBold"/>
              <w:rPr>
                <w:rFonts w:ascii="IBM Plex Sans Light" w:hAnsi="IBM Plex Sans Light"/>
                <w:color w:val="3D7FE0" w:themeColor="accent1"/>
              </w:rPr>
            </w:pPr>
          </w:p>
        </w:tc>
        <w:tc>
          <w:tcPr>
            <w:tcW w:w="848" w:type="dxa"/>
            <w:tcBorders>
              <w:bottom w:val="single" w:sz="2" w:space="0" w:color="3D7FE0" w:themeColor="accent1"/>
            </w:tcBorders>
            <w:shd w:val="clear" w:color="auto" w:fill="auto"/>
            <w:vAlign w:val="bottom"/>
          </w:tcPr>
          <w:p w14:paraId="2AF23E27" w14:textId="77777777" w:rsidR="006B43AF" w:rsidRPr="005907D3" w:rsidRDefault="006B43AF" w:rsidP="004203CD">
            <w:pPr>
              <w:pStyle w:val="TablesTColHeadsBold"/>
              <w:rPr>
                <w:rFonts w:ascii="IBM Plex Sans Light" w:hAnsi="IBM Plex Sans Light"/>
                <w:color w:val="3D7FE0" w:themeColor="accent1"/>
              </w:rPr>
            </w:pPr>
          </w:p>
        </w:tc>
        <w:tc>
          <w:tcPr>
            <w:tcW w:w="993" w:type="dxa"/>
            <w:tcBorders>
              <w:bottom w:val="single" w:sz="2" w:space="0" w:color="3D7FE0" w:themeColor="accent1"/>
            </w:tcBorders>
            <w:shd w:val="clear" w:color="auto" w:fill="auto"/>
            <w:vAlign w:val="bottom"/>
          </w:tcPr>
          <w:p w14:paraId="2A471C36" w14:textId="77777777" w:rsidR="006B43AF" w:rsidRPr="005907D3" w:rsidRDefault="006B43AF" w:rsidP="004203CD">
            <w:pPr>
              <w:pStyle w:val="TablesTColHead"/>
              <w:rPr>
                <w:rFonts w:ascii="IBM Plex Sans Light" w:hAnsi="IBM Plex Sans Light"/>
                <w:b/>
                <w:bCs/>
                <w:sz w:val="14"/>
                <w:szCs w:val="24"/>
              </w:rPr>
            </w:pPr>
            <w:r w:rsidRPr="005907D3">
              <w:rPr>
                <w:rFonts w:ascii="IBM Plex Sans Light" w:hAnsi="IBM Plex Sans Light"/>
                <w:b/>
                <w:bCs/>
                <w:color w:val="3D7FE0" w:themeColor="accent1"/>
                <w:sz w:val="14"/>
                <w:szCs w:val="24"/>
              </w:rPr>
              <w:t>202</w:t>
            </w:r>
            <w:r>
              <w:rPr>
                <w:rFonts w:ascii="IBM Plex Sans Light" w:hAnsi="IBM Plex Sans Light"/>
                <w:b/>
                <w:bCs/>
                <w:color w:val="3D7FE0" w:themeColor="accent1"/>
                <w:sz w:val="14"/>
                <w:szCs w:val="24"/>
              </w:rPr>
              <w:t>3</w:t>
            </w:r>
          </w:p>
        </w:tc>
        <w:tc>
          <w:tcPr>
            <w:tcW w:w="992" w:type="dxa"/>
            <w:tcBorders>
              <w:bottom w:val="single" w:sz="2" w:space="0" w:color="3D7FE0" w:themeColor="accent1"/>
            </w:tcBorders>
            <w:shd w:val="clear" w:color="auto" w:fill="auto"/>
            <w:vAlign w:val="bottom"/>
          </w:tcPr>
          <w:p w14:paraId="05120662" w14:textId="77777777" w:rsidR="006B43AF" w:rsidRPr="005907D3" w:rsidRDefault="006B43AF" w:rsidP="004203CD">
            <w:pPr>
              <w:pStyle w:val="TablesTColHead"/>
              <w:rPr>
                <w:rFonts w:ascii="IBM Plex Sans Light" w:hAnsi="IBM Plex Sans Light"/>
                <w:sz w:val="14"/>
                <w:szCs w:val="24"/>
              </w:rPr>
            </w:pPr>
          </w:p>
        </w:tc>
        <w:tc>
          <w:tcPr>
            <w:tcW w:w="1135" w:type="dxa"/>
            <w:tcBorders>
              <w:bottom w:val="single" w:sz="2" w:space="0" w:color="3D7FE0" w:themeColor="accent1"/>
            </w:tcBorders>
            <w:shd w:val="clear" w:color="auto" w:fill="auto"/>
            <w:vAlign w:val="bottom"/>
          </w:tcPr>
          <w:p w14:paraId="1F8B8B03"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202</w:t>
            </w:r>
            <w:r>
              <w:rPr>
                <w:rFonts w:ascii="IBM Plex Sans Light" w:hAnsi="IBM Plex Sans Light"/>
                <w:sz w:val="14"/>
                <w:szCs w:val="24"/>
              </w:rPr>
              <w:t>2</w:t>
            </w:r>
          </w:p>
        </w:tc>
      </w:tr>
      <w:tr w:rsidR="006B43AF" w:rsidRPr="005907D3" w14:paraId="314D205E" w14:textId="77777777" w:rsidTr="004203CD">
        <w:trPr>
          <w:trHeight w:val="20"/>
        </w:trPr>
        <w:tc>
          <w:tcPr>
            <w:tcW w:w="5529" w:type="dxa"/>
            <w:tcBorders>
              <w:top w:val="single" w:sz="2" w:space="0" w:color="3D7FE0" w:themeColor="accent1"/>
              <w:bottom w:val="single" w:sz="2" w:space="0" w:color="3D7FE0" w:themeColor="accent1"/>
            </w:tcBorders>
            <w:shd w:val="clear" w:color="auto" w:fill="auto"/>
            <w:vAlign w:val="bottom"/>
          </w:tcPr>
          <w:p w14:paraId="6229B86E" w14:textId="77777777" w:rsidR="006B43AF" w:rsidRPr="005907D3" w:rsidRDefault="006B43AF" w:rsidP="004203CD">
            <w:pPr>
              <w:rPr>
                <w:rFonts w:ascii="IBM Plex Sans Light" w:hAnsi="IBM Plex Sans Light"/>
              </w:rPr>
            </w:pPr>
          </w:p>
        </w:tc>
        <w:tc>
          <w:tcPr>
            <w:tcW w:w="425" w:type="dxa"/>
            <w:tcBorders>
              <w:top w:val="single" w:sz="2" w:space="0" w:color="3D7FE0" w:themeColor="accent1"/>
              <w:bottom w:val="single" w:sz="2" w:space="0" w:color="3D7FE0" w:themeColor="accent1"/>
            </w:tcBorders>
            <w:shd w:val="clear" w:color="auto" w:fill="auto"/>
            <w:vAlign w:val="bottom"/>
          </w:tcPr>
          <w:p w14:paraId="75955090" w14:textId="77777777" w:rsidR="006B43AF" w:rsidRPr="005907D3" w:rsidRDefault="006B43AF" w:rsidP="004203CD">
            <w:pPr>
              <w:pStyle w:val="TablesTColHeadsBold"/>
              <w:rPr>
                <w:rFonts w:ascii="IBM Plex Sans Light" w:hAnsi="IBM Plex Sans Light"/>
                <w:color w:val="3D7FE0" w:themeColor="accent1"/>
                <w:sz w:val="14"/>
                <w:szCs w:val="24"/>
              </w:rPr>
            </w:pPr>
          </w:p>
        </w:tc>
        <w:tc>
          <w:tcPr>
            <w:tcW w:w="848" w:type="dxa"/>
            <w:tcBorders>
              <w:top w:val="single" w:sz="2" w:space="0" w:color="3D7FE0" w:themeColor="accent1"/>
              <w:bottom w:val="single" w:sz="2" w:space="0" w:color="3D7FE0" w:themeColor="accent1"/>
            </w:tcBorders>
            <w:shd w:val="clear" w:color="auto" w:fill="auto"/>
            <w:vAlign w:val="bottom"/>
          </w:tcPr>
          <w:p w14:paraId="7C40A722"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NTA</w:t>
            </w:r>
          </w:p>
          <w:p w14:paraId="5758C93F" w14:textId="77777777" w:rsidR="006B43AF" w:rsidRPr="005907D3" w:rsidRDefault="006B43AF" w:rsidP="004203CD">
            <w:pPr>
              <w:pStyle w:val="TablesTColHeadsBold"/>
              <w:rPr>
                <w:rFonts w:ascii="IBM Plex Sans Light" w:hAnsi="IBM Plex Sans Light"/>
                <w:bCs/>
                <w:color w:val="3D7FE0" w:themeColor="accent1"/>
                <w:sz w:val="14"/>
                <w:szCs w:val="24"/>
              </w:rPr>
            </w:pPr>
            <w:r w:rsidRPr="005907D3">
              <w:rPr>
                <w:rFonts w:ascii="IBM Plex Sans Light" w:hAnsi="IBM Plex Sans Light"/>
                <w:bCs/>
                <w:color w:val="3D7FE0" w:themeColor="accent1"/>
                <w:sz w:val="14"/>
                <w:szCs w:val="24"/>
              </w:rPr>
              <w:t>£m</w:t>
            </w:r>
          </w:p>
        </w:tc>
        <w:tc>
          <w:tcPr>
            <w:tcW w:w="993" w:type="dxa"/>
            <w:tcBorders>
              <w:top w:val="single" w:sz="2" w:space="0" w:color="3D7FE0" w:themeColor="accent1"/>
              <w:bottom w:val="single" w:sz="2" w:space="0" w:color="3D7FE0" w:themeColor="accent1"/>
            </w:tcBorders>
            <w:shd w:val="clear" w:color="auto" w:fill="auto"/>
            <w:vAlign w:val="bottom"/>
          </w:tcPr>
          <w:p w14:paraId="042D6682"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NTA per share</w:t>
            </w:r>
          </w:p>
          <w:p w14:paraId="5CC23CED" w14:textId="17AD172B"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p</w:t>
            </w:r>
          </w:p>
        </w:tc>
        <w:tc>
          <w:tcPr>
            <w:tcW w:w="992" w:type="dxa"/>
            <w:tcBorders>
              <w:top w:val="single" w:sz="2" w:space="0" w:color="3D7FE0" w:themeColor="accent1"/>
              <w:bottom w:val="single" w:sz="2" w:space="0" w:color="3D7FE0" w:themeColor="accent1"/>
            </w:tcBorders>
            <w:shd w:val="clear" w:color="auto" w:fill="auto"/>
            <w:vAlign w:val="bottom"/>
          </w:tcPr>
          <w:p w14:paraId="22A836AD"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NTA</w:t>
            </w:r>
          </w:p>
          <w:p w14:paraId="2A4657E0"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£m</w:t>
            </w:r>
          </w:p>
        </w:tc>
        <w:tc>
          <w:tcPr>
            <w:tcW w:w="1135" w:type="dxa"/>
            <w:tcBorders>
              <w:top w:val="single" w:sz="2" w:space="0" w:color="3D7FE0" w:themeColor="accent1"/>
              <w:bottom w:val="single" w:sz="2" w:space="0" w:color="3D7FE0" w:themeColor="accent1"/>
            </w:tcBorders>
            <w:shd w:val="clear" w:color="auto" w:fill="auto"/>
            <w:vAlign w:val="bottom"/>
          </w:tcPr>
          <w:p w14:paraId="67A5FBB9"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NTA per share</w:t>
            </w:r>
          </w:p>
          <w:p w14:paraId="65B6CFC2" w14:textId="564A2AF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p</w:t>
            </w:r>
          </w:p>
        </w:tc>
      </w:tr>
      <w:tr w:rsidR="006B43AF" w:rsidRPr="005907D3" w14:paraId="783C1A49" w14:textId="77777777" w:rsidTr="004203CD">
        <w:trPr>
          <w:trHeight w:val="20"/>
        </w:trPr>
        <w:tc>
          <w:tcPr>
            <w:tcW w:w="5529" w:type="dxa"/>
            <w:tcBorders>
              <w:top w:val="single" w:sz="2" w:space="0" w:color="3D7FE0" w:themeColor="accent1"/>
            </w:tcBorders>
            <w:shd w:val="clear" w:color="auto" w:fill="auto"/>
          </w:tcPr>
          <w:p w14:paraId="76DF7649"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EPRA NTA at 1 Jan</w:t>
            </w:r>
            <w:r>
              <w:rPr>
                <w:rFonts w:ascii="IBM Plex Sans Light" w:hAnsi="IBM Plex Sans Light"/>
                <w:sz w:val="18"/>
                <w:szCs w:val="18"/>
              </w:rPr>
              <w:t>uary</w:t>
            </w:r>
          </w:p>
        </w:tc>
        <w:tc>
          <w:tcPr>
            <w:tcW w:w="425" w:type="dxa"/>
            <w:tcBorders>
              <w:top w:val="single" w:sz="2" w:space="0" w:color="3D7FE0" w:themeColor="accent1"/>
            </w:tcBorders>
            <w:shd w:val="clear" w:color="auto" w:fill="auto"/>
            <w:vAlign w:val="bottom"/>
          </w:tcPr>
          <w:p w14:paraId="75C9BAF0" w14:textId="77777777" w:rsidR="006B43AF" w:rsidRPr="005907D3" w:rsidRDefault="006B43AF" w:rsidP="004203CD">
            <w:pPr>
              <w:pStyle w:val="TableFiguresBold"/>
              <w:rPr>
                <w:rFonts w:ascii="IBM Plex Sans Light" w:hAnsi="IBM Plex Sans Light"/>
                <w:color w:val="3D7FE0" w:themeColor="accent1"/>
                <w:spacing w:val="-4"/>
                <w:sz w:val="18"/>
                <w:szCs w:val="18"/>
              </w:rPr>
            </w:pPr>
          </w:p>
        </w:tc>
        <w:tc>
          <w:tcPr>
            <w:tcW w:w="848" w:type="dxa"/>
            <w:tcBorders>
              <w:top w:val="single" w:sz="2" w:space="0" w:color="3D7FE0" w:themeColor="accent1"/>
            </w:tcBorders>
            <w:shd w:val="clear" w:color="auto" w:fill="auto"/>
            <w:vAlign w:val="bottom"/>
          </w:tcPr>
          <w:p w14:paraId="57158318"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2,633.7</w:t>
            </w:r>
          </w:p>
        </w:tc>
        <w:tc>
          <w:tcPr>
            <w:tcW w:w="993" w:type="dxa"/>
            <w:tcBorders>
              <w:top w:val="single" w:sz="2" w:space="0" w:color="3D7FE0" w:themeColor="accent1"/>
            </w:tcBorders>
            <w:shd w:val="clear" w:color="auto" w:fill="auto"/>
            <w:vAlign w:val="bottom"/>
          </w:tcPr>
          <w:p w14:paraId="6F531DF0"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52.7</w:t>
            </w:r>
          </w:p>
        </w:tc>
        <w:tc>
          <w:tcPr>
            <w:tcW w:w="992" w:type="dxa"/>
            <w:tcBorders>
              <w:top w:val="single" w:sz="2" w:space="0" w:color="3D7FE0" w:themeColor="accent1"/>
            </w:tcBorders>
            <w:shd w:val="clear" w:color="auto" w:fill="auto"/>
            <w:vAlign w:val="bottom"/>
          </w:tcPr>
          <w:p w14:paraId="62B06171"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2,840.1</w:t>
            </w:r>
          </w:p>
        </w:tc>
        <w:tc>
          <w:tcPr>
            <w:tcW w:w="1135" w:type="dxa"/>
            <w:tcBorders>
              <w:top w:val="single" w:sz="2" w:space="0" w:color="3D7FE0" w:themeColor="accent1"/>
            </w:tcBorders>
            <w:shd w:val="clear" w:color="auto" w:fill="auto"/>
            <w:vAlign w:val="bottom"/>
          </w:tcPr>
          <w:p w14:paraId="23972390"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64.3</w:t>
            </w:r>
          </w:p>
        </w:tc>
      </w:tr>
      <w:tr w:rsidR="006B43AF" w:rsidRPr="005907D3" w14:paraId="5D5B93A9" w14:textId="77777777" w:rsidTr="004203CD">
        <w:trPr>
          <w:trHeight w:val="20"/>
        </w:trPr>
        <w:tc>
          <w:tcPr>
            <w:tcW w:w="5529" w:type="dxa"/>
            <w:tcBorders>
              <w:bottom w:val="single" w:sz="4" w:space="0" w:color="3D7FE0" w:themeColor="accent1"/>
            </w:tcBorders>
            <w:shd w:val="clear" w:color="auto" w:fill="auto"/>
          </w:tcPr>
          <w:p w14:paraId="34C94D98"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 xml:space="preserve">Scrip dividend dilution in NTA per share in the year </w:t>
            </w:r>
          </w:p>
        </w:tc>
        <w:tc>
          <w:tcPr>
            <w:tcW w:w="425" w:type="dxa"/>
            <w:tcBorders>
              <w:bottom w:val="single" w:sz="4" w:space="0" w:color="3D7FE0" w:themeColor="accent1"/>
            </w:tcBorders>
            <w:shd w:val="clear" w:color="auto" w:fill="auto"/>
            <w:vAlign w:val="bottom"/>
          </w:tcPr>
          <w:p w14:paraId="29B2896D" w14:textId="77777777" w:rsidR="006B43AF" w:rsidRPr="005907D3" w:rsidRDefault="006B43AF" w:rsidP="004203CD">
            <w:pPr>
              <w:pStyle w:val="TableFiguresBracketsBold"/>
              <w:rPr>
                <w:rFonts w:ascii="IBM Plex Sans Light" w:hAnsi="IBM Plex Sans Light"/>
                <w:color w:val="3D7FE0" w:themeColor="accent1"/>
                <w:spacing w:val="-4"/>
                <w:sz w:val="18"/>
                <w:szCs w:val="18"/>
              </w:rPr>
            </w:pPr>
          </w:p>
        </w:tc>
        <w:tc>
          <w:tcPr>
            <w:tcW w:w="848" w:type="dxa"/>
            <w:tcBorders>
              <w:bottom w:val="single" w:sz="4" w:space="0" w:color="3D7FE0" w:themeColor="accent1"/>
            </w:tcBorders>
            <w:shd w:val="clear" w:color="auto" w:fill="auto"/>
            <w:vAlign w:val="bottom"/>
          </w:tcPr>
          <w:p w14:paraId="414EDFD5"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w:t>
            </w:r>
          </w:p>
        </w:tc>
        <w:tc>
          <w:tcPr>
            <w:tcW w:w="993" w:type="dxa"/>
            <w:tcBorders>
              <w:bottom w:val="single" w:sz="4" w:space="0" w:color="3D7FE0" w:themeColor="accent1"/>
            </w:tcBorders>
            <w:shd w:val="clear" w:color="auto" w:fill="auto"/>
            <w:vAlign w:val="bottom"/>
          </w:tcPr>
          <w:p w14:paraId="09EDC1ED" w14:textId="77777777" w:rsidR="006B43AF" w:rsidRPr="007A435A" w:rsidRDefault="006B43AF" w:rsidP="0026627B">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w:t>
            </w:r>
          </w:p>
        </w:tc>
        <w:tc>
          <w:tcPr>
            <w:tcW w:w="992" w:type="dxa"/>
            <w:tcBorders>
              <w:bottom w:val="single" w:sz="4" w:space="0" w:color="3D7FE0" w:themeColor="accent1"/>
            </w:tcBorders>
            <w:shd w:val="clear" w:color="auto" w:fill="auto"/>
            <w:vAlign w:val="bottom"/>
          </w:tcPr>
          <w:p w14:paraId="013568E2"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w:t>
            </w:r>
          </w:p>
        </w:tc>
        <w:tc>
          <w:tcPr>
            <w:tcW w:w="1135" w:type="dxa"/>
            <w:tcBorders>
              <w:bottom w:val="single" w:sz="4" w:space="0" w:color="3D7FE0" w:themeColor="accent1"/>
            </w:tcBorders>
            <w:shd w:val="clear" w:color="auto" w:fill="auto"/>
            <w:vAlign w:val="bottom"/>
          </w:tcPr>
          <w:p w14:paraId="79055A06" w14:textId="77777777" w:rsidR="006B43AF" w:rsidRPr="005907D3" w:rsidRDefault="006B43AF" w:rsidP="004203CD">
            <w:pPr>
              <w:pStyle w:val="TablesTFigureBrackets"/>
              <w:spacing w:line="240" w:lineRule="exact"/>
              <w:rPr>
                <w:rFonts w:ascii="IBM Plex Sans Light" w:hAnsi="IBM Plex Sans Light"/>
                <w:sz w:val="18"/>
                <w:szCs w:val="18"/>
              </w:rPr>
            </w:pPr>
            <w:r w:rsidRPr="007A435A">
              <w:rPr>
                <w:rFonts w:ascii="IBM Plex Sans Light" w:hAnsi="IBM Plex Sans Light"/>
                <w:sz w:val="18"/>
                <w:szCs w:val="18"/>
              </w:rPr>
              <w:t>(7.5)</w:t>
            </w:r>
          </w:p>
        </w:tc>
      </w:tr>
      <w:tr w:rsidR="006B43AF" w:rsidRPr="005907D3" w14:paraId="17A9A8BB" w14:textId="77777777" w:rsidTr="004203CD">
        <w:trPr>
          <w:trHeight w:val="20"/>
        </w:trPr>
        <w:tc>
          <w:tcPr>
            <w:tcW w:w="5529" w:type="dxa"/>
            <w:tcBorders>
              <w:top w:val="single" w:sz="4" w:space="0" w:color="3D7FE0" w:themeColor="accent1"/>
            </w:tcBorders>
            <w:shd w:val="clear" w:color="auto" w:fill="auto"/>
          </w:tcPr>
          <w:p w14:paraId="1D3CACF6"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EPRA NTA at 1 Jan</w:t>
            </w:r>
            <w:r>
              <w:rPr>
                <w:rFonts w:ascii="IBM Plex Sans Light" w:hAnsi="IBM Plex Sans Light"/>
                <w:sz w:val="18"/>
                <w:szCs w:val="18"/>
              </w:rPr>
              <w:t>uary</w:t>
            </w:r>
            <w:r w:rsidRPr="005907D3">
              <w:rPr>
                <w:rFonts w:ascii="IBM Plex Sans Light" w:hAnsi="IBM Plex Sans Light"/>
                <w:sz w:val="18"/>
                <w:szCs w:val="18"/>
              </w:rPr>
              <w:t xml:space="preserve"> rebased to reflect scrip dividends in the year</w:t>
            </w:r>
          </w:p>
        </w:tc>
        <w:tc>
          <w:tcPr>
            <w:tcW w:w="425" w:type="dxa"/>
            <w:tcBorders>
              <w:top w:val="single" w:sz="4" w:space="0" w:color="3D7FE0" w:themeColor="accent1"/>
            </w:tcBorders>
            <w:shd w:val="clear" w:color="auto" w:fill="auto"/>
            <w:vAlign w:val="bottom"/>
          </w:tcPr>
          <w:p w14:paraId="3BC428CB" w14:textId="77777777" w:rsidR="006B43AF" w:rsidRPr="005907D3" w:rsidRDefault="006B43AF" w:rsidP="004203CD">
            <w:pPr>
              <w:pStyle w:val="TableFiguresBracketsBold"/>
              <w:jc w:val="center"/>
              <w:rPr>
                <w:rFonts w:ascii="IBM Plex Sans Light" w:hAnsi="IBM Plex Sans Light"/>
                <w:color w:val="auto"/>
                <w:spacing w:val="-4"/>
                <w:sz w:val="18"/>
                <w:szCs w:val="18"/>
              </w:rPr>
            </w:pPr>
            <w:r w:rsidRPr="005907D3">
              <w:rPr>
                <w:rFonts w:ascii="IBM Plex Sans Light" w:hAnsi="IBM Plex Sans Light"/>
                <w:color w:val="auto"/>
                <w:spacing w:val="-4"/>
                <w:sz w:val="18"/>
                <w:szCs w:val="18"/>
              </w:rPr>
              <w:t>A</w:t>
            </w:r>
          </w:p>
        </w:tc>
        <w:tc>
          <w:tcPr>
            <w:tcW w:w="848" w:type="dxa"/>
            <w:tcBorders>
              <w:top w:val="single" w:sz="4" w:space="0" w:color="3D7FE0" w:themeColor="accent1"/>
            </w:tcBorders>
            <w:shd w:val="clear" w:color="auto" w:fill="auto"/>
            <w:vAlign w:val="bottom"/>
          </w:tcPr>
          <w:p w14:paraId="6F5DBBE6"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2,633.7</w:t>
            </w:r>
          </w:p>
        </w:tc>
        <w:tc>
          <w:tcPr>
            <w:tcW w:w="993" w:type="dxa"/>
            <w:tcBorders>
              <w:top w:val="single" w:sz="4" w:space="0" w:color="3D7FE0" w:themeColor="accent1"/>
            </w:tcBorders>
            <w:shd w:val="clear" w:color="auto" w:fill="auto"/>
            <w:vAlign w:val="bottom"/>
          </w:tcPr>
          <w:p w14:paraId="79FE63AF"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52.7</w:t>
            </w:r>
          </w:p>
        </w:tc>
        <w:tc>
          <w:tcPr>
            <w:tcW w:w="992" w:type="dxa"/>
            <w:tcBorders>
              <w:top w:val="single" w:sz="4" w:space="0" w:color="3D7FE0" w:themeColor="accent1"/>
            </w:tcBorders>
            <w:shd w:val="clear" w:color="auto" w:fill="auto"/>
            <w:vAlign w:val="bottom"/>
          </w:tcPr>
          <w:p w14:paraId="2F43179A"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2,840.1</w:t>
            </w:r>
          </w:p>
        </w:tc>
        <w:tc>
          <w:tcPr>
            <w:tcW w:w="1135" w:type="dxa"/>
            <w:tcBorders>
              <w:top w:val="single" w:sz="4" w:space="0" w:color="3D7FE0" w:themeColor="accent1"/>
            </w:tcBorders>
            <w:shd w:val="clear" w:color="auto" w:fill="auto"/>
            <w:vAlign w:val="bottom"/>
          </w:tcPr>
          <w:p w14:paraId="3BED3F7E"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56.8</w:t>
            </w:r>
          </w:p>
        </w:tc>
      </w:tr>
      <w:tr w:rsidR="006B43AF" w:rsidRPr="005907D3" w14:paraId="2B90D3E8" w14:textId="77777777" w:rsidTr="004203CD">
        <w:trPr>
          <w:trHeight w:val="20"/>
        </w:trPr>
        <w:tc>
          <w:tcPr>
            <w:tcW w:w="5529" w:type="dxa"/>
            <w:tcBorders>
              <w:bottom w:val="single" w:sz="4" w:space="0" w:color="3D7FE0" w:themeColor="accent1"/>
            </w:tcBorders>
            <w:shd w:val="clear" w:color="auto" w:fill="auto"/>
          </w:tcPr>
          <w:p w14:paraId="62BACD3F"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EPRA NTA at 31 Dec</w:t>
            </w:r>
            <w:r>
              <w:rPr>
                <w:rFonts w:ascii="IBM Plex Sans Light" w:hAnsi="IBM Plex Sans Light"/>
                <w:sz w:val="18"/>
                <w:szCs w:val="18"/>
              </w:rPr>
              <w:t>ember</w:t>
            </w:r>
          </w:p>
        </w:tc>
        <w:tc>
          <w:tcPr>
            <w:tcW w:w="425" w:type="dxa"/>
            <w:tcBorders>
              <w:bottom w:val="single" w:sz="4" w:space="0" w:color="3D7FE0" w:themeColor="accent1"/>
            </w:tcBorders>
            <w:shd w:val="clear" w:color="auto" w:fill="auto"/>
            <w:vAlign w:val="bottom"/>
          </w:tcPr>
          <w:p w14:paraId="3360D662" w14:textId="77777777" w:rsidR="006B43AF" w:rsidRPr="005907D3" w:rsidRDefault="006B43AF" w:rsidP="004203CD">
            <w:pPr>
              <w:pStyle w:val="TableFiguresBracketsBold"/>
              <w:jc w:val="center"/>
              <w:rPr>
                <w:rFonts w:ascii="IBM Plex Sans Light" w:hAnsi="IBM Plex Sans Light"/>
                <w:color w:val="auto"/>
                <w:spacing w:val="-4"/>
                <w:sz w:val="18"/>
                <w:szCs w:val="18"/>
              </w:rPr>
            </w:pPr>
          </w:p>
        </w:tc>
        <w:tc>
          <w:tcPr>
            <w:tcW w:w="848" w:type="dxa"/>
            <w:tcBorders>
              <w:bottom w:val="single" w:sz="4" w:space="0" w:color="3D7FE0" w:themeColor="accent1"/>
            </w:tcBorders>
            <w:shd w:val="clear" w:color="auto" w:fill="auto"/>
            <w:vAlign w:val="bottom"/>
          </w:tcPr>
          <w:p w14:paraId="250D480B" w14:textId="50068D42"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2,542.</w:t>
            </w:r>
            <w:r w:rsidR="007F605B">
              <w:rPr>
                <w:rFonts w:ascii="IBM Plex Sans Medium" w:eastAsia="Times New Roman" w:hAnsi="IBM Plex Sans Medium" w:cs="Times New Roman"/>
                <w:b/>
                <w:bCs/>
                <w:color w:val="3D7FE0" w:themeColor="accent1"/>
                <w:spacing w:val="-4"/>
                <w:sz w:val="18"/>
                <w:szCs w:val="18"/>
              </w:rPr>
              <w:t>0</w:t>
            </w:r>
          </w:p>
        </w:tc>
        <w:tc>
          <w:tcPr>
            <w:tcW w:w="993" w:type="dxa"/>
            <w:tcBorders>
              <w:bottom w:val="single" w:sz="4" w:space="0" w:color="3D7FE0" w:themeColor="accent1"/>
            </w:tcBorders>
            <w:shd w:val="clear" w:color="auto" w:fill="auto"/>
            <w:vAlign w:val="bottom"/>
          </w:tcPr>
          <w:p w14:paraId="09918AB1"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50.8</w:t>
            </w:r>
          </w:p>
        </w:tc>
        <w:tc>
          <w:tcPr>
            <w:tcW w:w="992" w:type="dxa"/>
            <w:tcBorders>
              <w:bottom w:val="single" w:sz="4" w:space="0" w:color="3D7FE0" w:themeColor="accent1"/>
            </w:tcBorders>
            <w:shd w:val="clear" w:color="auto" w:fill="auto"/>
            <w:vAlign w:val="bottom"/>
          </w:tcPr>
          <w:p w14:paraId="2F8260B9"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2,633.7</w:t>
            </w:r>
          </w:p>
        </w:tc>
        <w:tc>
          <w:tcPr>
            <w:tcW w:w="1135" w:type="dxa"/>
            <w:tcBorders>
              <w:bottom w:val="single" w:sz="4" w:space="0" w:color="3D7FE0" w:themeColor="accent1"/>
            </w:tcBorders>
            <w:shd w:val="clear" w:color="auto" w:fill="auto"/>
            <w:vAlign w:val="bottom"/>
          </w:tcPr>
          <w:p w14:paraId="37C56A6E"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52.7</w:t>
            </w:r>
          </w:p>
        </w:tc>
      </w:tr>
      <w:tr w:rsidR="006B43AF" w:rsidRPr="005907D3" w14:paraId="225BDB98" w14:textId="77777777" w:rsidTr="004203CD">
        <w:trPr>
          <w:trHeight w:val="20"/>
        </w:trPr>
        <w:tc>
          <w:tcPr>
            <w:tcW w:w="5529" w:type="dxa"/>
            <w:tcBorders>
              <w:top w:val="single" w:sz="4" w:space="0" w:color="3D7FE0" w:themeColor="accent1"/>
            </w:tcBorders>
            <w:shd w:val="clear" w:color="auto" w:fill="auto"/>
          </w:tcPr>
          <w:p w14:paraId="6E1E2BDE"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Movement in NTA</w:t>
            </w:r>
          </w:p>
        </w:tc>
        <w:tc>
          <w:tcPr>
            <w:tcW w:w="425" w:type="dxa"/>
            <w:tcBorders>
              <w:top w:val="single" w:sz="4" w:space="0" w:color="3D7FE0" w:themeColor="accent1"/>
            </w:tcBorders>
            <w:shd w:val="clear" w:color="auto" w:fill="auto"/>
            <w:vAlign w:val="bottom"/>
          </w:tcPr>
          <w:p w14:paraId="1685D385" w14:textId="77777777" w:rsidR="006B43AF" w:rsidRPr="005907D3" w:rsidRDefault="006B43AF" w:rsidP="004203CD">
            <w:pPr>
              <w:pStyle w:val="TableFiguresBracketsBold"/>
              <w:jc w:val="center"/>
              <w:rPr>
                <w:rFonts w:ascii="IBM Plex Sans Light" w:hAnsi="IBM Plex Sans Light"/>
                <w:color w:val="auto"/>
                <w:spacing w:val="-4"/>
                <w:sz w:val="18"/>
                <w:szCs w:val="18"/>
              </w:rPr>
            </w:pPr>
          </w:p>
        </w:tc>
        <w:tc>
          <w:tcPr>
            <w:tcW w:w="848" w:type="dxa"/>
            <w:tcBorders>
              <w:top w:val="single" w:sz="4" w:space="0" w:color="3D7FE0" w:themeColor="accent1"/>
            </w:tcBorders>
            <w:shd w:val="clear" w:color="auto" w:fill="auto"/>
            <w:vAlign w:val="bottom"/>
          </w:tcPr>
          <w:p w14:paraId="27105023" w14:textId="3307C716" w:rsidR="006B43AF" w:rsidRPr="0026627B" w:rsidRDefault="006B43AF" w:rsidP="0026627B">
            <w:pPr>
              <w:pStyle w:val="TablesTFigureBrackets"/>
              <w:spacing w:line="240" w:lineRule="auto"/>
              <w:rPr>
                <w:rFonts w:ascii="IBM Plex Sans Medium" w:hAnsi="IBM Plex Sans Medium"/>
                <w:b/>
                <w:color w:val="3D7FE0" w:themeColor="accent1"/>
                <w:sz w:val="18"/>
                <w:szCs w:val="18"/>
              </w:rPr>
            </w:pPr>
            <w:r w:rsidRPr="0026627B">
              <w:rPr>
                <w:rFonts w:ascii="IBM Plex Sans Medium" w:hAnsi="IBM Plex Sans Medium"/>
                <w:b/>
                <w:color w:val="3D7FE0" w:themeColor="accent1"/>
                <w:sz w:val="18"/>
                <w:szCs w:val="18"/>
              </w:rPr>
              <w:t>(91.</w:t>
            </w:r>
            <w:r w:rsidR="007F605B" w:rsidRPr="0026627B">
              <w:rPr>
                <w:rFonts w:ascii="IBM Plex Sans Medium" w:hAnsi="IBM Plex Sans Medium"/>
                <w:b/>
                <w:color w:val="3D7FE0" w:themeColor="accent1"/>
                <w:sz w:val="18"/>
                <w:szCs w:val="18"/>
              </w:rPr>
              <w:t>7</w:t>
            </w:r>
            <w:r w:rsidRPr="0026627B">
              <w:rPr>
                <w:rFonts w:ascii="IBM Plex Sans Medium" w:hAnsi="IBM Plex Sans Medium"/>
                <w:b/>
                <w:color w:val="3D7FE0" w:themeColor="accent1"/>
                <w:sz w:val="18"/>
                <w:szCs w:val="18"/>
              </w:rPr>
              <w:t>)</w:t>
            </w:r>
          </w:p>
        </w:tc>
        <w:tc>
          <w:tcPr>
            <w:tcW w:w="993" w:type="dxa"/>
            <w:tcBorders>
              <w:top w:val="single" w:sz="4" w:space="0" w:color="3D7FE0" w:themeColor="accent1"/>
            </w:tcBorders>
            <w:shd w:val="clear" w:color="auto" w:fill="auto"/>
            <w:vAlign w:val="bottom"/>
          </w:tcPr>
          <w:p w14:paraId="37DF18BF" w14:textId="738FBA27" w:rsidR="006B43AF" w:rsidRPr="0026627B" w:rsidRDefault="006B43AF" w:rsidP="0026627B">
            <w:pPr>
              <w:pStyle w:val="TablesTFigureBrackets"/>
              <w:spacing w:line="240" w:lineRule="auto"/>
              <w:rPr>
                <w:rFonts w:ascii="IBM Plex Sans Medium" w:hAnsi="IBM Plex Sans Medium"/>
                <w:b/>
                <w:color w:val="3D7FE0" w:themeColor="accent1"/>
                <w:sz w:val="18"/>
                <w:szCs w:val="18"/>
              </w:rPr>
            </w:pPr>
            <w:r w:rsidRPr="0026627B">
              <w:rPr>
                <w:rFonts w:ascii="IBM Plex Sans Medium" w:hAnsi="IBM Plex Sans Medium"/>
                <w:b/>
                <w:color w:val="3D7FE0" w:themeColor="accent1"/>
                <w:sz w:val="18"/>
                <w:szCs w:val="18"/>
              </w:rPr>
              <w:t>(1.</w:t>
            </w:r>
            <w:r w:rsidR="0026627B" w:rsidRPr="0026627B">
              <w:rPr>
                <w:rFonts w:ascii="IBM Plex Sans Medium" w:hAnsi="IBM Plex Sans Medium"/>
                <w:b/>
                <w:color w:val="3D7FE0" w:themeColor="accent1"/>
                <w:sz w:val="18"/>
                <w:szCs w:val="18"/>
              </w:rPr>
              <w:t>9</w:t>
            </w:r>
            <w:r w:rsidRPr="0026627B">
              <w:rPr>
                <w:rFonts w:ascii="IBM Plex Sans Medium" w:hAnsi="IBM Plex Sans Medium"/>
                <w:b/>
                <w:color w:val="3D7FE0" w:themeColor="accent1"/>
                <w:sz w:val="18"/>
                <w:szCs w:val="18"/>
              </w:rPr>
              <w:t>)</w:t>
            </w:r>
          </w:p>
        </w:tc>
        <w:tc>
          <w:tcPr>
            <w:tcW w:w="992" w:type="dxa"/>
            <w:tcBorders>
              <w:top w:val="single" w:sz="4" w:space="0" w:color="3D7FE0" w:themeColor="accent1"/>
            </w:tcBorders>
            <w:shd w:val="clear" w:color="auto" w:fill="auto"/>
            <w:vAlign w:val="bottom"/>
          </w:tcPr>
          <w:p w14:paraId="04C51C8D" w14:textId="77777777" w:rsidR="006B43AF" w:rsidRPr="005907D3" w:rsidRDefault="006B43AF" w:rsidP="0026627B">
            <w:pPr>
              <w:pStyle w:val="TablesTFigureBrackets"/>
              <w:spacing w:line="240" w:lineRule="exact"/>
              <w:rPr>
                <w:rFonts w:ascii="IBM Plex Sans Light" w:hAnsi="IBM Plex Sans Light"/>
                <w:sz w:val="18"/>
                <w:szCs w:val="18"/>
              </w:rPr>
            </w:pPr>
            <w:r w:rsidRPr="007A435A">
              <w:rPr>
                <w:rFonts w:ascii="IBM Plex Sans Light" w:hAnsi="IBM Plex Sans Light"/>
                <w:sz w:val="18"/>
                <w:szCs w:val="18"/>
              </w:rPr>
              <w:t>(206.4)</w:t>
            </w:r>
          </w:p>
        </w:tc>
        <w:tc>
          <w:tcPr>
            <w:tcW w:w="1135" w:type="dxa"/>
            <w:tcBorders>
              <w:top w:val="single" w:sz="4" w:space="0" w:color="3D7FE0" w:themeColor="accent1"/>
            </w:tcBorders>
            <w:shd w:val="clear" w:color="auto" w:fill="auto"/>
            <w:vAlign w:val="bottom"/>
          </w:tcPr>
          <w:p w14:paraId="18E4F370" w14:textId="77777777" w:rsidR="006B43AF" w:rsidRPr="005907D3" w:rsidRDefault="006B43AF" w:rsidP="0026627B">
            <w:pPr>
              <w:pStyle w:val="TablesTFigureBrackets"/>
              <w:spacing w:line="240" w:lineRule="exact"/>
              <w:rPr>
                <w:rFonts w:ascii="IBM Plex Sans Light" w:hAnsi="IBM Plex Sans Light"/>
                <w:sz w:val="18"/>
                <w:szCs w:val="18"/>
              </w:rPr>
            </w:pPr>
            <w:r w:rsidRPr="007A435A">
              <w:rPr>
                <w:rFonts w:ascii="IBM Plex Sans Light" w:hAnsi="IBM Plex Sans Light"/>
                <w:sz w:val="18"/>
                <w:szCs w:val="18"/>
              </w:rPr>
              <w:t>(4.1)</w:t>
            </w:r>
          </w:p>
        </w:tc>
      </w:tr>
      <w:tr w:rsidR="006B43AF" w:rsidRPr="005907D3" w14:paraId="6845BAED" w14:textId="77777777" w:rsidTr="004203CD">
        <w:trPr>
          <w:trHeight w:val="20"/>
        </w:trPr>
        <w:tc>
          <w:tcPr>
            <w:tcW w:w="5529" w:type="dxa"/>
            <w:shd w:val="clear" w:color="auto" w:fill="auto"/>
          </w:tcPr>
          <w:p w14:paraId="390409C5" w14:textId="77777777" w:rsidR="006B43AF" w:rsidRPr="005907D3" w:rsidRDefault="006B43AF" w:rsidP="004203CD">
            <w:pPr>
              <w:pStyle w:val="TablesTFigureBrackets"/>
              <w:spacing w:line="240" w:lineRule="exact"/>
              <w:jc w:val="left"/>
              <w:rPr>
                <w:rFonts w:ascii="IBM Plex Sans Light" w:hAnsi="IBM Plex Sans Light"/>
                <w:sz w:val="18"/>
                <w:szCs w:val="18"/>
              </w:rPr>
            </w:pPr>
            <w:r w:rsidRPr="005907D3">
              <w:rPr>
                <w:rFonts w:ascii="IBM Plex Sans Light" w:hAnsi="IBM Plex Sans Light"/>
                <w:sz w:val="18"/>
                <w:szCs w:val="18"/>
              </w:rPr>
              <w:t>Cash dividends in the year</w:t>
            </w:r>
          </w:p>
        </w:tc>
        <w:tc>
          <w:tcPr>
            <w:tcW w:w="425" w:type="dxa"/>
            <w:shd w:val="clear" w:color="auto" w:fill="auto"/>
            <w:vAlign w:val="bottom"/>
          </w:tcPr>
          <w:p w14:paraId="6AF7A334" w14:textId="77777777" w:rsidR="006B43AF" w:rsidRPr="005907D3" w:rsidRDefault="006B43AF" w:rsidP="004203CD">
            <w:pPr>
              <w:pStyle w:val="TableFiguresBold"/>
              <w:jc w:val="center"/>
              <w:rPr>
                <w:rFonts w:ascii="IBM Plex Sans Light" w:hAnsi="IBM Plex Sans Light"/>
                <w:color w:val="auto"/>
                <w:spacing w:val="-4"/>
                <w:sz w:val="18"/>
                <w:szCs w:val="18"/>
              </w:rPr>
            </w:pPr>
          </w:p>
        </w:tc>
        <w:tc>
          <w:tcPr>
            <w:tcW w:w="848" w:type="dxa"/>
            <w:shd w:val="clear" w:color="auto" w:fill="auto"/>
            <w:vAlign w:val="bottom"/>
          </w:tcPr>
          <w:p w14:paraId="393CFD86"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35.9</w:t>
            </w:r>
          </w:p>
        </w:tc>
        <w:tc>
          <w:tcPr>
            <w:tcW w:w="993" w:type="dxa"/>
            <w:shd w:val="clear" w:color="auto" w:fill="auto"/>
            <w:vAlign w:val="bottom"/>
          </w:tcPr>
          <w:p w14:paraId="73D6CC6D" w14:textId="77777777" w:rsidR="006B43AF" w:rsidRPr="007A435A"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r w:rsidRPr="007A435A">
              <w:rPr>
                <w:rFonts w:ascii="IBM Plex Sans Medium" w:eastAsia="Times New Roman" w:hAnsi="IBM Plex Sans Medium" w:cs="Times New Roman"/>
                <w:b/>
                <w:bCs/>
                <w:color w:val="3D7FE0" w:themeColor="accent1"/>
                <w:spacing w:val="-4"/>
                <w:sz w:val="18"/>
                <w:szCs w:val="18"/>
              </w:rPr>
              <w:t>0.7</w:t>
            </w:r>
          </w:p>
        </w:tc>
        <w:tc>
          <w:tcPr>
            <w:tcW w:w="992" w:type="dxa"/>
            <w:shd w:val="clear" w:color="auto" w:fill="auto"/>
            <w:vAlign w:val="bottom"/>
          </w:tcPr>
          <w:p w14:paraId="126D6E22"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13.2</w:t>
            </w:r>
          </w:p>
        </w:tc>
        <w:tc>
          <w:tcPr>
            <w:tcW w:w="1135" w:type="dxa"/>
            <w:shd w:val="clear" w:color="auto" w:fill="auto"/>
            <w:vAlign w:val="bottom"/>
          </w:tcPr>
          <w:p w14:paraId="0B26BDA3" w14:textId="77777777" w:rsidR="006B43AF" w:rsidRPr="007A435A" w:rsidRDefault="006B43AF" w:rsidP="004203CD">
            <w:pPr>
              <w:pStyle w:val="TablesTFigures"/>
              <w:spacing w:line="240" w:lineRule="exact"/>
              <w:rPr>
                <w:rFonts w:ascii="IBM Plex Sans Light" w:hAnsi="IBM Plex Sans Light"/>
                <w:sz w:val="18"/>
                <w:szCs w:val="18"/>
              </w:rPr>
            </w:pPr>
            <w:r w:rsidRPr="007A435A">
              <w:rPr>
                <w:rFonts w:ascii="IBM Plex Sans Light" w:hAnsi="IBM Plex Sans Light"/>
                <w:sz w:val="18"/>
                <w:szCs w:val="18"/>
              </w:rPr>
              <w:t>0.3</w:t>
            </w:r>
          </w:p>
        </w:tc>
      </w:tr>
      <w:tr w:rsidR="006B43AF" w:rsidRPr="005907D3" w14:paraId="5F574613" w14:textId="77777777" w:rsidTr="004203CD">
        <w:trPr>
          <w:trHeight w:val="227"/>
        </w:trPr>
        <w:tc>
          <w:tcPr>
            <w:tcW w:w="5529" w:type="dxa"/>
            <w:tcBorders>
              <w:top w:val="single" w:sz="2" w:space="0" w:color="3D7FE0" w:themeColor="accent1"/>
              <w:bottom w:val="single" w:sz="2" w:space="0" w:color="3D7FE0" w:themeColor="accent1"/>
            </w:tcBorders>
            <w:shd w:val="clear" w:color="auto" w:fill="auto"/>
            <w:vAlign w:val="bottom"/>
          </w:tcPr>
          <w:p w14:paraId="56211673" w14:textId="77777777" w:rsidR="006B43AF" w:rsidRPr="005907D3" w:rsidRDefault="006B43AF" w:rsidP="004203CD">
            <w:pPr>
              <w:pStyle w:val="TablesTText"/>
              <w:rPr>
                <w:rFonts w:ascii="IBM Plex Sans Light" w:hAnsi="IBM Plex Sans Light"/>
                <w:sz w:val="18"/>
                <w:szCs w:val="18"/>
              </w:rPr>
            </w:pPr>
          </w:p>
        </w:tc>
        <w:tc>
          <w:tcPr>
            <w:tcW w:w="425" w:type="dxa"/>
            <w:tcBorders>
              <w:top w:val="single" w:sz="2" w:space="0" w:color="3D7FE0" w:themeColor="accent1"/>
              <w:bottom w:val="single" w:sz="2" w:space="0" w:color="3D7FE0" w:themeColor="accent1"/>
            </w:tcBorders>
            <w:shd w:val="clear" w:color="auto" w:fill="auto"/>
            <w:vAlign w:val="bottom"/>
          </w:tcPr>
          <w:p w14:paraId="4E671963" w14:textId="77777777" w:rsidR="006B43AF" w:rsidRPr="005907D3" w:rsidRDefault="006B43AF" w:rsidP="004203CD">
            <w:pPr>
              <w:pStyle w:val="TableFiguresBracketsBold"/>
              <w:jc w:val="center"/>
              <w:rPr>
                <w:rFonts w:ascii="IBM Plex Sans Light" w:hAnsi="IBM Plex Sans Light"/>
                <w:color w:val="auto"/>
                <w:spacing w:val="-4"/>
                <w:sz w:val="18"/>
                <w:szCs w:val="18"/>
              </w:rPr>
            </w:pPr>
            <w:r w:rsidRPr="005907D3">
              <w:rPr>
                <w:rFonts w:ascii="IBM Plex Sans Light" w:hAnsi="IBM Plex Sans Light"/>
                <w:color w:val="auto"/>
                <w:spacing w:val="-4"/>
                <w:sz w:val="18"/>
                <w:szCs w:val="18"/>
              </w:rPr>
              <w:t>B</w:t>
            </w:r>
          </w:p>
        </w:tc>
        <w:tc>
          <w:tcPr>
            <w:tcW w:w="848" w:type="dxa"/>
            <w:tcBorders>
              <w:top w:val="single" w:sz="2" w:space="0" w:color="3D7FE0" w:themeColor="accent1"/>
              <w:bottom w:val="single" w:sz="2" w:space="0" w:color="3D7FE0" w:themeColor="accent1"/>
            </w:tcBorders>
            <w:shd w:val="clear" w:color="auto" w:fill="auto"/>
            <w:vAlign w:val="bottom"/>
          </w:tcPr>
          <w:p w14:paraId="6445BC1C" w14:textId="1D5D8F40" w:rsidR="006B43AF" w:rsidRPr="003E46CC" w:rsidRDefault="006B43AF" w:rsidP="003E46CC">
            <w:pPr>
              <w:pStyle w:val="TablesTFigureBrackets"/>
              <w:spacing w:line="240" w:lineRule="auto"/>
              <w:rPr>
                <w:rFonts w:ascii="IBM Plex Sans Medium" w:hAnsi="IBM Plex Sans Medium"/>
                <w:b/>
                <w:color w:val="3D7FE0" w:themeColor="accent1"/>
                <w:sz w:val="18"/>
                <w:szCs w:val="18"/>
              </w:rPr>
            </w:pPr>
            <w:r w:rsidRPr="003E46CC">
              <w:rPr>
                <w:rFonts w:ascii="IBM Plex Sans Medium" w:hAnsi="IBM Plex Sans Medium"/>
                <w:b/>
                <w:color w:val="3D7FE0" w:themeColor="accent1"/>
                <w:sz w:val="18"/>
                <w:szCs w:val="18"/>
              </w:rPr>
              <w:t>(55.</w:t>
            </w:r>
            <w:r w:rsidR="007F605B" w:rsidRPr="003E46CC">
              <w:rPr>
                <w:rFonts w:ascii="IBM Plex Sans Medium" w:hAnsi="IBM Plex Sans Medium"/>
                <w:b/>
                <w:color w:val="3D7FE0" w:themeColor="accent1"/>
                <w:sz w:val="18"/>
                <w:szCs w:val="18"/>
              </w:rPr>
              <w:t>8</w:t>
            </w:r>
            <w:r w:rsidRPr="003E46CC">
              <w:rPr>
                <w:rFonts w:ascii="IBM Plex Sans Medium" w:hAnsi="IBM Plex Sans Medium"/>
                <w:b/>
                <w:color w:val="3D7FE0" w:themeColor="accent1"/>
                <w:sz w:val="18"/>
                <w:szCs w:val="18"/>
              </w:rPr>
              <w:t>)</w:t>
            </w:r>
          </w:p>
        </w:tc>
        <w:tc>
          <w:tcPr>
            <w:tcW w:w="993" w:type="dxa"/>
            <w:tcBorders>
              <w:top w:val="single" w:sz="2" w:space="0" w:color="3D7FE0" w:themeColor="accent1"/>
              <w:bottom w:val="single" w:sz="2" w:space="0" w:color="3D7FE0" w:themeColor="accent1"/>
            </w:tcBorders>
            <w:shd w:val="clear" w:color="auto" w:fill="auto"/>
            <w:vAlign w:val="bottom"/>
          </w:tcPr>
          <w:p w14:paraId="624E7382" w14:textId="59292789" w:rsidR="006B43AF" w:rsidRPr="0026627B" w:rsidRDefault="006B43AF" w:rsidP="0026627B">
            <w:pPr>
              <w:pStyle w:val="TablesTFigureBrackets"/>
              <w:spacing w:line="240" w:lineRule="auto"/>
              <w:rPr>
                <w:rFonts w:ascii="IBM Plex Sans Medium" w:hAnsi="IBM Plex Sans Medium"/>
                <w:b/>
                <w:color w:val="3D7FE0" w:themeColor="accent1"/>
                <w:sz w:val="18"/>
                <w:szCs w:val="18"/>
              </w:rPr>
            </w:pPr>
            <w:r w:rsidRPr="0026627B">
              <w:rPr>
                <w:rFonts w:ascii="IBM Plex Sans Medium" w:hAnsi="IBM Plex Sans Medium"/>
                <w:b/>
                <w:color w:val="3D7FE0" w:themeColor="accent1"/>
                <w:sz w:val="18"/>
                <w:szCs w:val="18"/>
              </w:rPr>
              <w:t>(1.</w:t>
            </w:r>
            <w:r w:rsidR="0026627B" w:rsidRPr="0026627B">
              <w:rPr>
                <w:rFonts w:ascii="IBM Plex Sans Medium" w:hAnsi="IBM Plex Sans Medium"/>
                <w:b/>
                <w:color w:val="3D7FE0" w:themeColor="accent1"/>
                <w:sz w:val="18"/>
                <w:szCs w:val="18"/>
              </w:rPr>
              <w:t>2</w:t>
            </w:r>
            <w:r w:rsidRPr="0026627B">
              <w:rPr>
                <w:rFonts w:ascii="IBM Plex Sans Medium" w:hAnsi="IBM Plex Sans Medium"/>
                <w:b/>
                <w:color w:val="3D7FE0" w:themeColor="accent1"/>
                <w:sz w:val="18"/>
                <w:szCs w:val="18"/>
              </w:rPr>
              <w:t>)</w:t>
            </w:r>
          </w:p>
        </w:tc>
        <w:tc>
          <w:tcPr>
            <w:tcW w:w="992" w:type="dxa"/>
            <w:tcBorders>
              <w:top w:val="single" w:sz="2" w:space="0" w:color="3D7FE0" w:themeColor="accent1"/>
              <w:bottom w:val="single" w:sz="2" w:space="0" w:color="3D7FE0" w:themeColor="accent1"/>
            </w:tcBorders>
            <w:shd w:val="clear" w:color="auto" w:fill="auto"/>
            <w:vAlign w:val="bottom"/>
          </w:tcPr>
          <w:p w14:paraId="76B22D4C" w14:textId="77777777" w:rsidR="006B43AF" w:rsidRPr="005907D3" w:rsidRDefault="006B43AF" w:rsidP="0026627B">
            <w:pPr>
              <w:pStyle w:val="TablesTFigureBrackets"/>
              <w:spacing w:line="240" w:lineRule="exact"/>
              <w:rPr>
                <w:rFonts w:ascii="IBM Plex Sans Light" w:hAnsi="IBM Plex Sans Light"/>
                <w:sz w:val="18"/>
                <w:szCs w:val="18"/>
              </w:rPr>
            </w:pPr>
            <w:r w:rsidRPr="007A435A">
              <w:rPr>
                <w:rFonts w:ascii="IBM Plex Sans Light" w:hAnsi="IBM Plex Sans Light"/>
                <w:sz w:val="18"/>
                <w:szCs w:val="18"/>
              </w:rPr>
              <w:t>(193.2)</w:t>
            </w:r>
          </w:p>
        </w:tc>
        <w:tc>
          <w:tcPr>
            <w:tcW w:w="1135" w:type="dxa"/>
            <w:tcBorders>
              <w:top w:val="single" w:sz="2" w:space="0" w:color="3D7FE0" w:themeColor="accent1"/>
              <w:bottom w:val="single" w:sz="2" w:space="0" w:color="3D7FE0" w:themeColor="accent1"/>
            </w:tcBorders>
            <w:shd w:val="clear" w:color="auto" w:fill="auto"/>
            <w:vAlign w:val="bottom"/>
          </w:tcPr>
          <w:p w14:paraId="2C80AC1B" w14:textId="77777777" w:rsidR="006B43AF" w:rsidRPr="005907D3" w:rsidRDefault="006B43AF" w:rsidP="0026627B">
            <w:pPr>
              <w:pStyle w:val="TablesTFigureBrackets"/>
              <w:spacing w:line="240" w:lineRule="exact"/>
              <w:rPr>
                <w:rFonts w:ascii="IBM Plex Sans Light" w:hAnsi="IBM Plex Sans Light"/>
                <w:sz w:val="18"/>
                <w:szCs w:val="18"/>
              </w:rPr>
            </w:pPr>
            <w:r w:rsidRPr="007A435A">
              <w:rPr>
                <w:rFonts w:ascii="IBM Plex Sans Light" w:hAnsi="IBM Plex Sans Light"/>
                <w:sz w:val="18"/>
                <w:szCs w:val="18"/>
              </w:rPr>
              <w:t>(3.8)</w:t>
            </w:r>
          </w:p>
        </w:tc>
      </w:tr>
      <w:tr w:rsidR="006B43AF" w:rsidRPr="005907D3" w14:paraId="13FB4037" w14:textId="77777777" w:rsidTr="004203CD">
        <w:trPr>
          <w:trHeight w:val="227"/>
        </w:trPr>
        <w:tc>
          <w:tcPr>
            <w:tcW w:w="5529" w:type="dxa"/>
            <w:tcBorders>
              <w:top w:val="single" w:sz="2" w:space="0" w:color="3D7FE0" w:themeColor="accent1"/>
            </w:tcBorders>
            <w:shd w:val="clear" w:color="auto" w:fill="auto"/>
            <w:vAlign w:val="bottom"/>
          </w:tcPr>
          <w:p w14:paraId="32281E92" w14:textId="77777777" w:rsidR="006B43AF" w:rsidRPr="005907D3" w:rsidRDefault="006B43AF" w:rsidP="004203CD">
            <w:pPr>
              <w:pStyle w:val="TablesTText"/>
              <w:rPr>
                <w:rFonts w:ascii="IBM Plex Sans Light" w:hAnsi="IBM Plex Sans Light"/>
                <w:sz w:val="18"/>
                <w:szCs w:val="18"/>
              </w:rPr>
            </w:pPr>
          </w:p>
        </w:tc>
        <w:tc>
          <w:tcPr>
            <w:tcW w:w="425" w:type="dxa"/>
            <w:tcBorders>
              <w:top w:val="single" w:sz="2" w:space="0" w:color="3D7FE0" w:themeColor="accent1"/>
            </w:tcBorders>
            <w:shd w:val="clear" w:color="auto" w:fill="auto"/>
            <w:vAlign w:val="bottom"/>
          </w:tcPr>
          <w:p w14:paraId="48298E72" w14:textId="77777777" w:rsidR="006B43AF" w:rsidRPr="005907D3" w:rsidRDefault="006B43AF" w:rsidP="004203CD">
            <w:pPr>
              <w:pStyle w:val="TableFiguresBracketsBold"/>
              <w:jc w:val="center"/>
              <w:rPr>
                <w:rFonts w:ascii="IBM Plex Sans Light" w:hAnsi="IBM Plex Sans Light"/>
                <w:color w:val="auto"/>
                <w:spacing w:val="-4"/>
                <w:sz w:val="18"/>
                <w:szCs w:val="18"/>
              </w:rPr>
            </w:pPr>
          </w:p>
        </w:tc>
        <w:tc>
          <w:tcPr>
            <w:tcW w:w="848" w:type="dxa"/>
            <w:tcBorders>
              <w:top w:val="single" w:sz="2" w:space="0" w:color="3D7FE0" w:themeColor="accent1"/>
            </w:tcBorders>
            <w:shd w:val="clear" w:color="auto" w:fill="auto"/>
          </w:tcPr>
          <w:p w14:paraId="7D4A8939" w14:textId="77777777" w:rsidR="006B43AF" w:rsidRPr="00C954F1" w:rsidRDefault="006B43AF" w:rsidP="004203CD">
            <w:pPr>
              <w:pStyle w:val="TablesTFigures"/>
              <w:spacing w:line="240" w:lineRule="exact"/>
              <w:rPr>
                <w:rFonts w:ascii="IBM Plex Sans Medium" w:hAnsi="IBM Plex Sans Medium"/>
                <w:b/>
                <w:bCs/>
                <w:color w:val="3D7FE0" w:themeColor="accent1"/>
                <w:sz w:val="18"/>
                <w:szCs w:val="24"/>
              </w:rPr>
            </w:pPr>
          </w:p>
        </w:tc>
        <w:tc>
          <w:tcPr>
            <w:tcW w:w="993" w:type="dxa"/>
            <w:tcBorders>
              <w:top w:val="single" w:sz="2" w:space="0" w:color="3D7FE0" w:themeColor="accent1"/>
            </w:tcBorders>
            <w:shd w:val="clear" w:color="auto" w:fill="auto"/>
          </w:tcPr>
          <w:p w14:paraId="2F7F396F" w14:textId="77777777" w:rsidR="006B43AF" w:rsidRPr="00C954F1" w:rsidRDefault="006B43AF" w:rsidP="004203CD">
            <w:pPr>
              <w:pStyle w:val="TablesTFigures"/>
              <w:spacing w:line="240" w:lineRule="exact"/>
              <w:rPr>
                <w:rFonts w:ascii="IBM Plex Sans Medium" w:hAnsi="IBM Plex Sans Medium"/>
                <w:b/>
                <w:bCs/>
                <w:color w:val="3D7FE0" w:themeColor="accent1"/>
                <w:sz w:val="18"/>
                <w:szCs w:val="24"/>
              </w:rPr>
            </w:pPr>
          </w:p>
        </w:tc>
        <w:tc>
          <w:tcPr>
            <w:tcW w:w="992" w:type="dxa"/>
            <w:tcBorders>
              <w:top w:val="single" w:sz="2" w:space="0" w:color="3D7FE0" w:themeColor="accent1"/>
            </w:tcBorders>
            <w:shd w:val="clear" w:color="auto" w:fill="auto"/>
            <w:vAlign w:val="bottom"/>
          </w:tcPr>
          <w:p w14:paraId="3ECB1631" w14:textId="77777777" w:rsidR="006B43AF" w:rsidRPr="005907D3" w:rsidRDefault="006B43AF" w:rsidP="004203CD">
            <w:pPr>
              <w:pStyle w:val="TablesTFigureBrackets"/>
              <w:spacing w:line="240" w:lineRule="exact"/>
              <w:rPr>
                <w:rFonts w:ascii="IBM Plex Sans Light" w:hAnsi="IBM Plex Sans Light"/>
                <w:sz w:val="18"/>
                <w:szCs w:val="24"/>
              </w:rPr>
            </w:pPr>
          </w:p>
        </w:tc>
        <w:tc>
          <w:tcPr>
            <w:tcW w:w="1135" w:type="dxa"/>
            <w:tcBorders>
              <w:top w:val="single" w:sz="2" w:space="0" w:color="3D7FE0" w:themeColor="accent1"/>
            </w:tcBorders>
            <w:shd w:val="clear" w:color="auto" w:fill="auto"/>
            <w:vAlign w:val="bottom"/>
          </w:tcPr>
          <w:p w14:paraId="101F187D" w14:textId="77777777" w:rsidR="006B43AF" w:rsidRPr="005907D3" w:rsidRDefault="006B43AF" w:rsidP="004203CD">
            <w:pPr>
              <w:pStyle w:val="TablesTFigureBrackets"/>
              <w:spacing w:line="240" w:lineRule="exact"/>
              <w:rPr>
                <w:rFonts w:ascii="IBM Plex Sans Light" w:hAnsi="IBM Plex Sans Light"/>
                <w:sz w:val="18"/>
                <w:szCs w:val="24"/>
              </w:rPr>
            </w:pPr>
          </w:p>
        </w:tc>
      </w:tr>
      <w:tr w:rsidR="006B43AF" w:rsidRPr="005907D3" w14:paraId="5A9BC57B" w14:textId="77777777" w:rsidTr="004203CD">
        <w:trPr>
          <w:trHeight w:val="227"/>
        </w:trPr>
        <w:tc>
          <w:tcPr>
            <w:tcW w:w="5529" w:type="dxa"/>
            <w:tcBorders>
              <w:bottom w:val="single" w:sz="8" w:space="0" w:color="3D7FE0" w:themeColor="accent1"/>
            </w:tcBorders>
            <w:shd w:val="clear" w:color="auto" w:fill="auto"/>
            <w:vAlign w:val="bottom"/>
          </w:tcPr>
          <w:p w14:paraId="28DB386D" w14:textId="77777777" w:rsidR="006B43AF" w:rsidRPr="00A04876" w:rsidRDefault="006B43AF" w:rsidP="004203CD">
            <w:pPr>
              <w:pStyle w:val="TablesTText"/>
              <w:rPr>
                <w:rFonts w:ascii="IBM Plex Sans Light" w:hAnsi="IBM Plex Sans Light"/>
                <w:b/>
                <w:bCs/>
                <w:sz w:val="18"/>
                <w:szCs w:val="18"/>
              </w:rPr>
            </w:pPr>
            <w:r w:rsidRPr="00A04876">
              <w:rPr>
                <w:rFonts w:ascii="IBM Plex Sans Light" w:hAnsi="IBM Plex Sans Light"/>
                <w:b/>
                <w:bCs/>
                <w:sz w:val="18"/>
                <w:szCs w:val="18"/>
              </w:rPr>
              <w:t>Total accounting return</w:t>
            </w:r>
          </w:p>
        </w:tc>
        <w:tc>
          <w:tcPr>
            <w:tcW w:w="425" w:type="dxa"/>
            <w:tcBorders>
              <w:bottom w:val="single" w:sz="8" w:space="0" w:color="3D7FE0" w:themeColor="accent1"/>
            </w:tcBorders>
            <w:shd w:val="clear" w:color="auto" w:fill="auto"/>
            <w:vAlign w:val="bottom"/>
          </w:tcPr>
          <w:p w14:paraId="7D107B25" w14:textId="77777777" w:rsidR="006B43AF" w:rsidRPr="005907D3" w:rsidRDefault="006B43AF" w:rsidP="004203CD">
            <w:pPr>
              <w:pStyle w:val="TableFiguresBracketsBold"/>
              <w:jc w:val="center"/>
              <w:rPr>
                <w:rFonts w:ascii="IBM Plex Sans Light" w:hAnsi="IBM Plex Sans Light"/>
                <w:color w:val="auto"/>
                <w:spacing w:val="-4"/>
                <w:sz w:val="18"/>
                <w:szCs w:val="18"/>
              </w:rPr>
            </w:pPr>
            <w:r w:rsidRPr="005907D3">
              <w:rPr>
                <w:rFonts w:ascii="IBM Plex Sans Light" w:hAnsi="IBM Plex Sans Light"/>
                <w:color w:val="auto"/>
                <w:spacing w:val="-4"/>
                <w:sz w:val="18"/>
                <w:szCs w:val="18"/>
              </w:rPr>
              <w:t>B/A</w:t>
            </w:r>
          </w:p>
        </w:tc>
        <w:tc>
          <w:tcPr>
            <w:tcW w:w="848" w:type="dxa"/>
            <w:tcBorders>
              <w:bottom w:val="single" w:sz="8" w:space="0" w:color="3D7FE0" w:themeColor="accent1"/>
            </w:tcBorders>
            <w:shd w:val="clear" w:color="auto" w:fill="auto"/>
          </w:tcPr>
          <w:p w14:paraId="7C513A91" w14:textId="77777777" w:rsidR="006B43AF" w:rsidRPr="00C954F1" w:rsidRDefault="006B43AF" w:rsidP="004203CD">
            <w:pPr>
              <w:pStyle w:val="TablesTFigures"/>
              <w:spacing w:line="240" w:lineRule="exact"/>
              <w:rPr>
                <w:rFonts w:ascii="IBM Plex Sans Medium" w:hAnsi="IBM Plex Sans Medium"/>
                <w:b/>
                <w:bCs/>
                <w:color w:val="3D7FE0" w:themeColor="accent1"/>
                <w:sz w:val="18"/>
                <w:szCs w:val="24"/>
              </w:rPr>
            </w:pPr>
          </w:p>
        </w:tc>
        <w:tc>
          <w:tcPr>
            <w:tcW w:w="993" w:type="dxa"/>
            <w:tcBorders>
              <w:bottom w:val="single" w:sz="8" w:space="0" w:color="3D7FE0" w:themeColor="accent1"/>
            </w:tcBorders>
            <w:shd w:val="clear" w:color="auto" w:fill="auto"/>
          </w:tcPr>
          <w:p w14:paraId="5340BDE4" w14:textId="77777777" w:rsidR="006B43AF" w:rsidRPr="00C954F1" w:rsidRDefault="006B43AF" w:rsidP="004203CD">
            <w:pPr>
              <w:pStyle w:val="TablesTFigures"/>
              <w:spacing w:line="240" w:lineRule="exact"/>
              <w:rPr>
                <w:rFonts w:ascii="IBM Plex Sans Medium" w:hAnsi="IBM Plex Sans Medium"/>
                <w:b/>
                <w:bCs/>
                <w:color w:val="3D7FE0" w:themeColor="accent1"/>
                <w:sz w:val="18"/>
                <w:szCs w:val="24"/>
              </w:rPr>
            </w:pPr>
            <w:r w:rsidRPr="00C954F1">
              <w:rPr>
                <w:rFonts w:ascii="IBM Plex Sans Medium" w:hAnsi="IBM Plex Sans Medium"/>
                <w:b/>
                <w:bCs/>
                <w:color w:val="3D7FE0" w:themeColor="accent1"/>
                <w:sz w:val="18"/>
                <w:szCs w:val="24"/>
              </w:rPr>
              <w:t>(</w:t>
            </w:r>
            <w:r>
              <w:rPr>
                <w:rFonts w:ascii="IBM Plex Sans Medium" w:hAnsi="IBM Plex Sans Medium"/>
                <w:b/>
                <w:bCs/>
                <w:color w:val="3D7FE0" w:themeColor="accent1"/>
                <w:sz w:val="18"/>
                <w:szCs w:val="24"/>
              </w:rPr>
              <w:t>2.1</w:t>
            </w:r>
            <w:r w:rsidRPr="00C954F1">
              <w:rPr>
                <w:rFonts w:ascii="IBM Plex Sans Medium" w:hAnsi="IBM Plex Sans Medium"/>
                <w:b/>
                <w:bCs/>
                <w:color w:val="3D7FE0" w:themeColor="accent1"/>
                <w:sz w:val="18"/>
                <w:szCs w:val="24"/>
              </w:rPr>
              <w:t>)%</w:t>
            </w:r>
          </w:p>
        </w:tc>
        <w:tc>
          <w:tcPr>
            <w:tcW w:w="992" w:type="dxa"/>
            <w:tcBorders>
              <w:bottom w:val="single" w:sz="8" w:space="0" w:color="3D7FE0" w:themeColor="accent1"/>
            </w:tcBorders>
            <w:shd w:val="clear" w:color="auto" w:fill="auto"/>
            <w:vAlign w:val="bottom"/>
          </w:tcPr>
          <w:p w14:paraId="75C1BF59" w14:textId="77777777" w:rsidR="006B43AF" w:rsidRPr="005907D3" w:rsidRDefault="006B43AF" w:rsidP="004203CD">
            <w:pPr>
              <w:pStyle w:val="TablesTFigureBrackets"/>
              <w:spacing w:line="240" w:lineRule="exact"/>
              <w:rPr>
                <w:rFonts w:ascii="IBM Plex Sans Light" w:hAnsi="IBM Plex Sans Light"/>
                <w:sz w:val="18"/>
                <w:szCs w:val="24"/>
              </w:rPr>
            </w:pPr>
          </w:p>
        </w:tc>
        <w:tc>
          <w:tcPr>
            <w:tcW w:w="1135" w:type="dxa"/>
            <w:tcBorders>
              <w:bottom w:val="single" w:sz="8" w:space="0" w:color="3D7FE0" w:themeColor="accent1"/>
            </w:tcBorders>
            <w:shd w:val="clear" w:color="auto" w:fill="auto"/>
            <w:vAlign w:val="bottom"/>
          </w:tcPr>
          <w:p w14:paraId="24D6AC46" w14:textId="77777777" w:rsidR="006B43AF" w:rsidRPr="005907D3" w:rsidRDefault="006B43AF" w:rsidP="004203CD">
            <w:pPr>
              <w:pStyle w:val="TablesTFigureBrackets"/>
              <w:spacing w:line="240" w:lineRule="exact"/>
              <w:rPr>
                <w:rFonts w:ascii="IBM Plex Sans Light" w:hAnsi="IBM Plex Sans Light"/>
                <w:sz w:val="18"/>
                <w:szCs w:val="24"/>
              </w:rPr>
            </w:pPr>
            <w:r w:rsidRPr="005907D3">
              <w:rPr>
                <w:rFonts w:ascii="IBM Plex Sans Light" w:hAnsi="IBM Plex Sans Light"/>
                <w:sz w:val="18"/>
                <w:szCs w:val="24"/>
              </w:rPr>
              <w:t>(</w:t>
            </w:r>
            <w:r>
              <w:rPr>
                <w:rFonts w:ascii="IBM Plex Sans Light" w:hAnsi="IBM Plex Sans Light"/>
                <w:sz w:val="18"/>
                <w:szCs w:val="24"/>
              </w:rPr>
              <w:t>6.8</w:t>
            </w:r>
            <w:r w:rsidRPr="005907D3">
              <w:rPr>
                <w:rFonts w:ascii="IBM Plex Sans Light" w:hAnsi="IBM Plex Sans Light"/>
                <w:sz w:val="18"/>
                <w:szCs w:val="24"/>
              </w:rPr>
              <w:t>)%</w:t>
            </w:r>
          </w:p>
        </w:tc>
      </w:tr>
    </w:tbl>
    <w:p w14:paraId="24F3E789" w14:textId="77777777" w:rsidR="006B43AF" w:rsidRDefault="006B43AF" w:rsidP="006B43AF">
      <w:pPr>
        <w:rPr>
          <w:rFonts w:ascii="IBM Plex Sans Light" w:hAnsi="IBM Plex Sans Light"/>
          <w:color w:val="3D7FE0" w:themeColor="accent1"/>
        </w:rPr>
      </w:pPr>
    </w:p>
    <w:p w14:paraId="3C06432B" w14:textId="77777777" w:rsidR="006B43AF" w:rsidRPr="00280504" w:rsidRDefault="006B43AF" w:rsidP="006B43AF">
      <w:pPr>
        <w:rPr>
          <w:rFonts w:ascii="IBM Plex Sans Medium" w:hAnsi="IBM Plex Sans Medium"/>
          <w:b/>
          <w:bCs/>
          <w:color w:val="3D7FE0" w:themeColor="accent1"/>
          <w:sz w:val="20"/>
          <w:szCs w:val="28"/>
        </w:rPr>
      </w:pPr>
      <w:r>
        <w:rPr>
          <w:rFonts w:ascii="IBM Plex Sans Medium" w:hAnsi="IBM Plex Sans Medium"/>
          <w:b/>
          <w:bCs/>
          <w:color w:val="3D7FE0" w:themeColor="accent1"/>
          <w:sz w:val="20"/>
          <w:szCs w:val="28"/>
        </w:rPr>
        <w:t>FINANCING METRICS</w:t>
      </w:r>
    </w:p>
    <w:p w14:paraId="574B9EA3"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Net debt : EBITDA </w:t>
      </w:r>
    </w:p>
    <w:p w14:paraId="0B11C123" w14:textId="77777777" w:rsidR="006B43AF" w:rsidRPr="00280504" w:rsidRDefault="006B43AF" w:rsidP="006B43AF">
      <w:pPr>
        <w:rPr>
          <w:rFonts w:ascii="IBM Plex Sans Light" w:hAnsi="IBM Plex Sans Light"/>
          <w:b/>
        </w:rPr>
      </w:pPr>
      <w:r w:rsidRPr="00280504">
        <w:rPr>
          <w:rFonts w:ascii="IBM Plex Sans Light" w:hAnsi="IBM Plex Sans Light"/>
          <w:b/>
        </w:rPr>
        <w:t>Table 16</w:t>
      </w:r>
    </w:p>
    <w:p w14:paraId="432B2119" w14:textId="77777777" w:rsidR="006B43AF" w:rsidRPr="005907D3" w:rsidRDefault="006B43AF" w:rsidP="006B43AF">
      <w:pPr>
        <w:pStyle w:val="TablesTHeading2"/>
        <w:rPr>
          <w:rFonts w:ascii="IBM Plex Sans Light" w:hAnsi="IBM Plex Sans Light"/>
          <w:color w:val="3D7FE0" w:themeColor="accent1"/>
        </w:rPr>
      </w:pPr>
    </w:p>
    <w:tbl>
      <w:tblPr>
        <w:tblW w:w="9949" w:type="dxa"/>
        <w:tblLayout w:type="fixed"/>
        <w:tblCellMar>
          <w:left w:w="0" w:type="dxa"/>
          <w:right w:w="0" w:type="dxa"/>
        </w:tblCellMar>
        <w:tblLook w:val="04A0" w:firstRow="1" w:lastRow="0" w:firstColumn="1" w:lastColumn="0" w:noHBand="0" w:noVBand="1"/>
      </w:tblPr>
      <w:tblGrid>
        <w:gridCol w:w="6237"/>
        <w:gridCol w:w="567"/>
        <w:gridCol w:w="284"/>
        <w:gridCol w:w="709"/>
        <w:gridCol w:w="992"/>
        <w:gridCol w:w="1160"/>
      </w:tblGrid>
      <w:tr w:rsidR="006B43AF" w:rsidRPr="005907D3" w14:paraId="2B4AFC0C" w14:textId="77777777" w:rsidTr="004203CD">
        <w:trPr>
          <w:trHeight w:val="20"/>
        </w:trPr>
        <w:tc>
          <w:tcPr>
            <w:tcW w:w="6237" w:type="dxa"/>
            <w:tcBorders>
              <w:bottom w:val="single" w:sz="2" w:space="0" w:color="3D7FE0" w:themeColor="accent1"/>
            </w:tcBorders>
            <w:shd w:val="clear" w:color="auto" w:fill="auto"/>
            <w:vAlign w:val="bottom"/>
          </w:tcPr>
          <w:p w14:paraId="68A19D90" w14:textId="77777777" w:rsidR="006B43AF" w:rsidRPr="005907D3" w:rsidRDefault="006B43AF" w:rsidP="004203CD">
            <w:pPr>
              <w:pStyle w:val="TablesTColHead"/>
              <w:jc w:val="left"/>
              <w:rPr>
                <w:rFonts w:ascii="IBM Plex Sans Light" w:hAnsi="IBM Plex Sans Light"/>
              </w:rPr>
            </w:pPr>
            <w:r w:rsidRPr="005907D3">
              <w:rPr>
                <w:rFonts w:ascii="IBM Plex Sans Light" w:hAnsi="IBM Plex Sans Light"/>
                <w:b/>
                <w:bCs/>
                <w:color w:val="3D7FE0" w:themeColor="accent1"/>
                <w:sz w:val="14"/>
                <w:szCs w:val="24"/>
              </w:rPr>
              <w:t xml:space="preserve">Proportionally consolidated </w:t>
            </w:r>
          </w:p>
        </w:tc>
        <w:tc>
          <w:tcPr>
            <w:tcW w:w="567" w:type="dxa"/>
            <w:tcBorders>
              <w:bottom w:val="single" w:sz="2" w:space="0" w:color="3D7FE0" w:themeColor="accent1"/>
            </w:tcBorders>
            <w:shd w:val="clear" w:color="auto" w:fill="auto"/>
            <w:vAlign w:val="bottom"/>
          </w:tcPr>
          <w:p w14:paraId="1B268338" w14:textId="77777777" w:rsidR="006B43AF" w:rsidRPr="005907D3" w:rsidRDefault="006B43AF" w:rsidP="004203CD">
            <w:pPr>
              <w:pStyle w:val="TablesTColHead"/>
              <w:jc w:val="left"/>
              <w:rPr>
                <w:rFonts w:ascii="IBM Plex Sans Light" w:hAnsi="IBM Plex Sans Light"/>
              </w:rPr>
            </w:pPr>
          </w:p>
        </w:tc>
        <w:tc>
          <w:tcPr>
            <w:tcW w:w="284" w:type="dxa"/>
            <w:tcBorders>
              <w:bottom w:val="single" w:sz="2" w:space="0" w:color="3D7FE0" w:themeColor="accent1"/>
            </w:tcBorders>
          </w:tcPr>
          <w:p w14:paraId="2F84B005" w14:textId="77777777" w:rsidR="006B43AF" w:rsidRPr="003360AD" w:rsidRDefault="006B43AF" w:rsidP="004203CD">
            <w:pPr>
              <w:pStyle w:val="TablesTColHeadsBold"/>
              <w:rPr>
                <w:rFonts w:ascii="IBM Plex Sans Light" w:hAnsi="IBM Plex Sans Light"/>
                <w:color w:val="auto"/>
                <w:sz w:val="16"/>
                <w:szCs w:val="16"/>
              </w:rPr>
            </w:pPr>
          </w:p>
        </w:tc>
        <w:tc>
          <w:tcPr>
            <w:tcW w:w="709" w:type="dxa"/>
            <w:tcBorders>
              <w:bottom w:val="single" w:sz="2" w:space="0" w:color="3D7FE0" w:themeColor="accent1"/>
            </w:tcBorders>
            <w:vAlign w:val="bottom"/>
          </w:tcPr>
          <w:p w14:paraId="10617DE5" w14:textId="77777777" w:rsidR="006B43AF" w:rsidRPr="005907D3" w:rsidRDefault="006B43AF" w:rsidP="004203CD">
            <w:pPr>
              <w:pStyle w:val="TablesTColHeadsBold"/>
              <w:rPr>
                <w:rFonts w:ascii="IBM Plex Sans Light" w:hAnsi="IBM Plex Sans Light"/>
                <w:sz w:val="14"/>
                <w:szCs w:val="24"/>
              </w:rPr>
            </w:pPr>
            <w:r w:rsidRPr="005907D3">
              <w:rPr>
                <w:rFonts w:ascii="IBM Plex Sans Light" w:hAnsi="IBM Plex Sans Light"/>
                <w:color w:val="auto"/>
                <w:sz w:val="14"/>
                <w:szCs w:val="24"/>
              </w:rPr>
              <w:t>Note</w:t>
            </w:r>
          </w:p>
        </w:tc>
        <w:tc>
          <w:tcPr>
            <w:tcW w:w="992" w:type="dxa"/>
            <w:tcBorders>
              <w:bottom w:val="single" w:sz="2" w:space="0" w:color="3D7FE0" w:themeColor="accent1"/>
            </w:tcBorders>
            <w:shd w:val="clear" w:color="auto" w:fill="auto"/>
            <w:vAlign w:val="bottom"/>
          </w:tcPr>
          <w:p w14:paraId="07277803"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r w:rsidRPr="005907D3">
              <w:rPr>
                <w:rFonts w:ascii="IBM Plex Sans Light" w:hAnsi="IBM Plex Sans Light"/>
                <w:color w:val="3D7FE0" w:themeColor="accent1"/>
                <w:sz w:val="14"/>
                <w:szCs w:val="24"/>
              </w:rPr>
              <w:br/>
              <w:t>£m</w:t>
            </w:r>
          </w:p>
        </w:tc>
        <w:tc>
          <w:tcPr>
            <w:tcW w:w="1160" w:type="dxa"/>
            <w:tcBorders>
              <w:bottom w:val="single" w:sz="2" w:space="0" w:color="3D7FE0" w:themeColor="accent1"/>
            </w:tcBorders>
            <w:shd w:val="clear" w:color="auto" w:fill="auto"/>
            <w:vAlign w:val="bottom"/>
          </w:tcPr>
          <w:p w14:paraId="1033B8F3"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 xml:space="preserve"> 202</w:t>
            </w:r>
            <w:r>
              <w:rPr>
                <w:rFonts w:ascii="IBM Plex Sans Light" w:hAnsi="IBM Plex Sans Light"/>
                <w:sz w:val="14"/>
                <w:szCs w:val="24"/>
              </w:rPr>
              <w:t>2</w:t>
            </w:r>
            <w:r w:rsidRPr="005907D3">
              <w:rPr>
                <w:rFonts w:ascii="IBM Plex Sans Light" w:hAnsi="IBM Plex Sans Light"/>
                <w:sz w:val="14"/>
                <w:szCs w:val="24"/>
              </w:rPr>
              <w:br/>
              <w:t>£m</w:t>
            </w:r>
          </w:p>
        </w:tc>
      </w:tr>
      <w:tr w:rsidR="006B43AF" w:rsidRPr="005907D3" w14:paraId="6BC8141C" w14:textId="77777777" w:rsidTr="004203CD">
        <w:trPr>
          <w:trHeight w:val="20"/>
        </w:trPr>
        <w:tc>
          <w:tcPr>
            <w:tcW w:w="6237" w:type="dxa"/>
            <w:tcBorders>
              <w:top w:val="single" w:sz="2" w:space="0" w:color="3D7FE0" w:themeColor="accent1"/>
            </w:tcBorders>
            <w:shd w:val="clear" w:color="auto" w:fill="auto"/>
            <w:vAlign w:val="bottom"/>
          </w:tcPr>
          <w:p w14:paraId="76B433EB"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Adjusted operating profit</w:t>
            </w:r>
          </w:p>
        </w:tc>
        <w:tc>
          <w:tcPr>
            <w:tcW w:w="567" w:type="dxa"/>
            <w:tcBorders>
              <w:top w:val="single" w:sz="2" w:space="0" w:color="3D7FE0" w:themeColor="accent1"/>
            </w:tcBorders>
            <w:shd w:val="clear" w:color="auto" w:fill="auto"/>
            <w:vAlign w:val="bottom"/>
          </w:tcPr>
          <w:p w14:paraId="7A38BD39" w14:textId="77777777" w:rsidR="006B43AF" w:rsidRPr="005907D3" w:rsidRDefault="006B43AF" w:rsidP="004203CD">
            <w:pPr>
              <w:pStyle w:val="TablesTText"/>
              <w:spacing w:line="240" w:lineRule="auto"/>
              <w:rPr>
                <w:rFonts w:ascii="IBM Plex Sans Light" w:hAnsi="IBM Plex Sans Light"/>
                <w:sz w:val="18"/>
                <w:szCs w:val="18"/>
              </w:rPr>
            </w:pPr>
          </w:p>
        </w:tc>
        <w:tc>
          <w:tcPr>
            <w:tcW w:w="284" w:type="dxa"/>
            <w:tcBorders>
              <w:top w:val="single" w:sz="2" w:space="0" w:color="3D7FE0" w:themeColor="accent1"/>
            </w:tcBorders>
          </w:tcPr>
          <w:p w14:paraId="6DC02179" w14:textId="77777777" w:rsidR="006B43AF" w:rsidRPr="003360AD" w:rsidRDefault="006B43AF" w:rsidP="004203CD">
            <w:pPr>
              <w:pStyle w:val="TablesTColHead"/>
              <w:spacing w:line="240" w:lineRule="auto"/>
              <w:jc w:val="center"/>
              <w:rPr>
                <w:rFonts w:ascii="IBM Plex Sans Light" w:hAnsi="IBM Plex Sans Light"/>
                <w:sz w:val="16"/>
                <w:szCs w:val="16"/>
              </w:rPr>
            </w:pPr>
          </w:p>
        </w:tc>
        <w:tc>
          <w:tcPr>
            <w:tcW w:w="709" w:type="dxa"/>
            <w:tcBorders>
              <w:top w:val="single" w:sz="2" w:space="0" w:color="3D7FE0" w:themeColor="accent1"/>
            </w:tcBorders>
            <w:vAlign w:val="bottom"/>
          </w:tcPr>
          <w:p w14:paraId="7ED12334" w14:textId="77777777" w:rsidR="006B43AF" w:rsidRPr="005907D3" w:rsidRDefault="006B43AF" w:rsidP="004203CD">
            <w:pPr>
              <w:pStyle w:val="TablesTColHead"/>
              <w:spacing w:line="240" w:lineRule="auto"/>
              <w:rPr>
                <w:rFonts w:ascii="IBM Plex Sans Light" w:hAnsi="IBM Plex Sans Light"/>
                <w:sz w:val="16"/>
                <w:szCs w:val="16"/>
              </w:rPr>
            </w:pPr>
          </w:p>
        </w:tc>
        <w:tc>
          <w:tcPr>
            <w:tcW w:w="992" w:type="dxa"/>
            <w:tcBorders>
              <w:top w:val="single" w:sz="2" w:space="0" w:color="3D7FE0" w:themeColor="accent1"/>
            </w:tcBorders>
            <w:shd w:val="clear" w:color="auto" w:fill="auto"/>
            <w:vAlign w:val="bottom"/>
          </w:tcPr>
          <w:p w14:paraId="384072A9" w14:textId="77777777" w:rsidR="006B43AF" w:rsidRPr="000130DB" w:rsidRDefault="006B43AF" w:rsidP="004203CD">
            <w:pPr>
              <w:pStyle w:val="TablesTFigures"/>
              <w:spacing w:line="240" w:lineRule="auto"/>
              <w:rPr>
                <w:rFonts w:ascii="IBM Plex Sans Medium" w:hAnsi="IBM Plex Sans Medium"/>
                <w:b/>
                <w:color w:val="3D7FE0" w:themeColor="accent1"/>
                <w:sz w:val="18"/>
                <w:szCs w:val="18"/>
              </w:rPr>
            </w:pPr>
            <w:r w:rsidRPr="000130DB">
              <w:rPr>
                <w:rFonts w:ascii="IBM Plex Sans Medium" w:hAnsi="IBM Plex Sans Medium"/>
                <w:b/>
                <w:color w:val="3D7FE0" w:themeColor="accent1"/>
                <w:sz w:val="18"/>
                <w:szCs w:val="18"/>
              </w:rPr>
              <w:t>163.0</w:t>
            </w:r>
          </w:p>
        </w:tc>
        <w:tc>
          <w:tcPr>
            <w:tcW w:w="1160" w:type="dxa"/>
            <w:tcBorders>
              <w:top w:val="single" w:sz="2" w:space="0" w:color="3D7FE0" w:themeColor="accent1"/>
            </w:tcBorders>
            <w:shd w:val="clear" w:color="auto" w:fill="auto"/>
            <w:vAlign w:val="bottom"/>
          </w:tcPr>
          <w:p w14:paraId="1B7B7F1C" w14:textId="77777777" w:rsidR="006B43AF" w:rsidRPr="00A04876" w:rsidRDefault="006B43AF" w:rsidP="004203CD">
            <w:pPr>
              <w:pStyle w:val="TablesTFigures"/>
              <w:spacing w:line="240" w:lineRule="auto"/>
              <w:rPr>
                <w:rFonts w:ascii="IBM Plex Sans Light" w:hAnsi="IBM Plex Sans Light"/>
                <w:sz w:val="18"/>
                <w:szCs w:val="18"/>
              </w:rPr>
            </w:pPr>
            <w:r w:rsidRPr="000130DB">
              <w:rPr>
                <w:rFonts w:ascii="IBM Plex Sans Light" w:hAnsi="IBM Plex Sans Light"/>
                <w:sz w:val="18"/>
                <w:szCs w:val="18"/>
              </w:rPr>
              <w:t>159.4</w:t>
            </w:r>
          </w:p>
        </w:tc>
      </w:tr>
      <w:tr w:rsidR="006B43AF" w:rsidRPr="005907D3" w14:paraId="006C7068" w14:textId="77777777" w:rsidTr="004203CD">
        <w:trPr>
          <w:trHeight w:val="20"/>
        </w:trPr>
        <w:tc>
          <w:tcPr>
            <w:tcW w:w="6237" w:type="dxa"/>
            <w:shd w:val="clear" w:color="auto" w:fill="auto"/>
            <w:vAlign w:val="bottom"/>
          </w:tcPr>
          <w:p w14:paraId="75B86630"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Amortisation of tenant incentives and other items within net rental income</w:t>
            </w:r>
          </w:p>
        </w:tc>
        <w:tc>
          <w:tcPr>
            <w:tcW w:w="567" w:type="dxa"/>
            <w:shd w:val="clear" w:color="auto" w:fill="auto"/>
            <w:vAlign w:val="bottom"/>
          </w:tcPr>
          <w:p w14:paraId="3E352E8E" w14:textId="77777777" w:rsidR="006B43AF" w:rsidRPr="005907D3" w:rsidRDefault="006B43AF" w:rsidP="004203CD">
            <w:pPr>
              <w:pStyle w:val="TablesTText"/>
              <w:spacing w:line="240" w:lineRule="auto"/>
              <w:rPr>
                <w:rFonts w:ascii="IBM Plex Sans Light" w:hAnsi="IBM Plex Sans Light"/>
                <w:sz w:val="18"/>
                <w:szCs w:val="18"/>
              </w:rPr>
            </w:pPr>
          </w:p>
        </w:tc>
        <w:tc>
          <w:tcPr>
            <w:tcW w:w="284" w:type="dxa"/>
          </w:tcPr>
          <w:p w14:paraId="1947E5D0" w14:textId="77777777" w:rsidR="006B43AF" w:rsidRPr="003360AD" w:rsidRDefault="006B43AF" w:rsidP="004203CD">
            <w:pPr>
              <w:pStyle w:val="TablesTColHead"/>
              <w:spacing w:line="240" w:lineRule="auto"/>
              <w:jc w:val="center"/>
              <w:rPr>
                <w:rFonts w:ascii="IBM Plex Sans Light" w:hAnsi="IBM Plex Sans Light"/>
                <w:sz w:val="16"/>
                <w:szCs w:val="16"/>
                <w:highlight w:val="yellow"/>
              </w:rPr>
            </w:pPr>
          </w:p>
        </w:tc>
        <w:tc>
          <w:tcPr>
            <w:tcW w:w="709" w:type="dxa"/>
            <w:vAlign w:val="bottom"/>
          </w:tcPr>
          <w:p w14:paraId="76482970" w14:textId="77777777" w:rsidR="006B43AF" w:rsidRPr="004A0FAA" w:rsidRDefault="006B43AF" w:rsidP="004203CD">
            <w:pPr>
              <w:pStyle w:val="TablesTColHead"/>
              <w:spacing w:line="240" w:lineRule="auto"/>
              <w:rPr>
                <w:rFonts w:ascii="IBM Plex Sans Light" w:hAnsi="IBM Plex Sans Light"/>
                <w:sz w:val="16"/>
                <w:szCs w:val="16"/>
              </w:rPr>
            </w:pPr>
          </w:p>
        </w:tc>
        <w:tc>
          <w:tcPr>
            <w:tcW w:w="992" w:type="dxa"/>
            <w:shd w:val="clear" w:color="auto" w:fill="auto"/>
            <w:vAlign w:val="bottom"/>
          </w:tcPr>
          <w:p w14:paraId="496A9577" w14:textId="17F48451" w:rsidR="006B43AF" w:rsidRPr="000130DB" w:rsidRDefault="006B43AF" w:rsidP="004203CD">
            <w:pPr>
              <w:pStyle w:val="TablesTFigureBrackets"/>
              <w:spacing w:line="240" w:lineRule="auto"/>
              <w:rPr>
                <w:rFonts w:ascii="IBM Plex Sans Medium" w:hAnsi="IBM Plex Sans Medium"/>
                <w:b/>
                <w:color w:val="3D7FE0" w:themeColor="accent1"/>
                <w:sz w:val="18"/>
                <w:szCs w:val="18"/>
              </w:rPr>
            </w:pPr>
            <w:r w:rsidRPr="000130DB">
              <w:rPr>
                <w:rFonts w:ascii="IBM Plex Sans Medium" w:hAnsi="IBM Plex Sans Medium"/>
                <w:b/>
                <w:color w:val="3D7FE0" w:themeColor="accent1"/>
                <w:sz w:val="18"/>
                <w:szCs w:val="18"/>
              </w:rPr>
              <w:t>(3.</w:t>
            </w:r>
            <w:r w:rsidR="007F605B">
              <w:rPr>
                <w:rFonts w:ascii="IBM Plex Sans Medium" w:hAnsi="IBM Plex Sans Medium"/>
                <w:b/>
                <w:color w:val="3D7FE0" w:themeColor="accent1"/>
                <w:sz w:val="18"/>
                <w:szCs w:val="18"/>
              </w:rPr>
              <w:t>6</w:t>
            </w:r>
            <w:r w:rsidRPr="000130DB">
              <w:rPr>
                <w:rFonts w:ascii="IBM Plex Sans Medium" w:hAnsi="IBM Plex Sans Medium"/>
                <w:b/>
                <w:color w:val="3D7FE0" w:themeColor="accent1"/>
                <w:sz w:val="18"/>
                <w:szCs w:val="18"/>
              </w:rPr>
              <w:t>)</w:t>
            </w:r>
          </w:p>
        </w:tc>
        <w:tc>
          <w:tcPr>
            <w:tcW w:w="1160" w:type="dxa"/>
            <w:shd w:val="clear" w:color="auto" w:fill="auto"/>
            <w:vAlign w:val="bottom"/>
          </w:tcPr>
          <w:p w14:paraId="18F4BFBD" w14:textId="77777777" w:rsidR="006B43AF" w:rsidRPr="00A04876" w:rsidRDefault="006B43AF" w:rsidP="004203CD">
            <w:pPr>
              <w:pStyle w:val="TablesTFigureBrackets"/>
              <w:spacing w:line="240" w:lineRule="exact"/>
              <w:rPr>
                <w:rFonts w:ascii="IBM Plex Sans Light" w:hAnsi="IBM Plex Sans Light"/>
                <w:sz w:val="18"/>
                <w:szCs w:val="18"/>
              </w:rPr>
            </w:pPr>
            <w:r w:rsidRPr="000130DB">
              <w:rPr>
                <w:rFonts w:ascii="IBM Plex Sans Light" w:hAnsi="IBM Plex Sans Light"/>
                <w:sz w:val="18"/>
                <w:szCs w:val="18"/>
              </w:rPr>
              <w:t>(0.1)</w:t>
            </w:r>
          </w:p>
        </w:tc>
      </w:tr>
      <w:tr w:rsidR="006B43AF" w:rsidRPr="005907D3" w14:paraId="6AD7D746" w14:textId="77777777" w:rsidTr="004203CD">
        <w:trPr>
          <w:trHeight w:val="20"/>
        </w:trPr>
        <w:tc>
          <w:tcPr>
            <w:tcW w:w="6237" w:type="dxa"/>
            <w:shd w:val="clear" w:color="auto" w:fill="auto"/>
            <w:vAlign w:val="bottom"/>
          </w:tcPr>
          <w:p w14:paraId="5B2108D7"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Share-based remuneration</w:t>
            </w:r>
          </w:p>
        </w:tc>
        <w:tc>
          <w:tcPr>
            <w:tcW w:w="567" w:type="dxa"/>
            <w:shd w:val="clear" w:color="auto" w:fill="auto"/>
            <w:vAlign w:val="bottom"/>
          </w:tcPr>
          <w:p w14:paraId="1D5D0FC1" w14:textId="77777777" w:rsidR="006B43AF" w:rsidRPr="005907D3" w:rsidRDefault="006B43AF" w:rsidP="004203CD">
            <w:pPr>
              <w:pStyle w:val="TablesTText"/>
              <w:spacing w:line="240" w:lineRule="auto"/>
              <w:rPr>
                <w:rFonts w:ascii="IBM Plex Sans Light" w:hAnsi="IBM Plex Sans Light"/>
                <w:sz w:val="18"/>
                <w:szCs w:val="18"/>
              </w:rPr>
            </w:pPr>
          </w:p>
        </w:tc>
        <w:tc>
          <w:tcPr>
            <w:tcW w:w="284" w:type="dxa"/>
          </w:tcPr>
          <w:p w14:paraId="1632106B" w14:textId="77777777" w:rsidR="006B43AF" w:rsidRPr="003360AD" w:rsidRDefault="006B43AF" w:rsidP="004203CD">
            <w:pPr>
              <w:pStyle w:val="TablesTColHead"/>
              <w:spacing w:line="240" w:lineRule="auto"/>
              <w:jc w:val="center"/>
              <w:rPr>
                <w:rFonts w:ascii="IBM Plex Sans Light" w:hAnsi="IBM Plex Sans Light"/>
                <w:sz w:val="16"/>
                <w:szCs w:val="16"/>
                <w:highlight w:val="yellow"/>
              </w:rPr>
            </w:pPr>
          </w:p>
        </w:tc>
        <w:tc>
          <w:tcPr>
            <w:tcW w:w="709" w:type="dxa"/>
            <w:vAlign w:val="bottom"/>
          </w:tcPr>
          <w:p w14:paraId="19ACA048" w14:textId="77777777" w:rsidR="006B43AF" w:rsidRPr="004A0FAA" w:rsidRDefault="006B43AF" w:rsidP="004203CD">
            <w:pPr>
              <w:pStyle w:val="TablesTColHead"/>
              <w:spacing w:line="240" w:lineRule="auto"/>
              <w:rPr>
                <w:rFonts w:ascii="IBM Plex Sans Light" w:hAnsi="IBM Plex Sans Light"/>
                <w:sz w:val="16"/>
                <w:szCs w:val="16"/>
              </w:rPr>
            </w:pPr>
          </w:p>
        </w:tc>
        <w:tc>
          <w:tcPr>
            <w:tcW w:w="992" w:type="dxa"/>
            <w:shd w:val="clear" w:color="auto" w:fill="auto"/>
            <w:vAlign w:val="bottom"/>
          </w:tcPr>
          <w:p w14:paraId="0E8DA19B" w14:textId="77777777" w:rsidR="006B43AF" w:rsidRPr="000130DB" w:rsidRDefault="006B43AF" w:rsidP="004203CD">
            <w:pPr>
              <w:pStyle w:val="TablesTFigures"/>
              <w:spacing w:line="240" w:lineRule="auto"/>
              <w:rPr>
                <w:rFonts w:ascii="IBM Plex Sans Medium" w:hAnsi="IBM Plex Sans Medium"/>
                <w:b/>
                <w:color w:val="3D7FE0" w:themeColor="accent1"/>
                <w:sz w:val="18"/>
                <w:szCs w:val="18"/>
              </w:rPr>
            </w:pPr>
            <w:r w:rsidRPr="000130DB">
              <w:rPr>
                <w:rFonts w:ascii="IBM Plex Sans Medium" w:hAnsi="IBM Plex Sans Medium"/>
                <w:b/>
                <w:color w:val="3D7FE0" w:themeColor="accent1"/>
                <w:sz w:val="18"/>
                <w:szCs w:val="18"/>
              </w:rPr>
              <w:t>3.6</w:t>
            </w:r>
          </w:p>
        </w:tc>
        <w:tc>
          <w:tcPr>
            <w:tcW w:w="1160" w:type="dxa"/>
            <w:shd w:val="clear" w:color="auto" w:fill="auto"/>
            <w:vAlign w:val="bottom"/>
          </w:tcPr>
          <w:p w14:paraId="6A7D7AAB" w14:textId="77777777" w:rsidR="006B43AF" w:rsidRPr="005907D3" w:rsidRDefault="006B43AF" w:rsidP="004203CD">
            <w:pPr>
              <w:pStyle w:val="TablesTFigures"/>
              <w:spacing w:line="240" w:lineRule="auto"/>
              <w:rPr>
                <w:rFonts w:ascii="IBM Plex Sans Light" w:hAnsi="IBM Plex Sans Light"/>
                <w:sz w:val="18"/>
                <w:szCs w:val="18"/>
              </w:rPr>
            </w:pPr>
            <w:r w:rsidRPr="000130DB">
              <w:rPr>
                <w:rFonts w:ascii="IBM Plex Sans Light" w:hAnsi="IBM Plex Sans Light"/>
                <w:sz w:val="18"/>
                <w:szCs w:val="18"/>
              </w:rPr>
              <w:t>3.0</w:t>
            </w:r>
          </w:p>
        </w:tc>
      </w:tr>
      <w:tr w:rsidR="006B43AF" w:rsidRPr="005907D3" w14:paraId="2BDAEC67" w14:textId="77777777" w:rsidTr="004203CD">
        <w:trPr>
          <w:trHeight w:val="20"/>
        </w:trPr>
        <w:tc>
          <w:tcPr>
            <w:tcW w:w="6237" w:type="dxa"/>
            <w:tcBorders>
              <w:bottom w:val="single" w:sz="2" w:space="0" w:color="3D7FE0" w:themeColor="accent1"/>
            </w:tcBorders>
            <w:shd w:val="clear" w:color="auto" w:fill="auto"/>
            <w:vAlign w:val="bottom"/>
          </w:tcPr>
          <w:p w14:paraId="756A7A82"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Depreciation</w:t>
            </w:r>
          </w:p>
        </w:tc>
        <w:tc>
          <w:tcPr>
            <w:tcW w:w="567" w:type="dxa"/>
            <w:tcBorders>
              <w:bottom w:val="single" w:sz="2" w:space="0" w:color="3D7FE0" w:themeColor="accent1"/>
            </w:tcBorders>
            <w:shd w:val="clear" w:color="auto" w:fill="auto"/>
            <w:vAlign w:val="bottom"/>
          </w:tcPr>
          <w:p w14:paraId="10EAC497" w14:textId="77777777" w:rsidR="006B43AF" w:rsidRPr="005907D3" w:rsidRDefault="006B43AF" w:rsidP="004203CD">
            <w:pPr>
              <w:pStyle w:val="TablesTText"/>
              <w:spacing w:line="240" w:lineRule="auto"/>
              <w:rPr>
                <w:rFonts w:ascii="IBM Plex Sans Light" w:hAnsi="IBM Plex Sans Light"/>
                <w:sz w:val="18"/>
                <w:szCs w:val="18"/>
              </w:rPr>
            </w:pPr>
          </w:p>
        </w:tc>
        <w:tc>
          <w:tcPr>
            <w:tcW w:w="284" w:type="dxa"/>
            <w:tcBorders>
              <w:bottom w:val="single" w:sz="2" w:space="0" w:color="3D7FE0" w:themeColor="accent1"/>
            </w:tcBorders>
          </w:tcPr>
          <w:p w14:paraId="198495F9" w14:textId="77777777" w:rsidR="006B43AF" w:rsidRPr="003360AD" w:rsidRDefault="006B43AF" w:rsidP="004203CD">
            <w:pPr>
              <w:pStyle w:val="TablesTColHead"/>
              <w:spacing w:line="240" w:lineRule="auto"/>
              <w:jc w:val="center"/>
              <w:rPr>
                <w:rFonts w:ascii="IBM Plex Sans Light" w:hAnsi="IBM Plex Sans Light"/>
                <w:sz w:val="16"/>
                <w:szCs w:val="16"/>
                <w:highlight w:val="yellow"/>
              </w:rPr>
            </w:pPr>
          </w:p>
        </w:tc>
        <w:tc>
          <w:tcPr>
            <w:tcW w:w="709" w:type="dxa"/>
            <w:tcBorders>
              <w:bottom w:val="single" w:sz="2" w:space="0" w:color="3D7FE0" w:themeColor="accent1"/>
            </w:tcBorders>
            <w:vAlign w:val="bottom"/>
          </w:tcPr>
          <w:p w14:paraId="0E7A1F04" w14:textId="77777777" w:rsidR="006B43AF" w:rsidRPr="004A0FAA" w:rsidRDefault="006B43AF" w:rsidP="004203CD">
            <w:pPr>
              <w:pStyle w:val="TablesTColHead"/>
              <w:spacing w:line="240" w:lineRule="auto"/>
              <w:rPr>
                <w:rFonts w:ascii="IBM Plex Sans Light" w:hAnsi="IBM Plex Sans Light"/>
                <w:sz w:val="16"/>
                <w:szCs w:val="16"/>
              </w:rPr>
            </w:pPr>
          </w:p>
        </w:tc>
        <w:tc>
          <w:tcPr>
            <w:tcW w:w="992" w:type="dxa"/>
            <w:tcBorders>
              <w:bottom w:val="single" w:sz="2" w:space="0" w:color="3D7FE0" w:themeColor="accent1"/>
            </w:tcBorders>
            <w:shd w:val="clear" w:color="auto" w:fill="auto"/>
            <w:vAlign w:val="bottom"/>
          </w:tcPr>
          <w:p w14:paraId="7E04A0B6" w14:textId="7EDB50BE" w:rsidR="006B43AF" w:rsidRPr="000130DB" w:rsidRDefault="007F605B"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3.0</w:t>
            </w:r>
          </w:p>
        </w:tc>
        <w:tc>
          <w:tcPr>
            <w:tcW w:w="1160" w:type="dxa"/>
            <w:tcBorders>
              <w:bottom w:val="single" w:sz="2" w:space="0" w:color="3D7FE0" w:themeColor="accent1"/>
            </w:tcBorders>
            <w:shd w:val="clear" w:color="auto" w:fill="auto"/>
            <w:vAlign w:val="bottom"/>
          </w:tcPr>
          <w:p w14:paraId="1296522B" w14:textId="77777777" w:rsidR="006B43AF" w:rsidRPr="005907D3" w:rsidRDefault="006B43AF" w:rsidP="004203CD">
            <w:pPr>
              <w:pStyle w:val="TablesTFigures"/>
              <w:spacing w:line="240" w:lineRule="auto"/>
              <w:rPr>
                <w:rFonts w:ascii="IBM Plex Sans Light" w:hAnsi="IBM Plex Sans Light"/>
                <w:sz w:val="18"/>
                <w:szCs w:val="18"/>
              </w:rPr>
            </w:pPr>
            <w:r w:rsidRPr="000130DB">
              <w:rPr>
                <w:rFonts w:ascii="IBM Plex Sans Light" w:hAnsi="IBM Plex Sans Light"/>
                <w:sz w:val="18"/>
                <w:szCs w:val="18"/>
              </w:rPr>
              <w:t>4.1</w:t>
            </w:r>
          </w:p>
        </w:tc>
      </w:tr>
      <w:tr w:rsidR="006B43AF" w:rsidRPr="005907D3" w14:paraId="056CA887" w14:textId="77777777" w:rsidTr="004203CD">
        <w:trPr>
          <w:trHeight w:val="20"/>
        </w:trPr>
        <w:tc>
          <w:tcPr>
            <w:tcW w:w="6237" w:type="dxa"/>
            <w:tcBorders>
              <w:top w:val="single" w:sz="2" w:space="0" w:color="3D7FE0" w:themeColor="accent1"/>
            </w:tcBorders>
            <w:shd w:val="clear" w:color="auto" w:fill="auto"/>
            <w:vAlign w:val="bottom"/>
          </w:tcPr>
          <w:p w14:paraId="08ABE86A" w14:textId="77777777" w:rsidR="006B43AF" w:rsidRPr="005907D3" w:rsidRDefault="006B43AF" w:rsidP="004203CD">
            <w:pPr>
              <w:pStyle w:val="TablesTTextBold"/>
              <w:spacing w:line="240" w:lineRule="auto"/>
              <w:rPr>
                <w:rFonts w:ascii="IBM Plex Sans Light" w:hAnsi="IBM Plex Sans Light"/>
                <w:b/>
                <w:sz w:val="18"/>
                <w:szCs w:val="18"/>
              </w:rPr>
            </w:pPr>
            <w:r w:rsidRPr="005907D3">
              <w:rPr>
                <w:rFonts w:ascii="IBM Plex Sans Light" w:hAnsi="IBM Plex Sans Light"/>
                <w:b/>
                <w:sz w:val="18"/>
                <w:szCs w:val="18"/>
              </w:rPr>
              <w:t>EBITDA – rolling 12 month basis</w:t>
            </w:r>
          </w:p>
        </w:tc>
        <w:tc>
          <w:tcPr>
            <w:tcW w:w="567" w:type="dxa"/>
            <w:tcBorders>
              <w:top w:val="single" w:sz="2" w:space="0" w:color="3D7FE0" w:themeColor="accent1"/>
            </w:tcBorders>
            <w:shd w:val="clear" w:color="auto" w:fill="auto"/>
            <w:vAlign w:val="bottom"/>
          </w:tcPr>
          <w:p w14:paraId="45FFD870" w14:textId="77777777" w:rsidR="006B43AF" w:rsidRPr="005907D3" w:rsidRDefault="006B43AF" w:rsidP="004203CD">
            <w:pPr>
              <w:pStyle w:val="TablesTTextBold"/>
              <w:spacing w:line="240" w:lineRule="auto"/>
              <w:jc w:val="center"/>
              <w:rPr>
                <w:rFonts w:ascii="IBM Plex Sans Light" w:hAnsi="IBM Plex Sans Light"/>
                <w:b/>
                <w:sz w:val="18"/>
                <w:szCs w:val="18"/>
              </w:rPr>
            </w:pPr>
            <w:r>
              <w:rPr>
                <w:rFonts w:ascii="IBM Plex Sans Light" w:hAnsi="IBM Plex Sans Light"/>
                <w:b/>
                <w:sz w:val="18"/>
                <w:szCs w:val="18"/>
              </w:rPr>
              <w:t>A</w:t>
            </w:r>
          </w:p>
        </w:tc>
        <w:tc>
          <w:tcPr>
            <w:tcW w:w="284" w:type="dxa"/>
            <w:tcBorders>
              <w:top w:val="single" w:sz="2" w:space="0" w:color="3D7FE0" w:themeColor="accent1"/>
            </w:tcBorders>
          </w:tcPr>
          <w:p w14:paraId="031F27CB" w14:textId="77777777" w:rsidR="006B43AF" w:rsidRPr="003360AD" w:rsidRDefault="006B43AF" w:rsidP="004203CD">
            <w:pPr>
              <w:pStyle w:val="TablesTColHead"/>
              <w:spacing w:line="240" w:lineRule="auto"/>
              <w:jc w:val="center"/>
              <w:rPr>
                <w:rFonts w:ascii="IBM Plex Sans Light" w:hAnsi="IBM Plex Sans Light"/>
                <w:b/>
                <w:sz w:val="16"/>
                <w:szCs w:val="16"/>
              </w:rPr>
            </w:pPr>
          </w:p>
        </w:tc>
        <w:tc>
          <w:tcPr>
            <w:tcW w:w="709" w:type="dxa"/>
            <w:tcBorders>
              <w:top w:val="single" w:sz="2" w:space="0" w:color="3D7FE0" w:themeColor="accent1"/>
            </w:tcBorders>
            <w:vAlign w:val="bottom"/>
          </w:tcPr>
          <w:p w14:paraId="5D4647D3" w14:textId="77777777" w:rsidR="006B43AF" w:rsidRPr="004A0FAA" w:rsidRDefault="006B43AF" w:rsidP="004203CD">
            <w:pPr>
              <w:pStyle w:val="TablesTColHead"/>
              <w:spacing w:line="240" w:lineRule="auto"/>
              <w:jc w:val="left"/>
              <w:rPr>
                <w:rFonts w:ascii="IBM Plex Sans Light" w:hAnsi="IBM Plex Sans Light"/>
                <w:b/>
                <w:sz w:val="16"/>
                <w:szCs w:val="16"/>
              </w:rPr>
            </w:pPr>
          </w:p>
        </w:tc>
        <w:tc>
          <w:tcPr>
            <w:tcW w:w="992" w:type="dxa"/>
            <w:tcBorders>
              <w:top w:val="single" w:sz="2" w:space="0" w:color="3D7FE0" w:themeColor="accent1"/>
            </w:tcBorders>
            <w:shd w:val="clear" w:color="auto" w:fill="auto"/>
            <w:vAlign w:val="bottom"/>
          </w:tcPr>
          <w:p w14:paraId="6C3E4284" w14:textId="77777777" w:rsidR="006B43AF" w:rsidRPr="000130DB" w:rsidRDefault="006B43AF" w:rsidP="004203CD">
            <w:pPr>
              <w:pStyle w:val="TablesTFigures"/>
              <w:spacing w:line="240" w:lineRule="auto"/>
              <w:rPr>
                <w:rFonts w:ascii="IBM Plex Sans Medium" w:hAnsi="IBM Plex Sans Medium"/>
                <w:b/>
                <w:color w:val="3D7FE0" w:themeColor="accent1"/>
                <w:sz w:val="18"/>
                <w:szCs w:val="18"/>
              </w:rPr>
            </w:pPr>
            <w:r w:rsidRPr="000130DB">
              <w:rPr>
                <w:rFonts w:ascii="IBM Plex Sans Medium" w:hAnsi="IBM Plex Sans Medium"/>
                <w:b/>
                <w:color w:val="3D7FE0" w:themeColor="accent1"/>
                <w:sz w:val="18"/>
                <w:szCs w:val="18"/>
              </w:rPr>
              <w:t>166.0</w:t>
            </w:r>
          </w:p>
        </w:tc>
        <w:tc>
          <w:tcPr>
            <w:tcW w:w="1160" w:type="dxa"/>
            <w:tcBorders>
              <w:top w:val="single" w:sz="2" w:space="0" w:color="3D7FE0" w:themeColor="accent1"/>
            </w:tcBorders>
            <w:shd w:val="clear" w:color="auto" w:fill="auto"/>
            <w:vAlign w:val="bottom"/>
          </w:tcPr>
          <w:p w14:paraId="2B8AC322" w14:textId="77777777" w:rsidR="006B43AF" w:rsidRPr="005907D3" w:rsidRDefault="006B43AF" w:rsidP="004203CD">
            <w:pPr>
              <w:pStyle w:val="TablesTFigures"/>
              <w:spacing w:line="240" w:lineRule="auto"/>
              <w:rPr>
                <w:rFonts w:ascii="IBM Plex Sans Light" w:hAnsi="IBM Plex Sans Light"/>
                <w:sz w:val="18"/>
                <w:szCs w:val="18"/>
              </w:rPr>
            </w:pPr>
            <w:r w:rsidRPr="000130DB">
              <w:rPr>
                <w:rFonts w:ascii="IBM Plex Sans Light" w:hAnsi="IBM Plex Sans Light"/>
                <w:sz w:val="18"/>
                <w:szCs w:val="18"/>
              </w:rPr>
              <w:t>166.4</w:t>
            </w:r>
          </w:p>
        </w:tc>
      </w:tr>
      <w:tr w:rsidR="006B43AF" w:rsidRPr="005907D3" w14:paraId="6706B4D7" w14:textId="77777777" w:rsidTr="004203CD">
        <w:trPr>
          <w:trHeight w:val="20"/>
        </w:trPr>
        <w:tc>
          <w:tcPr>
            <w:tcW w:w="6237" w:type="dxa"/>
            <w:shd w:val="clear" w:color="auto" w:fill="auto"/>
            <w:vAlign w:val="bottom"/>
          </w:tcPr>
          <w:p w14:paraId="3489E6DC" w14:textId="77777777" w:rsidR="006B43AF" w:rsidRPr="005907D3" w:rsidRDefault="006B43AF" w:rsidP="004203CD">
            <w:pPr>
              <w:pStyle w:val="TablesTText"/>
              <w:spacing w:line="240" w:lineRule="auto"/>
              <w:rPr>
                <w:rFonts w:ascii="IBM Plex Sans Light" w:hAnsi="IBM Plex Sans Light"/>
                <w:sz w:val="18"/>
                <w:szCs w:val="18"/>
              </w:rPr>
            </w:pPr>
          </w:p>
        </w:tc>
        <w:tc>
          <w:tcPr>
            <w:tcW w:w="567" w:type="dxa"/>
            <w:shd w:val="clear" w:color="auto" w:fill="auto"/>
            <w:vAlign w:val="bottom"/>
          </w:tcPr>
          <w:p w14:paraId="296A5905"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284" w:type="dxa"/>
          </w:tcPr>
          <w:p w14:paraId="6FE5D926" w14:textId="77777777" w:rsidR="006B43AF" w:rsidRPr="003360AD" w:rsidRDefault="006B43AF" w:rsidP="004203CD">
            <w:pPr>
              <w:pStyle w:val="TablesTColHead"/>
              <w:spacing w:line="240" w:lineRule="auto"/>
              <w:jc w:val="center"/>
              <w:rPr>
                <w:rFonts w:ascii="IBM Plex Sans Light" w:hAnsi="IBM Plex Sans Light"/>
                <w:sz w:val="16"/>
                <w:szCs w:val="16"/>
                <w:highlight w:val="yellow"/>
              </w:rPr>
            </w:pPr>
          </w:p>
        </w:tc>
        <w:tc>
          <w:tcPr>
            <w:tcW w:w="709" w:type="dxa"/>
            <w:vAlign w:val="bottom"/>
          </w:tcPr>
          <w:p w14:paraId="5FC879D1" w14:textId="77777777" w:rsidR="006B43AF" w:rsidRPr="004A0FAA" w:rsidRDefault="006B43AF" w:rsidP="004203CD">
            <w:pPr>
              <w:pStyle w:val="TablesTColHead"/>
              <w:spacing w:line="240" w:lineRule="auto"/>
              <w:rPr>
                <w:rFonts w:ascii="IBM Plex Sans Light" w:hAnsi="IBM Plex Sans Light"/>
                <w:sz w:val="16"/>
                <w:szCs w:val="16"/>
              </w:rPr>
            </w:pPr>
          </w:p>
        </w:tc>
        <w:tc>
          <w:tcPr>
            <w:tcW w:w="992" w:type="dxa"/>
            <w:shd w:val="clear" w:color="auto" w:fill="auto"/>
            <w:vAlign w:val="bottom"/>
          </w:tcPr>
          <w:p w14:paraId="28F6403D" w14:textId="77777777" w:rsidR="006B43AF" w:rsidRPr="000130DB" w:rsidRDefault="006B43AF" w:rsidP="004203CD">
            <w:pPr>
              <w:pStyle w:val="TablesTFigures"/>
              <w:spacing w:line="240" w:lineRule="auto"/>
              <w:rPr>
                <w:rFonts w:ascii="IBM Plex Sans Medium" w:hAnsi="IBM Plex Sans Medium"/>
                <w:b/>
                <w:color w:val="3D7FE0" w:themeColor="accent1"/>
                <w:sz w:val="18"/>
                <w:szCs w:val="18"/>
              </w:rPr>
            </w:pPr>
          </w:p>
        </w:tc>
        <w:tc>
          <w:tcPr>
            <w:tcW w:w="1160" w:type="dxa"/>
            <w:shd w:val="clear" w:color="auto" w:fill="auto"/>
            <w:vAlign w:val="bottom"/>
          </w:tcPr>
          <w:p w14:paraId="0A0B1A90" w14:textId="77777777" w:rsidR="006B43AF" w:rsidRPr="005907D3" w:rsidRDefault="006B43AF" w:rsidP="004203CD">
            <w:pPr>
              <w:pStyle w:val="TablesTFigures"/>
              <w:spacing w:line="240" w:lineRule="auto"/>
              <w:rPr>
                <w:rFonts w:ascii="IBM Plex Sans Light" w:hAnsi="IBM Plex Sans Light"/>
                <w:sz w:val="18"/>
                <w:szCs w:val="18"/>
              </w:rPr>
            </w:pPr>
          </w:p>
        </w:tc>
      </w:tr>
      <w:tr w:rsidR="006B43AF" w:rsidRPr="005907D3" w14:paraId="45C82C0D" w14:textId="77777777" w:rsidTr="004203CD">
        <w:trPr>
          <w:trHeight w:val="20"/>
        </w:trPr>
        <w:tc>
          <w:tcPr>
            <w:tcW w:w="6237" w:type="dxa"/>
            <w:tcBorders>
              <w:bottom w:val="single" w:sz="2" w:space="0" w:color="3D7FE0" w:themeColor="accent1"/>
            </w:tcBorders>
            <w:shd w:val="clear" w:color="auto" w:fill="auto"/>
            <w:vAlign w:val="bottom"/>
          </w:tcPr>
          <w:p w14:paraId="07549498" w14:textId="77777777" w:rsidR="006B43AF" w:rsidRPr="005907D3" w:rsidRDefault="006B43AF" w:rsidP="004203CD">
            <w:pPr>
              <w:pStyle w:val="TablesTText"/>
              <w:spacing w:line="240" w:lineRule="auto"/>
              <w:rPr>
                <w:rFonts w:ascii="IBM Plex Sans Light" w:hAnsi="IBM Plex Sans Light"/>
                <w:b/>
                <w:sz w:val="18"/>
                <w:szCs w:val="18"/>
              </w:rPr>
            </w:pPr>
            <w:r w:rsidRPr="005907D3">
              <w:rPr>
                <w:rFonts w:ascii="IBM Plex Sans Light" w:hAnsi="IBM Plex Sans Light"/>
                <w:b/>
                <w:sz w:val="18"/>
                <w:szCs w:val="18"/>
              </w:rPr>
              <w:t>Net debt</w:t>
            </w:r>
          </w:p>
        </w:tc>
        <w:tc>
          <w:tcPr>
            <w:tcW w:w="567" w:type="dxa"/>
            <w:tcBorders>
              <w:bottom w:val="single" w:sz="2" w:space="0" w:color="3D7FE0" w:themeColor="accent1"/>
            </w:tcBorders>
            <w:shd w:val="clear" w:color="auto" w:fill="auto"/>
            <w:vAlign w:val="bottom"/>
          </w:tcPr>
          <w:p w14:paraId="52D541B1" w14:textId="77777777" w:rsidR="006B43AF" w:rsidRPr="005907D3" w:rsidRDefault="006B43AF" w:rsidP="004203CD">
            <w:pPr>
              <w:pStyle w:val="TablesTText"/>
              <w:spacing w:line="240" w:lineRule="auto"/>
              <w:jc w:val="center"/>
              <w:rPr>
                <w:rFonts w:ascii="IBM Plex Sans Light" w:hAnsi="IBM Plex Sans Light"/>
                <w:b/>
                <w:sz w:val="18"/>
                <w:szCs w:val="18"/>
              </w:rPr>
            </w:pPr>
            <w:r>
              <w:rPr>
                <w:rFonts w:ascii="IBM Plex Sans Light" w:hAnsi="IBM Plex Sans Light"/>
                <w:b/>
                <w:sz w:val="18"/>
                <w:szCs w:val="18"/>
              </w:rPr>
              <w:t>B</w:t>
            </w:r>
          </w:p>
        </w:tc>
        <w:tc>
          <w:tcPr>
            <w:tcW w:w="284" w:type="dxa"/>
            <w:tcBorders>
              <w:bottom w:val="single" w:sz="2" w:space="0" w:color="3D7FE0" w:themeColor="accent1"/>
            </w:tcBorders>
          </w:tcPr>
          <w:p w14:paraId="5A45FF29" w14:textId="77777777" w:rsidR="006B43AF" w:rsidRPr="003360AD" w:rsidRDefault="006B43AF" w:rsidP="004203CD">
            <w:pPr>
              <w:pStyle w:val="TablesTColHead"/>
              <w:spacing w:line="240" w:lineRule="auto"/>
              <w:jc w:val="center"/>
              <w:rPr>
                <w:rFonts w:ascii="IBM Plex Sans Light" w:hAnsi="IBM Plex Sans Light"/>
                <w:sz w:val="16"/>
                <w:szCs w:val="16"/>
              </w:rPr>
            </w:pPr>
          </w:p>
        </w:tc>
        <w:tc>
          <w:tcPr>
            <w:tcW w:w="709" w:type="dxa"/>
            <w:tcBorders>
              <w:bottom w:val="single" w:sz="2" w:space="0" w:color="3D7FE0" w:themeColor="accent1"/>
            </w:tcBorders>
            <w:vAlign w:val="bottom"/>
          </w:tcPr>
          <w:p w14:paraId="4A5ABC42" w14:textId="77777777" w:rsidR="006B43AF" w:rsidRPr="005907D3" w:rsidRDefault="006B43AF" w:rsidP="004203CD">
            <w:pPr>
              <w:pStyle w:val="TablesTColHead"/>
              <w:spacing w:line="240" w:lineRule="auto"/>
              <w:rPr>
                <w:rFonts w:ascii="IBM Plex Sans Light" w:hAnsi="IBM Plex Sans Light"/>
                <w:sz w:val="16"/>
                <w:szCs w:val="16"/>
                <w:highlight w:val="yellow"/>
              </w:rPr>
            </w:pPr>
            <w:r w:rsidRPr="005907D3">
              <w:rPr>
                <w:rFonts w:ascii="IBM Plex Sans Light" w:hAnsi="IBM Plex Sans Light"/>
                <w:sz w:val="16"/>
                <w:szCs w:val="16"/>
              </w:rPr>
              <w:t>Table 13</w:t>
            </w:r>
          </w:p>
        </w:tc>
        <w:tc>
          <w:tcPr>
            <w:tcW w:w="992" w:type="dxa"/>
            <w:tcBorders>
              <w:bottom w:val="single" w:sz="2" w:space="0" w:color="3D7FE0" w:themeColor="accent1"/>
            </w:tcBorders>
            <w:shd w:val="clear" w:color="auto" w:fill="auto"/>
            <w:vAlign w:val="bottom"/>
          </w:tcPr>
          <w:p w14:paraId="15F50D31" w14:textId="77777777" w:rsidR="006B43AF" w:rsidRPr="000130DB" w:rsidRDefault="006B43AF" w:rsidP="004203CD">
            <w:pPr>
              <w:pStyle w:val="TablesTFigures"/>
              <w:spacing w:line="240" w:lineRule="auto"/>
              <w:rPr>
                <w:rFonts w:ascii="IBM Plex Sans Medium" w:hAnsi="IBM Plex Sans Medium"/>
                <w:b/>
                <w:color w:val="3D7FE0" w:themeColor="accent1"/>
                <w:sz w:val="18"/>
                <w:szCs w:val="18"/>
              </w:rPr>
            </w:pPr>
            <w:r w:rsidRPr="000130DB">
              <w:rPr>
                <w:rFonts w:ascii="IBM Plex Sans Medium" w:hAnsi="IBM Plex Sans Medium"/>
                <w:b/>
                <w:color w:val="3D7FE0" w:themeColor="accent1"/>
                <w:sz w:val="18"/>
                <w:szCs w:val="18"/>
              </w:rPr>
              <w:t>1,326.3</w:t>
            </w:r>
          </w:p>
        </w:tc>
        <w:tc>
          <w:tcPr>
            <w:tcW w:w="1160" w:type="dxa"/>
            <w:tcBorders>
              <w:bottom w:val="single" w:sz="2" w:space="0" w:color="3D7FE0" w:themeColor="accent1"/>
            </w:tcBorders>
            <w:shd w:val="clear" w:color="auto" w:fill="auto"/>
            <w:vAlign w:val="bottom"/>
          </w:tcPr>
          <w:p w14:paraId="7507C2C6" w14:textId="77777777" w:rsidR="006B43AF" w:rsidRPr="005907D3" w:rsidRDefault="006B43AF" w:rsidP="004203CD">
            <w:pPr>
              <w:pStyle w:val="TablesTFigures"/>
              <w:spacing w:line="240" w:lineRule="auto"/>
              <w:rPr>
                <w:rFonts w:ascii="IBM Plex Sans Light" w:hAnsi="IBM Plex Sans Light"/>
                <w:sz w:val="18"/>
                <w:szCs w:val="18"/>
              </w:rPr>
            </w:pPr>
            <w:r w:rsidRPr="000130DB">
              <w:rPr>
                <w:rFonts w:ascii="IBM Plex Sans Light" w:hAnsi="IBM Plex Sans Light"/>
                <w:sz w:val="18"/>
                <w:szCs w:val="18"/>
              </w:rPr>
              <w:t>1,732.1</w:t>
            </w:r>
          </w:p>
        </w:tc>
      </w:tr>
      <w:tr w:rsidR="006B43AF" w:rsidRPr="005907D3" w14:paraId="7A1FA96D" w14:textId="77777777" w:rsidTr="004203CD">
        <w:trPr>
          <w:trHeight w:val="20"/>
        </w:trPr>
        <w:tc>
          <w:tcPr>
            <w:tcW w:w="6237" w:type="dxa"/>
            <w:tcBorders>
              <w:top w:val="single" w:sz="2" w:space="0" w:color="3D7FE0" w:themeColor="accent1"/>
            </w:tcBorders>
            <w:shd w:val="clear" w:color="auto" w:fill="auto"/>
            <w:vAlign w:val="bottom"/>
          </w:tcPr>
          <w:p w14:paraId="2B4ECDF5" w14:textId="77777777" w:rsidR="006B43AF" w:rsidRPr="005907D3" w:rsidRDefault="006B43AF" w:rsidP="004203CD">
            <w:pPr>
              <w:pStyle w:val="TablesTText"/>
              <w:spacing w:line="240" w:lineRule="auto"/>
              <w:rPr>
                <w:rFonts w:ascii="IBM Plex Sans Light" w:hAnsi="IBM Plex Sans Light"/>
                <w:b/>
                <w:sz w:val="18"/>
                <w:szCs w:val="18"/>
              </w:rPr>
            </w:pPr>
          </w:p>
        </w:tc>
        <w:tc>
          <w:tcPr>
            <w:tcW w:w="567" w:type="dxa"/>
            <w:tcBorders>
              <w:top w:val="single" w:sz="2" w:space="0" w:color="3D7FE0" w:themeColor="accent1"/>
            </w:tcBorders>
            <w:shd w:val="clear" w:color="auto" w:fill="auto"/>
            <w:vAlign w:val="bottom"/>
          </w:tcPr>
          <w:p w14:paraId="094004AD" w14:textId="77777777" w:rsidR="006B43AF" w:rsidRDefault="006B43AF" w:rsidP="004203CD">
            <w:pPr>
              <w:pStyle w:val="TablesTText"/>
              <w:spacing w:line="240" w:lineRule="auto"/>
              <w:jc w:val="center"/>
              <w:rPr>
                <w:rFonts w:ascii="IBM Plex Sans Light" w:hAnsi="IBM Plex Sans Light"/>
                <w:b/>
                <w:sz w:val="18"/>
                <w:szCs w:val="18"/>
              </w:rPr>
            </w:pPr>
          </w:p>
        </w:tc>
        <w:tc>
          <w:tcPr>
            <w:tcW w:w="284" w:type="dxa"/>
            <w:tcBorders>
              <w:top w:val="single" w:sz="2" w:space="0" w:color="3D7FE0" w:themeColor="accent1"/>
            </w:tcBorders>
          </w:tcPr>
          <w:p w14:paraId="78001E10" w14:textId="77777777" w:rsidR="006B43AF" w:rsidRPr="003360AD" w:rsidRDefault="006B43AF" w:rsidP="004203CD">
            <w:pPr>
              <w:pStyle w:val="TablesTColHead"/>
              <w:spacing w:line="240" w:lineRule="auto"/>
              <w:jc w:val="center"/>
              <w:rPr>
                <w:rFonts w:ascii="IBM Plex Sans Light" w:hAnsi="IBM Plex Sans Light"/>
                <w:b/>
                <w:sz w:val="16"/>
                <w:szCs w:val="16"/>
                <w:highlight w:val="yellow"/>
              </w:rPr>
            </w:pPr>
          </w:p>
        </w:tc>
        <w:tc>
          <w:tcPr>
            <w:tcW w:w="709" w:type="dxa"/>
            <w:tcBorders>
              <w:top w:val="single" w:sz="2" w:space="0" w:color="3D7FE0" w:themeColor="accent1"/>
            </w:tcBorders>
            <w:vAlign w:val="bottom"/>
          </w:tcPr>
          <w:p w14:paraId="378E3503" w14:textId="77777777" w:rsidR="006B43AF" w:rsidRPr="005907D3" w:rsidRDefault="006B43AF" w:rsidP="004203CD">
            <w:pPr>
              <w:pStyle w:val="TablesTColHead"/>
              <w:spacing w:line="240" w:lineRule="auto"/>
              <w:rPr>
                <w:rFonts w:ascii="IBM Plex Sans Light" w:hAnsi="IBM Plex Sans Light"/>
                <w:b/>
                <w:sz w:val="16"/>
                <w:szCs w:val="16"/>
                <w:highlight w:val="yellow"/>
              </w:rPr>
            </w:pPr>
          </w:p>
        </w:tc>
        <w:tc>
          <w:tcPr>
            <w:tcW w:w="992" w:type="dxa"/>
            <w:tcBorders>
              <w:top w:val="single" w:sz="2" w:space="0" w:color="3D7FE0" w:themeColor="accent1"/>
            </w:tcBorders>
            <w:shd w:val="clear" w:color="auto" w:fill="auto"/>
          </w:tcPr>
          <w:p w14:paraId="65948ED3" w14:textId="77777777" w:rsidR="006B43AF" w:rsidRPr="00A50959" w:rsidRDefault="006B43AF" w:rsidP="004203CD">
            <w:pPr>
              <w:pStyle w:val="TablesTFigures"/>
              <w:spacing w:line="240" w:lineRule="auto"/>
              <w:rPr>
                <w:rFonts w:ascii="IBM Plex Sans Medium" w:eastAsia="Chronicle Text G1" w:hAnsi="IBM Plex Sans Medium" w:cs="Chronicle Text G1"/>
                <w:b/>
                <w:color w:val="3D7FE0" w:themeColor="accent1"/>
                <w:sz w:val="18"/>
                <w:szCs w:val="18"/>
              </w:rPr>
            </w:pPr>
          </w:p>
        </w:tc>
        <w:tc>
          <w:tcPr>
            <w:tcW w:w="1160" w:type="dxa"/>
            <w:tcBorders>
              <w:top w:val="single" w:sz="2" w:space="0" w:color="3D7FE0" w:themeColor="accent1"/>
            </w:tcBorders>
            <w:shd w:val="clear" w:color="auto" w:fill="auto"/>
            <w:vAlign w:val="bottom"/>
          </w:tcPr>
          <w:p w14:paraId="0F383396" w14:textId="77777777" w:rsidR="006B43AF" w:rsidRPr="005907D3" w:rsidRDefault="006B43AF" w:rsidP="004203CD">
            <w:pPr>
              <w:pStyle w:val="TablesTFigures"/>
              <w:spacing w:line="240" w:lineRule="auto"/>
              <w:rPr>
                <w:rFonts w:ascii="IBM Plex Sans Light" w:hAnsi="IBM Plex Sans Light"/>
                <w:sz w:val="18"/>
                <w:szCs w:val="18"/>
              </w:rPr>
            </w:pPr>
          </w:p>
        </w:tc>
      </w:tr>
      <w:tr w:rsidR="006B43AF" w:rsidRPr="005907D3" w14:paraId="33F48798" w14:textId="77777777" w:rsidTr="004203CD">
        <w:trPr>
          <w:trHeight w:val="20"/>
        </w:trPr>
        <w:tc>
          <w:tcPr>
            <w:tcW w:w="6237" w:type="dxa"/>
            <w:tcBorders>
              <w:bottom w:val="single" w:sz="8" w:space="0" w:color="3D7FE0" w:themeColor="accent1"/>
            </w:tcBorders>
            <w:shd w:val="clear" w:color="auto" w:fill="auto"/>
            <w:vAlign w:val="bottom"/>
          </w:tcPr>
          <w:p w14:paraId="2BB3B3AF" w14:textId="77777777" w:rsidR="006B43AF" w:rsidRPr="005907D3" w:rsidRDefault="006B43AF" w:rsidP="004203CD">
            <w:pPr>
              <w:pStyle w:val="TablesTText"/>
              <w:spacing w:line="240" w:lineRule="auto"/>
              <w:rPr>
                <w:rFonts w:ascii="IBM Plex Sans Light" w:hAnsi="IBM Plex Sans Light"/>
                <w:b/>
                <w:sz w:val="18"/>
                <w:szCs w:val="18"/>
              </w:rPr>
            </w:pPr>
            <w:r w:rsidRPr="005907D3">
              <w:rPr>
                <w:rFonts w:ascii="IBM Plex Sans Light" w:hAnsi="IBM Plex Sans Light"/>
                <w:b/>
                <w:sz w:val="18"/>
                <w:szCs w:val="18"/>
              </w:rPr>
              <w:t xml:space="preserve">Net debt : EBITDA </w:t>
            </w:r>
          </w:p>
        </w:tc>
        <w:tc>
          <w:tcPr>
            <w:tcW w:w="567" w:type="dxa"/>
            <w:tcBorders>
              <w:bottom w:val="single" w:sz="8" w:space="0" w:color="3D7FE0" w:themeColor="accent1"/>
            </w:tcBorders>
            <w:shd w:val="clear" w:color="auto" w:fill="auto"/>
            <w:vAlign w:val="bottom"/>
          </w:tcPr>
          <w:p w14:paraId="2801086F" w14:textId="77777777" w:rsidR="006B43AF" w:rsidRPr="005907D3" w:rsidRDefault="006B43AF" w:rsidP="004203CD">
            <w:pPr>
              <w:pStyle w:val="TablesTText"/>
              <w:spacing w:line="240" w:lineRule="auto"/>
              <w:jc w:val="center"/>
              <w:rPr>
                <w:rFonts w:ascii="IBM Plex Sans Light" w:hAnsi="IBM Plex Sans Light"/>
                <w:b/>
                <w:sz w:val="18"/>
                <w:szCs w:val="18"/>
              </w:rPr>
            </w:pPr>
            <w:r>
              <w:rPr>
                <w:rFonts w:ascii="IBM Plex Sans Light" w:hAnsi="IBM Plex Sans Light"/>
                <w:b/>
                <w:sz w:val="18"/>
                <w:szCs w:val="18"/>
              </w:rPr>
              <w:t>B/A</w:t>
            </w:r>
          </w:p>
        </w:tc>
        <w:tc>
          <w:tcPr>
            <w:tcW w:w="284" w:type="dxa"/>
            <w:tcBorders>
              <w:bottom w:val="single" w:sz="8" w:space="0" w:color="3D7FE0" w:themeColor="accent1"/>
            </w:tcBorders>
          </w:tcPr>
          <w:p w14:paraId="4AAD4538" w14:textId="77777777" w:rsidR="006B43AF" w:rsidRPr="003360AD" w:rsidRDefault="006B43AF" w:rsidP="004203CD">
            <w:pPr>
              <w:pStyle w:val="TablesTColHead"/>
              <w:spacing w:line="240" w:lineRule="auto"/>
              <w:jc w:val="center"/>
              <w:rPr>
                <w:rFonts w:ascii="IBM Plex Sans Light" w:hAnsi="IBM Plex Sans Light"/>
                <w:b/>
                <w:sz w:val="16"/>
                <w:szCs w:val="16"/>
                <w:highlight w:val="yellow"/>
              </w:rPr>
            </w:pPr>
          </w:p>
        </w:tc>
        <w:tc>
          <w:tcPr>
            <w:tcW w:w="709" w:type="dxa"/>
            <w:tcBorders>
              <w:bottom w:val="single" w:sz="8" w:space="0" w:color="3D7FE0" w:themeColor="accent1"/>
            </w:tcBorders>
            <w:vAlign w:val="bottom"/>
          </w:tcPr>
          <w:p w14:paraId="74454657" w14:textId="77777777" w:rsidR="006B43AF" w:rsidRPr="005907D3" w:rsidRDefault="006B43AF" w:rsidP="004203CD">
            <w:pPr>
              <w:pStyle w:val="TablesTColHead"/>
              <w:spacing w:line="240" w:lineRule="auto"/>
              <w:rPr>
                <w:rFonts w:ascii="IBM Plex Sans Light" w:hAnsi="IBM Plex Sans Light"/>
                <w:b/>
                <w:sz w:val="16"/>
                <w:szCs w:val="16"/>
                <w:highlight w:val="yellow"/>
              </w:rPr>
            </w:pPr>
          </w:p>
        </w:tc>
        <w:tc>
          <w:tcPr>
            <w:tcW w:w="992" w:type="dxa"/>
            <w:tcBorders>
              <w:bottom w:val="single" w:sz="8" w:space="0" w:color="3D7FE0" w:themeColor="accent1"/>
            </w:tcBorders>
            <w:shd w:val="clear" w:color="auto" w:fill="auto"/>
          </w:tcPr>
          <w:p w14:paraId="20A85F02" w14:textId="77777777" w:rsidR="006B43AF" w:rsidRPr="00A50959" w:rsidRDefault="006B43AF" w:rsidP="004203CD">
            <w:pPr>
              <w:pStyle w:val="TablesTFigures"/>
              <w:spacing w:line="240" w:lineRule="auto"/>
              <w:rPr>
                <w:rFonts w:ascii="IBM Plex Sans Medium" w:eastAsia="Chronicle Text G1" w:hAnsi="IBM Plex Sans Medium" w:cs="Chronicle Text G1"/>
                <w:b/>
                <w:color w:val="3D7FE0" w:themeColor="accent1"/>
                <w:sz w:val="18"/>
                <w:szCs w:val="18"/>
              </w:rPr>
            </w:pPr>
            <w:r>
              <w:rPr>
                <w:rFonts w:ascii="IBM Plex Sans Medium" w:eastAsia="Chronicle Text G1" w:hAnsi="IBM Plex Sans Medium" w:cs="Chronicle Text G1"/>
                <w:b/>
                <w:color w:val="3D7FE0" w:themeColor="accent1"/>
                <w:sz w:val="18"/>
                <w:szCs w:val="18"/>
              </w:rPr>
              <w:t>8.0x</w:t>
            </w:r>
          </w:p>
        </w:tc>
        <w:tc>
          <w:tcPr>
            <w:tcW w:w="1160" w:type="dxa"/>
            <w:tcBorders>
              <w:bottom w:val="single" w:sz="8" w:space="0" w:color="3D7FE0" w:themeColor="accent1"/>
            </w:tcBorders>
            <w:shd w:val="clear" w:color="auto" w:fill="auto"/>
            <w:vAlign w:val="bottom"/>
          </w:tcPr>
          <w:p w14:paraId="76519CAD" w14:textId="77777777" w:rsidR="006B43AF" w:rsidRPr="005907D3" w:rsidRDefault="006B43AF" w:rsidP="004203CD">
            <w:pPr>
              <w:pStyle w:val="TablesTFigures"/>
              <w:spacing w:line="240" w:lineRule="auto"/>
              <w:rPr>
                <w:rFonts w:ascii="IBM Plex Sans Light" w:hAnsi="IBM Plex Sans Light"/>
                <w:sz w:val="18"/>
                <w:szCs w:val="18"/>
              </w:rPr>
            </w:pPr>
            <w:r w:rsidRPr="00A04876">
              <w:rPr>
                <w:rFonts w:ascii="IBM Plex Sans Light" w:hAnsi="IBM Plex Sans Light"/>
                <w:sz w:val="18"/>
                <w:szCs w:val="18"/>
              </w:rPr>
              <w:t>1</w:t>
            </w:r>
            <w:r>
              <w:rPr>
                <w:rFonts w:ascii="IBM Plex Sans Light" w:hAnsi="IBM Plex Sans Light"/>
                <w:sz w:val="18"/>
                <w:szCs w:val="18"/>
              </w:rPr>
              <w:t>0</w:t>
            </w:r>
            <w:r w:rsidRPr="00A04876">
              <w:rPr>
                <w:rFonts w:ascii="IBM Plex Sans Light" w:hAnsi="IBM Plex Sans Light"/>
                <w:sz w:val="18"/>
                <w:szCs w:val="18"/>
              </w:rPr>
              <w:t>.4x</w:t>
            </w:r>
          </w:p>
        </w:tc>
      </w:tr>
    </w:tbl>
    <w:p w14:paraId="470297AD" w14:textId="77777777" w:rsidR="006B43AF" w:rsidRPr="005907D3" w:rsidRDefault="006B43AF" w:rsidP="006B43AF">
      <w:pPr>
        <w:pStyle w:val="TablesTHeading1"/>
        <w:pBdr>
          <w:bottom w:val="none" w:sz="0" w:space="0" w:color="auto"/>
        </w:pBdr>
        <w:rPr>
          <w:rFonts w:ascii="IBM Plex Sans Light" w:hAnsi="IBM Plex Sans Light"/>
        </w:rPr>
      </w:pPr>
    </w:p>
    <w:p w14:paraId="4981B04C"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Interest cover </w:t>
      </w:r>
    </w:p>
    <w:p w14:paraId="0F553565" w14:textId="77777777" w:rsidR="006B43AF" w:rsidRPr="00280504" w:rsidRDefault="006B43AF" w:rsidP="006B43AF">
      <w:pPr>
        <w:rPr>
          <w:rFonts w:ascii="IBM Plex Sans Light" w:hAnsi="IBM Plex Sans Light"/>
          <w:b/>
        </w:rPr>
      </w:pPr>
      <w:r w:rsidRPr="00280504">
        <w:rPr>
          <w:rFonts w:ascii="IBM Plex Sans Light" w:hAnsi="IBM Plex Sans Light"/>
          <w:b/>
        </w:rPr>
        <w:t>Table 17</w:t>
      </w:r>
    </w:p>
    <w:tbl>
      <w:tblPr>
        <w:tblW w:w="9922" w:type="dxa"/>
        <w:tblCellMar>
          <w:left w:w="0" w:type="dxa"/>
          <w:right w:w="0" w:type="dxa"/>
        </w:tblCellMar>
        <w:tblLook w:val="04A0" w:firstRow="1" w:lastRow="0" w:firstColumn="1" w:lastColumn="0" w:noHBand="0" w:noVBand="1"/>
      </w:tblPr>
      <w:tblGrid>
        <w:gridCol w:w="6237"/>
        <w:gridCol w:w="567"/>
        <w:gridCol w:w="284"/>
        <w:gridCol w:w="709"/>
        <w:gridCol w:w="1134"/>
        <w:gridCol w:w="991"/>
      </w:tblGrid>
      <w:tr w:rsidR="006B43AF" w:rsidRPr="005907D3" w14:paraId="1DF0FEB1" w14:textId="77777777" w:rsidTr="004203CD">
        <w:trPr>
          <w:trHeight w:val="20"/>
        </w:trPr>
        <w:tc>
          <w:tcPr>
            <w:tcW w:w="6237" w:type="dxa"/>
            <w:tcBorders>
              <w:bottom w:val="single" w:sz="2" w:space="0" w:color="3D7FE0" w:themeColor="accent1"/>
            </w:tcBorders>
            <w:shd w:val="clear" w:color="auto" w:fill="auto"/>
            <w:vAlign w:val="bottom"/>
          </w:tcPr>
          <w:p w14:paraId="52EE18BD" w14:textId="77777777" w:rsidR="006B43AF" w:rsidRPr="005907D3" w:rsidRDefault="006B43AF" w:rsidP="004203CD">
            <w:pPr>
              <w:pStyle w:val="TablesTColHead"/>
              <w:jc w:val="left"/>
              <w:rPr>
                <w:rFonts w:ascii="IBM Plex Sans Light" w:hAnsi="IBM Plex Sans Light"/>
                <w:highlight w:val="yellow"/>
              </w:rPr>
            </w:pPr>
            <w:r w:rsidRPr="005907D3">
              <w:rPr>
                <w:rFonts w:ascii="IBM Plex Sans Light" w:hAnsi="IBM Plex Sans Light"/>
                <w:b/>
                <w:bCs/>
                <w:color w:val="3D7FE0" w:themeColor="accent1"/>
                <w:sz w:val="14"/>
                <w:szCs w:val="24"/>
              </w:rPr>
              <w:t xml:space="preserve">Proportionally consolidated </w:t>
            </w:r>
          </w:p>
        </w:tc>
        <w:tc>
          <w:tcPr>
            <w:tcW w:w="567" w:type="dxa"/>
            <w:tcBorders>
              <w:bottom w:val="single" w:sz="2" w:space="0" w:color="3D7FE0" w:themeColor="accent1"/>
            </w:tcBorders>
            <w:shd w:val="clear" w:color="auto" w:fill="auto"/>
            <w:vAlign w:val="bottom"/>
          </w:tcPr>
          <w:p w14:paraId="1337FB95" w14:textId="77777777" w:rsidR="006B43AF" w:rsidRPr="005907D3" w:rsidRDefault="006B43AF" w:rsidP="004203CD">
            <w:pPr>
              <w:pStyle w:val="TablesTColHead"/>
              <w:jc w:val="center"/>
              <w:rPr>
                <w:rFonts w:ascii="IBM Plex Sans Light" w:hAnsi="IBM Plex Sans Light"/>
                <w:highlight w:val="yellow"/>
              </w:rPr>
            </w:pPr>
          </w:p>
        </w:tc>
        <w:tc>
          <w:tcPr>
            <w:tcW w:w="284" w:type="dxa"/>
            <w:tcBorders>
              <w:bottom w:val="single" w:sz="2" w:space="0" w:color="3D7FE0" w:themeColor="accent1"/>
            </w:tcBorders>
            <w:shd w:val="clear" w:color="auto" w:fill="auto"/>
            <w:vAlign w:val="bottom"/>
          </w:tcPr>
          <w:p w14:paraId="65BB2C56" w14:textId="77777777" w:rsidR="006B43AF" w:rsidRPr="005907D3" w:rsidRDefault="006B43AF" w:rsidP="004203CD">
            <w:pPr>
              <w:pStyle w:val="TablesTColHead"/>
              <w:jc w:val="left"/>
              <w:rPr>
                <w:rFonts w:ascii="IBM Plex Sans Light" w:hAnsi="IBM Plex Sans Light"/>
                <w:highlight w:val="yellow"/>
              </w:rPr>
            </w:pPr>
          </w:p>
        </w:tc>
        <w:tc>
          <w:tcPr>
            <w:tcW w:w="709" w:type="dxa"/>
            <w:tcBorders>
              <w:bottom w:val="single" w:sz="2" w:space="0" w:color="3D7FE0" w:themeColor="accent1"/>
            </w:tcBorders>
            <w:shd w:val="clear" w:color="auto" w:fill="auto"/>
            <w:vAlign w:val="bottom"/>
          </w:tcPr>
          <w:p w14:paraId="58A0DBB2" w14:textId="77777777" w:rsidR="006B43AF" w:rsidRPr="005907D3" w:rsidRDefault="006B43AF" w:rsidP="004203CD">
            <w:pPr>
              <w:pStyle w:val="TablesTColHeadsBold"/>
              <w:rPr>
                <w:rFonts w:ascii="IBM Plex Sans Light" w:hAnsi="IBM Plex Sans Light"/>
                <w:bCs/>
                <w:sz w:val="14"/>
                <w:szCs w:val="24"/>
                <w:highlight w:val="yellow"/>
              </w:rPr>
            </w:pPr>
            <w:r w:rsidRPr="005907D3">
              <w:rPr>
                <w:rFonts w:ascii="IBM Plex Sans Light" w:hAnsi="IBM Plex Sans Light"/>
                <w:color w:val="auto"/>
                <w:sz w:val="14"/>
                <w:szCs w:val="24"/>
              </w:rPr>
              <w:t>Note</w:t>
            </w:r>
          </w:p>
        </w:tc>
        <w:tc>
          <w:tcPr>
            <w:tcW w:w="1134" w:type="dxa"/>
            <w:tcBorders>
              <w:bottom w:val="single" w:sz="2" w:space="0" w:color="3D7FE0" w:themeColor="accent1"/>
            </w:tcBorders>
            <w:shd w:val="clear" w:color="auto" w:fill="auto"/>
            <w:vAlign w:val="bottom"/>
          </w:tcPr>
          <w:p w14:paraId="2E19308E"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r w:rsidRPr="005907D3">
              <w:rPr>
                <w:rFonts w:ascii="IBM Plex Sans Light" w:hAnsi="IBM Plex Sans Light"/>
                <w:color w:val="3D7FE0" w:themeColor="accent1"/>
                <w:sz w:val="14"/>
                <w:szCs w:val="24"/>
              </w:rPr>
              <w:br/>
              <w:t>£m</w:t>
            </w:r>
          </w:p>
        </w:tc>
        <w:tc>
          <w:tcPr>
            <w:tcW w:w="991" w:type="dxa"/>
            <w:tcBorders>
              <w:bottom w:val="single" w:sz="2" w:space="0" w:color="3D7FE0" w:themeColor="accent1"/>
            </w:tcBorders>
            <w:shd w:val="clear" w:color="auto" w:fill="auto"/>
            <w:vAlign w:val="bottom"/>
          </w:tcPr>
          <w:p w14:paraId="176878DA"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202</w:t>
            </w:r>
            <w:r>
              <w:rPr>
                <w:rFonts w:ascii="IBM Plex Sans Light" w:hAnsi="IBM Plex Sans Light"/>
                <w:sz w:val="14"/>
                <w:szCs w:val="24"/>
              </w:rPr>
              <w:t>2</w:t>
            </w:r>
            <w:r w:rsidRPr="005907D3">
              <w:rPr>
                <w:rFonts w:ascii="IBM Plex Sans Light" w:hAnsi="IBM Plex Sans Light"/>
                <w:sz w:val="14"/>
                <w:szCs w:val="24"/>
              </w:rPr>
              <w:br/>
              <w:t>£m</w:t>
            </w:r>
          </w:p>
        </w:tc>
      </w:tr>
      <w:tr w:rsidR="006B43AF" w:rsidRPr="005907D3" w14:paraId="48ED9812" w14:textId="77777777" w:rsidTr="004203CD">
        <w:trPr>
          <w:trHeight w:val="20"/>
        </w:trPr>
        <w:tc>
          <w:tcPr>
            <w:tcW w:w="6237" w:type="dxa"/>
            <w:tcBorders>
              <w:top w:val="single" w:sz="2" w:space="0" w:color="3D7FE0" w:themeColor="accent1"/>
            </w:tcBorders>
            <w:shd w:val="clear" w:color="auto" w:fill="auto"/>
            <w:vAlign w:val="center"/>
          </w:tcPr>
          <w:p w14:paraId="41678852" w14:textId="77777777" w:rsidR="006B43AF" w:rsidRPr="005907D3" w:rsidRDefault="006B43AF" w:rsidP="004203CD">
            <w:pPr>
              <w:pStyle w:val="TablesTText"/>
              <w:spacing w:line="240" w:lineRule="auto"/>
              <w:rPr>
                <w:rFonts w:ascii="IBM Plex Sans Light" w:hAnsi="IBM Plex Sans Light"/>
                <w:b/>
                <w:sz w:val="18"/>
                <w:szCs w:val="18"/>
              </w:rPr>
            </w:pPr>
            <w:r>
              <w:rPr>
                <w:rFonts w:ascii="IBM Plex Sans Light" w:hAnsi="IBM Plex Sans Light"/>
                <w:b/>
                <w:sz w:val="18"/>
                <w:szCs w:val="18"/>
              </w:rPr>
              <w:t>Adjusted n</w:t>
            </w:r>
            <w:r w:rsidRPr="005907D3">
              <w:rPr>
                <w:rFonts w:ascii="IBM Plex Sans Light" w:hAnsi="IBM Plex Sans Light"/>
                <w:b/>
                <w:sz w:val="18"/>
                <w:szCs w:val="18"/>
              </w:rPr>
              <w:t xml:space="preserve">et rental income </w:t>
            </w:r>
          </w:p>
        </w:tc>
        <w:tc>
          <w:tcPr>
            <w:tcW w:w="567" w:type="dxa"/>
            <w:tcBorders>
              <w:top w:val="single" w:sz="2" w:space="0" w:color="3D7FE0" w:themeColor="accent1"/>
            </w:tcBorders>
            <w:shd w:val="clear" w:color="auto" w:fill="auto"/>
            <w:vAlign w:val="center"/>
          </w:tcPr>
          <w:p w14:paraId="3BE57839"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284" w:type="dxa"/>
            <w:tcBorders>
              <w:top w:val="single" w:sz="2" w:space="0" w:color="3D7FE0" w:themeColor="accent1"/>
            </w:tcBorders>
            <w:shd w:val="clear" w:color="auto" w:fill="auto"/>
            <w:vAlign w:val="center"/>
          </w:tcPr>
          <w:p w14:paraId="6D41F2A7"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709" w:type="dxa"/>
            <w:tcBorders>
              <w:top w:val="single" w:sz="2" w:space="0" w:color="3D7FE0" w:themeColor="accent1"/>
            </w:tcBorders>
            <w:shd w:val="clear" w:color="auto" w:fill="auto"/>
            <w:vAlign w:val="center"/>
          </w:tcPr>
          <w:p w14:paraId="1606E99B" w14:textId="77777777" w:rsidR="006B43AF" w:rsidRPr="005907D3" w:rsidRDefault="006B43AF" w:rsidP="004203CD">
            <w:pPr>
              <w:pStyle w:val="TablesTColHead"/>
              <w:spacing w:line="240" w:lineRule="auto"/>
              <w:rPr>
                <w:rFonts w:ascii="IBM Plex Sans Light" w:hAnsi="IBM Plex Sans Light"/>
                <w:sz w:val="16"/>
                <w:szCs w:val="16"/>
              </w:rPr>
            </w:pPr>
            <w:r w:rsidRPr="005907D3">
              <w:rPr>
                <w:rFonts w:ascii="IBM Plex Sans Light" w:hAnsi="IBM Plex Sans Light"/>
                <w:sz w:val="16"/>
                <w:szCs w:val="16"/>
              </w:rPr>
              <w:t>2</w:t>
            </w:r>
          </w:p>
        </w:tc>
        <w:tc>
          <w:tcPr>
            <w:tcW w:w="1134" w:type="dxa"/>
            <w:tcBorders>
              <w:top w:val="single" w:sz="2" w:space="0" w:color="3D7FE0" w:themeColor="accent1"/>
            </w:tcBorders>
            <w:shd w:val="clear" w:color="auto" w:fill="auto"/>
            <w:vAlign w:val="bottom"/>
          </w:tcPr>
          <w:p w14:paraId="223C9961" w14:textId="77777777" w:rsidR="006B43AF" w:rsidRPr="00FF6762" w:rsidRDefault="006B43AF" w:rsidP="004203CD">
            <w:pPr>
              <w:pStyle w:val="TablesTFigure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167.5</w:t>
            </w:r>
          </w:p>
        </w:tc>
        <w:tc>
          <w:tcPr>
            <w:tcW w:w="991" w:type="dxa"/>
            <w:tcBorders>
              <w:top w:val="single" w:sz="2" w:space="0" w:color="3D7FE0" w:themeColor="accent1"/>
            </w:tcBorders>
            <w:shd w:val="clear" w:color="auto" w:fill="auto"/>
            <w:vAlign w:val="bottom"/>
          </w:tcPr>
          <w:p w14:paraId="09D4EF50" w14:textId="77777777" w:rsidR="006B43AF" w:rsidRPr="00FF6762" w:rsidRDefault="006B43AF" w:rsidP="004203CD">
            <w:pPr>
              <w:pStyle w:val="TablesTFigures"/>
              <w:spacing w:line="240" w:lineRule="auto"/>
              <w:rPr>
                <w:rFonts w:ascii="IBM Plex Sans Light" w:hAnsi="IBM Plex Sans Light"/>
                <w:sz w:val="18"/>
                <w:szCs w:val="18"/>
              </w:rPr>
            </w:pPr>
            <w:r w:rsidRPr="00FF6762">
              <w:rPr>
                <w:rFonts w:ascii="IBM Plex Sans Light" w:hAnsi="IBM Plex Sans Light"/>
                <w:sz w:val="18"/>
                <w:szCs w:val="18"/>
              </w:rPr>
              <w:t>174.8</w:t>
            </w:r>
          </w:p>
        </w:tc>
      </w:tr>
      <w:tr w:rsidR="006B43AF" w:rsidRPr="005907D3" w14:paraId="56CAA2A8" w14:textId="77777777" w:rsidTr="004203CD">
        <w:trPr>
          <w:trHeight w:val="20"/>
        </w:trPr>
        <w:tc>
          <w:tcPr>
            <w:tcW w:w="6237" w:type="dxa"/>
            <w:shd w:val="clear" w:color="auto" w:fill="auto"/>
            <w:vAlign w:val="center"/>
          </w:tcPr>
          <w:p w14:paraId="5DEFB35E" w14:textId="77777777" w:rsidR="006B43AF" w:rsidRPr="005907D3" w:rsidRDefault="006B43AF" w:rsidP="004203CD">
            <w:pPr>
              <w:pStyle w:val="TablesTText"/>
              <w:spacing w:line="240" w:lineRule="auto"/>
              <w:rPr>
                <w:rFonts w:ascii="IBM Plex Sans Light" w:hAnsi="IBM Plex Sans Light"/>
                <w:sz w:val="18"/>
                <w:szCs w:val="18"/>
              </w:rPr>
            </w:pPr>
            <w:r>
              <w:rPr>
                <w:rFonts w:ascii="IBM Plex Sans Light" w:hAnsi="IBM Plex Sans Light" w:cs="Arial"/>
                <w:szCs w:val="18"/>
              </w:rPr>
              <w:t>Less</w:t>
            </w:r>
            <w:r w:rsidRPr="005907D3">
              <w:rPr>
                <w:rFonts w:ascii="IBM Plex Sans Light" w:hAnsi="IBM Plex Sans Light" w:cs="Arial"/>
                <w:szCs w:val="18"/>
              </w:rPr>
              <w:t xml:space="preserve"> </w:t>
            </w:r>
            <w:r>
              <w:rPr>
                <w:rFonts w:ascii="IBM Plex Sans Light" w:hAnsi="IBM Plex Sans Light" w:cs="Arial"/>
                <w:szCs w:val="18"/>
              </w:rPr>
              <w:t>n</w:t>
            </w:r>
            <w:r w:rsidRPr="005907D3">
              <w:rPr>
                <w:rFonts w:ascii="IBM Plex Sans Light" w:hAnsi="IBM Plex Sans Light"/>
                <w:sz w:val="18"/>
                <w:szCs w:val="18"/>
              </w:rPr>
              <w:t xml:space="preserve">et rental income in associates: Italie Deux </w:t>
            </w:r>
          </w:p>
        </w:tc>
        <w:tc>
          <w:tcPr>
            <w:tcW w:w="567" w:type="dxa"/>
            <w:shd w:val="clear" w:color="auto" w:fill="auto"/>
            <w:vAlign w:val="center"/>
          </w:tcPr>
          <w:p w14:paraId="4FC10C44"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284" w:type="dxa"/>
            <w:shd w:val="clear" w:color="auto" w:fill="auto"/>
            <w:vAlign w:val="center"/>
          </w:tcPr>
          <w:p w14:paraId="3C0074DB"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709" w:type="dxa"/>
            <w:shd w:val="clear" w:color="auto" w:fill="auto"/>
            <w:vAlign w:val="center"/>
          </w:tcPr>
          <w:p w14:paraId="788FBB77" w14:textId="77777777" w:rsidR="006B43AF" w:rsidRPr="005907D3" w:rsidRDefault="006B43AF" w:rsidP="004203CD">
            <w:pPr>
              <w:pStyle w:val="TablesTColHead"/>
              <w:spacing w:line="240" w:lineRule="auto"/>
              <w:rPr>
                <w:rFonts w:ascii="IBM Plex Sans Light" w:hAnsi="IBM Plex Sans Light"/>
                <w:sz w:val="16"/>
                <w:szCs w:val="16"/>
                <w:highlight w:val="yellow"/>
              </w:rPr>
            </w:pPr>
            <w:r w:rsidRPr="005907D3">
              <w:rPr>
                <w:rFonts w:ascii="IBM Plex Sans Light" w:hAnsi="IBM Plex Sans Light"/>
                <w:sz w:val="16"/>
                <w:szCs w:val="16"/>
              </w:rPr>
              <w:t>1</w:t>
            </w:r>
            <w:r>
              <w:rPr>
                <w:rFonts w:ascii="IBM Plex Sans Light" w:hAnsi="IBM Plex Sans Light"/>
                <w:sz w:val="16"/>
                <w:szCs w:val="16"/>
              </w:rPr>
              <w:t>3B</w:t>
            </w:r>
          </w:p>
        </w:tc>
        <w:tc>
          <w:tcPr>
            <w:tcW w:w="1134" w:type="dxa"/>
            <w:shd w:val="clear" w:color="auto" w:fill="auto"/>
            <w:vAlign w:val="bottom"/>
          </w:tcPr>
          <w:p w14:paraId="3D17B021" w14:textId="77777777" w:rsidR="006B43AF" w:rsidRPr="00FF6762" w:rsidRDefault="006B43AF" w:rsidP="004203CD">
            <w:pPr>
              <w:pStyle w:val="TablesTFigureBracket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(1.1)</w:t>
            </w:r>
          </w:p>
        </w:tc>
        <w:tc>
          <w:tcPr>
            <w:tcW w:w="991" w:type="dxa"/>
            <w:shd w:val="clear" w:color="auto" w:fill="auto"/>
            <w:vAlign w:val="bottom"/>
          </w:tcPr>
          <w:p w14:paraId="50CCAB0B" w14:textId="77777777" w:rsidR="006B43AF" w:rsidRPr="00FF6762" w:rsidRDefault="006B43AF" w:rsidP="004203CD">
            <w:pPr>
              <w:pStyle w:val="TablesTFigureBrackets"/>
              <w:spacing w:line="240" w:lineRule="auto"/>
              <w:rPr>
                <w:rFonts w:ascii="IBM Plex Sans Light" w:hAnsi="IBM Plex Sans Light"/>
                <w:sz w:val="18"/>
                <w:szCs w:val="18"/>
              </w:rPr>
            </w:pPr>
            <w:r w:rsidRPr="00FF6762">
              <w:rPr>
                <w:rFonts w:ascii="IBM Plex Sans Light" w:hAnsi="IBM Plex Sans Light"/>
                <w:sz w:val="18"/>
                <w:szCs w:val="18"/>
              </w:rPr>
              <w:t>(4.4)</w:t>
            </w:r>
          </w:p>
        </w:tc>
      </w:tr>
      <w:tr w:rsidR="006B43AF" w:rsidRPr="005907D3" w14:paraId="013F85D3"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center"/>
          </w:tcPr>
          <w:p w14:paraId="36CEE2D2" w14:textId="77777777" w:rsidR="006B43AF" w:rsidRPr="005907D3" w:rsidRDefault="006B43AF" w:rsidP="004203CD">
            <w:pPr>
              <w:pStyle w:val="TablesTText"/>
              <w:spacing w:line="240" w:lineRule="auto"/>
              <w:rPr>
                <w:rFonts w:ascii="IBM Plex Sans Light" w:hAnsi="IBM Plex Sans Light"/>
                <w:b/>
                <w:sz w:val="18"/>
                <w:szCs w:val="18"/>
              </w:rPr>
            </w:pPr>
          </w:p>
        </w:tc>
        <w:tc>
          <w:tcPr>
            <w:tcW w:w="567" w:type="dxa"/>
            <w:tcBorders>
              <w:top w:val="single" w:sz="2" w:space="0" w:color="3D7FE0" w:themeColor="accent1"/>
              <w:bottom w:val="single" w:sz="2" w:space="0" w:color="3D7FE0" w:themeColor="accent1"/>
            </w:tcBorders>
            <w:shd w:val="clear" w:color="auto" w:fill="auto"/>
            <w:vAlign w:val="center"/>
          </w:tcPr>
          <w:p w14:paraId="39E05952" w14:textId="77777777" w:rsidR="006B43AF" w:rsidRPr="005907D3" w:rsidRDefault="006B43AF" w:rsidP="004203CD">
            <w:pPr>
              <w:pStyle w:val="TablesTText"/>
              <w:spacing w:line="240" w:lineRule="auto"/>
              <w:jc w:val="center"/>
              <w:rPr>
                <w:rFonts w:ascii="IBM Plex Sans Light" w:hAnsi="IBM Plex Sans Light"/>
                <w:b/>
                <w:sz w:val="18"/>
                <w:szCs w:val="18"/>
              </w:rPr>
            </w:pPr>
            <w:r>
              <w:rPr>
                <w:rFonts w:ascii="IBM Plex Sans Light" w:hAnsi="IBM Plex Sans Light"/>
                <w:b/>
                <w:sz w:val="18"/>
                <w:szCs w:val="18"/>
              </w:rPr>
              <w:t>A</w:t>
            </w:r>
          </w:p>
        </w:tc>
        <w:tc>
          <w:tcPr>
            <w:tcW w:w="284" w:type="dxa"/>
            <w:tcBorders>
              <w:top w:val="single" w:sz="2" w:space="0" w:color="3D7FE0" w:themeColor="accent1"/>
              <w:bottom w:val="single" w:sz="2" w:space="0" w:color="3D7FE0" w:themeColor="accent1"/>
            </w:tcBorders>
            <w:shd w:val="clear" w:color="auto" w:fill="auto"/>
            <w:vAlign w:val="center"/>
          </w:tcPr>
          <w:p w14:paraId="6ECF801E"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709" w:type="dxa"/>
            <w:tcBorders>
              <w:top w:val="single" w:sz="2" w:space="0" w:color="3D7FE0" w:themeColor="accent1"/>
              <w:bottom w:val="single" w:sz="2" w:space="0" w:color="3D7FE0" w:themeColor="accent1"/>
            </w:tcBorders>
            <w:shd w:val="clear" w:color="auto" w:fill="auto"/>
            <w:vAlign w:val="center"/>
          </w:tcPr>
          <w:p w14:paraId="2972FD3B" w14:textId="77777777" w:rsidR="006B43AF" w:rsidRPr="005907D3" w:rsidRDefault="006B43AF" w:rsidP="004203CD">
            <w:pPr>
              <w:pStyle w:val="TablesTColHead"/>
              <w:spacing w:line="240" w:lineRule="auto"/>
              <w:rPr>
                <w:rFonts w:ascii="IBM Plex Sans Light" w:hAnsi="IBM Plex Sans Light"/>
                <w:sz w:val="16"/>
                <w:szCs w:val="16"/>
              </w:rPr>
            </w:pPr>
          </w:p>
        </w:tc>
        <w:tc>
          <w:tcPr>
            <w:tcW w:w="1134" w:type="dxa"/>
            <w:tcBorders>
              <w:top w:val="single" w:sz="2" w:space="0" w:color="3D7FE0" w:themeColor="accent1"/>
              <w:bottom w:val="single" w:sz="2" w:space="0" w:color="3D7FE0" w:themeColor="accent1"/>
            </w:tcBorders>
            <w:shd w:val="clear" w:color="auto" w:fill="auto"/>
            <w:vAlign w:val="bottom"/>
          </w:tcPr>
          <w:p w14:paraId="3B697D80" w14:textId="77777777" w:rsidR="006B43AF" w:rsidRPr="00FF6762" w:rsidRDefault="006B43AF" w:rsidP="004203CD">
            <w:pPr>
              <w:pStyle w:val="TablesTFigure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166.4</w:t>
            </w:r>
          </w:p>
        </w:tc>
        <w:tc>
          <w:tcPr>
            <w:tcW w:w="991" w:type="dxa"/>
            <w:tcBorders>
              <w:top w:val="single" w:sz="2" w:space="0" w:color="3D7FE0" w:themeColor="accent1"/>
              <w:bottom w:val="single" w:sz="2" w:space="0" w:color="3D7FE0" w:themeColor="accent1"/>
            </w:tcBorders>
            <w:shd w:val="clear" w:color="auto" w:fill="auto"/>
            <w:vAlign w:val="bottom"/>
          </w:tcPr>
          <w:p w14:paraId="590072C3" w14:textId="77777777" w:rsidR="006B43AF" w:rsidRPr="00FF6762" w:rsidRDefault="006B43AF" w:rsidP="004203CD">
            <w:pPr>
              <w:pStyle w:val="TablesTFigures"/>
              <w:spacing w:line="240" w:lineRule="auto"/>
              <w:rPr>
                <w:rFonts w:ascii="IBM Plex Sans Light" w:hAnsi="IBM Plex Sans Light"/>
                <w:sz w:val="18"/>
                <w:szCs w:val="18"/>
              </w:rPr>
            </w:pPr>
            <w:r w:rsidRPr="00FF6762">
              <w:rPr>
                <w:rFonts w:ascii="IBM Plex Sans Light" w:hAnsi="IBM Plex Sans Light"/>
                <w:sz w:val="18"/>
                <w:szCs w:val="18"/>
              </w:rPr>
              <w:t>170.4</w:t>
            </w:r>
          </w:p>
        </w:tc>
      </w:tr>
      <w:tr w:rsidR="006B43AF" w:rsidRPr="005907D3" w14:paraId="0979E87F" w14:textId="77777777" w:rsidTr="004203CD">
        <w:trPr>
          <w:trHeight w:val="20"/>
        </w:trPr>
        <w:tc>
          <w:tcPr>
            <w:tcW w:w="6237" w:type="dxa"/>
            <w:tcBorders>
              <w:top w:val="single" w:sz="2" w:space="0" w:color="3D7FE0" w:themeColor="accent1"/>
            </w:tcBorders>
            <w:shd w:val="clear" w:color="auto" w:fill="auto"/>
            <w:vAlign w:val="center"/>
          </w:tcPr>
          <w:p w14:paraId="7CFDA11A" w14:textId="77777777" w:rsidR="006B43AF" w:rsidRPr="005907D3" w:rsidRDefault="006B43AF" w:rsidP="004203CD">
            <w:pPr>
              <w:pStyle w:val="TablesTText"/>
              <w:spacing w:line="240" w:lineRule="auto"/>
              <w:rPr>
                <w:rFonts w:ascii="IBM Plex Sans Light" w:hAnsi="IBM Plex Sans Light"/>
                <w:sz w:val="18"/>
                <w:szCs w:val="18"/>
              </w:rPr>
            </w:pPr>
          </w:p>
        </w:tc>
        <w:tc>
          <w:tcPr>
            <w:tcW w:w="567" w:type="dxa"/>
            <w:tcBorders>
              <w:top w:val="single" w:sz="2" w:space="0" w:color="3D7FE0" w:themeColor="accent1"/>
            </w:tcBorders>
            <w:shd w:val="clear" w:color="auto" w:fill="auto"/>
            <w:vAlign w:val="center"/>
          </w:tcPr>
          <w:p w14:paraId="291A5E28"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284" w:type="dxa"/>
            <w:tcBorders>
              <w:top w:val="single" w:sz="2" w:space="0" w:color="3D7FE0" w:themeColor="accent1"/>
            </w:tcBorders>
            <w:shd w:val="clear" w:color="auto" w:fill="auto"/>
            <w:vAlign w:val="center"/>
          </w:tcPr>
          <w:p w14:paraId="739ADF59"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709" w:type="dxa"/>
            <w:tcBorders>
              <w:top w:val="single" w:sz="2" w:space="0" w:color="3D7FE0" w:themeColor="accent1"/>
            </w:tcBorders>
            <w:shd w:val="clear" w:color="auto" w:fill="auto"/>
            <w:vAlign w:val="center"/>
          </w:tcPr>
          <w:p w14:paraId="177749BA" w14:textId="77777777" w:rsidR="006B43AF" w:rsidRPr="005907D3" w:rsidRDefault="006B43AF" w:rsidP="004203CD">
            <w:pPr>
              <w:pStyle w:val="TablesTColHead"/>
              <w:spacing w:line="240" w:lineRule="auto"/>
              <w:rPr>
                <w:rFonts w:ascii="IBM Plex Sans Light" w:hAnsi="IBM Plex Sans Light"/>
                <w:sz w:val="16"/>
                <w:szCs w:val="16"/>
              </w:rPr>
            </w:pPr>
          </w:p>
        </w:tc>
        <w:tc>
          <w:tcPr>
            <w:tcW w:w="1134" w:type="dxa"/>
            <w:tcBorders>
              <w:top w:val="single" w:sz="2" w:space="0" w:color="3D7FE0" w:themeColor="accent1"/>
            </w:tcBorders>
            <w:shd w:val="clear" w:color="auto" w:fill="auto"/>
            <w:vAlign w:val="bottom"/>
          </w:tcPr>
          <w:p w14:paraId="565429BA" w14:textId="77777777" w:rsidR="006B43AF" w:rsidRPr="003360AD" w:rsidRDefault="006B43AF" w:rsidP="004203CD">
            <w:pPr>
              <w:pStyle w:val="TablesTFigures"/>
              <w:spacing w:line="240" w:lineRule="auto"/>
              <w:rPr>
                <w:rFonts w:ascii="IBM Plex Sans Medium" w:hAnsi="IBM Plex Sans Medium"/>
                <w:b/>
                <w:color w:val="3D7FE0" w:themeColor="accent1"/>
                <w:sz w:val="18"/>
                <w:szCs w:val="18"/>
              </w:rPr>
            </w:pPr>
          </w:p>
        </w:tc>
        <w:tc>
          <w:tcPr>
            <w:tcW w:w="991" w:type="dxa"/>
            <w:tcBorders>
              <w:top w:val="single" w:sz="2" w:space="0" w:color="3D7FE0" w:themeColor="accent1"/>
            </w:tcBorders>
            <w:shd w:val="clear" w:color="auto" w:fill="auto"/>
            <w:vAlign w:val="bottom"/>
          </w:tcPr>
          <w:p w14:paraId="75D1B782" w14:textId="77777777" w:rsidR="006B43AF" w:rsidRPr="003360AD" w:rsidRDefault="006B43AF" w:rsidP="004203CD">
            <w:pPr>
              <w:pStyle w:val="TablesTFigures"/>
              <w:spacing w:line="240" w:lineRule="auto"/>
              <w:rPr>
                <w:rFonts w:ascii="IBM Plex Sans Light" w:hAnsi="IBM Plex Sans Light"/>
                <w:b/>
                <w:sz w:val="18"/>
                <w:szCs w:val="18"/>
              </w:rPr>
            </w:pPr>
          </w:p>
        </w:tc>
      </w:tr>
      <w:tr w:rsidR="006B43AF" w:rsidRPr="005907D3" w14:paraId="0AB152C3" w14:textId="77777777" w:rsidTr="004203CD">
        <w:trPr>
          <w:trHeight w:val="20"/>
        </w:trPr>
        <w:tc>
          <w:tcPr>
            <w:tcW w:w="6237" w:type="dxa"/>
            <w:shd w:val="clear" w:color="auto" w:fill="auto"/>
            <w:vAlign w:val="center"/>
          </w:tcPr>
          <w:p w14:paraId="24D903C4" w14:textId="77777777" w:rsidR="006B43AF" w:rsidRPr="005907D3" w:rsidRDefault="006B43AF" w:rsidP="004203CD">
            <w:pPr>
              <w:pStyle w:val="TablesTText"/>
              <w:spacing w:line="240" w:lineRule="auto"/>
              <w:rPr>
                <w:rFonts w:ascii="IBM Plex Sans Light" w:hAnsi="IBM Plex Sans Light"/>
                <w:b/>
                <w:sz w:val="18"/>
                <w:szCs w:val="18"/>
              </w:rPr>
            </w:pPr>
            <w:r w:rsidRPr="005907D3">
              <w:rPr>
                <w:rFonts w:ascii="IBM Plex Sans Light" w:hAnsi="IBM Plex Sans Light"/>
                <w:b/>
                <w:sz w:val="18"/>
                <w:szCs w:val="18"/>
              </w:rPr>
              <w:t>Adjusted net finance costs</w:t>
            </w:r>
          </w:p>
        </w:tc>
        <w:tc>
          <w:tcPr>
            <w:tcW w:w="567" w:type="dxa"/>
            <w:shd w:val="clear" w:color="auto" w:fill="auto"/>
            <w:vAlign w:val="center"/>
          </w:tcPr>
          <w:p w14:paraId="34722F73"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284" w:type="dxa"/>
            <w:shd w:val="clear" w:color="auto" w:fill="auto"/>
            <w:vAlign w:val="center"/>
          </w:tcPr>
          <w:p w14:paraId="1B931FED"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709" w:type="dxa"/>
            <w:shd w:val="clear" w:color="auto" w:fill="auto"/>
            <w:vAlign w:val="center"/>
          </w:tcPr>
          <w:p w14:paraId="763C9612" w14:textId="77777777" w:rsidR="006B43AF" w:rsidRPr="005907D3" w:rsidRDefault="006B43AF" w:rsidP="004203CD">
            <w:pPr>
              <w:pStyle w:val="TablesTColHead"/>
              <w:spacing w:line="240" w:lineRule="auto"/>
              <w:rPr>
                <w:rFonts w:ascii="IBM Plex Sans Light" w:hAnsi="IBM Plex Sans Light"/>
                <w:sz w:val="16"/>
                <w:szCs w:val="16"/>
                <w:highlight w:val="yellow"/>
              </w:rPr>
            </w:pPr>
            <w:r w:rsidRPr="005907D3">
              <w:rPr>
                <w:rFonts w:ascii="IBM Plex Sans Light" w:hAnsi="IBM Plex Sans Light"/>
                <w:sz w:val="16"/>
                <w:szCs w:val="16"/>
              </w:rPr>
              <w:t>2</w:t>
            </w:r>
          </w:p>
        </w:tc>
        <w:tc>
          <w:tcPr>
            <w:tcW w:w="1134" w:type="dxa"/>
            <w:shd w:val="clear" w:color="auto" w:fill="auto"/>
            <w:vAlign w:val="bottom"/>
          </w:tcPr>
          <w:p w14:paraId="0D561B9D" w14:textId="77777777" w:rsidR="006B43AF" w:rsidRPr="00FF6762" w:rsidRDefault="006B43AF" w:rsidP="004203CD">
            <w:pPr>
              <w:pStyle w:val="TablesTFigure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45.9</w:t>
            </w:r>
          </w:p>
        </w:tc>
        <w:tc>
          <w:tcPr>
            <w:tcW w:w="991" w:type="dxa"/>
            <w:shd w:val="clear" w:color="auto" w:fill="auto"/>
            <w:vAlign w:val="bottom"/>
          </w:tcPr>
          <w:p w14:paraId="3B6E1F3E" w14:textId="77777777" w:rsidR="006B43AF" w:rsidRPr="00FF6762" w:rsidRDefault="006B43AF" w:rsidP="004203CD">
            <w:pPr>
              <w:pStyle w:val="TablesTFigures"/>
              <w:spacing w:line="240" w:lineRule="auto"/>
              <w:rPr>
                <w:rFonts w:ascii="IBM Plex Sans Light" w:hAnsi="IBM Plex Sans Light"/>
                <w:sz w:val="18"/>
                <w:szCs w:val="18"/>
              </w:rPr>
            </w:pPr>
            <w:r w:rsidRPr="00FF6762">
              <w:rPr>
                <w:rFonts w:ascii="IBM Plex Sans Light" w:hAnsi="IBM Plex Sans Light"/>
                <w:sz w:val="18"/>
                <w:szCs w:val="18"/>
              </w:rPr>
              <w:t>54.0</w:t>
            </w:r>
          </w:p>
        </w:tc>
      </w:tr>
      <w:tr w:rsidR="006B43AF" w:rsidRPr="005907D3" w14:paraId="6B0F790D" w14:textId="77777777" w:rsidTr="004203CD">
        <w:trPr>
          <w:trHeight w:val="20"/>
        </w:trPr>
        <w:tc>
          <w:tcPr>
            <w:tcW w:w="6237" w:type="dxa"/>
            <w:shd w:val="clear" w:color="auto" w:fill="auto"/>
            <w:vAlign w:val="center"/>
          </w:tcPr>
          <w:p w14:paraId="4FC0B005"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Less</w:t>
            </w:r>
            <w:r>
              <w:rPr>
                <w:rFonts w:ascii="IBM Plex Sans Light" w:hAnsi="IBM Plex Sans Light"/>
                <w:sz w:val="18"/>
                <w:szCs w:val="18"/>
              </w:rPr>
              <w:t xml:space="preserve"> i</w:t>
            </w:r>
            <w:r w:rsidRPr="005907D3">
              <w:rPr>
                <w:rFonts w:ascii="IBM Plex Sans Light" w:hAnsi="IBM Plex Sans Light"/>
                <w:sz w:val="18"/>
                <w:szCs w:val="18"/>
              </w:rPr>
              <w:t xml:space="preserve">nterest on lease obligations and pensions </w:t>
            </w:r>
          </w:p>
        </w:tc>
        <w:tc>
          <w:tcPr>
            <w:tcW w:w="567" w:type="dxa"/>
            <w:shd w:val="clear" w:color="auto" w:fill="auto"/>
            <w:vAlign w:val="center"/>
          </w:tcPr>
          <w:p w14:paraId="2E2D9DF6"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284" w:type="dxa"/>
            <w:shd w:val="clear" w:color="auto" w:fill="auto"/>
            <w:vAlign w:val="center"/>
          </w:tcPr>
          <w:p w14:paraId="2711C0A8"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709" w:type="dxa"/>
            <w:shd w:val="clear" w:color="auto" w:fill="auto"/>
            <w:vAlign w:val="center"/>
          </w:tcPr>
          <w:p w14:paraId="6F18C226" w14:textId="77777777" w:rsidR="006B43AF" w:rsidRPr="005907D3" w:rsidRDefault="006B43AF" w:rsidP="004203CD">
            <w:pPr>
              <w:pStyle w:val="TablesTColHead"/>
              <w:spacing w:line="240" w:lineRule="auto"/>
              <w:rPr>
                <w:rFonts w:ascii="IBM Plex Sans Light" w:hAnsi="IBM Plex Sans Light"/>
                <w:sz w:val="16"/>
                <w:szCs w:val="16"/>
                <w:highlight w:val="yellow"/>
              </w:rPr>
            </w:pPr>
          </w:p>
        </w:tc>
        <w:tc>
          <w:tcPr>
            <w:tcW w:w="1134" w:type="dxa"/>
            <w:shd w:val="clear" w:color="auto" w:fill="auto"/>
            <w:vAlign w:val="bottom"/>
          </w:tcPr>
          <w:p w14:paraId="23DD12D5" w14:textId="77777777" w:rsidR="006B43AF" w:rsidRPr="00FF6762" w:rsidRDefault="006B43AF" w:rsidP="004203CD">
            <w:pPr>
              <w:pStyle w:val="TablesTFigureBracket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(3.3)</w:t>
            </w:r>
          </w:p>
        </w:tc>
        <w:tc>
          <w:tcPr>
            <w:tcW w:w="991" w:type="dxa"/>
            <w:shd w:val="clear" w:color="auto" w:fill="auto"/>
            <w:vAlign w:val="bottom"/>
          </w:tcPr>
          <w:p w14:paraId="732845ED" w14:textId="77777777" w:rsidR="006B43AF" w:rsidRPr="00FF6762" w:rsidRDefault="006B43AF" w:rsidP="004203CD">
            <w:pPr>
              <w:pStyle w:val="TablesTFigureBrackets"/>
              <w:spacing w:line="240" w:lineRule="auto"/>
              <w:rPr>
                <w:rFonts w:ascii="IBM Plex Sans Light" w:hAnsi="IBM Plex Sans Light"/>
                <w:sz w:val="18"/>
                <w:szCs w:val="18"/>
              </w:rPr>
            </w:pPr>
            <w:r w:rsidRPr="00FF6762">
              <w:rPr>
                <w:rFonts w:ascii="IBM Plex Sans Light" w:hAnsi="IBM Plex Sans Light"/>
                <w:sz w:val="18"/>
                <w:szCs w:val="18"/>
              </w:rPr>
              <w:t>(2.6)</w:t>
            </w:r>
          </w:p>
        </w:tc>
      </w:tr>
      <w:tr w:rsidR="006B43AF" w:rsidRPr="005907D3" w14:paraId="21444AEE" w14:textId="77777777" w:rsidTr="004203CD">
        <w:trPr>
          <w:trHeight w:val="20"/>
        </w:trPr>
        <w:tc>
          <w:tcPr>
            <w:tcW w:w="6237" w:type="dxa"/>
            <w:shd w:val="clear" w:color="auto" w:fill="auto"/>
            <w:vAlign w:val="center"/>
          </w:tcPr>
          <w:p w14:paraId="4BA3CD8D"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Add</w:t>
            </w:r>
            <w:r>
              <w:rPr>
                <w:rFonts w:ascii="IBM Plex Sans Light" w:hAnsi="IBM Plex Sans Light"/>
                <w:sz w:val="18"/>
                <w:szCs w:val="18"/>
              </w:rPr>
              <w:t xml:space="preserve"> c</w:t>
            </w:r>
            <w:r w:rsidRPr="005907D3">
              <w:rPr>
                <w:rFonts w:ascii="IBM Plex Sans Light" w:hAnsi="IBM Plex Sans Light"/>
                <w:sz w:val="18"/>
                <w:szCs w:val="18"/>
              </w:rPr>
              <w:t>apitalised interest</w:t>
            </w:r>
          </w:p>
        </w:tc>
        <w:tc>
          <w:tcPr>
            <w:tcW w:w="567" w:type="dxa"/>
            <w:shd w:val="clear" w:color="auto" w:fill="auto"/>
            <w:vAlign w:val="center"/>
          </w:tcPr>
          <w:p w14:paraId="66116E5D"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284" w:type="dxa"/>
            <w:shd w:val="clear" w:color="auto" w:fill="auto"/>
            <w:vAlign w:val="center"/>
          </w:tcPr>
          <w:p w14:paraId="45C3E550"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709" w:type="dxa"/>
            <w:shd w:val="clear" w:color="auto" w:fill="auto"/>
            <w:vAlign w:val="center"/>
          </w:tcPr>
          <w:p w14:paraId="07410DC0" w14:textId="77777777" w:rsidR="006B43AF" w:rsidRPr="005907D3" w:rsidRDefault="006B43AF" w:rsidP="004203CD">
            <w:pPr>
              <w:pStyle w:val="TablesTColHead"/>
              <w:spacing w:line="240" w:lineRule="auto"/>
              <w:rPr>
                <w:rFonts w:ascii="IBM Plex Sans Light" w:hAnsi="IBM Plex Sans Light" w:cs="Arial"/>
                <w:sz w:val="16"/>
                <w:szCs w:val="16"/>
                <w:highlight w:val="yellow"/>
              </w:rPr>
            </w:pPr>
            <w:r>
              <w:rPr>
                <w:rFonts w:ascii="IBM Plex Sans Light" w:hAnsi="IBM Plex Sans Light" w:cs="Arial"/>
                <w:sz w:val="16"/>
                <w:szCs w:val="16"/>
              </w:rPr>
              <w:t>6</w:t>
            </w:r>
          </w:p>
        </w:tc>
        <w:tc>
          <w:tcPr>
            <w:tcW w:w="1134" w:type="dxa"/>
            <w:shd w:val="clear" w:color="auto" w:fill="auto"/>
            <w:vAlign w:val="bottom"/>
          </w:tcPr>
          <w:p w14:paraId="65B93080" w14:textId="77777777" w:rsidR="006B43AF" w:rsidRPr="00FF6762" w:rsidRDefault="006B43AF" w:rsidP="004203CD">
            <w:pPr>
              <w:pStyle w:val="TablesTFigure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w:t>
            </w:r>
          </w:p>
        </w:tc>
        <w:tc>
          <w:tcPr>
            <w:tcW w:w="991" w:type="dxa"/>
            <w:shd w:val="clear" w:color="auto" w:fill="auto"/>
            <w:vAlign w:val="bottom"/>
          </w:tcPr>
          <w:p w14:paraId="0C868FB8" w14:textId="77777777" w:rsidR="006B43AF" w:rsidRPr="00FF6762" w:rsidRDefault="006B43AF" w:rsidP="004203CD">
            <w:pPr>
              <w:pStyle w:val="TablesTFigures"/>
              <w:spacing w:line="240" w:lineRule="auto"/>
              <w:rPr>
                <w:rFonts w:ascii="IBM Plex Sans Light" w:hAnsi="IBM Plex Sans Light"/>
                <w:sz w:val="18"/>
                <w:szCs w:val="18"/>
              </w:rPr>
            </w:pPr>
            <w:r w:rsidRPr="00FF6762">
              <w:rPr>
                <w:rFonts w:ascii="IBM Plex Sans Light" w:hAnsi="IBM Plex Sans Light"/>
                <w:sz w:val="18"/>
                <w:szCs w:val="18"/>
              </w:rPr>
              <w:t>1.2</w:t>
            </w:r>
          </w:p>
        </w:tc>
      </w:tr>
      <w:tr w:rsidR="006B43AF" w:rsidRPr="005907D3" w14:paraId="57E93C44"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center"/>
          </w:tcPr>
          <w:p w14:paraId="53FB5212" w14:textId="77777777" w:rsidR="006B43AF" w:rsidRPr="005907D3" w:rsidRDefault="006B43AF" w:rsidP="004203CD">
            <w:pPr>
              <w:pStyle w:val="TablesTText"/>
              <w:spacing w:line="240" w:lineRule="auto"/>
              <w:rPr>
                <w:rFonts w:ascii="IBM Plex Sans Light" w:hAnsi="IBM Plex Sans Light"/>
                <w:b/>
                <w:sz w:val="18"/>
                <w:szCs w:val="18"/>
              </w:rPr>
            </w:pPr>
          </w:p>
        </w:tc>
        <w:tc>
          <w:tcPr>
            <w:tcW w:w="567" w:type="dxa"/>
            <w:tcBorders>
              <w:top w:val="single" w:sz="2" w:space="0" w:color="3D7FE0" w:themeColor="accent1"/>
              <w:bottom w:val="single" w:sz="2" w:space="0" w:color="3D7FE0" w:themeColor="accent1"/>
            </w:tcBorders>
            <w:shd w:val="clear" w:color="auto" w:fill="auto"/>
            <w:vAlign w:val="center"/>
          </w:tcPr>
          <w:p w14:paraId="6B884C8F" w14:textId="77777777" w:rsidR="006B43AF" w:rsidRPr="005907D3" w:rsidRDefault="006B43AF" w:rsidP="004203CD">
            <w:pPr>
              <w:pStyle w:val="TablesTText"/>
              <w:spacing w:line="240" w:lineRule="auto"/>
              <w:jc w:val="center"/>
              <w:rPr>
                <w:rFonts w:ascii="IBM Plex Sans Light" w:hAnsi="IBM Plex Sans Light"/>
                <w:b/>
                <w:sz w:val="18"/>
                <w:szCs w:val="18"/>
              </w:rPr>
            </w:pPr>
            <w:r>
              <w:rPr>
                <w:rFonts w:ascii="IBM Plex Sans Light" w:hAnsi="IBM Plex Sans Light"/>
                <w:b/>
                <w:sz w:val="18"/>
                <w:szCs w:val="18"/>
              </w:rPr>
              <w:t>B</w:t>
            </w:r>
          </w:p>
        </w:tc>
        <w:tc>
          <w:tcPr>
            <w:tcW w:w="284" w:type="dxa"/>
            <w:tcBorders>
              <w:top w:val="single" w:sz="2" w:space="0" w:color="3D7FE0" w:themeColor="accent1"/>
              <w:bottom w:val="single" w:sz="2" w:space="0" w:color="3D7FE0" w:themeColor="accent1"/>
            </w:tcBorders>
            <w:shd w:val="clear" w:color="auto" w:fill="auto"/>
            <w:vAlign w:val="center"/>
          </w:tcPr>
          <w:p w14:paraId="66EE09DA"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709" w:type="dxa"/>
            <w:tcBorders>
              <w:top w:val="single" w:sz="2" w:space="0" w:color="3D7FE0" w:themeColor="accent1"/>
              <w:bottom w:val="single" w:sz="2" w:space="0" w:color="3D7FE0" w:themeColor="accent1"/>
            </w:tcBorders>
            <w:shd w:val="clear" w:color="auto" w:fill="auto"/>
            <w:vAlign w:val="center"/>
          </w:tcPr>
          <w:p w14:paraId="54FCCC6E" w14:textId="77777777" w:rsidR="006B43AF" w:rsidRPr="005907D3" w:rsidRDefault="006B43AF" w:rsidP="004203CD">
            <w:pPr>
              <w:pStyle w:val="TablesTColHead"/>
              <w:spacing w:line="240" w:lineRule="auto"/>
              <w:rPr>
                <w:rFonts w:ascii="IBM Plex Sans Light" w:hAnsi="IBM Plex Sans Light"/>
                <w:b/>
                <w:sz w:val="16"/>
                <w:szCs w:val="16"/>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013B88CF" w14:textId="77777777" w:rsidR="006B43AF" w:rsidRPr="00FF6762" w:rsidRDefault="006B43AF" w:rsidP="004203CD">
            <w:pPr>
              <w:pStyle w:val="TablesTFigures"/>
              <w:spacing w:line="240" w:lineRule="auto"/>
              <w:rPr>
                <w:rFonts w:ascii="IBM Plex Sans Medium" w:hAnsi="IBM Plex Sans Medium"/>
                <w:b/>
                <w:color w:val="3D7FE0" w:themeColor="accent1"/>
                <w:sz w:val="18"/>
                <w:szCs w:val="18"/>
              </w:rPr>
            </w:pPr>
            <w:r w:rsidRPr="00FF6762">
              <w:rPr>
                <w:rFonts w:ascii="IBM Plex Sans Medium" w:hAnsi="IBM Plex Sans Medium"/>
                <w:b/>
                <w:color w:val="3D7FE0" w:themeColor="accent1"/>
                <w:sz w:val="18"/>
                <w:szCs w:val="18"/>
              </w:rPr>
              <w:t>42.6</w:t>
            </w:r>
          </w:p>
        </w:tc>
        <w:tc>
          <w:tcPr>
            <w:tcW w:w="991" w:type="dxa"/>
            <w:tcBorders>
              <w:top w:val="single" w:sz="2" w:space="0" w:color="3D7FE0" w:themeColor="accent1"/>
              <w:bottom w:val="single" w:sz="2" w:space="0" w:color="3D7FE0" w:themeColor="accent1"/>
            </w:tcBorders>
            <w:shd w:val="clear" w:color="auto" w:fill="auto"/>
            <w:vAlign w:val="bottom"/>
          </w:tcPr>
          <w:p w14:paraId="63FC0F71" w14:textId="77777777" w:rsidR="006B43AF" w:rsidRPr="00FF6762" w:rsidRDefault="006B43AF" w:rsidP="004203CD">
            <w:pPr>
              <w:pStyle w:val="TablesTFigures"/>
              <w:spacing w:line="240" w:lineRule="auto"/>
              <w:rPr>
                <w:rFonts w:ascii="IBM Plex Sans Light" w:hAnsi="IBM Plex Sans Light"/>
                <w:sz w:val="18"/>
                <w:szCs w:val="18"/>
              </w:rPr>
            </w:pPr>
            <w:r w:rsidRPr="00FF6762">
              <w:rPr>
                <w:rFonts w:ascii="IBM Plex Sans Light" w:hAnsi="IBM Plex Sans Light"/>
                <w:sz w:val="18"/>
                <w:szCs w:val="18"/>
              </w:rPr>
              <w:t>52.6</w:t>
            </w:r>
          </w:p>
        </w:tc>
      </w:tr>
      <w:tr w:rsidR="006B43AF" w:rsidRPr="005907D3" w14:paraId="0642AB5D"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center"/>
          </w:tcPr>
          <w:p w14:paraId="29B9D652" w14:textId="77777777" w:rsidR="006B43AF" w:rsidRPr="005907D3" w:rsidRDefault="006B43AF" w:rsidP="004203CD">
            <w:pPr>
              <w:pStyle w:val="TablesTText"/>
              <w:spacing w:line="240" w:lineRule="auto"/>
              <w:rPr>
                <w:rFonts w:ascii="IBM Plex Sans Light" w:hAnsi="IBM Plex Sans Light"/>
                <w:sz w:val="18"/>
                <w:szCs w:val="18"/>
              </w:rPr>
            </w:pPr>
          </w:p>
        </w:tc>
        <w:tc>
          <w:tcPr>
            <w:tcW w:w="567" w:type="dxa"/>
            <w:tcBorders>
              <w:top w:val="single" w:sz="2" w:space="0" w:color="3D7FE0" w:themeColor="accent1"/>
              <w:bottom w:val="single" w:sz="2" w:space="0" w:color="3D7FE0" w:themeColor="accent1"/>
            </w:tcBorders>
            <w:shd w:val="clear" w:color="auto" w:fill="auto"/>
            <w:vAlign w:val="center"/>
          </w:tcPr>
          <w:p w14:paraId="595FC48E"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284" w:type="dxa"/>
            <w:tcBorders>
              <w:top w:val="single" w:sz="2" w:space="0" w:color="3D7FE0" w:themeColor="accent1"/>
              <w:bottom w:val="single" w:sz="2" w:space="0" w:color="3D7FE0" w:themeColor="accent1"/>
            </w:tcBorders>
            <w:shd w:val="clear" w:color="auto" w:fill="auto"/>
            <w:vAlign w:val="center"/>
          </w:tcPr>
          <w:p w14:paraId="4A046157" w14:textId="77777777" w:rsidR="006B43AF" w:rsidRPr="005907D3" w:rsidRDefault="006B43AF" w:rsidP="004203CD">
            <w:pPr>
              <w:pStyle w:val="TablesTText"/>
              <w:spacing w:line="240" w:lineRule="auto"/>
              <w:jc w:val="center"/>
              <w:rPr>
                <w:rFonts w:ascii="IBM Plex Sans Light" w:hAnsi="IBM Plex Sans Light"/>
                <w:sz w:val="18"/>
                <w:szCs w:val="18"/>
              </w:rPr>
            </w:pPr>
          </w:p>
        </w:tc>
        <w:tc>
          <w:tcPr>
            <w:tcW w:w="709" w:type="dxa"/>
            <w:tcBorders>
              <w:top w:val="single" w:sz="2" w:space="0" w:color="3D7FE0" w:themeColor="accent1"/>
              <w:bottom w:val="single" w:sz="2" w:space="0" w:color="3D7FE0" w:themeColor="accent1"/>
            </w:tcBorders>
            <w:shd w:val="clear" w:color="auto" w:fill="auto"/>
            <w:vAlign w:val="center"/>
          </w:tcPr>
          <w:p w14:paraId="251713B5" w14:textId="77777777" w:rsidR="006B43AF" w:rsidRPr="005907D3" w:rsidRDefault="006B43AF" w:rsidP="004203CD">
            <w:pPr>
              <w:pStyle w:val="TablesTColHead"/>
              <w:spacing w:line="240" w:lineRule="auto"/>
              <w:rPr>
                <w:rFonts w:ascii="IBM Plex Sans Light" w:hAnsi="IBM Plex Sans Light"/>
                <w:sz w:val="16"/>
                <w:szCs w:val="16"/>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015BDD13" w14:textId="77777777" w:rsidR="006B43AF" w:rsidRPr="003360AD" w:rsidRDefault="006B43AF" w:rsidP="004203CD">
            <w:pPr>
              <w:pStyle w:val="TablesTFigures"/>
              <w:spacing w:line="240" w:lineRule="auto"/>
              <w:rPr>
                <w:rFonts w:ascii="IBM Plex Sans Medium" w:hAnsi="IBM Plex Sans Medium"/>
                <w:b/>
                <w:color w:val="3D7FE0" w:themeColor="accent1"/>
                <w:sz w:val="18"/>
                <w:szCs w:val="18"/>
              </w:rPr>
            </w:pPr>
          </w:p>
        </w:tc>
        <w:tc>
          <w:tcPr>
            <w:tcW w:w="991" w:type="dxa"/>
            <w:tcBorders>
              <w:top w:val="single" w:sz="2" w:space="0" w:color="3D7FE0" w:themeColor="accent1"/>
              <w:bottom w:val="single" w:sz="2" w:space="0" w:color="3D7FE0" w:themeColor="accent1"/>
            </w:tcBorders>
            <w:shd w:val="clear" w:color="auto" w:fill="auto"/>
            <w:vAlign w:val="bottom"/>
          </w:tcPr>
          <w:p w14:paraId="3C3CDEF8" w14:textId="77777777" w:rsidR="006B43AF" w:rsidRPr="003360AD" w:rsidRDefault="006B43AF" w:rsidP="004203CD">
            <w:pPr>
              <w:pStyle w:val="TablesTFigures"/>
              <w:spacing w:line="240" w:lineRule="auto"/>
              <w:rPr>
                <w:rFonts w:ascii="IBM Plex Sans Light" w:hAnsi="IBM Plex Sans Light"/>
                <w:b/>
                <w:sz w:val="18"/>
                <w:szCs w:val="18"/>
              </w:rPr>
            </w:pPr>
          </w:p>
        </w:tc>
      </w:tr>
      <w:tr w:rsidR="006B43AF" w:rsidRPr="005907D3" w14:paraId="3E2FF613" w14:textId="77777777" w:rsidTr="004203CD">
        <w:trPr>
          <w:trHeight w:val="20"/>
        </w:trPr>
        <w:tc>
          <w:tcPr>
            <w:tcW w:w="6237" w:type="dxa"/>
            <w:tcBorders>
              <w:top w:val="single" w:sz="2" w:space="0" w:color="3D7FE0" w:themeColor="accent1"/>
              <w:bottom w:val="single" w:sz="8" w:space="0" w:color="3D7FE0" w:themeColor="accent1"/>
            </w:tcBorders>
            <w:shd w:val="clear" w:color="auto" w:fill="auto"/>
            <w:vAlign w:val="center"/>
          </w:tcPr>
          <w:p w14:paraId="46B4B081" w14:textId="77777777" w:rsidR="006B43AF" w:rsidRPr="005907D3" w:rsidRDefault="006B43AF" w:rsidP="004203CD">
            <w:pPr>
              <w:pStyle w:val="TablesTText"/>
              <w:spacing w:line="240" w:lineRule="auto"/>
              <w:rPr>
                <w:rFonts w:ascii="IBM Plex Sans Light" w:hAnsi="IBM Plex Sans Light"/>
                <w:b/>
                <w:sz w:val="18"/>
                <w:szCs w:val="18"/>
              </w:rPr>
            </w:pPr>
            <w:r w:rsidRPr="005907D3">
              <w:rPr>
                <w:rFonts w:ascii="IBM Plex Sans Light" w:hAnsi="IBM Plex Sans Light"/>
                <w:b/>
                <w:sz w:val="18"/>
                <w:szCs w:val="18"/>
              </w:rPr>
              <w:t xml:space="preserve">Interest cover </w:t>
            </w:r>
          </w:p>
        </w:tc>
        <w:tc>
          <w:tcPr>
            <w:tcW w:w="567" w:type="dxa"/>
            <w:tcBorders>
              <w:top w:val="single" w:sz="2" w:space="0" w:color="3D7FE0" w:themeColor="accent1"/>
              <w:bottom w:val="single" w:sz="8" w:space="0" w:color="3D7FE0" w:themeColor="accent1"/>
            </w:tcBorders>
            <w:shd w:val="clear" w:color="auto" w:fill="auto"/>
            <w:vAlign w:val="center"/>
          </w:tcPr>
          <w:p w14:paraId="1CE414AA" w14:textId="77777777" w:rsidR="006B43AF" w:rsidRPr="005907D3" w:rsidRDefault="006B43AF" w:rsidP="004203CD">
            <w:pPr>
              <w:pStyle w:val="TablesTText"/>
              <w:spacing w:line="240" w:lineRule="auto"/>
              <w:jc w:val="center"/>
              <w:rPr>
                <w:rFonts w:ascii="IBM Plex Sans Light" w:hAnsi="IBM Plex Sans Light"/>
                <w:b/>
                <w:sz w:val="18"/>
                <w:szCs w:val="18"/>
              </w:rPr>
            </w:pPr>
            <w:r>
              <w:rPr>
                <w:rFonts w:ascii="IBM Plex Sans Light" w:hAnsi="IBM Plex Sans Light"/>
                <w:b/>
                <w:sz w:val="18"/>
                <w:szCs w:val="18"/>
              </w:rPr>
              <w:t>A/B</w:t>
            </w:r>
          </w:p>
        </w:tc>
        <w:tc>
          <w:tcPr>
            <w:tcW w:w="284" w:type="dxa"/>
            <w:tcBorders>
              <w:top w:val="single" w:sz="2" w:space="0" w:color="3D7FE0" w:themeColor="accent1"/>
              <w:bottom w:val="single" w:sz="8" w:space="0" w:color="3D7FE0" w:themeColor="accent1"/>
            </w:tcBorders>
            <w:shd w:val="clear" w:color="auto" w:fill="auto"/>
            <w:vAlign w:val="center"/>
          </w:tcPr>
          <w:p w14:paraId="74F98264"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709" w:type="dxa"/>
            <w:tcBorders>
              <w:top w:val="single" w:sz="2" w:space="0" w:color="3D7FE0" w:themeColor="accent1"/>
              <w:bottom w:val="single" w:sz="8" w:space="0" w:color="3D7FE0" w:themeColor="accent1"/>
            </w:tcBorders>
            <w:shd w:val="clear" w:color="auto" w:fill="auto"/>
            <w:vAlign w:val="center"/>
          </w:tcPr>
          <w:p w14:paraId="230C1EDB" w14:textId="77777777" w:rsidR="006B43AF" w:rsidRPr="005907D3" w:rsidRDefault="006B43AF" w:rsidP="004203CD">
            <w:pPr>
              <w:pStyle w:val="TablesTColHead"/>
              <w:spacing w:line="240" w:lineRule="auto"/>
              <w:rPr>
                <w:rFonts w:ascii="IBM Plex Sans Light" w:hAnsi="IBM Plex Sans Light"/>
                <w:b/>
                <w:sz w:val="16"/>
                <w:szCs w:val="16"/>
              </w:rPr>
            </w:pPr>
            <w:r w:rsidRPr="005907D3">
              <w:rPr>
                <w:rFonts w:ascii="Arial" w:hAnsi="Arial" w:cs="Arial"/>
                <w:b/>
                <w:sz w:val="16"/>
                <w:szCs w:val="16"/>
              </w:rPr>
              <w:t>​</w:t>
            </w:r>
          </w:p>
        </w:tc>
        <w:tc>
          <w:tcPr>
            <w:tcW w:w="1134" w:type="dxa"/>
            <w:tcBorders>
              <w:top w:val="single" w:sz="2" w:space="0" w:color="3D7FE0" w:themeColor="accent1"/>
              <w:bottom w:val="single" w:sz="8" w:space="0" w:color="3D7FE0" w:themeColor="accent1"/>
            </w:tcBorders>
            <w:shd w:val="clear" w:color="auto" w:fill="auto"/>
            <w:vAlign w:val="bottom"/>
          </w:tcPr>
          <w:p w14:paraId="23087A06" w14:textId="77777777" w:rsidR="006B43AF" w:rsidRPr="003360AD" w:rsidRDefault="006B43AF" w:rsidP="004203CD">
            <w:pPr>
              <w:pStyle w:val="TablesTFigures"/>
              <w:spacing w:line="240" w:lineRule="auto"/>
              <w:rPr>
                <w:rFonts w:ascii="IBM Plex Sans Medium" w:hAnsi="IBM Plex Sans Medium"/>
                <w:b/>
                <w:color w:val="3D7FE0" w:themeColor="accent1"/>
                <w:sz w:val="18"/>
                <w:szCs w:val="18"/>
              </w:rPr>
            </w:pPr>
            <w:r w:rsidRPr="003360AD">
              <w:rPr>
                <w:rFonts w:ascii="IBM Plex Sans Medium" w:hAnsi="IBM Plex Sans Medium"/>
                <w:b/>
                <w:color w:val="3D7FE0" w:themeColor="accent1"/>
                <w:sz w:val="18"/>
                <w:szCs w:val="18"/>
              </w:rPr>
              <w:t>3</w:t>
            </w:r>
            <w:r>
              <w:rPr>
                <w:rFonts w:ascii="IBM Plex Sans Medium" w:hAnsi="IBM Plex Sans Medium"/>
                <w:b/>
                <w:color w:val="3D7FE0" w:themeColor="accent1"/>
                <w:sz w:val="18"/>
                <w:szCs w:val="18"/>
              </w:rPr>
              <w:t>.91x</w:t>
            </w:r>
          </w:p>
        </w:tc>
        <w:tc>
          <w:tcPr>
            <w:tcW w:w="991" w:type="dxa"/>
            <w:tcBorders>
              <w:top w:val="single" w:sz="2" w:space="0" w:color="3D7FE0" w:themeColor="accent1"/>
              <w:bottom w:val="single" w:sz="8" w:space="0" w:color="3D7FE0" w:themeColor="accent1"/>
            </w:tcBorders>
            <w:shd w:val="clear" w:color="auto" w:fill="auto"/>
            <w:vAlign w:val="bottom"/>
          </w:tcPr>
          <w:p w14:paraId="173DF014" w14:textId="77777777" w:rsidR="006B43AF" w:rsidRPr="00024B10" w:rsidRDefault="006B43AF" w:rsidP="004203CD">
            <w:pPr>
              <w:pStyle w:val="TablesTFigures"/>
              <w:spacing w:line="240" w:lineRule="auto"/>
              <w:rPr>
                <w:rFonts w:ascii="IBM Plex Sans Light" w:hAnsi="IBM Plex Sans Light"/>
                <w:bCs/>
                <w:sz w:val="18"/>
                <w:szCs w:val="18"/>
              </w:rPr>
            </w:pPr>
            <w:r w:rsidRPr="00024B10">
              <w:rPr>
                <w:rFonts w:ascii="IBM Plex Sans Light" w:hAnsi="IBM Plex Sans Light"/>
                <w:bCs/>
                <w:sz w:val="18"/>
                <w:szCs w:val="18"/>
              </w:rPr>
              <w:t>3.24x</w:t>
            </w:r>
          </w:p>
        </w:tc>
      </w:tr>
    </w:tbl>
    <w:p w14:paraId="51000354" w14:textId="77777777" w:rsidR="006B43AF"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p>
    <w:p w14:paraId="088C91D9"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Gearing </w:t>
      </w:r>
    </w:p>
    <w:p w14:paraId="13C3EDA1" w14:textId="77777777" w:rsidR="006B43AF" w:rsidRPr="00280504" w:rsidRDefault="006B43AF" w:rsidP="006B43AF">
      <w:pPr>
        <w:rPr>
          <w:rFonts w:ascii="IBM Plex Sans Light" w:hAnsi="IBM Plex Sans Light"/>
          <w:b/>
        </w:rPr>
      </w:pPr>
      <w:r w:rsidRPr="00280504">
        <w:rPr>
          <w:rFonts w:ascii="IBM Plex Sans Light" w:hAnsi="IBM Plex Sans Light"/>
          <w:b/>
        </w:rPr>
        <w:t>Table 1</w:t>
      </w:r>
      <w:r>
        <w:rPr>
          <w:rFonts w:ascii="IBM Plex Sans Light" w:hAnsi="IBM Plex Sans Light"/>
          <w:b/>
        </w:rPr>
        <w:t>8</w:t>
      </w:r>
    </w:p>
    <w:tbl>
      <w:tblPr>
        <w:tblW w:w="9949" w:type="dxa"/>
        <w:tblLayout w:type="fixed"/>
        <w:tblCellMar>
          <w:left w:w="0" w:type="dxa"/>
          <w:right w:w="0" w:type="dxa"/>
        </w:tblCellMar>
        <w:tblLook w:val="04A0" w:firstRow="1" w:lastRow="0" w:firstColumn="1" w:lastColumn="0" w:noHBand="0" w:noVBand="1"/>
      </w:tblPr>
      <w:tblGrid>
        <w:gridCol w:w="6237"/>
        <w:gridCol w:w="567"/>
        <w:gridCol w:w="284"/>
        <w:gridCol w:w="709"/>
        <w:gridCol w:w="1134"/>
        <w:gridCol w:w="1018"/>
      </w:tblGrid>
      <w:tr w:rsidR="006B43AF" w:rsidRPr="005907D3" w14:paraId="4A5DA88E" w14:textId="77777777" w:rsidTr="004203CD">
        <w:trPr>
          <w:trHeight w:val="20"/>
        </w:trPr>
        <w:tc>
          <w:tcPr>
            <w:tcW w:w="6237" w:type="dxa"/>
            <w:tcBorders>
              <w:bottom w:val="single" w:sz="2" w:space="0" w:color="3D7FE0" w:themeColor="accent1"/>
            </w:tcBorders>
            <w:shd w:val="clear" w:color="auto" w:fill="auto"/>
            <w:vAlign w:val="bottom"/>
          </w:tcPr>
          <w:p w14:paraId="5E7FEB04" w14:textId="77777777" w:rsidR="006B43AF" w:rsidRPr="005907D3" w:rsidRDefault="006B43AF" w:rsidP="004203CD">
            <w:pPr>
              <w:pStyle w:val="TablesTColHead"/>
              <w:jc w:val="left"/>
              <w:rPr>
                <w:rFonts w:ascii="IBM Plex Sans Light" w:hAnsi="IBM Plex Sans Light"/>
                <w:highlight w:val="yellow"/>
              </w:rPr>
            </w:pPr>
            <w:r w:rsidRPr="005907D3">
              <w:rPr>
                <w:rFonts w:ascii="IBM Plex Sans Light" w:hAnsi="IBM Plex Sans Light"/>
                <w:b/>
                <w:bCs/>
                <w:color w:val="3D7FE0" w:themeColor="accent1"/>
                <w:sz w:val="14"/>
                <w:szCs w:val="24"/>
              </w:rPr>
              <w:t xml:space="preserve">Proportionally consolidated </w:t>
            </w:r>
          </w:p>
        </w:tc>
        <w:tc>
          <w:tcPr>
            <w:tcW w:w="567" w:type="dxa"/>
            <w:tcBorders>
              <w:bottom w:val="single" w:sz="2" w:space="0" w:color="3D7FE0" w:themeColor="accent1"/>
            </w:tcBorders>
            <w:shd w:val="clear" w:color="auto" w:fill="auto"/>
            <w:vAlign w:val="bottom"/>
          </w:tcPr>
          <w:p w14:paraId="6C67D4C3" w14:textId="77777777" w:rsidR="006B43AF" w:rsidRPr="005907D3" w:rsidRDefault="006B43AF" w:rsidP="004203CD">
            <w:pPr>
              <w:pStyle w:val="TablesTColHead"/>
              <w:jc w:val="left"/>
              <w:rPr>
                <w:rFonts w:ascii="IBM Plex Sans Light" w:hAnsi="IBM Plex Sans Light"/>
                <w:highlight w:val="yellow"/>
              </w:rPr>
            </w:pPr>
          </w:p>
        </w:tc>
        <w:tc>
          <w:tcPr>
            <w:tcW w:w="284" w:type="dxa"/>
            <w:tcBorders>
              <w:bottom w:val="single" w:sz="2" w:space="0" w:color="3D7FE0" w:themeColor="accent1"/>
            </w:tcBorders>
            <w:shd w:val="clear" w:color="auto" w:fill="auto"/>
            <w:vAlign w:val="bottom"/>
          </w:tcPr>
          <w:p w14:paraId="665A34A6" w14:textId="77777777" w:rsidR="006B43AF" w:rsidRPr="005907D3" w:rsidRDefault="006B43AF" w:rsidP="004203CD">
            <w:pPr>
              <w:pStyle w:val="TablesTColHead"/>
              <w:jc w:val="left"/>
              <w:rPr>
                <w:rFonts w:ascii="IBM Plex Sans Light" w:hAnsi="IBM Plex Sans Light"/>
                <w:highlight w:val="yellow"/>
              </w:rPr>
            </w:pPr>
          </w:p>
        </w:tc>
        <w:tc>
          <w:tcPr>
            <w:tcW w:w="709" w:type="dxa"/>
            <w:tcBorders>
              <w:bottom w:val="single" w:sz="2" w:space="0" w:color="3D7FE0" w:themeColor="accent1"/>
            </w:tcBorders>
            <w:shd w:val="clear" w:color="auto" w:fill="auto"/>
            <w:vAlign w:val="bottom"/>
          </w:tcPr>
          <w:p w14:paraId="2DA2AF3B" w14:textId="77777777" w:rsidR="006B43AF" w:rsidRPr="005907D3" w:rsidRDefault="006B43AF" w:rsidP="004203CD">
            <w:pPr>
              <w:pStyle w:val="TablesTColHeadsBold"/>
              <w:rPr>
                <w:rFonts w:ascii="IBM Plex Sans Light" w:hAnsi="IBM Plex Sans Light"/>
                <w:b w:val="0"/>
                <w:sz w:val="14"/>
                <w:szCs w:val="24"/>
              </w:rPr>
            </w:pPr>
            <w:r w:rsidRPr="005907D3">
              <w:rPr>
                <w:rFonts w:ascii="IBM Plex Sans Light" w:hAnsi="IBM Plex Sans Light"/>
                <w:color w:val="auto"/>
                <w:sz w:val="14"/>
                <w:szCs w:val="24"/>
              </w:rPr>
              <w:t>Note</w:t>
            </w:r>
          </w:p>
        </w:tc>
        <w:tc>
          <w:tcPr>
            <w:tcW w:w="1134" w:type="dxa"/>
            <w:tcBorders>
              <w:bottom w:val="single" w:sz="2" w:space="0" w:color="3D7FE0" w:themeColor="accent1"/>
            </w:tcBorders>
            <w:shd w:val="clear" w:color="auto" w:fill="auto"/>
            <w:vAlign w:val="bottom"/>
          </w:tcPr>
          <w:p w14:paraId="552925A0"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r w:rsidRPr="005907D3">
              <w:rPr>
                <w:rFonts w:ascii="IBM Plex Sans Light" w:hAnsi="IBM Plex Sans Light"/>
                <w:color w:val="3D7FE0" w:themeColor="accent1"/>
                <w:sz w:val="14"/>
                <w:szCs w:val="24"/>
              </w:rPr>
              <w:br/>
              <w:t>£m</w:t>
            </w:r>
          </w:p>
        </w:tc>
        <w:tc>
          <w:tcPr>
            <w:tcW w:w="1018" w:type="dxa"/>
            <w:tcBorders>
              <w:bottom w:val="single" w:sz="2" w:space="0" w:color="3D7FE0" w:themeColor="accent1"/>
            </w:tcBorders>
            <w:shd w:val="clear" w:color="auto" w:fill="auto"/>
            <w:vAlign w:val="bottom"/>
          </w:tcPr>
          <w:p w14:paraId="269557FF"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202</w:t>
            </w:r>
            <w:r>
              <w:rPr>
                <w:rFonts w:ascii="IBM Plex Sans Light" w:hAnsi="IBM Plex Sans Light"/>
                <w:sz w:val="14"/>
                <w:szCs w:val="24"/>
              </w:rPr>
              <w:t>2</w:t>
            </w:r>
            <w:r w:rsidRPr="005907D3">
              <w:rPr>
                <w:rFonts w:ascii="IBM Plex Sans Light" w:hAnsi="IBM Plex Sans Light"/>
                <w:sz w:val="14"/>
                <w:szCs w:val="24"/>
              </w:rPr>
              <w:br/>
              <w:t>£m</w:t>
            </w:r>
          </w:p>
        </w:tc>
      </w:tr>
      <w:tr w:rsidR="006B43AF" w:rsidRPr="005907D3" w14:paraId="33268C90" w14:textId="77777777" w:rsidTr="004203CD">
        <w:trPr>
          <w:trHeight w:val="20"/>
        </w:trPr>
        <w:tc>
          <w:tcPr>
            <w:tcW w:w="6237" w:type="dxa"/>
            <w:tcBorders>
              <w:top w:val="single" w:sz="2" w:space="0" w:color="3D7FE0" w:themeColor="accent1"/>
            </w:tcBorders>
            <w:shd w:val="clear" w:color="auto" w:fill="auto"/>
            <w:vAlign w:val="bottom"/>
          </w:tcPr>
          <w:p w14:paraId="06181E0A" w14:textId="77777777" w:rsidR="006B43AF" w:rsidRPr="007C4035" w:rsidRDefault="006B43AF" w:rsidP="004203CD">
            <w:pPr>
              <w:pStyle w:val="TablesTText"/>
              <w:spacing w:line="240" w:lineRule="exact"/>
              <w:rPr>
                <w:rFonts w:ascii="IBM Plex Sans Light" w:hAnsi="IBM Plex Sans Light"/>
                <w:sz w:val="18"/>
                <w:szCs w:val="24"/>
              </w:rPr>
            </w:pPr>
            <w:r w:rsidRPr="007C4035">
              <w:rPr>
                <w:rFonts w:ascii="IBM Plex Sans Light" w:hAnsi="IBM Plex Sans Light"/>
                <w:sz w:val="18"/>
                <w:szCs w:val="24"/>
              </w:rPr>
              <w:t xml:space="preserve">Net debt </w:t>
            </w:r>
          </w:p>
        </w:tc>
        <w:tc>
          <w:tcPr>
            <w:tcW w:w="567" w:type="dxa"/>
            <w:tcBorders>
              <w:top w:val="single" w:sz="2" w:space="0" w:color="3D7FE0" w:themeColor="accent1"/>
            </w:tcBorders>
            <w:shd w:val="clear" w:color="auto" w:fill="auto"/>
            <w:vAlign w:val="bottom"/>
          </w:tcPr>
          <w:p w14:paraId="66451FED" w14:textId="77777777" w:rsidR="006B43AF" w:rsidRPr="005907D3" w:rsidRDefault="006B43AF" w:rsidP="004203CD">
            <w:pPr>
              <w:pStyle w:val="TablesTText"/>
              <w:spacing w:line="240" w:lineRule="exact"/>
              <w:rPr>
                <w:rFonts w:ascii="IBM Plex Sans Light" w:hAnsi="IBM Plex Sans Light"/>
              </w:rPr>
            </w:pPr>
          </w:p>
        </w:tc>
        <w:tc>
          <w:tcPr>
            <w:tcW w:w="284" w:type="dxa"/>
            <w:tcBorders>
              <w:top w:val="single" w:sz="2" w:space="0" w:color="3D7FE0" w:themeColor="accent1"/>
            </w:tcBorders>
            <w:shd w:val="clear" w:color="auto" w:fill="auto"/>
            <w:vAlign w:val="bottom"/>
          </w:tcPr>
          <w:p w14:paraId="04E6AD14" w14:textId="77777777" w:rsidR="006B43AF" w:rsidRPr="005907D3" w:rsidRDefault="006B43AF" w:rsidP="004203CD">
            <w:pPr>
              <w:pStyle w:val="TablesTText"/>
              <w:spacing w:line="240" w:lineRule="exact"/>
              <w:jc w:val="center"/>
              <w:rPr>
                <w:rFonts w:ascii="IBM Plex Sans Light" w:hAnsi="IBM Plex Sans Light"/>
              </w:rPr>
            </w:pPr>
          </w:p>
        </w:tc>
        <w:tc>
          <w:tcPr>
            <w:tcW w:w="709" w:type="dxa"/>
            <w:tcBorders>
              <w:top w:val="single" w:sz="2" w:space="0" w:color="3D7FE0" w:themeColor="accent1"/>
            </w:tcBorders>
            <w:shd w:val="clear" w:color="auto" w:fill="auto"/>
            <w:vAlign w:val="bottom"/>
          </w:tcPr>
          <w:p w14:paraId="208A93E9" w14:textId="77777777" w:rsidR="006B43AF" w:rsidRPr="005907D3" w:rsidRDefault="006B43AF" w:rsidP="004203CD">
            <w:pPr>
              <w:pStyle w:val="TablesTColHead"/>
              <w:rPr>
                <w:rFonts w:ascii="IBM Plex Sans Light" w:hAnsi="IBM Plex Sans Light"/>
                <w:sz w:val="16"/>
                <w:szCs w:val="28"/>
              </w:rPr>
            </w:pPr>
            <w:r w:rsidRPr="005907D3">
              <w:rPr>
                <w:rFonts w:ascii="IBM Plex Sans Light" w:hAnsi="IBM Plex Sans Light"/>
                <w:sz w:val="16"/>
                <w:szCs w:val="28"/>
              </w:rPr>
              <w:t>Table 13</w:t>
            </w:r>
          </w:p>
        </w:tc>
        <w:tc>
          <w:tcPr>
            <w:tcW w:w="1134" w:type="dxa"/>
            <w:tcBorders>
              <w:top w:val="single" w:sz="2" w:space="0" w:color="3D7FE0" w:themeColor="accent1"/>
            </w:tcBorders>
            <w:shd w:val="clear" w:color="auto" w:fill="auto"/>
            <w:vAlign w:val="bottom"/>
          </w:tcPr>
          <w:p w14:paraId="7F591B98" w14:textId="77777777" w:rsidR="006B43AF" w:rsidRPr="00560A45" w:rsidRDefault="006B43AF" w:rsidP="004203CD">
            <w:pPr>
              <w:pStyle w:val="TablesTFigures"/>
              <w:spacing w:line="240" w:lineRule="auto"/>
              <w:rPr>
                <w:rFonts w:ascii="IBM Plex Sans Medium" w:hAnsi="IBM Plex Sans Medium"/>
                <w:b/>
                <w:color w:val="3D7FE0" w:themeColor="accent1"/>
                <w:sz w:val="18"/>
                <w:szCs w:val="18"/>
              </w:rPr>
            </w:pPr>
            <w:r w:rsidRPr="00560A45">
              <w:rPr>
                <w:rFonts w:ascii="IBM Plex Sans Medium" w:hAnsi="IBM Plex Sans Medium"/>
                <w:b/>
                <w:color w:val="3D7FE0" w:themeColor="accent1"/>
                <w:sz w:val="18"/>
                <w:szCs w:val="18"/>
              </w:rPr>
              <w:t>1,326.3</w:t>
            </w:r>
          </w:p>
        </w:tc>
        <w:tc>
          <w:tcPr>
            <w:tcW w:w="1018" w:type="dxa"/>
            <w:tcBorders>
              <w:top w:val="single" w:sz="2" w:space="0" w:color="3D7FE0" w:themeColor="accent1"/>
            </w:tcBorders>
            <w:shd w:val="clear" w:color="auto" w:fill="auto"/>
            <w:vAlign w:val="bottom"/>
          </w:tcPr>
          <w:p w14:paraId="1884A123" w14:textId="77777777" w:rsidR="006B43AF" w:rsidRPr="00560A45" w:rsidRDefault="006B43AF" w:rsidP="004203CD">
            <w:pPr>
              <w:pStyle w:val="TablesTFigures"/>
              <w:spacing w:line="240" w:lineRule="exact"/>
              <w:rPr>
                <w:rFonts w:ascii="IBM Plex Sans Light" w:hAnsi="IBM Plex Sans Light"/>
                <w:sz w:val="18"/>
                <w:szCs w:val="18"/>
              </w:rPr>
            </w:pPr>
            <w:r w:rsidRPr="00560A45">
              <w:rPr>
                <w:rFonts w:ascii="IBM Plex Sans Light" w:hAnsi="IBM Plex Sans Light"/>
                <w:sz w:val="18"/>
                <w:szCs w:val="18"/>
              </w:rPr>
              <w:t>1,732.1</w:t>
            </w:r>
          </w:p>
        </w:tc>
      </w:tr>
      <w:tr w:rsidR="006B43AF" w:rsidRPr="005907D3" w14:paraId="49E83548" w14:textId="77777777" w:rsidTr="004203CD">
        <w:trPr>
          <w:trHeight w:val="20"/>
        </w:trPr>
        <w:tc>
          <w:tcPr>
            <w:tcW w:w="6237" w:type="dxa"/>
            <w:shd w:val="clear" w:color="auto" w:fill="auto"/>
            <w:vAlign w:val="bottom"/>
          </w:tcPr>
          <w:p w14:paraId="68EB49C6"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sz w:val="18"/>
                <w:szCs w:val="24"/>
              </w:rPr>
              <w:t xml:space="preserve">Unamortised borrowing costs </w:t>
            </w:r>
            <w:r w:rsidRPr="007C4035">
              <w:rPr>
                <w:rFonts w:ascii="IBM Plex Sans Light" w:hAnsi="IBM Plex Sans Light"/>
                <w:sz w:val="18"/>
                <w:szCs w:val="24"/>
              </w:rPr>
              <w:softHyphen/>
            </w:r>
            <w:r w:rsidRPr="007C4035">
              <w:rPr>
                <w:rFonts w:ascii="IBM Plex Sans Light" w:hAnsi="IBM Plex Sans Light"/>
                <w:sz w:val="18"/>
                <w:szCs w:val="24"/>
              </w:rPr>
              <w:softHyphen/>
            </w:r>
          </w:p>
        </w:tc>
        <w:tc>
          <w:tcPr>
            <w:tcW w:w="567" w:type="dxa"/>
            <w:shd w:val="clear" w:color="auto" w:fill="auto"/>
            <w:vAlign w:val="bottom"/>
          </w:tcPr>
          <w:p w14:paraId="257A2C7D" w14:textId="77777777" w:rsidR="006B43AF" w:rsidRPr="005907D3" w:rsidRDefault="006B43AF" w:rsidP="004203CD">
            <w:pPr>
              <w:pStyle w:val="TablesTText"/>
              <w:rPr>
                <w:rFonts w:ascii="IBM Plex Sans Light" w:hAnsi="IBM Plex Sans Light"/>
              </w:rPr>
            </w:pPr>
          </w:p>
        </w:tc>
        <w:tc>
          <w:tcPr>
            <w:tcW w:w="284" w:type="dxa"/>
            <w:shd w:val="clear" w:color="auto" w:fill="auto"/>
            <w:vAlign w:val="bottom"/>
          </w:tcPr>
          <w:p w14:paraId="5B097F0A"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165B955A"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shd w:val="clear" w:color="auto" w:fill="auto"/>
            <w:vAlign w:val="bottom"/>
          </w:tcPr>
          <w:p w14:paraId="527D54B1" w14:textId="77777777" w:rsidR="006B43AF" w:rsidRPr="00560A45" w:rsidRDefault="006B43AF" w:rsidP="004203CD">
            <w:pPr>
              <w:pStyle w:val="TablesTFigures"/>
              <w:spacing w:line="240" w:lineRule="auto"/>
              <w:rPr>
                <w:rFonts w:ascii="IBM Plex Sans Medium" w:hAnsi="IBM Plex Sans Medium"/>
                <w:b/>
                <w:color w:val="3D7FE0" w:themeColor="accent1"/>
                <w:sz w:val="18"/>
                <w:szCs w:val="18"/>
              </w:rPr>
            </w:pPr>
            <w:r w:rsidRPr="00560A45">
              <w:rPr>
                <w:rFonts w:ascii="IBM Plex Sans Medium" w:hAnsi="IBM Plex Sans Medium"/>
                <w:b/>
                <w:color w:val="3D7FE0" w:themeColor="accent1"/>
                <w:sz w:val="18"/>
                <w:szCs w:val="18"/>
              </w:rPr>
              <w:t>18.4</w:t>
            </w:r>
          </w:p>
        </w:tc>
        <w:tc>
          <w:tcPr>
            <w:tcW w:w="1018" w:type="dxa"/>
            <w:shd w:val="clear" w:color="auto" w:fill="auto"/>
            <w:vAlign w:val="bottom"/>
          </w:tcPr>
          <w:p w14:paraId="2D26F094" w14:textId="77777777" w:rsidR="006B43AF" w:rsidRPr="00560A45" w:rsidRDefault="006B43AF" w:rsidP="004203CD">
            <w:pPr>
              <w:pStyle w:val="TablesTFigures"/>
              <w:spacing w:line="240" w:lineRule="exact"/>
              <w:rPr>
                <w:rFonts w:ascii="IBM Plex Sans Light" w:hAnsi="IBM Plex Sans Light"/>
                <w:sz w:val="18"/>
                <w:szCs w:val="18"/>
              </w:rPr>
            </w:pPr>
            <w:r w:rsidRPr="00560A45">
              <w:rPr>
                <w:rFonts w:ascii="IBM Plex Sans Light" w:hAnsi="IBM Plex Sans Light"/>
                <w:sz w:val="18"/>
                <w:szCs w:val="18"/>
              </w:rPr>
              <w:t>15.9</w:t>
            </w:r>
          </w:p>
        </w:tc>
      </w:tr>
      <w:tr w:rsidR="006B43AF" w:rsidRPr="005907D3" w14:paraId="2D4DA072" w14:textId="77777777" w:rsidTr="004203CD">
        <w:trPr>
          <w:trHeight w:val="20"/>
        </w:trPr>
        <w:tc>
          <w:tcPr>
            <w:tcW w:w="6237" w:type="dxa"/>
            <w:tcBorders>
              <w:bottom w:val="single" w:sz="2" w:space="0" w:color="3D7FE0" w:themeColor="accent1"/>
            </w:tcBorders>
            <w:shd w:val="clear" w:color="auto" w:fill="auto"/>
            <w:vAlign w:val="bottom"/>
          </w:tcPr>
          <w:p w14:paraId="6C50EAFD"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sz w:val="18"/>
                <w:szCs w:val="24"/>
              </w:rPr>
              <w:t>Cash held within investments in associates: Italie Deux</w:t>
            </w:r>
          </w:p>
        </w:tc>
        <w:tc>
          <w:tcPr>
            <w:tcW w:w="567" w:type="dxa"/>
            <w:tcBorders>
              <w:bottom w:val="single" w:sz="2" w:space="0" w:color="3D7FE0" w:themeColor="accent1"/>
            </w:tcBorders>
            <w:shd w:val="clear" w:color="auto" w:fill="auto"/>
            <w:vAlign w:val="bottom"/>
          </w:tcPr>
          <w:p w14:paraId="7753D1F6" w14:textId="77777777" w:rsidR="006B43AF" w:rsidRPr="005907D3" w:rsidRDefault="006B43AF" w:rsidP="004203CD">
            <w:pPr>
              <w:pStyle w:val="TablesTText"/>
              <w:jc w:val="center"/>
              <w:rPr>
                <w:rFonts w:ascii="IBM Plex Sans Light" w:hAnsi="IBM Plex Sans Light"/>
              </w:rPr>
            </w:pPr>
          </w:p>
        </w:tc>
        <w:tc>
          <w:tcPr>
            <w:tcW w:w="284" w:type="dxa"/>
            <w:tcBorders>
              <w:bottom w:val="single" w:sz="2" w:space="0" w:color="3D7FE0" w:themeColor="accent1"/>
            </w:tcBorders>
            <w:shd w:val="clear" w:color="auto" w:fill="auto"/>
            <w:vAlign w:val="bottom"/>
          </w:tcPr>
          <w:p w14:paraId="65AAB37D" w14:textId="77777777" w:rsidR="006B43AF" w:rsidRPr="005907D3" w:rsidRDefault="006B43AF" w:rsidP="004203CD">
            <w:pPr>
              <w:pStyle w:val="TablesTText"/>
              <w:jc w:val="center"/>
              <w:rPr>
                <w:rFonts w:ascii="IBM Plex Sans Light" w:hAnsi="IBM Plex Sans Light"/>
              </w:rPr>
            </w:pPr>
          </w:p>
        </w:tc>
        <w:tc>
          <w:tcPr>
            <w:tcW w:w="709" w:type="dxa"/>
            <w:tcBorders>
              <w:bottom w:val="single" w:sz="2" w:space="0" w:color="3D7FE0" w:themeColor="accent1"/>
            </w:tcBorders>
            <w:shd w:val="clear" w:color="auto" w:fill="auto"/>
            <w:vAlign w:val="bottom"/>
          </w:tcPr>
          <w:p w14:paraId="60B4BC9E"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tcBorders>
              <w:bottom w:val="single" w:sz="2" w:space="0" w:color="3D7FE0" w:themeColor="accent1"/>
            </w:tcBorders>
            <w:shd w:val="clear" w:color="auto" w:fill="auto"/>
            <w:vAlign w:val="bottom"/>
          </w:tcPr>
          <w:p w14:paraId="10B4DD0E" w14:textId="77777777" w:rsidR="006B43AF" w:rsidRPr="00560A45" w:rsidRDefault="006B43AF" w:rsidP="004203CD">
            <w:pPr>
              <w:pStyle w:val="TablesTFigures"/>
              <w:spacing w:line="240" w:lineRule="auto"/>
              <w:rPr>
                <w:rFonts w:ascii="IBM Plex Sans Medium" w:hAnsi="IBM Plex Sans Medium"/>
                <w:b/>
                <w:color w:val="3D7FE0" w:themeColor="accent1"/>
                <w:sz w:val="18"/>
                <w:szCs w:val="18"/>
              </w:rPr>
            </w:pPr>
            <w:r w:rsidRPr="00560A45">
              <w:rPr>
                <w:rFonts w:ascii="IBM Plex Sans Medium" w:hAnsi="IBM Plex Sans Medium"/>
                <w:b/>
                <w:color w:val="3D7FE0" w:themeColor="accent1"/>
                <w:sz w:val="18"/>
                <w:szCs w:val="18"/>
              </w:rPr>
              <w:t>–</w:t>
            </w:r>
          </w:p>
        </w:tc>
        <w:tc>
          <w:tcPr>
            <w:tcW w:w="1018" w:type="dxa"/>
            <w:tcBorders>
              <w:bottom w:val="single" w:sz="2" w:space="0" w:color="3D7FE0" w:themeColor="accent1"/>
            </w:tcBorders>
            <w:shd w:val="clear" w:color="auto" w:fill="auto"/>
            <w:vAlign w:val="bottom"/>
          </w:tcPr>
          <w:p w14:paraId="05912BE5" w14:textId="77777777" w:rsidR="006B43AF" w:rsidRPr="00560A45" w:rsidRDefault="006B43AF" w:rsidP="004203CD">
            <w:pPr>
              <w:pStyle w:val="TablesTFigures"/>
              <w:spacing w:line="240" w:lineRule="exact"/>
              <w:rPr>
                <w:rFonts w:ascii="IBM Plex Sans Light" w:hAnsi="IBM Plex Sans Light"/>
                <w:sz w:val="18"/>
                <w:szCs w:val="18"/>
              </w:rPr>
            </w:pPr>
            <w:r w:rsidRPr="00560A45">
              <w:rPr>
                <w:rFonts w:ascii="IBM Plex Sans Light" w:hAnsi="IBM Plex Sans Light"/>
                <w:sz w:val="18"/>
                <w:szCs w:val="18"/>
              </w:rPr>
              <w:t>6.8</w:t>
            </w:r>
          </w:p>
        </w:tc>
      </w:tr>
      <w:tr w:rsidR="006B43AF" w:rsidRPr="005907D3" w14:paraId="23AE53BE" w14:textId="77777777" w:rsidTr="004203CD">
        <w:trPr>
          <w:trHeight w:val="20"/>
        </w:trPr>
        <w:tc>
          <w:tcPr>
            <w:tcW w:w="6237" w:type="dxa"/>
            <w:tcBorders>
              <w:top w:val="single" w:sz="2" w:space="0" w:color="3D7FE0" w:themeColor="accent1"/>
            </w:tcBorders>
            <w:shd w:val="clear" w:color="auto" w:fill="auto"/>
            <w:vAlign w:val="bottom"/>
          </w:tcPr>
          <w:p w14:paraId="16110E5B" w14:textId="77777777" w:rsidR="006B43AF" w:rsidRPr="007C4035" w:rsidRDefault="006B43AF" w:rsidP="004203CD">
            <w:pPr>
              <w:pStyle w:val="TablesTText"/>
              <w:spacing w:line="240" w:lineRule="exact"/>
              <w:rPr>
                <w:rFonts w:ascii="IBM Plex Sans Light" w:hAnsi="IBM Plex Sans Light"/>
                <w:b/>
                <w:sz w:val="18"/>
                <w:szCs w:val="24"/>
              </w:rPr>
            </w:pPr>
            <w:r w:rsidRPr="007C4035">
              <w:rPr>
                <w:rFonts w:ascii="IBM Plex Sans Light" w:hAnsi="IBM Plex Sans Light"/>
                <w:b/>
                <w:sz w:val="18"/>
                <w:szCs w:val="24"/>
              </w:rPr>
              <w:t xml:space="preserve">Net debt for gearing </w:t>
            </w:r>
          </w:p>
        </w:tc>
        <w:tc>
          <w:tcPr>
            <w:tcW w:w="567" w:type="dxa"/>
            <w:tcBorders>
              <w:top w:val="single" w:sz="2" w:space="0" w:color="3D7FE0" w:themeColor="accent1"/>
            </w:tcBorders>
            <w:shd w:val="clear" w:color="auto" w:fill="auto"/>
            <w:vAlign w:val="bottom"/>
          </w:tcPr>
          <w:p w14:paraId="276083D7" w14:textId="77777777" w:rsidR="006B43AF" w:rsidRPr="005907D3" w:rsidRDefault="006B43AF" w:rsidP="004203CD">
            <w:pPr>
              <w:pStyle w:val="TablesTText"/>
              <w:spacing w:line="240" w:lineRule="exact"/>
              <w:jc w:val="center"/>
              <w:rPr>
                <w:rFonts w:ascii="IBM Plex Sans Light" w:hAnsi="IBM Plex Sans Light"/>
                <w:b/>
              </w:rPr>
            </w:pPr>
            <w:r>
              <w:rPr>
                <w:rFonts w:ascii="IBM Plex Sans Light" w:hAnsi="IBM Plex Sans Light"/>
                <w:b/>
              </w:rPr>
              <w:t>A</w:t>
            </w:r>
          </w:p>
        </w:tc>
        <w:tc>
          <w:tcPr>
            <w:tcW w:w="284" w:type="dxa"/>
            <w:tcBorders>
              <w:top w:val="single" w:sz="2" w:space="0" w:color="3D7FE0" w:themeColor="accent1"/>
            </w:tcBorders>
            <w:shd w:val="clear" w:color="auto" w:fill="auto"/>
            <w:vAlign w:val="bottom"/>
          </w:tcPr>
          <w:p w14:paraId="3CAE8D39" w14:textId="77777777" w:rsidR="006B43AF" w:rsidRPr="005907D3" w:rsidRDefault="006B43AF" w:rsidP="004203CD">
            <w:pPr>
              <w:pStyle w:val="TablesTText"/>
              <w:spacing w:line="240" w:lineRule="exact"/>
              <w:jc w:val="center"/>
              <w:rPr>
                <w:rFonts w:ascii="IBM Plex Sans Light" w:hAnsi="IBM Plex Sans Light"/>
                <w:b/>
              </w:rPr>
            </w:pPr>
          </w:p>
        </w:tc>
        <w:tc>
          <w:tcPr>
            <w:tcW w:w="709" w:type="dxa"/>
            <w:tcBorders>
              <w:top w:val="single" w:sz="2" w:space="0" w:color="3D7FE0" w:themeColor="accent1"/>
            </w:tcBorders>
            <w:shd w:val="clear" w:color="auto" w:fill="auto"/>
            <w:vAlign w:val="bottom"/>
          </w:tcPr>
          <w:p w14:paraId="0F6C8D71"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tcBorders>
              <w:top w:val="single" w:sz="2" w:space="0" w:color="3D7FE0" w:themeColor="accent1"/>
            </w:tcBorders>
            <w:shd w:val="clear" w:color="auto" w:fill="auto"/>
            <w:vAlign w:val="bottom"/>
          </w:tcPr>
          <w:p w14:paraId="527AD156" w14:textId="77777777" w:rsidR="006B43AF" w:rsidRPr="00560A45" w:rsidRDefault="006B43AF" w:rsidP="004203CD">
            <w:pPr>
              <w:pStyle w:val="TablesTFigures"/>
              <w:spacing w:line="240" w:lineRule="auto"/>
              <w:rPr>
                <w:rFonts w:ascii="IBM Plex Sans Medium" w:hAnsi="IBM Plex Sans Medium"/>
                <w:b/>
                <w:color w:val="3D7FE0" w:themeColor="accent1"/>
                <w:sz w:val="18"/>
                <w:szCs w:val="18"/>
              </w:rPr>
            </w:pPr>
            <w:r w:rsidRPr="00560A45">
              <w:rPr>
                <w:rFonts w:ascii="IBM Plex Sans Medium" w:hAnsi="IBM Plex Sans Medium"/>
                <w:b/>
                <w:color w:val="3D7FE0" w:themeColor="accent1"/>
                <w:sz w:val="18"/>
                <w:szCs w:val="18"/>
              </w:rPr>
              <w:t>1,344.7</w:t>
            </w:r>
          </w:p>
        </w:tc>
        <w:tc>
          <w:tcPr>
            <w:tcW w:w="1018" w:type="dxa"/>
            <w:tcBorders>
              <w:top w:val="single" w:sz="2" w:space="0" w:color="3D7FE0" w:themeColor="accent1"/>
            </w:tcBorders>
            <w:shd w:val="clear" w:color="auto" w:fill="auto"/>
            <w:vAlign w:val="bottom"/>
          </w:tcPr>
          <w:p w14:paraId="4CBDAD4D" w14:textId="77777777" w:rsidR="006B43AF" w:rsidRPr="00560A45" w:rsidRDefault="006B43AF" w:rsidP="004203CD">
            <w:pPr>
              <w:pStyle w:val="TablesTFigures"/>
              <w:spacing w:line="240" w:lineRule="exact"/>
              <w:rPr>
                <w:rFonts w:ascii="IBM Plex Sans Light" w:hAnsi="IBM Plex Sans Light"/>
                <w:sz w:val="18"/>
                <w:szCs w:val="18"/>
              </w:rPr>
            </w:pPr>
            <w:r w:rsidRPr="00560A45">
              <w:rPr>
                <w:rFonts w:ascii="IBM Plex Sans Light" w:hAnsi="IBM Plex Sans Light"/>
                <w:sz w:val="18"/>
                <w:szCs w:val="18"/>
              </w:rPr>
              <w:t>1,754.8</w:t>
            </w:r>
          </w:p>
        </w:tc>
      </w:tr>
      <w:tr w:rsidR="006B43AF" w:rsidRPr="005907D3" w14:paraId="5FE9B83D" w14:textId="77777777" w:rsidTr="004203CD">
        <w:trPr>
          <w:trHeight w:val="20"/>
        </w:trPr>
        <w:tc>
          <w:tcPr>
            <w:tcW w:w="6237" w:type="dxa"/>
            <w:tcBorders>
              <w:bottom w:val="single" w:sz="2" w:space="0" w:color="3D7FE0" w:themeColor="accent1"/>
            </w:tcBorders>
            <w:shd w:val="clear" w:color="auto" w:fill="auto"/>
            <w:vAlign w:val="bottom"/>
          </w:tcPr>
          <w:p w14:paraId="71CF61A8" w14:textId="77777777" w:rsidR="006B43AF" w:rsidRPr="007C4035" w:rsidRDefault="006B43AF" w:rsidP="004203CD">
            <w:pPr>
              <w:pStyle w:val="TablesTTextBold"/>
              <w:rPr>
                <w:rFonts w:ascii="IBM Plex Sans Light" w:hAnsi="IBM Plex Sans Light"/>
                <w:sz w:val="18"/>
                <w:szCs w:val="24"/>
                <w:highlight w:val="yellow"/>
              </w:rPr>
            </w:pPr>
          </w:p>
        </w:tc>
        <w:tc>
          <w:tcPr>
            <w:tcW w:w="567" w:type="dxa"/>
            <w:tcBorders>
              <w:bottom w:val="single" w:sz="2" w:space="0" w:color="3D7FE0" w:themeColor="accent1"/>
            </w:tcBorders>
            <w:shd w:val="clear" w:color="auto" w:fill="auto"/>
            <w:vAlign w:val="bottom"/>
          </w:tcPr>
          <w:p w14:paraId="3BE26EBB" w14:textId="77777777" w:rsidR="006B43AF" w:rsidRPr="005907D3" w:rsidRDefault="006B43AF" w:rsidP="004203CD">
            <w:pPr>
              <w:pStyle w:val="TablesTTextBold"/>
              <w:jc w:val="center"/>
              <w:rPr>
                <w:rFonts w:ascii="IBM Plex Sans Light" w:hAnsi="IBM Plex Sans Light"/>
                <w:highlight w:val="yellow"/>
              </w:rPr>
            </w:pPr>
          </w:p>
        </w:tc>
        <w:tc>
          <w:tcPr>
            <w:tcW w:w="284" w:type="dxa"/>
            <w:tcBorders>
              <w:bottom w:val="single" w:sz="2" w:space="0" w:color="3D7FE0" w:themeColor="accent1"/>
            </w:tcBorders>
            <w:shd w:val="clear" w:color="auto" w:fill="auto"/>
            <w:vAlign w:val="bottom"/>
          </w:tcPr>
          <w:p w14:paraId="78BEC9C8" w14:textId="77777777" w:rsidR="006B43AF" w:rsidRPr="005907D3" w:rsidRDefault="006B43AF" w:rsidP="004203CD">
            <w:pPr>
              <w:pStyle w:val="TablesTTextBold"/>
              <w:jc w:val="center"/>
              <w:rPr>
                <w:rFonts w:ascii="IBM Plex Sans Light" w:hAnsi="IBM Plex Sans Light"/>
                <w:highlight w:val="yellow"/>
              </w:rPr>
            </w:pPr>
          </w:p>
        </w:tc>
        <w:tc>
          <w:tcPr>
            <w:tcW w:w="709" w:type="dxa"/>
            <w:tcBorders>
              <w:bottom w:val="single" w:sz="2" w:space="0" w:color="3D7FE0" w:themeColor="accent1"/>
            </w:tcBorders>
            <w:shd w:val="clear" w:color="auto" w:fill="auto"/>
            <w:vAlign w:val="bottom"/>
          </w:tcPr>
          <w:p w14:paraId="4A4FF34B"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tcBorders>
              <w:bottom w:val="single" w:sz="2" w:space="0" w:color="3D7FE0" w:themeColor="accent1"/>
            </w:tcBorders>
            <w:shd w:val="clear" w:color="auto" w:fill="auto"/>
            <w:vAlign w:val="bottom"/>
          </w:tcPr>
          <w:p w14:paraId="783564FA" w14:textId="77777777" w:rsidR="006B43AF" w:rsidRPr="007C4035" w:rsidRDefault="006B43AF" w:rsidP="004203CD">
            <w:pPr>
              <w:pStyle w:val="TablesTFigures"/>
              <w:spacing w:line="240" w:lineRule="exact"/>
              <w:rPr>
                <w:rFonts w:ascii="IBM Plex Sans Medium" w:hAnsi="IBM Plex Sans Medium"/>
                <w:b/>
                <w:bCs/>
                <w:color w:val="3D7FE0" w:themeColor="accent1"/>
                <w:sz w:val="18"/>
                <w:szCs w:val="24"/>
              </w:rPr>
            </w:pPr>
          </w:p>
        </w:tc>
        <w:tc>
          <w:tcPr>
            <w:tcW w:w="1018" w:type="dxa"/>
            <w:tcBorders>
              <w:bottom w:val="single" w:sz="2" w:space="0" w:color="3D7FE0" w:themeColor="accent1"/>
            </w:tcBorders>
            <w:shd w:val="clear" w:color="auto" w:fill="auto"/>
            <w:vAlign w:val="bottom"/>
          </w:tcPr>
          <w:p w14:paraId="336FB7C4" w14:textId="77777777" w:rsidR="006B43AF" w:rsidRPr="007C4035" w:rsidRDefault="006B43AF" w:rsidP="004203CD">
            <w:pPr>
              <w:pStyle w:val="TablesTFigures"/>
              <w:spacing w:line="240" w:lineRule="exact"/>
              <w:rPr>
                <w:rFonts w:ascii="IBM Plex Sans Light" w:hAnsi="IBM Plex Sans Light"/>
                <w:sz w:val="18"/>
                <w:szCs w:val="24"/>
              </w:rPr>
            </w:pPr>
          </w:p>
        </w:tc>
      </w:tr>
      <w:tr w:rsidR="006B43AF" w:rsidRPr="005907D3" w14:paraId="78E274C3"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bottom"/>
          </w:tcPr>
          <w:p w14:paraId="244DD46D" w14:textId="77777777" w:rsidR="006B43AF" w:rsidRPr="007C4035" w:rsidRDefault="006B43AF" w:rsidP="004203CD">
            <w:pPr>
              <w:pStyle w:val="TablesTText"/>
              <w:spacing w:line="240" w:lineRule="exact"/>
              <w:rPr>
                <w:rFonts w:ascii="IBM Plex Sans Light" w:hAnsi="IBM Plex Sans Light"/>
                <w:b/>
                <w:sz w:val="18"/>
                <w:szCs w:val="24"/>
              </w:rPr>
            </w:pPr>
            <w:r w:rsidRPr="007C4035">
              <w:rPr>
                <w:rFonts w:ascii="IBM Plex Sans Light" w:hAnsi="IBM Plex Sans Light"/>
                <w:b/>
                <w:sz w:val="18"/>
                <w:szCs w:val="24"/>
              </w:rPr>
              <w:t xml:space="preserve">Equity shareholders’ funds - Consolidated net tangible worth </w:t>
            </w:r>
          </w:p>
        </w:tc>
        <w:tc>
          <w:tcPr>
            <w:tcW w:w="567" w:type="dxa"/>
            <w:tcBorders>
              <w:top w:val="single" w:sz="2" w:space="0" w:color="3D7FE0" w:themeColor="accent1"/>
              <w:bottom w:val="single" w:sz="2" w:space="0" w:color="3D7FE0" w:themeColor="accent1"/>
            </w:tcBorders>
            <w:shd w:val="clear" w:color="auto" w:fill="auto"/>
            <w:vAlign w:val="bottom"/>
          </w:tcPr>
          <w:p w14:paraId="58DB3263" w14:textId="77777777" w:rsidR="006B43AF" w:rsidRPr="005907D3" w:rsidRDefault="006B43AF" w:rsidP="004203CD">
            <w:pPr>
              <w:pStyle w:val="TablesTText"/>
              <w:spacing w:line="240" w:lineRule="exact"/>
              <w:jc w:val="center"/>
              <w:rPr>
                <w:rFonts w:ascii="IBM Plex Sans Light" w:hAnsi="IBM Plex Sans Light"/>
                <w:b/>
              </w:rPr>
            </w:pPr>
            <w:r>
              <w:rPr>
                <w:rFonts w:ascii="IBM Plex Sans Light" w:hAnsi="IBM Plex Sans Light"/>
                <w:b/>
              </w:rPr>
              <w:t>B</w:t>
            </w:r>
          </w:p>
        </w:tc>
        <w:tc>
          <w:tcPr>
            <w:tcW w:w="284" w:type="dxa"/>
            <w:tcBorders>
              <w:top w:val="single" w:sz="2" w:space="0" w:color="3D7FE0" w:themeColor="accent1"/>
              <w:bottom w:val="single" w:sz="2" w:space="0" w:color="3D7FE0" w:themeColor="accent1"/>
            </w:tcBorders>
            <w:shd w:val="clear" w:color="auto" w:fill="auto"/>
            <w:vAlign w:val="bottom"/>
          </w:tcPr>
          <w:p w14:paraId="6C28E32B" w14:textId="77777777" w:rsidR="006B43AF" w:rsidRPr="005907D3" w:rsidRDefault="006B43AF" w:rsidP="004203CD">
            <w:pPr>
              <w:pStyle w:val="TablesTText"/>
              <w:spacing w:line="240" w:lineRule="exact"/>
              <w:jc w:val="center"/>
              <w:rPr>
                <w:rFonts w:ascii="IBM Plex Sans Light" w:hAnsi="IBM Plex Sans Light"/>
                <w:b/>
              </w:rPr>
            </w:pPr>
          </w:p>
        </w:tc>
        <w:tc>
          <w:tcPr>
            <w:tcW w:w="709" w:type="dxa"/>
            <w:tcBorders>
              <w:top w:val="single" w:sz="2" w:space="0" w:color="3D7FE0" w:themeColor="accent1"/>
              <w:bottom w:val="single" w:sz="2" w:space="0" w:color="3D7FE0" w:themeColor="accent1"/>
            </w:tcBorders>
            <w:shd w:val="clear" w:color="auto" w:fill="auto"/>
            <w:vAlign w:val="bottom"/>
          </w:tcPr>
          <w:p w14:paraId="779FD557" w14:textId="77777777" w:rsidR="006B43AF" w:rsidRPr="005907D3" w:rsidRDefault="006B43AF" w:rsidP="004203CD">
            <w:pPr>
              <w:pStyle w:val="TablesTColHead"/>
              <w:rPr>
                <w:rFonts w:ascii="IBM Plex Sans Light" w:hAnsi="IBM Plex Sans Light"/>
                <w:b/>
                <w:sz w:val="16"/>
                <w:szCs w:val="28"/>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49C85A06" w14:textId="77777777" w:rsidR="006B43AF" w:rsidRPr="007C4035" w:rsidRDefault="006B43AF" w:rsidP="004203CD">
            <w:pPr>
              <w:pStyle w:val="TablesTFigures"/>
              <w:spacing w:line="240" w:lineRule="exact"/>
              <w:rPr>
                <w:rFonts w:ascii="IBM Plex Sans Medium" w:hAnsi="IBM Plex Sans Medium"/>
                <w:b/>
                <w:bCs/>
                <w:color w:val="3D7FE0" w:themeColor="accent1"/>
                <w:sz w:val="18"/>
                <w:szCs w:val="24"/>
              </w:rPr>
            </w:pPr>
            <w:r w:rsidRPr="007C4035">
              <w:rPr>
                <w:rFonts w:ascii="IBM Plex Sans Medium" w:hAnsi="IBM Plex Sans Medium"/>
                <w:b/>
                <w:bCs/>
                <w:color w:val="3D7FE0" w:themeColor="accent1"/>
                <w:sz w:val="18"/>
                <w:szCs w:val="24"/>
              </w:rPr>
              <w:t>2,</w:t>
            </w:r>
            <w:r>
              <w:rPr>
                <w:rFonts w:ascii="IBM Plex Sans Medium" w:hAnsi="IBM Plex Sans Medium"/>
                <w:b/>
                <w:bCs/>
                <w:color w:val="3D7FE0" w:themeColor="accent1"/>
                <w:sz w:val="18"/>
                <w:szCs w:val="24"/>
              </w:rPr>
              <w:t>462.6</w:t>
            </w:r>
          </w:p>
        </w:tc>
        <w:tc>
          <w:tcPr>
            <w:tcW w:w="1018" w:type="dxa"/>
            <w:tcBorders>
              <w:top w:val="single" w:sz="2" w:space="0" w:color="3D7FE0" w:themeColor="accent1"/>
              <w:bottom w:val="single" w:sz="2" w:space="0" w:color="3D7FE0" w:themeColor="accent1"/>
            </w:tcBorders>
            <w:shd w:val="clear" w:color="auto" w:fill="auto"/>
            <w:vAlign w:val="bottom"/>
          </w:tcPr>
          <w:p w14:paraId="263275EB" w14:textId="77777777" w:rsidR="006B43AF" w:rsidRPr="007C4035" w:rsidRDefault="006B43AF" w:rsidP="004203CD">
            <w:pPr>
              <w:pStyle w:val="TablesTFigures"/>
              <w:spacing w:line="240" w:lineRule="exact"/>
              <w:rPr>
                <w:rFonts w:ascii="IBM Plex Sans Light" w:hAnsi="IBM Plex Sans Light"/>
                <w:sz w:val="18"/>
                <w:szCs w:val="24"/>
              </w:rPr>
            </w:pPr>
            <w:r w:rsidRPr="007C4035">
              <w:rPr>
                <w:rFonts w:ascii="IBM Plex Sans Light" w:hAnsi="IBM Plex Sans Light"/>
                <w:sz w:val="18"/>
                <w:szCs w:val="24"/>
              </w:rPr>
              <w:t>2,</w:t>
            </w:r>
            <w:r>
              <w:rPr>
                <w:rFonts w:ascii="IBM Plex Sans Light" w:hAnsi="IBM Plex Sans Light"/>
                <w:sz w:val="18"/>
                <w:szCs w:val="24"/>
              </w:rPr>
              <w:t>586.4</w:t>
            </w:r>
          </w:p>
        </w:tc>
      </w:tr>
      <w:tr w:rsidR="006B43AF" w:rsidRPr="005907D3" w14:paraId="7DFAA1F5"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bottom"/>
          </w:tcPr>
          <w:p w14:paraId="22A6461E" w14:textId="77777777" w:rsidR="006B43AF" w:rsidRPr="007C4035" w:rsidRDefault="006B43AF" w:rsidP="004203CD">
            <w:pPr>
              <w:pStyle w:val="TablesTTextBold"/>
              <w:rPr>
                <w:rFonts w:ascii="IBM Plex Sans Light" w:hAnsi="IBM Plex Sans Light"/>
                <w:sz w:val="18"/>
                <w:szCs w:val="24"/>
              </w:rPr>
            </w:pPr>
          </w:p>
        </w:tc>
        <w:tc>
          <w:tcPr>
            <w:tcW w:w="567" w:type="dxa"/>
            <w:tcBorders>
              <w:top w:val="single" w:sz="2" w:space="0" w:color="3D7FE0" w:themeColor="accent1"/>
              <w:bottom w:val="single" w:sz="2" w:space="0" w:color="3D7FE0" w:themeColor="accent1"/>
            </w:tcBorders>
            <w:shd w:val="clear" w:color="auto" w:fill="auto"/>
            <w:vAlign w:val="bottom"/>
          </w:tcPr>
          <w:p w14:paraId="5FDCA851" w14:textId="77777777" w:rsidR="006B43AF" w:rsidRPr="005907D3" w:rsidRDefault="006B43AF" w:rsidP="004203CD">
            <w:pPr>
              <w:pStyle w:val="TablesTTextBold"/>
              <w:jc w:val="center"/>
              <w:rPr>
                <w:rFonts w:ascii="IBM Plex Sans Light" w:hAnsi="IBM Plex Sans Light"/>
              </w:rPr>
            </w:pPr>
          </w:p>
        </w:tc>
        <w:tc>
          <w:tcPr>
            <w:tcW w:w="284" w:type="dxa"/>
            <w:tcBorders>
              <w:top w:val="single" w:sz="2" w:space="0" w:color="3D7FE0" w:themeColor="accent1"/>
              <w:bottom w:val="single" w:sz="2" w:space="0" w:color="3D7FE0" w:themeColor="accent1"/>
            </w:tcBorders>
            <w:shd w:val="clear" w:color="auto" w:fill="auto"/>
            <w:vAlign w:val="bottom"/>
          </w:tcPr>
          <w:p w14:paraId="2F3206D7" w14:textId="77777777" w:rsidR="006B43AF" w:rsidRPr="005907D3" w:rsidRDefault="006B43AF" w:rsidP="004203CD">
            <w:pPr>
              <w:pStyle w:val="TablesTTextBold"/>
              <w:jc w:val="center"/>
              <w:rPr>
                <w:rFonts w:ascii="IBM Plex Sans Light" w:hAnsi="IBM Plex Sans Light"/>
              </w:rPr>
            </w:pPr>
          </w:p>
        </w:tc>
        <w:tc>
          <w:tcPr>
            <w:tcW w:w="709" w:type="dxa"/>
            <w:tcBorders>
              <w:top w:val="single" w:sz="2" w:space="0" w:color="3D7FE0" w:themeColor="accent1"/>
              <w:bottom w:val="single" w:sz="2" w:space="0" w:color="3D7FE0" w:themeColor="accent1"/>
            </w:tcBorders>
            <w:shd w:val="clear" w:color="auto" w:fill="auto"/>
            <w:vAlign w:val="bottom"/>
          </w:tcPr>
          <w:p w14:paraId="2D3D30A9"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1F8092F8" w14:textId="77777777" w:rsidR="006B43AF" w:rsidRPr="007C4035" w:rsidRDefault="006B43AF" w:rsidP="004203CD">
            <w:pPr>
              <w:pStyle w:val="TablesTFigures"/>
              <w:spacing w:line="240" w:lineRule="exact"/>
              <w:rPr>
                <w:rFonts w:ascii="IBM Plex Sans Medium" w:hAnsi="IBM Plex Sans Medium"/>
                <w:b/>
                <w:bCs/>
                <w:color w:val="3D7FE0" w:themeColor="accent1"/>
                <w:sz w:val="18"/>
                <w:szCs w:val="24"/>
              </w:rPr>
            </w:pPr>
          </w:p>
        </w:tc>
        <w:tc>
          <w:tcPr>
            <w:tcW w:w="1018" w:type="dxa"/>
            <w:tcBorders>
              <w:top w:val="single" w:sz="2" w:space="0" w:color="3D7FE0" w:themeColor="accent1"/>
              <w:bottom w:val="single" w:sz="2" w:space="0" w:color="3D7FE0" w:themeColor="accent1"/>
            </w:tcBorders>
            <w:shd w:val="clear" w:color="auto" w:fill="auto"/>
            <w:vAlign w:val="bottom"/>
          </w:tcPr>
          <w:p w14:paraId="22930A30" w14:textId="77777777" w:rsidR="006B43AF" w:rsidRPr="007C4035" w:rsidRDefault="006B43AF" w:rsidP="004203CD">
            <w:pPr>
              <w:pStyle w:val="TablesTFigures"/>
              <w:spacing w:line="240" w:lineRule="exact"/>
              <w:rPr>
                <w:rFonts w:ascii="IBM Plex Sans Light" w:hAnsi="IBM Plex Sans Light"/>
                <w:sz w:val="18"/>
                <w:szCs w:val="24"/>
              </w:rPr>
            </w:pPr>
          </w:p>
        </w:tc>
      </w:tr>
      <w:tr w:rsidR="006B43AF" w:rsidRPr="005907D3" w14:paraId="16393128" w14:textId="77777777" w:rsidTr="004203CD">
        <w:trPr>
          <w:trHeight w:val="20"/>
        </w:trPr>
        <w:tc>
          <w:tcPr>
            <w:tcW w:w="6237" w:type="dxa"/>
            <w:tcBorders>
              <w:top w:val="single" w:sz="2" w:space="0" w:color="3D7FE0" w:themeColor="accent1"/>
              <w:bottom w:val="single" w:sz="8" w:space="0" w:color="3D7FE0" w:themeColor="accent1"/>
            </w:tcBorders>
            <w:shd w:val="clear" w:color="auto" w:fill="auto"/>
            <w:vAlign w:val="bottom"/>
          </w:tcPr>
          <w:p w14:paraId="132441FF" w14:textId="77777777" w:rsidR="006B43AF" w:rsidRPr="007C4035" w:rsidRDefault="006B43AF" w:rsidP="004203CD">
            <w:pPr>
              <w:pStyle w:val="TablesTText"/>
              <w:spacing w:line="240" w:lineRule="exact"/>
              <w:rPr>
                <w:rFonts w:ascii="IBM Plex Sans Light" w:hAnsi="IBM Plex Sans Light"/>
                <w:b/>
                <w:sz w:val="18"/>
                <w:szCs w:val="24"/>
              </w:rPr>
            </w:pPr>
            <w:r w:rsidRPr="007C4035">
              <w:rPr>
                <w:rFonts w:ascii="IBM Plex Sans Light" w:hAnsi="IBM Plex Sans Light"/>
                <w:b/>
                <w:sz w:val="18"/>
                <w:szCs w:val="24"/>
              </w:rPr>
              <w:t xml:space="preserve">Gearing </w:t>
            </w:r>
          </w:p>
        </w:tc>
        <w:tc>
          <w:tcPr>
            <w:tcW w:w="567" w:type="dxa"/>
            <w:tcBorders>
              <w:top w:val="single" w:sz="2" w:space="0" w:color="3D7FE0" w:themeColor="accent1"/>
              <w:bottom w:val="single" w:sz="8" w:space="0" w:color="3D7FE0" w:themeColor="accent1"/>
            </w:tcBorders>
            <w:shd w:val="clear" w:color="auto" w:fill="auto"/>
            <w:vAlign w:val="bottom"/>
          </w:tcPr>
          <w:p w14:paraId="71048F34" w14:textId="77777777" w:rsidR="006B43AF" w:rsidRPr="005907D3" w:rsidRDefault="006B43AF" w:rsidP="004203CD">
            <w:pPr>
              <w:pStyle w:val="TablesTText"/>
              <w:spacing w:line="240" w:lineRule="exact"/>
              <w:jc w:val="center"/>
              <w:rPr>
                <w:rFonts w:ascii="IBM Plex Sans Light" w:hAnsi="IBM Plex Sans Light"/>
                <w:b/>
              </w:rPr>
            </w:pPr>
            <w:r>
              <w:rPr>
                <w:rFonts w:ascii="IBM Plex Sans Light" w:hAnsi="IBM Plex Sans Light"/>
                <w:b/>
              </w:rPr>
              <w:t>A/B</w:t>
            </w:r>
          </w:p>
        </w:tc>
        <w:tc>
          <w:tcPr>
            <w:tcW w:w="284" w:type="dxa"/>
            <w:tcBorders>
              <w:top w:val="single" w:sz="2" w:space="0" w:color="3D7FE0" w:themeColor="accent1"/>
              <w:bottom w:val="single" w:sz="8" w:space="0" w:color="3D7FE0" w:themeColor="accent1"/>
            </w:tcBorders>
            <w:shd w:val="clear" w:color="auto" w:fill="auto"/>
            <w:vAlign w:val="bottom"/>
          </w:tcPr>
          <w:p w14:paraId="56F6A73D" w14:textId="77777777" w:rsidR="006B43AF" w:rsidRPr="005907D3" w:rsidRDefault="006B43AF" w:rsidP="004203CD">
            <w:pPr>
              <w:pStyle w:val="TablesTText"/>
              <w:spacing w:line="240" w:lineRule="exact"/>
              <w:jc w:val="center"/>
              <w:rPr>
                <w:rFonts w:ascii="IBM Plex Sans Light" w:hAnsi="IBM Plex Sans Light"/>
                <w:b/>
              </w:rPr>
            </w:pPr>
          </w:p>
        </w:tc>
        <w:tc>
          <w:tcPr>
            <w:tcW w:w="709" w:type="dxa"/>
            <w:tcBorders>
              <w:top w:val="single" w:sz="2" w:space="0" w:color="3D7FE0" w:themeColor="accent1"/>
              <w:bottom w:val="single" w:sz="8" w:space="0" w:color="3D7FE0" w:themeColor="accent1"/>
            </w:tcBorders>
            <w:shd w:val="clear" w:color="auto" w:fill="auto"/>
            <w:vAlign w:val="bottom"/>
          </w:tcPr>
          <w:p w14:paraId="4F7AB7FC" w14:textId="77777777" w:rsidR="006B43AF" w:rsidRPr="005907D3" w:rsidRDefault="006B43AF" w:rsidP="004203CD">
            <w:pPr>
              <w:pStyle w:val="TablesTColHead"/>
              <w:rPr>
                <w:rFonts w:ascii="IBM Plex Sans Light" w:hAnsi="IBM Plex Sans Light"/>
                <w:b/>
                <w:sz w:val="16"/>
                <w:szCs w:val="28"/>
                <w:highlight w:val="yellow"/>
              </w:rPr>
            </w:pPr>
          </w:p>
        </w:tc>
        <w:tc>
          <w:tcPr>
            <w:tcW w:w="1134" w:type="dxa"/>
            <w:tcBorders>
              <w:top w:val="single" w:sz="2" w:space="0" w:color="3D7FE0" w:themeColor="accent1"/>
              <w:bottom w:val="single" w:sz="8" w:space="0" w:color="3D7FE0" w:themeColor="accent1"/>
            </w:tcBorders>
            <w:shd w:val="clear" w:color="auto" w:fill="auto"/>
            <w:vAlign w:val="bottom"/>
          </w:tcPr>
          <w:p w14:paraId="31F11CCF" w14:textId="77777777" w:rsidR="006B43AF" w:rsidRPr="007C4035" w:rsidRDefault="006B43AF" w:rsidP="004203CD">
            <w:pPr>
              <w:pStyle w:val="TablesTFigures"/>
              <w:spacing w:line="240" w:lineRule="exact"/>
              <w:rPr>
                <w:rFonts w:ascii="IBM Plex Sans Medium" w:hAnsi="IBM Plex Sans Medium"/>
                <w:b/>
                <w:bCs/>
                <w:color w:val="3D7FE0" w:themeColor="accent1"/>
                <w:sz w:val="18"/>
                <w:szCs w:val="24"/>
              </w:rPr>
            </w:pPr>
            <w:r>
              <w:rPr>
                <w:rFonts w:ascii="IBM Plex Sans Medium" w:hAnsi="IBM Plex Sans Medium"/>
                <w:b/>
                <w:bCs/>
                <w:color w:val="3D7FE0" w:themeColor="accent1"/>
                <w:sz w:val="18"/>
                <w:szCs w:val="24"/>
              </w:rPr>
              <w:t>54.6</w:t>
            </w:r>
            <w:r w:rsidRPr="007C4035">
              <w:rPr>
                <w:rFonts w:ascii="IBM Plex Sans Medium" w:hAnsi="IBM Plex Sans Medium"/>
                <w:b/>
                <w:bCs/>
                <w:color w:val="3D7FE0" w:themeColor="accent1"/>
                <w:sz w:val="18"/>
                <w:szCs w:val="24"/>
              </w:rPr>
              <w:t>%</w:t>
            </w:r>
          </w:p>
        </w:tc>
        <w:tc>
          <w:tcPr>
            <w:tcW w:w="1018" w:type="dxa"/>
            <w:tcBorders>
              <w:top w:val="single" w:sz="2" w:space="0" w:color="3D7FE0" w:themeColor="accent1"/>
              <w:bottom w:val="single" w:sz="8" w:space="0" w:color="3D7FE0" w:themeColor="accent1"/>
            </w:tcBorders>
            <w:shd w:val="clear" w:color="auto" w:fill="auto"/>
            <w:vAlign w:val="bottom"/>
          </w:tcPr>
          <w:p w14:paraId="09EAF803"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67.8</w:t>
            </w:r>
            <w:r w:rsidRPr="007C4035">
              <w:rPr>
                <w:rFonts w:ascii="IBM Plex Sans Light" w:hAnsi="IBM Plex Sans Light"/>
                <w:sz w:val="18"/>
                <w:szCs w:val="24"/>
              </w:rPr>
              <w:t>%</w:t>
            </w:r>
          </w:p>
        </w:tc>
      </w:tr>
    </w:tbl>
    <w:p w14:paraId="2B1F8980" w14:textId="77777777" w:rsidR="006B43AF"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p>
    <w:p w14:paraId="73EAAF4A" w14:textId="77777777" w:rsidR="006B43AF"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p>
    <w:p w14:paraId="0D53A824"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Loan to value</w:t>
      </w:r>
    </w:p>
    <w:p w14:paraId="5D66231A" w14:textId="77777777" w:rsidR="006B43AF" w:rsidRPr="00280504" w:rsidRDefault="006B43AF" w:rsidP="006B43AF">
      <w:pPr>
        <w:rPr>
          <w:rFonts w:ascii="IBM Plex Sans Light" w:hAnsi="IBM Plex Sans Light"/>
          <w:b/>
        </w:rPr>
      </w:pPr>
      <w:r w:rsidRPr="00280504">
        <w:rPr>
          <w:rFonts w:ascii="IBM Plex Sans Light" w:hAnsi="IBM Plex Sans Light"/>
          <w:b/>
        </w:rPr>
        <w:t>Table 1</w:t>
      </w:r>
      <w:r>
        <w:rPr>
          <w:rFonts w:ascii="IBM Plex Sans Light" w:hAnsi="IBM Plex Sans Light"/>
          <w:b/>
        </w:rPr>
        <w:t>9</w:t>
      </w:r>
    </w:p>
    <w:tbl>
      <w:tblPr>
        <w:tblW w:w="9947" w:type="dxa"/>
        <w:tblLayout w:type="fixed"/>
        <w:tblCellMar>
          <w:left w:w="0" w:type="dxa"/>
          <w:right w:w="0" w:type="dxa"/>
        </w:tblCellMar>
        <w:tblLook w:val="04A0" w:firstRow="1" w:lastRow="0" w:firstColumn="1" w:lastColumn="0" w:noHBand="0" w:noVBand="1"/>
      </w:tblPr>
      <w:tblGrid>
        <w:gridCol w:w="5245"/>
        <w:gridCol w:w="1418"/>
        <w:gridCol w:w="423"/>
        <w:gridCol w:w="852"/>
        <w:gridCol w:w="993"/>
        <w:gridCol w:w="1016"/>
      </w:tblGrid>
      <w:tr w:rsidR="006B43AF" w:rsidRPr="005907D3" w14:paraId="0471B972" w14:textId="77777777" w:rsidTr="004203CD">
        <w:trPr>
          <w:trHeight w:val="20"/>
        </w:trPr>
        <w:tc>
          <w:tcPr>
            <w:tcW w:w="5245" w:type="dxa"/>
            <w:tcBorders>
              <w:bottom w:val="single" w:sz="2" w:space="0" w:color="3D7FE0" w:themeColor="accent1"/>
            </w:tcBorders>
            <w:shd w:val="clear" w:color="auto" w:fill="auto"/>
            <w:vAlign w:val="bottom"/>
          </w:tcPr>
          <w:p w14:paraId="325D74DD" w14:textId="77777777" w:rsidR="006B43AF" w:rsidRPr="005907D3" w:rsidRDefault="006B43AF" w:rsidP="004203CD">
            <w:pPr>
              <w:pStyle w:val="TablesTColHead"/>
              <w:jc w:val="left"/>
              <w:rPr>
                <w:rFonts w:ascii="IBM Plex Sans Light" w:hAnsi="IBM Plex Sans Light"/>
                <w:highlight w:val="yellow"/>
              </w:rPr>
            </w:pPr>
            <w:r w:rsidRPr="005907D3">
              <w:rPr>
                <w:rFonts w:ascii="IBM Plex Sans Light" w:hAnsi="IBM Plex Sans Light"/>
                <w:b/>
                <w:bCs/>
                <w:color w:val="3D7FE0" w:themeColor="accent1"/>
                <w:sz w:val="14"/>
                <w:szCs w:val="24"/>
              </w:rPr>
              <w:t xml:space="preserve">Proportionally consolidated </w:t>
            </w:r>
          </w:p>
        </w:tc>
        <w:tc>
          <w:tcPr>
            <w:tcW w:w="1418" w:type="dxa"/>
            <w:tcBorders>
              <w:bottom w:val="single" w:sz="2" w:space="0" w:color="3D7FE0" w:themeColor="accent1"/>
            </w:tcBorders>
            <w:shd w:val="clear" w:color="auto" w:fill="auto"/>
            <w:vAlign w:val="bottom"/>
          </w:tcPr>
          <w:p w14:paraId="465902A6" w14:textId="77777777" w:rsidR="006B43AF" w:rsidRPr="005907D3" w:rsidRDefault="006B43AF" w:rsidP="004203CD">
            <w:pPr>
              <w:pStyle w:val="TablesTColHead"/>
              <w:jc w:val="center"/>
              <w:rPr>
                <w:rFonts w:ascii="IBM Plex Sans Light" w:hAnsi="IBM Plex Sans Light"/>
                <w:highlight w:val="yellow"/>
              </w:rPr>
            </w:pPr>
          </w:p>
        </w:tc>
        <w:tc>
          <w:tcPr>
            <w:tcW w:w="423" w:type="dxa"/>
            <w:tcBorders>
              <w:bottom w:val="single" w:sz="2" w:space="0" w:color="3D7FE0" w:themeColor="accent1"/>
            </w:tcBorders>
          </w:tcPr>
          <w:p w14:paraId="5FC77544" w14:textId="77777777" w:rsidR="006B43AF" w:rsidRPr="005907D3" w:rsidRDefault="006B43AF" w:rsidP="004203CD">
            <w:pPr>
              <w:pStyle w:val="TablesTColHeadsBold"/>
              <w:rPr>
                <w:rFonts w:ascii="IBM Plex Sans Light" w:hAnsi="IBM Plex Sans Light"/>
                <w:color w:val="auto"/>
                <w:sz w:val="14"/>
                <w:szCs w:val="24"/>
              </w:rPr>
            </w:pPr>
          </w:p>
        </w:tc>
        <w:tc>
          <w:tcPr>
            <w:tcW w:w="852" w:type="dxa"/>
            <w:tcBorders>
              <w:bottom w:val="single" w:sz="2" w:space="0" w:color="3D7FE0" w:themeColor="accent1"/>
            </w:tcBorders>
            <w:shd w:val="clear" w:color="auto" w:fill="auto"/>
            <w:vAlign w:val="bottom"/>
          </w:tcPr>
          <w:p w14:paraId="01EA9F2D" w14:textId="77777777" w:rsidR="006B43AF" w:rsidRPr="005907D3" w:rsidRDefault="006B43AF" w:rsidP="004203CD">
            <w:pPr>
              <w:pStyle w:val="TablesTColHeadsBold"/>
              <w:rPr>
                <w:rFonts w:ascii="IBM Plex Sans Light" w:hAnsi="IBM Plex Sans Light"/>
                <w:bCs/>
                <w:sz w:val="14"/>
                <w:szCs w:val="14"/>
                <w:highlight w:val="yellow"/>
              </w:rPr>
            </w:pPr>
            <w:r w:rsidRPr="005907D3">
              <w:rPr>
                <w:rFonts w:ascii="IBM Plex Sans Light" w:hAnsi="IBM Plex Sans Light"/>
                <w:color w:val="auto"/>
                <w:sz w:val="14"/>
                <w:szCs w:val="24"/>
              </w:rPr>
              <w:t>Note</w:t>
            </w:r>
          </w:p>
        </w:tc>
        <w:tc>
          <w:tcPr>
            <w:tcW w:w="993" w:type="dxa"/>
            <w:tcBorders>
              <w:bottom w:val="single" w:sz="2" w:space="0" w:color="3D7FE0" w:themeColor="accent1"/>
            </w:tcBorders>
            <w:shd w:val="clear" w:color="auto" w:fill="auto"/>
            <w:vAlign w:val="bottom"/>
          </w:tcPr>
          <w:p w14:paraId="20E94349"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r w:rsidRPr="005907D3">
              <w:rPr>
                <w:rFonts w:ascii="IBM Plex Sans Light" w:hAnsi="IBM Plex Sans Light"/>
                <w:color w:val="3D7FE0" w:themeColor="accent1"/>
                <w:sz w:val="14"/>
                <w:szCs w:val="24"/>
              </w:rPr>
              <w:br/>
              <w:t>£m</w:t>
            </w:r>
          </w:p>
        </w:tc>
        <w:tc>
          <w:tcPr>
            <w:tcW w:w="1016" w:type="dxa"/>
            <w:tcBorders>
              <w:bottom w:val="single" w:sz="2" w:space="0" w:color="3D7FE0" w:themeColor="accent1"/>
            </w:tcBorders>
            <w:shd w:val="clear" w:color="auto" w:fill="auto"/>
            <w:vAlign w:val="bottom"/>
          </w:tcPr>
          <w:p w14:paraId="2FC71B5E"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202</w:t>
            </w:r>
            <w:r>
              <w:rPr>
                <w:rFonts w:ascii="IBM Plex Sans Light" w:hAnsi="IBM Plex Sans Light"/>
                <w:sz w:val="14"/>
                <w:szCs w:val="24"/>
              </w:rPr>
              <w:t>2</w:t>
            </w:r>
            <w:r w:rsidRPr="005907D3">
              <w:rPr>
                <w:rFonts w:ascii="IBM Plex Sans Light" w:hAnsi="IBM Plex Sans Light"/>
                <w:sz w:val="14"/>
                <w:szCs w:val="24"/>
              </w:rPr>
              <w:br/>
              <w:t>£m</w:t>
            </w:r>
          </w:p>
        </w:tc>
      </w:tr>
      <w:tr w:rsidR="006B43AF" w:rsidRPr="005907D3" w14:paraId="222CEEDA" w14:textId="77777777" w:rsidTr="004203CD">
        <w:trPr>
          <w:trHeight w:val="20"/>
        </w:trPr>
        <w:tc>
          <w:tcPr>
            <w:tcW w:w="5245" w:type="dxa"/>
            <w:tcBorders>
              <w:top w:val="single" w:sz="2" w:space="0" w:color="3D7FE0" w:themeColor="accent1"/>
              <w:bottom w:val="single" w:sz="2" w:space="0" w:color="3D7FE0" w:themeColor="accent1"/>
            </w:tcBorders>
            <w:shd w:val="clear" w:color="auto" w:fill="auto"/>
            <w:vAlign w:val="center"/>
          </w:tcPr>
          <w:p w14:paraId="19E40B28" w14:textId="77777777" w:rsidR="006B43AF" w:rsidRPr="005907D3" w:rsidRDefault="006B43AF" w:rsidP="004203CD">
            <w:pPr>
              <w:pStyle w:val="TablesTTextBold"/>
              <w:rPr>
                <w:rFonts w:ascii="IBM Plex Sans Light" w:hAnsi="IBM Plex Sans Light"/>
                <w:b/>
                <w:sz w:val="18"/>
                <w:szCs w:val="18"/>
              </w:rPr>
            </w:pPr>
            <w:r w:rsidRPr="005907D3">
              <w:rPr>
                <w:rFonts w:ascii="IBM Plex Sans Light" w:hAnsi="IBM Plex Sans Light"/>
                <w:b/>
                <w:sz w:val="18"/>
                <w:szCs w:val="18"/>
              </w:rPr>
              <w:t xml:space="preserve">Net debt – ‘Loan’ </w:t>
            </w:r>
          </w:p>
        </w:tc>
        <w:tc>
          <w:tcPr>
            <w:tcW w:w="1418" w:type="dxa"/>
            <w:tcBorders>
              <w:top w:val="single" w:sz="2" w:space="0" w:color="3D7FE0" w:themeColor="accent1"/>
              <w:bottom w:val="single" w:sz="2" w:space="0" w:color="3D7FE0" w:themeColor="accent1"/>
            </w:tcBorders>
            <w:shd w:val="clear" w:color="auto" w:fill="auto"/>
            <w:vAlign w:val="center"/>
          </w:tcPr>
          <w:p w14:paraId="5C8CAE9C" w14:textId="77777777" w:rsidR="006B43AF" w:rsidRPr="005907D3" w:rsidRDefault="006B43AF" w:rsidP="004203CD">
            <w:pPr>
              <w:pStyle w:val="TablesTTextBold"/>
              <w:jc w:val="center"/>
              <w:rPr>
                <w:rFonts w:ascii="IBM Plex Sans Light" w:hAnsi="IBM Plex Sans Light"/>
                <w:b/>
                <w:sz w:val="18"/>
                <w:szCs w:val="18"/>
              </w:rPr>
            </w:pPr>
            <w:r w:rsidRPr="005907D3">
              <w:rPr>
                <w:rFonts w:ascii="IBM Plex Sans Light" w:hAnsi="IBM Plex Sans Light"/>
                <w:b/>
                <w:sz w:val="18"/>
                <w:szCs w:val="18"/>
              </w:rPr>
              <w:t>A</w:t>
            </w:r>
          </w:p>
        </w:tc>
        <w:tc>
          <w:tcPr>
            <w:tcW w:w="423" w:type="dxa"/>
            <w:tcBorders>
              <w:top w:val="single" w:sz="2" w:space="0" w:color="3D7FE0" w:themeColor="accent1"/>
              <w:bottom w:val="single" w:sz="2" w:space="0" w:color="3D7FE0" w:themeColor="accent1"/>
            </w:tcBorders>
            <w:vAlign w:val="center"/>
          </w:tcPr>
          <w:p w14:paraId="1C136F8A" w14:textId="77777777" w:rsidR="006B43AF" w:rsidRPr="005907D3" w:rsidRDefault="006B43AF" w:rsidP="004203CD">
            <w:pPr>
              <w:pStyle w:val="TablesTColHead"/>
              <w:rPr>
                <w:rFonts w:ascii="IBM Plex Sans Light" w:hAnsi="IBM Plex Sans Light"/>
                <w:sz w:val="16"/>
                <w:szCs w:val="16"/>
              </w:rPr>
            </w:pPr>
          </w:p>
        </w:tc>
        <w:tc>
          <w:tcPr>
            <w:tcW w:w="852" w:type="dxa"/>
            <w:tcBorders>
              <w:top w:val="single" w:sz="2" w:space="0" w:color="3D7FE0" w:themeColor="accent1"/>
              <w:bottom w:val="single" w:sz="2" w:space="0" w:color="3D7FE0" w:themeColor="accent1"/>
            </w:tcBorders>
            <w:shd w:val="clear" w:color="auto" w:fill="auto"/>
            <w:vAlign w:val="center"/>
          </w:tcPr>
          <w:p w14:paraId="30AAC4F2" w14:textId="77777777" w:rsidR="006B43AF" w:rsidRPr="005907D3" w:rsidRDefault="006B43AF" w:rsidP="004203CD">
            <w:pPr>
              <w:pStyle w:val="TablesTColHead"/>
              <w:rPr>
                <w:rFonts w:ascii="IBM Plex Sans Light" w:hAnsi="IBM Plex Sans Light"/>
                <w:sz w:val="16"/>
                <w:szCs w:val="16"/>
              </w:rPr>
            </w:pPr>
            <w:r w:rsidRPr="005907D3">
              <w:rPr>
                <w:rFonts w:ascii="IBM Plex Sans Light" w:hAnsi="IBM Plex Sans Light"/>
                <w:sz w:val="16"/>
                <w:szCs w:val="16"/>
              </w:rPr>
              <w:t>Table 13</w:t>
            </w:r>
          </w:p>
        </w:tc>
        <w:tc>
          <w:tcPr>
            <w:tcW w:w="993" w:type="dxa"/>
            <w:tcBorders>
              <w:top w:val="single" w:sz="2" w:space="0" w:color="3D7FE0" w:themeColor="accent1"/>
              <w:bottom w:val="single" w:sz="2" w:space="0" w:color="3D7FE0" w:themeColor="accent1"/>
            </w:tcBorders>
            <w:shd w:val="clear" w:color="auto" w:fill="auto"/>
            <w:vAlign w:val="bottom"/>
          </w:tcPr>
          <w:p w14:paraId="22523A27"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sidRPr="009A0C99">
              <w:rPr>
                <w:rFonts w:ascii="IBM Plex Sans Medium" w:hAnsi="IBM Plex Sans Medium"/>
                <w:b/>
                <w:color w:val="3D7FE0" w:themeColor="accent1"/>
                <w:sz w:val="18"/>
                <w:szCs w:val="18"/>
              </w:rPr>
              <w:t>1,</w:t>
            </w:r>
            <w:r>
              <w:rPr>
                <w:rFonts w:ascii="IBM Plex Sans Medium" w:hAnsi="IBM Plex Sans Medium"/>
                <w:b/>
                <w:color w:val="3D7FE0" w:themeColor="accent1"/>
                <w:sz w:val="18"/>
                <w:szCs w:val="18"/>
              </w:rPr>
              <w:t>326.3</w:t>
            </w:r>
          </w:p>
        </w:tc>
        <w:tc>
          <w:tcPr>
            <w:tcW w:w="1016" w:type="dxa"/>
            <w:tcBorders>
              <w:top w:val="single" w:sz="2" w:space="0" w:color="3D7FE0" w:themeColor="accent1"/>
              <w:bottom w:val="single" w:sz="2" w:space="0" w:color="3D7FE0" w:themeColor="accent1"/>
            </w:tcBorders>
            <w:shd w:val="clear" w:color="auto" w:fill="auto"/>
            <w:vAlign w:val="bottom"/>
          </w:tcPr>
          <w:p w14:paraId="478DB386"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1,732.1</w:t>
            </w:r>
          </w:p>
        </w:tc>
      </w:tr>
      <w:tr w:rsidR="006B43AF" w:rsidRPr="005907D3" w14:paraId="7E713E28" w14:textId="77777777" w:rsidTr="004203CD">
        <w:trPr>
          <w:trHeight w:val="20"/>
        </w:trPr>
        <w:tc>
          <w:tcPr>
            <w:tcW w:w="5245" w:type="dxa"/>
            <w:tcBorders>
              <w:top w:val="single" w:sz="2" w:space="0" w:color="3D7FE0" w:themeColor="accent1"/>
            </w:tcBorders>
            <w:shd w:val="clear" w:color="auto" w:fill="auto"/>
            <w:vAlign w:val="center"/>
          </w:tcPr>
          <w:p w14:paraId="30D3EC80" w14:textId="77777777" w:rsidR="006B43AF" w:rsidRPr="005907D3" w:rsidRDefault="006B43AF" w:rsidP="004203CD">
            <w:pPr>
              <w:pStyle w:val="TablesTText"/>
              <w:rPr>
                <w:rFonts w:ascii="IBM Plex Sans Light" w:hAnsi="IBM Plex Sans Light"/>
                <w:sz w:val="18"/>
                <w:szCs w:val="18"/>
              </w:rPr>
            </w:pPr>
          </w:p>
        </w:tc>
        <w:tc>
          <w:tcPr>
            <w:tcW w:w="1418" w:type="dxa"/>
            <w:tcBorders>
              <w:top w:val="single" w:sz="2" w:space="0" w:color="3D7FE0" w:themeColor="accent1"/>
            </w:tcBorders>
            <w:shd w:val="clear" w:color="auto" w:fill="auto"/>
            <w:vAlign w:val="center"/>
          </w:tcPr>
          <w:p w14:paraId="4D24B308" w14:textId="77777777" w:rsidR="006B43AF" w:rsidRPr="005907D3" w:rsidRDefault="006B43AF" w:rsidP="004203CD">
            <w:pPr>
              <w:pStyle w:val="TablesTText"/>
              <w:jc w:val="center"/>
              <w:rPr>
                <w:rFonts w:ascii="IBM Plex Sans Light" w:hAnsi="IBM Plex Sans Light"/>
                <w:b/>
                <w:sz w:val="18"/>
                <w:szCs w:val="18"/>
              </w:rPr>
            </w:pPr>
          </w:p>
        </w:tc>
        <w:tc>
          <w:tcPr>
            <w:tcW w:w="423" w:type="dxa"/>
            <w:tcBorders>
              <w:top w:val="single" w:sz="2" w:space="0" w:color="3D7FE0" w:themeColor="accent1"/>
            </w:tcBorders>
          </w:tcPr>
          <w:p w14:paraId="13F50D28" w14:textId="77777777" w:rsidR="006B43AF" w:rsidRPr="005907D3" w:rsidRDefault="006B43AF" w:rsidP="004203CD">
            <w:pPr>
              <w:pStyle w:val="TablesTColHead"/>
              <w:rPr>
                <w:rFonts w:ascii="IBM Plex Sans Light" w:hAnsi="IBM Plex Sans Light"/>
                <w:sz w:val="16"/>
                <w:szCs w:val="16"/>
                <w:highlight w:val="yellow"/>
              </w:rPr>
            </w:pPr>
          </w:p>
        </w:tc>
        <w:tc>
          <w:tcPr>
            <w:tcW w:w="852" w:type="dxa"/>
            <w:tcBorders>
              <w:top w:val="single" w:sz="2" w:space="0" w:color="3D7FE0" w:themeColor="accent1"/>
            </w:tcBorders>
            <w:shd w:val="clear" w:color="auto" w:fill="auto"/>
            <w:vAlign w:val="center"/>
          </w:tcPr>
          <w:p w14:paraId="3B066371" w14:textId="77777777" w:rsidR="006B43AF" w:rsidRPr="005907D3" w:rsidRDefault="006B43AF" w:rsidP="004203CD">
            <w:pPr>
              <w:pStyle w:val="TablesTColHead"/>
              <w:rPr>
                <w:rFonts w:ascii="IBM Plex Sans Light" w:hAnsi="IBM Plex Sans Light"/>
                <w:sz w:val="16"/>
                <w:szCs w:val="16"/>
                <w:highlight w:val="yellow"/>
              </w:rPr>
            </w:pPr>
          </w:p>
        </w:tc>
        <w:tc>
          <w:tcPr>
            <w:tcW w:w="993" w:type="dxa"/>
            <w:tcBorders>
              <w:top w:val="single" w:sz="2" w:space="0" w:color="3D7FE0" w:themeColor="accent1"/>
            </w:tcBorders>
            <w:shd w:val="clear" w:color="auto" w:fill="auto"/>
            <w:vAlign w:val="bottom"/>
          </w:tcPr>
          <w:p w14:paraId="7F21AA75"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p>
        </w:tc>
        <w:tc>
          <w:tcPr>
            <w:tcW w:w="1016" w:type="dxa"/>
            <w:tcBorders>
              <w:top w:val="single" w:sz="2" w:space="0" w:color="3D7FE0" w:themeColor="accent1"/>
            </w:tcBorders>
            <w:shd w:val="clear" w:color="auto" w:fill="auto"/>
            <w:vAlign w:val="bottom"/>
          </w:tcPr>
          <w:p w14:paraId="4995447D" w14:textId="77777777" w:rsidR="006B43AF" w:rsidRPr="00F6452E" w:rsidRDefault="006B43AF" w:rsidP="004203CD">
            <w:pPr>
              <w:pStyle w:val="TablesTFigures"/>
              <w:spacing w:line="240" w:lineRule="auto"/>
              <w:rPr>
                <w:rFonts w:ascii="IBM Plex Sans Light" w:hAnsi="IBM Plex Sans Light"/>
                <w:bCs/>
                <w:sz w:val="18"/>
                <w:szCs w:val="18"/>
              </w:rPr>
            </w:pPr>
          </w:p>
        </w:tc>
      </w:tr>
      <w:tr w:rsidR="006B43AF" w:rsidRPr="005907D3" w14:paraId="3A927CDA" w14:textId="77777777" w:rsidTr="004203CD">
        <w:trPr>
          <w:trHeight w:val="20"/>
        </w:trPr>
        <w:tc>
          <w:tcPr>
            <w:tcW w:w="5245" w:type="dxa"/>
            <w:shd w:val="clear" w:color="auto" w:fill="auto"/>
            <w:vAlign w:val="center"/>
          </w:tcPr>
          <w:p w14:paraId="596A8110"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 xml:space="preserve">Managed property portfolio </w:t>
            </w:r>
          </w:p>
        </w:tc>
        <w:tc>
          <w:tcPr>
            <w:tcW w:w="1418" w:type="dxa"/>
            <w:shd w:val="clear" w:color="auto" w:fill="auto"/>
            <w:vAlign w:val="center"/>
          </w:tcPr>
          <w:p w14:paraId="65E61874" w14:textId="77777777" w:rsidR="006B43AF" w:rsidRPr="005907D3" w:rsidRDefault="006B43AF" w:rsidP="004203CD">
            <w:pPr>
              <w:pStyle w:val="TablesTText"/>
              <w:spacing w:line="240" w:lineRule="auto"/>
              <w:jc w:val="center"/>
              <w:rPr>
                <w:rFonts w:ascii="IBM Plex Sans Light" w:hAnsi="IBM Plex Sans Light"/>
                <w:b/>
                <w:sz w:val="18"/>
                <w:szCs w:val="18"/>
              </w:rPr>
            </w:pPr>
            <w:r w:rsidRPr="005907D3">
              <w:rPr>
                <w:rFonts w:ascii="IBM Plex Sans Light" w:hAnsi="IBM Plex Sans Light"/>
                <w:b/>
                <w:sz w:val="18"/>
                <w:szCs w:val="18"/>
              </w:rPr>
              <w:t>B</w:t>
            </w:r>
          </w:p>
        </w:tc>
        <w:tc>
          <w:tcPr>
            <w:tcW w:w="423" w:type="dxa"/>
          </w:tcPr>
          <w:p w14:paraId="47450B95" w14:textId="77777777" w:rsidR="006B43AF" w:rsidRPr="005907D3" w:rsidRDefault="006B43AF" w:rsidP="004203CD">
            <w:pPr>
              <w:pStyle w:val="TablesTColHead"/>
              <w:spacing w:line="240" w:lineRule="auto"/>
              <w:rPr>
                <w:rFonts w:ascii="IBM Plex Sans Light" w:hAnsi="IBM Plex Sans Light"/>
                <w:sz w:val="16"/>
                <w:szCs w:val="16"/>
              </w:rPr>
            </w:pPr>
          </w:p>
        </w:tc>
        <w:tc>
          <w:tcPr>
            <w:tcW w:w="852" w:type="dxa"/>
            <w:shd w:val="clear" w:color="auto" w:fill="auto"/>
            <w:vAlign w:val="center"/>
          </w:tcPr>
          <w:p w14:paraId="3EDA2D1E" w14:textId="77777777" w:rsidR="006B43AF" w:rsidRPr="005907D3" w:rsidRDefault="006B43AF" w:rsidP="004203CD">
            <w:pPr>
              <w:pStyle w:val="TablesTColHead"/>
              <w:spacing w:line="240" w:lineRule="auto"/>
              <w:rPr>
                <w:rFonts w:ascii="IBM Plex Sans Light" w:hAnsi="IBM Plex Sans Light"/>
                <w:sz w:val="16"/>
                <w:szCs w:val="16"/>
              </w:rPr>
            </w:pPr>
            <w:r w:rsidRPr="005907D3">
              <w:rPr>
                <w:rFonts w:ascii="IBM Plex Sans Light" w:hAnsi="IBM Plex Sans Light"/>
                <w:sz w:val="16"/>
                <w:szCs w:val="16"/>
              </w:rPr>
              <w:t>3B</w:t>
            </w:r>
          </w:p>
        </w:tc>
        <w:tc>
          <w:tcPr>
            <w:tcW w:w="993" w:type="dxa"/>
            <w:shd w:val="clear" w:color="auto" w:fill="auto"/>
            <w:vAlign w:val="bottom"/>
          </w:tcPr>
          <w:p w14:paraId="5301B782"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2,776.1</w:t>
            </w:r>
          </w:p>
        </w:tc>
        <w:tc>
          <w:tcPr>
            <w:tcW w:w="1016" w:type="dxa"/>
            <w:shd w:val="clear" w:color="auto" w:fill="auto"/>
            <w:vAlign w:val="bottom"/>
          </w:tcPr>
          <w:p w14:paraId="03E9C761"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3,220.1</w:t>
            </w:r>
          </w:p>
        </w:tc>
      </w:tr>
      <w:tr w:rsidR="006B43AF" w:rsidRPr="005907D3" w14:paraId="0675D692" w14:textId="77777777" w:rsidTr="004203CD">
        <w:trPr>
          <w:trHeight w:val="20"/>
        </w:trPr>
        <w:tc>
          <w:tcPr>
            <w:tcW w:w="5245" w:type="dxa"/>
            <w:tcBorders>
              <w:bottom w:val="single" w:sz="2" w:space="0" w:color="3D7FE0" w:themeColor="accent1"/>
            </w:tcBorders>
            <w:shd w:val="clear" w:color="auto" w:fill="auto"/>
            <w:vAlign w:val="center"/>
          </w:tcPr>
          <w:p w14:paraId="20CC7BE8" w14:textId="77777777" w:rsidR="006B43AF" w:rsidRPr="005907D3" w:rsidRDefault="006B43AF" w:rsidP="004203CD">
            <w:pPr>
              <w:pStyle w:val="TablesTText"/>
              <w:spacing w:line="240" w:lineRule="auto"/>
              <w:rPr>
                <w:rFonts w:ascii="IBM Plex Sans Light" w:hAnsi="IBM Plex Sans Light"/>
                <w:sz w:val="18"/>
                <w:szCs w:val="18"/>
              </w:rPr>
            </w:pPr>
            <w:r w:rsidRPr="005907D3">
              <w:rPr>
                <w:rFonts w:ascii="IBM Plex Sans Light" w:hAnsi="IBM Plex Sans Light"/>
                <w:sz w:val="18"/>
                <w:szCs w:val="18"/>
              </w:rPr>
              <w:t>Investment in Value Retail</w:t>
            </w:r>
          </w:p>
        </w:tc>
        <w:tc>
          <w:tcPr>
            <w:tcW w:w="1418" w:type="dxa"/>
            <w:tcBorders>
              <w:bottom w:val="single" w:sz="2" w:space="0" w:color="3D7FE0" w:themeColor="accent1"/>
            </w:tcBorders>
            <w:shd w:val="clear" w:color="auto" w:fill="auto"/>
            <w:vAlign w:val="center"/>
          </w:tcPr>
          <w:p w14:paraId="5FBA3C69" w14:textId="77777777" w:rsidR="006B43AF" w:rsidRPr="005907D3" w:rsidRDefault="006B43AF" w:rsidP="004203CD">
            <w:pPr>
              <w:pStyle w:val="TablesTText"/>
              <w:spacing w:line="240" w:lineRule="auto"/>
              <w:jc w:val="center"/>
              <w:rPr>
                <w:rFonts w:ascii="IBM Plex Sans Light" w:hAnsi="IBM Plex Sans Light"/>
                <w:b/>
                <w:sz w:val="18"/>
                <w:szCs w:val="18"/>
              </w:rPr>
            </w:pPr>
          </w:p>
        </w:tc>
        <w:tc>
          <w:tcPr>
            <w:tcW w:w="423" w:type="dxa"/>
            <w:tcBorders>
              <w:bottom w:val="single" w:sz="2" w:space="0" w:color="3D7FE0" w:themeColor="accent1"/>
            </w:tcBorders>
          </w:tcPr>
          <w:p w14:paraId="06AC6CC7" w14:textId="77777777" w:rsidR="006B43AF" w:rsidRPr="005907D3" w:rsidRDefault="006B43AF" w:rsidP="004203CD">
            <w:pPr>
              <w:pStyle w:val="TablesTColHead"/>
              <w:spacing w:line="240" w:lineRule="auto"/>
              <w:rPr>
                <w:rFonts w:ascii="IBM Plex Sans Light" w:hAnsi="IBM Plex Sans Light"/>
                <w:sz w:val="16"/>
                <w:szCs w:val="16"/>
              </w:rPr>
            </w:pPr>
          </w:p>
        </w:tc>
        <w:tc>
          <w:tcPr>
            <w:tcW w:w="852" w:type="dxa"/>
            <w:tcBorders>
              <w:bottom w:val="single" w:sz="2" w:space="0" w:color="3D7FE0" w:themeColor="accent1"/>
            </w:tcBorders>
            <w:shd w:val="clear" w:color="auto" w:fill="auto"/>
            <w:vAlign w:val="center"/>
          </w:tcPr>
          <w:p w14:paraId="1FD5BF99" w14:textId="77777777" w:rsidR="006B43AF" w:rsidRPr="005907D3" w:rsidRDefault="006B43AF" w:rsidP="004203CD">
            <w:pPr>
              <w:pStyle w:val="TablesTColHead"/>
              <w:spacing w:line="240" w:lineRule="auto"/>
              <w:rPr>
                <w:rFonts w:ascii="IBM Plex Sans Light" w:hAnsi="IBM Plex Sans Light"/>
                <w:sz w:val="16"/>
                <w:szCs w:val="16"/>
              </w:rPr>
            </w:pPr>
          </w:p>
        </w:tc>
        <w:tc>
          <w:tcPr>
            <w:tcW w:w="993" w:type="dxa"/>
            <w:tcBorders>
              <w:bottom w:val="single" w:sz="2" w:space="0" w:color="3D7FE0" w:themeColor="accent1"/>
            </w:tcBorders>
            <w:shd w:val="clear" w:color="auto" w:fill="auto"/>
            <w:vAlign w:val="bottom"/>
          </w:tcPr>
          <w:p w14:paraId="662417FD"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sidRPr="009A0C99">
              <w:rPr>
                <w:rFonts w:ascii="IBM Plex Sans Medium" w:hAnsi="IBM Plex Sans Medium"/>
                <w:b/>
                <w:color w:val="3D7FE0" w:themeColor="accent1"/>
                <w:sz w:val="18"/>
                <w:szCs w:val="18"/>
              </w:rPr>
              <w:t>1,</w:t>
            </w:r>
            <w:r>
              <w:rPr>
                <w:rFonts w:ascii="IBM Plex Sans Medium" w:hAnsi="IBM Plex Sans Medium"/>
                <w:b/>
                <w:color w:val="3D7FE0" w:themeColor="accent1"/>
                <w:sz w:val="18"/>
                <w:szCs w:val="18"/>
              </w:rPr>
              <w:t>115.0</w:t>
            </w:r>
          </w:p>
        </w:tc>
        <w:tc>
          <w:tcPr>
            <w:tcW w:w="1016" w:type="dxa"/>
            <w:tcBorders>
              <w:bottom w:val="single" w:sz="2" w:space="0" w:color="3D7FE0" w:themeColor="accent1"/>
            </w:tcBorders>
            <w:shd w:val="clear" w:color="auto" w:fill="auto"/>
            <w:vAlign w:val="bottom"/>
          </w:tcPr>
          <w:p w14:paraId="11B922B9"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1,189.4</w:t>
            </w:r>
          </w:p>
        </w:tc>
      </w:tr>
      <w:tr w:rsidR="006B43AF" w:rsidRPr="005907D3" w14:paraId="480585D4" w14:textId="77777777" w:rsidTr="004203CD">
        <w:trPr>
          <w:trHeight w:val="20"/>
        </w:trPr>
        <w:tc>
          <w:tcPr>
            <w:tcW w:w="5245" w:type="dxa"/>
            <w:tcBorders>
              <w:top w:val="single" w:sz="2" w:space="0" w:color="3D7FE0" w:themeColor="accent1"/>
            </w:tcBorders>
            <w:shd w:val="clear" w:color="auto" w:fill="auto"/>
            <w:vAlign w:val="center"/>
          </w:tcPr>
          <w:p w14:paraId="71B55DD4" w14:textId="77777777" w:rsidR="006B43AF" w:rsidRPr="005907D3" w:rsidRDefault="006B43AF" w:rsidP="004203CD">
            <w:pPr>
              <w:pStyle w:val="TablesTText"/>
              <w:spacing w:line="240" w:lineRule="exact"/>
              <w:rPr>
                <w:rFonts w:ascii="IBM Plex Sans Light" w:hAnsi="IBM Plex Sans Light"/>
                <w:b/>
                <w:sz w:val="18"/>
                <w:szCs w:val="18"/>
              </w:rPr>
            </w:pPr>
            <w:r w:rsidRPr="005907D3">
              <w:rPr>
                <w:rFonts w:ascii="IBM Plex Sans Light" w:hAnsi="IBM Plex Sans Light"/>
                <w:b/>
                <w:sz w:val="18"/>
                <w:szCs w:val="18"/>
              </w:rPr>
              <w:t xml:space="preserve">‘Value’ </w:t>
            </w:r>
          </w:p>
        </w:tc>
        <w:tc>
          <w:tcPr>
            <w:tcW w:w="1418" w:type="dxa"/>
            <w:tcBorders>
              <w:top w:val="single" w:sz="2" w:space="0" w:color="3D7FE0" w:themeColor="accent1"/>
            </w:tcBorders>
            <w:shd w:val="clear" w:color="auto" w:fill="auto"/>
            <w:vAlign w:val="center"/>
          </w:tcPr>
          <w:p w14:paraId="55DD7019" w14:textId="77777777" w:rsidR="006B43AF" w:rsidRPr="005907D3" w:rsidRDefault="006B43AF" w:rsidP="004203CD">
            <w:pPr>
              <w:pStyle w:val="TablesTText"/>
              <w:spacing w:line="240" w:lineRule="exact"/>
              <w:jc w:val="center"/>
              <w:rPr>
                <w:rFonts w:ascii="IBM Plex Sans Light" w:hAnsi="IBM Plex Sans Light"/>
                <w:b/>
                <w:sz w:val="18"/>
                <w:szCs w:val="18"/>
              </w:rPr>
            </w:pPr>
            <w:r w:rsidRPr="005907D3">
              <w:rPr>
                <w:rFonts w:ascii="IBM Plex Sans Light" w:hAnsi="IBM Plex Sans Light"/>
                <w:b/>
                <w:sz w:val="18"/>
                <w:szCs w:val="18"/>
              </w:rPr>
              <w:t>C</w:t>
            </w:r>
          </w:p>
        </w:tc>
        <w:tc>
          <w:tcPr>
            <w:tcW w:w="423" w:type="dxa"/>
            <w:tcBorders>
              <w:top w:val="single" w:sz="2" w:space="0" w:color="3D7FE0" w:themeColor="accent1"/>
            </w:tcBorders>
          </w:tcPr>
          <w:p w14:paraId="2B224015" w14:textId="77777777" w:rsidR="006B43AF" w:rsidRPr="005907D3" w:rsidRDefault="006B43AF" w:rsidP="004203CD">
            <w:pPr>
              <w:pStyle w:val="TablesTColHead"/>
              <w:rPr>
                <w:rFonts w:ascii="IBM Plex Sans Light" w:hAnsi="IBM Plex Sans Light"/>
                <w:b/>
                <w:sz w:val="16"/>
                <w:szCs w:val="16"/>
                <w:highlight w:val="yellow"/>
              </w:rPr>
            </w:pPr>
          </w:p>
        </w:tc>
        <w:tc>
          <w:tcPr>
            <w:tcW w:w="852" w:type="dxa"/>
            <w:tcBorders>
              <w:top w:val="single" w:sz="2" w:space="0" w:color="3D7FE0" w:themeColor="accent1"/>
            </w:tcBorders>
            <w:shd w:val="clear" w:color="auto" w:fill="auto"/>
            <w:vAlign w:val="center"/>
          </w:tcPr>
          <w:p w14:paraId="5C0126AA"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tcBorders>
              <w:top w:val="single" w:sz="2" w:space="0" w:color="3D7FE0" w:themeColor="accent1"/>
            </w:tcBorders>
            <w:shd w:val="clear" w:color="auto" w:fill="auto"/>
            <w:vAlign w:val="bottom"/>
          </w:tcPr>
          <w:p w14:paraId="33353B13"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3,891.1</w:t>
            </w:r>
          </w:p>
        </w:tc>
        <w:tc>
          <w:tcPr>
            <w:tcW w:w="1016" w:type="dxa"/>
            <w:tcBorders>
              <w:top w:val="single" w:sz="2" w:space="0" w:color="3D7FE0" w:themeColor="accent1"/>
            </w:tcBorders>
            <w:shd w:val="clear" w:color="auto" w:fill="auto"/>
            <w:vAlign w:val="bottom"/>
          </w:tcPr>
          <w:p w14:paraId="1C281049"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4,409.5</w:t>
            </w:r>
          </w:p>
        </w:tc>
      </w:tr>
      <w:tr w:rsidR="006B43AF" w:rsidRPr="005907D3" w14:paraId="16D9C681" w14:textId="77777777" w:rsidTr="004203CD">
        <w:trPr>
          <w:trHeight w:val="20"/>
        </w:trPr>
        <w:tc>
          <w:tcPr>
            <w:tcW w:w="5245" w:type="dxa"/>
            <w:tcBorders>
              <w:bottom w:val="single" w:sz="2" w:space="0" w:color="3D7FE0" w:themeColor="accent1"/>
            </w:tcBorders>
            <w:shd w:val="clear" w:color="auto" w:fill="auto"/>
            <w:vAlign w:val="center"/>
          </w:tcPr>
          <w:p w14:paraId="16EBF088" w14:textId="77777777" w:rsidR="006B43AF" w:rsidRPr="005907D3" w:rsidRDefault="006B43AF" w:rsidP="004203CD">
            <w:pPr>
              <w:pStyle w:val="TablesTTextBold"/>
              <w:rPr>
                <w:rFonts w:ascii="IBM Plex Sans Light" w:hAnsi="IBM Plex Sans Light"/>
                <w:sz w:val="18"/>
                <w:szCs w:val="18"/>
              </w:rPr>
            </w:pPr>
          </w:p>
        </w:tc>
        <w:tc>
          <w:tcPr>
            <w:tcW w:w="1418" w:type="dxa"/>
            <w:tcBorders>
              <w:bottom w:val="single" w:sz="2" w:space="0" w:color="3D7FE0" w:themeColor="accent1"/>
            </w:tcBorders>
            <w:shd w:val="clear" w:color="auto" w:fill="auto"/>
            <w:vAlign w:val="center"/>
          </w:tcPr>
          <w:p w14:paraId="74775510" w14:textId="77777777" w:rsidR="006B43AF" w:rsidRPr="005907D3" w:rsidRDefault="006B43AF" w:rsidP="004203CD">
            <w:pPr>
              <w:pStyle w:val="TablesTTextBold"/>
              <w:jc w:val="center"/>
              <w:rPr>
                <w:rFonts w:ascii="IBM Plex Sans Light" w:hAnsi="IBM Plex Sans Light"/>
                <w:b/>
                <w:sz w:val="18"/>
                <w:szCs w:val="18"/>
              </w:rPr>
            </w:pPr>
          </w:p>
        </w:tc>
        <w:tc>
          <w:tcPr>
            <w:tcW w:w="423" w:type="dxa"/>
            <w:tcBorders>
              <w:bottom w:val="single" w:sz="2" w:space="0" w:color="3D7FE0" w:themeColor="accent1"/>
            </w:tcBorders>
          </w:tcPr>
          <w:p w14:paraId="210747D7" w14:textId="77777777" w:rsidR="006B43AF" w:rsidRPr="005907D3" w:rsidRDefault="006B43AF" w:rsidP="004203CD">
            <w:pPr>
              <w:pStyle w:val="TablesTColHead"/>
              <w:rPr>
                <w:rFonts w:ascii="IBM Plex Sans Light" w:hAnsi="IBM Plex Sans Light"/>
                <w:sz w:val="16"/>
                <w:szCs w:val="16"/>
                <w:highlight w:val="yellow"/>
              </w:rPr>
            </w:pPr>
          </w:p>
        </w:tc>
        <w:tc>
          <w:tcPr>
            <w:tcW w:w="852" w:type="dxa"/>
            <w:tcBorders>
              <w:bottom w:val="single" w:sz="2" w:space="0" w:color="3D7FE0" w:themeColor="accent1"/>
            </w:tcBorders>
            <w:shd w:val="clear" w:color="auto" w:fill="auto"/>
            <w:vAlign w:val="center"/>
          </w:tcPr>
          <w:p w14:paraId="2F5BD4DB" w14:textId="77777777" w:rsidR="006B43AF" w:rsidRPr="005907D3" w:rsidRDefault="006B43AF" w:rsidP="004203CD">
            <w:pPr>
              <w:pStyle w:val="TablesTColHead"/>
              <w:rPr>
                <w:rFonts w:ascii="IBM Plex Sans Light" w:hAnsi="IBM Plex Sans Light"/>
                <w:sz w:val="16"/>
                <w:szCs w:val="16"/>
                <w:highlight w:val="yellow"/>
              </w:rPr>
            </w:pPr>
          </w:p>
        </w:tc>
        <w:tc>
          <w:tcPr>
            <w:tcW w:w="993" w:type="dxa"/>
            <w:tcBorders>
              <w:bottom w:val="single" w:sz="2" w:space="0" w:color="3D7FE0" w:themeColor="accent1"/>
            </w:tcBorders>
            <w:shd w:val="clear" w:color="auto" w:fill="auto"/>
            <w:vAlign w:val="bottom"/>
          </w:tcPr>
          <w:p w14:paraId="71018F8D"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p>
        </w:tc>
        <w:tc>
          <w:tcPr>
            <w:tcW w:w="1016" w:type="dxa"/>
            <w:tcBorders>
              <w:bottom w:val="single" w:sz="2" w:space="0" w:color="3D7FE0" w:themeColor="accent1"/>
            </w:tcBorders>
            <w:shd w:val="clear" w:color="auto" w:fill="auto"/>
            <w:vAlign w:val="bottom"/>
          </w:tcPr>
          <w:p w14:paraId="63ED04B0" w14:textId="77777777" w:rsidR="006B43AF" w:rsidRPr="00F6452E" w:rsidRDefault="006B43AF" w:rsidP="004203CD">
            <w:pPr>
              <w:pStyle w:val="TablesTFigures"/>
              <w:spacing w:line="240" w:lineRule="auto"/>
              <w:rPr>
                <w:rFonts w:ascii="IBM Plex Sans Light" w:hAnsi="IBM Plex Sans Light"/>
                <w:bCs/>
                <w:sz w:val="18"/>
                <w:szCs w:val="18"/>
              </w:rPr>
            </w:pPr>
          </w:p>
        </w:tc>
      </w:tr>
      <w:tr w:rsidR="006B43AF" w:rsidRPr="005907D3" w14:paraId="6B20C05A" w14:textId="77777777" w:rsidTr="004203CD">
        <w:trPr>
          <w:trHeight w:val="20"/>
        </w:trPr>
        <w:tc>
          <w:tcPr>
            <w:tcW w:w="5245" w:type="dxa"/>
            <w:tcBorders>
              <w:top w:val="single" w:sz="2" w:space="0" w:color="3D7FE0" w:themeColor="accent1"/>
              <w:bottom w:val="single" w:sz="2" w:space="0" w:color="3D7FE0" w:themeColor="accent1"/>
            </w:tcBorders>
            <w:shd w:val="clear" w:color="auto" w:fill="auto"/>
            <w:vAlign w:val="center"/>
          </w:tcPr>
          <w:p w14:paraId="3BA1124A" w14:textId="77777777" w:rsidR="006B43AF" w:rsidRPr="005907D3" w:rsidRDefault="006B43AF" w:rsidP="004203CD">
            <w:pPr>
              <w:pStyle w:val="TablesTText"/>
              <w:spacing w:line="240" w:lineRule="exact"/>
              <w:rPr>
                <w:rFonts w:ascii="IBM Plex Sans Light" w:hAnsi="IBM Plex Sans Light"/>
                <w:b/>
                <w:sz w:val="18"/>
                <w:szCs w:val="18"/>
              </w:rPr>
            </w:pPr>
            <w:r w:rsidRPr="005907D3">
              <w:rPr>
                <w:rFonts w:ascii="IBM Plex Sans Light" w:hAnsi="IBM Plex Sans Light"/>
                <w:b/>
                <w:sz w:val="18"/>
                <w:szCs w:val="18"/>
              </w:rPr>
              <w:t xml:space="preserve">Loan to value – Headline </w:t>
            </w:r>
          </w:p>
        </w:tc>
        <w:tc>
          <w:tcPr>
            <w:tcW w:w="1418" w:type="dxa"/>
            <w:tcBorders>
              <w:top w:val="single" w:sz="2" w:space="0" w:color="3D7FE0" w:themeColor="accent1"/>
              <w:bottom w:val="single" w:sz="2" w:space="0" w:color="3D7FE0" w:themeColor="accent1"/>
            </w:tcBorders>
            <w:shd w:val="clear" w:color="auto" w:fill="auto"/>
            <w:vAlign w:val="center"/>
          </w:tcPr>
          <w:p w14:paraId="2D47690A" w14:textId="77777777" w:rsidR="006B43AF" w:rsidRPr="005907D3" w:rsidRDefault="006B43AF" w:rsidP="004203CD">
            <w:pPr>
              <w:pStyle w:val="TablesTText"/>
              <w:spacing w:line="240" w:lineRule="exact"/>
              <w:jc w:val="center"/>
              <w:rPr>
                <w:rFonts w:ascii="IBM Plex Sans Light" w:hAnsi="IBM Plex Sans Light"/>
                <w:b/>
                <w:sz w:val="18"/>
                <w:szCs w:val="18"/>
              </w:rPr>
            </w:pPr>
            <w:r w:rsidRPr="005907D3">
              <w:rPr>
                <w:rFonts w:ascii="IBM Plex Sans Light" w:hAnsi="IBM Plex Sans Light"/>
                <w:b/>
                <w:sz w:val="18"/>
                <w:szCs w:val="18"/>
              </w:rPr>
              <w:t>A/C</w:t>
            </w:r>
          </w:p>
        </w:tc>
        <w:tc>
          <w:tcPr>
            <w:tcW w:w="423" w:type="dxa"/>
            <w:tcBorders>
              <w:top w:val="single" w:sz="2" w:space="0" w:color="3D7FE0" w:themeColor="accent1"/>
              <w:bottom w:val="single" w:sz="2" w:space="0" w:color="3D7FE0" w:themeColor="accent1"/>
            </w:tcBorders>
            <w:vAlign w:val="center"/>
          </w:tcPr>
          <w:p w14:paraId="27957B67" w14:textId="77777777" w:rsidR="006B43AF" w:rsidRPr="005907D3" w:rsidRDefault="006B43AF" w:rsidP="004203CD">
            <w:pPr>
              <w:pStyle w:val="TablesTColHead"/>
              <w:rPr>
                <w:rFonts w:ascii="IBM Plex Sans Light" w:hAnsi="IBM Plex Sans Light"/>
                <w:b/>
                <w:sz w:val="16"/>
                <w:szCs w:val="16"/>
                <w:highlight w:val="yellow"/>
              </w:rPr>
            </w:pPr>
          </w:p>
        </w:tc>
        <w:tc>
          <w:tcPr>
            <w:tcW w:w="852" w:type="dxa"/>
            <w:tcBorders>
              <w:top w:val="single" w:sz="2" w:space="0" w:color="3D7FE0" w:themeColor="accent1"/>
              <w:bottom w:val="single" w:sz="2" w:space="0" w:color="3D7FE0" w:themeColor="accent1"/>
            </w:tcBorders>
            <w:shd w:val="clear" w:color="auto" w:fill="auto"/>
            <w:vAlign w:val="center"/>
          </w:tcPr>
          <w:p w14:paraId="2CABDEEF"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tcBorders>
              <w:top w:val="single" w:sz="2" w:space="0" w:color="3D7FE0" w:themeColor="accent1"/>
              <w:bottom w:val="single" w:sz="2" w:space="0" w:color="3D7FE0" w:themeColor="accent1"/>
            </w:tcBorders>
            <w:shd w:val="clear" w:color="auto" w:fill="auto"/>
            <w:vAlign w:val="bottom"/>
          </w:tcPr>
          <w:p w14:paraId="5894395C"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34.1</w:t>
            </w:r>
            <w:r w:rsidRPr="009A0C99">
              <w:rPr>
                <w:rFonts w:ascii="IBM Plex Sans Medium" w:hAnsi="IBM Plex Sans Medium"/>
                <w:b/>
                <w:color w:val="3D7FE0" w:themeColor="accent1"/>
                <w:sz w:val="18"/>
                <w:szCs w:val="18"/>
              </w:rPr>
              <w:t>%</w:t>
            </w:r>
          </w:p>
        </w:tc>
        <w:tc>
          <w:tcPr>
            <w:tcW w:w="1016" w:type="dxa"/>
            <w:tcBorders>
              <w:top w:val="single" w:sz="2" w:space="0" w:color="3D7FE0" w:themeColor="accent1"/>
              <w:bottom w:val="single" w:sz="2" w:space="0" w:color="3D7FE0" w:themeColor="accent1"/>
            </w:tcBorders>
            <w:shd w:val="clear" w:color="auto" w:fill="auto"/>
            <w:vAlign w:val="bottom"/>
          </w:tcPr>
          <w:p w14:paraId="496963A6"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39.3%</w:t>
            </w:r>
          </w:p>
        </w:tc>
      </w:tr>
      <w:tr w:rsidR="006B43AF" w:rsidRPr="005907D3" w14:paraId="079D82BE" w14:textId="77777777" w:rsidTr="004203CD">
        <w:trPr>
          <w:trHeight w:val="20"/>
        </w:trPr>
        <w:tc>
          <w:tcPr>
            <w:tcW w:w="5245" w:type="dxa"/>
            <w:tcBorders>
              <w:top w:val="single" w:sz="2" w:space="0" w:color="3D7FE0" w:themeColor="accent1"/>
            </w:tcBorders>
            <w:shd w:val="clear" w:color="auto" w:fill="auto"/>
            <w:vAlign w:val="center"/>
          </w:tcPr>
          <w:p w14:paraId="62802FDC" w14:textId="77777777" w:rsidR="006B43AF" w:rsidRPr="005907D3" w:rsidRDefault="006B43AF" w:rsidP="004203CD">
            <w:pPr>
              <w:pStyle w:val="TablesTTextBold"/>
              <w:rPr>
                <w:rFonts w:ascii="IBM Plex Sans Light" w:hAnsi="IBM Plex Sans Light"/>
                <w:sz w:val="18"/>
                <w:szCs w:val="18"/>
              </w:rPr>
            </w:pPr>
          </w:p>
        </w:tc>
        <w:tc>
          <w:tcPr>
            <w:tcW w:w="1418" w:type="dxa"/>
            <w:tcBorders>
              <w:top w:val="single" w:sz="2" w:space="0" w:color="3D7FE0" w:themeColor="accent1"/>
            </w:tcBorders>
            <w:shd w:val="clear" w:color="auto" w:fill="auto"/>
            <w:vAlign w:val="center"/>
          </w:tcPr>
          <w:p w14:paraId="6AB8EBCD" w14:textId="77777777" w:rsidR="006B43AF" w:rsidRPr="005907D3" w:rsidRDefault="006B43AF" w:rsidP="004203CD">
            <w:pPr>
              <w:pStyle w:val="TablesTTextBold"/>
              <w:jc w:val="center"/>
              <w:rPr>
                <w:rFonts w:ascii="IBM Plex Sans Light" w:hAnsi="IBM Plex Sans Light"/>
                <w:b/>
                <w:sz w:val="18"/>
                <w:szCs w:val="18"/>
              </w:rPr>
            </w:pPr>
          </w:p>
        </w:tc>
        <w:tc>
          <w:tcPr>
            <w:tcW w:w="423" w:type="dxa"/>
            <w:tcBorders>
              <w:top w:val="single" w:sz="2" w:space="0" w:color="3D7FE0" w:themeColor="accent1"/>
            </w:tcBorders>
          </w:tcPr>
          <w:p w14:paraId="533B125B" w14:textId="77777777" w:rsidR="006B43AF" w:rsidRPr="005907D3" w:rsidRDefault="006B43AF" w:rsidP="004203CD">
            <w:pPr>
              <w:pStyle w:val="TablesTColHead"/>
              <w:rPr>
                <w:rFonts w:ascii="IBM Plex Sans Light" w:hAnsi="IBM Plex Sans Light"/>
                <w:sz w:val="16"/>
                <w:szCs w:val="16"/>
                <w:highlight w:val="yellow"/>
              </w:rPr>
            </w:pPr>
          </w:p>
        </w:tc>
        <w:tc>
          <w:tcPr>
            <w:tcW w:w="852" w:type="dxa"/>
            <w:tcBorders>
              <w:top w:val="single" w:sz="2" w:space="0" w:color="3D7FE0" w:themeColor="accent1"/>
            </w:tcBorders>
            <w:shd w:val="clear" w:color="auto" w:fill="auto"/>
            <w:vAlign w:val="center"/>
          </w:tcPr>
          <w:p w14:paraId="1C3C02B4" w14:textId="77777777" w:rsidR="006B43AF" w:rsidRPr="005907D3" w:rsidRDefault="006B43AF" w:rsidP="004203CD">
            <w:pPr>
              <w:pStyle w:val="TablesTColHead"/>
              <w:rPr>
                <w:rFonts w:ascii="IBM Plex Sans Light" w:hAnsi="IBM Plex Sans Light"/>
                <w:sz w:val="16"/>
                <w:szCs w:val="16"/>
                <w:highlight w:val="yellow"/>
              </w:rPr>
            </w:pPr>
          </w:p>
        </w:tc>
        <w:tc>
          <w:tcPr>
            <w:tcW w:w="993" w:type="dxa"/>
            <w:tcBorders>
              <w:top w:val="single" w:sz="2" w:space="0" w:color="3D7FE0" w:themeColor="accent1"/>
            </w:tcBorders>
            <w:shd w:val="clear" w:color="auto" w:fill="auto"/>
            <w:vAlign w:val="bottom"/>
          </w:tcPr>
          <w:p w14:paraId="45407E78"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p>
        </w:tc>
        <w:tc>
          <w:tcPr>
            <w:tcW w:w="1016" w:type="dxa"/>
            <w:tcBorders>
              <w:top w:val="single" w:sz="2" w:space="0" w:color="3D7FE0" w:themeColor="accent1"/>
            </w:tcBorders>
            <w:shd w:val="clear" w:color="auto" w:fill="auto"/>
            <w:vAlign w:val="bottom"/>
          </w:tcPr>
          <w:p w14:paraId="56409B95" w14:textId="77777777" w:rsidR="006B43AF" w:rsidRPr="00F6452E" w:rsidRDefault="006B43AF" w:rsidP="004203CD">
            <w:pPr>
              <w:pStyle w:val="TablesTFigures"/>
              <w:spacing w:line="240" w:lineRule="auto"/>
              <w:rPr>
                <w:rFonts w:ascii="IBM Plex Sans Light" w:hAnsi="IBM Plex Sans Light"/>
                <w:bCs/>
                <w:sz w:val="18"/>
                <w:szCs w:val="18"/>
              </w:rPr>
            </w:pPr>
          </w:p>
        </w:tc>
      </w:tr>
      <w:tr w:rsidR="006B43AF" w:rsidRPr="005907D3" w14:paraId="5B22F8D4" w14:textId="77777777" w:rsidTr="004203CD">
        <w:trPr>
          <w:trHeight w:val="20"/>
        </w:trPr>
        <w:tc>
          <w:tcPr>
            <w:tcW w:w="5245" w:type="dxa"/>
            <w:shd w:val="clear" w:color="auto" w:fill="auto"/>
            <w:vAlign w:val="center"/>
          </w:tcPr>
          <w:p w14:paraId="40AD5DCF" w14:textId="77777777" w:rsidR="006B43AF" w:rsidRPr="005907D3" w:rsidRDefault="006B43AF" w:rsidP="004203CD">
            <w:pPr>
              <w:pStyle w:val="TablesTText"/>
              <w:rPr>
                <w:rFonts w:ascii="IBM Plex Sans Light" w:hAnsi="IBM Plex Sans Light"/>
                <w:b/>
                <w:bCs/>
                <w:sz w:val="18"/>
                <w:szCs w:val="18"/>
              </w:rPr>
            </w:pPr>
            <w:r w:rsidRPr="005907D3">
              <w:rPr>
                <w:rFonts w:ascii="IBM Plex Sans Light" w:hAnsi="IBM Plex Sans Light"/>
                <w:b/>
                <w:bCs/>
                <w:sz w:val="18"/>
                <w:szCs w:val="18"/>
              </w:rPr>
              <w:lastRenderedPageBreak/>
              <w:t xml:space="preserve">Net debt – Value Retail </w:t>
            </w:r>
          </w:p>
        </w:tc>
        <w:tc>
          <w:tcPr>
            <w:tcW w:w="1418" w:type="dxa"/>
            <w:shd w:val="clear" w:color="auto" w:fill="auto"/>
            <w:vAlign w:val="center"/>
          </w:tcPr>
          <w:p w14:paraId="55F49D2C" w14:textId="77777777" w:rsidR="006B43AF" w:rsidRPr="005907D3" w:rsidRDefault="006B43AF" w:rsidP="004203CD">
            <w:pPr>
              <w:pStyle w:val="TablesTText"/>
              <w:jc w:val="center"/>
              <w:rPr>
                <w:rFonts w:ascii="IBM Plex Sans Light" w:hAnsi="IBM Plex Sans Light"/>
                <w:b/>
                <w:sz w:val="18"/>
                <w:szCs w:val="18"/>
              </w:rPr>
            </w:pPr>
            <w:r w:rsidRPr="005907D3">
              <w:rPr>
                <w:rFonts w:ascii="IBM Plex Sans Light" w:hAnsi="IBM Plex Sans Light"/>
                <w:b/>
                <w:sz w:val="18"/>
                <w:szCs w:val="18"/>
              </w:rPr>
              <w:t>D</w:t>
            </w:r>
          </w:p>
        </w:tc>
        <w:tc>
          <w:tcPr>
            <w:tcW w:w="423" w:type="dxa"/>
          </w:tcPr>
          <w:p w14:paraId="243E8C0F" w14:textId="77777777" w:rsidR="006B43AF" w:rsidRPr="005907D3" w:rsidRDefault="006B43AF" w:rsidP="004203CD">
            <w:pPr>
              <w:pStyle w:val="TablesTColHead"/>
              <w:rPr>
                <w:rFonts w:ascii="IBM Plex Sans Light" w:hAnsi="IBM Plex Sans Light"/>
                <w:sz w:val="16"/>
                <w:szCs w:val="16"/>
              </w:rPr>
            </w:pPr>
          </w:p>
        </w:tc>
        <w:tc>
          <w:tcPr>
            <w:tcW w:w="852" w:type="dxa"/>
            <w:shd w:val="clear" w:color="auto" w:fill="auto"/>
            <w:vAlign w:val="center"/>
          </w:tcPr>
          <w:p w14:paraId="0E8FE495" w14:textId="77777777" w:rsidR="006B43AF" w:rsidRPr="005907D3" w:rsidRDefault="006B43AF" w:rsidP="004203CD">
            <w:pPr>
              <w:pStyle w:val="TablesTColHead"/>
              <w:rPr>
                <w:rFonts w:ascii="IBM Plex Sans Light" w:hAnsi="IBM Plex Sans Light"/>
                <w:sz w:val="16"/>
                <w:szCs w:val="16"/>
              </w:rPr>
            </w:pPr>
          </w:p>
        </w:tc>
        <w:tc>
          <w:tcPr>
            <w:tcW w:w="993" w:type="dxa"/>
            <w:shd w:val="clear" w:color="auto" w:fill="auto"/>
            <w:vAlign w:val="bottom"/>
          </w:tcPr>
          <w:p w14:paraId="4140E665" w14:textId="77777777" w:rsidR="006B43AF" w:rsidRPr="00541CCC"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729.6</w:t>
            </w:r>
          </w:p>
        </w:tc>
        <w:tc>
          <w:tcPr>
            <w:tcW w:w="1016" w:type="dxa"/>
            <w:shd w:val="clear" w:color="auto" w:fill="auto"/>
            <w:vAlign w:val="bottom"/>
          </w:tcPr>
          <w:p w14:paraId="71D3885B"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674.9</w:t>
            </w:r>
          </w:p>
        </w:tc>
      </w:tr>
      <w:tr w:rsidR="006B43AF" w:rsidRPr="005907D3" w14:paraId="193F5869" w14:textId="77777777" w:rsidTr="004203CD">
        <w:trPr>
          <w:trHeight w:val="20"/>
        </w:trPr>
        <w:tc>
          <w:tcPr>
            <w:tcW w:w="5245" w:type="dxa"/>
            <w:shd w:val="clear" w:color="auto" w:fill="auto"/>
            <w:vAlign w:val="center"/>
          </w:tcPr>
          <w:p w14:paraId="67B0BAE6" w14:textId="77777777" w:rsidR="006B43AF" w:rsidRPr="005907D3" w:rsidRDefault="006B43AF" w:rsidP="004203CD">
            <w:pPr>
              <w:pStyle w:val="TablesTText"/>
              <w:rPr>
                <w:rFonts w:ascii="IBM Plex Sans Light" w:hAnsi="IBM Plex Sans Light"/>
                <w:b/>
                <w:bCs/>
                <w:sz w:val="18"/>
                <w:szCs w:val="18"/>
              </w:rPr>
            </w:pPr>
            <w:r w:rsidRPr="005907D3">
              <w:rPr>
                <w:rFonts w:ascii="IBM Plex Sans Light" w:hAnsi="IBM Plex Sans Light"/>
                <w:b/>
                <w:bCs/>
                <w:sz w:val="18"/>
                <w:szCs w:val="18"/>
              </w:rPr>
              <w:t>Property portfolio – Value Retail</w:t>
            </w:r>
          </w:p>
        </w:tc>
        <w:tc>
          <w:tcPr>
            <w:tcW w:w="1418" w:type="dxa"/>
            <w:shd w:val="clear" w:color="auto" w:fill="auto"/>
            <w:vAlign w:val="center"/>
          </w:tcPr>
          <w:p w14:paraId="01FEFA40" w14:textId="77777777" w:rsidR="006B43AF" w:rsidRPr="005907D3" w:rsidRDefault="006B43AF" w:rsidP="004203CD">
            <w:pPr>
              <w:pStyle w:val="TablesTText"/>
              <w:jc w:val="center"/>
              <w:rPr>
                <w:rFonts w:ascii="IBM Plex Sans Light" w:hAnsi="IBM Plex Sans Light"/>
                <w:b/>
                <w:sz w:val="18"/>
                <w:szCs w:val="18"/>
              </w:rPr>
            </w:pPr>
            <w:r w:rsidRPr="005907D3">
              <w:rPr>
                <w:rFonts w:ascii="IBM Plex Sans Light" w:hAnsi="IBM Plex Sans Light"/>
                <w:b/>
                <w:sz w:val="18"/>
                <w:szCs w:val="18"/>
              </w:rPr>
              <w:t>E</w:t>
            </w:r>
          </w:p>
        </w:tc>
        <w:tc>
          <w:tcPr>
            <w:tcW w:w="423" w:type="dxa"/>
          </w:tcPr>
          <w:p w14:paraId="2DD323EC" w14:textId="77777777" w:rsidR="006B43AF" w:rsidRPr="005907D3" w:rsidRDefault="006B43AF" w:rsidP="004203CD">
            <w:pPr>
              <w:pStyle w:val="TablesTColHead"/>
              <w:rPr>
                <w:rFonts w:ascii="IBM Plex Sans Light" w:hAnsi="IBM Plex Sans Light"/>
                <w:sz w:val="16"/>
                <w:szCs w:val="16"/>
              </w:rPr>
            </w:pPr>
          </w:p>
        </w:tc>
        <w:tc>
          <w:tcPr>
            <w:tcW w:w="852" w:type="dxa"/>
            <w:shd w:val="clear" w:color="auto" w:fill="auto"/>
            <w:vAlign w:val="center"/>
          </w:tcPr>
          <w:p w14:paraId="1815D0D5" w14:textId="77777777" w:rsidR="006B43AF" w:rsidRPr="005907D3" w:rsidRDefault="006B43AF" w:rsidP="004203CD">
            <w:pPr>
              <w:pStyle w:val="TablesTColHead"/>
              <w:rPr>
                <w:rFonts w:ascii="IBM Plex Sans Light" w:hAnsi="IBM Plex Sans Light"/>
                <w:sz w:val="16"/>
                <w:szCs w:val="16"/>
              </w:rPr>
            </w:pPr>
            <w:r>
              <w:rPr>
                <w:rFonts w:ascii="IBM Plex Sans Light" w:hAnsi="IBM Plex Sans Light"/>
                <w:sz w:val="16"/>
                <w:szCs w:val="16"/>
              </w:rPr>
              <w:t>3B</w:t>
            </w:r>
          </w:p>
        </w:tc>
        <w:tc>
          <w:tcPr>
            <w:tcW w:w="993" w:type="dxa"/>
            <w:shd w:val="clear" w:color="auto" w:fill="auto"/>
            <w:vAlign w:val="bottom"/>
          </w:tcPr>
          <w:p w14:paraId="17F9396C" w14:textId="77777777" w:rsidR="006B43AF" w:rsidRPr="00541CCC"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1,885.7</w:t>
            </w:r>
          </w:p>
        </w:tc>
        <w:tc>
          <w:tcPr>
            <w:tcW w:w="1016" w:type="dxa"/>
            <w:shd w:val="clear" w:color="auto" w:fill="auto"/>
            <w:vAlign w:val="bottom"/>
          </w:tcPr>
          <w:p w14:paraId="4F1CA6FF"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1,887.0</w:t>
            </w:r>
          </w:p>
        </w:tc>
      </w:tr>
      <w:tr w:rsidR="006B43AF" w:rsidRPr="005907D3" w14:paraId="04A12CD9" w14:textId="77777777" w:rsidTr="004203CD">
        <w:trPr>
          <w:trHeight w:val="20"/>
        </w:trPr>
        <w:tc>
          <w:tcPr>
            <w:tcW w:w="5245" w:type="dxa"/>
            <w:tcBorders>
              <w:bottom w:val="single" w:sz="2" w:space="0" w:color="3D7FE0" w:themeColor="accent1"/>
            </w:tcBorders>
            <w:shd w:val="clear" w:color="auto" w:fill="auto"/>
            <w:vAlign w:val="center"/>
          </w:tcPr>
          <w:p w14:paraId="2E2F6A78" w14:textId="77777777" w:rsidR="006B43AF" w:rsidRPr="005907D3" w:rsidRDefault="006B43AF" w:rsidP="004203CD">
            <w:pPr>
              <w:pStyle w:val="TablesTTextBold"/>
              <w:rPr>
                <w:rFonts w:ascii="IBM Plex Sans Light" w:hAnsi="IBM Plex Sans Light"/>
                <w:sz w:val="18"/>
                <w:szCs w:val="18"/>
                <w:highlight w:val="yellow"/>
              </w:rPr>
            </w:pPr>
          </w:p>
        </w:tc>
        <w:tc>
          <w:tcPr>
            <w:tcW w:w="1418" w:type="dxa"/>
            <w:tcBorders>
              <w:bottom w:val="single" w:sz="2" w:space="0" w:color="3D7FE0" w:themeColor="accent1"/>
            </w:tcBorders>
            <w:shd w:val="clear" w:color="auto" w:fill="auto"/>
            <w:vAlign w:val="center"/>
          </w:tcPr>
          <w:p w14:paraId="6C144B84" w14:textId="77777777" w:rsidR="006B43AF" w:rsidRPr="005907D3" w:rsidRDefault="006B43AF" w:rsidP="004203CD">
            <w:pPr>
              <w:pStyle w:val="TablesTTextBold"/>
              <w:jc w:val="center"/>
              <w:rPr>
                <w:rFonts w:ascii="IBM Plex Sans Light" w:hAnsi="IBM Plex Sans Light"/>
                <w:b/>
                <w:sz w:val="18"/>
                <w:szCs w:val="18"/>
                <w:highlight w:val="yellow"/>
              </w:rPr>
            </w:pPr>
          </w:p>
        </w:tc>
        <w:tc>
          <w:tcPr>
            <w:tcW w:w="423" w:type="dxa"/>
            <w:tcBorders>
              <w:bottom w:val="single" w:sz="2" w:space="0" w:color="3D7FE0" w:themeColor="accent1"/>
            </w:tcBorders>
          </w:tcPr>
          <w:p w14:paraId="61A2038F" w14:textId="77777777" w:rsidR="006B43AF" w:rsidRPr="005907D3" w:rsidRDefault="006B43AF" w:rsidP="004203CD">
            <w:pPr>
              <w:pStyle w:val="TablesTColHead"/>
              <w:rPr>
                <w:rFonts w:ascii="IBM Plex Sans Light" w:hAnsi="IBM Plex Sans Light"/>
                <w:sz w:val="16"/>
                <w:szCs w:val="16"/>
                <w:highlight w:val="yellow"/>
              </w:rPr>
            </w:pPr>
          </w:p>
        </w:tc>
        <w:tc>
          <w:tcPr>
            <w:tcW w:w="852" w:type="dxa"/>
            <w:tcBorders>
              <w:bottom w:val="single" w:sz="2" w:space="0" w:color="3D7FE0" w:themeColor="accent1"/>
            </w:tcBorders>
            <w:shd w:val="clear" w:color="auto" w:fill="auto"/>
            <w:vAlign w:val="center"/>
          </w:tcPr>
          <w:p w14:paraId="1F6F617D" w14:textId="77777777" w:rsidR="006B43AF" w:rsidRPr="005907D3" w:rsidRDefault="006B43AF" w:rsidP="004203CD">
            <w:pPr>
              <w:pStyle w:val="TablesTColHead"/>
              <w:rPr>
                <w:rFonts w:ascii="IBM Plex Sans Light" w:hAnsi="IBM Plex Sans Light"/>
                <w:sz w:val="16"/>
                <w:szCs w:val="16"/>
                <w:highlight w:val="yellow"/>
              </w:rPr>
            </w:pPr>
          </w:p>
        </w:tc>
        <w:tc>
          <w:tcPr>
            <w:tcW w:w="993" w:type="dxa"/>
            <w:tcBorders>
              <w:bottom w:val="single" w:sz="2" w:space="0" w:color="3D7FE0" w:themeColor="accent1"/>
            </w:tcBorders>
            <w:shd w:val="clear" w:color="auto" w:fill="auto"/>
            <w:vAlign w:val="bottom"/>
          </w:tcPr>
          <w:p w14:paraId="0EFBB867" w14:textId="77777777" w:rsidR="006B43AF" w:rsidRPr="00541CCC" w:rsidRDefault="006B43AF" w:rsidP="004203CD">
            <w:pPr>
              <w:pStyle w:val="TablesTFigures"/>
              <w:spacing w:line="240" w:lineRule="auto"/>
              <w:rPr>
                <w:rFonts w:ascii="IBM Plex Sans Medium" w:hAnsi="IBM Plex Sans Medium"/>
                <w:b/>
                <w:color w:val="3D7FE0" w:themeColor="accent1"/>
                <w:sz w:val="18"/>
                <w:szCs w:val="18"/>
              </w:rPr>
            </w:pPr>
          </w:p>
        </w:tc>
        <w:tc>
          <w:tcPr>
            <w:tcW w:w="1016" w:type="dxa"/>
            <w:tcBorders>
              <w:bottom w:val="single" w:sz="2" w:space="0" w:color="3D7FE0" w:themeColor="accent1"/>
            </w:tcBorders>
            <w:shd w:val="clear" w:color="auto" w:fill="auto"/>
            <w:vAlign w:val="bottom"/>
          </w:tcPr>
          <w:p w14:paraId="69DDFF89" w14:textId="77777777" w:rsidR="006B43AF" w:rsidRPr="00F6452E" w:rsidRDefault="006B43AF" w:rsidP="004203CD">
            <w:pPr>
              <w:pStyle w:val="TablesTFigures"/>
              <w:spacing w:line="240" w:lineRule="auto"/>
              <w:rPr>
                <w:rFonts w:ascii="IBM Plex Sans Light" w:hAnsi="IBM Plex Sans Light"/>
                <w:bCs/>
                <w:sz w:val="18"/>
                <w:szCs w:val="18"/>
              </w:rPr>
            </w:pPr>
          </w:p>
        </w:tc>
      </w:tr>
      <w:tr w:rsidR="006B43AF" w:rsidRPr="005907D3" w14:paraId="29736DEA" w14:textId="77777777" w:rsidTr="004203CD">
        <w:trPr>
          <w:trHeight w:val="20"/>
        </w:trPr>
        <w:tc>
          <w:tcPr>
            <w:tcW w:w="5245" w:type="dxa"/>
            <w:tcBorders>
              <w:top w:val="single" w:sz="2" w:space="0" w:color="3D7FE0" w:themeColor="accent1"/>
              <w:bottom w:val="single" w:sz="2" w:space="0" w:color="3D7FE0" w:themeColor="accent1"/>
            </w:tcBorders>
            <w:shd w:val="clear" w:color="auto" w:fill="auto"/>
            <w:vAlign w:val="center"/>
          </w:tcPr>
          <w:p w14:paraId="364240E6" w14:textId="77777777" w:rsidR="006B43AF" w:rsidRPr="005907D3" w:rsidRDefault="006B43AF" w:rsidP="004203CD">
            <w:pPr>
              <w:pStyle w:val="TablesTText"/>
              <w:spacing w:line="240" w:lineRule="exact"/>
              <w:rPr>
                <w:rFonts w:ascii="IBM Plex Sans Light" w:hAnsi="IBM Plex Sans Light"/>
                <w:b/>
                <w:sz w:val="18"/>
                <w:szCs w:val="18"/>
                <w:highlight w:val="yellow"/>
              </w:rPr>
            </w:pPr>
            <w:r w:rsidRPr="005907D3">
              <w:rPr>
                <w:rFonts w:ascii="IBM Plex Sans Light" w:hAnsi="IBM Plex Sans Light"/>
                <w:b/>
                <w:sz w:val="18"/>
                <w:szCs w:val="18"/>
              </w:rPr>
              <w:t>Loan to value – Full proportional consolidation of Value Retail</w:t>
            </w:r>
          </w:p>
        </w:tc>
        <w:tc>
          <w:tcPr>
            <w:tcW w:w="1418" w:type="dxa"/>
            <w:tcBorders>
              <w:top w:val="single" w:sz="2" w:space="0" w:color="3D7FE0" w:themeColor="accent1"/>
              <w:bottom w:val="single" w:sz="2" w:space="0" w:color="3D7FE0" w:themeColor="accent1"/>
            </w:tcBorders>
            <w:shd w:val="clear" w:color="auto" w:fill="auto"/>
            <w:vAlign w:val="center"/>
          </w:tcPr>
          <w:p w14:paraId="26C076A5" w14:textId="77777777" w:rsidR="006B43AF" w:rsidRPr="005907D3" w:rsidRDefault="006B43AF" w:rsidP="004203CD">
            <w:pPr>
              <w:pStyle w:val="TablesTText"/>
              <w:spacing w:line="240" w:lineRule="exact"/>
              <w:jc w:val="center"/>
              <w:rPr>
                <w:rFonts w:ascii="IBM Plex Sans Light" w:hAnsi="IBM Plex Sans Light"/>
                <w:b/>
                <w:sz w:val="18"/>
                <w:szCs w:val="18"/>
              </w:rPr>
            </w:pPr>
            <w:r w:rsidRPr="005907D3">
              <w:rPr>
                <w:rFonts w:ascii="IBM Plex Sans Light" w:hAnsi="IBM Plex Sans Light"/>
                <w:b/>
                <w:sz w:val="18"/>
                <w:szCs w:val="18"/>
              </w:rPr>
              <w:t>(A+D)/(B+E)</w:t>
            </w:r>
          </w:p>
        </w:tc>
        <w:tc>
          <w:tcPr>
            <w:tcW w:w="423" w:type="dxa"/>
            <w:tcBorders>
              <w:top w:val="single" w:sz="2" w:space="0" w:color="3D7FE0" w:themeColor="accent1"/>
              <w:bottom w:val="single" w:sz="2" w:space="0" w:color="3D7FE0" w:themeColor="accent1"/>
            </w:tcBorders>
          </w:tcPr>
          <w:p w14:paraId="40946F88" w14:textId="77777777" w:rsidR="006B43AF" w:rsidRPr="005907D3" w:rsidRDefault="006B43AF" w:rsidP="004203CD">
            <w:pPr>
              <w:pStyle w:val="TablesTColHead"/>
              <w:rPr>
                <w:rFonts w:ascii="IBM Plex Sans Light" w:hAnsi="IBM Plex Sans Light"/>
                <w:b/>
                <w:sz w:val="16"/>
                <w:szCs w:val="16"/>
                <w:highlight w:val="yellow"/>
              </w:rPr>
            </w:pPr>
          </w:p>
        </w:tc>
        <w:tc>
          <w:tcPr>
            <w:tcW w:w="852" w:type="dxa"/>
            <w:tcBorders>
              <w:top w:val="single" w:sz="2" w:space="0" w:color="3D7FE0" w:themeColor="accent1"/>
              <w:bottom w:val="single" w:sz="2" w:space="0" w:color="3D7FE0" w:themeColor="accent1"/>
            </w:tcBorders>
            <w:shd w:val="clear" w:color="auto" w:fill="auto"/>
            <w:vAlign w:val="center"/>
          </w:tcPr>
          <w:p w14:paraId="19879B36"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tcBorders>
              <w:top w:val="single" w:sz="2" w:space="0" w:color="3D7FE0" w:themeColor="accent1"/>
              <w:bottom w:val="single" w:sz="2" w:space="0" w:color="3D7FE0" w:themeColor="accent1"/>
            </w:tcBorders>
            <w:shd w:val="clear" w:color="auto" w:fill="auto"/>
            <w:vAlign w:val="bottom"/>
          </w:tcPr>
          <w:p w14:paraId="025A2230" w14:textId="77777777" w:rsidR="006B43AF" w:rsidRPr="00541CCC" w:rsidRDefault="006B43AF" w:rsidP="004203CD">
            <w:pPr>
              <w:pStyle w:val="TablesTFigures"/>
              <w:spacing w:line="240" w:lineRule="auto"/>
              <w:rPr>
                <w:rFonts w:ascii="IBM Plex Sans Medium" w:hAnsi="IBM Plex Sans Medium"/>
                <w:b/>
                <w:color w:val="3D7FE0" w:themeColor="accent1"/>
                <w:sz w:val="18"/>
                <w:szCs w:val="18"/>
              </w:rPr>
            </w:pPr>
            <w:r w:rsidRPr="00541CCC">
              <w:rPr>
                <w:rFonts w:ascii="IBM Plex Sans Medium" w:hAnsi="IBM Plex Sans Medium"/>
                <w:b/>
                <w:color w:val="3D7FE0" w:themeColor="accent1"/>
                <w:sz w:val="18"/>
                <w:szCs w:val="18"/>
              </w:rPr>
              <w:t>4</w:t>
            </w:r>
            <w:r>
              <w:rPr>
                <w:rFonts w:ascii="IBM Plex Sans Medium" w:hAnsi="IBM Plex Sans Medium"/>
                <w:b/>
                <w:color w:val="3D7FE0" w:themeColor="accent1"/>
                <w:sz w:val="18"/>
                <w:szCs w:val="18"/>
              </w:rPr>
              <w:t>4</w:t>
            </w:r>
            <w:r w:rsidRPr="00541CCC">
              <w:rPr>
                <w:rFonts w:ascii="IBM Plex Sans Medium" w:hAnsi="IBM Plex Sans Medium"/>
                <w:b/>
                <w:color w:val="3D7FE0" w:themeColor="accent1"/>
                <w:sz w:val="18"/>
                <w:szCs w:val="18"/>
              </w:rPr>
              <w:t>.1%</w:t>
            </w:r>
          </w:p>
        </w:tc>
        <w:tc>
          <w:tcPr>
            <w:tcW w:w="1016" w:type="dxa"/>
            <w:tcBorders>
              <w:top w:val="single" w:sz="2" w:space="0" w:color="3D7FE0" w:themeColor="accent1"/>
              <w:bottom w:val="single" w:sz="2" w:space="0" w:color="3D7FE0" w:themeColor="accent1"/>
            </w:tcBorders>
            <w:shd w:val="clear" w:color="auto" w:fill="auto"/>
            <w:vAlign w:val="bottom"/>
          </w:tcPr>
          <w:p w14:paraId="56DE4E6C"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47.1%</w:t>
            </w:r>
          </w:p>
        </w:tc>
      </w:tr>
      <w:tr w:rsidR="006B43AF" w:rsidRPr="005907D3" w14:paraId="0E12B2BE" w14:textId="77777777" w:rsidTr="004203CD">
        <w:trPr>
          <w:trHeight w:val="20"/>
        </w:trPr>
        <w:tc>
          <w:tcPr>
            <w:tcW w:w="5245" w:type="dxa"/>
            <w:shd w:val="clear" w:color="auto" w:fill="auto"/>
            <w:vAlign w:val="bottom"/>
          </w:tcPr>
          <w:p w14:paraId="4C4C6AF8" w14:textId="77777777" w:rsidR="006B43AF" w:rsidRPr="009A0C99" w:rsidRDefault="006B43AF" w:rsidP="004203CD">
            <w:pPr>
              <w:pStyle w:val="TablesTText"/>
              <w:spacing w:line="240" w:lineRule="exact"/>
              <w:rPr>
                <w:rFonts w:ascii="IBM Plex Sans Light" w:hAnsi="IBM Plex Sans Light"/>
                <w:b/>
                <w:sz w:val="18"/>
                <w:szCs w:val="18"/>
              </w:rPr>
            </w:pPr>
          </w:p>
          <w:p w14:paraId="2AB09871" w14:textId="77777777" w:rsidR="006B43AF" w:rsidRPr="005907D3" w:rsidRDefault="006B43AF" w:rsidP="004203CD">
            <w:pPr>
              <w:pStyle w:val="TablesTText"/>
              <w:spacing w:line="240" w:lineRule="exact"/>
              <w:rPr>
                <w:rFonts w:ascii="IBM Plex Sans Light" w:hAnsi="IBM Plex Sans Light"/>
                <w:b/>
                <w:sz w:val="18"/>
                <w:szCs w:val="18"/>
              </w:rPr>
            </w:pPr>
            <w:r w:rsidRPr="009A0C99">
              <w:rPr>
                <w:rFonts w:ascii="IBM Plex Sans Light" w:hAnsi="IBM Plex Sans Light"/>
                <w:b/>
                <w:sz w:val="18"/>
                <w:szCs w:val="18"/>
              </w:rPr>
              <w:t>Net payables  – Managed Portfolio</w:t>
            </w:r>
          </w:p>
        </w:tc>
        <w:tc>
          <w:tcPr>
            <w:tcW w:w="1418" w:type="dxa"/>
            <w:shd w:val="clear" w:color="auto" w:fill="auto"/>
            <w:vAlign w:val="center"/>
          </w:tcPr>
          <w:p w14:paraId="53D4F38D" w14:textId="77777777" w:rsidR="006B43AF" w:rsidRPr="005907D3" w:rsidRDefault="006B43AF" w:rsidP="004203CD">
            <w:pPr>
              <w:pStyle w:val="TablesTText"/>
              <w:spacing w:line="240" w:lineRule="exact"/>
              <w:jc w:val="center"/>
              <w:rPr>
                <w:rFonts w:ascii="IBM Plex Sans Light" w:hAnsi="IBM Plex Sans Light"/>
                <w:b/>
                <w:sz w:val="18"/>
                <w:szCs w:val="18"/>
              </w:rPr>
            </w:pPr>
          </w:p>
        </w:tc>
        <w:tc>
          <w:tcPr>
            <w:tcW w:w="423" w:type="dxa"/>
          </w:tcPr>
          <w:p w14:paraId="2B905386" w14:textId="77777777" w:rsidR="006B43AF" w:rsidRPr="005907D3" w:rsidRDefault="006B43AF" w:rsidP="004203CD">
            <w:pPr>
              <w:pStyle w:val="TablesTColHead"/>
              <w:rPr>
                <w:rFonts w:ascii="IBM Plex Sans Light" w:hAnsi="IBM Plex Sans Light"/>
                <w:b/>
                <w:sz w:val="16"/>
                <w:szCs w:val="16"/>
                <w:highlight w:val="yellow"/>
              </w:rPr>
            </w:pPr>
          </w:p>
        </w:tc>
        <w:tc>
          <w:tcPr>
            <w:tcW w:w="852" w:type="dxa"/>
            <w:shd w:val="clear" w:color="auto" w:fill="auto"/>
            <w:vAlign w:val="center"/>
          </w:tcPr>
          <w:p w14:paraId="5AE0F35A"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shd w:val="clear" w:color="auto" w:fill="auto"/>
            <w:vAlign w:val="bottom"/>
          </w:tcPr>
          <w:p w14:paraId="02E49BF7" w14:textId="6EC53D31"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11</w:t>
            </w:r>
            <w:r w:rsidR="007F605B">
              <w:rPr>
                <w:rFonts w:ascii="IBM Plex Sans Medium" w:hAnsi="IBM Plex Sans Medium"/>
                <w:b/>
                <w:color w:val="3D7FE0" w:themeColor="accent1"/>
                <w:sz w:val="18"/>
                <w:szCs w:val="18"/>
              </w:rPr>
              <w:t>0.9</w:t>
            </w:r>
          </w:p>
        </w:tc>
        <w:tc>
          <w:tcPr>
            <w:tcW w:w="1016" w:type="dxa"/>
            <w:shd w:val="clear" w:color="auto" w:fill="auto"/>
            <w:vAlign w:val="bottom"/>
          </w:tcPr>
          <w:p w14:paraId="17400529"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160.3</w:t>
            </w:r>
          </w:p>
        </w:tc>
      </w:tr>
      <w:tr w:rsidR="006B43AF" w:rsidRPr="005907D3" w14:paraId="7167195F" w14:textId="77777777" w:rsidTr="004203CD">
        <w:trPr>
          <w:trHeight w:val="20"/>
        </w:trPr>
        <w:tc>
          <w:tcPr>
            <w:tcW w:w="5245" w:type="dxa"/>
            <w:tcBorders>
              <w:bottom w:val="single" w:sz="2" w:space="0" w:color="3D7FE0" w:themeColor="accent1"/>
            </w:tcBorders>
            <w:shd w:val="clear" w:color="auto" w:fill="auto"/>
            <w:vAlign w:val="bottom"/>
          </w:tcPr>
          <w:p w14:paraId="7E5FDA04" w14:textId="77777777" w:rsidR="006B43AF" w:rsidRPr="005907D3" w:rsidRDefault="006B43AF" w:rsidP="004203CD">
            <w:pPr>
              <w:pStyle w:val="TablesTText"/>
              <w:spacing w:line="240" w:lineRule="exact"/>
              <w:rPr>
                <w:rFonts w:ascii="IBM Plex Sans Light" w:hAnsi="IBM Plex Sans Light"/>
                <w:b/>
                <w:sz w:val="18"/>
                <w:szCs w:val="18"/>
              </w:rPr>
            </w:pPr>
            <w:r w:rsidRPr="009A0C99">
              <w:rPr>
                <w:rFonts w:ascii="IBM Plex Sans Light" w:hAnsi="IBM Plex Sans Light"/>
                <w:b/>
                <w:sz w:val="18"/>
                <w:szCs w:val="18"/>
              </w:rPr>
              <w:t xml:space="preserve">Net </w:t>
            </w:r>
            <w:r>
              <w:rPr>
                <w:rFonts w:ascii="IBM Plex Sans Light" w:hAnsi="IBM Plex Sans Light"/>
                <w:b/>
                <w:sz w:val="18"/>
                <w:szCs w:val="18"/>
              </w:rPr>
              <w:t>p</w:t>
            </w:r>
            <w:r w:rsidRPr="009A0C99">
              <w:rPr>
                <w:rFonts w:ascii="IBM Plex Sans Light" w:hAnsi="IBM Plex Sans Light"/>
                <w:b/>
                <w:sz w:val="18"/>
                <w:szCs w:val="18"/>
              </w:rPr>
              <w:t>ayables – Value Retail</w:t>
            </w:r>
          </w:p>
        </w:tc>
        <w:tc>
          <w:tcPr>
            <w:tcW w:w="1418" w:type="dxa"/>
            <w:tcBorders>
              <w:bottom w:val="single" w:sz="2" w:space="0" w:color="3D7FE0" w:themeColor="accent1"/>
            </w:tcBorders>
            <w:shd w:val="clear" w:color="auto" w:fill="auto"/>
            <w:vAlign w:val="center"/>
          </w:tcPr>
          <w:p w14:paraId="3E3BD818" w14:textId="77777777" w:rsidR="006B43AF" w:rsidRPr="005907D3" w:rsidRDefault="006B43AF" w:rsidP="004203CD">
            <w:pPr>
              <w:pStyle w:val="TablesTText"/>
              <w:spacing w:line="240" w:lineRule="exact"/>
              <w:jc w:val="center"/>
              <w:rPr>
                <w:rFonts w:ascii="IBM Plex Sans Light" w:hAnsi="IBM Plex Sans Light"/>
                <w:b/>
                <w:sz w:val="18"/>
                <w:szCs w:val="18"/>
              </w:rPr>
            </w:pPr>
          </w:p>
        </w:tc>
        <w:tc>
          <w:tcPr>
            <w:tcW w:w="423" w:type="dxa"/>
            <w:tcBorders>
              <w:bottom w:val="single" w:sz="2" w:space="0" w:color="3D7FE0" w:themeColor="accent1"/>
            </w:tcBorders>
          </w:tcPr>
          <w:p w14:paraId="18DDE850" w14:textId="77777777" w:rsidR="006B43AF" w:rsidRPr="005907D3" w:rsidRDefault="006B43AF" w:rsidP="004203CD">
            <w:pPr>
              <w:pStyle w:val="TablesTColHead"/>
              <w:rPr>
                <w:rFonts w:ascii="IBM Plex Sans Light" w:hAnsi="IBM Plex Sans Light"/>
                <w:b/>
                <w:sz w:val="16"/>
                <w:szCs w:val="16"/>
                <w:highlight w:val="yellow"/>
              </w:rPr>
            </w:pPr>
          </w:p>
        </w:tc>
        <w:tc>
          <w:tcPr>
            <w:tcW w:w="852" w:type="dxa"/>
            <w:tcBorders>
              <w:bottom w:val="single" w:sz="2" w:space="0" w:color="3D7FE0" w:themeColor="accent1"/>
            </w:tcBorders>
            <w:shd w:val="clear" w:color="auto" w:fill="auto"/>
            <w:vAlign w:val="center"/>
          </w:tcPr>
          <w:p w14:paraId="14260581"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tcBorders>
              <w:bottom w:val="single" w:sz="2" w:space="0" w:color="3D7FE0" w:themeColor="accent1"/>
            </w:tcBorders>
            <w:shd w:val="clear" w:color="auto" w:fill="auto"/>
            <w:vAlign w:val="bottom"/>
          </w:tcPr>
          <w:p w14:paraId="11ADE16F" w14:textId="77777777" w:rsidR="006B43AF" w:rsidRPr="00CD7CDB"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76.4</w:t>
            </w:r>
          </w:p>
        </w:tc>
        <w:tc>
          <w:tcPr>
            <w:tcW w:w="1016" w:type="dxa"/>
            <w:tcBorders>
              <w:bottom w:val="single" w:sz="2" w:space="0" w:color="3D7FE0" w:themeColor="accent1"/>
            </w:tcBorders>
            <w:shd w:val="clear" w:color="auto" w:fill="auto"/>
            <w:vAlign w:val="bottom"/>
          </w:tcPr>
          <w:p w14:paraId="56AE224F"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14.2</w:t>
            </w:r>
          </w:p>
        </w:tc>
      </w:tr>
      <w:tr w:rsidR="006B43AF" w:rsidRPr="005907D3" w14:paraId="60C45F80" w14:textId="77777777" w:rsidTr="004203CD">
        <w:trPr>
          <w:trHeight w:val="20"/>
        </w:trPr>
        <w:tc>
          <w:tcPr>
            <w:tcW w:w="5245" w:type="dxa"/>
            <w:tcBorders>
              <w:top w:val="single" w:sz="2" w:space="0" w:color="3D7FE0" w:themeColor="accent1"/>
              <w:bottom w:val="single" w:sz="2" w:space="0" w:color="3D7FE0" w:themeColor="accent1"/>
            </w:tcBorders>
            <w:shd w:val="clear" w:color="auto" w:fill="auto"/>
            <w:vAlign w:val="bottom"/>
          </w:tcPr>
          <w:p w14:paraId="1B454833" w14:textId="77777777" w:rsidR="006B43AF" w:rsidRPr="005907D3" w:rsidRDefault="006B43AF" w:rsidP="004203CD">
            <w:pPr>
              <w:pStyle w:val="TablesTText"/>
              <w:spacing w:line="240" w:lineRule="exact"/>
              <w:rPr>
                <w:rFonts w:ascii="IBM Plex Sans Light" w:hAnsi="IBM Plex Sans Light"/>
                <w:b/>
                <w:sz w:val="18"/>
                <w:szCs w:val="18"/>
              </w:rPr>
            </w:pPr>
            <w:r w:rsidRPr="009A0C99">
              <w:rPr>
                <w:rFonts w:ascii="IBM Plex Sans Light" w:hAnsi="IBM Plex Sans Light"/>
                <w:b/>
                <w:sz w:val="18"/>
                <w:szCs w:val="18"/>
              </w:rPr>
              <w:t>Net  payables - Group</w:t>
            </w:r>
          </w:p>
        </w:tc>
        <w:tc>
          <w:tcPr>
            <w:tcW w:w="1418" w:type="dxa"/>
            <w:tcBorders>
              <w:top w:val="single" w:sz="2" w:space="0" w:color="3D7FE0" w:themeColor="accent1"/>
              <w:bottom w:val="single" w:sz="2" w:space="0" w:color="3D7FE0" w:themeColor="accent1"/>
            </w:tcBorders>
            <w:shd w:val="clear" w:color="auto" w:fill="auto"/>
            <w:vAlign w:val="center"/>
          </w:tcPr>
          <w:p w14:paraId="4BEF9B94" w14:textId="77777777" w:rsidR="006B43AF" w:rsidRPr="005907D3" w:rsidRDefault="006B43AF" w:rsidP="004203CD">
            <w:pPr>
              <w:pStyle w:val="TablesTText"/>
              <w:spacing w:line="240" w:lineRule="exact"/>
              <w:jc w:val="center"/>
              <w:rPr>
                <w:rFonts w:ascii="IBM Plex Sans Light" w:hAnsi="IBM Plex Sans Light"/>
                <w:b/>
                <w:sz w:val="18"/>
                <w:szCs w:val="18"/>
              </w:rPr>
            </w:pPr>
            <w:r>
              <w:rPr>
                <w:rFonts w:ascii="IBM Plex Sans Light" w:hAnsi="IBM Plex Sans Light"/>
                <w:b/>
                <w:sz w:val="18"/>
                <w:szCs w:val="18"/>
              </w:rPr>
              <w:t>F</w:t>
            </w:r>
          </w:p>
        </w:tc>
        <w:tc>
          <w:tcPr>
            <w:tcW w:w="423" w:type="dxa"/>
            <w:tcBorders>
              <w:top w:val="single" w:sz="2" w:space="0" w:color="3D7FE0" w:themeColor="accent1"/>
              <w:bottom w:val="single" w:sz="2" w:space="0" w:color="3D7FE0" w:themeColor="accent1"/>
            </w:tcBorders>
          </w:tcPr>
          <w:p w14:paraId="42304872" w14:textId="77777777" w:rsidR="006B43AF" w:rsidRPr="005907D3" w:rsidRDefault="006B43AF" w:rsidP="004203CD">
            <w:pPr>
              <w:pStyle w:val="TablesTColHead"/>
              <w:rPr>
                <w:rFonts w:ascii="IBM Plex Sans Light" w:hAnsi="IBM Plex Sans Light"/>
                <w:b/>
                <w:sz w:val="16"/>
                <w:szCs w:val="16"/>
                <w:highlight w:val="yellow"/>
              </w:rPr>
            </w:pPr>
          </w:p>
        </w:tc>
        <w:tc>
          <w:tcPr>
            <w:tcW w:w="852" w:type="dxa"/>
            <w:tcBorders>
              <w:top w:val="single" w:sz="2" w:space="0" w:color="3D7FE0" w:themeColor="accent1"/>
              <w:bottom w:val="single" w:sz="2" w:space="0" w:color="3D7FE0" w:themeColor="accent1"/>
            </w:tcBorders>
            <w:shd w:val="clear" w:color="auto" w:fill="auto"/>
            <w:vAlign w:val="center"/>
          </w:tcPr>
          <w:p w14:paraId="5158026C"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tcBorders>
              <w:top w:val="single" w:sz="2" w:space="0" w:color="3D7FE0" w:themeColor="accent1"/>
              <w:bottom w:val="single" w:sz="2" w:space="0" w:color="3D7FE0" w:themeColor="accent1"/>
            </w:tcBorders>
            <w:shd w:val="clear" w:color="auto" w:fill="auto"/>
            <w:vAlign w:val="bottom"/>
          </w:tcPr>
          <w:p w14:paraId="3861CE3D" w14:textId="0E478DA2"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187.</w:t>
            </w:r>
            <w:r w:rsidR="007F605B">
              <w:rPr>
                <w:rFonts w:ascii="IBM Plex Sans Medium" w:hAnsi="IBM Plex Sans Medium"/>
                <w:b/>
                <w:color w:val="3D7FE0" w:themeColor="accent1"/>
                <w:sz w:val="18"/>
                <w:szCs w:val="18"/>
              </w:rPr>
              <w:t>3</w:t>
            </w:r>
          </w:p>
        </w:tc>
        <w:tc>
          <w:tcPr>
            <w:tcW w:w="1016" w:type="dxa"/>
            <w:tcBorders>
              <w:top w:val="single" w:sz="2" w:space="0" w:color="3D7FE0" w:themeColor="accent1"/>
              <w:bottom w:val="single" w:sz="2" w:space="0" w:color="3D7FE0" w:themeColor="accent1"/>
            </w:tcBorders>
            <w:shd w:val="clear" w:color="auto" w:fill="auto"/>
            <w:vAlign w:val="bottom"/>
          </w:tcPr>
          <w:p w14:paraId="1B31CE4F"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174.5</w:t>
            </w:r>
          </w:p>
        </w:tc>
      </w:tr>
      <w:tr w:rsidR="006B43AF" w:rsidRPr="005907D3" w14:paraId="0212248C" w14:textId="77777777" w:rsidTr="004203CD">
        <w:trPr>
          <w:trHeight w:val="20"/>
        </w:trPr>
        <w:tc>
          <w:tcPr>
            <w:tcW w:w="5245" w:type="dxa"/>
            <w:tcBorders>
              <w:top w:val="single" w:sz="2" w:space="0" w:color="3D7FE0" w:themeColor="accent1"/>
              <w:bottom w:val="single" w:sz="8" w:space="0" w:color="3D7FE0" w:themeColor="accent1"/>
            </w:tcBorders>
            <w:shd w:val="clear" w:color="auto" w:fill="auto"/>
            <w:vAlign w:val="bottom"/>
          </w:tcPr>
          <w:p w14:paraId="6890912E" w14:textId="77777777" w:rsidR="006B43AF" w:rsidRPr="009A0C99" w:rsidRDefault="006B43AF" w:rsidP="004203CD">
            <w:pPr>
              <w:pStyle w:val="TablesTText"/>
              <w:spacing w:line="240" w:lineRule="exact"/>
              <w:rPr>
                <w:rFonts w:ascii="IBM Plex Sans Light" w:hAnsi="IBM Plex Sans Light"/>
                <w:b/>
                <w:sz w:val="18"/>
                <w:szCs w:val="18"/>
              </w:rPr>
            </w:pPr>
          </w:p>
          <w:p w14:paraId="0D1E9031" w14:textId="77777777" w:rsidR="006B43AF" w:rsidRPr="005907D3" w:rsidRDefault="006B43AF" w:rsidP="004203CD">
            <w:pPr>
              <w:pStyle w:val="TablesTText"/>
              <w:spacing w:line="240" w:lineRule="exact"/>
              <w:rPr>
                <w:rFonts w:ascii="IBM Plex Sans Light" w:hAnsi="IBM Plex Sans Light"/>
                <w:b/>
                <w:sz w:val="18"/>
                <w:szCs w:val="18"/>
              </w:rPr>
            </w:pPr>
            <w:r w:rsidRPr="009A0C99">
              <w:rPr>
                <w:rFonts w:ascii="IBM Plex Sans Light" w:hAnsi="IBM Plex Sans Light"/>
                <w:b/>
                <w:sz w:val="18"/>
                <w:szCs w:val="18"/>
              </w:rPr>
              <w:t>Loan to value – EPRA</w:t>
            </w:r>
          </w:p>
        </w:tc>
        <w:tc>
          <w:tcPr>
            <w:tcW w:w="1418" w:type="dxa"/>
            <w:tcBorders>
              <w:top w:val="single" w:sz="2" w:space="0" w:color="3D7FE0" w:themeColor="accent1"/>
              <w:bottom w:val="single" w:sz="8" w:space="0" w:color="3D7FE0" w:themeColor="accent1"/>
            </w:tcBorders>
            <w:shd w:val="clear" w:color="auto" w:fill="auto"/>
            <w:vAlign w:val="bottom"/>
          </w:tcPr>
          <w:p w14:paraId="688E72A7" w14:textId="77777777" w:rsidR="006B43AF" w:rsidRPr="005907D3" w:rsidRDefault="006B43AF" w:rsidP="004203CD">
            <w:pPr>
              <w:pStyle w:val="TablesTText"/>
              <w:spacing w:line="240" w:lineRule="exact"/>
              <w:jc w:val="center"/>
              <w:rPr>
                <w:rFonts w:ascii="IBM Plex Sans Light" w:hAnsi="IBM Plex Sans Light"/>
                <w:b/>
                <w:sz w:val="18"/>
                <w:szCs w:val="18"/>
              </w:rPr>
            </w:pPr>
            <w:r w:rsidRPr="005907D3">
              <w:rPr>
                <w:rFonts w:ascii="IBM Plex Sans Light" w:hAnsi="IBM Plex Sans Light"/>
                <w:b/>
                <w:sz w:val="18"/>
                <w:szCs w:val="18"/>
              </w:rPr>
              <w:t>(A+D</w:t>
            </w:r>
            <w:r>
              <w:rPr>
                <w:rFonts w:ascii="IBM Plex Sans Light" w:hAnsi="IBM Plex Sans Light"/>
                <w:b/>
                <w:sz w:val="18"/>
                <w:szCs w:val="18"/>
              </w:rPr>
              <w:t>+F</w:t>
            </w:r>
            <w:r w:rsidRPr="005907D3">
              <w:rPr>
                <w:rFonts w:ascii="IBM Plex Sans Light" w:hAnsi="IBM Plex Sans Light"/>
                <w:b/>
                <w:sz w:val="18"/>
                <w:szCs w:val="18"/>
              </w:rPr>
              <w:t>)/(B+E)</w:t>
            </w:r>
          </w:p>
        </w:tc>
        <w:tc>
          <w:tcPr>
            <w:tcW w:w="423" w:type="dxa"/>
            <w:tcBorders>
              <w:top w:val="single" w:sz="2" w:space="0" w:color="3D7FE0" w:themeColor="accent1"/>
              <w:bottom w:val="single" w:sz="8" w:space="0" w:color="3D7FE0" w:themeColor="accent1"/>
            </w:tcBorders>
            <w:vAlign w:val="bottom"/>
          </w:tcPr>
          <w:p w14:paraId="3BD15C1E" w14:textId="77777777" w:rsidR="006B43AF" w:rsidRPr="005907D3" w:rsidRDefault="006B43AF" w:rsidP="004203CD">
            <w:pPr>
              <w:pStyle w:val="TablesTColHead"/>
              <w:jc w:val="center"/>
              <w:rPr>
                <w:rFonts w:ascii="IBM Plex Sans Light" w:hAnsi="IBM Plex Sans Light"/>
                <w:b/>
                <w:sz w:val="16"/>
                <w:szCs w:val="16"/>
                <w:highlight w:val="yellow"/>
              </w:rPr>
            </w:pPr>
          </w:p>
        </w:tc>
        <w:tc>
          <w:tcPr>
            <w:tcW w:w="852" w:type="dxa"/>
            <w:tcBorders>
              <w:top w:val="single" w:sz="2" w:space="0" w:color="3D7FE0" w:themeColor="accent1"/>
              <w:bottom w:val="single" w:sz="8" w:space="0" w:color="3D7FE0" w:themeColor="accent1"/>
            </w:tcBorders>
            <w:shd w:val="clear" w:color="auto" w:fill="auto"/>
            <w:vAlign w:val="center"/>
          </w:tcPr>
          <w:p w14:paraId="69C7B081" w14:textId="77777777" w:rsidR="006B43AF" w:rsidRPr="005907D3" w:rsidRDefault="006B43AF" w:rsidP="004203CD">
            <w:pPr>
              <w:pStyle w:val="TablesTColHead"/>
              <w:rPr>
                <w:rFonts w:ascii="IBM Plex Sans Light" w:hAnsi="IBM Plex Sans Light"/>
                <w:b/>
                <w:sz w:val="16"/>
                <w:szCs w:val="16"/>
                <w:highlight w:val="yellow"/>
              </w:rPr>
            </w:pPr>
          </w:p>
        </w:tc>
        <w:tc>
          <w:tcPr>
            <w:tcW w:w="993" w:type="dxa"/>
            <w:tcBorders>
              <w:top w:val="single" w:sz="2" w:space="0" w:color="3D7FE0" w:themeColor="accent1"/>
              <w:bottom w:val="single" w:sz="8" w:space="0" w:color="3D7FE0" w:themeColor="accent1"/>
            </w:tcBorders>
            <w:shd w:val="clear" w:color="auto" w:fill="auto"/>
            <w:vAlign w:val="bottom"/>
          </w:tcPr>
          <w:p w14:paraId="2CCB3B40" w14:textId="77777777" w:rsidR="006B43AF" w:rsidRPr="009A0C99" w:rsidRDefault="006B43AF" w:rsidP="004203CD">
            <w:pPr>
              <w:pStyle w:val="TablesTFigures"/>
              <w:spacing w:line="240" w:lineRule="auto"/>
              <w:rPr>
                <w:rFonts w:ascii="IBM Plex Sans Medium" w:hAnsi="IBM Plex Sans Medium"/>
                <w:b/>
                <w:color w:val="3D7FE0" w:themeColor="accent1"/>
                <w:sz w:val="18"/>
                <w:szCs w:val="18"/>
              </w:rPr>
            </w:pPr>
            <w:r>
              <w:rPr>
                <w:rFonts w:ascii="IBM Plex Sans Medium" w:hAnsi="IBM Plex Sans Medium"/>
                <w:b/>
                <w:color w:val="3D7FE0" w:themeColor="accent1"/>
                <w:sz w:val="18"/>
                <w:szCs w:val="18"/>
              </w:rPr>
              <w:t>48.1</w:t>
            </w:r>
            <w:r w:rsidRPr="009A0C99">
              <w:rPr>
                <w:rFonts w:ascii="IBM Plex Sans Medium" w:hAnsi="IBM Plex Sans Medium"/>
                <w:b/>
                <w:color w:val="3D7FE0" w:themeColor="accent1"/>
                <w:sz w:val="18"/>
                <w:szCs w:val="18"/>
              </w:rPr>
              <w:t>%</w:t>
            </w:r>
          </w:p>
        </w:tc>
        <w:tc>
          <w:tcPr>
            <w:tcW w:w="1016" w:type="dxa"/>
            <w:tcBorders>
              <w:top w:val="single" w:sz="2" w:space="0" w:color="3D7FE0" w:themeColor="accent1"/>
              <w:bottom w:val="single" w:sz="8" w:space="0" w:color="3D7FE0" w:themeColor="accent1"/>
            </w:tcBorders>
            <w:shd w:val="clear" w:color="auto" w:fill="auto"/>
            <w:vAlign w:val="bottom"/>
          </w:tcPr>
          <w:p w14:paraId="0BACDFCB" w14:textId="77777777" w:rsidR="006B43AF" w:rsidRPr="00F6452E" w:rsidRDefault="006B43AF" w:rsidP="004203CD">
            <w:pPr>
              <w:pStyle w:val="TablesTFigures"/>
              <w:spacing w:line="240" w:lineRule="auto"/>
              <w:rPr>
                <w:rFonts w:ascii="IBM Plex Sans Light" w:hAnsi="IBM Plex Sans Light"/>
                <w:bCs/>
                <w:sz w:val="18"/>
                <w:szCs w:val="18"/>
              </w:rPr>
            </w:pPr>
            <w:r w:rsidRPr="00F6452E">
              <w:rPr>
                <w:rFonts w:ascii="IBM Plex Sans Light" w:hAnsi="IBM Plex Sans Light"/>
                <w:bCs/>
                <w:sz w:val="18"/>
                <w:szCs w:val="18"/>
              </w:rPr>
              <w:t>49.2%</w:t>
            </w:r>
          </w:p>
        </w:tc>
      </w:tr>
    </w:tbl>
    <w:p w14:paraId="5963533D" w14:textId="77777777" w:rsidR="006B43AF" w:rsidRPr="005907D3" w:rsidRDefault="006B43AF" w:rsidP="006B43AF">
      <w:pPr>
        <w:pStyle w:val="Heading2"/>
        <w:rPr>
          <w:rFonts w:ascii="IBM Plex Sans Light" w:hAnsi="IBM Plex Sans Light"/>
        </w:rPr>
      </w:pPr>
    </w:p>
    <w:p w14:paraId="527D3BFE"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sidRPr="00280504">
        <w:rPr>
          <w:rFonts w:ascii="IBM Plex Sans Medium" w:eastAsia="Yu Gothic Light" w:hAnsi="IBM Plex Sans Medium"/>
          <w:b/>
          <w:color w:val="3D7FE0" w:themeColor="accent1"/>
          <w:spacing w:val="0"/>
          <w:szCs w:val="22"/>
        </w:rPr>
        <w:t xml:space="preserve">Unencumbered asset ratio </w:t>
      </w:r>
    </w:p>
    <w:p w14:paraId="29735EF5" w14:textId="77777777" w:rsidR="006B43AF" w:rsidRPr="00280504" w:rsidRDefault="006B43AF" w:rsidP="006B43AF">
      <w:pPr>
        <w:rPr>
          <w:rFonts w:ascii="IBM Plex Sans Light" w:hAnsi="IBM Plex Sans Light"/>
          <w:b/>
        </w:rPr>
      </w:pPr>
      <w:r w:rsidRPr="00280504">
        <w:rPr>
          <w:rFonts w:ascii="IBM Plex Sans Light" w:hAnsi="IBM Plex Sans Light"/>
          <w:b/>
        </w:rPr>
        <w:t>Table 20</w:t>
      </w:r>
    </w:p>
    <w:tbl>
      <w:tblPr>
        <w:tblW w:w="9949" w:type="dxa"/>
        <w:tblLayout w:type="fixed"/>
        <w:tblCellMar>
          <w:left w:w="0" w:type="dxa"/>
          <w:right w:w="0" w:type="dxa"/>
        </w:tblCellMar>
        <w:tblLook w:val="04A0" w:firstRow="1" w:lastRow="0" w:firstColumn="1" w:lastColumn="0" w:noHBand="0" w:noVBand="1"/>
      </w:tblPr>
      <w:tblGrid>
        <w:gridCol w:w="6237"/>
        <w:gridCol w:w="567"/>
        <w:gridCol w:w="284"/>
        <w:gridCol w:w="709"/>
        <w:gridCol w:w="1134"/>
        <w:gridCol w:w="1018"/>
      </w:tblGrid>
      <w:tr w:rsidR="006B43AF" w:rsidRPr="005907D3" w14:paraId="6B2D1FDC" w14:textId="77777777" w:rsidTr="004203CD">
        <w:trPr>
          <w:trHeight w:val="20"/>
        </w:trPr>
        <w:tc>
          <w:tcPr>
            <w:tcW w:w="6237" w:type="dxa"/>
            <w:tcBorders>
              <w:bottom w:val="single" w:sz="2" w:space="0" w:color="3D7FE0" w:themeColor="accent1"/>
            </w:tcBorders>
            <w:shd w:val="clear" w:color="auto" w:fill="auto"/>
            <w:vAlign w:val="bottom"/>
          </w:tcPr>
          <w:p w14:paraId="4A0EB51F" w14:textId="77777777" w:rsidR="006B43AF" w:rsidRPr="005907D3" w:rsidRDefault="006B43AF" w:rsidP="004203CD">
            <w:pPr>
              <w:pStyle w:val="TablesTColHead"/>
              <w:jc w:val="left"/>
              <w:rPr>
                <w:rFonts w:ascii="IBM Plex Sans Light" w:hAnsi="IBM Plex Sans Light"/>
                <w:highlight w:val="yellow"/>
              </w:rPr>
            </w:pPr>
            <w:r w:rsidRPr="005907D3">
              <w:rPr>
                <w:rFonts w:ascii="IBM Plex Sans Light" w:hAnsi="IBM Plex Sans Light"/>
                <w:b/>
                <w:bCs/>
                <w:color w:val="3D7FE0" w:themeColor="accent1"/>
                <w:sz w:val="14"/>
                <w:szCs w:val="24"/>
              </w:rPr>
              <w:t xml:space="preserve">Proportionally consolidated </w:t>
            </w:r>
          </w:p>
        </w:tc>
        <w:tc>
          <w:tcPr>
            <w:tcW w:w="567" w:type="dxa"/>
            <w:tcBorders>
              <w:bottom w:val="single" w:sz="2" w:space="0" w:color="3D7FE0" w:themeColor="accent1"/>
            </w:tcBorders>
            <w:shd w:val="clear" w:color="auto" w:fill="auto"/>
            <w:vAlign w:val="bottom"/>
          </w:tcPr>
          <w:p w14:paraId="3147311E" w14:textId="77777777" w:rsidR="006B43AF" w:rsidRPr="005907D3" w:rsidRDefault="006B43AF" w:rsidP="004203CD">
            <w:pPr>
              <w:pStyle w:val="TablesTColHead"/>
              <w:jc w:val="center"/>
              <w:rPr>
                <w:rFonts w:ascii="IBM Plex Sans Light" w:hAnsi="IBM Plex Sans Light"/>
                <w:highlight w:val="yellow"/>
              </w:rPr>
            </w:pPr>
          </w:p>
        </w:tc>
        <w:tc>
          <w:tcPr>
            <w:tcW w:w="284" w:type="dxa"/>
            <w:tcBorders>
              <w:bottom w:val="single" w:sz="2" w:space="0" w:color="3D7FE0" w:themeColor="accent1"/>
            </w:tcBorders>
            <w:shd w:val="clear" w:color="auto" w:fill="auto"/>
            <w:vAlign w:val="bottom"/>
          </w:tcPr>
          <w:p w14:paraId="133410FC" w14:textId="77777777" w:rsidR="006B43AF" w:rsidRPr="005907D3" w:rsidRDefault="006B43AF" w:rsidP="004203CD">
            <w:pPr>
              <w:pStyle w:val="TablesTColHead"/>
              <w:jc w:val="center"/>
              <w:rPr>
                <w:rFonts w:ascii="IBM Plex Sans Light" w:hAnsi="IBM Plex Sans Light"/>
                <w:highlight w:val="yellow"/>
              </w:rPr>
            </w:pPr>
          </w:p>
        </w:tc>
        <w:tc>
          <w:tcPr>
            <w:tcW w:w="709" w:type="dxa"/>
            <w:tcBorders>
              <w:bottom w:val="single" w:sz="2" w:space="0" w:color="3D7FE0" w:themeColor="accent1"/>
            </w:tcBorders>
            <w:shd w:val="clear" w:color="auto" w:fill="auto"/>
            <w:vAlign w:val="bottom"/>
          </w:tcPr>
          <w:p w14:paraId="4F7C5928" w14:textId="77777777" w:rsidR="006B43AF" w:rsidRPr="005907D3" w:rsidRDefault="006B43AF" w:rsidP="004203CD">
            <w:pPr>
              <w:pStyle w:val="TablesTColHeadsBold"/>
              <w:rPr>
                <w:rFonts w:ascii="IBM Plex Sans Light" w:hAnsi="IBM Plex Sans Light"/>
                <w:b w:val="0"/>
                <w:sz w:val="14"/>
                <w:szCs w:val="24"/>
              </w:rPr>
            </w:pPr>
            <w:r w:rsidRPr="005907D3">
              <w:rPr>
                <w:rFonts w:ascii="IBM Plex Sans Light" w:hAnsi="IBM Plex Sans Light"/>
                <w:color w:val="auto"/>
                <w:sz w:val="14"/>
                <w:szCs w:val="24"/>
              </w:rPr>
              <w:t>Note</w:t>
            </w:r>
          </w:p>
        </w:tc>
        <w:tc>
          <w:tcPr>
            <w:tcW w:w="1134" w:type="dxa"/>
            <w:tcBorders>
              <w:bottom w:val="single" w:sz="2" w:space="0" w:color="3D7FE0" w:themeColor="accent1"/>
            </w:tcBorders>
            <w:shd w:val="clear" w:color="auto" w:fill="auto"/>
            <w:vAlign w:val="bottom"/>
          </w:tcPr>
          <w:p w14:paraId="7075238D"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202</w:t>
            </w:r>
            <w:r>
              <w:rPr>
                <w:rFonts w:ascii="IBM Plex Sans Light" w:hAnsi="IBM Plex Sans Light"/>
                <w:color w:val="3D7FE0" w:themeColor="accent1"/>
                <w:sz w:val="14"/>
                <w:szCs w:val="24"/>
              </w:rPr>
              <w:t>3</w:t>
            </w:r>
            <w:r w:rsidRPr="005907D3">
              <w:rPr>
                <w:rFonts w:ascii="IBM Plex Sans Light" w:hAnsi="IBM Plex Sans Light"/>
                <w:color w:val="3D7FE0" w:themeColor="accent1"/>
                <w:sz w:val="14"/>
                <w:szCs w:val="24"/>
              </w:rPr>
              <w:br/>
              <w:t>£m</w:t>
            </w:r>
          </w:p>
        </w:tc>
        <w:tc>
          <w:tcPr>
            <w:tcW w:w="1018" w:type="dxa"/>
            <w:tcBorders>
              <w:bottom w:val="single" w:sz="2" w:space="0" w:color="3D7FE0" w:themeColor="accent1"/>
            </w:tcBorders>
            <w:shd w:val="clear" w:color="auto" w:fill="auto"/>
            <w:vAlign w:val="bottom"/>
          </w:tcPr>
          <w:p w14:paraId="58E1D820" w14:textId="77777777" w:rsidR="006B43AF" w:rsidRPr="005907D3" w:rsidRDefault="006B43AF" w:rsidP="004203CD">
            <w:pPr>
              <w:pStyle w:val="TablesTColHead"/>
              <w:rPr>
                <w:rFonts w:ascii="IBM Plex Sans Light" w:hAnsi="IBM Plex Sans Light"/>
                <w:sz w:val="14"/>
                <w:szCs w:val="24"/>
              </w:rPr>
            </w:pPr>
            <w:r w:rsidRPr="005907D3">
              <w:rPr>
                <w:rFonts w:ascii="IBM Plex Sans Light" w:hAnsi="IBM Plex Sans Light"/>
                <w:sz w:val="14"/>
                <w:szCs w:val="24"/>
              </w:rPr>
              <w:t>202</w:t>
            </w:r>
            <w:r>
              <w:rPr>
                <w:rFonts w:ascii="IBM Plex Sans Light" w:hAnsi="IBM Plex Sans Light"/>
                <w:sz w:val="14"/>
                <w:szCs w:val="24"/>
              </w:rPr>
              <w:t>2</w:t>
            </w:r>
            <w:r w:rsidRPr="005907D3">
              <w:rPr>
                <w:rFonts w:ascii="IBM Plex Sans Light" w:hAnsi="IBM Plex Sans Light"/>
                <w:sz w:val="14"/>
                <w:szCs w:val="24"/>
              </w:rPr>
              <w:br/>
              <w:t>£m</w:t>
            </w:r>
          </w:p>
        </w:tc>
      </w:tr>
      <w:tr w:rsidR="006B43AF" w:rsidRPr="005907D3" w14:paraId="3C43DE69" w14:textId="77777777" w:rsidTr="004203CD">
        <w:trPr>
          <w:trHeight w:val="20"/>
        </w:trPr>
        <w:tc>
          <w:tcPr>
            <w:tcW w:w="6237" w:type="dxa"/>
            <w:tcBorders>
              <w:top w:val="single" w:sz="2" w:space="0" w:color="3D7FE0" w:themeColor="accent1"/>
            </w:tcBorders>
            <w:shd w:val="clear" w:color="auto" w:fill="auto"/>
            <w:vAlign w:val="bottom"/>
          </w:tcPr>
          <w:p w14:paraId="3D2C2BC4" w14:textId="77777777" w:rsidR="006B43AF" w:rsidRPr="005907D3" w:rsidRDefault="006B43AF" w:rsidP="004203CD">
            <w:pPr>
              <w:pStyle w:val="TablesTText"/>
              <w:rPr>
                <w:rFonts w:ascii="IBM Plex Sans Light" w:hAnsi="IBM Plex Sans Light"/>
                <w:highlight w:val="yellow"/>
              </w:rPr>
            </w:pPr>
          </w:p>
        </w:tc>
        <w:tc>
          <w:tcPr>
            <w:tcW w:w="567" w:type="dxa"/>
            <w:tcBorders>
              <w:top w:val="single" w:sz="2" w:space="0" w:color="3D7FE0" w:themeColor="accent1"/>
            </w:tcBorders>
            <w:shd w:val="clear" w:color="auto" w:fill="auto"/>
            <w:vAlign w:val="bottom"/>
          </w:tcPr>
          <w:p w14:paraId="6297C6F5" w14:textId="77777777" w:rsidR="006B43AF" w:rsidRPr="005907D3" w:rsidRDefault="006B43AF" w:rsidP="004203CD">
            <w:pPr>
              <w:pStyle w:val="TablesTText"/>
              <w:jc w:val="center"/>
              <w:rPr>
                <w:rFonts w:ascii="IBM Plex Sans Light" w:hAnsi="IBM Plex Sans Light"/>
                <w:highlight w:val="yellow"/>
              </w:rPr>
            </w:pPr>
          </w:p>
        </w:tc>
        <w:tc>
          <w:tcPr>
            <w:tcW w:w="284" w:type="dxa"/>
            <w:tcBorders>
              <w:top w:val="single" w:sz="2" w:space="0" w:color="3D7FE0" w:themeColor="accent1"/>
            </w:tcBorders>
            <w:shd w:val="clear" w:color="auto" w:fill="auto"/>
            <w:vAlign w:val="bottom"/>
          </w:tcPr>
          <w:p w14:paraId="73B88D27" w14:textId="77777777" w:rsidR="006B43AF" w:rsidRPr="005907D3" w:rsidRDefault="006B43AF" w:rsidP="004203CD">
            <w:pPr>
              <w:pStyle w:val="TablesTText"/>
              <w:jc w:val="center"/>
              <w:rPr>
                <w:rFonts w:ascii="IBM Plex Sans Light" w:hAnsi="IBM Plex Sans Light"/>
                <w:highlight w:val="yellow"/>
              </w:rPr>
            </w:pPr>
          </w:p>
        </w:tc>
        <w:tc>
          <w:tcPr>
            <w:tcW w:w="709" w:type="dxa"/>
            <w:tcBorders>
              <w:top w:val="single" w:sz="2" w:space="0" w:color="3D7FE0" w:themeColor="accent1"/>
            </w:tcBorders>
            <w:shd w:val="clear" w:color="auto" w:fill="auto"/>
            <w:vAlign w:val="bottom"/>
          </w:tcPr>
          <w:p w14:paraId="0A0BFD71" w14:textId="77777777" w:rsidR="006B43AF" w:rsidRPr="005907D3" w:rsidRDefault="006B43AF" w:rsidP="004203CD">
            <w:pPr>
              <w:pStyle w:val="TablesTColHead"/>
              <w:rPr>
                <w:rFonts w:ascii="IBM Plex Sans Light" w:hAnsi="IBM Plex Sans Light"/>
                <w:highlight w:val="yellow"/>
              </w:rPr>
            </w:pPr>
          </w:p>
        </w:tc>
        <w:tc>
          <w:tcPr>
            <w:tcW w:w="1134" w:type="dxa"/>
            <w:tcBorders>
              <w:top w:val="single" w:sz="2" w:space="0" w:color="3D7FE0" w:themeColor="accent1"/>
            </w:tcBorders>
            <w:shd w:val="clear" w:color="auto" w:fill="auto"/>
            <w:vAlign w:val="bottom"/>
          </w:tcPr>
          <w:p w14:paraId="09069DAA" w14:textId="77777777" w:rsidR="006B43AF" w:rsidRPr="005907D3" w:rsidRDefault="006B43AF" w:rsidP="004203CD">
            <w:pPr>
              <w:pStyle w:val="TablesTFigureBold"/>
              <w:rPr>
                <w:rFonts w:ascii="IBM Plex Sans Light" w:hAnsi="IBM Plex Sans Light"/>
                <w:color w:val="3D7FE0" w:themeColor="accent1"/>
                <w:highlight w:val="yellow"/>
              </w:rPr>
            </w:pPr>
          </w:p>
        </w:tc>
        <w:tc>
          <w:tcPr>
            <w:tcW w:w="1018" w:type="dxa"/>
            <w:tcBorders>
              <w:top w:val="single" w:sz="2" w:space="0" w:color="3D7FE0" w:themeColor="accent1"/>
            </w:tcBorders>
            <w:shd w:val="clear" w:color="auto" w:fill="auto"/>
            <w:vAlign w:val="bottom"/>
          </w:tcPr>
          <w:p w14:paraId="5DDB2C6B" w14:textId="77777777" w:rsidR="006B43AF" w:rsidRPr="005907D3" w:rsidRDefault="006B43AF" w:rsidP="004203CD">
            <w:pPr>
              <w:pStyle w:val="TablesTFigures"/>
              <w:rPr>
                <w:rFonts w:ascii="IBM Plex Sans Light" w:hAnsi="IBM Plex Sans Light"/>
                <w:highlight w:val="yellow"/>
              </w:rPr>
            </w:pPr>
          </w:p>
        </w:tc>
      </w:tr>
      <w:tr w:rsidR="006B43AF" w:rsidRPr="005907D3" w14:paraId="11FCE8B9" w14:textId="77777777" w:rsidTr="004203CD">
        <w:trPr>
          <w:trHeight w:val="20"/>
        </w:trPr>
        <w:tc>
          <w:tcPr>
            <w:tcW w:w="6237" w:type="dxa"/>
            <w:shd w:val="clear" w:color="auto" w:fill="auto"/>
            <w:vAlign w:val="bottom"/>
          </w:tcPr>
          <w:p w14:paraId="12B83E4F"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sz w:val="18"/>
                <w:szCs w:val="24"/>
              </w:rPr>
              <w:t xml:space="preserve">Managed property portfolio </w:t>
            </w:r>
          </w:p>
        </w:tc>
        <w:tc>
          <w:tcPr>
            <w:tcW w:w="567" w:type="dxa"/>
            <w:shd w:val="clear" w:color="auto" w:fill="auto"/>
            <w:vAlign w:val="bottom"/>
          </w:tcPr>
          <w:p w14:paraId="413B2036"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144F8459"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4994FDCF" w14:textId="77777777" w:rsidR="006B43AF" w:rsidRPr="005907D3" w:rsidRDefault="006B43AF" w:rsidP="004203CD">
            <w:pPr>
              <w:pStyle w:val="TablesTColHead"/>
              <w:rPr>
                <w:rFonts w:ascii="IBM Plex Sans Light" w:hAnsi="IBM Plex Sans Light"/>
                <w:sz w:val="16"/>
                <w:szCs w:val="28"/>
              </w:rPr>
            </w:pPr>
            <w:r w:rsidRPr="005907D3">
              <w:rPr>
                <w:rFonts w:ascii="IBM Plex Sans Light" w:hAnsi="IBM Plex Sans Light"/>
                <w:sz w:val="16"/>
                <w:szCs w:val="28"/>
              </w:rPr>
              <w:t>3B</w:t>
            </w:r>
          </w:p>
        </w:tc>
        <w:tc>
          <w:tcPr>
            <w:tcW w:w="1134" w:type="dxa"/>
            <w:shd w:val="clear" w:color="auto" w:fill="auto"/>
            <w:vAlign w:val="bottom"/>
          </w:tcPr>
          <w:p w14:paraId="73D9BFDE"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2,776.1</w:t>
            </w:r>
          </w:p>
        </w:tc>
        <w:tc>
          <w:tcPr>
            <w:tcW w:w="1018" w:type="dxa"/>
            <w:shd w:val="clear" w:color="auto" w:fill="auto"/>
            <w:vAlign w:val="bottom"/>
          </w:tcPr>
          <w:p w14:paraId="03A2A768"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3,220.1</w:t>
            </w:r>
          </w:p>
        </w:tc>
      </w:tr>
      <w:tr w:rsidR="006B43AF" w:rsidRPr="005907D3" w14:paraId="6EA28EA9" w14:textId="77777777" w:rsidTr="004203CD">
        <w:trPr>
          <w:trHeight w:val="20"/>
        </w:trPr>
        <w:tc>
          <w:tcPr>
            <w:tcW w:w="6237" w:type="dxa"/>
            <w:shd w:val="clear" w:color="auto" w:fill="auto"/>
            <w:vAlign w:val="bottom"/>
          </w:tcPr>
          <w:p w14:paraId="2E78AD91" w14:textId="77777777" w:rsidR="006B43AF" w:rsidRPr="007C4035" w:rsidRDefault="006B43AF" w:rsidP="004203CD">
            <w:pPr>
              <w:pStyle w:val="TablesTText"/>
              <w:rPr>
                <w:rFonts w:ascii="IBM Plex Sans Light" w:hAnsi="IBM Plex Sans Light"/>
                <w:sz w:val="18"/>
                <w:szCs w:val="24"/>
              </w:rPr>
            </w:pPr>
            <w:r>
              <w:rPr>
                <w:rFonts w:ascii="IBM Plex Sans Light" w:hAnsi="IBM Plex Sans Light"/>
                <w:sz w:val="18"/>
                <w:szCs w:val="24"/>
              </w:rPr>
              <w:t>Adjustments</w:t>
            </w:r>
            <w:r w:rsidRPr="007C4035">
              <w:rPr>
                <w:rFonts w:ascii="IBM Plex Sans Light" w:hAnsi="IBM Plex Sans Light"/>
                <w:sz w:val="18"/>
                <w:szCs w:val="24"/>
              </w:rPr>
              <w:t xml:space="preserve">: </w:t>
            </w:r>
          </w:p>
        </w:tc>
        <w:tc>
          <w:tcPr>
            <w:tcW w:w="567" w:type="dxa"/>
            <w:shd w:val="clear" w:color="auto" w:fill="auto"/>
            <w:vAlign w:val="bottom"/>
          </w:tcPr>
          <w:p w14:paraId="66A75B88"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3D6F51AA"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729CB7C1" w14:textId="77777777" w:rsidR="006B43AF" w:rsidRPr="005907D3" w:rsidRDefault="006B43AF" w:rsidP="004203CD">
            <w:pPr>
              <w:pStyle w:val="TablesTColHead"/>
              <w:rPr>
                <w:rFonts w:ascii="IBM Plex Sans Light" w:hAnsi="IBM Plex Sans Light"/>
                <w:sz w:val="16"/>
                <w:szCs w:val="28"/>
              </w:rPr>
            </w:pPr>
          </w:p>
        </w:tc>
        <w:tc>
          <w:tcPr>
            <w:tcW w:w="1134" w:type="dxa"/>
            <w:shd w:val="clear" w:color="auto" w:fill="auto"/>
            <w:vAlign w:val="bottom"/>
          </w:tcPr>
          <w:p w14:paraId="01424E85"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p>
        </w:tc>
        <w:tc>
          <w:tcPr>
            <w:tcW w:w="1018" w:type="dxa"/>
            <w:shd w:val="clear" w:color="auto" w:fill="auto"/>
            <w:vAlign w:val="bottom"/>
          </w:tcPr>
          <w:p w14:paraId="67CAEAE7" w14:textId="77777777" w:rsidR="006B43AF" w:rsidRPr="007C4035" w:rsidRDefault="006B43AF" w:rsidP="004203CD">
            <w:pPr>
              <w:pStyle w:val="TablesTFigures"/>
              <w:spacing w:line="240" w:lineRule="exact"/>
              <w:rPr>
                <w:rFonts w:ascii="IBM Plex Sans Light" w:hAnsi="IBM Plex Sans Light"/>
                <w:sz w:val="18"/>
                <w:szCs w:val="24"/>
              </w:rPr>
            </w:pPr>
          </w:p>
        </w:tc>
      </w:tr>
      <w:tr w:rsidR="006B43AF" w:rsidRPr="005907D3" w14:paraId="7C0D02F4" w14:textId="77777777" w:rsidTr="004203CD">
        <w:trPr>
          <w:trHeight w:val="20"/>
        </w:trPr>
        <w:tc>
          <w:tcPr>
            <w:tcW w:w="6237" w:type="dxa"/>
            <w:shd w:val="clear" w:color="auto" w:fill="auto"/>
            <w:vAlign w:val="bottom"/>
          </w:tcPr>
          <w:p w14:paraId="6D47E087"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cs="Arial"/>
                <w:sz w:val="18"/>
                <w:szCs w:val="24"/>
              </w:rPr>
              <w:t xml:space="preserve">– </w:t>
            </w:r>
            <w:r w:rsidRPr="007C4035">
              <w:rPr>
                <w:rFonts w:ascii="IBM Plex Sans Light" w:hAnsi="IBM Plex Sans Light"/>
                <w:sz w:val="18"/>
                <w:szCs w:val="24"/>
              </w:rPr>
              <w:t>Properties held in associates: Italie Deux</w:t>
            </w:r>
          </w:p>
        </w:tc>
        <w:tc>
          <w:tcPr>
            <w:tcW w:w="567" w:type="dxa"/>
            <w:shd w:val="clear" w:color="auto" w:fill="auto"/>
            <w:vAlign w:val="bottom"/>
          </w:tcPr>
          <w:p w14:paraId="797D940D"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61A59E0C"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29AD1EC8" w14:textId="77777777" w:rsidR="006B43AF" w:rsidRPr="005907D3" w:rsidRDefault="006B43AF" w:rsidP="004203CD">
            <w:pPr>
              <w:pStyle w:val="TablesTColHead"/>
              <w:rPr>
                <w:rFonts w:ascii="IBM Plex Sans Light" w:hAnsi="IBM Plex Sans Light"/>
                <w:sz w:val="16"/>
                <w:szCs w:val="28"/>
              </w:rPr>
            </w:pPr>
          </w:p>
        </w:tc>
        <w:tc>
          <w:tcPr>
            <w:tcW w:w="1134" w:type="dxa"/>
            <w:shd w:val="clear" w:color="auto" w:fill="auto"/>
          </w:tcPr>
          <w:p w14:paraId="7182B220" w14:textId="77777777" w:rsidR="006B43AF" w:rsidRPr="00F82829" w:rsidRDefault="006B43AF" w:rsidP="00024B10">
            <w:pPr>
              <w:pStyle w:val="TablesTFigures"/>
              <w:spacing w:line="240" w:lineRule="exact"/>
              <w:rPr>
                <w:rFonts w:ascii="IBM Plex Sans Medium" w:hAnsi="IBM Plex Sans Medium"/>
                <w:b/>
                <w:bCs/>
                <w:color w:val="3D7FE0" w:themeColor="accent1"/>
                <w:sz w:val="18"/>
                <w:szCs w:val="18"/>
              </w:rPr>
            </w:pPr>
            <w:r w:rsidRPr="000730CB">
              <w:rPr>
                <w:rFonts w:ascii="IBM Plex Sans Medium" w:hAnsi="IBM Plex Sans Medium"/>
                <w:b/>
                <w:bCs/>
                <w:color w:val="3D7FE0" w:themeColor="accent1"/>
                <w:sz w:val="18"/>
                <w:szCs w:val="18"/>
              </w:rPr>
              <w:t>–</w:t>
            </w:r>
          </w:p>
        </w:tc>
        <w:tc>
          <w:tcPr>
            <w:tcW w:w="1018" w:type="dxa"/>
            <w:shd w:val="clear" w:color="auto" w:fill="auto"/>
          </w:tcPr>
          <w:p w14:paraId="3DF85CCD" w14:textId="77777777" w:rsidR="006B43AF" w:rsidRPr="007C4035" w:rsidRDefault="006B43AF" w:rsidP="004203CD">
            <w:pPr>
              <w:pStyle w:val="TablesTFigureBrackets"/>
              <w:spacing w:line="240" w:lineRule="exact"/>
              <w:rPr>
                <w:rFonts w:ascii="IBM Plex Sans Light" w:hAnsi="IBM Plex Sans Light"/>
                <w:sz w:val="18"/>
                <w:szCs w:val="24"/>
              </w:rPr>
            </w:pPr>
            <w:r>
              <w:rPr>
                <w:rFonts w:ascii="IBM Plex Sans Light" w:hAnsi="IBM Plex Sans Light"/>
                <w:sz w:val="18"/>
                <w:szCs w:val="24"/>
              </w:rPr>
              <w:t>(102.9)</w:t>
            </w:r>
          </w:p>
        </w:tc>
      </w:tr>
      <w:tr w:rsidR="006B43AF" w:rsidRPr="005907D3" w14:paraId="2F479B47" w14:textId="77777777" w:rsidTr="004203CD">
        <w:trPr>
          <w:trHeight w:val="20"/>
        </w:trPr>
        <w:tc>
          <w:tcPr>
            <w:tcW w:w="6237" w:type="dxa"/>
            <w:tcBorders>
              <w:bottom w:val="single" w:sz="2" w:space="0" w:color="3D7FE0" w:themeColor="accent1"/>
            </w:tcBorders>
            <w:shd w:val="clear" w:color="auto" w:fill="auto"/>
            <w:vAlign w:val="bottom"/>
          </w:tcPr>
          <w:p w14:paraId="1A374CB8"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cs="Arial"/>
                <w:sz w:val="18"/>
                <w:szCs w:val="24"/>
              </w:rPr>
              <w:t xml:space="preserve">– </w:t>
            </w:r>
            <w:r w:rsidRPr="007C4035">
              <w:rPr>
                <w:rFonts w:ascii="IBM Plex Sans Light" w:hAnsi="IBM Plex Sans Light"/>
                <w:sz w:val="18"/>
                <w:szCs w:val="24"/>
              </w:rPr>
              <w:t>Encumbered assets</w:t>
            </w:r>
          </w:p>
        </w:tc>
        <w:tc>
          <w:tcPr>
            <w:tcW w:w="567" w:type="dxa"/>
            <w:tcBorders>
              <w:bottom w:val="single" w:sz="2" w:space="0" w:color="3D7FE0" w:themeColor="accent1"/>
            </w:tcBorders>
            <w:shd w:val="clear" w:color="auto" w:fill="auto"/>
            <w:vAlign w:val="bottom"/>
          </w:tcPr>
          <w:p w14:paraId="5686EEE8" w14:textId="77777777" w:rsidR="006B43AF" w:rsidRPr="005907D3" w:rsidRDefault="006B43AF" w:rsidP="004203CD">
            <w:pPr>
              <w:pStyle w:val="TablesTText"/>
              <w:jc w:val="center"/>
              <w:rPr>
                <w:rFonts w:ascii="IBM Plex Sans Light" w:hAnsi="IBM Plex Sans Light"/>
              </w:rPr>
            </w:pPr>
          </w:p>
        </w:tc>
        <w:tc>
          <w:tcPr>
            <w:tcW w:w="284" w:type="dxa"/>
            <w:tcBorders>
              <w:bottom w:val="single" w:sz="2" w:space="0" w:color="3D7FE0" w:themeColor="accent1"/>
            </w:tcBorders>
            <w:shd w:val="clear" w:color="auto" w:fill="auto"/>
            <w:vAlign w:val="bottom"/>
          </w:tcPr>
          <w:p w14:paraId="11881FBD" w14:textId="77777777" w:rsidR="006B43AF" w:rsidRPr="005907D3" w:rsidRDefault="006B43AF" w:rsidP="004203CD">
            <w:pPr>
              <w:pStyle w:val="TablesTText"/>
              <w:jc w:val="center"/>
              <w:rPr>
                <w:rFonts w:ascii="IBM Plex Sans Light" w:hAnsi="IBM Plex Sans Light"/>
              </w:rPr>
            </w:pPr>
          </w:p>
        </w:tc>
        <w:tc>
          <w:tcPr>
            <w:tcW w:w="709" w:type="dxa"/>
            <w:tcBorders>
              <w:bottom w:val="single" w:sz="2" w:space="0" w:color="3D7FE0" w:themeColor="accent1"/>
            </w:tcBorders>
            <w:shd w:val="clear" w:color="auto" w:fill="auto"/>
            <w:vAlign w:val="bottom"/>
          </w:tcPr>
          <w:p w14:paraId="2E3646E4" w14:textId="77777777" w:rsidR="006B43AF" w:rsidRPr="005907D3" w:rsidRDefault="006B43AF" w:rsidP="004203CD">
            <w:pPr>
              <w:pStyle w:val="TablesTColHead"/>
              <w:rPr>
                <w:rFonts w:ascii="IBM Plex Sans Light" w:hAnsi="IBM Plex Sans Light"/>
                <w:sz w:val="16"/>
                <w:szCs w:val="28"/>
                <w:highlight w:val="yellow"/>
              </w:rPr>
            </w:pPr>
            <w:r w:rsidRPr="005907D3">
              <w:rPr>
                <w:rFonts w:ascii="IBM Plex Sans Light" w:hAnsi="IBM Plex Sans Light"/>
                <w:sz w:val="16"/>
                <w:szCs w:val="28"/>
              </w:rPr>
              <w:t>*</w:t>
            </w:r>
          </w:p>
        </w:tc>
        <w:tc>
          <w:tcPr>
            <w:tcW w:w="1134" w:type="dxa"/>
            <w:tcBorders>
              <w:bottom w:val="single" w:sz="2" w:space="0" w:color="3D7FE0" w:themeColor="accent1"/>
            </w:tcBorders>
            <w:shd w:val="clear" w:color="auto" w:fill="auto"/>
            <w:vAlign w:val="bottom"/>
          </w:tcPr>
          <w:p w14:paraId="734A5943" w14:textId="77777777" w:rsidR="006B43AF" w:rsidRPr="000730CB" w:rsidRDefault="006B43AF" w:rsidP="004203CD">
            <w:pPr>
              <w:pStyle w:val="TablesTFigureBracket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(487.7)</w:t>
            </w:r>
          </w:p>
        </w:tc>
        <w:tc>
          <w:tcPr>
            <w:tcW w:w="1018" w:type="dxa"/>
            <w:tcBorders>
              <w:bottom w:val="single" w:sz="2" w:space="0" w:color="3D7FE0" w:themeColor="accent1"/>
            </w:tcBorders>
            <w:shd w:val="clear" w:color="auto" w:fill="auto"/>
            <w:vAlign w:val="bottom"/>
          </w:tcPr>
          <w:p w14:paraId="064F67A3" w14:textId="77777777" w:rsidR="006B43AF" w:rsidRPr="007C4035" w:rsidRDefault="006B43AF" w:rsidP="004203CD">
            <w:pPr>
              <w:pStyle w:val="TablesTFigureBrackets"/>
              <w:spacing w:line="240" w:lineRule="exact"/>
              <w:rPr>
                <w:rFonts w:ascii="IBM Plex Sans Light" w:hAnsi="IBM Plex Sans Light"/>
                <w:sz w:val="18"/>
                <w:szCs w:val="24"/>
              </w:rPr>
            </w:pPr>
            <w:r w:rsidRPr="007C4035">
              <w:rPr>
                <w:rFonts w:ascii="IBM Plex Sans Light" w:hAnsi="IBM Plex Sans Light"/>
                <w:sz w:val="18"/>
                <w:szCs w:val="24"/>
              </w:rPr>
              <w:t>(651.</w:t>
            </w:r>
            <w:r>
              <w:rPr>
                <w:rFonts w:ascii="IBM Plex Sans Light" w:hAnsi="IBM Plex Sans Light"/>
                <w:sz w:val="18"/>
                <w:szCs w:val="24"/>
              </w:rPr>
              <w:t>0</w:t>
            </w:r>
            <w:r w:rsidRPr="007C4035">
              <w:rPr>
                <w:rFonts w:ascii="IBM Plex Sans Light" w:hAnsi="IBM Plex Sans Light"/>
                <w:sz w:val="18"/>
                <w:szCs w:val="24"/>
              </w:rPr>
              <w:t>)</w:t>
            </w:r>
          </w:p>
        </w:tc>
      </w:tr>
      <w:tr w:rsidR="006B43AF" w:rsidRPr="005907D3" w14:paraId="7D26C1ED"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bottom"/>
          </w:tcPr>
          <w:p w14:paraId="691CBC12" w14:textId="77777777" w:rsidR="006B43AF" w:rsidRPr="007C4035" w:rsidRDefault="006B43AF" w:rsidP="004203CD">
            <w:pPr>
              <w:pStyle w:val="TablesTText"/>
              <w:spacing w:line="240" w:lineRule="exact"/>
              <w:rPr>
                <w:rFonts w:ascii="IBM Plex Sans Light" w:hAnsi="IBM Plex Sans Light"/>
                <w:b/>
                <w:sz w:val="18"/>
                <w:szCs w:val="24"/>
              </w:rPr>
            </w:pPr>
            <w:r w:rsidRPr="007C4035">
              <w:rPr>
                <w:rFonts w:ascii="IBM Plex Sans Light" w:hAnsi="IBM Plex Sans Light"/>
                <w:b/>
                <w:sz w:val="18"/>
                <w:szCs w:val="24"/>
              </w:rPr>
              <w:t>Total unencumbered assets</w:t>
            </w:r>
          </w:p>
        </w:tc>
        <w:tc>
          <w:tcPr>
            <w:tcW w:w="567" w:type="dxa"/>
            <w:tcBorders>
              <w:top w:val="single" w:sz="2" w:space="0" w:color="3D7FE0" w:themeColor="accent1"/>
              <w:bottom w:val="single" w:sz="2" w:space="0" w:color="3D7FE0" w:themeColor="accent1"/>
            </w:tcBorders>
            <w:shd w:val="clear" w:color="auto" w:fill="auto"/>
            <w:vAlign w:val="bottom"/>
          </w:tcPr>
          <w:p w14:paraId="0E67F11C" w14:textId="77777777" w:rsidR="006B43AF" w:rsidRPr="005907D3" w:rsidRDefault="006B43AF" w:rsidP="004203CD">
            <w:pPr>
              <w:pStyle w:val="TablesTText"/>
              <w:spacing w:line="240" w:lineRule="exact"/>
              <w:jc w:val="center"/>
              <w:rPr>
                <w:rFonts w:ascii="IBM Plex Sans Light" w:hAnsi="IBM Plex Sans Light"/>
                <w:b/>
              </w:rPr>
            </w:pPr>
            <w:r>
              <w:rPr>
                <w:rFonts w:ascii="IBM Plex Sans Light" w:hAnsi="IBM Plex Sans Light"/>
                <w:b/>
              </w:rPr>
              <w:t>A</w:t>
            </w:r>
          </w:p>
        </w:tc>
        <w:tc>
          <w:tcPr>
            <w:tcW w:w="284" w:type="dxa"/>
            <w:tcBorders>
              <w:top w:val="single" w:sz="2" w:space="0" w:color="3D7FE0" w:themeColor="accent1"/>
              <w:bottom w:val="single" w:sz="2" w:space="0" w:color="3D7FE0" w:themeColor="accent1"/>
            </w:tcBorders>
            <w:shd w:val="clear" w:color="auto" w:fill="auto"/>
            <w:vAlign w:val="bottom"/>
          </w:tcPr>
          <w:p w14:paraId="4499683C" w14:textId="77777777" w:rsidR="006B43AF" w:rsidRPr="005907D3" w:rsidRDefault="006B43AF" w:rsidP="004203CD">
            <w:pPr>
              <w:pStyle w:val="TablesTText"/>
              <w:spacing w:line="240" w:lineRule="exact"/>
              <w:jc w:val="center"/>
              <w:rPr>
                <w:rFonts w:ascii="IBM Plex Sans Light" w:hAnsi="IBM Plex Sans Light"/>
                <w:b/>
              </w:rPr>
            </w:pPr>
          </w:p>
        </w:tc>
        <w:tc>
          <w:tcPr>
            <w:tcW w:w="709" w:type="dxa"/>
            <w:tcBorders>
              <w:top w:val="single" w:sz="2" w:space="0" w:color="3D7FE0" w:themeColor="accent1"/>
              <w:bottom w:val="single" w:sz="2" w:space="0" w:color="3D7FE0" w:themeColor="accent1"/>
            </w:tcBorders>
            <w:shd w:val="clear" w:color="auto" w:fill="auto"/>
            <w:vAlign w:val="bottom"/>
          </w:tcPr>
          <w:p w14:paraId="4C408DF4" w14:textId="77777777" w:rsidR="006B43AF" w:rsidRPr="005907D3" w:rsidRDefault="006B43AF" w:rsidP="004203CD">
            <w:pPr>
              <w:pStyle w:val="TablesTColHead"/>
              <w:rPr>
                <w:rFonts w:ascii="IBM Plex Sans Light" w:hAnsi="IBM Plex Sans Light"/>
                <w:b/>
                <w:sz w:val="16"/>
                <w:szCs w:val="28"/>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6392A068"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2,288.4</w:t>
            </w:r>
          </w:p>
        </w:tc>
        <w:tc>
          <w:tcPr>
            <w:tcW w:w="1018" w:type="dxa"/>
            <w:tcBorders>
              <w:top w:val="single" w:sz="2" w:space="0" w:color="3D7FE0" w:themeColor="accent1"/>
              <w:bottom w:val="single" w:sz="2" w:space="0" w:color="3D7FE0" w:themeColor="accent1"/>
            </w:tcBorders>
            <w:shd w:val="clear" w:color="auto" w:fill="auto"/>
            <w:vAlign w:val="bottom"/>
          </w:tcPr>
          <w:p w14:paraId="0B209CA9"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2,466.2</w:t>
            </w:r>
          </w:p>
        </w:tc>
      </w:tr>
      <w:tr w:rsidR="006B43AF" w:rsidRPr="005907D3" w14:paraId="5BCB1D0A" w14:textId="77777777" w:rsidTr="004203CD">
        <w:trPr>
          <w:trHeight w:val="20"/>
        </w:trPr>
        <w:tc>
          <w:tcPr>
            <w:tcW w:w="6237" w:type="dxa"/>
            <w:tcBorders>
              <w:top w:val="single" w:sz="2" w:space="0" w:color="3D7FE0" w:themeColor="accent1"/>
            </w:tcBorders>
            <w:shd w:val="clear" w:color="auto" w:fill="auto"/>
            <w:vAlign w:val="bottom"/>
          </w:tcPr>
          <w:p w14:paraId="52EAACB0" w14:textId="77777777" w:rsidR="006B43AF" w:rsidRPr="007C4035" w:rsidRDefault="006B43AF" w:rsidP="004203CD">
            <w:pPr>
              <w:pStyle w:val="TablesTTextBold"/>
              <w:rPr>
                <w:rFonts w:ascii="IBM Plex Sans Light" w:hAnsi="IBM Plex Sans Light"/>
                <w:sz w:val="18"/>
                <w:szCs w:val="24"/>
                <w:highlight w:val="yellow"/>
              </w:rPr>
            </w:pPr>
          </w:p>
        </w:tc>
        <w:tc>
          <w:tcPr>
            <w:tcW w:w="567" w:type="dxa"/>
            <w:tcBorders>
              <w:top w:val="single" w:sz="2" w:space="0" w:color="3D7FE0" w:themeColor="accent1"/>
            </w:tcBorders>
            <w:shd w:val="clear" w:color="auto" w:fill="auto"/>
            <w:vAlign w:val="bottom"/>
          </w:tcPr>
          <w:p w14:paraId="0FEFC511" w14:textId="77777777" w:rsidR="006B43AF" w:rsidRPr="005907D3" w:rsidRDefault="006B43AF" w:rsidP="004203CD">
            <w:pPr>
              <w:pStyle w:val="TablesTTextBold"/>
              <w:jc w:val="center"/>
              <w:rPr>
                <w:rFonts w:ascii="IBM Plex Sans Light" w:hAnsi="IBM Plex Sans Light"/>
                <w:highlight w:val="yellow"/>
              </w:rPr>
            </w:pPr>
          </w:p>
        </w:tc>
        <w:tc>
          <w:tcPr>
            <w:tcW w:w="284" w:type="dxa"/>
            <w:tcBorders>
              <w:top w:val="single" w:sz="2" w:space="0" w:color="3D7FE0" w:themeColor="accent1"/>
            </w:tcBorders>
            <w:shd w:val="clear" w:color="auto" w:fill="auto"/>
            <w:vAlign w:val="bottom"/>
          </w:tcPr>
          <w:p w14:paraId="7C67CA94" w14:textId="77777777" w:rsidR="006B43AF" w:rsidRPr="005907D3" w:rsidRDefault="006B43AF" w:rsidP="004203CD">
            <w:pPr>
              <w:pStyle w:val="TablesTTextBold"/>
              <w:jc w:val="center"/>
              <w:rPr>
                <w:rFonts w:ascii="IBM Plex Sans Light" w:hAnsi="IBM Plex Sans Light"/>
                <w:highlight w:val="yellow"/>
              </w:rPr>
            </w:pPr>
          </w:p>
        </w:tc>
        <w:tc>
          <w:tcPr>
            <w:tcW w:w="709" w:type="dxa"/>
            <w:tcBorders>
              <w:top w:val="single" w:sz="2" w:space="0" w:color="3D7FE0" w:themeColor="accent1"/>
            </w:tcBorders>
            <w:shd w:val="clear" w:color="auto" w:fill="auto"/>
            <w:vAlign w:val="bottom"/>
          </w:tcPr>
          <w:p w14:paraId="34D392D1"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tcBorders>
              <w:top w:val="single" w:sz="2" w:space="0" w:color="3D7FE0" w:themeColor="accent1"/>
            </w:tcBorders>
            <w:shd w:val="clear" w:color="auto" w:fill="auto"/>
            <w:vAlign w:val="bottom"/>
          </w:tcPr>
          <w:p w14:paraId="33B429ED"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p>
        </w:tc>
        <w:tc>
          <w:tcPr>
            <w:tcW w:w="1018" w:type="dxa"/>
            <w:tcBorders>
              <w:top w:val="single" w:sz="2" w:space="0" w:color="3D7FE0" w:themeColor="accent1"/>
            </w:tcBorders>
            <w:shd w:val="clear" w:color="auto" w:fill="auto"/>
            <w:vAlign w:val="bottom"/>
          </w:tcPr>
          <w:p w14:paraId="21B94650" w14:textId="77777777" w:rsidR="006B43AF" w:rsidRPr="007C4035" w:rsidRDefault="006B43AF" w:rsidP="004203CD">
            <w:pPr>
              <w:pStyle w:val="TablesTFigures"/>
              <w:spacing w:line="240" w:lineRule="exact"/>
              <w:rPr>
                <w:rFonts w:ascii="IBM Plex Sans Light" w:hAnsi="IBM Plex Sans Light"/>
                <w:sz w:val="18"/>
                <w:szCs w:val="24"/>
              </w:rPr>
            </w:pPr>
          </w:p>
        </w:tc>
      </w:tr>
      <w:tr w:rsidR="006B43AF" w:rsidRPr="005907D3" w14:paraId="11CCC244" w14:textId="77777777" w:rsidTr="004203CD">
        <w:trPr>
          <w:trHeight w:val="20"/>
        </w:trPr>
        <w:tc>
          <w:tcPr>
            <w:tcW w:w="6237" w:type="dxa"/>
            <w:shd w:val="clear" w:color="auto" w:fill="auto"/>
            <w:vAlign w:val="bottom"/>
          </w:tcPr>
          <w:p w14:paraId="1A25E865"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sz w:val="18"/>
                <w:szCs w:val="24"/>
              </w:rPr>
              <w:t>Net debt – proportionally consolidated</w:t>
            </w:r>
          </w:p>
        </w:tc>
        <w:tc>
          <w:tcPr>
            <w:tcW w:w="567" w:type="dxa"/>
            <w:shd w:val="clear" w:color="auto" w:fill="auto"/>
            <w:vAlign w:val="bottom"/>
          </w:tcPr>
          <w:p w14:paraId="3B51236A"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32C8603E"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4C20EFFB" w14:textId="77777777" w:rsidR="006B43AF" w:rsidRPr="005907D3" w:rsidRDefault="006B43AF" w:rsidP="004203CD">
            <w:pPr>
              <w:pStyle w:val="TablesTColHead"/>
              <w:rPr>
                <w:rFonts w:ascii="IBM Plex Sans Light" w:hAnsi="IBM Plex Sans Light"/>
                <w:sz w:val="16"/>
                <w:szCs w:val="28"/>
              </w:rPr>
            </w:pPr>
            <w:r w:rsidRPr="005907D3">
              <w:rPr>
                <w:rFonts w:ascii="IBM Plex Sans Light" w:hAnsi="IBM Plex Sans Light"/>
                <w:sz w:val="16"/>
                <w:szCs w:val="28"/>
              </w:rPr>
              <w:t>Table 13</w:t>
            </w:r>
          </w:p>
        </w:tc>
        <w:tc>
          <w:tcPr>
            <w:tcW w:w="1134" w:type="dxa"/>
            <w:shd w:val="clear" w:color="auto" w:fill="auto"/>
            <w:vAlign w:val="bottom"/>
          </w:tcPr>
          <w:p w14:paraId="26A358A3"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1,326.3</w:t>
            </w:r>
          </w:p>
        </w:tc>
        <w:tc>
          <w:tcPr>
            <w:tcW w:w="1018" w:type="dxa"/>
            <w:shd w:val="clear" w:color="auto" w:fill="auto"/>
            <w:vAlign w:val="bottom"/>
          </w:tcPr>
          <w:p w14:paraId="638C20A2"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1,732.1</w:t>
            </w:r>
          </w:p>
        </w:tc>
      </w:tr>
      <w:tr w:rsidR="006B43AF" w:rsidRPr="005907D3" w14:paraId="663D790C" w14:textId="77777777" w:rsidTr="004203CD">
        <w:trPr>
          <w:trHeight w:val="20"/>
        </w:trPr>
        <w:tc>
          <w:tcPr>
            <w:tcW w:w="6237" w:type="dxa"/>
            <w:shd w:val="clear" w:color="auto" w:fill="auto"/>
            <w:vAlign w:val="bottom"/>
          </w:tcPr>
          <w:p w14:paraId="77457541" w14:textId="77777777" w:rsidR="006B43AF" w:rsidRPr="007C4035" w:rsidRDefault="006B43AF" w:rsidP="004203CD">
            <w:pPr>
              <w:pStyle w:val="TablesTText"/>
              <w:rPr>
                <w:rFonts w:ascii="IBM Plex Sans Light" w:hAnsi="IBM Plex Sans Light"/>
                <w:sz w:val="18"/>
                <w:szCs w:val="24"/>
              </w:rPr>
            </w:pPr>
            <w:r>
              <w:rPr>
                <w:rFonts w:ascii="IBM Plex Sans Light" w:hAnsi="IBM Plex Sans Light"/>
                <w:sz w:val="18"/>
                <w:szCs w:val="24"/>
              </w:rPr>
              <w:t>Adjustments:</w:t>
            </w:r>
            <w:r w:rsidRPr="007C4035">
              <w:rPr>
                <w:rFonts w:ascii="IBM Plex Sans Light" w:hAnsi="IBM Plex Sans Light"/>
                <w:sz w:val="18"/>
                <w:szCs w:val="24"/>
              </w:rPr>
              <w:t xml:space="preserve"> </w:t>
            </w:r>
          </w:p>
        </w:tc>
        <w:tc>
          <w:tcPr>
            <w:tcW w:w="567" w:type="dxa"/>
            <w:shd w:val="clear" w:color="auto" w:fill="auto"/>
            <w:vAlign w:val="bottom"/>
          </w:tcPr>
          <w:p w14:paraId="3EB0348D"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08DCDB78"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1BDC40B2" w14:textId="77777777" w:rsidR="006B43AF" w:rsidRPr="005907D3" w:rsidRDefault="006B43AF" w:rsidP="004203CD">
            <w:pPr>
              <w:pStyle w:val="TablesTColHead"/>
              <w:rPr>
                <w:rFonts w:ascii="IBM Plex Sans Light" w:hAnsi="IBM Plex Sans Light"/>
                <w:sz w:val="16"/>
                <w:szCs w:val="28"/>
              </w:rPr>
            </w:pPr>
          </w:p>
        </w:tc>
        <w:tc>
          <w:tcPr>
            <w:tcW w:w="1134" w:type="dxa"/>
            <w:shd w:val="clear" w:color="auto" w:fill="auto"/>
            <w:vAlign w:val="bottom"/>
          </w:tcPr>
          <w:p w14:paraId="6BAAA5AF"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p>
        </w:tc>
        <w:tc>
          <w:tcPr>
            <w:tcW w:w="1018" w:type="dxa"/>
            <w:shd w:val="clear" w:color="auto" w:fill="auto"/>
            <w:vAlign w:val="bottom"/>
          </w:tcPr>
          <w:p w14:paraId="0CA30D2F" w14:textId="77777777" w:rsidR="006B43AF" w:rsidRPr="007C4035" w:rsidRDefault="006B43AF" w:rsidP="004203CD">
            <w:pPr>
              <w:pStyle w:val="TablesTFigures"/>
              <w:spacing w:line="240" w:lineRule="exact"/>
              <w:rPr>
                <w:rFonts w:ascii="IBM Plex Sans Light" w:hAnsi="IBM Plex Sans Light"/>
                <w:sz w:val="18"/>
                <w:szCs w:val="24"/>
              </w:rPr>
            </w:pPr>
          </w:p>
        </w:tc>
      </w:tr>
      <w:tr w:rsidR="006B43AF" w:rsidRPr="005907D3" w14:paraId="6D99016F" w14:textId="77777777" w:rsidTr="004203CD">
        <w:trPr>
          <w:trHeight w:val="20"/>
        </w:trPr>
        <w:tc>
          <w:tcPr>
            <w:tcW w:w="6237" w:type="dxa"/>
            <w:shd w:val="clear" w:color="auto" w:fill="auto"/>
            <w:vAlign w:val="bottom"/>
          </w:tcPr>
          <w:p w14:paraId="5F59AB4E"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cs="Arial"/>
                <w:sz w:val="18"/>
                <w:szCs w:val="24"/>
              </w:rPr>
              <w:t xml:space="preserve">– </w:t>
            </w:r>
            <w:r w:rsidRPr="007C4035">
              <w:rPr>
                <w:rFonts w:ascii="IBM Plex Sans Light" w:hAnsi="IBM Plex Sans Light"/>
                <w:sz w:val="18"/>
                <w:szCs w:val="24"/>
              </w:rPr>
              <w:t>Cash held within investments in associates: Italie Deux</w:t>
            </w:r>
          </w:p>
        </w:tc>
        <w:tc>
          <w:tcPr>
            <w:tcW w:w="567" w:type="dxa"/>
            <w:shd w:val="clear" w:color="auto" w:fill="auto"/>
            <w:vAlign w:val="bottom"/>
          </w:tcPr>
          <w:p w14:paraId="0E0DC966"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41F3FD69"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484D7731" w14:textId="77777777" w:rsidR="006B43AF" w:rsidRPr="005907D3" w:rsidRDefault="006B43AF" w:rsidP="004203CD">
            <w:pPr>
              <w:pStyle w:val="TablesTColHead"/>
              <w:rPr>
                <w:rFonts w:ascii="IBM Plex Sans Light" w:hAnsi="IBM Plex Sans Light"/>
                <w:sz w:val="16"/>
                <w:szCs w:val="28"/>
              </w:rPr>
            </w:pPr>
          </w:p>
        </w:tc>
        <w:tc>
          <w:tcPr>
            <w:tcW w:w="1134" w:type="dxa"/>
            <w:shd w:val="clear" w:color="auto" w:fill="auto"/>
            <w:vAlign w:val="bottom"/>
          </w:tcPr>
          <w:p w14:paraId="5EE268AB"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18"/>
              </w:rPr>
              <w:t>–</w:t>
            </w:r>
          </w:p>
        </w:tc>
        <w:tc>
          <w:tcPr>
            <w:tcW w:w="1018" w:type="dxa"/>
            <w:shd w:val="clear" w:color="auto" w:fill="auto"/>
            <w:vAlign w:val="bottom"/>
          </w:tcPr>
          <w:p w14:paraId="2ED6481B"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6.8</w:t>
            </w:r>
          </w:p>
        </w:tc>
      </w:tr>
      <w:tr w:rsidR="006B43AF" w:rsidRPr="005907D3" w14:paraId="6768F839" w14:textId="77777777" w:rsidTr="004203CD">
        <w:trPr>
          <w:trHeight w:val="20"/>
        </w:trPr>
        <w:tc>
          <w:tcPr>
            <w:tcW w:w="6237" w:type="dxa"/>
            <w:shd w:val="clear" w:color="auto" w:fill="auto"/>
            <w:vAlign w:val="bottom"/>
          </w:tcPr>
          <w:p w14:paraId="21D8E00F"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cs="Arial"/>
                <w:sz w:val="18"/>
                <w:szCs w:val="24"/>
              </w:rPr>
              <w:t>– C</w:t>
            </w:r>
            <w:r w:rsidRPr="007C4035">
              <w:rPr>
                <w:rFonts w:ascii="IBM Plex Sans Light" w:hAnsi="IBM Plex Sans Light"/>
                <w:sz w:val="18"/>
                <w:szCs w:val="24"/>
              </w:rPr>
              <w:t>ash held within investments in encumbered joint ventures</w:t>
            </w:r>
          </w:p>
        </w:tc>
        <w:tc>
          <w:tcPr>
            <w:tcW w:w="567" w:type="dxa"/>
            <w:shd w:val="clear" w:color="auto" w:fill="auto"/>
            <w:vAlign w:val="bottom"/>
          </w:tcPr>
          <w:p w14:paraId="1818661C"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7B11FEA9"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7C6385F6" w14:textId="77777777" w:rsidR="006B43AF" w:rsidRPr="005907D3" w:rsidRDefault="006B43AF" w:rsidP="004203CD">
            <w:pPr>
              <w:pStyle w:val="TablesTColHead"/>
              <w:rPr>
                <w:rFonts w:ascii="IBM Plex Sans Light" w:hAnsi="IBM Plex Sans Light"/>
                <w:sz w:val="16"/>
                <w:szCs w:val="28"/>
                <w:highlight w:val="yellow"/>
              </w:rPr>
            </w:pPr>
            <w:r w:rsidRPr="00956DEC">
              <w:rPr>
                <w:rFonts w:ascii="IBM Plex Sans Light" w:hAnsi="IBM Plex Sans Light"/>
                <w:sz w:val="16"/>
                <w:szCs w:val="28"/>
              </w:rPr>
              <w:t>*</w:t>
            </w:r>
          </w:p>
        </w:tc>
        <w:tc>
          <w:tcPr>
            <w:tcW w:w="1134" w:type="dxa"/>
            <w:shd w:val="clear" w:color="auto" w:fill="auto"/>
            <w:vAlign w:val="bottom"/>
          </w:tcPr>
          <w:p w14:paraId="11173637"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39.4</w:t>
            </w:r>
          </w:p>
        </w:tc>
        <w:tc>
          <w:tcPr>
            <w:tcW w:w="1018" w:type="dxa"/>
            <w:shd w:val="clear" w:color="auto" w:fill="auto"/>
            <w:vAlign w:val="bottom"/>
          </w:tcPr>
          <w:p w14:paraId="42879B98"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50.8</w:t>
            </w:r>
          </w:p>
        </w:tc>
      </w:tr>
      <w:tr w:rsidR="006B43AF" w:rsidRPr="005907D3" w14:paraId="1BCD2068" w14:textId="77777777" w:rsidTr="004203CD">
        <w:trPr>
          <w:trHeight w:val="20"/>
        </w:trPr>
        <w:tc>
          <w:tcPr>
            <w:tcW w:w="6237" w:type="dxa"/>
            <w:shd w:val="clear" w:color="auto" w:fill="auto"/>
            <w:vAlign w:val="bottom"/>
          </w:tcPr>
          <w:p w14:paraId="41079306"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cs="Arial"/>
                <w:sz w:val="18"/>
                <w:szCs w:val="24"/>
              </w:rPr>
              <w:t>– U</w:t>
            </w:r>
            <w:r w:rsidRPr="007C4035">
              <w:rPr>
                <w:rFonts w:ascii="IBM Plex Sans Light" w:hAnsi="IBM Plex Sans Light"/>
                <w:sz w:val="18"/>
                <w:szCs w:val="24"/>
              </w:rPr>
              <w:t>namortised borrowing costs – Group</w:t>
            </w:r>
          </w:p>
        </w:tc>
        <w:tc>
          <w:tcPr>
            <w:tcW w:w="567" w:type="dxa"/>
            <w:shd w:val="clear" w:color="auto" w:fill="auto"/>
            <w:vAlign w:val="bottom"/>
          </w:tcPr>
          <w:p w14:paraId="5AA031BB" w14:textId="77777777" w:rsidR="006B43AF" w:rsidRPr="005907D3" w:rsidRDefault="006B43AF" w:rsidP="004203CD">
            <w:pPr>
              <w:pStyle w:val="TablesTText"/>
              <w:jc w:val="center"/>
              <w:rPr>
                <w:rFonts w:ascii="IBM Plex Sans Light" w:hAnsi="IBM Plex Sans Light"/>
              </w:rPr>
            </w:pPr>
          </w:p>
        </w:tc>
        <w:tc>
          <w:tcPr>
            <w:tcW w:w="284" w:type="dxa"/>
            <w:shd w:val="clear" w:color="auto" w:fill="auto"/>
            <w:vAlign w:val="bottom"/>
          </w:tcPr>
          <w:p w14:paraId="4EA0C9FE" w14:textId="77777777" w:rsidR="006B43AF" w:rsidRPr="005907D3" w:rsidRDefault="006B43AF" w:rsidP="004203CD">
            <w:pPr>
              <w:pStyle w:val="TablesTText"/>
              <w:jc w:val="center"/>
              <w:rPr>
                <w:rFonts w:ascii="IBM Plex Sans Light" w:hAnsi="IBM Plex Sans Light"/>
              </w:rPr>
            </w:pPr>
          </w:p>
        </w:tc>
        <w:tc>
          <w:tcPr>
            <w:tcW w:w="709" w:type="dxa"/>
            <w:shd w:val="clear" w:color="auto" w:fill="auto"/>
            <w:vAlign w:val="bottom"/>
          </w:tcPr>
          <w:p w14:paraId="0972072B"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shd w:val="clear" w:color="auto" w:fill="auto"/>
            <w:vAlign w:val="bottom"/>
          </w:tcPr>
          <w:p w14:paraId="7689B3B1"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18.4</w:t>
            </w:r>
          </w:p>
        </w:tc>
        <w:tc>
          <w:tcPr>
            <w:tcW w:w="1018" w:type="dxa"/>
            <w:shd w:val="clear" w:color="auto" w:fill="auto"/>
            <w:vAlign w:val="bottom"/>
          </w:tcPr>
          <w:p w14:paraId="1BBF7A8C"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15.9</w:t>
            </w:r>
          </w:p>
        </w:tc>
      </w:tr>
      <w:tr w:rsidR="006B43AF" w:rsidRPr="005907D3" w14:paraId="5410D98C" w14:textId="77777777" w:rsidTr="004203CD">
        <w:trPr>
          <w:trHeight w:val="66"/>
        </w:trPr>
        <w:tc>
          <w:tcPr>
            <w:tcW w:w="6237" w:type="dxa"/>
            <w:tcBorders>
              <w:bottom w:val="single" w:sz="2" w:space="0" w:color="3D7FE0" w:themeColor="accent1"/>
            </w:tcBorders>
            <w:shd w:val="clear" w:color="auto" w:fill="auto"/>
            <w:vAlign w:val="bottom"/>
          </w:tcPr>
          <w:p w14:paraId="2760FD90" w14:textId="77777777" w:rsidR="006B43AF" w:rsidRPr="007C4035" w:rsidRDefault="006B43AF" w:rsidP="004203CD">
            <w:pPr>
              <w:pStyle w:val="TablesTText"/>
              <w:rPr>
                <w:rFonts w:ascii="IBM Plex Sans Light" w:hAnsi="IBM Plex Sans Light"/>
                <w:sz w:val="18"/>
                <w:szCs w:val="24"/>
              </w:rPr>
            </w:pPr>
            <w:r w:rsidRPr="007C4035">
              <w:rPr>
                <w:rFonts w:ascii="IBM Plex Sans Light" w:hAnsi="IBM Plex Sans Light" w:cs="Arial"/>
                <w:sz w:val="18"/>
                <w:szCs w:val="24"/>
              </w:rPr>
              <w:t>– E</w:t>
            </w:r>
            <w:r w:rsidRPr="007C4035">
              <w:rPr>
                <w:rFonts w:ascii="IBM Plex Sans Light" w:hAnsi="IBM Plex Sans Light"/>
                <w:sz w:val="18"/>
                <w:szCs w:val="24"/>
              </w:rPr>
              <w:t>ncumbered debt</w:t>
            </w:r>
          </w:p>
        </w:tc>
        <w:tc>
          <w:tcPr>
            <w:tcW w:w="567" w:type="dxa"/>
            <w:tcBorders>
              <w:bottom w:val="single" w:sz="2" w:space="0" w:color="3D7FE0" w:themeColor="accent1"/>
            </w:tcBorders>
            <w:shd w:val="clear" w:color="auto" w:fill="auto"/>
            <w:vAlign w:val="bottom"/>
          </w:tcPr>
          <w:p w14:paraId="4EEC579A" w14:textId="77777777" w:rsidR="006B43AF" w:rsidRPr="005907D3" w:rsidRDefault="006B43AF" w:rsidP="004203CD">
            <w:pPr>
              <w:pStyle w:val="TablesTText"/>
              <w:jc w:val="center"/>
              <w:rPr>
                <w:rFonts w:ascii="IBM Plex Sans Light" w:hAnsi="IBM Plex Sans Light"/>
              </w:rPr>
            </w:pPr>
          </w:p>
        </w:tc>
        <w:tc>
          <w:tcPr>
            <w:tcW w:w="284" w:type="dxa"/>
            <w:tcBorders>
              <w:bottom w:val="single" w:sz="2" w:space="0" w:color="3D7FE0" w:themeColor="accent1"/>
            </w:tcBorders>
            <w:shd w:val="clear" w:color="auto" w:fill="auto"/>
            <w:vAlign w:val="bottom"/>
          </w:tcPr>
          <w:p w14:paraId="5BE98410" w14:textId="77777777" w:rsidR="006B43AF" w:rsidRPr="005907D3" w:rsidRDefault="006B43AF" w:rsidP="004203CD">
            <w:pPr>
              <w:pStyle w:val="TablesTText"/>
              <w:jc w:val="center"/>
              <w:rPr>
                <w:rFonts w:ascii="IBM Plex Sans Light" w:hAnsi="IBM Plex Sans Light"/>
              </w:rPr>
            </w:pPr>
          </w:p>
        </w:tc>
        <w:tc>
          <w:tcPr>
            <w:tcW w:w="709" w:type="dxa"/>
            <w:tcBorders>
              <w:bottom w:val="single" w:sz="2" w:space="0" w:color="3D7FE0" w:themeColor="accent1"/>
            </w:tcBorders>
            <w:shd w:val="clear" w:color="auto" w:fill="auto"/>
            <w:vAlign w:val="bottom"/>
          </w:tcPr>
          <w:p w14:paraId="287C40D7" w14:textId="77777777" w:rsidR="006B43AF" w:rsidRPr="005907D3" w:rsidRDefault="006B43AF" w:rsidP="004203CD">
            <w:pPr>
              <w:pStyle w:val="TablesTColHead"/>
              <w:rPr>
                <w:rFonts w:ascii="IBM Plex Sans Light" w:hAnsi="IBM Plex Sans Light"/>
                <w:sz w:val="16"/>
                <w:szCs w:val="28"/>
              </w:rPr>
            </w:pPr>
            <w:r w:rsidRPr="005907D3">
              <w:rPr>
                <w:rFonts w:ascii="IBM Plex Sans Light" w:hAnsi="IBM Plex Sans Light"/>
                <w:sz w:val="16"/>
                <w:szCs w:val="28"/>
              </w:rPr>
              <w:t>*</w:t>
            </w:r>
          </w:p>
        </w:tc>
        <w:tc>
          <w:tcPr>
            <w:tcW w:w="1134" w:type="dxa"/>
            <w:tcBorders>
              <w:bottom w:val="single" w:sz="2" w:space="0" w:color="3D7FE0" w:themeColor="accent1"/>
            </w:tcBorders>
            <w:shd w:val="clear" w:color="auto" w:fill="auto"/>
            <w:vAlign w:val="bottom"/>
          </w:tcPr>
          <w:p w14:paraId="41D04894" w14:textId="77777777" w:rsidR="006B43AF" w:rsidRPr="000730CB" w:rsidRDefault="006B43AF" w:rsidP="004203CD">
            <w:pPr>
              <w:pStyle w:val="TablesTFigureBracket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(260.2)</w:t>
            </w:r>
          </w:p>
        </w:tc>
        <w:tc>
          <w:tcPr>
            <w:tcW w:w="1018" w:type="dxa"/>
            <w:tcBorders>
              <w:bottom w:val="single" w:sz="2" w:space="0" w:color="3D7FE0" w:themeColor="accent1"/>
            </w:tcBorders>
            <w:shd w:val="clear" w:color="auto" w:fill="auto"/>
            <w:vAlign w:val="bottom"/>
          </w:tcPr>
          <w:p w14:paraId="6E7D32C0" w14:textId="77777777" w:rsidR="006B43AF" w:rsidRPr="007C4035" w:rsidRDefault="006B43AF" w:rsidP="004203CD">
            <w:pPr>
              <w:pStyle w:val="TablesTFigureBrackets"/>
              <w:spacing w:line="240" w:lineRule="exact"/>
              <w:rPr>
                <w:rFonts w:ascii="IBM Plex Sans Light" w:hAnsi="IBM Plex Sans Light"/>
                <w:sz w:val="18"/>
                <w:szCs w:val="24"/>
              </w:rPr>
            </w:pPr>
            <w:r>
              <w:rPr>
                <w:rFonts w:ascii="IBM Plex Sans Light" w:hAnsi="IBM Plex Sans Light"/>
                <w:sz w:val="18"/>
                <w:szCs w:val="24"/>
              </w:rPr>
              <w:t>(392.3)</w:t>
            </w:r>
          </w:p>
        </w:tc>
      </w:tr>
      <w:tr w:rsidR="006B43AF" w:rsidRPr="005907D3" w14:paraId="5C11306A" w14:textId="77777777" w:rsidTr="004203CD">
        <w:trPr>
          <w:trHeight w:val="104"/>
        </w:trPr>
        <w:tc>
          <w:tcPr>
            <w:tcW w:w="6237" w:type="dxa"/>
            <w:tcBorders>
              <w:top w:val="single" w:sz="2" w:space="0" w:color="3D7FE0" w:themeColor="accent1"/>
              <w:bottom w:val="single" w:sz="2" w:space="0" w:color="3D7FE0" w:themeColor="accent1"/>
            </w:tcBorders>
            <w:shd w:val="clear" w:color="auto" w:fill="auto"/>
            <w:vAlign w:val="bottom"/>
          </w:tcPr>
          <w:p w14:paraId="2576BBFC" w14:textId="77777777" w:rsidR="006B43AF" w:rsidRPr="007C4035" w:rsidRDefault="006B43AF" w:rsidP="004203CD">
            <w:pPr>
              <w:pStyle w:val="TablesTText"/>
              <w:spacing w:line="240" w:lineRule="exact"/>
              <w:rPr>
                <w:rFonts w:ascii="IBM Plex Sans Light" w:hAnsi="IBM Plex Sans Light"/>
                <w:b/>
                <w:sz w:val="18"/>
                <w:szCs w:val="24"/>
              </w:rPr>
            </w:pPr>
            <w:r w:rsidRPr="007C4035">
              <w:rPr>
                <w:rFonts w:ascii="IBM Plex Sans Light" w:hAnsi="IBM Plex Sans Light"/>
                <w:b/>
                <w:sz w:val="18"/>
                <w:szCs w:val="24"/>
              </w:rPr>
              <w:t xml:space="preserve">Total unsecured debt </w:t>
            </w:r>
          </w:p>
        </w:tc>
        <w:tc>
          <w:tcPr>
            <w:tcW w:w="567" w:type="dxa"/>
            <w:tcBorders>
              <w:top w:val="single" w:sz="2" w:space="0" w:color="3D7FE0" w:themeColor="accent1"/>
              <w:bottom w:val="single" w:sz="2" w:space="0" w:color="3D7FE0" w:themeColor="accent1"/>
            </w:tcBorders>
            <w:shd w:val="clear" w:color="auto" w:fill="auto"/>
            <w:vAlign w:val="bottom"/>
          </w:tcPr>
          <w:p w14:paraId="57166A25" w14:textId="77777777" w:rsidR="006B43AF" w:rsidRPr="005907D3" w:rsidRDefault="006B43AF" w:rsidP="004203CD">
            <w:pPr>
              <w:pStyle w:val="TablesTText"/>
              <w:spacing w:line="240" w:lineRule="exact"/>
              <w:jc w:val="center"/>
              <w:rPr>
                <w:rFonts w:ascii="IBM Plex Sans Light" w:hAnsi="IBM Plex Sans Light"/>
                <w:b/>
              </w:rPr>
            </w:pPr>
            <w:r>
              <w:rPr>
                <w:rFonts w:ascii="IBM Plex Sans Light" w:hAnsi="IBM Plex Sans Light"/>
                <w:b/>
              </w:rPr>
              <w:t>B</w:t>
            </w:r>
          </w:p>
        </w:tc>
        <w:tc>
          <w:tcPr>
            <w:tcW w:w="284" w:type="dxa"/>
            <w:tcBorders>
              <w:top w:val="single" w:sz="2" w:space="0" w:color="3D7FE0" w:themeColor="accent1"/>
              <w:bottom w:val="single" w:sz="2" w:space="0" w:color="3D7FE0" w:themeColor="accent1"/>
            </w:tcBorders>
            <w:shd w:val="clear" w:color="auto" w:fill="auto"/>
            <w:vAlign w:val="bottom"/>
          </w:tcPr>
          <w:p w14:paraId="11F2DEBE" w14:textId="77777777" w:rsidR="006B43AF" w:rsidRPr="005907D3" w:rsidRDefault="006B43AF" w:rsidP="004203CD">
            <w:pPr>
              <w:pStyle w:val="TablesTText"/>
              <w:spacing w:line="240" w:lineRule="exact"/>
              <w:jc w:val="center"/>
              <w:rPr>
                <w:rFonts w:ascii="IBM Plex Sans Light" w:hAnsi="IBM Plex Sans Light"/>
                <w:b/>
              </w:rPr>
            </w:pPr>
          </w:p>
        </w:tc>
        <w:tc>
          <w:tcPr>
            <w:tcW w:w="709" w:type="dxa"/>
            <w:tcBorders>
              <w:top w:val="single" w:sz="2" w:space="0" w:color="3D7FE0" w:themeColor="accent1"/>
              <w:bottom w:val="single" w:sz="2" w:space="0" w:color="3D7FE0" w:themeColor="accent1"/>
            </w:tcBorders>
            <w:shd w:val="clear" w:color="auto" w:fill="auto"/>
            <w:vAlign w:val="bottom"/>
          </w:tcPr>
          <w:p w14:paraId="2D57D593" w14:textId="77777777" w:rsidR="006B43AF" w:rsidRPr="005907D3" w:rsidRDefault="006B43AF" w:rsidP="004203CD">
            <w:pPr>
              <w:pStyle w:val="TablesTColHead"/>
              <w:rPr>
                <w:rFonts w:ascii="IBM Plex Sans Light" w:hAnsi="IBM Plex Sans Light"/>
                <w:b/>
                <w:sz w:val="16"/>
                <w:szCs w:val="28"/>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1DA924DF"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1,123.9</w:t>
            </w:r>
          </w:p>
        </w:tc>
        <w:tc>
          <w:tcPr>
            <w:tcW w:w="1018" w:type="dxa"/>
            <w:tcBorders>
              <w:top w:val="single" w:sz="2" w:space="0" w:color="3D7FE0" w:themeColor="accent1"/>
              <w:bottom w:val="single" w:sz="2" w:space="0" w:color="3D7FE0" w:themeColor="accent1"/>
            </w:tcBorders>
            <w:shd w:val="clear" w:color="auto" w:fill="auto"/>
            <w:vAlign w:val="bottom"/>
          </w:tcPr>
          <w:p w14:paraId="7CF848E3" w14:textId="77777777" w:rsidR="006B43AF" w:rsidRPr="007C4035" w:rsidRDefault="006B43AF" w:rsidP="004203CD">
            <w:pPr>
              <w:pStyle w:val="TablesTFigures"/>
              <w:spacing w:line="240" w:lineRule="exact"/>
              <w:rPr>
                <w:rFonts w:ascii="IBM Plex Sans Light" w:hAnsi="IBM Plex Sans Light"/>
                <w:sz w:val="18"/>
                <w:szCs w:val="24"/>
              </w:rPr>
            </w:pPr>
            <w:r>
              <w:rPr>
                <w:rFonts w:ascii="IBM Plex Sans Light" w:hAnsi="IBM Plex Sans Light"/>
                <w:sz w:val="18"/>
                <w:szCs w:val="24"/>
              </w:rPr>
              <w:t>1,413.3</w:t>
            </w:r>
          </w:p>
        </w:tc>
      </w:tr>
      <w:tr w:rsidR="006B43AF" w:rsidRPr="005907D3" w14:paraId="6724B5C6" w14:textId="77777777" w:rsidTr="004203CD">
        <w:trPr>
          <w:trHeight w:val="20"/>
        </w:trPr>
        <w:tc>
          <w:tcPr>
            <w:tcW w:w="6237" w:type="dxa"/>
            <w:tcBorders>
              <w:top w:val="single" w:sz="2" w:space="0" w:color="3D7FE0" w:themeColor="accent1"/>
              <w:bottom w:val="single" w:sz="2" w:space="0" w:color="3D7FE0" w:themeColor="accent1"/>
            </w:tcBorders>
            <w:shd w:val="clear" w:color="auto" w:fill="auto"/>
            <w:vAlign w:val="bottom"/>
          </w:tcPr>
          <w:p w14:paraId="1A7B2767" w14:textId="77777777" w:rsidR="006B43AF" w:rsidRPr="007C4035" w:rsidRDefault="006B43AF" w:rsidP="004203CD">
            <w:pPr>
              <w:pStyle w:val="TablesTTextBold"/>
              <w:rPr>
                <w:rFonts w:ascii="IBM Plex Sans Light" w:hAnsi="IBM Plex Sans Light"/>
                <w:sz w:val="18"/>
                <w:szCs w:val="24"/>
              </w:rPr>
            </w:pPr>
          </w:p>
        </w:tc>
        <w:tc>
          <w:tcPr>
            <w:tcW w:w="567" w:type="dxa"/>
            <w:tcBorders>
              <w:top w:val="single" w:sz="2" w:space="0" w:color="3D7FE0" w:themeColor="accent1"/>
              <w:bottom w:val="single" w:sz="2" w:space="0" w:color="3D7FE0" w:themeColor="accent1"/>
            </w:tcBorders>
            <w:shd w:val="clear" w:color="auto" w:fill="auto"/>
            <w:vAlign w:val="bottom"/>
          </w:tcPr>
          <w:p w14:paraId="01A36C8B" w14:textId="77777777" w:rsidR="006B43AF" w:rsidRPr="005907D3" w:rsidRDefault="006B43AF" w:rsidP="004203CD">
            <w:pPr>
              <w:pStyle w:val="TablesTTextBold"/>
              <w:jc w:val="center"/>
              <w:rPr>
                <w:rFonts w:ascii="IBM Plex Sans Light" w:hAnsi="IBM Plex Sans Light"/>
              </w:rPr>
            </w:pPr>
          </w:p>
        </w:tc>
        <w:tc>
          <w:tcPr>
            <w:tcW w:w="284" w:type="dxa"/>
            <w:tcBorders>
              <w:top w:val="single" w:sz="2" w:space="0" w:color="3D7FE0" w:themeColor="accent1"/>
              <w:bottom w:val="single" w:sz="2" w:space="0" w:color="3D7FE0" w:themeColor="accent1"/>
            </w:tcBorders>
            <w:shd w:val="clear" w:color="auto" w:fill="auto"/>
            <w:vAlign w:val="bottom"/>
          </w:tcPr>
          <w:p w14:paraId="7587C6F7" w14:textId="77777777" w:rsidR="006B43AF" w:rsidRPr="005907D3" w:rsidRDefault="006B43AF" w:rsidP="004203CD">
            <w:pPr>
              <w:pStyle w:val="TablesTTextBold"/>
              <w:jc w:val="center"/>
              <w:rPr>
                <w:rFonts w:ascii="IBM Plex Sans Light" w:hAnsi="IBM Plex Sans Light"/>
              </w:rPr>
            </w:pPr>
          </w:p>
        </w:tc>
        <w:tc>
          <w:tcPr>
            <w:tcW w:w="709" w:type="dxa"/>
            <w:tcBorders>
              <w:top w:val="single" w:sz="2" w:space="0" w:color="3D7FE0" w:themeColor="accent1"/>
              <w:bottom w:val="single" w:sz="2" w:space="0" w:color="3D7FE0" w:themeColor="accent1"/>
            </w:tcBorders>
            <w:shd w:val="clear" w:color="auto" w:fill="auto"/>
            <w:vAlign w:val="bottom"/>
          </w:tcPr>
          <w:p w14:paraId="74E8F3F4" w14:textId="77777777" w:rsidR="006B43AF" w:rsidRPr="005907D3" w:rsidRDefault="006B43AF" w:rsidP="004203CD">
            <w:pPr>
              <w:pStyle w:val="TablesTColHead"/>
              <w:rPr>
                <w:rFonts w:ascii="IBM Plex Sans Light" w:hAnsi="IBM Plex Sans Light"/>
                <w:sz w:val="16"/>
                <w:szCs w:val="28"/>
                <w:highlight w:val="yellow"/>
              </w:rPr>
            </w:pPr>
          </w:p>
        </w:tc>
        <w:tc>
          <w:tcPr>
            <w:tcW w:w="1134" w:type="dxa"/>
            <w:tcBorders>
              <w:top w:val="single" w:sz="2" w:space="0" w:color="3D7FE0" w:themeColor="accent1"/>
              <w:bottom w:val="single" w:sz="2" w:space="0" w:color="3D7FE0" w:themeColor="accent1"/>
            </w:tcBorders>
            <w:shd w:val="clear" w:color="auto" w:fill="auto"/>
            <w:vAlign w:val="bottom"/>
          </w:tcPr>
          <w:p w14:paraId="27E3D78C"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p>
        </w:tc>
        <w:tc>
          <w:tcPr>
            <w:tcW w:w="1018" w:type="dxa"/>
            <w:tcBorders>
              <w:top w:val="single" w:sz="2" w:space="0" w:color="3D7FE0" w:themeColor="accent1"/>
              <w:bottom w:val="single" w:sz="2" w:space="0" w:color="3D7FE0" w:themeColor="accent1"/>
            </w:tcBorders>
            <w:shd w:val="clear" w:color="auto" w:fill="auto"/>
            <w:vAlign w:val="bottom"/>
          </w:tcPr>
          <w:p w14:paraId="6AD0CBBB" w14:textId="77777777" w:rsidR="006B43AF" w:rsidRPr="007C4035" w:rsidRDefault="006B43AF" w:rsidP="004203CD">
            <w:pPr>
              <w:pStyle w:val="TablesTFigures"/>
              <w:spacing w:line="240" w:lineRule="exact"/>
              <w:rPr>
                <w:rFonts w:ascii="IBM Plex Sans Light" w:hAnsi="IBM Plex Sans Light"/>
                <w:sz w:val="18"/>
                <w:szCs w:val="24"/>
              </w:rPr>
            </w:pPr>
          </w:p>
        </w:tc>
      </w:tr>
      <w:tr w:rsidR="006B43AF" w:rsidRPr="005907D3" w14:paraId="2178E772" w14:textId="77777777" w:rsidTr="004203CD">
        <w:trPr>
          <w:trHeight w:val="20"/>
        </w:trPr>
        <w:tc>
          <w:tcPr>
            <w:tcW w:w="6237" w:type="dxa"/>
            <w:tcBorders>
              <w:top w:val="single" w:sz="2" w:space="0" w:color="3D7FE0" w:themeColor="accent1"/>
              <w:bottom w:val="single" w:sz="8" w:space="0" w:color="3D7FE0" w:themeColor="accent1"/>
            </w:tcBorders>
            <w:shd w:val="clear" w:color="auto" w:fill="auto"/>
            <w:vAlign w:val="bottom"/>
          </w:tcPr>
          <w:p w14:paraId="065E5C0D" w14:textId="77777777" w:rsidR="006B43AF" w:rsidRPr="007C4035" w:rsidRDefault="006B43AF" w:rsidP="004203CD">
            <w:pPr>
              <w:pStyle w:val="TablesTText"/>
              <w:spacing w:line="240" w:lineRule="exact"/>
              <w:rPr>
                <w:rFonts w:ascii="IBM Plex Sans Light" w:hAnsi="IBM Plex Sans Light"/>
                <w:b/>
                <w:sz w:val="18"/>
                <w:szCs w:val="24"/>
              </w:rPr>
            </w:pPr>
            <w:r w:rsidRPr="007C4035">
              <w:rPr>
                <w:rFonts w:ascii="IBM Plex Sans Light" w:hAnsi="IBM Plex Sans Light"/>
                <w:b/>
                <w:sz w:val="18"/>
                <w:szCs w:val="24"/>
              </w:rPr>
              <w:t xml:space="preserve">Unencumbered asset ratio </w:t>
            </w:r>
          </w:p>
        </w:tc>
        <w:tc>
          <w:tcPr>
            <w:tcW w:w="567" w:type="dxa"/>
            <w:tcBorders>
              <w:top w:val="single" w:sz="2" w:space="0" w:color="3D7FE0" w:themeColor="accent1"/>
              <w:bottom w:val="single" w:sz="8" w:space="0" w:color="3D7FE0" w:themeColor="accent1"/>
            </w:tcBorders>
            <w:shd w:val="clear" w:color="auto" w:fill="auto"/>
            <w:vAlign w:val="bottom"/>
          </w:tcPr>
          <w:p w14:paraId="6CFE2082" w14:textId="77777777" w:rsidR="006B43AF" w:rsidRPr="005907D3" w:rsidRDefault="006B43AF" w:rsidP="004203CD">
            <w:pPr>
              <w:pStyle w:val="TablesTText"/>
              <w:spacing w:line="240" w:lineRule="exact"/>
              <w:jc w:val="center"/>
              <w:rPr>
                <w:rFonts w:ascii="IBM Plex Sans Light" w:hAnsi="IBM Plex Sans Light"/>
                <w:b/>
              </w:rPr>
            </w:pPr>
            <w:r>
              <w:rPr>
                <w:rFonts w:ascii="IBM Plex Sans Light" w:hAnsi="IBM Plex Sans Light"/>
                <w:b/>
              </w:rPr>
              <w:t>A/B</w:t>
            </w:r>
          </w:p>
        </w:tc>
        <w:tc>
          <w:tcPr>
            <w:tcW w:w="284" w:type="dxa"/>
            <w:tcBorders>
              <w:top w:val="single" w:sz="2" w:space="0" w:color="3D7FE0" w:themeColor="accent1"/>
              <w:bottom w:val="single" w:sz="8" w:space="0" w:color="3D7FE0" w:themeColor="accent1"/>
            </w:tcBorders>
            <w:shd w:val="clear" w:color="auto" w:fill="auto"/>
            <w:vAlign w:val="bottom"/>
          </w:tcPr>
          <w:p w14:paraId="6C32077F" w14:textId="77777777" w:rsidR="006B43AF" w:rsidRPr="005907D3" w:rsidRDefault="006B43AF" w:rsidP="004203CD">
            <w:pPr>
              <w:pStyle w:val="TablesTText"/>
              <w:spacing w:line="240" w:lineRule="exact"/>
              <w:jc w:val="center"/>
              <w:rPr>
                <w:rFonts w:ascii="IBM Plex Sans Light" w:hAnsi="IBM Plex Sans Light"/>
                <w:b/>
              </w:rPr>
            </w:pPr>
          </w:p>
        </w:tc>
        <w:tc>
          <w:tcPr>
            <w:tcW w:w="709" w:type="dxa"/>
            <w:tcBorders>
              <w:top w:val="single" w:sz="2" w:space="0" w:color="3D7FE0" w:themeColor="accent1"/>
              <w:bottom w:val="single" w:sz="8" w:space="0" w:color="3D7FE0" w:themeColor="accent1"/>
            </w:tcBorders>
            <w:shd w:val="clear" w:color="auto" w:fill="auto"/>
            <w:vAlign w:val="bottom"/>
          </w:tcPr>
          <w:p w14:paraId="56567F1B" w14:textId="77777777" w:rsidR="006B43AF" w:rsidRPr="005907D3" w:rsidRDefault="006B43AF" w:rsidP="004203CD">
            <w:pPr>
              <w:pStyle w:val="TablesTColHead"/>
              <w:rPr>
                <w:rFonts w:ascii="IBM Plex Sans Light" w:hAnsi="IBM Plex Sans Light"/>
                <w:b/>
                <w:highlight w:val="yellow"/>
              </w:rPr>
            </w:pPr>
          </w:p>
        </w:tc>
        <w:tc>
          <w:tcPr>
            <w:tcW w:w="1134" w:type="dxa"/>
            <w:tcBorders>
              <w:top w:val="single" w:sz="2" w:space="0" w:color="3D7FE0" w:themeColor="accent1"/>
              <w:bottom w:val="single" w:sz="8" w:space="0" w:color="3D7FE0" w:themeColor="accent1"/>
            </w:tcBorders>
            <w:shd w:val="clear" w:color="auto" w:fill="auto"/>
            <w:vAlign w:val="bottom"/>
          </w:tcPr>
          <w:p w14:paraId="4F572545" w14:textId="77777777" w:rsidR="006B43AF" w:rsidRPr="000730CB" w:rsidRDefault="006B43AF" w:rsidP="004203CD">
            <w:pPr>
              <w:pStyle w:val="TablesTFigures"/>
              <w:spacing w:line="240" w:lineRule="exact"/>
              <w:rPr>
                <w:rFonts w:ascii="IBM Plex Sans Medium" w:hAnsi="IBM Plex Sans Medium"/>
                <w:b/>
                <w:bCs/>
                <w:color w:val="3D7FE0" w:themeColor="accent1"/>
                <w:sz w:val="18"/>
                <w:szCs w:val="24"/>
              </w:rPr>
            </w:pPr>
            <w:r w:rsidRPr="000730CB">
              <w:rPr>
                <w:rFonts w:ascii="IBM Plex Sans Medium" w:hAnsi="IBM Plex Sans Medium"/>
                <w:b/>
                <w:bCs/>
                <w:color w:val="3D7FE0" w:themeColor="accent1"/>
                <w:sz w:val="18"/>
                <w:szCs w:val="24"/>
              </w:rPr>
              <w:t>2.04x</w:t>
            </w:r>
          </w:p>
        </w:tc>
        <w:tc>
          <w:tcPr>
            <w:tcW w:w="1018" w:type="dxa"/>
            <w:tcBorders>
              <w:top w:val="single" w:sz="2" w:space="0" w:color="3D7FE0" w:themeColor="accent1"/>
              <w:bottom w:val="single" w:sz="8" w:space="0" w:color="3D7FE0" w:themeColor="accent1"/>
            </w:tcBorders>
            <w:shd w:val="clear" w:color="auto" w:fill="auto"/>
            <w:vAlign w:val="bottom"/>
          </w:tcPr>
          <w:p w14:paraId="5D3DA893" w14:textId="77777777" w:rsidR="006B43AF" w:rsidRPr="007C4035" w:rsidRDefault="006B43AF" w:rsidP="004203CD">
            <w:pPr>
              <w:pStyle w:val="TablesTFigures"/>
              <w:spacing w:line="240" w:lineRule="exact"/>
              <w:rPr>
                <w:rFonts w:ascii="IBM Plex Sans Light" w:hAnsi="IBM Plex Sans Light"/>
                <w:sz w:val="18"/>
                <w:szCs w:val="24"/>
              </w:rPr>
            </w:pPr>
            <w:r w:rsidRPr="007C4035">
              <w:rPr>
                <w:rFonts w:ascii="IBM Plex Sans Light" w:hAnsi="IBM Plex Sans Light"/>
                <w:sz w:val="18"/>
                <w:szCs w:val="24"/>
              </w:rPr>
              <w:t>1.</w:t>
            </w:r>
            <w:r>
              <w:rPr>
                <w:rFonts w:ascii="IBM Plex Sans Light" w:hAnsi="IBM Plex Sans Light"/>
                <w:sz w:val="18"/>
                <w:szCs w:val="24"/>
              </w:rPr>
              <w:t>7</w:t>
            </w:r>
            <w:r w:rsidRPr="007C4035">
              <w:rPr>
                <w:rFonts w:ascii="IBM Plex Sans Light" w:hAnsi="IBM Plex Sans Light"/>
                <w:sz w:val="18"/>
                <w:szCs w:val="24"/>
              </w:rPr>
              <w:t>4x</w:t>
            </w:r>
          </w:p>
        </w:tc>
      </w:tr>
    </w:tbl>
    <w:p w14:paraId="3653C44D" w14:textId="77777777" w:rsidR="006B43AF" w:rsidRPr="005907D3" w:rsidRDefault="006B43AF" w:rsidP="006B43AF">
      <w:pPr>
        <w:pStyle w:val="Footnotes"/>
        <w:ind w:left="284" w:hanging="284"/>
        <w:rPr>
          <w:rFonts w:ascii="IBM Plex Sans Light" w:hAnsi="IBM Plex Sans Light"/>
          <w:sz w:val="16"/>
          <w:szCs w:val="22"/>
        </w:rPr>
      </w:pPr>
      <w:r w:rsidRPr="005907D3">
        <w:rPr>
          <w:rFonts w:ascii="IBM Plex Sans Light" w:hAnsi="IBM Plex Sans Light"/>
          <w:sz w:val="16"/>
          <w:szCs w:val="22"/>
        </w:rPr>
        <w:t xml:space="preserve">* </w:t>
      </w:r>
      <w:r>
        <w:rPr>
          <w:rFonts w:ascii="IBM Plex Sans Light" w:hAnsi="IBM Plex Sans Light"/>
          <w:sz w:val="16"/>
          <w:szCs w:val="22"/>
        </w:rPr>
        <w:t xml:space="preserve"> </w:t>
      </w:r>
      <w:r>
        <w:rPr>
          <w:rFonts w:ascii="IBM Plex Sans Light" w:hAnsi="IBM Plex Sans Light"/>
          <w:sz w:val="16"/>
          <w:szCs w:val="22"/>
        </w:rPr>
        <w:tab/>
      </w:r>
      <w:r w:rsidRPr="005134FF">
        <w:rPr>
          <w:rFonts w:ascii="IBM Plex Sans Light" w:hAnsi="IBM Plex Sans Light"/>
          <w:sz w:val="16"/>
          <w:szCs w:val="22"/>
        </w:rPr>
        <w:t>At 31 December 2023 encumbered assets and debt relate to Dundrum. At 31 December 2022 they also included Highcross and O’Parinor where the lenders took control of the secured properties in 2023 at which point the derecognised the assets and liabilities of these entities.</w:t>
      </w:r>
    </w:p>
    <w:p w14:paraId="469E872D" w14:textId="77777777" w:rsidR="006B43AF" w:rsidRDefault="006B43AF" w:rsidP="006B43AF">
      <w:pPr>
        <w:tabs>
          <w:tab w:val="left" w:pos="2329"/>
        </w:tabs>
        <w:rPr>
          <w:rFonts w:ascii="IBM Plex Sans Light" w:hAnsi="IBM Plex Sans Light"/>
        </w:rPr>
      </w:pPr>
    </w:p>
    <w:p w14:paraId="360F2010" w14:textId="77777777" w:rsidR="006B43AF" w:rsidRPr="00280504"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Cs w:val="22"/>
        </w:rPr>
      </w:pPr>
      <w:r>
        <w:rPr>
          <w:rFonts w:ascii="IBM Plex Sans Medium" w:eastAsia="Yu Gothic Light" w:hAnsi="IBM Plex Sans Medium"/>
          <w:b/>
          <w:color w:val="3D7FE0" w:themeColor="accent1"/>
          <w:spacing w:val="0"/>
          <w:szCs w:val="22"/>
        </w:rPr>
        <w:t>EPRA LTV Metric</w:t>
      </w:r>
    </w:p>
    <w:p w14:paraId="7D4DE737" w14:textId="77777777" w:rsidR="006B43AF" w:rsidRPr="00280504" w:rsidRDefault="006B43AF" w:rsidP="006B43AF">
      <w:pPr>
        <w:rPr>
          <w:rFonts w:ascii="IBM Plex Sans Light" w:hAnsi="IBM Plex Sans Light"/>
          <w:b/>
        </w:rPr>
      </w:pPr>
      <w:r w:rsidRPr="00280504">
        <w:rPr>
          <w:rFonts w:ascii="IBM Plex Sans Light" w:hAnsi="IBM Plex Sans Light"/>
          <w:b/>
        </w:rPr>
        <w:t>Table 2</w:t>
      </w:r>
      <w:r>
        <w:rPr>
          <w:rFonts w:ascii="IBM Plex Sans Light" w:hAnsi="IBM Plex Sans Light"/>
          <w:b/>
        </w:rPr>
        <w:t>1</w:t>
      </w:r>
    </w:p>
    <w:p w14:paraId="30AC2E47" w14:textId="77777777" w:rsidR="006B43AF" w:rsidRDefault="006B43AF" w:rsidP="006B43AF">
      <w:pPr>
        <w:spacing w:after="0" w:line="240" w:lineRule="auto"/>
        <w:rPr>
          <w:rFonts w:ascii="IBM Plex Sans Light" w:hAnsi="IBM Plex Sans Light"/>
        </w:rPr>
      </w:pPr>
    </w:p>
    <w:tbl>
      <w:tblPr>
        <w:tblW w:w="9809" w:type="dxa"/>
        <w:tblLayout w:type="fixed"/>
        <w:tblCellMar>
          <w:left w:w="0" w:type="dxa"/>
          <w:right w:w="0" w:type="dxa"/>
        </w:tblCellMar>
        <w:tblLook w:val="04A0" w:firstRow="1" w:lastRow="0" w:firstColumn="1" w:lastColumn="0" w:noHBand="0" w:noVBand="1"/>
      </w:tblPr>
      <w:tblGrid>
        <w:gridCol w:w="3240"/>
        <w:gridCol w:w="323"/>
        <w:gridCol w:w="589"/>
        <w:gridCol w:w="1131"/>
        <w:gridCol w:w="1131"/>
        <w:gridCol w:w="1131"/>
        <w:gridCol w:w="1131"/>
        <w:gridCol w:w="1133"/>
      </w:tblGrid>
      <w:tr w:rsidR="006B43AF" w:rsidRPr="005907D3" w14:paraId="0283BE31" w14:textId="77777777" w:rsidTr="004203CD">
        <w:trPr>
          <w:trHeight w:val="22"/>
        </w:trPr>
        <w:tc>
          <w:tcPr>
            <w:tcW w:w="3240" w:type="dxa"/>
            <w:tcBorders>
              <w:bottom w:val="single" w:sz="2" w:space="0" w:color="3D7FE0" w:themeColor="accent1"/>
            </w:tcBorders>
            <w:shd w:val="clear" w:color="auto" w:fill="auto"/>
            <w:vAlign w:val="bottom"/>
          </w:tcPr>
          <w:p w14:paraId="58783907" w14:textId="77777777" w:rsidR="006B43AF" w:rsidRPr="005907D3" w:rsidRDefault="006B43AF" w:rsidP="004203CD">
            <w:pPr>
              <w:pStyle w:val="TablesTColHead"/>
              <w:rPr>
                <w:rFonts w:ascii="IBM Plex Sans Light" w:hAnsi="IBM Plex Sans Light"/>
              </w:rPr>
            </w:pPr>
          </w:p>
        </w:tc>
        <w:tc>
          <w:tcPr>
            <w:tcW w:w="323" w:type="dxa"/>
            <w:tcBorders>
              <w:bottom w:val="single" w:sz="2" w:space="0" w:color="3D7FE0" w:themeColor="accent1"/>
            </w:tcBorders>
            <w:shd w:val="clear" w:color="auto" w:fill="auto"/>
            <w:vAlign w:val="bottom"/>
          </w:tcPr>
          <w:p w14:paraId="17309637" w14:textId="77777777" w:rsidR="006B43AF" w:rsidRPr="005907D3" w:rsidRDefault="006B43AF" w:rsidP="004203CD">
            <w:pPr>
              <w:pStyle w:val="TablesTColHead"/>
              <w:rPr>
                <w:rFonts w:ascii="IBM Plex Sans Light" w:hAnsi="IBM Plex Sans Light"/>
              </w:rPr>
            </w:pPr>
          </w:p>
        </w:tc>
        <w:tc>
          <w:tcPr>
            <w:tcW w:w="589" w:type="dxa"/>
            <w:tcBorders>
              <w:bottom w:val="single" w:sz="2" w:space="0" w:color="3D7FE0" w:themeColor="accent1"/>
            </w:tcBorders>
            <w:shd w:val="clear" w:color="auto" w:fill="auto"/>
            <w:vAlign w:val="bottom"/>
          </w:tcPr>
          <w:p w14:paraId="3DFF7933" w14:textId="77777777" w:rsidR="006B43AF" w:rsidRPr="005907D3" w:rsidRDefault="006B43AF" w:rsidP="004203CD">
            <w:pPr>
              <w:pStyle w:val="TablesTColHead"/>
              <w:rPr>
                <w:rFonts w:ascii="IBM Plex Sans Light" w:hAnsi="IBM Plex Sans Light"/>
              </w:rPr>
            </w:pPr>
          </w:p>
        </w:tc>
        <w:tc>
          <w:tcPr>
            <w:tcW w:w="1131" w:type="dxa"/>
            <w:tcBorders>
              <w:bottom w:val="single" w:sz="2" w:space="0" w:color="3D7FE0" w:themeColor="accent1"/>
            </w:tcBorders>
          </w:tcPr>
          <w:p w14:paraId="0CD95C5E" w14:textId="77777777" w:rsidR="006B43AF" w:rsidRPr="00F3112C" w:rsidRDefault="006B43AF" w:rsidP="004203CD">
            <w:pPr>
              <w:pStyle w:val="TablesTColHeadsBold"/>
              <w:rPr>
                <w:rFonts w:ascii="IBM Plex Sans Light" w:hAnsi="IBM Plex Sans Light"/>
                <w:bCs/>
                <w:color w:val="3D7FE0" w:themeColor="accent1"/>
                <w:sz w:val="14"/>
                <w:szCs w:val="24"/>
              </w:rPr>
            </w:pPr>
          </w:p>
        </w:tc>
        <w:tc>
          <w:tcPr>
            <w:tcW w:w="1131" w:type="dxa"/>
            <w:tcBorders>
              <w:bottom w:val="single" w:sz="2" w:space="0" w:color="3D7FE0" w:themeColor="accent1"/>
            </w:tcBorders>
          </w:tcPr>
          <w:p w14:paraId="09B93687" w14:textId="77777777" w:rsidR="006B43AF" w:rsidRPr="00F3112C" w:rsidRDefault="006B43AF" w:rsidP="004203CD">
            <w:pPr>
              <w:pStyle w:val="TablesTColHeadsBold"/>
              <w:rPr>
                <w:rFonts w:ascii="IBM Plex Sans Light" w:hAnsi="IBM Plex Sans Light"/>
                <w:bCs/>
                <w:color w:val="3D7FE0" w:themeColor="accent1"/>
                <w:sz w:val="14"/>
                <w:szCs w:val="24"/>
              </w:rPr>
            </w:pPr>
          </w:p>
        </w:tc>
        <w:tc>
          <w:tcPr>
            <w:tcW w:w="3395" w:type="dxa"/>
            <w:gridSpan w:val="3"/>
            <w:tcBorders>
              <w:bottom w:val="single" w:sz="2" w:space="0" w:color="3D7FE0" w:themeColor="accent1"/>
            </w:tcBorders>
            <w:shd w:val="clear" w:color="auto" w:fill="auto"/>
            <w:vAlign w:val="bottom"/>
          </w:tcPr>
          <w:p w14:paraId="216D8B3F" w14:textId="77777777" w:rsidR="006B43AF" w:rsidRPr="005907D3" w:rsidRDefault="006B43AF" w:rsidP="004203CD">
            <w:pPr>
              <w:pStyle w:val="TablesTColHeadsBold"/>
              <w:rPr>
                <w:rFonts w:ascii="IBM Plex Sans Light" w:hAnsi="IBM Plex Sans Light"/>
                <w:color w:val="3D7FE0" w:themeColor="accent1"/>
              </w:rPr>
            </w:pPr>
            <w:r w:rsidRPr="00F3112C">
              <w:rPr>
                <w:rFonts w:ascii="IBM Plex Sans Light" w:hAnsi="IBM Plex Sans Light"/>
                <w:bCs/>
                <w:color w:val="3D7FE0" w:themeColor="accent1"/>
                <w:sz w:val="14"/>
                <w:szCs w:val="24"/>
              </w:rPr>
              <w:t>2023</w:t>
            </w:r>
          </w:p>
        </w:tc>
      </w:tr>
      <w:tr w:rsidR="006B43AF" w:rsidRPr="005907D3" w14:paraId="208AE1BD" w14:textId="77777777" w:rsidTr="004203CD">
        <w:trPr>
          <w:trHeight w:val="22"/>
        </w:trPr>
        <w:tc>
          <w:tcPr>
            <w:tcW w:w="3240" w:type="dxa"/>
            <w:tcBorders>
              <w:top w:val="single" w:sz="2" w:space="0" w:color="3D7FE0" w:themeColor="accent1"/>
              <w:bottom w:val="single" w:sz="2" w:space="0" w:color="3D7FE0" w:themeColor="accent1"/>
            </w:tcBorders>
            <w:shd w:val="clear" w:color="auto" w:fill="auto"/>
            <w:vAlign w:val="bottom"/>
          </w:tcPr>
          <w:p w14:paraId="13240A29" w14:textId="77777777" w:rsidR="006B43AF" w:rsidRPr="005907D3" w:rsidRDefault="006B43AF" w:rsidP="004203CD">
            <w:pPr>
              <w:rPr>
                <w:rFonts w:ascii="IBM Plex Sans Light" w:hAnsi="IBM Plex Sans Light"/>
              </w:rPr>
            </w:pPr>
            <w:r w:rsidRPr="005907D3">
              <w:rPr>
                <w:rFonts w:ascii="IBM Plex Sans Light" w:hAnsi="IBM Plex Sans Light"/>
                <w:b/>
                <w:bCs/>
                <w:color w:val="3D7FE0" w:themeColor="accent1"/>
                <w:sz w:val="14"/>
              </w:rPr>
              <w:t xml:space="preserve">Proportionally consolidated </w:t>
            </w:r>
          </w:p>
        </w:tc>
        <w:tc>
          <w:tcPr>
            <w:tcW w:w="323" w:type="dxa"/>
            <w:tcBorders>
              <w:top w:val="single" w:sz="2" w:space="0" w:color="3D7FE0" w:themeColor="accent1"/>
              <w:bottom w:val="single" w:sz="2" w:space="0" w:color="3D7FE0" w:themeColor="accent1"/>
            </w:tcBorders>
            <w:shd w:val="clear" w:color="auto" w:fill="auto"/>
            <w:vAlign w:val="bottom"/>
          </w:tcPr>
          <w:p w14:paraId="68A68EC0" w14:textId="77777777" w:rsidR="006B43AF" w:rsidRPr="005907D3" w:rsidRDefault="006B43AF" w:rsidP="004203CD">
            <w:pPr>
              <w:rPr>
                <w:rFonts w:ascii="IBM Plex Sans Light" w:hAnsi="IBM Plex Sans Light"/>
              </w:rPr>
            </w:pPr>
          </w:p>
        </w:tc>
        <w:tc>
          <w:tcPr>
            <w:tcW w:w="589" w:type="dxa"/>
            <w:tcBorders>
              <w:top w:val="single" w:sz="2" w:space="0" w:color="3D7FE0" w:themeColor="accent1"/>
              <w:bottom w:val="single" w:sz="2" w:space="0" w:color="3D7FE0" w:themeColor="accent1"/>
            </w:tcBorders>
            <w:shd w:val="clear" w:color="auto" w:fill="auto"/>
            <w:vAlign w:val="bottom"/>
          </w:tcPr>
          <w:p w14:paraId="58BF5402" w14:textId="77777777" w:rsidR="006B43AF" w:rsidRPr="005907D3" w:rsidRDefault="006B43AF" w:rsidP="004203CD">
            <w:pPr>
              <w:rPr>
                <w:rFonts w:ascii="IBM Plex Sans Light" w:hAnsi="IBM Plex Sans Light"/>
              </w:rPr>
            </w:pPr>
          </w:p>
        </w:tc>
        <w:tc>
          <w:tcPr>
            <w:tcW w:w="1131" w:type="dxa"/>
            <w:tcBorders>
              <w:top w:val="single" w:sz="2" w:space="0" w:color="3D7FE0" w:themeColor="accent1"/>
              <w:bottom w:val="single" w:sz="2" w:space="0" w:color="3D7FE0" w:themeColor="accent1"/>
            </w:tcBorders>
            <w:shd w:val="clear" w:color="auto" w:fill="auto"/>
            <w:vAlign w:val="bottom"/>
          </w:tcPr>
          <w:p w14:paraId="3F06BF05"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Reported </w:t>
            </w:r>
            <w:r w:rsidRPr="005907D3">
              <w:rPr>
                <w:rFonts w:ascii="IBM Plex Sans Light" w:hAnsi="IBM Plex Sans Light"/>
                <w:color w:val="3D7FE0" w:themeColor="accent1"/>
                <w:sz w:val="14"/>
                <w:szCs w:val="24"/>
              </w:rPr>
              <w:br/>
              <w:t>Group</w:t>
            </w:r>
            <w:r w:rsidRPr="005907D3">
              <w:rPr>
                <w:rFonts w:ascii="IBM Plex Sans Light" w:hAnsi="IBM Plex Sans Light"/>
                <w:color w:val="3D7FE0" w:themeColor="accent1"/>
                <w:sz w:val="14"/>
                <w:szCs w:val="24"/>
              </w:rPr>
              <w:br/>
              <w:t>£m</w:t>
            </w:r>
          </w:p>
        </w:tc>
        <w:tc>
          <w:tcPr>
            <w:tcW w:w="1131" w:type="dxa"/>
            <w:tcBorders>
              <w:top w:val="single" w:sz="2" w:space="0" w:color="3D7FE0" w:themeColor="accent1"/>
              <w:bottom w:val="single" w:sz="2" w:space="0" w:color="3D7FE0" w:themeColor="accent1"/>
            </w:tcBorders>
            <w:shd w:val="clear" w:color="auto" w:fill="auto"/>
            <w:vAlign w:val="bottom"/>
          </w:tcPr>
          <w:p w14:paraId="00DB0B0C"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 xml:space="preserve">Share of </w:t>
            </w:r>
            <w:r w:rsidRPr="005907D3">
              <w:rPr>
                <w:rFonts w:ascii="IBM Plex Sans Light" w:hAnsi="IBM Plex Sans Light"/>
                <w:color w:val="3D7FE0" w:themeColor="accent1"/>
                <w:sz w:val="14"/>
                <w:szCs w:val="24"/>
              </w:rPr>
              <w:br/>
            </w:r>
            <w:r>
              <w:rPr>
                <w:rFonts w:ascii="IBM Plex Sans Light" w:hAnsi="IBM Plex Sans Light"/>
                <w:color w:val="3D7FE0" w:themeColor="accent1"/>
                <w:sz w:val="14"/>
                <w:szCs w:val="24"/>
              </w:rPr>
              <w:t>joint ventures</w:t>
            </w:r>
            <w:r w:rsidRPr="005907D3">
              <w:rPr>
                <w:rFonts w:ascii="IBM Plex Sans Light" w:hAnsi="IBM Plex Sans Light"/>
                <w:color w:val="3D7FE0" w:themeColor="accent1"/>
                <w:sz w:val="14"/>
                <w:szCs w:val="24"/>
              </w:rPr>
              <w:br/>
              <w:t>£m</w:t>
            </w:r>
          </w:p>
        </w:tc>
        <w:tc>
          <w:tcPr>
            <w:tcW w:w="1131" w:type="dxa"/>
            <w:tcBorders>
              <w:top w:val="single" w:sz="2" w:space="0" w:color="3D7FE0" w:themeColor="accent1"/>
              <w:bottom w:val="single" w:sz="2" w:space="0" w:color="3D7FE0" w:themeColor="accent1"/>
            </w:tcBorders>
          </w:tcPr>
          <w:p w14:paraId="6E4371DF" w14:textId="77777777" w:rsidR="006B43AF" w:rsidRDefault="006B43AF" w:rsidP="004203CD">
            <w:pPr>
              <w:pStyle w:val="TablesTColHeadsBold"/>
              <w:rPr>
                <w:rFonts w:ascii="IBM Plex Sans Light" w:hAnsi="IBM Plex Sans Light"/>
                <w:color w:val="3D7FE0" w:themeColor="accent1"/>
                <w:sz w:val="14"/>
                <w:szCs w:val="24"/>
              </w:rPr>
            </w:pPr>
          </w:p>
          <w:p w14:paraId="2C745FCA" w14:textId="77777777" w:rsidR="006B43AF" w:rsidRPr="005907D3" w:rsidRDefault="006B43AF" w:rsidP="004203CD">
            <w:pPr>
              <w:pStyle w:val="TablesTColHeadsBold"/>
              <w:rPr>
                <w:rFonts w:ascii="IBM Plex Sans Light" w:hAnsi="IBM Plex Sans Light"/>
                <w:color w:val="3D7FE0" w:themeColor="accent1"/>
                <w:sz w:val="14"/>
                <w:szCs w:val="24"/>
              </w:rPr>
            </w:pPr>
            <w:r>
              <w:rPr>
                <w:rFonts w:ascii="IBM Plex Sans Light" w:hAnsi="IBM Plex Sans Light"/>
                <w:color w:val="3D7FE0" w:themeColor="accent1"/>
                <w:sz w:val="14"/>
                <w:szCs w:val="24"/>
              </w:rPr>
              <w:t>Share of associates £m</w:t>
            </w:r>
          </w:p>
        </w:tc>
        <w:tc>
          <w:tcPr>
            <w:tcW w:w="1131" w:type="dxa"/>
            <w:tcBorders>
              <w:top w:val="single" w:sz="2" w:space="0" w:color="3D7FE0" w:themeColor="accent1"/>
              <w:bottom w:val="single" w:sz="2" w:space="0" w:color="3D7FE0" w:themeColor="accent1"/>
            </w:tcBorders>
          </w:tcPr>
          <w:p w14:paraId="078B9D6E" w14:textId="77777777" w:rsidR="006B43AF" w:rsidRDefault="006B43AF" w:rsidP="004203CD">
            <w:pPr>
              <w:pStyle w:val="TablesTColHeadsBold"/>
              <w:rPr>
                <w:rFonts w:ascii="IBM Plex Sans Light" w:hAnsi="IBM Plex Sans Light"/>
                <w:color w:val="3D7FE0" w:themeColor="accent1"/>
                <w:sz w:val="14"/>
                <w:szCs w:val="24"/>
              </w:rPr>
            </w:pPr>
          </w:p>
          <w:p w14:paraId="12233EA9" w14:textId="77777777" w:rsidR="006B43AF" w:rsidRPr="005907D3" w:rsidRDefault="006B43AF" w:rsidP="004203CD">
            <w:pPr>
              <w:pStyle w:val="TablesTColHeadsBold"/>
              <w:rPr>
                <w:rFonts w:ascii="IBM Plex Sans Light" w:hAnsi="IBM Plex Sans Light"/>
                <w:color w:val="3D7FE0" w:themeColor="accent1"/>
                <w:sz w:val="14"/>
                <w:szCs w:val="24"/>
              </w:rPr>
            </w:pPr>
            <w:r>
              <w:rPr>
                <w:rFonts w:ascii="IBM Plex Sans Light" w:hAnsi="IBM Plex Sans Light"/>
                <w:color w:val="3D7FE0" w:themeColor="accent1"/>
                <w:sz w:val="14"/>
                <w:szCs w:val="24"/>
              </w:rPr>
              <w:t>Non-controlling interests £m</w:t>
            </w:r>
          </w:p>
        </w:tc>
        <w:tc>
          <w:tcPr>
            <w:tcW w:w="1133" w:type="dxa"/>
            <w:tcBorders>
              <w:top w:val="single" w:sz="2" w:space="0" w:color="3D7FE0" w:themeColor="accent1"/>
              <w:bottom w:val="single" w:sz="2" w:space="0" w:color="3D7FE0" w:themeColor="accent1"/>
            </w:tcBorders>
            <w:shd w:val="clear" w:color="auto" w:fill="auto"/>
            <w:vAlign w:val="bottom"/>
          </w:tcPr>
          <w:p w14:paraId="6D27879F" w14:textId="77777777" w:rsidR="006B43AF" w:rsidRPr="005907D3" w:rsidRDefault="006B43AF" w:rsidP="004203CD">
            <w:pPr>
              <w:pStyle w:val="TablesTColHeadsBold"/>
              <w:rPr>
                <w:rFonts w:ascii="IBM Plex Sans Light" w:hAnsi="IBM Plex Sans Light"/>
                <w:color w:val="3D7FE0" w:themeColor="accent1"/>
                <w:sz w:val="14"/>
                <w:szCs w:val="24"/>
              </w:rPr>
            </w:pPr>
            <w:r w:rsidRPr="005907D3">
              <w:rPr>
                <w:rFonts w:ascii="IBM Plex Sans Light" w:hAnsi="IBM Plex Sans Light"/>
                <w:color w:val="3D7FE0" w:themeColor="accent1"/>
                <w:sz w:val="14"/>
                <w:szCs w:val="24"/>
              </w:rPr>
              <w:t>Total</w:t>
            </w:r>
            <w:r w:rsidRPr="005907D3">
              <w:rPr>
                <w:rFonts w:ascii="IBM Plex Sans Light" w:hAnsi="IBM Plex Sans Light"/>
                <w:color w:val="3D7FE0" w:themeColor="accent1"/>
                <w:sz w:val="14"/>
                <w:szCs w:val="24"/>
              </w:rPr>
              <w:br/>
              <w:t>£m</w:t>
            </w:r>
          </w:p>
        </w:tc>
      </w:tr>
      <w:tr w:rsidR="006B43AF" w:rsidRPr="005907D3" w14:paraId="01F168E0" w14:textId="77777777" w:rsidTr="004203CD">
        <w:trPr>
          <w:trHeight w:val="22"/>
        </w:trPr>
        <w:tc>
          <w:tcPr>
            <w:tcW w:w="3240" w:type="dxa"/>
            <w:tcBorders>
              <w:top w:val="single" w:sz="2" w:space="0" w:color="3D7FE0" w:themeColor="accent1"/>
            </w:tcBorders>
            <w:shd w:val="clear" w:color="auto" w:fill="auto"/>
            <w:vAlign w:val="bottom"/>
          </w:tcPr>
          <w:p w14:paraId="0B02D69F"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Include:</w:t>
            </w:r>
          </w:p>
        </w:tc>
        <w:tc>
          <w:tcPr>
            <w:tcW w:w="323" w:type="dxa"/>
            <w:tcBorders>
              <w:top w:val="single" w:sz="2" w:space="0" w:color="3D7FE0" w:themeColor="accent1"/>
            </w:tcBorders>
            <w:shd w:val="clear" w:color="auto" w:fill="auto"/>
            <w:vAlign w:val="bottom"/>
          </w:tcPr>
          <w:p w14:paraId="06F045C4" w14:textId="77777777" w:rsidR="006B43AF" w:rsidRPr="005907D3" w:rsidRDefault="006B43AF" w:rsidP="004203CD">
            <w:pPr>
              <w:pStyle w:val="TablesTText"/>
              <w:rPr>
                <w:rFonts w:ascii="IBM Plex Sans Light" w:hAnsi="IBM Plex Sans Light"/>
                <w:sz w:val="18"/>
                <w:szCs w:val="24"/>
                <w:vertAlign w:val="superscript"/>
              </w:rPr>
            </w:pPr>
          </w:p>
        </w:tc>
        <w:tc>
          <w:tcPr>
            <w:tcW w:w="589" w:type="dxa"/>
            <w:tcBorders>
              <w:top w:val="single" w:sz="2" w:space="0" w:color="3D7FE0" w:themeColor="accent1"/>
            </w:tcBorders>
            <w:shd w:val="clear" w:color="auto" w:fill="auto"/>
            <w:vAlign w:val="bottom"/>
          </w:tcPr>
          <w:p w14:paraId="4AB125ED" w14:textId="77777777" w:rsidR="006B43AF" w:rsidRPr="005907D3" w:rsidRDefault="006B43AF" w:rsidP="004203CD">
            <w:pPr>
              <w:pStyle w:val="TablesTText"/>
              <w:jc w:val="center"/>
              <w:rPr>
                <w:rFonts w:ascii="IBM Plex Sans Light" w:hAnsi="IBM Plex Sans Light"/>
                <w:vertAlign w:val="superscript"/>
              </w:rPr>
            </w:pPr>
          </w:p>
        </w:tc>
        <w:tc>
          <w:tcPr>
            <w:tcW w:w="1131" w:type="dxa"/>
            <w:tcBorders>
              <w:top w:val="single" w:sz="2" w:space="0" w:color="3D7FE0" w:themeColor="accent1"/>
            </w:tcBorders>
            <w:shd w:val="clear" w:color="auto" w:fill="auto"/>
            <w:vAlign w:val="bottom"/>
          </w:tcPr>
          <w:p w14:paraId="0908D802"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shd w:val="clear" w:color="auto" w:fill="auto"/>
            <w:vAlign w:val="bottom"/>
          </w:tcPr>
          <w:p w14:paraId="33536F36"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tcPr>
          <w:p w14:paraId="22DE4415"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tcPr>
          <w:p w14:paraId="43E6AED3"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3" w:type="dxa"/>
            <w:tcBorders>
              <w:top w:val="single" w:sz="2" w:space="0" w:color="3D7FE0" w:themeColor="accent1"/>
            </w:tcBorders>
            <w:shd w:val="clear" w:color="auto" w:fill="auto"/>
            <w:vAlign w:val="bottom"/>
          </w:tcPr>
          <w:p w14:paraId="03CD9C4A"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r>
      <w:tr w:rsidR="006B43AF" w:rsidRPr="005907D3" w14:paraId="39966971" w14:textId="77777777" w:rsidTr="004203CD">
        <w:trPr>
          <w:trHeight w:val="22"/>
        </w:trPr>
        <w:tc>
          <w:tcPr>
            <w:tcW w:w="3240" w:type="dxa"/>
            <w:shd w:val="clear" w:color="auto" w:fill="auto"/>
            <w:vAlign w:val="bottom"/>
          </w:tcPr>
          <w:p w14:paraId="25511060" w14:textId="77777777" w:rsidR="006B43AF" w:rsidRPr="005907D3" w:rsidRDefault="006B43AF" w:rsidP="004203CD">
            <w:pPr>
              <w:pStyle w:val="TablesTText"/>
              <w:rPr>
                <w:rFonts w:ascii="IBM Plex Sans Light" w:hAnsi="IBM Plex Sans Light"/>
                <w:sz w:val="18"/>
                <w:szCs w:val="24"/>
                <w:vertAlign w:val="superscript"/>
              </w:rPr>
            </w:pPr>
            <w:r>
              <w:rPr>
                <w:rFonts w:ascii="IBM Plex Sans Light" w:hAnsi="IBM Plex Sans Light"/>
                <w:sz w:val="18"/>
                <w:szCs w:val="24"/>
              </w:rPr>
              <w:t>Loans</w:t>
            </w:r>
          </w:p>
        </w:tc>
        <w:tc>
          <w:tcPr>
            <w:tcW w:w="323" w:type="dxa"/>
            <w:shd w:val="clear" w:color="auto" w:fill="auto"/>
            <w:vAlign w:val="bottom"/>
          </w:tcPr>
          <w:p w14:paraId="31EDF2CB" w14:textId="77777777" w:rsidR="006B43AF" w:rsidRPr="005907D3" w:rsidRDefault="006B43AF" w:rsidP="004203CD">
            <w:pPr>
              <w:pStyle w:val="TablesTText"/>
              <w:rPr>
                <w:rFonts w:ascii="IBM Plex Sans Light" w:hAnsi="IBM Plex Sans Light"/>
                <w:sz w:val="18"/>
                <w:szCs w:val="24"/>
                <w:vertAlign w:val="superscript"/>
              </w:rPr>
            </w:pPr>
          </w:p>
        </w:tc>
        <w:tc>
          <w:tcPr>
            <w:tcW w:w="589" w:type="dxa"/>
            <w:shd w:val="clear" w:color="auto" w:fill="auto"/>
            <w:vAlign w:val="bottom"/>
          </w:tcPr>
          <w:p w14:paraId="10881DE8" w14:textId="77777777" w:rsidR="006B43AF" w:rsidRPr="005907D3" w:rsidRDefault="006B43AF" w:rsidP="004203CD">
            <w:pPr>
              <w:pStyle w:val="TablesTText"/>
              <w:jc w:val="center"/>
              <w:rPr>
                <w:rFonts w:ascii="IBM Plex Sans Light" w:hAnsi="IBM Plex Sans Light"/>
                <w:vertAlign w:val="superscript"/>
              </w:rPr>
            </w:pPr>
          </w:p>
        </w:tc>
        <w:tc>
          <w:tcPr>
            <w:tcW w:w="1131" w:type="dxa"/>
            <w:shd w:val="clear" w:color="auto" w:fill="auto"/>
            <w:vAlign w:val="bottom"/>
          </w:tcPr>
          <w:p w14:paraId="50EFFDAF"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1,624.5</w:t>
            </w:r>
          </w:p>
        </w:tc>
        <w:tc>
          <w:tcPr>
            <w:tcW w:w="1131" w:type="dxa"/>
            <w:shd w:val="clear" w:color="auto" w:fill="auto"/>
            <w:vAlign w:val="bottom"/>
          </w:tcPr>
          <w:p w14:paraId="21E40974"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260.0</w:t>
            </w:r>
          </w:p>
        </w:tc>
        <w:tc>
          <w:tcPr>
            <w:tcW w:w="1131" w:type="dxa"/>
            <w:vAlign w:val="bottom"/>
          </w:tcPr>
          <w:p w14:paraId="444B69AD"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793.9</w:t>
            </w:r>
          </w:p>
        </w:tc>
        <w:tc>
          <w:tcPr>
            <w:tcW w:w="1131" w:type="dxa"/>
            <w:vAlign w:val="bottom"/>
          </w:tcPr>
          <w:p w14:paraId="1C21F714"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shd w:val="clear" w:color="auto" w:fill="auto"/>
            <w:vAlign w:val="bottom"/>
          </w:tcPr>
          <w:p w14:paraId="5E107CF3"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2,678.4</w:t>
            </w:r>
          </w:p>
        </w:tc>
      </w:tr>
      <w:tr w:rsidR="006B43AF" w:rsidRPr="005907D3" w14:paraId="2ADFC1E7" w14:textId="77777777" w:rsidTr="004203CD">
        <w:trPr>
          <w:trHeight w:val="22"/>
        </w:trPr>
        <w:tc>
          <w:tcPr>
            <w:tcW w:w="3240" w:type="dxa"/>
            <w:shd w:val="clear" w:color="auto" w:fill="auto"/>
            <w:vAlign w:val="bottom"/>
          </w:tcPr>
          <w:p w14:paraId="5A57F4DB" w14:textId="77777777" w:rsidR="006B43AF" w:rsidRPr="005907D3" w:rsidRDefault="006B43AF" w:rsidP="004203CD">
            <w:pPr>
              <w:pStyle w:val="TablesTText"/>
              <w:rPr>
                <w:rFonts w:ascii="IBM Plex Sans Light" w:hAnsi="IBM Plex Sans Light"/>
                <w:sz w:val="18"/>
                <w:szCs w:val="24"/>
              </w:rPr>
            </w:pPr>
            <w:r>
              <w:rPr>
                <w:rFonts w:ascii="IBM Plex Sans Light" w:hAnsi="IBM Plex Sans Light"/>
                <w:sz w:val="18"/>
                <w:szCs w:val="24"/>
              </w:rPr>
              <w:t>Foreign currency derivatives</w:t>
            </w:r>
          </w:p>
        </w:tc>
        <w:tc>
          <w:tcPr>
            <w:tcW w:w="323" w:type="dxa"/>
            <w:shd w:val="clear" w:color="auto" w:fill="auto"/>
            <w:vAlign w:val="bottom"/>
          </w:tcPr>
          <w:p w14:paraId="7B596978"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303020B9" w14:textId="77777777" w:rsidR="006B43AF" w:rsidRPr="005907D3" w:rsidRDefault="006B43AF" w:rsidP="004203CD">
            <w:pPr>
              <w:pStyle w:val="TablesTText"/>
              <w:jc w:val="center"/>
              <w:rPr>
                <w:rFonts w:ascii="IBM Plex Sans Light" w:hAnsi="IBM Plex Sans Light"/>
              </w:rPr>
            </w:pPr>
          </w:p>
        </w:tc>
        <w:tc>
          <w:tcPr>
            <w:tcW w:w="1131" w:type="dxa"/>
            <w:shd w:val="clear" w:color="auto" w:fill="auto"/>
            <w:vAlign w:val="bottom"/>
          </w:tcPr>
          <w:p w14:paraId="41642410"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11.4</w:t>
            </w:r>
          </w:p>
        </w:tc>
        <w:tc>
          <w:tcPr>
            <w:tcW w:w="1131" w:type="dxa"/>
            <w:shd w:val="clear" w:color="auto" w:fill="auto"/>
            <w:vAlign w:val="bottom"/>
          </w:tcPr>
          <w:p w14:paraId="39C83EE6"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1" w:type="dxa"/>
            <w:vAlign w:val="bottom"/>
          </w:tcPr>
          <w:p w14:paraId="5221C32A"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1" w:type="dxa"/>
            <w:vAlign w:val="bottom"/>
          </w:tcPr>
          <w:p w14:paraId="7448F247"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shd w:val="clear" w:color="auto" w:fill="auto"/>
            <w:vAlign w:val="bottom"/>
          </w:tcPr>
          <w:p w14:paraId="2D838DB2"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11.4</w:t>
            </w:r>
          </w:p>
        </w:tc>
      </w:tr>
      <w:tr w:rsidR="006B43AF" w:rsidRPr="005907D3" w14:paraId="06D7FDE2" w14:textId="77777777" w:rsidTr="004203CD">
        <w:trPr>
          <w:trHeight w:val="22"/>
        </w:trPr>
        <w:tc>
          <w:tcPr>
            <w:tcW w:w="3240" w:type="dxa"/>
            <w:shd w:val="clear" w:color="auto" w:fill="auto"/>
            <w:vAlign w:val="bottom"/>
          </w:tcPr>
          <w:p w14:paraId="651E8565" w14:textId="77777777" w:rsidR="006B43AF" w:rsidRPr="005134FF" w:rsidRDefault="006B43AF" w:rsidP="004203CD">
            <w:pPr>
              <w:pStyle w:val="TablesTText"/>
              <w:rPr>
                <w:rFonts w:ascii="IBM Plex Sans Light" w:hAnsi="IBM Plex Sans Light"/>
                <w:sz w:val="18"/>
                <w:szCs w:val="24"/>
                <w:vertAlign w:val="superscript"/>
              </w:rPr>
            </w:pPr>
            <w:r>
              <w:rPr>
                <w:rFonts w:ascii="IBM Plex Sans Light" w:hAnsi="IBM Plex Sans Light"/>
                <w:sz w:val="18"/>
                <w:szCs w:val="24"/>
              </w:rPr>
              <w:t xml:space="preserve">Net </w:t>
            </w:r>
            <w:proofErr w:type="spellStart"/>
            <w:r>
              <w:rPr>
                <w:rFonts w:ascii="IBM Plex Sans Light" w:hAnsi="IBM Plex Sans Light"/>
                <w:sz w:val="18"/>
                <w:szCs w:val="24"/>
              </w:rPr>
              <w:t>payables</w:t>
            </w:r>
            <w:r>
              <w:rPr>
                <w:rFonts w:ascii="IBM Plex Sans Light" w:hAnsi="IBM Plex Sans Light"/>
                <w:sz w:val="18"/>
                <w:szCs w:val="24"/>
                <w:vertAlign w:val="superscript"/>
              </w:rPr>
              <w:t>a</w:t>
            </w:r>
            <w:proofErr w:type="spellEnd"/>
          </w:p>
        </w:tc>
        <w:tc>
          <w:tcPr>
            <w:tcW w:w="323" w:type="dxa"/>
            <w:shd w:val="clear" w:color="auto" w:fill="auto"/>
            <w:vAlign w:val="bottom"/>
          </w:tcPr>
          <w:p w14:paraId="5EF062A9"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4705C79C" w14:textId="77777777" w:rsidR="006B43AF" w:rsidRPr="005907D3" w:rsidRDefault="006B43AF" w:rsidP="004203CD">
            <w:pPr>
              <w:pStyle w:val="TablesTText"/>
              <w:rPr>
                <w:rFonts w:ascii="IBM Plex Sans Light" w:hAnsi="IBM Plex Sans Light"/>
              </w:rPr>
            </w:pPr>
          </w:p>
        </w:tc>
        <w:tc>
          <w:tcPr>
            <w:tcW w:w="1131" w:type="dxa"/>
            <w:shd w:val="clear" w:color="auto" w:fill="auto"/>
            <w:vAlign w:val="bottom"/>
          </w:tcPr>
          <w:p w14:paraId="43C779D2"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87.0</w:t>
            </w:r>
          </w:p>
        </w:tc>
        <w:tc>
          <w:tcPr>
            <w:tcW w:w="1131" w:type="dxa"/>
            <w:shd w:val="clear" w:color="auto" w:fill="auto"/>
            <w:vAlign w:val="bottom"/>
          </w:tcPr>
          <w:p w14:paraId="5699586F"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23.9</w:t>
            </w:r>
          </w:p>
        </w:tc>
        <w:tc>
          <w:tcPr>
            <w:tcW w:w="1131" w:type="dxa"/>
            <w:vAlign w:val="bottom"/>
          </w:tcPr>
          <w:p w14:paraId="53E290C9"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76.4</w:t>
            </w:r>
          </w:p>
        </w:tc>
        <w:tc>
          <w:tcPr>
            <w:tcW w:w="1131" w:type="dxa"/>
            <w:vAlign w:val="bottom"/>
          </w:tcPr>
          <w:p w14:paraId="35D94F87"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shd w:val="clear" w:color="auto" w:fill="auto"/>
            <w:vAlign w:val="bottom"/>
          </w:tcPr>
          <w:p w14:paraId="6CCCC615"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187.3</w:t>
            </w:r>
          </w:p>
        </w:tc>
      </w:tr>
      <w:tr w:rsidR="006B43AF" w:rsidRPr="005907D3" w14:paraId="66DC82E2" w14:textId="77777777" w:rsidTr="004203CD">
        <w:trPr>
          <w:trHeight w:val="22"/>
        </w:trPr>
        <w:tc>
          <w:tcPr>
            <w:tcW w:w="3240" w:type="dxa"/>
            <w:shd w:val="clear" w:color="auto" w:fill="auto"/>
            <w:vAlign w:val="bottom"/>
          </w:tcPr>
          <w:p w14:paraId="27336A18"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Exclude:</w:t>
            </w:r>
          </w:p>
        </w:tc>
        <w:tc>
          <w:tcPr>
            <w:tcW w:w="323" w:type="dxa"/>
            <w:shd w:val="clear" w:color="auto" w:fill="auto"/>
            <w:vAlign w:val="bottom"/>
          </w:tcPr>
          <w:p w14:paraId="7A79EDE3"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32A80F22" w14:textId="77777777" w:rsidR="006B43AF" w:rsidRPr="005907D3" w:rsidRDefault="006B43AF" w:rsidP="004203CD">
            <w:pPr>
              <w:pStyle w:val="TablesTText"/>
              <w:rPr>
                <w:rFonts w:ascii="IBM Plex Sans Light" w:hAnsi="IBM Plex Sans Light"/>
              </w:rPr>
            </w:pPr>
          </w:p>
        </w:tc>
        <w:tc>
          <w:tcPr>
            <w:tcW w:w="1131" w:type="dxa"/>
            <w:shd w:val="clear" w:color="auto" w:fill="auto"/>
            <w:vAlign w:val="bottom"/>
          </w:tcPr>
          <w:p w14:paraId="745953F4" w14:textId="77777777" w:rsidR="006B43AF" w:rsidRPr="00F6452E" w:rsidRDefault="006B43AF" w:rsidP="004203CD">
            <w:pPr>
              <w:pStyle w:val="TablesTFigureBrackets"/>
              <w:spacing w:line="240" w:lineRule="exact"/>
              <w:rPr>
                <w:rFonts w:ascii="IBM Plex Sans Medium" w:hAnsi="IBM Plex Sans Medium"/>
                <w:b/>
                <w:color w:val="3D7FE0" w:themeColor="accent1"/>
                <w:sz w:val="18"/>
                <w:szCs w:val="18"/>
              </w:rPr>
            </w:pPr>
          </w:p>
        </w:tc>
        <w:tc>
          <w:tcPr>
            <w:tcW w:w="1131" w:type="dxa"/>
            <w:shd w:val="clear" w:color="auto" w:fill="auto"/>
            <w:vAlign w:val="bottom"/>
          </w:tcPr>
          <w:p w14:paraId="21F6B838" w14:textId="77777777" w:rsidR="006B43AF" w:rsidRPr="00F6452E" w:rsidRDefault="006B43AF" w:rsidP="004203CD">
            <w:pPr>
              <w:pStyle w:val="TablesTFigures"/>
              <w:spacing w:line="240" w:lineRule="exact"/>
              <w:rPr>
                <w:rFonts w:ascii="IBM Plex Sans Medium" w:hAnsi="IBM Plex Sans Medium"/>
                <w:b/>
                <w:color w:val="3D7FE0" w:themeColor="accent1"/>
                <w:sz w:val="18"/>
                <w:szCs w:val="18"/>
              </w:rPr>
            </w:pPr>
          </w:p>
        </w:tc>
        <w:tc>
          <w:tcPr>
            <w:tcW w:w="1131" w:type="dxa"/>
            <w:vAlign w:val="bottom"/>
          </w:tcPr>
          <w:p w14:paraId="11060A7F" w14:textId="77777777" w:rsidR="006B43AF" w:rsidRPr="00F6452E" w:rsidRDefault="006B43AF" w:rsidP="004203CD">
            <w:pPr>
              <w:pStyle w:val="TablesTFigureBrackets"/>
              <w:spacing w:line="240" w:lineRule="exact"/>
              <w:rPr>
                <w:rFonts w:ascii="IBM Plex Sans Medium" w:hAnsi="IBM Plex Sans Medium"/>
                <w:b/>
                <w:color w:val="3D7FE0" w:themeColor="accent1"/>
                <w:sz w:val="18"/>
                <w:szCs w:val="18"/>
              </w:rPr>
            </w:pPr>
          </w:p>
        </w:tc>
        <w:tc>
          <w:tcPr>
            <w:tcW w:w="1131" w:type="dxa"/>
            <w:vAlign w:val="bottom"/>
          </w:tcPr>
          <w:p w14:paraId="2FCD6EEC"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p>
        </w:tc>
        <w:tc>
          <w:tcPr>
            <w:tcW w:w="1133" w:type="dxa"/>
            <w:shd w:val="clear" w:color="auto" w:fill="auto"/>
            <w:vAlign w:val="bottom"/>
          </w:tcPr>
          <w:p w14:paraId="772523D4"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p>
        </w:tc>
      </w:tr>
      <w:tr w:rsidR="006B43AF" w:rsidRPr="005907D3" w14:paraId="71D5DE82" w14:textId="77777777" w:rsidTr="004203CD">
        <w:trPr>
          <w:trHeight w:val="22"/>
        </w:trPr>
        <w:tc>
          <w:tcPr>
            <w:tcW w:w="3240" w:type="dxa"/>
            <w:tcBorders>
              <w:bottom w:val="single" w:sz="2" w:space="0" w:color="3D7FE0" w:themeColor="accent1"/>
            </w:tcBorders>
            <w:shd w:val="clear" w:color="auto" w:fill="auto"/>
            <w:vAlign w:val="bottom"/>
          </w:tcPr>
          <w:p w14:paraId="34961682" w14:textId="77777777" w:rsidR="006B43AF" w:rsidRPr="005907D3" w:rsidRDefault="006B43AF" w:rsidP="004203CD">
            <w:pPr>
              <w:pStyle w:val="TablesTText"/>
              <w:rPr>
                <w:rFonts w:ascii="IBM Plex Sans Light" w:hAnsi="IBM Plex Sans Light"/>
                <w:sz w:val="18"/>
                <w:szCs w:val="24"/>
              </w:rPr>
            </w:pPr>
            <w:r>
              <w:rPr>
                <w:rFonts w:ascii="IBM Plex Sans Light" w:hAnsi="IBM Plex Sans Light"/>
                <w:sz w:val="18"/>
                <w:szCs w:val="24"/>
              </w:rPr>
              <w:t>Cash and cash equivalents</w:t>
            </w:r>
          </w:p>
        </w:tc>
        <w:tc>
          <w:tcPr>
            <w:tcW w:w="323" w:type="dxa"/>
            <w:tcBorders>
              <w:bottom w:val="single" w:sz="2" w:space="0" w:color="3D7FE0" w:themeColor="accent1"/>
            </w:tcBorders>
            <w:shd w:val="clear" w:color="auto" w:fill="auto"/>
            <w:vAlign w:val="bottom"/>
          </w:tcPr>
          <w:p w14:paraId="7CEA3D1C" w14:textId="77777777" w:rsidR="006B43AF" w:rsidRPr="005907D3" w:rsidRDefault="006B43AF" w:rsidP="004203CD">
            <w:pPr>
              <w:pStyle w:val="TablesTText"/>
              <w:rPr>
                <w:rFonts w:ascii="IBM Plex Sans Light" w:hAnsi="IBM Plex Sans Light"/>
                <w:sz w:val="18"/>
                <w:szCs w:val="24"/>
              </w:rPr>
            </w:pPr>
          </w:p>
        </w:tc>
        <w:tc>
          <w:tcPr>
            <w:tcW w:w="589" w:type="dxa"/>
            <w:tcBorders>
              <w:bottom w:val="single" w:sz="2" w:space="0" w:color="3D7FE0" w:themeColor="accent1"/>
            </w:tcBorders>
            <w:shd w:val="clear" w:color="auto" w:fill="auto"/>
            <w:vAlign w:val="bottom"/>
          </w:tcPr>
          <w:p w14:paraId="41374ABE" w14:textId="77777777" w:rsidR="006B43AF" w:rsidRPr="005907D3" w:rsidRDefault="006B43AF" w:rsidP="004203CD">
            <w:pPr>
              <w:pStyle w:val="TablesTText"/>
              <w:rPr>
                <w:rFonts w:ascii="IBM Plex Sans Light" w:hAnsi="IBM Plex Sans Light"/>
              </w:rPr>
            </w:pPr>
          </w:p>
        </w:tc>
        <w:tc>
          <w:tcPr>
            <w:tcW w:w="1131" w:type="dxa"/>
            <w:tcBorders>
              <w:bottom w:val="single" w:sz="2" w:space="0" w:color="3D7FE0" w:themeColor="accent1"/>
            </w:tcBorders>
            <w:shd w:val="clear" w:color="auto" w:fill="auto"/>
            <w:vAlign w:val="bottom"/>
          </w:tcPr>
          <w:p w14:paraId="013B2056" w14:textId="77777777" w:rsidR="006B43AF" w:rsidRPr="00F6452E" w:rsidRDefault="006B43AF" w:rsidP="004203CD">
            <w:pPr>
              <w:pStyle w:val="TablesTFigureBracket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(472.3)</w:t>
            </w:r>
          </w:p>
        </w:tc>
        <w:tc>
          <w:tcPr>
            <w:tcW w:w="1131" w:type="dxa"/>
            <w:tcBorders>
              <w:bottom w:val="single" w:sz="2" w:space="0" w:color="3D7FE0" w:themeColor="accent1"/>
            </w:tcBorders>
            <w:shd w:val="clear" w:color="auto" w:fill="auto"/>
            <w:vAlign w:val="bottom"/>
          </w:tcPr>
          <w:p w14:paraId="54543764" w14:textId="77777777" w:rsidR="006B43AF" w:rsidRPr="00F6452E" w:rsidRDefault="006B43AF" w:rsidP="00024B10">
            <w:pPr>
              <w:pStyle w:val="TablesTFigureBracket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(97.3)</w:t>
            </w:r>
          </w:p>
        </w:tc>
        <w:tc>
          <w:tcPr>
            <w:tcW w:w="1131" w:type="dxa"/>
            <w:tcBorders>
              <w:bottom w:val="single" w:sz="2" w:space="0" w:color="3D7FE0" w:themeColor="accent1"/>
            </w:tcBorders>
            <w:vAlign w:val="bottom"/>
          </w:tcPr>
          <w:p w14:paraId="3DDDE15A" w14:textId="77777777" w:rsidR="006B43AF" w:rsidRPr="00F6452E" w:rsidRDefault="006B43AF" w:rsidP="004203CD">
            <w:pPr>
              <w:pStyle w:val="TablesTFigureBracket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(64.4)</w:t>
            </w:r>
          </w:p>
        </w:tc>
        <w:tc>
          <w:tcPr>
            <w:tcW w:w="1131" w:type="dxa"/>
            <w:tcBorders>
              <w:bottom w:val="single" w:sz="2" w:space="0" w:color="3D7FE0" w:themeColor="accent1"/>
            </w:tcBorders>
            <w:vAlign w:val="bottom"/>
          </w:tcPr>
          <w:p w14:paraId="041B1FD4"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tcBorders>
              <w:bottom w:val="single" w:sz="2" w:space="0" w:color="3D7FE0" w:themeColor="accent1"/>
            </w:tcBorders>
            <w:shd w:val="clear" w:color="auto" w:fill="auto"/>
            <w:vAlign w:val="bottom"/>
          </w:tcPr>
          <w:p w14:paraId="1FA0AB3C" w14:textId="77777777" w:rsidR="006B43AF" w:rsidRPr="00F6452E" w:rsidRDefault="006B43AF" w:rsidP="004203CD">
            <w:pPr>
              <w:pStyle w:val="TablesTFigureBracket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(634.0)</w:t>
            </w:r>
          </w:p>
        </w:tc>
      </w:tr>
      <w:tr w:rsidR="006B43AF" w:rsidRPr="005907D3" w14:paraId="1873308E" w14:textId="77777777" w:rsidTr="004203CD">
        <w:trPr>
          <w:trHeight w:val="22"/>
        </w:trPr>
        <w:tc>
          <w:tcPr>
            <w:tcW w:w="3240" w:type="dxa"/>
            <w:tcBorders>
              <w:top w:val="single" w:sz="2" w:space="0" w:color="3D7FE0" w:themeColor="accent1"/>
              <w:bottom w:val="single" w:sz="2" w:space="0" w:color="3D7FE0" w:themeColor="accent1"/>
            </w:tcBorders>
            <w:shd w:val="clear" w:color="auto" w:fill="auto"/>
            <w:vAlign w:val="bottom"/>
          </w:tcPr>
          <w:p w14:paraId="34C60688"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Net Debt</w:t>
            </w:r>
          </w:p>
        </w:tc>
        <w:tc>
          <w:tcPr>
            <w:tcW w:w="323" w:type="dxa"/>
            <w:tcBorders>
              <w:top w:val="single" w:sz="2" w:space="0" w:color="3D7FE0" w:themeColor="accent1"/>
              <w:bottom w:val="single" w:sz="2" w:space="0" w:color="3D7FE0" w:themeColor="accent1"/>
            </w:tcBorders>
            <w:shd w:val="clear" w:color="auto" w:fill="auto"/>
            <w:vAlign w:val="bottom"/>
          </w:tcPr>
          <w:p w14:paraId="2BF55910" w14:textId="77777777" w:rsidR="006B43AF" w:rsidRPr="005907D3" w:rsidRDefault="006B43AF" w:rsidP="004203CD">
            <w:pPr>
              <w:pStyle w:val="TablesTText"/>
              <w:rPr>
                <w:rFonts w:ascii="IBM Plex Sans Light" w:hAnsi="IBM Plex Sans Light"/>
                <w:sz w:val="18"/>
                <w:szCs w:val="24"/>
              </w:rPr>
            </w:pPr>
          </w:p>
        </w:tc>
        <w:tc>
          <w:tcPr>
            <w:tcW w:w="589" w:type="dxa"/>
            <w:tcBorders>
              <w:top w:val="single" w:sz="2" w:space="0" w:color="3D7FE0" w:themeColor="accent1"/>
              <w:bottom w:val="single" w:sz="2" w:space="0" w:color="3D7FE0" w:themeColor="accent1"/>
            </w:tcBorders>
            <w:shd w:val="clear" w:color="auto" w:fill="auto"/>
            <w:vAlign w:val="bottom"/>
          </w:tcPr>
          <w:p w14:paraId="7E66837D" w14:textId="77777777" w:rsidR="006B43AF" w:rsidRPr="00F6452E" w:rsidRDefault="006B43AF" w:rsidP="004203CD">
            <w:pPr>
              <w:pStyle w:val="TablesTText"/>
              <w:jc w:val="right"/>
              <w:rPr>
                <w:rFonts w:ascii="IBM Plex Sans Light" w:hAnsi="IBM Plex Sans Light"/>
                <w:b/>
                <w:bCs/>
              </w:rPr>
            </w:pPr>
            <w:r w:rsidRPr="00F6452E">
              <w:rPr>
                <w:rFonts w:ascii="IBM Plex Sans Light" w:hAnsi="IBM Plex Sans Light"/>
                <w:b/>
                <w:bCs/>
              </w:rPr>
              <w:t>A</w:t>
            </w:r>
          </w:p>
        </w:tc>
        <w:tc>
          <w:tcPr>
            <w:tcW w:w="1131" w:type="dxa"/>
            <w:tcBorders>
              <w:top w:val="single" w:sz="2" w:space="0" w:color="3D7FE0" w:themeColor="accent1"/>
              <w:bottom w:val="single" w:sz="2" w:space="0" w:color="3D7FE0" w:themeColor="accent1"/>
            </w:tcBorders>
            <w:shd w:val="clear" w:color="auto" w:fill="auto"/>
            <w:vAlign w:val="bottom"/>
          </w:tcPr>
          <w:p w14:paraId="3DCF59F5"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1,250.6</w:t>
            </w:r>
          </w:p>
        </w:tc>
        <w:tc>
          <w:tcPr>
            <w:tcW w:w="1131" w:type="dxa"/>
            <w:tcBorders>
              <w:top w:val="single" w:sz="2" w:space="0" w:color="3D7FE0" w:themeColor="accent1"/>
              <w:bottom w:val="single" w:sz="2" w:space="0" w:color="3D7FE0" w:themeColor="accent1"/>
            </w:tcBorders>
            <w:shd w:val="clear" w:color="auto" w:fill="auto"/>
            <w:vAlign w:val="bottom"/>
          </w:tcPr>
          <w:p w14:paraId="56BAD61B" w14:textId="77777777" w:rsidR="006B43AF" w:rsidRPr="00F6452E" w:rsidRDefault="006B43AF" w:rsidP="00F82829">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186.6</w:t>
            </w:r>
          </w:p>
        </w:tc>
        <w:tc>
          <w:tcPr>
            <w:tcW w:w="1131" w:type="dxa"/>
            <w:tcBorders>
              <w:top w:val="single" w:sz="2" w:space="0" w:color="3D7FE0" w:themeColor="accent1"/>
              <w:bottom w:val="single" w:sz="2" w:space="0" w:color="3D7FE0" w:themeColor="accent1"/>
            </w:tcBorders>
            <w:vAlign w:val="bottom"/>
          </w:tcPr>
          <w:p w14:paraId="58B4BC4C"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805.9</w:t>
            </w:r>
          </w:p>
        </w:tc>
        <w:tc>
          <w:tcPr>
            <w:tcW w:w="1131" w:type="dxa"/>
            <w:tcBorders>
              <w:top w:val="single" w:sz="2" w:space="0" w:color="3D7FE0" w:themeColor="accent1"/>
              <w:bottom w:val="single" w:sz="2" w:space="0" w:color="3D7FE0" w:themeColor="accent1"/>
            </w:tcBorders>
            <w:vAlign w:val="bottom"/>
          </w:tcPr>
          <w:p w14:paraId="28A89E6E"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tcBorders>
              <w:top w:val="single" w:sz="2" w:space="0" w:color="3D7FE0" w:themeColor="accent1"/>
              <w:bottom w:val="single" w:sz="2" w:space="0" w:color="3D7FE0" w:themeColor="accent1"/>
            </w:tcBorders>
            <w:shd w:val="clear" w:color="auto" w:fill="auto"/>
            <w:vAlign w:val="bottom"/>
          </w:tcPr>
          <w:p w14:paraId="67D2AE3C" w14:textId="2EEE2614"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2,243.</w:t>
            </w:r>
            <w:r w:rsidR="007F605B">
              <w:rPr>
                <w:rFonts w:ascii="IBM Plex Sans Medium" w:hAnsi="IBM Plex Sans Medium"/>
                <w:b/>
                <w:color w:val="3D7FE0" w:themeColor="accent1"/>
                <w:sz w:val="18"/>
                <w:szCs w:val="18"/>
              </w:rPr>
              <w:t>1</w:t>
            </w:r>
          </w:p>
        </w:tc>
      </w:tr>
      <w:tr w:rsidR="006B43AF" w:rsidRPr="005907D3" w14:paraId="3E0664D9" w14:textId="77777777" w:rsidTr="004203CD">
        <w:trPr>
          <w:trHeight w:val="22"/>
        </w:trPr>
        <w:tc>
          <w:tcPr>
            <w:tcW w:w="3240" w:type="dxa"/>
            <w:tcBorders>
              <w:top w:val="single" w:sz="2" w:space="0" w:color="3D7FE0" w:themeColor="accent1"/>
            </w:tcBorders>
            <w:shd w:val="clear" w:color="auto" w:fill="auto"/>
            <w:vAlign w:val="bottom"/>
          </w:tcPr>
          <w:p w14:paraId="161A7BA0"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Include:</w:t>
            </w:r>
          </w:p>
        </w:tc>
        <w:tc>
          <w:tcPr>
            <w:tcW w:w="323" w:type="dxa"/>
            <w:tcBorders>
              <w:top w:val="single" w:sz="2" w:space="0" w:color="3D7FE0" w:themeColor="accent1"/>
            </w:tcBorders>
            <w:shd w:val="clear" w:color="auto" w:fill="auto"/>
            <w:vAlign w:val="bottom"/>
          </w:tcPr>
          <w:p w14:paraId="110559E8" w14:textId="77777777" w:rsidR="006B43AF" w:rsidRPr="005907D3" w:rsidRDefault="006B43AF" w:rsidP="004203CD">
            <w:pPr>
              <w:pStyle w:val="TablesTText"/>
              <w:rPr>
                <w:rFonts w:ascii="IBM Plex Sans Light" w:hAnsi="IBM Plex Sans Light"/>
                <w:sz w:val="18"/>
                <w:szCs w:val="24"/>
              </w:rPr>
            </w:pPr>
          </w:p>
        </w:tc>
        <w:tc>
          <w:tcPr>
            <w:tcW w:w="589" w:type="dxa"/>
            <w:tcBorders>
              <w:top w:val="single" w:sz="2" w:space="0" w:color="3D7FE0" w:themeColor="accent1"/>
            </w:tcBorders>
            <w:shd w:val="clear" w:color="auto" w:fill="auto"/>
            <w:vAlign w:val="bottom"/>
          </w:tcPr>
          <w:p w14:paraId="1556D647" w14:textId="77777777" w:rsidR="006B43AF" w:rsidRPr="00F6452E" w:rsidRDefault="006B43AF" w:rsidP="004203CD">
            <w:pPr>
              <w:pStyle w:val="TablesTText"/>
              <w:rPr>
                <w:rFonts w:ascii="IBM Plex Sans Light" w:hAnsi="IBM Plex Sans Light"/>
                <w:b/>
                <w:bCs/>
              </w:rPr>
            </w:pPr>
          </w:p>
        </w:tc>
        <w:tc>
          <w:tcPr>
            <w:tcW w:w="1131" w:type="dxa"/>
            <w:tcBorders>
              <w:top w:val="single" w:sz="2" w:space="0" w:color="3D7FE0" w:themeColor="accent1"/>
            </w:tcBorders>
            <w:shd w:val="clear" w:color="auto" w:fill="auto"/>
            <w:vAlign w:val="bottom"/>
          </w:tcPr>
          <w:p w14:paraId="3F670FB9"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shd w:val="clear" w:color="auto" w:fill="auto"/>
            <w:vAlign w:val="bottom"/>
          </w:tcPr>
          <w:p w14:paraId="6FD3134E"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tcPr>
          <w:p w14:paraId="0F989525"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tcPr>
          <w:p w14:paraId="6B9E5F04" w14:textId="77777777" w:rsidR="006B43AF" w:rsidRPr="00024B10" w:rsidRDefault="006B43AF" w:rsidP="00024B10">
            <w:pPr>
              <w:pStyle w:val="TablesTFigures"/>
              <w:spacing w:line="240" w:lineRule="exact"/>
              <w:rPr>
                <w:rFonts w:ascii="IBM Plex Sans Medium" w:hAnsi="IBM Plex Sans Medium"/>
                <w:b/>
                <w:color w:val="3D7FE0" w:themeColor="accent1"/>
                <w:sz w:val="18"/>
                <w:szCs w:val="18"/>
              </w:rPr>
            </w:pPr>
          </w:p>
        </w:tc>
        <w:tc>
          <w:tcPr>
            <w:tcW w:w="1133" w:type="dxa"/>
            <w:tcBorders>
              <w:top w:val="single" w:sz="2" w:space="0" w:color="3D7FE0" w:themeColor="accent1"/>
            </w:tcBorders>
            <w:shd w:val="clear" w:color="auto" w:fill="auto"/>
            <w:vAlign w:val="bottom"/>
          </w:tcPr>
          <w:p w14:paraId="35B00D99"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r>
      <w:tr w:rsidR="006B43AF" w:rsidRPr="005907D3" w14:paraId="29393A76" w14:textId="77777777" w:rsidTr="004203CD">
        <w:trPr>
          <w:trHeight w:val="22"/>
        </w:trPr>
        <w:tc>
          <w:tcPr>
            <w:tcW w:w="3240" w:type="dxa"/>
            <w:tcBorders>
              <w:bottom w:val="single" w:sz="2" w:space="0" w:color="3D7FE0" w:themeColor="accent1"/>
            </w:tcBorders>
            <w:shd w:val="clear" w:color="auto" w:fill="auto"/>
            <w:vAlign w:val="bottom"/>
          </w:tcPr>
          <w:p w14:paraId="1657B080" w14:textId="77777777" w:rsidR="006B43AF" w:rsidRPr="005907D3" w:rsidRDefault="006B43AF" w:rsidP="004203CD">
            <w:pPr>
              <w:pStyle w:val="TablesTText"/>
              <w:rPr>
                <w:rFonts w:ascii="IBM Plex Sans Light" w:hAnsi="IBM Plex Sans Light"/>
                <w:sz w:val="18"/>
                <w:szCs w:val="24"/>
              </w:rPr>
            </w:pPr>
            <w:r>
              <w:rPr>
                <w:rFonts w:ascii="IBM Plex Sans Light" w:hAnsi="IBM Plex Sans Light"/>
                <w:sz w:val="18"/>
                <w:szCs w:val="24"/>
              </w:rPr>
              <w:t>Investment properties at fair value</w:t>
            </w:r>
          </w:p>
        </w:tc>
        <w:tc>
          <w:tcPr>
            <w:tcW w:w="323" w:type="dxa"/>
            <w:tcBorders>
              <w:bottom w:val="single" w:sz="2" w:space="0" w:color="3D7FE0" w:themeColor="accent1"/>
            </w:tcBorders>
            <w:shd w:val="clear" w:color="auto" w:fill="auto"/>
            <w:vAlign w:val="bottom"/>
          </w:tcPr>
          <w:p w14:paraId="3D1AE5E8" w14:textId="77777777" w:rsidR="006B43AF" w:rsidRPr="005907D3" w:rsidRDefault="006B43AF" w:rsidP="004203CD">
            <w:pPr>
              <w:pStyle w:val="TablesTText"/>
              <w:rPr>
                <w:rFonts w:ascii="IBM Plex Sans Light" w:hAnsi="IBM Plex Sans Light"/>
                <w:sz w:val="18"/>
                <w:szCs w:val="24"/>
              </w:rPr>
            </w:pPr>
          </w:p>
        </w:tc>
        <w:tc>
          <w:tcPr>
            <w:tcW w:w="589" w:type="dxa"/>
            <w:tcBorders>
              <w:bottom w:val="single" w:sz="2" w:space="0" w:color="3D7FE0" w:themeColor="accent1"/>
            </w:tcBorders>
            <w:shd w:val="clear" w:color="auto" w:fill="auto"/>
            <w:vAlign w:val="bottom"/>
          </w:tcPr>
          <w:p w14:paraId="4BF2D317" w14:textId="77777777" w:rsidR="006B43AF" w:rsidRPr="00F6452E" w:rsidRDefault="006B43AF" w:rsidP="004203CD">
            <w:pPr>
              <w:pStyle w:val="TablesTText"/>
              <w:rPr>
                <w:rFonts w:ascii="IBM Plex Sans Light" w:hAnsi="IBM Plex Sans Light"/>
                <w:b/>
                <w:bCs/>
              </w:rPr>
            </w:pPr>
          </w:p>
        </w:tc>
        <w:tc>
          <w:tcPr>
            <w:tcW w:w="1131" w:type="dxa"/>
            <w:tcBorders>
              <w:bottom w:val="single" w:sz="2" w:space="0" w:color="3D7FE0" w:themeColor="accent1"/>
            </w:tcBorders>
            <w:shd w:val="clear" w:color="auto" w:fill="auto"/>
            <w:vAlign w:val="bottom"/>
          </w:tcPr>
          <w:p w14:paraId="3D990314"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1,396.2</w:t>
            </w:r>
          </w:p>
        </w:tc>
        <w:tc>
          <w:tcPr>
            <w:tcW w:w="1131" w:type="dxa"/>
            <w:tcBorders>
              <w:bottom w:val="single" w:sz="2" w:space="0" w:color="3D7FE0" w:themeColor="accent1"/>
            </w:tcBorders>
            <w:shd w:val="clear" w:color="auto" w:fill="auto"/>
            <w:vAlign w:val="bottom"/>
          </w:tcPr>
          <w:p w14:paraId="3217FB6C" w14:textId="77777777" w:rsidR="006B43AF" w:rsidRPr="00F6452E" w:rsidRDefault="006B43AF" w:rsidP="00F82829">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1,379.9</w:t>
            </w:r>
          </w:p>
        </w:tc>
        <w:tc>
          <w:tcPr>
            <w:tcW w:w="1131" w:type="dxa"/>
            <w:tcBorders>
              <w:bottom w:val="single" w:sz="2" w:space="0" w:color="3D7FE0" w:themeColor="accent1"/>
            </w:tcBorders>
            <w:vAlign w:val="bottom"/>
          </w:tcPr>
          <w:p w14:paraId="5D1519F3"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1,885.7</w:t>
            </w:r>
          </w:p>
        </w:tc>
        <w:tc>
          <w:tcPr>
            <w:tcW w:w="1131" w:type="dxa"/>
            <w:tcBorders>
              <w:bottom w:val="single" w:sz="2" w:space="0" w:color="3D7FE0" w:themeColor="accent1"/>
            </w:tcBorders>
            <w:vAlign w:val="bottom"/>
          </w:tcPr>
          <w:p w14:paraId="0D917691"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tcBorders>
              <w:bottom w:val="single" w:sz="2" w:space="0" w:color="3D7FE0" w:themeColor="accent1"/>
            </w:tcBorders>
            <w:shd w:val="clear" w:color="auto" w:fill="auto"/>
            <w:vAlign w:val="bottom"/>
          </w:tcPr>
          <w:p w14:paraId="207E52BF"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4,661.8</w:t>
            </w:r>
          </w:p>
        </w:tc>
      </w:tr>
      <w:tr w:rsidR="006B43AF" w:rsidRPr="005907D3" w14:paraId="31C9D31D" w14:textId="77777777" w:rsidTr="004203CD">
        <w:trPr>
          <w:trHeight w:val="22"/>
        </w:trPr>
        <w:tc>
          <w:tcPr>
            <w:tcW w:w="3240" w:type="dxa"/>
            <w:tcBorders>
              <w:top w:val="single" w:sz="2" w:space="0" w:color="3D7FE0" w:themeColor="accent1"/>
              <w:bottom w:val="single" w:sz="2" w:space="0" w:color="3D7FE0" w:themeColor="accent1"/>
            </w:tcBorders>
            <w:shd w:val="clear" w:color="auto" w:fill="auto"/>
            <w:vAlign w:val="bottom"/>
          </w:tcPr>
          <w:p w14:paraId="138488E0"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Total property value</w:t>
            </w:r>
          </w:p>
        </w:tc>
        <w:tc>
          <w:tcPr>
            <w:tcW w:w="323" w:type="dxa"/>
            <w:tcBorders>
              <w:top w:val="single" w:sz="2" w:space="0" w:color="3D7FE0" w:themeColor="accent1"/>
              <w:bottom w:val="single" w:sz="2" w:space="0" w:color="3D7FE0" w:themeColor="accent1"/>
            </w:tcBorders>
            <w:shd w:val="clear" w:color="auto" w:fill="auto"/>
            <w:vAlign w:val="bottom"/>
          </w:tcPr>
          <w:p w14:paraId="5E83C234" w14:textId="77777777" w:rsidR="006B43AF" w:rsidRPr="005907D3" w:rsidRDefault="006B43AF" w:rsidP="004203CD">
            <w:pPr>
              <w:pStyle w:val="TablesTText"/>
              <w:rPr>
                <w:rFonts w:ascii="IBM Plex Sans Light" w:hAnsi="IBM Plex Sans Light"/>
                <w:sz w:val="18"/>
                <w:szCs w:val="24"/>
              </w:rPr>
            </w:pPr>
          </w:p>
        </w:tc>
        <w:tc>
          <w:tcPr>
            <w:tcW w:w="589" w:type="dxa"/>
            <w:tcBorders>
              <w:top w:val="single" w:sz="2" w:space="0" w:color="3D7FE0" w:themeColor="accent1"/>
              <w:bottom w:val="single" w:sz="2" w:space="0" w:color="3D7FE0" w:themeColor="accent1"/>
            </w:tcBorders>
            <w:shd w:val="clear" w:color="auto" w:fill="auto"/>
            <w:vAlign w:val="bottom"/>
          </w:tcPr>
          <w:p w14:paraId="7FBE3401" w14:textId="77777777" w:rsidR="006B43AF" w:rsidRPr="00F6452E" w:rsidRDefault="006B43AF" w:rsidP="004203CD">
            <w:pPr>
              <w:pStyle w:val="TablesTText"/>
              <w:jc w:val="right"/>
              <w:rPr>
                <w:rFonts w:ascii="IBM Plex Sans Light" w:hAnsi="IBM Plex Sans Light"/>
                <w:b/>
                <w:bCs/>
              </w:rPr>
            </w:pPr>
            <w:r w:rsidRPr="00F6452E">
              <w:rPr>
                <w:rFonts w:ascii="IBM Plex Sans Light" w:hAnsi="IBM Plex Sans Light"/>
                <w:b/>
                <w:bCs/>
              </w:rPr>
              <w:t>B</w:t>
            </w:r>
          </w:p>
        </w:tc>
        <w:tc>
          <w:tcPr>
            <w:tcW w:w="1131" w:type="dxa"/>
            <w:tcBorders>
              <w:top w:val="single" w:sz="2" w:space="0" w:color="3D7FE0" w:themeColor="accent1"/>
              <w:bottom w:val="single" w:sz="2" w:space="0" w:color="3D7FE0" w:themeColor="accent1"/>
            </w:tcBorders>
            <w:shd w:val="clear" w:color="auto" w:fill="auto"/>
            <w:vAlign w:val="bottom"/>
          </w:tcPr>
          <w:p w14:paraId="3EDE18E1"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1,396.2</w:t>
            </w:r>
          </w:p>
        </w:tc>
        <w:tc>
          <w:tcPr>
            <w:tcW w:w="1131" w:type="dxa"/>
            <w:tcBorders>
              <w:top w:val="single" w:sz="2" w:space="0" w:color="3D7FE0" w:themeColor="accent1"/>
              <w:bottom w:val="single" w:sz="2" w:space="0" w:color="3D7FE0" w:themeColor="accent1"/>
            </w:tcBorders>
            <w:shd w:val="clear" w:color="auto" w:fill="auto"/>
            <w:vAlign w:val="bottom"/>
          </w:tcPr>
          <w:p w14:paraId="696D35CB" w14:textId="77777777" w:rsidR="006B43AF" w:rsidRPr="00F6452E" w:rsidRDefault="006B43AF" w:rsidP="00F82829">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1,379.9</w:t>
            </w:r>
          </w:p>
        </w:tc>
        <w:tc>
          <w:tcPr>
            <w:tcW w:w="1131" w:type="dxa"/>
            <w:tcBorders>
              <w:top w:val="single" w:sz="2" w:space="0" w:color="3D7FE0" w:themeColor="accent1"/>
              <w:bottom w:val="single" w:sz="2" w:space="0" w:color="3D7FE0" w:themeColor="accent1"/>
            </w:tcBorders>
            <w:vAlign w:val="bottom"/>
          </w:tcPr>
          <w:p w14:paraId="1DB5A695"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1,885.7</w:t>
            </w:r>
          </w:p>
        </w:tc>
        <w:tc>
          <w:tcPr>
            <w:tcW w:w="1131" w:type="dxa"/>
            <w:tcBorders>
              <w:top w:val="single" w:sz="2" w:space="0" w:color="3D7FE0" w:themeColor="accent1"/>
              <w:bottom w:val="single" w:sz="2" w:space="0" w:color="3D7FE0" w:themeColor="accent1"/>
            </w:tcBorders>
            <w:vAlign w:val="bottom"/>
          </w:tcPr>
          <w:p w14:paraId="5CC462F1"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w:t>
            </w:r>
          </w:p>
        </w:tc>
        <w:tc>
          <w:tcPr>
            <w:tcW w:w="1133" w:type="dxa"/>
            <w:tcBorders>
              <w:top w:val="single" w:sz="2" w:space="0" w:color="3D7FE0" w:themeColor="accent1"/>
              <w:bottom w:val="single" w:sz="2" w:space="0" w:color="3D7FE0" w:themeColor="accent1"/>
            </w:tcBorders>
            <w:shd w:val="clear" w:color="auto" w:fill="auto"/>
            <w:vAlign w:val="bottom"/>
          </w:tcPr>
          <w:p w14:paraId="751495F5" w14:textId="77777777" w:rsidR="006B43AF" w:rsidRPr="00F6452E" w:rsidRDefault="006B43AF" w:rsidP="00024B10">
            <w:pPr>
              <w:pStyle w:val="TablesTFigures"/>
              <w:spacing w:line="240" w:lineRule="exact"/>
              <w:rPr>
                <w:rFonts w:ascii="IBM Plex Sans Medium" w:hAnsi="IBM Plex Sans Medium"/>
                <w:b/>
                <w:color w:val="3D7FE0" w:themeColor="accent1"/>
                <w:sz w:val="18"/>
                <w:szCs w:val="18"/>
              </w:rPr>
            </w:pPr>
            <w:r w:rsidRPr="00F6452E">
              <w:rPr>
                <w:rFonts w:ascii="IBM Plex Sans Medium" w:hAnsi="IBM Plex Sans Medium"/>
                <w:b/>
                <w:color w:val="3D7FE0" w:themeColor="accent1"/>
                <w:sz w:val="18"/>
                <w:szCs w:val="18"/>
              </w:rPr>
              <w:t>4,661.8</w:t>
            </w:r>
          </w:p>
        </w:tc>
      </w:tr>
      <w:tr w:rsidR="006B43AF" w:rsidRPr="005907D3" w14:paraId="6F7436EE" w14:textId="77777777" w:rsidTr="004203CD">
        <w:trPr>
          <w:trHeight w:val="22"/>
        </w:trPr>
        <w:tc>
          <w:tcPr>
            <w:tcW w:w="3240" w:type="dxa"/>
            <w:shd w:val="clear" w:color="auto" w:fill="auto"/>
            <w:vAlign w:val="bottom"/>
          </w:tcPr>
          <w:p w14:paraId="26B4C3CC" w14:textId="77777777" w:rsidR="006B43AF" w:rsidRPr="005907D3" w:rsidRDefault="006B43AF" w:rsidP="004203CD">
            <w:pPr>
              <w:pStyle w:val="TablesTText"/>
              <w:rPr>
                <w:rFonts w:ascii="IBM Plex Sans Light" w:hAnsi="IBM Plex Sans Light"/>
                <w:sz w:val="18"/>
                <w:szCs w:val="24"/>
              </w:rPr>
            </w:pPr>
          </w:p>
        </w:tc>
        <w:tc>
          <w:tcPr>
            <w:tcW w:w="323" w:type="dxa"/>
            <w:shd w:val="clear" w:color="auto" w:fill="auto"/>
            <w:vAlign w:val="bottom"/>
          </w:tcPr>
          <w:p w14:paraId="7FC82ECA"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3DB7F8BD" w14:textId="77777777" w:rsidR="006B43AF" w:rsidRPr="005907D3" w:rsidRDefault="006B43AF" w:rsidP="004203CD">
            <w:pPr>
              <w:pStyle w:val="TablesTText"/>
              <w:rPr>
                <w:rFonts w:ascii="IBM Plex Sans Light" w:hAnsi="IBM Plex Sans Light"/>
              </w:rPr>
            </w:pPr>
          </w:p>
        </w:tc>
        <w:tc>
          <w:tcPr>
            <w:tcW w:w="1131" w:type="dxa"/>
            <w:shd w:val="clear" w:color="auto" w:fill="auto"/>
            <w:vAlign w:val="bottom"/>
          </w:tcPr>
          <w:p w14:paraId="55CE4027"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shd w:val="clear" w:color="auto" w:fill="auto"/>
            <w:vAlign w:val="bottom"/>
          </w:tcPr>
          <w:p w14:paraId="647FFBAC"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Pr>
          <w:p w14:paraId="1CE6D7B8"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Pr>
          <w:p w14:paraId="5EEE6657"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3" w:type="dxa"/>
            <w:shd w:val="clear" w:color="auto" w:fill="auto"/>
            <w:vAlign w:val="bottom"/>
          </w:tcPr>
          <w:p w14:paraId="7AD8EFCB"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r>
      <w:tr w:rsidR="006B43AF" w:rsidRPr="005907D3" w14:paraId="73294F1F" w14:textId="77777777" w:rsidTr="004203CD">
        <w:trPr>
          <w:trHeight w:val="275"/>
        </w:trPr>
        <w:tc>
          <w:tcPr>
            <w:tcW w:w="3240" w:type="dxa"/>
            <w:tcBorders>
              <w:bottom w:val="single" w:sz="2" w:space="0" w:color="3D7FE0" w:themeColor="accent1"/>
            </w:tcBorders>
            <w:shd w:val="clear" w:color="auto" w:fill="auto"/>
            <w:vAlign w:val="bottom"/>
          </w:tcPr>
          <w:p w14:paraId="586C2FC9" w14:textId="77777777" w:rsidR="006B43AF" w:rsidRPr="005907D3" w:rsidRDefault="006B43AF" w:rsidP="004203CD">
            <w:pPr>
              <w:pStyle w:val="TablesTText"/>
              <w:rPr>
                <w:rFonts w:ascii="IBM Plex Sans Light" w:hAnsi="IBM Plex Sans Light"/>
                <w:b/>
                <w:sz w:val="18"/>
                <w:szCs w:val="24"/>
              </w:rPr>
            </w:pPr>
            <w:r>
              <w:rPr>
                <w:rFonts w:ascii="IBM Plex Sans Light" w:hAnsi="IBM Plex Sans Light"/>
                <w:b/>
                <w:sz w:val="18"/>
                <w:szCs w:val="24"/>
              </w:rPr>
              <w:t>EPRA LTV</w:t>
            </w:r>
          </w:p>
        </w:tc>
        <w:tc>
          <w:tcPr>
            <w:tcW w:w="323" w:type="dxa"/>
            <w:tcBorders>
              <w:bottom w:val="single" w:sz="2" w:space="0" w:color="3D7FE0" w:themeColor="accent1"/>
            </w:tcBorders>
            <w:shd w:val="clear" w:color="auto" w:fill="auto"/>
            <w:vAlign w:val="bottom"/>
          </w:tcPr>
          <w:p w14:paraId="49721E71" w14:textId="77777777" w:rsidR="006B43AF" w:rsidRPr="00E17ACB" w:rsidRDefault="006B43AF" w:rsidP="004203CD">
            <w:pPr>
              <w:pStyle w:val="13TBRightCopy158mmTableBack"/>
              <w:rPr>
                <w:sz w:val="16"/>
                <w:szCs w:val="16"/>
              </w:rPr>
            </w:pPr>
          </w:p>
        </w:tc>
        <w:tc>
          <w:tcPr>
            <w:tcW w:w="589" w:type="dxa"/>
            <w:tcBorders>
              <w:bottom w:val="single" w:sz="2" w:space="0" w:color="3D7FE0" w:themeColor="accent1"/>
            </w:tcBorders>
            <w:shd w:val="clear" w:color="auto" w:fill="auto"/>
            <w:vAlign w:val="bottom"/>
          </w:tcPr>
          <w:p w14:paraId="3A06A886" w14:textId="77777777" w:rsidR="006B43AF" w:rsidRPr="005907D3" w:rsidRDefault="006B43AF" w:rsidP="004203CD">
            <w:pPr>
              <w:pStyle w:val="TablesTText"/>
              <w:jc w:val="right"/>
              <w:rPr>
                <w:rFonts w:ascii="IBM Plex Sans Light" w:hAnsi="IBM Plex Sans Light"/>
                <w:b/>
              </w:rPr>
            </w:pPr>
            <w:r>
              <w:rPr>
                <w:rFonts w:ascii="IBM Plex Sans Light" w:hAnsi="IBM Plex Sans Light"/>
                <w:b/>
              </w:rPr>
              <w:t>A/B</w:t>
            </w:r>
          </w:p>
        </w:tc>
        <w:tc>
          <w:tcPr>
            <w:tcW w:w="1131" w:type="dxa"/>
            <w:tcBorders>
              <w:bottom w:val="single" w:sz="2" w:space="0" w:color="3D7FE0" w:themeColor="accent1"/>
            </w:tcBorders>
            <w:shd w:val="clear" w:color="auto" w:fill="auto"/>
            <w:vAlign w:val="bottom"/>
          </w:tcPr>
          <w:p w14:paraId="2C7BDD7F"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bottom w:val="single" w:sz="2" w:space="0" w:color="3D7FE0" w:themeColor="accent1"/>
            </w:tcBorders>
            <w:shd w:val="clear" w:color="auto" w:fill="auto"/>
            <w:vAlign w:val="bottom"/>
          </w:tcPr>
          <w:p w14:paraId="26ED092F"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bottom w:val="single" w:sz="2" w:space="0" w:color="3D7FE0" w:themeColor="accent1"/>
            </w:tcBorders>
          </w:tcPr>
          <w:p w14:paraId="6E8624D1"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bottom w:val="single" w:sz="2" w:space="0" w:color="3D7FE0" w:themeColor="accent1"/>
            </w:tcBorders>
          </w:tcPr>
          <w:p w14:paraId="2B3F507A"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p>
        </w:tc>
        <w:tc>
          <w:tcPr>
            <w:tcW w:w="1133" w:type="dxa"/>
            <w:tcBorders>
              <w:bottom w:val="single" w:sz="2" w:space="0" w:color="3D7FE0" w:themeColor="accent1"/>
            </w:tcBorders>
            <w:shd w:val="clear" w:color="auto" w:fill="auto"/>
            <w:vAlign w:val="bottom"/>
          </w:tcPr>
          <w:p w14:paraId="36FF1730" w14:textId="77777777" w:rsidR="006B43AF" w:rsidRPr="00F3112C" w:rsidRDefault="006B43AF" w:rsidP="004203CD">
            <w:pPr>
              <w:pStyle w:val="TablesTFigureBrackets"/>
              <w:spacing w:line="240" w:lineRule="exact"/>
              <w:rPr>
                <w:rFonts w:ascii="IBM Plex Sans Medium" w:eastAsia="Times New Roman" w:hAnsi="IBM Plex Sans Medium" w:cs="Times New Roman"/>
                <w:b/>
                <w:bCs/>
                <w:color w:val="3D7FE0" w:themeColor="accent1"/>
                <w:spacing w:val="-4"/>
                <w:sz w:val="18"/>
                <w:szCs w:val="18"/>
              </w:rPr>
            </w:pPr>
            <w:r>
              <w:rPr>
                <w:rFonts w:ascii="IBM Plex Sans Medium" w:eastAsia="Times New Roman" w:hAnsi="IBM Plex Sans Medium" w:cs="Times New Roman"/>
                <w:b/>
                <w:bCs/>
                <w:color w:val="3D7FE0" w:themeColor="accent1"/>
                <w:spacing w:val="-4"/>
                <w:sz w:val="18"/>
                <w:szCs w:val="18"/>
              </w:rPr>
              <w:t>48.1%</w:t>
            </w:r>
          </w:p>
        </w:tc>
      </w:tr>
    </w:tbl>
    <w:p w14:paraId="12CD4B6E" w14:textId="77777777" w:rsidR="006B43AF" w:rsidRDefault="006B43AF" w:rsidP="006B43AF">
      <w:pPr>
        <w:spacing w:after="0" w:line="240" w:lineRule="auto"/>
        <w:rPr>
          <w:rFonts w:ascii="IBM Plex Sans Light" w:hAnsi="IBM Plex Sans Light"/>
        </w:rPr>
      </w:pPr>
    </w:p>
    <w:p w14:paraId="68D3757A" w14:textId="77777777" w:rsidR="006B43AF" w:rsidRDefault="006B43AF" w:rsidP="006B43AF">
      <w:pPr>
        <w:spacing w:after="0" w:line="240" w:lineRule="auto"/>
        <w:rPr>
          <w:rFonts w:ascii="IBM Plex Sans Light" w:hAnsi="IBM Plex Sans Light"/>
        </w:rPr>
      </w:pPr>
    </w:p>
    <w:tbl>
      <w:tblPr>
        <w:tblW w:w="9809" w:type="dxa"/>
        <w:tblLayout w:type="fixed"/>
        <w:tblCellMar>
          <w:left w:w="0" w:type="dxa"/>
          <w:right w:w="0" w:type="dxa"/>
        </w:tblCellMar>
        <w:tblLook w:val="04A0" w:firstRow="1" w:lastRow="0" w:firstColumn="1" w:lastColumn="0" w:noHBand="0" w:noVBand="1"/>
      </w:tblPr>
      <w:tblGrid>
        <w:gridCol w:w="3240"/>
        <w:gridCol w:w="323"/>
        <w:gridCol w:w="589"/>
        <w:gridCol w:w="1131"/>
        <w:gridCol w:w="1131"/>
        <w:gridCol w:w="1131"/>
        <w:gridCol w:w="1131"/>
        <w:gridCol w:w="1133"/>
      </w:tblGrid>
      <w:tr w:rsidR="006B43AF" w:rsidRPr="005907D3" w14:paraId="6A1E4B5D" w14:textId="77777777" w:rsidTr="004203CD">
        <w:trPr>
          <w:trHeight w:val="22"/>
        </w:trPr>
        <w:tc>
          <w:tcPr>
            <w:tcW w:w="3240" w:type="dxa"/>
            <w:tcBorders>
              <w:bottom w:val="single" w:sz="2" w:space="0" w:color="3D7FE0" w:themeColor="accent1"/>
            </w:tcBorders>
            <w:shd w:val="clear" w:color="auto" w:fill="auto"/>
            <w:vAlign w:val="bottom"/>
          </w:tcPr>
          <w:p w14:paraId="134EC435" w14:textId="77777777" w:rsidR="006B43AF" w:rsidRPr="005907D3" w:rsidRDefault="006B43AF" w:rsidP="004203CD">
            <w:pPr>
              <w:pStyle w:val="TablesTColHead"/>
              <w:rPr>
                <w:rFonts w:ascii="IBM Plex Sans Light" w:hAnsi="IBM Plex Sans Light"/>
              </w:rPr>
            </w:pPr>
          </w:p>
        </w:tc>
        <w:tc>
          <w:tcPr>
            <w:tcW w:w="323" w:type="dxa"/>
            <w:tcBorders>
              <w:bottom w:val="single" w:sz="2" w:space="0" w:color="3D7FE0" w:themeColor="accent1"/>
            </w:tcBorders>
            <w:shd w:val="clear" w:color="auto" w:fill="auto"/>
            <w:vAlign w:val="bottom"/>
          </w:tcPr>
          <w:p w14:paraId="4FC9D488" w14:textId="77777777" w:rsidR="006B43AF" w:rsidRPr="005907D3" w:rsidRDefault="006B43AF" w:rsidP="004203CD">
            <w:pPr>
              <w:pStyle w:val="TablesTColHead"/>
              <w:rPr>
                <w:rFonts w:ascii="IBM Plex Sans Light" w:hAnsi="IBM Plex Sans Light"/>
              </w:rPr>
            </w:pPr>
          </w:p>
        </w:tc>
        <w:tc>
          <w:tcPr>
            <w:tcW w:w="589" w:type="dxa"/>
            <w:tcBorders>
              <w:bottom w:val="single" w:sz="2" w:space="0" w:color="3D7FE0" w:themeColor="accent1"/>
            </w:tcBorders>
            <w:shd w:val="clear" w:color="auto" w:fill="auto"/>
            <w:vAlign w:val="bottom"/>
          </w:tcPr>
          <w:p w14:paraId="0CEB56DA" w14:textId="77777777" w:rsidR="006B43AF" w:rsidRPr="005907D3" w:rsidRDefault="006B43AF" w:rsidP="004203CD">
            <w:pPr>
              <w:pStyle w:val="TablesTColHead"/>
              <w:rPr>
                <w:rFonts w:ascii="IBM Plex Sans Light" w:hAnsi="IBM Plex Sans Light"/>
              </w:rPr>
            </w:pPr>
          </w:p>
        </w:tc>
        <w:tc>
          <w:tcPr>
            <w:tcW w:w="1131" w:type="dxa"/>
            <w:tcBorders>
              <w:bottom w:val="single" w:sz="2" w:space="0" w:color="3D7FE0" w:themeColor="accent1"/>
            </w:tcBorders>
          </w:tcPr>
          <w:p w14:paraId="3B6F9CD2" w14:textId="77777777" w:rsidR="006B43AF" w:rsidRPr="00F3112C" w:rsidRDefault="006B43AF" w:rsidP="004203CD">
            <w:pPr>
              <w:pStyle w:val="TablesTColHeadsBold"/>
              <w:rPr>
                <w:rFonts w:ascii="IBM Plex Sans Light" w:hAnsi="IBM Plex Sans Light"/>
                <w:bCs/>
                <w:color w:val="3D7FE0" w:themeColor="accent1"/>
                <w:sz w:val="14"/>
                <w:szCs w:val="24"/>
              </w:rPr>
            </w:pPr>
          </w:p>
        </w:tc>
        <w:tc>
          <w:tcPr>
            <w:tcW w:w="1131" w:type="dxa"/>
            <w:tcBorders>
              <w:bottom w:val="single" w:sz="2" w:space="0" w:color="3D7FE0" w:themeColor="accent1"/>
            </w:tcBorders>
          </w:tcPr>
          <w:p w14:paraId="43E003E6" w14:textId="77777777" w:rsidR="006B43AF" w:rsidRPr="00F3112C" w:rsidRDefault="006B43AF" w:rsidP="004203CD">
            <w:pPr>
              <w:pStyle w:val="TablesTColHeadsBold"/>
              <w:rPr>
                <w:rFonts w:ascii="IBM Plex Sans Light" w:hAnsi="IBM Plex Sans Light"/>
                <w:bCs/>
                <w:color w:val="3D7FE0" w:themeColor="accent1"/>
                <w:sz w:val="14"/>
                <w:szCs w:val="24"/>
              </w:rPr>
            </w:pPr>
          </w:p>
        </w:tc>
        <w:tc>
          <w:tcPr>
            <w:tcW w:w="3395" w:type="dxa"/>
            <w:gridSpan w:val="3"/>
            <w:tcBorders>
              <w:bottom w:val="single" w:sz="2" w:space="0" w:color="3D7FE0" w:themeColor="accent1"/>
            </w:tcBorders>
            <w:shd w:val="clear" w:color="auto" w:fill="auto"/>
            <w:vAlign w:val="bottom"/>
          </w:tcPr>
          <w:p w14:paraId="04025FB5" w14:textId="77777777" w:rsidR="006B43AF" w:rsidRPr="005907D3" w:rsidRDefault="006B43AF" w:rsidP="004203CD">
            <w:pPr>
              <w:spacing w:after="0" w:line="240" w:lineRule="auto"/>
              <w:jc w:val="right"/>
              <w:rPr>
                <w:rFonts w:ascii="IBM Plex Sans Light" w:hAnsi="IBM Plex Sans Light"/>
                <w:color w:val="3D7FE0" w:themeColor="accent1"/>
              </w:rPr>
            </w:pPr>
            <w:r w:rsidRPr="00F6452E">
              <w:rPr>
                <w:rFonts w:ascii="IBM Plex Sans Light" w:eastAsiaTheme="majorEastAsia" w:hAnsi="IBM Plex Sans Light" w:cstheme="majorBidi"/>
                <w:spacing w:val="0"/>
                <w:sz w:val="14"/>
              </w:rPr>
              <w:t>2022</w:t>
            </w:r>
          </w:p>
        </w:tc>
      </w:tr>
      <w:tr w:rsidR="006B43AF" w:rsidRPr="005907D3" w14:paraId="6AF37FA7" w14:textId="77777777" w:rsidTr="004203CD">
        <w:trPr>
          <w:trHeight w:val="22"/>
        </w:trPr>
        <w:tc>
          <w:tcPr>
            <w:tcW w:w="3240" w:type="dxa"/>
            <w:tcBorders>
              <w:top w:val="single" w:sz="2" w:space="0" w:color="3D7FE0" w:themeColor="accent1"/>
              <w:bottom w:val="single" w:sz="2" w:space="0" w:color="3D7FE0" w:themeColor="accent1"/>
            </w:tcBorders>
            <w:shd w:val="clear" w:color="auto" w:fill="auto"/>
            <w:vAlign w:val="bottom"/>
          </w:tcPr>
          <w:p w14:paraId="273E19DC" w14:textId="77777777" w:rsidR="006B43AF" w:rsidRPr="005907D3" w:rsidRDefault="006B43AF" w:rsidP="004203CD">
            <w:pPr>
              <w:pStyle w:val="TablesTColHead"/>
              <w:jc w:val="left"/>
              <w:rPr>
                <w:rFonts w:ascii="IBM Plex Sans Light" w:hAnsi="IBM Plex Sans Light"/>
              </w:rPr>
            </w:pPr>
            <w:r w:rsidRPr="00F6452E">
              <w:rPr>
                <w:rFonts w:ascii="IBM Plex Sans Light" w:hAnsi="IBM Plex Sans Light"/>
                <w:sz w:val="14"/>
                <w:szCs w:val="24"/>
              </w:rPr>
              <w:t>Proportionally consolidated</w:t>
            </w:r>
          </w:p>
        </w:tc>
        <w:tc>
          <w:tcPr>
            <w:tcW w:w="323" w:type="dxa"/>
            <w:tcBorders>
              <w:top w:val="single" w:sz="2" w:space="0" w:color="3D7FE0" w:themeColor="accent1"/>
              <w:bottom w:val="single" w:sz="2" w:space="0" w:color="3D7FE0" w:themeColor="accent1"/>
            </w:tcBorders>
            <w:shd w:val="clear" w:color="auto" w:fill="auto"/>
            <w:vAlign w:val="bottom"/>
          </w:tcPr>
          <w:p w14:paraId="1472D60E" w14:textId="77777777" w:rsidR="006B43AF" w:rsidRPr="005907D3" w:rsidRDefault="006B43AF" w:rsidP="004203CD">
            <w:pPr>
              <w:rPr>
                <w:rFonts w:ascii="IBM Plex Sans Light" w:hAnsi="IBM Plex Sans Light"/>
              </w:rPr>
            </w:pPr>
          </w:p>
        </w:tc>
        <w:tc>
          <w:tcPr>
            <w:tcW w:w="589" w:type="dxa"/>
            <w:tcBorders>
              <w:top w:val="single" w:sz="2" w:space="0" w:color="3D7FE0" w:themeColor="accent1"/>
              <w:bottom w:val="single" w:sz="2" w:space="0" w:color="3D7FE0" w:themeColor="accent1"/>
            </w:tcBorders>
            <w:shd w:val="clear" w:color="auto" w:fill="auto"/>
            <w:vAlign w:val="bottom"/>
          </w:tcPr>
          <w:p w14:paraId="148A955B" w14:textId="77777777" w:rsidR="006B43AF" w:rsidRPr="005907D3" w:rsidRDefault="006B43AF" w:rsidP="004203CD">
            <w:pPr>
              <w:rPr>
                <w:rFonts w:ascii="IBM Plex Sans Light" w:hAnsi="IBM Plex Sans Light"/>
              </w:rPr>
            </w:pPr>
          </w:p>
        </w:tc>
        <w:tc>
          <w:tcPr>
            <w:tcW w:w="1131" w:type="dxa"/>
            <w:tcBorders>
              <w:top w:val="single" w:sz="2" w:space="0" w:color="3D7FE0" w:themeColor="accent1"/>
              <w:bottom w:val="single" w:sz="2" w:space="0" w:color="3D7FE0" w:themeColor="accent1"/>
            </w:tcBorders>
            <w:shd w:val="clear" w:color="auto" w:fill="auto"/>
            <w:vAlign w:val="bottom"/>
          </w:tcPr>
          <w:p w14:paraId="2390755D" w14:textId="77777777" w:rsidR="006B43AF" w:rsidRPr="00F6452E" w:rsidRDefault="006B43AF" w:rsidP="004203CD">
            <w:pPr>
              <w:pStyle w:val="TablesTColHead"/>
              <w:rPr>
                <w:rFonts w:ascii="IBM Plex Sans Light" w:hAnsi="IBM Plex Sans Light"/>
                <w:sz w:val="14"/>
                <w:szCs w:val="24"/>
              </w:rPr>
            </w:pPr>
            <w:r w:rsidRPr="00F6452E">
              <w:rPr>
                <w:rFonts w:ascii="IBM Plex Sans Light" w:hAnsi="IBM Plex Sans Light"/>
                <w:sz w:val="14"/>
                <w:szCs w:val="24"/>
              </w:rPr>
              <w:t xml:space="preserve">Reported </w:t>
            </w:r>
            <w:r w:rsidRPr="00F6452E">
              <w:rPr>
                <w:rFonts w:ascii="IBM Plex Sans Light" w:hAnsi="IBM Plex Sans Light"/>
                <w:sz w:val="14"/>
                <w:szCs w:val="24"/>
              </w:rPr>
              <w:br/>
              <w:t>Group</w:t>
            </w:r>
            <w:r w:rsidRPr="00F6452E">
              <w:rPr>
                <w:rFonts w:ascii="IBM Plex Sans Light" w:hAnsi="IBM Plex Sans Light"/>
                <w:sz w:val="14"/>
                <w:szCs w:val="24"/>
              </w:rPr>
              <w:br/>
              <w:t>£m</w:t>
            </w:r>
          </w:p>
        </w:tc>
        <w:tc>
          <w:tcPr>
            <w:tcW w:w="1131" w:type="dxa"/>
            <w:tcBorders>
              <w:top w:val="single" w:sz="2" w:space="0" w:color="3D7FE0" w:themeColor="accent1"/>
              <w:bottom w:val="single" w:sz="2" w:space="0" w:color="3D7FE0" w:themeColor="accent1"/>
            </w:tcBorders>
            <w:shd w:val="clear" w:color="auto" w:fill="auto"/>
            <w:vAlign w:val="bottom"/>
          </w:tcPr>
          <w:p w14:paraId="77F33830" w14:textId="77777777" w:rsidR="006B43AF" w:rsidRPr="00F6452E" w:rsidRDefault="006B43AF" w:rsidP="004203CD">
            <w:pPr>
              <w:pStyle w:val="TablesTColHead"/>
              <w:rPr>
                <w:rFonts w:ascii="IBM Plex Sans Light" w:hAnsi="IBM Plex Sans Light"/>
                <w:sz w:val="14"/>
                <w:szCs w:val="24"/>
              </w:rPr>
            </w:pPr>
            <w:r w:rsidRPr="00F6452E">
              <w:rPr>
                <w:rFonts w:ascii="IBM Plex Sans Light" w:hAnsi="IBM Plex Sans Light"/>
                <w:sz w:val="14"/>
                <w:szCs w:val="24"/>
              </w:rPr>
              <w:t xml:space="preserve">Share of </w:t>
            </w:r>
            <w:r w:rsidRPr="00F6452E">
              <w:rPr>
                <w:rFonts w:ascii="IBM Plex Sans Light" w:hAnsi="IBM Plex Sans Light"/>
                <w:sz w:val="14"/>
                <w:szCs w:val="24"/>
              </w:rPr>
              <w:br/>
              <w:t>joint ventures</w:t>
            </w:r>
            <w:r w:rsidRPr="00F6452E">
              <w:rPr>
                <w:rFonts w:ascii="IBM Plex Sans Light" w:hAnsi="IBM Plex Sans Light"/>
                <w:sz w:val="14"/>
                <w:szCs w:val="24"/>
              </w:rPr>
              <w:br/>
              <w:t>£m</w:t>
            </w:r>
          </w:p>
        </w:tc>
        <w:tc>
          <w:tcPr>
            <w:tcW w:w="1131" w:type="dxa"/>
            <w:tcBorders>
              <w:top w:val="single" w:sz="2" w:space="0" w:color="3D7FE0" w:themeColor="accent1"/>
              <w:bottom w:val="single" w:sz="2" w:space="0" w:color="3D7FE0" w:themeColor="accent1"/>
            </w:tcBorders>
          </w:tcPr>
          <w:p w14:paraId="48BF8D9C" w14:textId="77777777" w:rsidR="006B43AF" w:rsidRPr="00F6452E" w:rsidRDefault="006B43AF" w:rsidP="004203CD">
            <w:pPr>
              <w:pStyle w:val="TablesTColHead"/>
              <w:rPr>
                <w:rFonts w:ascii="IBM Plex Sans Light" w:hAnsi="IBM Plex Sans Light"/>
                <w:sz w:val="14"/>
                <w:szCs w:val="24"/>
              </w:rPr>
            </w:pPr>
          </w:p>
          <w:p w14:paraId="77A88365" w14:textId="77777777" w:rsidR="006B43AF" w:rsidRPr="00F6452E" w:rsidRDefault="006B43AF" w:rsidP="004203CD">
            <w:pPr>
              <w:pStyle w:val="TablesTColHead"/>
              <w:rPr>
                <w:rFonts w:ascii="IBM Plex Sans Light" w:hAnsi="IBM Plex Sans Light"/>
                <w:sz w:val="14"/>
                <w:szCs w:val="24"/>
              </w:rPr>
            </w:pPr>
            <w:r w:rsidRPr="00F6452E">
              <w:rPr>
                <w:rFonts w:ascii="IBM Plex Sans Light" w:hAnsi="IBM Plex Sans Light"/>
                <w:sz w:val="14"/>
                <w:szCs w:val="24"/>
              </w:rPr>
              <w:t>Share of associates £m</w:t>
            </w:r>
          </w:p>
        </w:tc>
        <w:tc>
          <w:tcPr>
            <w:tcW w:w="1131" w:type="dxa"/>
            <w:tcBorders>
              <w:top w:val="single" w:sz="2" w:space="0" w:color="3D7FE0" w:themeColor="accent1"/>
              <w:bottom w:val="single" w:sz="2" w:space="0" w:color="3D7FE0" w:themeColor="accent1"/>
            </w:tcBorders>
          </w:tcPr>
          <w:p w14:paraId="16C59ED9" w14:textId="77777777" w:rsidR="006B43AF" w:rsidRPr="00F6452E" w:rsidRDefault="006B43AF" w:rsidP="004203CD">
            <w:pPr>
              <w:pStyle w:val="TablesTColHead"/>
              <w:rPr>
                <w:rFonts w:ascii="IBM Plex Sans Light" w:hAnsi="IBM Plex Sans Light"/>
                <w:sz w:val="14"/>
                <w:szCs w:val="24"/>
              </w:rPr>
            </w:pPr>
          </w:p>
          <w:p w14:paraId="366BA6B3" w14:textId="77777777" w:rsidR="006B43AF" w:rsidRPr="00F6452E" w:rsidRDefault="006B43AF" w:rsidP="004203CD">
            <w:pPr>
              <w:pStyle w:val="TablesTColHead"/>
              <w:rPr>
                <w:rFonts w:ascii="IBM Plex Sans Light" w:hAnsi="IBM Plex Sans Light"/>
                <w:sz w:val="14"/>
                <w:szCs w:val="24"/>
              </w:rPr>
            </w:pPr>
            <w:r w:rsidRPr="00F6452E">
              <w:rPr>
                <w:rFonts w:ascii="IBM Plex Sans Light" w:hAnsi="IBM Plex Sans Light"/>
                <w:sz w:val="14"/>
                <w:szCs w:val="24"/>
              </w:rPr>
              <w:t>Non-controlling interests £m</w:t>
            </w:r>
          </w:p>
        </w:tc>
        <w:tc>
          <w:tcPr>
            <w:tcW w:w="1133" w:type="dxa"/>
            <w:tcBorders>
              <w:top w:val="single" w:sz="2" w:space="0" w:color="3D7FE0" w:themeColor="accent1"/>
              <w:bottom w:val="single" w:sz="2" w:space="0" w:color="3D7FE0" w:themeColor="accent1"/>
            </w:tcBorders>
            <w:shd w:val="clear" w:color="auto" w:fill="auto"/>
            <w:vAlign w:val="bottom"/>
          </w:tcPr>
          <w:p w14:paraId="5AE6FFE3" w14:textId="77777777" w:rsidR="006B43AF" w:rsidRPr="00F6452E" w:rsidRDefault="006B43AF" w:rsidP="004203CD">
            <w:pPr>
              <w:pStyle w:val="TablesTColHead"/>
              <w:rPr>
                <w:rFonts w:ascii="IBM Plex Sans Light" w:hAnsi="IBM Plex Sans Light"/>
                <w:sz w:val="14"/>
                <w:szCs w:val="24"/>
              </w:rPr>
            </w:pPr>
            <w:r w:rsidRPr="00F6452E">
              <w:rPr>
                <w:rFonts w:ascii="IBM Plex Sans Light" w:hAnsi="IBM Plex Sans Light"/>
                <w:sz w:val="14"/>
                <w:szCs w:val="24"/>
              </w:rPr>
              <w:t>Total</w:t>
            </w:r>
            <w:r w:rsidRPr="00F6452E">
              <w:rPr>
                <w:rFonts w:ascii="IBM Plex Sans Light" w:hAnsi="IBM Plex Sans Light"/>
                <w:sz w:val="14"/>
                <w:szCs w:val="24"/>
              </w:rPr>
              <w:br/>
              <w:t>£m</w:t>
            </w:r>
          </w:p>
        </w:tc>
      </w:tr>
      <w:tr w:rsidR="006B43AF" w:rsidRPr="005907D3" w14:paraId="4DC13561" w14:textId="77777777" w:rsidTr="004203CD">
        <w:trPr>
          <w:trHeight w:val="22"/>
        </w:trPr>
        <w:tc>
          <w:tcPr>
            <w:tcW w:w="3240" w:type="dxa"/>
            <w:tcBorders>
              <w:top w:val="single" w:sz="2" w:space="0" w:color="3D7FE0" w:themeColor="accent1"/>
            </w:tcBorders>
            <w:shd w:val="clear" w:color="auto" w:fill="auto"/>
            <w:vAlign w:val="bottom"/>
          </w:tcPr>
          <w:p w14:paraId="1A7521DB"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Include:</w:t>
            </w:r>
          </w:p>
        </w:tc>
        <w:tc>
          <w:tcPr>
            <w:tcW w:w="323" w:type="dxa"/>
            <w:tcBorders>
              <w:top w:val="single" w:sz="2" w:space="0" w:color="3D7FE0" w:themeColor="accent1"/>
            </w:tcBorders>
            <w:shd w:val="clear" w:color="auto" w:fill="auto"/>
            <w:vAlign w:val="bottom"/>
          </w:tcPr>
          <w:p w14:paraId="1AA08F86" w14:textId="77777777" w:rsidR="006B43AF" w:rsidRPr="005907D3" w:rsidRDefault="006B43AF" w:rsidP="004203CD">
            <w:pPr>
              <w:pStyle w:val="TablesTText"/>
              <w:rPr>
                <w:rFonts w:ascii="IBM Plex Sans Light" w:hAnsi="IBM Plex Sans Light"/>
                <w:sz w:val="18"/>
                <w:szCs w:val="24"/>
                <w:vertAlign w:val="superscript"/>
              </w:rPr>
            </w:pPr>
          </w:p>
        </w:tc>
        <w:tc>
          <w:tcPr>
            <w:tcW w:w="589" w:type="dxa"/>
            <w:tcBorders>
              <w:top w:val="single" w:sz="2" w:space="0" w:color="3D7FE0" w:themeColor="accent1"/>
            </w:tcBorders>
            <w:shd w:val="clear" w:color="auto" w:fill="auto"/>
            <w:vAlign w:val="bottom"/>
          </w:tcPr>
          <w:p w14:paraId="1CAECDAA" w14:textId="77777777" w:rsidR="006B43AF" w:rsidRPr="005907D3" w:rsidRDefault="006B43AF" w:rsidP="004203CD">
            <w:pPr>
              <w:pStyle w:val="TablesTText"/>
              <w:jc w:val="center"/>
              <w:rPr>
                <w:rFonts w:ascii="IBM Plex Sans Light" w:hAnsi="IBM Plex Sans Light"/>
                <w:vertAlign w:val="superscript"/>
              </w:rPr>
            </w:pPr>
          </w:p>
        </w:tc>
        <w:tc>
          <w:tcPr>
            <w:tcW w:w="1131" w:type="dxa"/>
            <w:tcBorders>
              <w:top w:val="single" w:sz="2" w:space="0" w:color="3D7FE0" w:themeColor="accent1"/>
            </w:tcBorders>
            <w:shd w:val="clear" w:color="auto" w:fill="auto"/>
            <w:vAlign w:val="bottom"/>
          </w:tcPr>
          <w:p w14:paraId="7914BF42"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shd w:val="clear" w:color="auto" w:fill="auto"/>
            <w:vAlign w:val="bottom"/>
          </w:tcPr>
          <w:p w14:paraId="2BFA3247"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tcPr>
          <w:p w14:paraId="38678577"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1" w:type="dxa"/>
            <w:tcBorders>
              <w:top w:val="single" w:sz="2" w:space="0" w:color="3D7FE0" w:themeColor="accent1"/>
            </w:tcBorders>
          </w:tcPr>
          <w:p w14:paraId="7677FE7E"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c>
          <w:tcPr>
            <w:tcW w:w="1133" w:type="dxa"/>
            <w:tcBorders>
              <w:top w:val="single" w:sz="2" w:space="0" w:color="3D7FE0" w:themeColor="accent1"/>
            </w:tcBorders>
            <w:shd w:val="clear" w:color="auto" w:fill="auto"/>
            <w:vAlign w:val="bottom"/>
          </w:tcPr>
          <w:p w14:paraId="746B26ED" w14:textId="77777777" w:rsidR="006B43AF" w:rsidRPr="00F3112C" w:rsidRDefault="006B43AF" w:rsidP="004203CD">
            <w:pPr>
              <w:pStyle w:val="TablesTFigures"/>
              <w:spacing w:line="240" w:lineRule="exact"/>
              <w:rPr>
                <w:rFonts w:ascii="IBM Plex Sans Medium" w:eastAsia="Times New Roman" w:hAnsi="IBM Plex Sans Medium" w:cs="Times New Roman"/>
                <w:b/>
                <w:bCs/>
                <w:color w:val="3D7FE0" w:themeColor="accent1"/>
                <w:spacing w:val="-4"/>
                <w:sz w:val="18"/>
                <w:szCs w:val="18"/>
              </w:rPr>
            </w:pPr>
          </w:p>
        </w:tc>
      </w:tr>
      <w:tr w:rsidR="006B43AF" w:rsidRPr="005907D3" w14:paraId="5D62D290" w14:textId="77777777" w:rsidTr="004203CD">
        <w:trPr>
          <w:trHeight w:val="22"/>
        </w:trPr>
        <w:tc>
          <w:tcPr>
            <w:tcW w:w="3240" w:type="dxa"/>
            <w:shd w:val="clear" w:color="auto" w:fill="auto"/>
            <w:vAlign w:val="bottom"/>
          </w:tcPr>
          <w:p w14:paraId="082997A5" w14:textId="77777777" w:rsidR="006B43AF" w:rsidRPr="005907D3" w:rsidRDefault="006B43AF" w:rsidP="004203CD">
            <w:pPr>
              <w:pStyle w:val="TablesTText"/>
              <w:rPr>
                <w:rFonts w:ascii="IBM Plex Sans Light" w:hAnsi="IBM Plex Sans Light"/>
                <w:sz w:val="18"/>
                <w:szCs w:val="24"/>
                <w:vertAlign w:val="superscript"/>
              </w:rPr>
            </w:pPr>
            <w:r>
              <w:rPr>
                <w:rFonts w:ascii="IBM Plex Sans Light" w:hAnsi="IBM Plex Sans Light"/>
                <w:sz w:val="18"/>
                <w:szCs w:val="24"/>
              </w:rPr>
              <w:t>Loans</w:t>
            </w:r>
          </w:p>
        </w:tc>
        <w:tc>
          <w:tcPr>
            <w:tcW w:w="323" w:type="dxa"/>
            <w:shd w:val="clear" w:color="auto" w:fill="auto"/>
            <w:vAlign w:val="bottom"/>
          </w:tcPr>
          <w:p w14:paraId="3EAB3A68" w14:textId="77777777" w:rsidR="006B43AF" w:rsidRPr="005907D3" w:rsidRDefault="006B43AF" w:rsidP="004203CD">
            <w:pPr>
              <w:pStyle w:val="TablesTText"/>
              <w:rPr>
                <w:rFonts w:ascii="IBM Plex Sans Light" w:hAnsi="IBM Plex Sans Light"/>
                <w:sz w:val="18"/>
                <w:szCs w:val="24"/>
                <w:vertAlign w:val="superscript"/>
              </w:rPr>
            </w:pPr>
          </w:p>
        </w:tc>
        <w:tc>
          <w:tcPr>
            <w:tcW w:w="589" w:type="dxa"/>
            <w:shd w:val="clear" w:color="auto" w:fill="auto"/>
            <w:vAlign w:val="bottom"/>
          </w:tcPr>
          <w:p w14:paraId="49EC7ABA" w14:textId="77777777" w:rsidR="006B43AF" w:rsidRPr="005907D3" w:rsidRDefault="006B43AF" w:rsidP="004203CD">
            <w:pPr>
              <w:pStyle w:val="TablesTText"/>
              <w:jc w:val="center"/>
              <w:rPr>
                <w:rFonts w:ascii="IBM Plex Sans Light" w:hAnsi="IBM Plex Sans Light"/>
                <w:vertAlign w:val="superscript"/>
              </w:rPr>
            </w:pPr>
          </w:p>
        </w:tc>
        <w:tc>
          <w:tcPr>
            <w:tcW w:w="1131" w:type="dxa"/>
            <w:shd w:val="clear" w:color="auto" w:fill="auto"/>
            <w:vAlign w:val="bottom"/>
          </w:tcPr>
          <w:p w14:paraId="102D0E56" w14:textId="77777777" w:rsidR="006B43AF" w:rsidRPr="00F6452E" w:rsidRDefault="006B43AF" w:rsidP="004203CD">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1,646.4</w:t>
            </w:r>
          </w:p>
        </w:tc>
        <w:tc>
          <w:tcPr>
            <w:tcW w:w="1131" w:type="dxa"/>
            <w:shd w:val="clear" w:color="auto" w:fill="auto"/>
            <w:vAlign w:val="bottom"/>
          </w:tcPr>
          <w:p w14:paraId="2B8BA7C6" w14:textId="77777777" w:rsidR="006B43AF" w:rsidRPr="00F6452E" w:rsidRDefault="006B43AF" w:rsidP="004203CD">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391.6</w:t>
            </w:r>
          </w:p>
        </w:tc>
        <w:tc>
          <w:tcPr>
            <w:tcW w:w="1131" w:type="dxa"/>
            <w:vAlign w:val="bottom"/>
          </w:tcPr>
          <w:p w14:paraId="27B0290E" w14:textId="77777777" w:rsidR="006B43AF" w:rsidRPr="00F6452E" w:rsidRDefault="006B43AF" w:rsidP="004203CD">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674.9</w:t>
            </w:r>
          </w:p>
        </w:tc>
        <w:tc>
          <w:tcPr>
            <w:tcW w:w="1131" w:type="dxa"/>
            <w:vAlign w:val="bottom"/>
          </w:tcPr>
          <w:p w14:paraId="2C23B48F" w14:textId="77777777" w:rsidR="006B43AF" w:rsidRPr="00F6452E" w:rsidRDefault="006B43AF" w:rsidP="004203CD">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shd w:val="clear" w:color="auto" w:fill="auto"/>
            <w:vAlign w:val="bottom"/>
          </w:tcPr>
          <w:p w14:paraId="70D2ADCF" w14:textId="77777777" w:rsidR="006B43AF" w:rsidRPr="00F6452E" w:rsidRDefault="006B43AF" w:rsidP="004203CD">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2,712.9</w:t>
            </w:r>
          </w:p>
        </w:tc>
      </w:tr>
      <w:tr w:rsidR="006B43AF" w:rsidRPr="005907D3" w14:paraId="4A157664" w14:textId="77777777" w:rsidTr="004203CD">
        <w:trPr>
          <w:trHeight w:val="22"/>
        </w:trPr>
        <w:tc>
          <w:tcPr>
            <w:tcW w:w="3240" w:type="dxa"/>
            <w:shd w:val="clear" w:color="auto" w:fill="auto"/>
            <w:vAlign w:val="bottom"/>
          </w:tcPr>
          <w:p w14:paraId="3334BB99" w14:textId="77777777" w:rsidR="006B43AF" w:rsidRPr="005907D3" w:rsidRDefault="006B43AF" w:rsidP="004203CD">
            <w:pPr>
              <w:pStyle w:val="TablesTText"/>
              <w:rPr>
                <w:rFonts w:ascii="IBM Plex Sans Light" w:hAnsi="IBM Plex Sans Light"/>
                <w:sz w:val="18"/>
                <w:szCs w:val="24"/>
              </w:rPr>
            </w:pPr>
            <w:r>
              <w:rPr>
                <w:rFonts w:ascii="IBM Plex Sans Light" w:hAnsi="IBM Plex Sans Light"/>
                <w:sz w:val="18"/>
                <w:szCs w:val="24"/>
              </w:rPr>
              <w:t>Foreign currency derivatives</w:t>
            </w:r>
          </w:p>
        </w:tc>
        <w:tc>
          <w:tcPr>
            <w:tcW w:w="323" w:type="dxa"/>
            <w:shd w:val="clear" w:color="auto" w:fill="auto"/>
            <w:vAlign w:val="bottom"/>
          </w:tcPr>
          <w:p w14:paraId="090DBBE5"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6EEDF576" w14:textId="77777777" w:rsidR="006B43AF" w:rsidRPr="005907D3" w:rsidRDefault="006B43AF" w:rsidP="004203CD">
            <w:pPr>
              <w:pStyle w:val="TablesTText"/>
              <w:jc w:val="center"/>
              <w:rPr>
                <w:rFonts w:ascii="IBM Plex Sans Light" w:hAnsi="IBM Plex Sans Light"/>
              </w:rPr>
            </w:pPr>
          </w:p>
        </w:tc>
        <w:tc>
          <w:tcPr>
            <w:tcW w:w="1131" w:type="dxa"/>
            <w:shd w:val="clear" w:color="auto" w:fill="auto"/>
            <w:vAlign w:val="bottom"/>
          </w:tcPr>
          <w:p w14:paraId="39EEB5B1"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30.6</w:t>
            </w:r>
          </w:p>
        </w:tc>
        <w:tc>
          <w:tcPr>
            <w:tcW w:w="1131" w:type="dxa"/>
            <w:shd w:val="clear" w:color="auto" w:fill="auto"/>
            <w:vAlign w:val="bottom"/>
          </w:tcPr>
          <w:p w14:paraId="15BD0AAA"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1" w:type="dxa"/>
            <w:vAlign w:val="bottom"/>
          </w:tcPr>
          <w:p w14:paraId="104EDA8D"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1" w:type="dxa"/>
            <w:vAlign w:val="bottom"/>
          </w:tcPr>
          <w:p w14:paraId="3C230EF1"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shd w:val="clear" w:color="auto" w:fill="auto"/>
            <w:vAlign w:val="bottom"/>
          </w:tcPr>
          <w:p w14:paraId="2801047A"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30.6</w:t>
            </w:r>
          </w:p>
        </w:tc>
      </w:tr>
      <w:tr w:rsidR="006B43AF" w:rsidRPr="005907D3" w14:paraId="39BA518E" w14:textId="77777777" w:rsidTr="004203CD">
        <w:trPr>
          <w:trHeight w:val="22"/>
        </w:trPr>
        <w:tc>
          <w:tcPr>
            <w:tcW w:w="3240" w:type="dxa"/>
            <w:shd w:val="clear" w:color="auto" w:fill="auto"/>
            <w:vAlign w:val="bottom"/>
          </w:tcPr>
          <w:p w14:paraId="346BAB67" w14:textId="77777777" w:rsidR="006B43AF" w:rsidRPr="005134FF" w:rsidRDefault="006B43AF" w:rsidP="004203CD">
            <w:pPr>
              <w:pStyle w:val="TablesTText"/>
              <w:rPr>
                <w:rFonts w:ascii="IBM Plex Sans Light" w:hAnsi="IBM Plex Sans Light"/>
                <w:sz w:val="18"/>
                <w:szCs w:val="24"/>
                <w:vertAlign w:val="superscript"/>
              </w:rPr>
            </w:pPr>
            <w:r>
              <w:rPr>
                <w:rFonts w:ascii="IBM Plex Sans Light" w:hAnsi="IBM Plex Sans Light"/>
                <w:sz w:val="18"/>
                <w:szCs w:val="24"/>
              </w:rPr>
              <w:lastRenderedPageBreak/>
              <w:t xml:space="preserve">Net </w:t>
            </w:r>
            <w:proofErr w:type="spellStart"/>
            <w:r>
              <w:rPr>
                <w:rFonts w:ascii="IBM Plex Sans Light" w:hAnsi="IBM Plex Sans Light"/>
                <w:sz w:val="18"/>
                <w:szCs w:val="24"/>
              </w:rPr>
              <w:t>payables</w:t>
            </w:r>
            <w:r>
              <w:rPr>
                <w:rFonts w:ascii="IBM Plex Sans Light" w:hAnsi="IBM Plex Sans Light"/>
                <w:sz w:val="18"/>
                <w:szCs w:val="24"/>
                <w:vertAlign w:val="superscript"/>
              </w:rPr>
              <w:t>a</w:t>
            </w:r>
            <w:proofErr w:type="spellEnd"/>
          </w:p>
        </w:tc>
        <w:tc>
          <w:tcPr>
            <w:tcW w:w="323" w:type="dxa"/>
            <w:shd w:val="clear" w:color="auto" w:fill="auto"/>
            <w:vAlign w:val="bottom"/>
          </w:tcPr>
          <w:p w14:paraId="219B566D"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5F4F5C6D" w14:textId="77777777" w:rsidR="006B43AF" w:rsidRPr="005907D3" w:rsidRDefault="006B43AF" w:rsidP="004203CD">
            <w:pPr>
              <w:pStyle w:val="TablesTText"/>
              <w:rPr>
                <w:rFonts w:ascii="IBM Plex Sans Light" w:hAnsi="IBM Plex Sans Light"/>
              </w:rPr>
            </w:pPr>
          </w:p>
        </w:tc>
        <w:tc>
          <w:tcPr>
            <w:tcW w:w="1131" w:type="dxa"/>
            <w:shd w:val="clear" w:color="auto" w:fill="auto"/>
            <w:vAlign w:val="bottom"/>
          </w:tcPr>
          <w:p w14:paraId="0299B0B8"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101.0</w:t>
            </w:r>
          </w:p>
        </w:tc>
        <w:tc>
          <w:tcPr>
            <w:tcW w:w="1131" w:type="dxa"/>
            <w:shd w:val="clear" w:color="auto" w:fill="auto"/>
            <w:vAlign w:val="bottom"/>
          </w:tcPr>
          <w:p w14:paraId="5D1D44A1" w14:textId="77777777" w:rsidR="006B43AF" w:rsidRPr="00F6452E" w:rsidRDefault="006B43AF" w:rsidP="00F82829">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14.7</w:t>
            </w:r>
          </w:p>
        </w:tc>
        <w:tc>
          <w:tcPr>
            <w:tcW w:w="1131" w:type="dxa"/>
            <w:vAlign w:val="bottom"/>
          </w:tcPr>
          <w:p w14:paraId="46DEC0C3"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82.8</w:t>
            </w:r>
          </w:p>
        </w:tc>
        <w:tc>
          <w:tcPr>
            <w:tcW w:w="1131" w:type="dxa"/>
            <w:vAlign w:val="bottom"/>
          </w:tcPr>
          <w:p w14:paraId="6A95D560"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shd w:val="clear" w:color="auto" w:fill="auto"/>
            <w:vAlign w:val="bottom"/>
          </w:tcPr>
          <w:p w14:paraId="1127AA3B"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198.5</w:t>
            </w:r>
          </w:p>
        </w:tc>
      </w:tr>
      <w:tr w:rsidR="006B43AF" w:rsidRPr="005907D3" w14:paraId="08BEBFED" w14:textId="77777777" w:rsidTr="004203CD">
        <w:trPr>
          <w:trHeight w:val="22"/>
        </w:trPr>
        <w:tc>
          <w:tcPr>
            <w:tcW w:w="3240" w:type="dxa"/>
            <w:shd w:val="clear" w:color="auto" w:fill="auto"/>
            <w:vAlign w:val="bottom"/>
          </w:tcPr>
          <w:p w14:paraId="3BD7904C"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Exclude:</w:t>
            </w:r>
          </w:p>
        </w:tc>
        <w:tc>
          <w:tcPr>
            <w:tcW w:w="323" w:type="dxa"/>
            <w:shd w:val="clear" w:color="auto" w:fill="auto"/>
            <w:vAlign w:val="bottom"/>
          </w:tcPr>
          <w:p w14:paraId="57C79A09"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1F6D30BA" w14:textId="77777777" w:rsidR="006B43AF" w:rsidRPr="005907D3" w:rsidRDefault="006B43AF" w:rsidP="004203CD">
            <w:pPr>
              <w:pStyle w:val="TablesTText"/>
              <w:rPr>
                <w:rFonts w:ascii="IBM Plex Sans Light" w:hAnsi="IBM Plex Sans Light"/>
              </w:rPr>
            </w:pPr>
          </w:p>
        </w:tc>
        <w:tc>
          <w:tcPr>
            <w:tcW w:w="1131" w:type="dxa"/>
            <w:shd w:val="clear" w:color="auto" w:fill="auto"/>
            <w:vAlign w:val="bottom"/>
          </w:tcPr>
          <w:p w14:paraId="3AF300CD" w14:textId="77777777" w:rsidR="006B43AF" w:rsidRPr="00F6452E" w:rsidRDefault="006B43AF" w:rsidP="00024B10">
            <w:pPr>
              <w:pStyle w:val="TablesTFigures"/>
              <w:spacing w:line="240" w:lineRule="exact"/>
              <w:rPr>
                <w:rFonts w:ascii="IBM Plex Sans Light" w:hAnsi="IBM Plex Sans Light"/>
                <w:bCs/>
                <w:sz w:val="18"/>
                <w:szCs w:val="18"/>
              </w:rPr>
            </w:pPr>
          </w:p>
        </w:tc>
        <w:tc>
          <w:tcPr>
            <w:tcW w:w="1131" w:type="dxa"/>
            <w:shd w:val="clear" w:color="auto" w:fill="auto"/>
            <w:vAlign w:val="bottom"/>
          </w:tcPr>
          <w:p w14:paraId="177278EA" w14:textId="77777777" w:rsidR="006B43AF" w:rsidRPr="00F6452E" w:rsidRDefault="006B43AF" w:rsidP="00F82829">
            <w:pPr>
              <w:pStyle w:val="TablesTFigures"/>
              <w:spacing w:line="240" w:lineRule="exact"/>
              <w:rPr>
                <w:rFonts w:ascii="IBM Plex Sans Light" w:hAnsi="IBM Plex Sans Light"/>
                <w:bCs/>
                <w:sz w:val="18"/>
                <w:szCs w:val="18"/>
              </w:rPr>
            </w:pPr>
          </w:p>
        </w:tc>
        <w:tc>
          <w:tcPr>
            <w:tcW w:w="1131" w:type="dxa"/>
            <w:vAlign w:val="bottom"/>
          </w:tcPr>
          <w:p w14:paraId="1D956494" w14:textId="77777777" w:rsidR="006B43AF" w:rsidRPr="00F6452E" w:rsidRDefault="006B43AF" w:rsidP="00024B10">
            <w:pPr>
              <w:pStyle w:val="TablesTFigures"/>
              <w:spacing w:line="240" w:lineRule="exact"/>
              <w:rPr>
                <w:rFonts w:ascii="IBM Plex Sans Light" w:hAnsi="IBM Plex Sans Light"/>
                <w:bCs/>
                <w:sz w:val="18"/>
                <w:szCs w:val="18"/>
              </w:rPr>
            </w:pPr>
          </w:p>
        </w:tc>
        <w:tc>
          <w:tcPr>
            <w:tcW w:w="1131" w:type="dxa"/>
            <w:vAlign w:val="bottom"/>
          </w:tcPr>
          <w:p w14:paraId="074044C1" w14:textId="77777777" w:rsidR="006B43AF" w:rsidRPr="00F6452E" w:rsidRDefault="006B43AF" w:rsidP="00024B10">
            <w:pPr>
              <w:pStyle w:val="TablesTFigures"/>
              <w:spacing w:line="240" w:lineRule="exact"/>
              <w:rPr>
                <w:rFonts w:ascii="IBM Plex Sans Light" w:hAnsi="IBM Plex Sans Light"/>
                <w:bCs/>
                <w:sz w:val="18"/>
                <w:szCs w:val="18"/>
              </w:rPr>
            </w:pPr>
          </w:p>
        </w:tc>
        <w:tc>
          <w:tcPr>
            <w:tcW w:w="1133" w:type="dxa"/>
            <w:shd w:val="clear" w:color="auto" w:fill="auto"/>
            <w:vAlign w:val="bottom"/>
          </w:tcPr>
          <w:p w14:paraId="479A626D" w14:textId="77777777" w:rsidR="006B43AF" w:rsidRPr="00F6452E" w:rsidRDefault="006B43AF" w:rsidP="00024B10">
            <w:pPr>
              <w:pStyle w:val="TablesTFigures"/>
              <w:spacing w:line="240" w:lineRule="exact"/>
              <w:rPr>
                <w:rFonts w:ascii="IBM Plex Sans Light" w:hAnsi="IBM Plex Sans Light"/>
                <w:bCs/>
                <w:sz w:val="18"/>
                <w:szCs w:val="18"/>
              </w:rPr>
            </w:pPr>
          </w:p>
        </w:tc>
      </w:tr>
      <w:tr w:rsidR="00C62996" w:rsidRPr="005907D3" w14:paraId="1E5E8C34" w14:textId="77777777" w:rsidTr="004203CD">
        <w:trPr>
          <w:trHeight w:val="22"/>
        </w:trPr>
        <w:tc>
          <w:tcPr>
            <w:tcW w:w="3240" w:type="dxa"/>
            <w:tcBorders>
              <w:bottom w:val="single" w:sz="2" w:space="0" w:color="3D7FE0" w:themeColor="accent1"/>
            </w:tcBorders>
            <w:shd w:val="clear" w:color="auto" w:fill="auto"/>
            <w:vAlign w:val="bottom"/>
          </w:tcPr>
          <w:p w14:paraId="18D58FC9" w14:textId="77777777" w:rsidR="00C62996" w:rsidRPr="005907D3" w:rsidRDefault="00C62996" w:rsidP="00C62996">
            <w:pPr>
              <w:pStyle w:val="TablesTText"/>
              <w:rPr>
                <w:rFonts w:ascii="IBM Plex Sans Light" w:hAnsi="IBM Plex Sans Light"/>
                <w:sz w:val="18"/>
                <w:szCs w:val="24"/>
              </w:rPr>
            </w:pPr>
            <w:r>
              <w:rPr>
                <w:rFonts w:ascii="IBM Plex Sans Light" w:hAnsi="IBM Plex Sans Light"/>
                <w:sz w:val="18"/>
                <w:szCs w:val="24"/>
              </w:rPr>
              <w:t>Cash and cash equivalents</w:t>
            </w:r>
          </w:p>
        </w:tc>
        <w:tc>
          <w:tcPr>
            <w:tcW w:w="323" w:type="dxa"/>
            <w:tcBorders>
              <w:bottom w:val="single" w:sz="2" w:space="0" w:color="3D7FE0" w:themeColor="accent1"/>
            </w:tcBorders>
            <w:shd w:val="clear" w:color="auto" w:fill="auto"/>
            <w:vAlign w:val="bottom"/>
          </w:tcPr>
          <w:p w14:paraId="53F9DDB2" w14:textId="77777777" w:rsidR="00C62996" w:rsidRPr="005907D3" w:rsidRDefault="00C62996" w:rsidP="00C62996">
            <w:pPr>
              <w:pStyle w:val="TablesTText"/>
              <w:rPr>
                <w:rFonts w:ascii="IBM Plex Sans Light" w:hAnsi="IBM Plex Sans Light"/>
                <w:sz w:val="18"/>
                <w:szCs w:val="24"/>
              </w:rPr>
            </w:pPr>
          </w:p>
        </w:tc>
        <w:tc>
          <w:tcPr>
            <w:tcW w:w="589" w:type="dxa"/>
            <w:tcBorders>
              <w:bottom w:val="single" w:sz="2" w:space="0" w:color="3D7FE0" w:themeColor="accent1"/>
            </w:tcBorders>
            <w:shd w:val="clear" w:color="auto" w:fill="auto"/>
            <w:vAlign w:val="bottom"/>
          </w:tcPr>
          <w:p w14:paraId="33BAE10A" w14:textId="77777777" w:rsidR="00C62996" w:rsidRPr="005907D3" w:rsidRDefault="00C62996" w:rsidP="00C62996">
            <w:pPr>
              <w:pStyle w:val="TablesTText"/>
              <w:rPr>
                <w:rFonts w:ascii="IBM Plex Sans Light" w:hAnsi="IBM Plex Sans Light"/>
              </w:rPr>
            </w:pPr>
          </w:p>
        </w:tc>
        <w:tc>
          <w:tcPr>
            <w:tcW w:w="1131" w:type="dxa"/>
            <w:tcBorders>
              <w:bottom w:val="single" w:sz="2" w:space="0" w:color="3D7FE0" w:themeColor="accent1"/>
            </w:tcBorders>
            <w:shd w:val="clear" w:color="auto" w:fill="auto"/>
            <w:vAlign w:val="bottom"/>
          </w:tcPr>
          <w:p w14:paraId="2357FB46" w14:textId="77777777" w:rsidR="00C62996" w:rsidRPr="00F6452E" w:rsidRDefault="00C62996" w:rsidP="00C62996">
            <w:pPr>
              <w:pStyle w:val="TablesTFigureBrackets"/>
              <w:spacing w:line="240" w:lineRule="exact"/>
              <w:rPr>
                <w:rFonts w:ascii="IBM Plex Sans Light" w:hAnsi="IBM Plex Sans Light"/>
                <w:bCs/>
                <w:sz w:val="18"/>
                <w:szCs w:val="18"/>
              </w:rPr>
            </w:pPr>
            <w:r w:rsidRPr="006A4A8B">
              <w:rPr>
                <w:rFonts w:ascii="IBM Plex Sans Light" w:hAnsi="IBM Plex Sans Light"/>
                <w:bCs/>
                <w:sz w:val="18"/>
                <w:szCs w:val="18"/>
              </w:rPr>
              <w:t>(218.8)</w:t>
            </w:r>
          </w:p>
        </w:tc>
        <w:tc>
          <w:tcPr>
            <w:tcW w:w="1131" w:type="dxa"/>
            <w:tcBorders>
              <w:bottom w:val="single" w:sz="2" w:space="0" w:color="3D7FE0" w:themeColor="accent1"/>
            </w:tcBorders>
            <w:shd w:val="clear" w:color="auto" w:fill="auto"/>
            <w:vAlign w:val="bottom"/>
          </w:tcPr>
          <w:p w14:paraId="014F8094" w14:textId="77777777" w:rsidR="00C62996" w:rsidRPr="00F6452E" w:rsidRDefault="00C62996" w:rsidP="00024B10">
            <w:pPr>
              <w:pStyle w:val="TablesTFigureBrackets"/>
              <w:spacing w:line="240" w:lineRule="exact"/>
              <w:rPr>
                <w:rFonts w:ascii="IBM Plex Sans Light" w:hAnsi="IBM Plex Sans Light"/>
                <w:bCs/>
                <w:sz w:val="18"/>
                <w:szCs w:val="18"/>
              </w:rPr>
            </w:pPr>
            <w:r w:rsidRPr="006A4A8B">
              <w:rPr>
                <w:rFonts w:ascii="IBM Plex Sans Light" w:hAnsi="IBM Plex Sans Light"/>
                <w:bCs/>
                <w:sz w:val="18"/>
                <w:szCs w:val="18"/>
              </w:rPr>
              <w:t>(117.7)</w:t>
            </w:r>
          </w:p>
        </w:tc>
        <w:tc>
          <w:tcPr>
            <w:tcW w:w="1131" w:type="dxa"/>
            <w:tcBorders>
              <w:bottom w:val="single" w:sz="2" w:space="0" w:color="3D7FE0" w:themeColor="accent1"/>
            </w:tcBorders>
            <w:vAlign w:val="bottom"/>
          </w:tcPr>
          <w:p w14:paraId="62046091" w14:textId="77777777" w:rsidR="00C62996" w:rsidRPr="00F6452E" w:rsidRDefault="00C62996" w:rsidP="00C62996">
            <w:pPr>
              <w:pStyle w:val="TablesTFigureBrackets"/>
              <w:spacing w:line="240" w:lineRule="exact"/>
              <w:rPr>
                <w:rFonts w:ascii="IBM Plex Sans Light" w:hAnsi="IBM Plex Sans Light"/>
                <w:bCs/>
                <w:sz w:val="18"/>
                <w:szCs w:val="18"/>
              </w:rPr>
            </w:pPr>
            <w:r w:rsidRPr="006A4A8B">
              <w:rPr>
                <w:rFonts w:ascii="IBM Plex Sans Light" w:hAnsi="IBM Plex Sans Light"/>
                <w:bCs/>
                <w:sz w:val="18"/>
                <w:szCs w:val="18"/>
              </w:rPr>
              <w:t>(93.6)</w:t>
            </w:r>
          </w:p>
        </w:tc>
        <w:tc>
          <w:tcPr>
            <w:tcW w:w="1131" w:type="dxa"/>
            <w:tcBorders>
              <w:bottom w:val="single" w:sz="2" w:space="0" w:color="3D7FE0" w:themeColor="accent1"/>
            </w:tcBorders>
            <w:vAlign w:val="bottom"/>
          </w:tcPr>
          <w:p w14:paraId="5CF97A5C" w14:textId="26804E7F" w:rsidR="00C62996" w:rsidRPr="00F6452E" w:rsidRDefault="00C62996"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tcBorders>
              <w:bottom w:val="single" w:sz="2" w:space="0" w:color="3D7FE0" w:themeColor="accent1"/>
            </w:tcBorders>
            <w:shd w:val="clear" w:color="auto" w:fill="auto"/>
            <w:vAlign w:val="bottom"/>
          </w:tcPr>
          <w:p w14:paraId="69D7FF00" w14:textId="77777777" w:rsidR="00C62996" w:rsidRPr="00F6452E" w:rsidRDefault="00C62996" w:rsidP="00C62996">
            <w:pPr>
              <w:pStyle w:val="TablesTFigureBrackets"/>
              <w:spacing w:line="240" w:lineRule="exact"/>
              <w:rPr>
                <w:rFonts w:ascii="IBM Plex Sans Light" w:hAnsi="IBM Plex Sans Light"/>
                <w:bCs/>
                <w:sz w:val="18"/>
                <w:szCs w:val="18"/>
              </w:rPr>
            </w:pPr>
            <w:r w:rsidRPr="006A4A8B">
              <w:rPr>
                <w:rFonts w:ascii="IBM Plex Sans Light" w:hAnsi="IBM Plex Sans Light"/>
                <w:bCs/>
                <w:sz w:val="18"/>
                <w:szCs w:val="18"/>
              </w:rPr>
              <w:t>(430.1)</w:t>
            </w:r>
          </w:p>
        </w:tc>
      </w:tr>
      <w:tr w:rsidR="006B43AF" w:rsidRPr="005907D3" w14:paraId="342CFF65" w14:textId="77777777" w:rsidTr="004203CD">
        <w:trPr>
          <w:trHeight w:val="22"/>
        </w:trPr>
        <w:tc>
          <w:tcPr>
            <w:tcW w:w="3240" w:type="dxa"/>
            <w:tcBorders>
              <w:top w:val="single" w:sz="2" w:space="0" w:color="3D7FE0" w:themeColor="accent1"/>
              <w:bottom w:val="single" w:sz="2" w:space="0" w:color="3D7FE0" w:themeColor="accent1"/>
            </w:tcBorders>
            <w:shd w:val="clear" w:color="auto" w:fill="auto"/>
            <w:vAlign w:val="bottom"/>
          </w:tcPr>
          <w:p w14:paraId="2C355B44"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Net Debt</w:t>
            </w:r>
          </w:p>
        </w:tc>
        <w:tc>
          <w:tcPr>
            <w:tcW w:w="323" w:type="dxa"/>
            <w:tcBorders>
              <w:top w:val="single" w:sz="2" w:space="0" w:color="3D7FE0" w:themeColor="accent1"/>
              <w:bottom w:val="single" w:sz="2" w:space="0" w:color="3D7FE0" w:themeColor="accent1"/>
            </w:tcBorders>
            <w:shd w:val="clear" w:color="auto" w:fill="auto"/>
            <w:vAlign w:val="bottom"/>
          </w:tcPr>
          <w:p w14:paraId="15FB1845" w14:textId="77777777" w:rsidR="006B43AF" w:rsidRPr="005907D3" w:rsidRDefault="006B43AF" w:rsidP="004203CD">
            <w:pPr>
              <w:pStyle w:val="TablesTText"/>
              <w:rPr>
                <w:rFonts w:ascii="IBM Plex Sans Light" w:hAnsi="IBM Plex Sans Light"/>
                <w:sz w:val="18"/>
                <w:szCs w:val="24"/>
              </w:rPr>
            </w:pPr>
          </w:p>
        </w:tc>
        <w:tc>
          <w:tcPr>
            <w:tcW w:w="589" w:type="dxa"/>
            <w:tcBorders>
              <w:top w:val="single" w:sz="2" w:space="0" w:color="3D7FE0" w:themeColor="accent1"/>
              <w:bottom w:val="single" w:sz="2" w:space="0" w:color="3D7FE0" w:themeColor="accent1"/>
            </w:tcBorders>
            <w:shd w:val="clear" w:color="auto" w:fill="auto"/>
            <w:vAlign w:val="bottom"/>
          </w:tcPr>
          <w:p w14:paraId="5CDEDD5D" w14:textId="77777777" w:rsidR="006B43AF" w:rsidRPr="00F6452E" w:rsidRDefault="006B43AF" w:rsidP="004203CD">
            <w:pPr>
              <w:pStyle w:val="TablesTText"/>
              <w:jc w:val="right"/>
              <w:rPr>
                <w:rFonts w:ascii="IBM Plex Sans Light" w:hAnsi="IBM Plex Sans Light"/>
              </w:rPr>
            </w:pPr>
            <w:r w:rsidRPr="00F6452E">
              <w:rPr>
                <w:rFonts w:ascii="IBM Plex Sans Light" w:hAnsi="IBM Plex Sans Light"/>
              </w:rPr>
              <w:t>A</w:t>
            </w:r>
          </w:p>
        </w:tc>
        <w:tc>
          <w:tcPr>
            <w:tcW w:w="1131" w:type="dxa"/>
            <w:tcBorders>
              <w:top w:val="single" w:sz="2" w:space="0" w:color="3D7FE0" w:themeColor="accent1"/>
              <w:bottom w:val="single" w:sz="2" w:space="0" w:color="3D7FE0" w:themeColor="accent1"/>
            </w:tcBorders>
            <w:shd w:val="clear" w:color="auto" w:fill="auto"/>
            <w:vAlign w:val="bottom"/>
          </w:tcPr>
          <w:p w14:paraId="6CDF31DE"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1,559.2</w:t>
            </w:r>
          </w:p>
        </w:tc>
        <w:tc>
          <w:tcPr>
            <w:tcW w:w="1131" w:type="dxa"/>
            <w:tcBorders>
              <w:top w:val="single" w:sz="2" w:space="0" w:color="3D7FE0" w:themeColor="accent1"/>
              <w:bottom w:val="single" w:sz="2" w:space="0" w:color="3D7FE0" w:themeColor="accent1"/>
            </w:tcBorders>
            <w:shd w:val="clear" w:color="auto" w:fill="auto"/>
            <w:vAlign w:val="bottom"/>
          </w:tcPr>
          <w:p w14:paraId="4988FFDE" w14:textId="77777777" w:rsidR="006B43AF" w:rsidRPr="00F6452E" w:rsidRDefault="006B43AF" w:rsidP="00F82829">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288.6</w:t>
            </w:r>
          </w:p>
        </w:tc>
        <w:tc>
          <w:tcPr>
            <w:tcW w:w="1131" w:type="dxa"/>
            <w:tcBorders>
              <w:top w:val="single" w:sz="2" w:space="0" w:color="3D7FE0" w:themeColor="accent1"/>
              <w:bottom w:val="single" w:sz="2" w:space="0" w:color="3D7FE0" w:themeColor="accent1"/>
            </w:tcBorders>
            <w:vAlign w:val="bottom"/>
          </w:tcPr>
          <w:p w14:paraId="27CCC8FB"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664.1</w:t>
            </w:r>
          </w:p>
        </w:tc>
        <w:tc>
          <w:tcPr>
            <w:tcW w:w="1131" w:type="dxa"/>
            <w:tcBorders>
              <w:top w:val="single" w:sz="2" w:space="0" w:color="3D7FE0" w:themeColor="accent1"/>
              <w:bottom w:val="single" w:sz="2" w:space="0" w:color="3D7FE0" w:themeColor="accent1"/>
            </w:tcBorders>
            <w:vAlign w:val="bottom"/>
          </w:tcPr>
          <w:p w14:paraId="76471D25"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tcBorders>
              <w:top w:val="single" w:sz="2" w:space="0" w:color="3D7FE0" w:themeColor="accent1"/>
              <w:bottom w:val="single" w:sz="2" w:space="0" w:color="3D7FE0" w:themeColor="accent1"/>
            </w:tcBorders>
            <w:shd w:val="clear" w:color="auto" w:fill="auto"/>
            <w:vAlign w:val="bottom"/>
          </w:tcPr>
          <w:p w14:paraId="21361E16"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2,511.9</w:t>
            </w:r>
          </w:p>
        </w:tc>
      </w:tr>
      <w:tr w:rsidR="006B43AF" w:rsidRPr="005907D3" w14:paraId="63CD4685" w14:textId="77777777" w:rsidTr="004203CD">
        <w:trPr>
          <w:trHeight w:val="22"/>
        </w:trPr>
        <w:tc>
          <w:tcPr>
            <w:tcW w:w="3240" w:type="dxa"/>
            <w:tcBorders>
              <w:top w:val="single" w:sz="2" w:space="0" w:color="3D7FE0" w:themeColor="accent1"/>
            </w:tcBorders>
            <w:shd w:val="clear" w:color="auto" w:fill="auto"/>
            <w:vAlign w:val="bottom"/>
          </w:tcPr>
          <w:p w14:paraId="3D4E9185"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Include:</w:t>
            </w:r>
          </w:p>
        </w:tc>
        <w:tc>
          <w:tcPr>
            <w:tcW w:w="323" w:type="dxa"/>
            <w:tcBorders>
              <w:top w:val="single" w:sz="2" w:space="0" w:color="3D7FE0" w:themeColor="accent1"/>
            </w:tcBorders>
            <w:shd w:val="clear" w:color="auto" w:fill="auto"/>
            <w:vAlign w:val="bottom"/>
          </w:tcPr>
          <w:p w14:paraId="0A316E44" w14:textId="77777777" w:rsidR="006B43AF" w:rsidRPr="005907D3" w:rsidRDefault="006B43AF" w:rsidP="004203CD">
            <w:pPr>
              <w:pStyle w:val="TablesTText"/>
              <w:rPr>
                <w:rFonts w:ascii="IBM Plex Sans Light" w:hAnsi="IBM Plex Sans Light"/>
                <w:sz w:val="18"/>
                <w:szCs w:val="24"/>
              </w:rPr>
            </w:pPr>
          </w:p>
        </w:tc>
        <w:tc>
          <w:tcPr>
            <w:tcW w:w="589" w:type="dxa"/>
            <w:tcBorders>
              <w:top w:val="single" w:sz="2" w:space="0" w:color="3D7FE0" w:themeColor="accent1"/>
            </w:tcBorders>
            <w:shd w:val="clear" w:color="auto" w:fill="auto"/>
            <w:vAlign w:val="bottom"/>
          </w:tcPr>
          <w:p w14:paraId="255FDD1A" w14:textId="77777777" w:rsidR="006B43AF" w:rsidRPr="00F6452E" w:rsidRDefault="006B43AF" w:rsidP="004203CD">
            <w:pPr>
              <w:pStyle w:val="TablesTText"/>
              <w:rPr>
                <w:rFonts w:ascii="IBM Plex Sans Light" w:hAnsi="IBM Plex Sans Light"/>
              </w:rPr>
            </w:pPr>
          </w:p>
        </w:tc>
        <w:tc>
          <w:tcPr>
            <w:tcW w:w="1131" w:type="dxa"/>
            <w:tcBorders>
              <w:top w:val="single" w:sz="2" w:space="0" w:color="3D7FE0" w:themeColor="accent1"/>
            </w:tcBorders>
            <w:shd w:val="clear" w:color="auto" w:fill="auto"/>
            <w:vAlign w:val="bottom"/>
          </w:tcPr>
          <w:p w14:paraId="69B20356"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tcBorders>
              <w:top w:val="single" w:sz="2" w:space="0" w:color="3D7FE0" w:themeColor="accent1"/>
            </w:tcBorders>
            <w:shd w:val="clear" w:color="auto" w:fill="auto"/>
            <w:vAlign w:val="bottom"/>
          </w:tcPr>
          <w:p w14:paraId="6D36F2B9" w14:textId="77777777" w:rsidR="006B43AF" w:rsidRPr="00F6452E" w:rsidRDefault="006B43AF" w:rsidP="004203CD">
            <w:pPr>
              <w:pStyle w:val="TablesTFigures"/>
              <w:spacing w:line="240" w:lineRule="exact"/>
              <w:rPr>
                <w:rFonts w:ascii="IBM Plex Sans Light" w:hAnsi="IBM Plex Sans Light"/>
                <w:bCs/>
                <w:sz w:val="18"/>
                <w:szCs w:val="18"/>
              </w:rPr>
            </w:pPr>
          </w:p>
        </w:tc>
        <w:tc>
          <w:tcPr>
            <w:tcW w:w="1131" w:type="dxa"/>
            <w:tcBorders>
              <w:top w:val="single" w:sz="2" w:space="0" w:color="3D7FE0" w:themeColor="accent1"/>
            </w:tcBorders>
          </w:tcPr>
          <w:p w14:paraId="700AA667"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tcBorders>
              <w:top w:val="single" w:sz="2" w:space="0" w:color="3D7FE0" w:themeColor="accent1"/>
            </w:tcBorders>
          </w:tcPr>
          <w:p w14:paraId="639EBFB7"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3" w:type="dxa"/>
            <w:tcBorders>
              <w:top w:val="single" w:sz="2" w:space="0" w:color="3D7FE0" w:themeColor="accent1"/>
            </w:tcBorders>
            <w:shd w:val="clear" w:color="auto" w:fill="auto"/>
            <w:vAlign w:val="bottom"/>
          </w:tcPr>
          <w:p w14:paraId="5C2DCAE3" w14:textId="77777777" w:rsidR="006B43AF" w:rsidRPr="00F6452E" w:rsidRDefault="006B43AF" w:rsidP="004203CD">
            <w:pPr>
              <w:pStyle w:val="TablesTFigureBrackets"/>
              <w:spacing w:line="240" w:lineRule="exact"/>
              <w:rPr>
                <w:rFonts w:ascii="IBM Plex Sans Light" w:hAnsi="IBM Plex Sans Light"/>
                <w:bCs/>
                <w:sz w:val="18"/>
                <w:szCs w:val="18"/>
              </w:rPr>
            </w:pPr>
          </w:p>
        </w:tc>
      </w:tr>
      <w:tr w:rsidR="006B43AF" w:rsidRPr="005907D3" w14:paraId="7A4F0304" w14:textId="77777777" w:rsidTr="004203CD">
        <w:trPr>
          <w:trHeight w:val="22"/>
        </w:trPr>
        <w:tc>
          <w:tcPr>
            <w:tcW w:w="3240" w:type="dxa"/>
            <w:shd w:val="clear" w:color="auto" w:fill="auto"/>
            <w:vAlign w:val="bottom"/>
          </w:tcPr>
          <w:p w14:paraId="55175746" w14:textId="77777777" w:rsidR="006B43AF" w:rsidRPr="005907D3" w:rsidRDefault="006B43AF" w:rsidP="004203CD">
            <w:pPr>
              <w:pStyle w:val="TablesTText"/>
              <w:rPr>
                <w:rFonts w:ascii="IBM Plex Sans Light" w:hAnsi="IBM Plex Sans Light"/>
                <w:sz w:val="18"/>
                <w:szCs w:val="24"/>
              </w:rPr>
            </w:pPr>
            <w:r>
              <w:rPr>
                <w:rFonts w:ascii="IBM Plex Sans Light" w:hAnsi="IBM Plex Sans Light"/>
                <w:sz w:val="18"/>
                <w:szCs w:val="24"/>
              </w:rPr>
              <w:t>Investment properties at fair value</w:t>
            </w:r>
          </w:p>
        </w:tc>
        <w:tc>
          <w:tcPr>
            <w:tcW w:w="323" w:type="dxa"/>
            <w:shd w:val="clear" w:color="auto" w:fill="auto"/>
            <w:vAlign w:val="bottom"/>
          </w:tcPr>
          <w:p w14:paraId="7B7BF50A"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5D746DF4" w14:textId="77777777" w:rsidR="006B43AF" w:rsidRPr="00F6452E" w:rsidRDefault="006B43AF" w:rsidP="004203CD">
            <w:pPr>
              <w:pStyle w:val="TablesTText"/>
              <w:rPr>
                <w:rFonts w:ascii="IBM Plex Sans Light" w:hAnsi="IBM Plex Sans Light"/>
              </w:rPr>
            </w:pPr>
          </w:p>
        </w:tc>
        <w:tc>
          <w:tcPr>
            <w:tcW w:w="1131" w:type="dxa"/>
            <w:shd w:val="clear" w:color="auto" w:fill="auto"/>
            <w:vAlign w:val="bottom"/>
          </w:tcPr>
          <w:p w14:paraId="56AB0414"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1,461.0</w:t>
            </w:r>
          </w:p>
        </w:tc>
        <w:tc>
          <w:tcPr>
            <w:tcW w:w="1131" w:type="dxa"/>
            <w:shd w:val="clear" w:color="auto" w:fill="auto"/>
            <w:vAlign w:val="bottom"/>
          </w:tcPr>
          <w:p w14:paraId="79C85651" w14:textId="77777777" w:rsidR="006B43AF" w:rsidRPr="00F6452E" w:rsidRDefault="006B43AF" w:rsidP="00F82829">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1,722.8</w:t>
            </w:r>
          </w:p>
        </w:tc>
        <w:tc>
          <w:tcPr>
            <w:tcW w:w="1131" w:type="dxa"/>
            <w:vAlign w:val="bottom"/>
          </w:tcPr>
          <w:p w14:paraId="15A46694"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1,887.0</w:t>
            </w:r>
          </w:p>
        </w:tc>
        <w:tc>
          <w:tcPr>
            <w:tcW w:w="1131" w:type="dxa"/>
            <w:vAlign w:val="bottom"/>
          </w:tcPr>
          <w:p w14:paraId="5EFFE6B3"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shd w:val="clear" w:color="auto" w:fill="auto"/>
            <w:vAlign w:val="bottom"/>
          </w:tcPr>
          <w:p w14:paraId="1A423DF1"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5,070.8</w:t>
            </w:r>
          </w:p>
        </w:tc>
      </w:tr>
      <w:tr w:rsidR="006B43AF" w:rsidRPr="005907D3" w14:paraId="02D6D07F" w14:textId="77777777" w:rsidTr="004203CD">
        <w:trPr>
          <w:trHeight w:val="22"/>
        </w:trPr>
        <w:tc>
          <w:tcPr>
            <w:tcW w:w="3240" w:type="dxa"/>
            <w:tcBorders>
              <w:bottom w:val="single" w:sz="2" w:space="0" w:color="3D7FE0" w:themeColor="accent1"/>
            </w:tcBorders>
            <w:shd w:val="clear" w:color="auto" w:fill="auto"/>
            <w:vAlign w:val="bottom"/>
          </w:tcPr>
          <w:p w14:paraId="4433A0B2" w14:textId="77777777" w:rsidR="006B43AF" w:rsidRDefault="006B43AF" w:rsidP="004203CD">
            <w:pPr>
              <w:pStyle w:val="TablesTText"/>
              <w:rPr>
                <w:rFonts w:ascii="IBM Plex Sans Light" w:hAnsi="IBM Plex Sans Light"/>
                <w:sz w:val="18"/>
                <w:szCs w:val="24"/>
              </w:rPr>
            </w:pPr>
            <w:r>
              <w:rPr>
                <w:rFonts w:ascii="IBM Plex Sans Light" w:hAnsi="IBM Plex Sans Light"/>
                <w:sz w:val="18"/>
                <w:szCs w:val="24"/>
              </w:rPr>
              <w:t>Properties held for sale</w:t>
            </w:r>
          </w:p>
        </w:tc>
        <w:tc>
          <w:tcPr>
            <w:tcW w:w="323" w:type="dxa"/>
            <w:tcBorders>
              <w:bottom w:val="single" w:sz="2" w:space="0" w:color="3D7FE0" w:themeColor="accent1"/>
            </w:tcBorders>
            <w:shd w:val="clear" w:color="auto" w:fill="auto"/>
            <w:vAlign w:val="bottom"/>
          </w:tcPr>
          <w:p w14:paraId="0BA8AA67" w14:textId="77777777" w:rsidR="006B43AF" w:rsidRPr="005907D3" w:rsidRDefault="006B43AF" w:rsidP="004203CD">
            <w:pPr>
              <w:pStyle w:val="TablesTText"/>
              <w:rPr>
                <w:rFonts w:ascii="IBM Plex Sans Light" w:hAnsi="IBM Plex Sans Light"/>
                <w:sz w:val="18"/>
                <w:szCs w:val="24"/>
              </w:rPr>
            </w:pPr>
          </w:p>
        </w:tc>
        <w:tc>
          <w:tcPr>
            <w:tcW w:w="589" w:type="dxa"/>
            <w:tcBorders>
              <w:bottom w:val="single" w:sz="2" w:space="0" w:color="3D7FE0" w:themeColor="accent1"/>
            </w:tcBorders>
            <w:shd w:val="clear" w:color="auto" w:fill="auto"/>
            <w:vAlign w:val="bottom"/>
          </w:tcPr>
          <w:p w14:paraId="609DEDCF" w14:textId="77777777" w:rsidR="006B43AF" w:rsidRPr="00F6452E" w:rsidRDefault="006B43AF" w:rsidP="004203CD">
            <w:pPr>
              <w:pStyle w:val="TablesTText"/>
              <w:rPr>
                <w:rFonts w:ascii="IBM Plex Sans Light" w:hAnsi="IBM Plex Sans Light"/>
              </w:rPr>
            </w:pPr>
          </w:p>
        </w:tc>
        <w:tc>
          <w:tcPr>
            <w:tcW w:w="1131" w:type="dxa"/>
            <w:tcBorders>
              <w:bottom w:val="single" w:sz="2" w:space="0" w:color="3D7FE0" w:themeColor="accent1"/>
            </w:tcBorders>
            <w:shd w:val="clear" w:color="auto" w:fill="auto"/>
            <w:vAlign w:val="bottom"/>
          </w:tcPr>
          <w:p w14:paraId="25B9077A"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1" w:type="dxa"/>
            <w:tcBorders>
              <w:bottom w:val="single" w:sz="2" w:space="0" w:color="3D7FE0" w:themeColor="accent1"/>
            </w:tcBorders>
            <w:shd w:val="clear" w:color="auto" w:fill="auto"/>
            <w:vAlign w:val="bottom"/>
          </w:tcPr>
          <w:p w14:paraId="46608EAA" w14:textId="77777777" w:rsidR="006B43AF" w:rsidRPr="00F6452E" w:rsidRDefault="006B43AF" w:rsidP="00F82829">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36.2</w:t>
            </w:r>
          </w:p>
        </w:tc>
        <w:tc>
          <w:tcPr>
            <w:tcW w:w="1131" w:type="dxa"/>
            <w:tcBorders>
              <w:bottom w:val="single" w:sz="2" w:space="0" w:color="3D7FE0" w:themeColor="accent1"/>
            </w:tcBorders>
            <w:vAlign w:val="bottom"/>
          </w:tcPr>
          <w:p w14:paraId="014DE435"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1" w:type="dxa"/>
            <w:tcBorders>
              <w:bottom w:val="single" w:sz="2" w:space="0" w:color="3D7FE0" w:themeColor="accent1"/>
            </w:tcBorders>
            <w:vAlign w:val="bottom"/>
          </w:tcPr>
          <w:p w14:paraId="24386D91"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w:t>
            </w:r>
          </w:p>
        </w:tc>
        <w:tc>
          <w:tcPr>
            <w:tcW w:w="1133" w:type="dxa"/>
            <w:tcBorders>
              <w:bottom w:val="single" w:sz="2" w:space="0" w:color="3D7FE0" w:themeColor="accent1"/>
            </w:tcBorders>
            <w:shd w:val="clear" w:color="auto" w:fill="auto"/>
            <w:vAlign w:val="bottom"/>
          </w:tcPr>
          <w:p w14:paraId="23D022E1" w14:textId="77777777" w:rsidR="006B43AF" w:rsidRPr="00F6452E" w:rsidRDefault="006B43AF" w:rsidP="00024B10">
            <w:pPr>
              <w:pStyle w:val="TablesTFigures"/>
              <w:spacing w:line="240" w:lineRule="exact"/>
              <w:rPr>
                <w:rFonts w:ascii="IBM Plex Sans Light" w:hAnsi="IBM Plex Sans Light"/>
                <w:bCs/>
                <w:sz w:val="18"/>
                <w:szCs w:val="18"/>
              </w:rPr>
            </w:pPr>
            <w:r w:rsidRPr="006A4A8B">
              <w:rPr>
                <w:rFonts w:ascii="IBM Plex Sans Light" w:hAnsi="IBM Plex Sans Light"/>
                <w:bCs/>
                <w:sz w:val="18"/>
                <w:szCs w:val="18"/>
              </w:rPr>
              <w:t>36.2</w:t>
            </w:r>
          </w:p>
        </w:tc>
      </w:tr>
      <w:tr w:rsidR="006B43AF" w:rsidRPr="005907D3" w14:paraId="0697755E" w14:textId="77777777" w:rsidTr="004203CD">
        <w:trPr>
          <w:trHeight w:val="22"/>
        </w:trPr>
        <w:tc>
          <w:tcPr>
            <w:tcW w:w="3240" w:type="dxa"/>
            <w:tcBorders>
              <w:top w:val="single" w:sz="2" w:space="0" w:color="3D7FE0" w:themeColor="accent1"/>
              <w:bottom w:val="single" w:sz="2" w:space="0" w:color="3D7FE0" w:themeColor="accent1"/>
            </w:tcBorders>
            <w:shd w:val="clear" w:color="auto" w:fill="auto"/>
            <w:vAlign w:val="bottom"/>
          </w:tcPr>
          <w:p w14:paraId="06093D31" w14:textId="77777777" w:rsidR="006B43AF" w:rsidRPr="005134FF" w:rsidRDefault="006B43AF" w:rsidP="004203CD">
            <w:pPr>
              <w:pStyle w:val="TablesTText"/>
              <w:rPr>
                <w:rFonts w:ascii="IBM Plex Sans Light" w:hAnsi="IBM Plex Sans Light"/>
                <w:b/>
                <w:bCs/>
                <w:sz w:val="18"/>
                <w:szCs w:val="24"/>
              </w:rPr>
            </w:pPr>
            <w:r>
              <w:rPr>
                <w:rFonts w:ascii="IBM Plex Sans Light" w:hAnsi="IBM Plex Sans Light"/>
                <w:b/>
                <w:bCs/>
                <w:sz w:val="18"/>
                <w:szCs w:val="24"/>
              </w:rPr>
              <w:t>Total property value</w:t>
            </w:r>
          </w:p>
        </w:tc>
        <w:tc>
          <w:tcPr>
            <w:tcW w:w="323" w:type="dxa"/>
            <w:tcBorders>
              <w:top w:val="single" w:sz="2" w:space="0" w:color="3D7FE0" w:themeColor="accent1"/>
              <w:bottom w:val="single" w:sz="2" w:space="0" w:color="3D7FE0" w:themeColor="accent1"/>
            </w:tcBorders>
            <w:shd w:val="clear" w:color="auto" w:fill="auto"/>
            <w:vAlign w:val="bottom"/>
          </w:tcPr>
          <w:p w14:paraId="2B7D409B" w14:textId="77777777" w:rsidR="006B43AF" w:rsidRPr="005907D3" w:rsidRDefault="006B43AF" w:rsidP="004203CD">
            <w:pPr>
              <w:pStyle w:val="TablesTText"/>
              <w:rPr>
                <w:rFonts w:ascii="IBM Plex Sans Light" w:hAnsi="IBM Plex Sans Light"/>
                <w:sz w:val="18"/>
                <w:szCs w:val="24"/>
              </w:rPr>
            </w:pPr>
          </w:p>
        </w:tc>
        <w:tc>
          <w:tcPr>
            <w:tcW w:w="589" w:type="dxa"/>
            <w:tcBorders>
              <w:top w:val="single" w:sz="2" w:space="0" w:color="3D7FE0" w:themeColor="accent1"/>
              <w:bottom w:val="single" w:sz="2" w:space="0" w:color="3D7FE0" w:themeColor="accent1"/>
            </w:tcBorders>
            <w:shd w:val="clear" w:color="auto" w:fill="auto"/>
            <w:vAlign w:val="bottom"/>
          </w:tcPr>
          <w:p w14:paraId="7F244B2E" w14:textId="77777777" w:rsidR="006B43AF" w:rsidRPr="00F6452E" w:rsidRDefault="006B43AF" w:rsidP="004203CD">
            <w:pPr>
              <w:pStyle w:val="TablesTText"/>
              <w:jc w:val="right"/>
              <w:rPr>
                <w:rFonts w:ascii="IBM Plex Sans Light" w:hAnsi="IBM Plex Sans Light"/>
              </w:rPr>
            </w:pPr>
            <w:r w:rsidRPr="00F6452E">
              <w:rPr>
                <w:rFonts w:ascii="IBM Plex Sans Light" w:hAnsi="IBM Plex Sans Light"/>
              </w:rPr>
              <w:t>B</w:t>
            </w:r>
          </w:p>
        </w:tc>
        <w:tc>
          <w:tcPr>
            <w:tcW w:w="1131" w:type="dxa"/>
            <w:tcBorders>
              <w:top w:val="single" w:sz="2" w:space="0" w:color="3D7FE0" w:themeColor="accent1"/>
              <w:bottom w:val="single" w:sz="2" w:space="0" w:color="3D7FE0" w:themeColor="accent1"/>
            </w:tcBorders>
            <w:shd w:val="clear" w:color="auto" w:fill="auto"/>
            <w:vAlign w:val="bottom"/>
          </w:tcPr>
          <w:p w14:paraId="2E652AF5" w14:textId="77777777" w:rsidR="006B43AF" w:rsidRPr="00F6452E" w:rsidRDefault="006B43AF" w:rsidP="00024B10">
            <w:pPr>
              <w:pStyle w:val="TablesTFigures"/>
              <w:spacing w:line="240" w:lineRule="exact"/>
              <w:rPr>
                <w:rFonts w:ascii="IBM Plex Sans Light" w:hAnsi="IBM Plex Sans Light"/>
                <w:bCs/>
                <w:sz w:val="18"/>
                <w:szCs w:val="18"/>
              </w:rPr>
            </w:pPr>
            <w:r w:rsidRPr="00F6452E">
              <w:rPr>
                <w:rFonts w:ascii="IBM Plex Sans Light" w:hAnsi="IBM Plex Sans Light"/>
                <w:bCs/>
                <w:sz w:val="18"/>
                <w:szCs w:val="18"/>
              </w:rPr>
              <w:t>1</w:t>
            </w:r>
            <w:r>
              <w:rPr>
                <w:rFonts w:ascii="IBM Plex Sans Light" w:hAnsi="IBM Plex Sans Light"/>
                <w:bCs/>
                <w:sz w:val="18"/>
                <w:szCs w:val="18"/>
              </w:rPr>
              <w:t>,461.0</w:t>
            </w:r>
          </w:p>
        </w:tc>
        <w:tc>
          <w:tcPr>
            <w:tcW w:w="1131" w:type="dxa"/>
            <w:tcBorders>
              <w:top w:val="single" w:sz="2" w:space="0" w:color="3D7FE0" w:themeColor="accent1"/>
              <w:bottom w:val="single" w:sz="2" w:space="0" w:color="3D7FE0" w:themeColor="accent1"/>
            </w:tcBorders>
            <w:shd w:val="clear" w:color="auto" w:fill="auto"/>
            <w:vAlign w:val="bottom"/>
          </w:tcPr>
          <w:p w14:paraId="7A2DCD98" w14:textId="77777777" w:rsidR="006B43AF" w:rsidRPr="00F6452E" w:rsidRDefault="006B43AF" w:rsidP="00F82829">
            <w:pPr>
              <w:pStyle w:val="TablesTFigures"/>
              <w:spacing w:line="240" w:lineRule="exact"/>
              <w:rPr>
                <w:rFonts w:ascii="IBM Plex Sans Light" w:hAnsi="IBM Plex Sans Light"/>
                <w:bCs/>
                <w:sz w:val="18"/>
                <w:szCs w:val="18"/>
              </w:rPr>
            </w:pPr>
            <w:r>
              <w:rPr>
                <w:rFonts w:ascii="IBM Plex Sans Light" w:hAnsi="IBM Plex Sans Light"/>
                <w:bCs/>
                <w:sz w:val="18"/>
                <w:szCs w:val="18"/>
              </w:rPr>
              <w:t>1,759.0</w:t>
            </w:r>
          </w:p>
        </w:tc>
        <w:tc>
          <w:tcPr>
            <w:tcW w:w="1131" w:type="dxa"/>
            <w:tcBorders>
              <w:top w:val="single" w:sz="2" w:space="0" w:color="3D7FE0" w:themeColor="accent1"/>
              <w:bottom w:val="single" w:sz="2" w:space="0" w:color="3D7FE0" w:themeColor="accent1"/>
            </w:tcBorders>
            <w:vAlign w:val="bottom"/>
          </w:tcPr>
          <w:p w14:paraId="4A354331" w14:textId="77777777" w:rsidR="006B43AF" w:rsidRPr="00F6452E" w:rsidRDefault="006B43AF" w:rsidP="00024B10">
            <w:pPr>
              <w:pStyle w:val="TablesTFigures"/>
              <w:spacing w:line="240" w:lineRule="exact"/>
              <w:rPr>
                <w:rFonts w:ascii="IBM Plex Sans Light" w:hAnsi="IBM Plex Sans Light"/>
                <w:bCs/>
                <w:sz w:val="18"/>
                <w:szCs w:val="18"/>
              </w:rPr>
            </w:pPr>
            <w:r>
              <w:rPr>
                <w:rFonts w:ascii="IBM Plex Sans Light" w:hAnsi="IBM Plex Sans Light"/>
                <w:bCs/>
                <w:sz w:val="18"/>
                <w:szCs w:val="18"/>
              </w:rPr>
              <w:t>1,887.0</w:t>
            </w:r>
          </w:p>
        </w:tc>
        <w:tc>
          <w:tcPr>
            <w:tcW w:w="1131" w:type="dxa"/>
            <w:tcBorders>
              <w:top w:val="single" w:sz="2" w:space="0" w:color="3D7FE0" w:themeColor="accent1"/>
              <w:bottom w:val="single" w:sz="2" w:space="0" w:color="3D7FE0" w:themeColor="accent1"/>
            </w:tcBorders>
            <w:vAlign w:val="bottom"/>
          </w:tcPr>
          <w:p w14:paraId="785F9C1E" w14:textId="77777777" w:rsidR="006B43AF" w:rsidRPr="00F6452E" w:rsidRDefault="006B43AF" w:rsidP="00024B10">
            <w:pPr>
              <w:pStyle w:val="TablesTFigures"/>
              <w:spacing w:line="240" w:lineRule="exact"/>
              <w:rPr>
                <w:rFonts w:ascii="IBM Plex Sans Light" w:hAnsi="IBM Plex Sans Light"/>
                <w:bCs/>
                <w:sz w:val="18"/>
                <w:szCs w:val="18"/>
              </w:rPr>
            </w:pPr>
            <w:r w:rsidRPr="00F6452E">
              <w:rPr>
                <w:rFonts w:ascii="IBM Plex Sans Light" w:hAnsi="IBM Plex Sans Light"/>
                <w:bCs/>
                <w:sz w:val="18"/>
                <w:szCs w:val="18"/>
              </w:rPr>
              <w:t>–</w:t>
            </w:r>
          </w:p>
        </w:tc>
        <w:tc>
          <w:tcPr>
            <w:tcW w:w="1133" w:type="dxa"/>
            <w:tcBorders>
              <w:top w:val="single" w:sz="2" w:space="0" w:color="3D7FE0" w:themeColor="accent1"/>
              <w:bottom w:val="single" w:sz="2" w:space="0" w:color="3D7FE0" w:themeColor="accent1"/>
            </w:tcBorders>
            <w:shd w:val="clear" w:color="auto" w:fill="auto"/>
            <w:vAlign w:val="bottom"/>
          </w:tcPr>
          <w:p w14:paraId="06F52BA1" w14:textId="77777777" w:rsidR="006B43AF" w:rsidRPr="00F6452E" w:rsidRDefault="006B43AF" w:rsidP="00024B10">
            <w:pPr>
              <w:pStyle w:val="TablesTFigures"/>
              <w:spacing w:line="240" w:lineRule="exact"/>
              <w:rPr>
                <w:rFonts w:ascii="IBM Plex Sans Light" w:hAnsi="IBM Plex Sans Light"/>
                <w:bCs/>
                <w:sz w:val="18"/>
                <w:szCs w:val="18"/>
              </w:rPr>
            </w:pPr>
            <w:r>
              <w:rPr>
                <w:rFonts w:ascii="IBM Plex Sans Light" w:hAnsi="IBM Plex Sans Light"/>
                <w:bCs/>
                <w:sz w:val="18"/>
                <w:szCs w:val="18"/>
              </w:rPr>
              <w:t>5,107.0</w:t>
            </w:r>
          </w:p>
        </w:tc>
      </w:tr>
      <w:tr w:rsidR="006B43AF" w:rsidRPr="005907D3" w14:paraId="71BF6EA5" w14:textId="77777777" w:rsidTr="004203CD">
        <w:trPr>
          <w:trHeight w:val="22"/>
        </w:trPr>
        <w:tc>
          <w:tcPr>
            <w:tcW w:w="3240" w:type="dxa"/>
            <w:shd w:val="clear" w:color="auto" w:fill="auto"/>
            <w:vAlign w:val="bottom"/>
          </w:tcPr>
          <w:p w14:paraId="7B7E3B43" w14:textId="77777777" w:rsidR="006B43AF" w:rsidRPr="005907D3" w:rsidRDefault="006B43AF" w:rsidP="004203CD">
            <w:pPr>
              <w:pStyle w:val="TablesTText"/>
              <w:rPr>
                <w:rFonts w:ascii="IBM Plex Sans Light" w:hAnsi="IBM Plex Sans Light"/>
                <w:sz w:val="18"/>
                <w:szCs w:val="24"/>
              </w:rPr>
            </w:pPr>
          </w:p>
        </w:tc>
        <w:tc>
          <w:tcPr>
            <w:tcW w:w="323" w:type="dxa"/>
            <w:shd w:val="clear" w:color="auto" w:fill="auto"/>
            <w:vAlign w:val="bottom"/>
          </w:tcPr>
          <w:p w14:paraId="34B4684F" w14:textId="77777777" w:rsidR="006B43AF" w:rsidRPr="005907D3" w:rsidRDefault="006B43AF" w:rsidP="004203CD">
            <w:pPr>
              <w:pStyle w:val="TablesTText"/>
              <w:rPr>
                <w:rFonts w:ascii="IBM Plex Sans Light" w:hAnsi="IBM Plex Sans Light"/>
                <w:sz w:val="18"/>
                <w:szCs w:val="24"/>
              </w:rPr>
            </w:pPr>
          </w:p>
        </w:tc>
        <w:tc>
          <w:tcPr>
            <w:tcW w:w="589" w:type="dxa"/>
            <w:shd w:val="clear" w:color="auto" w:fill="auto"/>
            <w:vAlign w:val="bottom"/>
          </w:tcPr>
          <w:p w14:paraId="081278FE" w14:textId="77777777" w:rsidR="006B43AF" w:rsidRPr="00F6452E" w:rsidRDefault="006B43AF" w:rsidP="004203CD">
            <w:pPr>
              <w:pStyle w:val="TablesTText"/>
              <w:rPr>
                <w:rFonts w:ascii="IBM Plex Sans Light" w:hAnsi="IBM Plex Sans Light"/>
              </w:rPr>
            </w:pPr>
          </w:p>
        </w:tc>
        <w:tc>
          <w:tcPr>
            <w:tcW w:w="1131" w:type="dxa"/>
            <w:shd w:val="clear" w:color="auto" w:fill="auto"/>
            <w:vAlign w:val="bottom"/>
          </w:tcPr>
          <w:p w14:paraId="47B85707"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shd w:val="clear" w:color="auto" w:fill="auto"/>
            <w:vAlign w:val="bottom"/>
          </w:tcPr>
          <w:p w14:paraId="05EF8E93" w14:textId="77777777" w:rsidR="006B43AF" w:rsidRPr="00F6452E" w:rsidRDefault="006B43AF" w:rsidP="004203CD">
            <w:pPr>
              <w:pStyle w:val="TablesTFigures"/>
              <w:spacing w:line="240" w:lineRule="exact"/>
              <w:rPr>
                <w:rFonts w:ascii="IBM Plex Sans Light" w:hAnsi="IBM Plex Sans Light"/>
                <w:bCs/>
                <w:sz w:val="18"/>
                <w:szCs w:val="18"/>
              </w:rPr>
            </w:pPr>
          </w:p>
        </w:tc>
        <w:tc>
          <w:tcPr>
            <w:tcW w:w="1131" w:type="dxa"/>
          </w:tcPr>
          <w:p w14:paraId="523D4783"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tcPr>
          <w:p w14:paraId="13ED4994"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3" w:type="dxa"/>
            <w:shd w:val="clear" w:color="auto" w:fill="auto"/>
            <w:vAlign w:val="bottom"/>
          </w:tcPr>
          <w:p w14:paraId="112C7634" w14:textId="77777777" w:rsidR="006B43AF" w:rsidRPr="00F6452E" w:rsidRDefault="006B43AF" w:rsidP="004203CD">
            <w:pPr>
              <w:pStyle w:val="TablesTFigureBrackets"/>
              <w:spacing w:line="240" w:lineRule="exact"/>
              <w:rPr>
                <w:rFonts w:ascii="IBM Plex Sans Light" w:hAnsi="IBM Plex Sans Light"/>
                <w:bCs/>
                <w:sz w:val="18"/>
                <w:szCs w:val="18"/>
              </w:rPr>
            </w:pPr>
          </w:p>
        </w:tc>
      </w:tr>
      <w:tr w:rsidR="006B43AF" w:rsidRPr="005907D3" w14:paraId="478E7C6C" w14:textId="77777777" w:rsidTr="004203CD">
        <w:trPr>
          <w:trHeight w:val="275"/>
        </w:trPr>
        <w:tc>
          <w:tcPr>
            <w:tcW w:w="3240" w:type="dxa"/>
            <w:tcBorders>
              <w:bottom w:val="single" w:sz="2" w:space="0" w:color="3D7FE0" w:themeColor="accent1"/>
            </w:tcBorders>
            <w:shd w:val="clear" w:color="auto" w:fill="auto"/>
            <w:vAlign w:val="bottom"/>
          </w:tcPr>
          <w:p w14:paraId="5804B443" w14:textId="77777777" w:rsidR="006B43AF" w:rsidRPr="005907D3" w:rsidRDefault="006B43AF" w:rsidP="004203CD">
            <w:pPr>
              <w:pStyle w:val="TablesTText"/>
              <w:rPr>
                <w:rFonts w:ascii="IBM Plex Sans Light" w:hAnsi="IBM Plex Sans Light"/>
                <w:b/>
                <w:sz w:val="18"/>
                <w:szCs w:val="24"/>
              </w:rPr>
            </w:pPr>
            <w:r>
              <w:rPr>
                <w:rFonts w:ascii="IBM Plex Sans Light" w:hAnsi="IBM Plex Sans Light"/>
                <w:b/>
                <w:sz w:val="18"/>
                <w:szCs w:val="24"/>
              </w:rPr>
              <w:t>EPRA LTV</w:t>
            </w:r>
          </w:p>
        </w:tc>
        <w:tc>
          <w:tcPr>
            <w:tcW w:w="323" w:type="dxa"/>
            <w:tcBorders>
              <w:bottom w:val="single" w:sz="2" w:space="0" w:color="3D7FE0" w:themeColor="accent1"/>
            </w:tcBorders>
            <w:shd w:val="clear" w:color="auto" w:fill="auto"/>
            <w:vAlign w:val="bottom"/>
          </w:tcPr>
          <w:p w14:paraId="47846626" w14:textId="77777777" w:rsidR="006B43AF" w:rsidRPr="00E17ACB" w:rsidRDefault="006B43AF" w:rsidP="004203CD">
            <w:pPr>
              <w:pStyle w:val="13TBRightCopy158mmTableBack"/>
              <w:rPr>
                <w:sz w:val="16"/>
                <w:szCs w:val="16"/>
              </w:rPr>
            </w:pPr>
          </w:p>
        </w:tc>
        <w:tc>
          <w:tcPr>
            <w:tcW w:w="589" w:type="dxa"/>
            <w:tcBorders>
              <w:bottom w:val="single" w:sz="2" w:space="0" w:color="3D7FE0" w:themeColor="accent1"/>
            </w:tcBorders>
            <w:shd w:val="clear" w:color="auto" w:fill="auto"/>
            <w:vAlign w:val="bottom"/>
          </w:tcPr>
          <w:p w14:paraId="3D4FAAA7" w14:textId="77777777" w:rsidR="006B43AF" w:rsidRPr="00F6452E" w:rsidRDefault="006B43AF" w:rsidP="004203CD">
            <w:pPr>
              <w:pStyle w:val="TablesTText"/>
              <w:jc w:val="right"/>
              <w:rPr>
                <w:rFonts w:ascii="IBM Plex Sans Light" w:hAnsi="IBM Plex Sans Light"/>
              </w:rPr>
            </w:pPr>
            <w:r w:rsidRPr="00F6452E">
              <w:rPr>
                <w:rFonts w:ascii="IBM Plex Sans Light" w:hAnsi="IBM Plex Sans Light"/>
              </w:rPr>
              <w:t>A/B</w:t>
            </w:r>
          </w:p>
        </w:tc>
        <w:tc>
          <w:tcPr>
            <w:tcW w:w="1131" w:type="dxa"/>
            <w:tcBorders>
              <w:bottom w:val="single" w:sz="2" w:space="0" w:color="3D7FE0" w:themeColor="accent1"/>
            </w:tcBorders>
            <w:shd w:val="clear" w:color="auto" w:fill="auto"/>
            <w:vAlign w:val="bottom"/>
          </w:tcPr>
          <w:p w14:paraId="3452A342"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tcBorders>
              <w:bottom w:val="single" w:sz="2" w:space="0" w:color="3D7FE0" w:themeColor="accent1"/>
            </w:tcBorders>
            <w:shd w:val="clear" w:color="auto" w:fill="auto"/>
            <w:vAlign w:val="bottom"/>
          </w:tcPr>
          <w:p w14:paraId="614DE59A"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tcBorders>
              <w:bottom w:val="single" w:sz="2" w:space="0" w:color="3D7FE0" w:themeColor="accent1"/>
            </w:tcBorders>
          </w:tcPr>
          <w:p w14:paraId="046E41DB"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1" w:type="dxa"/>
            <w:tcBorders>
              <w:bottom w:val="single" w:sz="2" w:space="0" w:color="3D7FE0" w:themeColor="accent1"/>
            </w:tcBorders>
          </w:tcPr>
          <w:p w14:paraId="14E11A2B" w14:textId="77777777" w:rsidR="006B43AF" w:rsidRPr="00F6452E" w:rsidRDefault="006B43AF" w:rsidP="004203CD">
            <w:pPr>
              <w:pStyle w:val="TablesTFigureBrackets"/>
              <w:spacing w:line="240" w:lineRule="exact"/>
              <w:rPr>
                <w:rFonts w:ascii="IBM Plex Sans Light" w:hAnsi="IBM Plex Sans Light"/>
                <w:bCs/>
                <w:sz w:val="18"/>
                <w:szCs w:val="18"/>
              </w:rPr>
            </w:pPr>
          </w:p>
        </w:tc>
        <w:tc>
          <w:tcPr>
            <w:tcW w:w="1133" w:type="dxa"/>
            <w:tcBorders>
              <w:bottom w:val="single" w:sz="2" w:space="0" w:color="3D7FE0" w:themeColor="accent1"/>
            </w:tcBorders>
            <w:shd w:val="clear" w:color="auto" w:fill="auto"/>
            <w:vAlign w:val="bottom"/>
          </w:tcPr>
          <w:p w14:paraId="1AB5B286" w14:textId="77777777" w:rsidR="006B43AF" w:rsidRPr="00F6452E" w:rsidRDefault="006B43AF" w:rsidP="004203CD">
            <w:pPr>
              <w:pStyle w:val="TablesTFigureBrackets"/>
              <w:spacing w:line="240" w:lineRule="exact"/>
              <w:rPr>
                <w:rFonts w:ascii="IBM Plex Sans Light" w:hAnsi="IBM Plex Sans Light"/>
                <w:bCs/>
                <w:sz w:val="18"/>
                <w:szCs w:val="18"/>
              </w:rPr>
            </w:pPr>
            <w:r>
              <w:rPr>
                <w:rFonts w:ascii="IBM Plex Sans Light" w:hAnsi="IBM Plex Sans Light"/>
                <w:bCs/>
                <w:sz w:val="18"/>
                <w:szCs w:val="18"/>
              </w:rPr>
              <w:t>49.2</w:t>
            </w:r>
            <w:r w:rsidRPr="00F6452E">
              <w:rPr>
                <w:rFonts w:ascii="IBM Plex Sans Light" w:hAnsi="IBM Plex Sans Light"/>
                <w:bCs/>
                <w:sz w:val="18"/>
                <w:szCs w:val="18"/>
              </w:rPr>
              <w:t>%</w:t>
            </w:r>
          </w:p>
        </w:tc>
      </w:tr>
    </w:tbl>
    <w:p w14:paraId="4048087C" w14:textId="77777777" w:rsidR="006B43AF" w:rsidRDefault="006B43AF" w:rsidP="006B43AF">
      <w:pPr>
        <w:spacing w:after="0" w:line="240" w:lineRule="auto"/>
        <w:rPr>
          <w:rFonts w:ascii="IBM Plex Sans Light" w:hAnsi="IBM Plex Sans Light"/>
        </w:rPr>
      </w:pPr>
    </w:p>
    <w:p w14:paraId="267A614E" w14:textId="77777777" w:rsidR="006B43AF" w:rsidRDefault="006B43AF" w:rsidP="006B43AF">
      <w:pPr>
        <w:rPr>
          <w:rFonts w:ascii="IBM Plex Sans Light" w:hAnsi="IBM Plex Sans Light"/>
        </w:rPr>
      </w:pPr>
      <w:r>
        <w:rPr>
          <w:rFonts w:ascii="IBM Plex Sans Light" w:hAnsi="IBM Plex Sans Light"/>
        </w:rPr>
        <w:t>Rows with zero balances have intentionally been excluded from the EPRA specified format in the above tables.</w:t>
      </w:r>
    </w:p>
    <w:p w14:paraId="3FF3A229" w14:textId="38EF255C" w:rsidR="006B43AF" w:rsidRPr="00024B10" w:rsidRDefault="006B43AF" w:rsidP="00024B10">
      <w:pPr>
        <w:pStyle w:val="ListParagraph"/>
        <w:numPr>
          <w:ilvl w:val="0"/>
          <w:numId w:val="39"/>
        </w:numPr>
        <w:ind w:left="284" w:hanging="284"/>
        <w:rPr>
          <w:rFonts w:ascii="IBM Plex Sans Light" w:eastAsia="Yu Gothic Light" w:hAnsi="IBM Plex Sans Light"/>
          <w:sz w:val="14"/>
          <w:szCs w:val="20"/>
        </w:rPr>
      </w:pPr>
      <w:r w:rsidRPr="00024B10">
        <w:rPr>
          <w:rFonts w:ascii="IBM Plex Sans Light" w:hAnsi="IBM Plex Sans Light"/>
          <w:spacing w:val="-4"/>
          <w:sz w:val="16"/>
        </w:rPr>
        <w:t xml:space="preserve">Net payables includes the following balance sheet accounts: </w:t>
      </w:r>
      <w:r w:rsidR="009F634A" w:rsidRPr="00024B10">
        <w:rPr>
          <w:rFonts w:ascii="IBM Plex Sans Light" w:hAnsi="IBM Plex Sans Light"/>
          <w:spacing w:val="-4"/>
          <w:sz w:val="16"/>
        </w:rPr>
        <w:t>i</w:t>
      </w:r>
      <w:r w:rsidRPr="00024B10">
        <w:rPr>
          <w:rFonts w:ascii="IBM Plex Sans Light" w:hAnsi="IBM Plex Sans Light"/>
          <w:spacing w:val="-4"/>
          <w:sz w:val="16"/>
        </w:rPr>
        <w:t>nterests in leasehold properties, right-of-use assets, trade and other receivables (current and non-current), restricted monetary assets (current and non-current), trade and other payables (current and non-current), obligations under head leases (current and non-current), tax and deferred tax (at 50%).</w:t>
      </w:r>
    </w:p>
    <w:p w14:paraId="00A0DAE9" w14:textId="6872203B" w:rsidR="006B43AF" w:rsidRPr="00181825" w:rsidRDefault="006B43AF" w:rsidP="00181825">
      <w:pPr>
        <w:rPr>
          <w:rFonts w:ascii="IBM Plex Sans Light" w:eastAsia="Yu Gothic Light" w:hAnsi="IBM Plex Sans Light"/>
          <w:sz w:val="16"/>
        </w:rPr>
      </w:pPr>
    </w:p>
    <w:p w14:paraId="35FAD238" w14:textId="77777777" w:rsidR="006B43AF" w:rsidRPr="00C06C7F" w:rsidRDefault="006B43AF" w:rsidP="006B43AF">
      <w:pPr>
        <w:pBdr>
          <w:bottom w:val="single" w:sz="4" w:space="1" w:color="3D7FE0" w:themeColor="accent1"/>
        </w:pBdr>
        <w:spacing w:after="0"/>
        <w:rPr>
          <w:rFonts w:ascii="IBM Plex Sans Medium" w:eastAsia="Yu Gothic Light" w:hAnsi="IBM Plex Sans Medium"/>
          <w:b/>
          <w:color w:val="3D7FE0" w:themeColor="accent1"/>
          <w:spacing w:val="0"/>
          <w:sz w:val="20"/>
        </w:rPr>
      </w:pPr>
      <w:r w:rsidRPr="00C06C7F">
        <w:rPr>
          <w:rFonts w:ascii="IBM Plex Sans Medium" w:eastAsia="Yu Gothic Light" w:hAnsi="IBM Plex Sans Medium"/>
          <w:b/>
          <w:color w:val="3D7FE0" w:themeColor="accent1"/>
          <w:spacing w:val="0"/>
          <w:sz w:val="20"/>
        </w:rPr>
        <w:t>KEY PROPERTIES</w:t>
      </w:r>
    </w:p>
    <w:p w14:paraId="725F8350" w14:textId="77777777" w:rsidR="006B43AF" w:rsidRPr="00280504" w:rsidRDefault="006B43AF" w:rsidP="006B43AF">
      <w:pPr>
        <w:spacing w:after="0" w:line="240" w:lineRule="auto"/>
        <w:rPr>
          <w:rFonts w:ascii="IBM Plex Sans Light" w:hAnsi="IBM Plex Sans Light"/>
          <w:b/>
        </w:rPr>
      </w:pPr>
      <w:r w:rsidRPr="00280504">
        <w:rPr>
          <w:rFonts w:ascii="IBM Plex Sans Light" w:hAnsi="IBM Plex Sans Light"/>
          <w:b/>
        </w:rPr>
        <w:t>Table 2</w:t>
      </w:r>
      <w:r>
        <w:rPr>
          <w:rFonts w:ascii="IBM Plex Sans Light" w:hAnsi="IBM Plex Sans Light"/>
          <w:b/>
        </w:rPr>
        <w:t>2</w:t>
      </w:r>
    </w:p>
    <w:tbl>
      <w:tblPr>
        <w:tblW w:w="9918" w:type="dxa"/>
        <w:tblCellMar>
          <w:left w:w="0" w:type="dxa"/>
          <w:right w:w="0" w:type="dxa"/>
        </w:tblCellMar>
        <w:tblLook w:val="04A0" w:firstRow="1" w:lastRow="0" w:firstColumn="1" w:lastColumn="0" w:noHBand="0" w:noVBand="1"/>
      </w:tblPr>
      <w:tblGrid>
        <w:gridCol w:w="2059"/>
        <w:gridCol w:w="1664"/>
        <w:gridCol w:w="1386"/>
        <w:gridCol w:w="476"/>
        <w:gridCol w:w="1219"/>
        <w:gridCol w:w="1150"/>
        <w:gridCol w:w="981"/>
        <w:gridCol w:w="983"/>
      </w:tblGrid>
      <w:tr w:rsidR="006B43AF" w:rsidRPr="005907D3" w14:paraId="40724DDA" w14:textId="77777777" w:rsidTr="00321BE8">
        <w:trPr>
          <w:trHeight w:val="20"/>
        </w:trPr>
        <w:tc>
          <w:tcPr>
            <w:tcW w:w="2059" w:type="dxa"/>
            <w:tcBorders>
              <w:bottom w:val="single" w:sz="2" w:space="0" w:color="3D7FE0" w:themeColor="accent1"/>
            </w:tcBorders>
            <w:shd w:val="clear" w:color="auto" w:fill="auto"/>
            <w:vAlign w:val="bottom"/>
          </w:tcPr>
          <w:p w14:paraId="553D789E" w14:textId="77777777" w:rsidR="006B43AF" w:rsidRPr="00A04876" w:rsidRDefault="006B43AF" w:rsidP="004203CD">
            <w:pPr>
              <w:pStyle w:val="TablesTColHead"/>
              <w:jc w:val="left"/>
              <w:rPr>
                <w:rFonts w:ascii="IBM Plex Sans Medium" w:hAnsi="IBM Plex Sans Medium"/>
                <w:sz w:val="18"/>
                <w:szCs w:val="32"/>
              </w:rPr>
            </w:pPr>
            <w:r w:rsidRPr="00A04876">
              <w:rPr>
                <w:rFonts w:ascii="IBM Plex Sans Medium" w:hAnsi="IBM Plex Sans Medium"/>
                <w:b/>
                <w:bCs/>
                <w:sz w:val="18"/>
                <w:szCs w:val="32"/>
              </w:rPr>
              <w:t>Managed portfolio</w:t>
            </w:r>
          </w:p>
        </w:tc>
        <w:tc>
          <w:tcPr>
            <w:tcW w:w="1664" w:type="dxa"/>
            <w:tcBorders>
              <w:bottom w:val="single" w:sz="2" w:space="0" w:color="3D7FE0" w:themeColor="accent1"/>
            </w:tcBorders>
            <w:shd w:val="clear" w:color="auto" w:fill="auto"/>
            <w:vAlign w:val="bottom"/>
          </w:tcPr>
          <w:p w14:paraId="3249163F" w14:textId="77777777" w:rsidR="006B43AF" w:rsidRPr="000730CB" w:rsidRDefault="006B43AF" w:rsidP="004203CD">
            <w:pPr>
              <w:pStyle w:val="TablesTColHead"/>
              <w:jc w:val="left"/>
              <w:rPr>
                <w:rFonts w:ascii="IBM Plex Sans Light" w:hAnsi="IBM Plex Sans Light"/>
                <w:b/>
                <w:bCs/>
                <w:color w:val="3D7FE0" w:themeColor="accent1"/>
                <w:sz w:val="14"/>
                <w:szCs w:val="24"/>
              </w:rPr>
            </w:pPr>
            <w:r w:rsidRPr="000730CB">
              <w:rPr>
                <w:rFonts w:ascii="IBM Plex Sans Light" w:hAnsi="IBM Plex Sans Light"/>
                <w:b/>
                <w:bCs/>
                <w:color w:val="3D7FE0" w:themeColor="accent1"/>
                <w:sz w:val="14"/>
                <w:szCs w:val="24"/>
              </w:rPr>
              <w:t>Location</w:t>
            </w:r>
          </w:p>
        </w:tc>
        <w:tc>
          <w:tcPr>
            <w:tcW w:w="1386" w:type="dxa"/>
            <w:tcBorders>
              <w:bottom w:val="single" w:sz="2" w:space="0" w:color="3D7FE0" w:themeColor="accent1"/>
            </w:tcBorders>
            <w:shd w:val="clear" w:color="auto" w:fill="auto"/>
            <w:vAlign w:val="bottom"/>
          </w:tcPr>
          <w:p w14:paraId="38E7485A" w14:textId="77777777" w:rsidR="006B43AF" w:rsidRPr="000730CB" w:rsidRDefault="006B43AF" w:rsidP="004203CD">
            <w:pPr>
              <w:pStyle w:val="TablesTColHead"/>
              <w:jc w:val="left"/>
              <w:rPr>
                <w:rFonts w:ascii="IBM Plex Sans Light" w:hAnsi="IBM Plex Sans Light"/>
                <w:b/>
                <w:bCs/>
                <w:color w:val="3D7FE0" w:themeColor="accent1"/>
                <w:sz w:val="14"/>
                <w:szCs w:val="24"/>
              </w:rPr>
            </w:pPr>
            <w:r w:rsidRPr="000730CB">
              <w:rPr>
                <w:rFonts w:ascii="IBM Plex Sans Light" w:hAnsi="IBM Plex Sans Light"/>
                <w:b/>
                <w:bCs/>
                <w:color w:val="3D7FE0" w:themeColor="accent1"/>
                <w:sz w:val="14"/>
                <w:szCs w:val="24"/>
              </w:rPr>
              <w:t xml:space="preserve">Accounting classification where not wholly-owned </w:t>
            </w:r>
          </w:p>
        </w:tc>
        <w:tc>
          <w:tcPr>
            <w:tcW w:w="476" w:type="dxa"/>
            <w:tcBorders>
              <w:bottom w:val="single" w:sz="2" w:space="0" w:color="3D7FE0" w:themeColor="accent1"/>
            </w:tcBorders>
            <w:shd w:val="clear" w:color="auto" w:fill="auto"/>
            <w:vAlign w:val="bottom"/>
          </w:tcPr>
          <w:p w14:paraId="1BCF79E4" w14:textId="77777777" w:rsidR="006B43AF" w:rsidRPr="000730CB" w:rsidRDefault="006B43AF" w:rsidP="004203CD">
            <w:pPr>
              <w:pStyle w:val="TablesTColHeadsBold"/>
              <w:rPr>
                <w:rFonts w:ascii="IBM Plex Sans Light" w:hAnsi="IBM Plex Sans Light"/>
                <w:bCs/>
                <w:color w:val="3D7FE0" w:themeColor="accent1"/>
                <w:sz w:val="14"/>
                <w:szCs w:val="24"/>
              </w:rPr>
            </w:pPr>
          </w:p>
        </w:tc>
        <w:tc>
          <w:tcPr>
            <w:tcW w:w="1219" w:type="dxa"/>
            <w:tcBorders>
              <w:bottom w:val="single" w:sz="2" w:space="0" w:color="3D7FE0" w:themeColor="accent1"/>
            </w:tcBorders>
            <w:shd w:val="clear" w:color="auto" w:fill="auto"/>
            <w:vAlign w:val="bottom"/>
          </w:tcPr>
          <w:p w14:paraId="0183E777" w14:textId="77777777" w:rsidR="006B43AF" w:rsidRPr="000730CB" w:rsidRDefault="006B43AF" w:rsidP="004203CD">
            <w:pPr>
              <w:pStyle w:val="TablesTColHead"/>
              <w:rPr>
                <w:rFonts w:ascii="IBM Plex Sans Light" w:hAnsi="IBM Plex Sans Light"/>
                <w:b/>
                <w:bCs/>
                <w:color w:val="3D7FE0" w:themeColor="accent1"/>
                <w:sz w:val="14"/>
                <w:szCs w:val="24"/>
              </w:rPr>
            </w:pPr>
            <w:r w:rsidRPr="000730CB">
              <w:rPr>
                <w:rFonts w:ascii="IBM Plex Sans Light" w:hAnsi="IBM Plex Sans Light"/>
                <w:b/>
                <w:bCs/>
                <w:color w:val="3D7FE0" w:themeColor="accent1"/>
                <w:sz w:val="14"/>
                <w:szCs w:val="24"/>
              </w:rPr>
              <w:t>Ownership</w:t>
            </w:r>
          </w:p>
        </w:tc>
        <w:tc>
          <w:tcPr>
            <w:tcW w:w="1150" w:type="dxa"/>
            <w:tcBorders>
              <w:bottom w:val="single" w:sz="2" w:space="0" w:color="3D7FE0" w:themeColor="accent1"/>
            </w:tcBorders>
            <w:shd w:val="clear" w:color="auto" w:fill="auto"/>
            <w:vAlign w:val="bottom"/>
          </w:tcPr>
          <w:p w14:paraId="3C536638" w14:textId="77777777" w:rsidR="006B43AF" w:rsidRPr="000730CB" w:rsidRDefault="006B43AF" w:rsidP="004203CD">
            <w:pPr>
              <w:pStyle w:val="TablesTColHead"/>
              <w:rPr>
                <w:rFonts w:ascii="IBM Plex Sans Light" w:hAnsi="IBM Plex Sans Light"/>
                <w:b/>
                <w:bCs/>
                <w:color w:val="3D7FE0" w:themeColor="accent1"/>
                <w:sz w:val="14"/>
                <w:szCs w:val="24"/>
              </w:rPr>
            </w:pPr>
            <w:r w:rsidRPr="000730CB">
              <w:rPr>
                <w:rFonts w:ascii="IBM Plex Sans Light" w:hAnsi="IBM Plex Sans Light"/>
                <w:b/>
                <w:bCs/>
                <w:color w:val="3D7FE0" w:themeColor="accent1"/>
                <w:sz w:val="14"/>
                <w:szCs w:val="24"/>
              </w:rPr>
              <w:t>Area, m</w:t>
            </w:r>
            <w:r w:rsidRPr="000730CB">
              <w:rPr>
                <w:rFonts w:ascii="IBM Plex Sans Light" w:hAnsi="IBM Plex Sans Light"/>
                <w:b/>
                <w:bCs/>
                <w:color w:val="3D7FE0" w:themeColor="accent1"/>
                <w:sz w:val="14"/>
                <w:szCs w:val="24"/>
                <w:vertAlign w:val="superscript"/>
              </w:rPr>
              <w:t>2</w:t>
            </w:r>
          </w:p>
        </w:tc>
        <w:tc>
          <w:tcPr>
            <w:tcW w:w="981" w:type="dxa"/>
            <w:tcBorders>
              <w:bottom w:val="single" w:sz="2" w:space="0" w:color="3D7FE0" w:themeColor="accent1"/>
            </w:tcBorders>
            <w:shd w:val="clear" w:color="auto" w:fill="auto"/>
            <w:vAlign w:val="bottom"/>
          </w:tcPr>
          <w:p w14:paraId="66854FB4" w14:textId="77777777" w:rsidR="006B43AF" w:rsidRPr="000730CB" w:rsidRDefault="006B43AF" w:rsidP="004203CD">
            <w:pPr>
              <w:pStyle w:val="TablesTColHead"/>
              <w:rPr>
                <w:rFonts w:ascii="IBM Plex Sans Light" w:hAnsi="IBM Plex Sans Light"/>
                <w:b/>
                <w:bCs/>
                <w:color w:val="3D7FE0" w:themeColor="accent1"/>
                <w:sz w:val="14"/>
                <w:szCs w:val="24"/>
              </w:rPr>
            </w:pPr>
            <w:r w:rsidRPr="000730CB">
              <w:rPr>
                <w:rFonts w:ascii="IBM Plex Sans Light" w:hAnsi="IBM Plex Sans Light"/>
                <w:b/>
                <w:bCs/>
                <w:color w:val="3D7FE0" w:themeColor="accent1"/>
                <w:sz w:val="14"/>
                <w:szCs w:val="24"/>
              </w:rPr>
              <w:t>No. of tenants</w:t>
            </w:r>
          </w:p>
        </w:tc>
        <w:tc>
          <w:tcPr>
            <w:tcW w:w="983" w:type="dxa"/>
            <w:tcBorders>
              <w:bottom w:val="single" w:sz="2" w:space="0" w:color="3D7FE0" w:themeColor="accent1"/>
            </w:tcBorders>
            <w:shd w:val="clear" w:color="auto" w:fill="auto"/>
            <w:vAlign w:val="bottom"/>
          </w:tcPr>
          <w:p w14:paraId="234F9E22" w14:textId="77777777" w:rsidR="006B43AF" w:rsidRPr="000730CB" w:rsidRDefault="006B43AF" w:rsidP="004203CD">
            <w:pPr>
              <w:pStyle w:val="TablesTColHead"/>
              <w:rPr>
                <w:rFonts w:ascii="IBM Plex Sans Light" w:hAnsi="IBM Plex Sans Light"/>
                <w:b/>
                <w:bCs/>
                <w:color w:val="3D7FE0" w:themeColor="accent1"/>
                <w:sz w:val="14"/>
                <w:szCs w:val="24"/>
              </w:rPr>
            </w:pPr>
            <w:r w:rsidRPr="000730CB">
              <w:rPr>
                <w:rFonts w:ascii="IBM Plex Sans Light" w:hAnsi="IBM Plex Sans Light"/>
                <w:b/>
                <w:bCs/>
                <w:color w:val="3D7FE0" w:themeColor="accent1"/>
                <w:sz w:val="14"/>
                <w:szCs w:val="24"/>
              </w:rPr>
              <w:t>Passing rent £m</w:t>
            </w:r>
          </w:p>
        </w:tc>
      </w:tr>
      <w:tr w:rsidR="006B43AF" w:rsidRPr="005907D3" w14:paraId="08C4034E" w14:textId="77777777" w:rsidTr="00321BE8">
        <w:trPr>
          <w:trHeight w:val="20"/>
        </w:trPr>
        <w:tc>
          <w:tcPr>
            <w:tcW w:w="2059" w:type="dxa"/>
            <w:tcBorders>
              <w:top w:val="single" w:sz="2" w:space="0" w:color="3D7FE0" w:themeColor="accent1"/>
            </w:tcBorders>
            <w:shd w:val="clear" w:color="auto" w:fill="auto"/>
          </w:tcPr>
          <w:p w14:paraId="7C217351" w14:textId="77777777" w:rsidR="006B43AF" w:rsidRPr="005907D3" w:rsidRDefault="006B43AF" w:rsidP="004203CD">
            <w:pPr>
              <w:pStyle w:val="TablesTText"/>
              <w:rPr>
                <w:rFonts w:ascii="IBM Plex Sans Light" w:hAnsi="IBM Plex Sans Light"/>
                <w:b/>
                <w:bCs/>
                <w:color w:val="3D7FE0" w:themeColor="accent1"/>
              </w:rPr>
            </w:pPr>
          </w:p>
        </w:tc>
        <w:tc>
          <w:tcPr>
            <w:tcW w:w="1664" w:type="dxa"/>
            <w:tcBorders>
              <w:top w:val="single" w:sz="2" w:space="0" w:color="3D7FE0" w:themeColor="accent1"/>
            </w:tcBorders>
            <w:shd w:val="clear" w:color="auto" w:fill="auto"/>
          </w:tcPr>
          <w:p w14:paraId="2A51E370" w14:textId="77777777" w:rsidR="006B43AF" w:rsidRPr="005907D3" w:rsidRDefault="006B43AF" w:rsidP="004203CD">
            <w:pPr>
              <w:pStyle w:val="TablesTText"/>
              <w:rPr>
                <w:rFonts w:ascii="IBM Plex Sans Light" w:hAnsi="IBM Plex Sans Light"/>
                <w:b/>
                <w:bCs/>
                <w:color w:val="3D7FE0" w:themeColor="accent1"/>
              </w:rPr>
            </w:pPr>
          </w:p>
        </w:tc>
        <w:tc>
          <w:tcPr>
            <w:tcW w:w="1386" w:type="dxa"/>
            <w:tcBorders>
              <w:top w:val="single" w:sz="2" w:space="0" w:color="3D7FE0" w:themeColor="accent1"/>
            </w:tcBorders>
            <w:shd w:val="clear" w:color="auto" w:fill="auto"/>
          </w:tcPr>
          <w:p w14:paraId="228F00A7" w14:textId="77777777" w:rsidR="006B43AF" w:rsidRPr="005907D3" w:rsidRDefault="006B43AF" w:rsidP="004203CD">
            <w:pPr>
              <w:pStyle w:val="TablesTText"/>
              <w:rPr>
                <w:rFonts w:ascii="IBM Plex Sans Light" w:hAnsi="IBM Plex Sans Light"/>
                <w:b/>
                <w:bCs/>
                <w:color w:val="3D7FE0" w:themeColor="accent1"/>
              </w:rPr>
            </w:pPr>
          </w:p>
        </w:tc>
        <w:tc>
          <w:tcPr>
            <w:tcW w:w="476" w:type="dxa"/>
            <w:tcBorders>
              <w:top w:val="single" w:sz="2" w:space="0" w:color="3D7FE0" w:themeColor="accent1"/>
            </w:tcBorders>
            <w:shd w:val="clear" w:color="auto" w:fill="auto"/>
          </w:tcPr>
          <w:p w14:paraId="6318CCA6" w14:textId="77777777" w:rsidR="006B43AF" w:rsidRPr="005907D3" w:rsidRDefault="006B43AF" w:rsidP="004203CD">
            <w:pPr>
              <w:pStyle w:val="TablesTText"/>
              <w:rPr>
                <w:rFonts w:ascii="IBM Plex Sans Light" w:hAnsi="IBM Plex Sans Light"/>
                <w:bCs/>
              </w:rPr>
            </w:pPr>
          </w:p>
        </w:tc>
        <w:tc>
          <w:tcPr>
            <w:tcW w:w="1219" w:type="dxa"/>
            <w:tcBorders>
              <w:top w:val="single" w:sz="2" w:space="0" w:color="3D7FE0" w:themeColor="accent1"/>
            </w:tcBorders>
            <w:shd w:val="clear" w:color="auto" w:fill="auto"/>
          </w:tcPr>
          <w:p w14:paraId="496FEF2B" w14:textId="77777777" w:rsidR="006B43AF" w:rsidRPr="005907D3" w:rsidRDefault="006B43AF" w:rsidP="004203CD">
            <w:pPr>
              <w:pStyle w:val="TablesTText"/>
              <w:rPr>
                <w:rFonts w:ascii="IBM Plex Sans Light" w:hAnsi="IBM Plex Sans Light"/>
              </w:rPr>
            </w:pPr>
          </w:p>
        </w:tc>
        <w:tc>
          <w:tcPr>
            <w:tcW w:w="1150" w:type="dxa"/>
            <w:tcBorders>
              <w:top w:val="single" w:sz="2" w:space="0" w:color="3D7FE0" w:themeColor="accent1"/>
            </w:tcBorders>
            <w:shd w:val="clear" w:color="auto" w:fill="auto"/>
          </w:tcPr>
          <w:p w14:paraId="66372FEB" w14:textId="77777777" w:rsidR="006B43AF" w:rsidRPr="005907D3" w:rsidRDefault="006B43AF" w:rsidP="004203CD">
            <w:pPr>
              <w:pStyle w:val="TablesTText"/>
              <w:rPr>
                <w:rFonts w:ascii="IBM Plex Sans Light" w:hAnsi="IBM Plex Sans Light"/>
              </w:rPr>
            </w:pPr>
          </w:p>
        </w:tc>
        <w:tc>
          <w:tcPr>
            <w:tcW w:w="981" w:type="dxa"/>
            <w:tcBorders>
              <w:top w:val="single" w:sz="2" w:space="0" w:color="3D7FE0" w:themeColor="accent1"/>
            </w:tcBorders>
            <w:shd w:val="clear" w:color="auto" w:fill="auto"/>
          </w:tcPr>
          <w:p w14:paraId="6E362867" w14:textId="77777777" w:rsidR="006B43AF" w:rsidRPr="005907D3" w:rsidRDefault="006B43AF" w:rsidP="004203CD">
            <w:pPr>
              <w:pStyle w:val="TablesTText"/>
              <w:rPr>
                <w:rFonts w:ascii="IBM Plex Sans Light" w:hAnsi="IBM Plex Sans Light"/>
              </w:rPr>
            </w:pPr>
          </w:p>
        </w:tc>
        <w:tc>
          <w:tcPr>
            <w:tcW w:w="983" w:type="dxa"/>
            <w:tcBorders>
              <w:top w:val="single" w:sz="2" w:space="0" w:color="3D7FE0" w:themeColor="accent1"/>
            </w:tcBorders>
            <w:shd w:val="clear" w:color="auto" w:fill="auto"/>
          </w:tcPr>
          <w:p w14:paraId="2EB8F60C" w14:textId="77777777" w:rsidR="006B43AF" w:rsidRPr="005907D3" w:rsidRDefault="006B43AF" w:rsidP="004203CD">
            <w:pPr>
              <w:pStyle w:val="TablesTText"/>
              <w:rPr>
                <w:rFonts w:ascii="IBM Plex Sans Light" w:hAnsi="IBM Plex Sans Light"/>
              </w:rPr>
            </w:pPr>
          </w:p>
        </w:tc>
      </w:tr>
      <w:tr w:rsidR="006B43AF" w:rsidRPr="005907D3" w14:paraId="597613DF" w14:textId="77777777" w:rsidTr="00321BE8">
        <w:trPr>
          <w:trHeight w:val="20"/>
        </w:trPr>
        <w:tc>
          <w:tcPr>
            <w:tcW w:w="2059" w:type="dxa"/>
            <w:tcBorders>
              <w:bottom w:val="single" w:sz="2" w:space="0" w:color="3D7FE0" w:themeColor="accent1"/>
            </w:tcBorders>
            <w:shd w:val="clear" w:color="auto" w:fill="auto"/>
          </w:tcPr>
          <w:p w14:paraId="62BF6BC0" w14:textId="77777777" w:rsidR="006B43AF" w:rsidRPr="00A04876" w:rsidRDefault="006B43AF" w:rsidP="004203CD">
            <w:pPr>
              <w:pStyle w:val="TablesTText"/>
              <w:rPr>
                <w:rFonts w:ascii="IBM Plex Sans Light" w:hAnsi="IBM Plex Sans Light"/>
                <w:b/>
                <w:bCs/>
                <w:color w:val="3D7FE0" w:themeColor="accent1"/>
                <w:sz w:val="18"/>
                <w:szCs w:val="24"/>
              </w:rPr>
            </w:pPr>
            <w:r w:rsidRPr="00A04876">
              <w:rPr>
                <w:rFonts w:ascii="IBM Plex Sans Light" w:hAnsi="IBM Plex Sans Light"/>
                <w:b/>
                <w:bCs/>
                <w:color w:val="3D7FE0" w:themeColor="accent1"/>
                <w:sz w:val="18"/>
                <w:szCs w:val="24"/>
              </w:rPr>
              <w:t>Flagship destinations</w:t>
            </w:r>
          </w:p>
        </w:tc>
        <w:tc>
          <w:tcPr>
            <w:tcW w:w="1664" w:type="dxa"/>
            <w:tcBorders>
              <w:bottom w:val="single" w:sz="2" w:space="0" w:color="3D7FE0" w:themeColor="accent1"/>
            </w:tcBorders>
            <w:shd w:val="clear" w:color="auto" w:fill="auto"/>
          </w:tcPr>
          <w:p w14:paraId="6495893A" w14:textId="77777777" w:rsidR="006B43AF" w:rsidRPr="005907D3" w:rsidRDefault="006B43AF" w:rsidP="004203CD">
            <w:pPr>
              <w:pStyle w:val="TablesTText"/>
              <w:rPr>
                <w:rFonts w:ascii="IBM Plex Sans Light" w:hAnsi="IBM Plex Sans Light"/>
                <w:b/>
                <w:bCs/>
              </w:rPr>
            </w:pPr>
          </w:p>
        </w:tc>
        <w:tc>
          <w:tcPr>
            <w:tcW w:w="1386" w:type="dxa"/>
            <w:tcBorders>
              <w:bottom w:val="single" w:sz="2" w:space="0" w:color="3D7FE0" w:themeColor="accent1"/>
            </w:tcBorders>
            <w:shd w:val="clear" w:color="auto" w:fill="auto"/>
          </w:tcPr>
          <w:p w14:paraId="57BE6629" w14:textId="77777777" w:rsidR="006B43AF" w:rsidRPr="005907D3" w:rsidRDefault="006B43AF" w:rsidP="004203CD">
            <w:pPr>
              <w:pStyle w:val="TablesTText"/>
              <w:rPr>
                <w:rFonts w:ascii="IBM Plex Sans Light" w:hAnsi="IBM Plex Sans Light"/>
                <w:b/>
                <w:bCs/>
              </w:rPr>
            </w:pPr>
          </w:p>
        </w:tc>
        <w:tc>
          <w:tcPr>
            <w:tcW w:w="476" w:type="dxa"/>
            <w:tcBorders>
              <w:bottom w:val="single" w:sz="2" w:space="0" w:color="3D7FE0" w:themeColor="accent1"/>
            </w:tcBorders>
            <w:shd w:val="clear" w:color="auto" w:fill="auto"/>
          </w:tcPr>
          <w:p w14:paraId="3E6228E8" w14:textId="77777777" w:rsidR="006B43AF" w:rsidRPr="005907D3" w:rsidRDefault="006B43AF" w:rsidP="004203CD">
            <w:pPr>
              <w:pStyle w:val="TablesTText"/>
              <w:rPr>
                <w:rFonts w:ascii="IBM Plex Sans Light" w:hAnsi="IBM Plex Sans Light"/>
                <w:b/>
                <w:bCs/>
              </w:rPr>
            </w:pPr>
          </w:p>
        </w:tc>
        <w:tc>
          <w:tcPr>
            <w:tcW w:w="1219" w:type="dxa"/>
            <w:tcBorders>
              <w:bottom w:val="single" w:sz="2" w:space="0" w:color="3D7FE0" w:themeColor="accent1"/>
            </w:tcBorders>
            <w:shd w:val="clear" w:color="auto" w:fill="auto"/>
          </w:tcPr>
          <w:p w14:paraId="56C82957" w14:textId="77777777" w:rsidR="006B43AF" w:rsidRPr="005907D3" w:rsidRDefault="006B43AF" w:rsidP="004203CD">
            <w:pPr>
              <w:pStyle w:val="TablesTText"/>
              <w:rPr>
                <w:rFonts w:ascii="IBM Plex Sans Light" w:hAnsi="IBM Plex Sans Light"/>
              </w:rPr>
            </w:pPr>
          </w:p>
        </w:tc>
        <w:tc>
          <w:tcPr>
            <w:tcW w:w="1150" w:type="dxa"/>
            <w:tcBorders>
              <w:bottom w:val="single" w:sz="2" w:space="0" w:color="3D7FE0" w:themeColor="accent1"/>
            </w:tcBorders>
            <w:shd w:val="clear" w:color="auto" w:fill="auto"/>
          </w:tcPr>
          <w:p w14:paraId="57E6DF5F" w14:textId="77777777" w:rsidR="006B43AF" w:rsidRPr="005907D3" w:rsidRDefault="006B43AF" w:rsidP="004203CD">
            <w:pPr>
              <w:pStyle w:val="TablesTText"/>
              <w:rPr>
                <w:rFonts w:ascii="IBM Plex Sans Light" w:hAnsi="IBM Plex Sans Light"/>
              </w:rPr>
            </w:pPr>
          </w:p>
        </w:tc>
        <w:tc>
          <w:tcPr>
            <w:tcW w:w="981" w:type="dxa"/>
            <w:tcBorders>
              <w:bottom w:val="single" w:sz="2" w:space="0" w:color="3D7FE0" w:themeColor="accent1"/>
            </w:tcBorders>
            <w:shd w:val="clear" w:color="auto" w:fill="auto"/>
          </w:tcPr>
          <w:p w14:paraId="4F142783" w14:textId="77777777" w:rsidR="006B43AF" w:rsidRPr="005907D3" w:rsidRDefault="006B43AF" w:rsidP="004203CD">
            <w:pPr>
              <w:pStyle w:val="TablesTText"/>
              <w:rPr>
                <w:rFonts w:ascii="IBM Plex Sans Light" w:hAnsi="IBM Plex Sans Light"/>
              </w:rPr>
            </w:pPr>
          </w:p>
        </w:tc>
        <w:tc>
          <w:tcPr>
            <w:tcW w:w="983" w:type="dxa"/>
            <w:tcBorders>
              <w:bottom w:val="single" w:sz="2" w:space="0" w:color="3D7FE0" w:themeColor="accent1"/>
            </w:tcBorders>
            <w:shd w:val="clear" w:color="auto" w:fill="auto"/>
          </w:tcPr>
          <w:p w14:paraId="533CAAEC" w14:textId="77777777" w:rsidR="006B43AF" w:rsidRPr="005907D3" w:rsidRDefault="006B43AF" w:rsidP="004203CD">
            <w:pPr>
              <w:pStyle w:val="TablesTText"/>
              <w:rPr>
                <w:rFonts w:ascii="IBM Plex Sans Light" w:hAnsi="IBM Plex Sans Light"/>
              </w:rPr>
            </w:pPr>
          </w:p>
        </w:tc>
      </w:tr>
      <w:tr w:rsidR="006B43AF" w:rsidRPr="005907D3" w14:paraId="04D5B7A3" w14:textId="77777777" w:rsidTr="00321BE8">
        <w:trPr>
          <w:trHeight w:val="20"/>
        </w:trPr>
        <w:tc>
          <w:tcPr>
            <w:tcW w:w="2059" w:type="dxa"/>
            <w:tcBorders>
              <w:top w:val="single" w:sz="2" w:space="0" w:color="3D7FE0" w:themeColor="accent1"/>
            </w:tcBorders>
          </w:tcPr>
          <w:p w14:paraId="21E540AF" w14:textId="77777777" w:rsidR="006B43AF" w:rsidRPr="005907D3" w:rsidRDefault="006B43AF" w:rsidP="004203CD">
            <w:pPr>
              <w:pStyle w:val="TablesTText"/>
              <w:rPr>
                <w:rFonts w:ascii="IBM Plex Sans Light" w:hAnsi="IBM Plex Sans Light"/>
                <w:i/>
                <w:iCs/>
              </w:rPr>
            </w:pPr>
            <w:r w:rsidRPr="005907D3">
              <w:rPr>
                <w:rFonts w:ascii="IBM Plex Sans Light" w:hAnsi="IBM Plex Sans Light"/>
                <w:b/>
                <w:bCs/>
                <w:i/>
                <w:iCs/>
              </w:rPr>
              <w:t>UK</w:t>
            </w:r>
          </w:p>
        </w:tc>
        <w:tc>
          <w:tcPr>
            <w:tcW w:w="1664" w:type="dxa"/>
            <w:tcBorders>
              <w:top w:val="single" w:sz="2" w:space="0" w:color="3D7FE0" w:themeColor="accent1"/>
            </w:tcBorders>
          </w:tcPr>
          <w:p w14:paraId="72EF37E9" w14:textId="77777777" w:rsidR="006B43AF" w:rsidRPr="005907D3" w:rsidRDefault="006B43AF" w:rsidP="004203CD">
            <w:pPr>
              <w:pStyle w:val="TablesTText"/>
              <w:rPr>
                <w:rFonts w:ascii="IBM Plex Sans Light" w:hAnsi="IBM Plex Sans Light"/>
                <w:i/>
                <w:iCs/>
              </w:rPr>
            </w:pPr>
          </w:p>
        </w:tc>
        <w:tc>
          <w:tcPr>
            <w:tcW w:w="1386" w:type="dxa"/>
            <w:tcBorders>
              <w:top w:val="single" w:sz="2" w:space="0" w:color="3D7FE0" w:themeColor="accent1"/>
            </w:tcBorders>
          </w:tcPr>
          <w:p w14:paraId="5E40EAA4" w14:textId="77777777" w:rsidR="006B43AF" w:rsidRPr="005907D3" w:rsidRDefault="006B43AF" w:rsidP="004203CD">
            <w:pPr>
              <w:pStyle w:val="TablesTText"/>
              <w:rPr>
                <w:rFonts w:ascii="IBM Plex Sans Light" w:hAnsi="IBM Plex Sans Light"/>
                <w:i/>
                <w:iCs/>
              </w:rPr>
            </w:pPr>
          </w:p>
        </w:tc>
        <w:tc>
          <w:tcPr>
            <w:tcW w:w="476" w:type="dxa"/>
            <w:tcBorders>
              <w:top w:val="single" w:sz="2" w:space="0" w:color="3D7FE0" w:themeColor="accent1"/>
            </w:tcBorders>
          </w:tcPr>
          <w:p w14:paraId="7B767F4C" w14:textId="77777777" w:rsidR="006B43AF" w:rsidRPr="005907D3" w:rsidRDefault="006B43AF" w:rsidP="004203CD">
            <w:pPr>
              <w:pStyle w:val="TablesTText"/>
              <w:rPr>
                <w:rFonts w:ascii="IBM Plex Sans Light" w:hAnsi="IBM Plex Sans Light"/>
              </w:rPr>
            </w:pPr>
          </w:p>
        </w:tc>
        <w:tc>
          <w:tcPr>
            <w:tcW w:w="1219" w:type="dxa"/>
            <w:tcBorders>
              <w:top w:val="single" w:sz="2" w:space="0" w:color="3D7FE0" w:themeColor="accent1"/>
            </w:tcBorders>
          </w:tcPr>
          <w:p w14:paraId="0BFE9221" w14:textId="77777777" w:rsidR="006B43AF" w:rsidRPr="005907D3" w:rsidRDefault="006B43AF" w:rsidP="004203CD">
            <w:pPr>
              <w:pStyle w:val="TablesTFigures"/>
              <w:spacing w:line="240" w:lineRule="exact"/>
              <w:rPr>
                <w:rFonts w:ascii="IBM Plex Sans Light" w:hAnsi="IBM Plex Sans Light"/>
              </w:rPr>
            </w:pPr>
          </w:p>
        </w:tc>
        <w:tc>
          <w:tcPr>
            <w:tcW w:w="1150" w:type="dxa"/>
            <w:tcBorders>
              <w:top w:val="single" w:sz="2" w:space="0" w:color="3D7FE0" w:themeColor="accent1"/>
            </w:tcBorders>
          </w:tcPr>
          <w:p w14:paraId="4038B7DB" w14:textId="77777777" w:rsidR="006B43AF" w:rsidRPr="005907D3" w:rsidRDefault="006B43AF" w:rsidP="004203CD">
            <w:pPr>
              <w:pStyle w:val="TablesTFigures"/>
              <w:spacing w:line="240" w:lineRule="exact"/>
              <w:rPr>
                <w:rFonts w:ascii="IBM Plex Sans Light" w:hAnsi="IBM Plex Sans Light"/>
              </w:rPr>
            </w:pPr>
          </w:p>
        </w:tc>
        <w:tc>
          <w:tcPr>
            <w:tcW w:w="981" w:type="dxa"/>
            <w:tcBorders>
              <w:top w:val="single" w:sz="2" w:space="0" w:color="3D7FE0" w:themeColor="accent1"/>
            </w:tcBorders>
          </w:tcPr>
          <w:p w14:paraId="5AF22B6B" w14:textId="77777777" w:rsidR="006B43AF" w:rsidRPr="005907D3" w:rsidRDefault="006B43AF" w:rsidP="004203CD">
            <w:pPr>
              <w:pStyle w:val="TablesTFigures"/>
              <w:spacing w:line="240" w:lineRule="exact"/>
              <w:rPr>
                <w:rFonts w:ascii="IBM Plex Sans Light" w:hAnsi="IBM Plex Sans Light"/>
              </w:rPr>
            </w:pPr>
          </w:p>
        </w:tc>
        <w:tc>
          <w:tcPr>
            <w:tcW w:w="983" w:type="dxa"/>
            <w:tcBorders>
              <w:top w:val="single" w:sz="2" w:space="0" w:color="3D7FE0" w:themeColor="accent1"/>
            </w:tcBorders>
          </w:tcPr>
          <w:p w14:paraId="17788011" w14:textId="77777777" w:rsidR="006B43AF" w:rsidRPr="005907D3" w:rsidRDefault="006B43AF" w:rsidP="004203CD">
            <w:pPr>
              <w:pStyle w:val="TablesTFigures"/>
              <w:spacing w:line="240" w:lineRule="exact"/>
              <w:rPr>
                <w:rFonts w:ascii="IBM Plex Sans Light" w:hAnsi="IBM Plex Sans Light"/>
              </w:rPr>
            </w:pPr>
          </w:p>
        </w:tc>
      </w:tr>
      <w:tr w:rsidR="006B43AF" w:rsidRPr="005907D3" w14:paraId="1FD69A5A" w14:textId="77777777" w:rsidTr="00321BE8">
        <w:trPr>
          <w:trHeight w:val="20"/>
        </w:trPr>
        <w:tc>
          <w:tcPr>
            <w:tcW w:w="2059" w:type="dxa"/>
          </w:tcPr>
          <w:p w14:paraId="15F2A92E"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Brent Cross</w:t>
            </w:r>
          </w:p>
        </w:tc>
        <w:tc>
          <w:tcPr>
            <w:tcW w:w="1664" w:type="dxa"/>
          </w:tcPr>
          <w:p w14:paraId="19510FB2"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London</w:t>
            </w:r>
          </w:p>
        </w:tc>
        <w:tc>
          <w:tcPr>
            <w:tcW w:w="1386" w:type="dxa"/>
          </w:tcPr>
          <w:p w14:paraId="55D3EC2A"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venture</w:t>
            </w:r>
          </w:p>
        </w:tc>
        <w:tc>
          <w:tcPr>
            <w:tcW w:w="476" w:type="dxa"/>
          </w:tcPr>
          <w:p w14:paraId="3E17F28E" w14:textId="77777777" w:rsidR="006B43AF" w:rsidRPr="005907D3" w:rsidRDefault="006B43AF" w:rsidP="004203CD">
            <w:pPr>
              <w:pStyle w:val="TablesTText"/>
              <w:rPr>
                <w:rFonts w:ascii="IBM Plex Sans Light" w:hAnsi="IBM Plex Sans Light"/>
              </w:rPr>
            </w:pPr>
          </w:p>
        </w:tc>
        <w:tc>
          <w:tcPr>
            <w:tcW w:w="1219" w:type="dxa"/>
            <w:vAlign w:val="bottom"/>
          </w:tcPr>
          <w:p w14:paraId="37C10F9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41%</w:t>
            </w:r>
          </w:p>
        </w:tc>
        <w:tc>
          <w:tcPr>
            <w:tcW w:w="1150" w:type="dxa"/>
            <w:vAlign w:val="bottom"/>
          </w:tcPr>
          <w:p w14:paraId="04811F08" w14:textId="2350270B" w:rsidR="006B43AF" w:rsidRPr="000D641C" w:rsidRDefault="00B82D5E"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94,000</w:t>
            </w:r>
          </w:p>
        </w:tc>
        <w:tc>
          <w:tcPr>
            <w:tcW w:w="981" w:type="dxa"/>
            <w:vAlign w:val="bottom"/>
          </w:tcPr>
          <w:p w14:paraId="6890285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114</w:t>
            </w:r>
          </w:p>
        </w:tc>
        <w:tc>
          <w:tcPr>
            <w:tcW w:w="983" w:type="dxa"/>
          </w:tcPr>
          <w:p w14:paraId="7D68281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12.8</w:t>
            </w:r>
          </w:p>
        </w:tc>
      </w:tr>
      <w:tr w:rsidR="006B43AF" w:rsidRPr="005907D3" w14:paraId="232FE7DF" w14:textId="77777777" w:rsidTr="00321BE8">
        <w:trPr>
          <w:trHeight w:val="20"/>
        </w:trPr>
        <w:tc>
          <w:tcPr>
            <w:tcW w:w="2059" w:type="dxa"/>
          </w:tcPr>
          <w:p w14:paraId="06EC37C1"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Bullring</w:t>
            </w:r>
          </w:p>
        </w:tc>
        <w:tc>
          <w:tcPr>
            <w:tcW w:w="1664" w:type="dxa"/>
          </w:tcPr>
          <w:p w14:paraId="2F239E69"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Birmingham</w:t>
            </w:r>
          </w:p>
        </w:tc>
        <w:tc>
          <w:tcPr>
            <w:tcW w:w="1386" w:type="dxa"/>
          </w:tcPr>
          <w:p w14:paraId="0480FDF0"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venture</w:t>
            </w:r>
          </w:p>
        </w:tc>
        <w:tc>
          <w:tcPr>
            <w:tcW w:w="476" w:type="dxa"/>
          </w:tcPr>
          <w:p w14:paraId="639A80DB" w14:textId="77777777" w:rsidR="006B43AF" w:rsidRPr="005907D3" w:rsidRDefault="006B43AF" w:rsidP="004203CD">
            <w:pPr>
              <w:pStyle w:val="TablesTText"/>
              <w:jc w:val="center"/>
              <w:rPr>
                <w:rFonts w:ascii="IBM Plex Sans Light" w:hAnsi="IBM Plex Sans Light"/>
              </w:rPr>
            </w:pPr>
            <w:r>
              <w:rPr>
                <w:rFonts w:ascii="IBM Plex Sans Light" w:hAnsi="IBM Plex Sans Light"/>
              </w:rPr>
              <w:t>a</w:t>
            </w:r>
          </w:p>
        </w:tc>
        <w:tc>
          <w:tcPr>
            <w:tcW w:w="1219" w:type="dxa"/>
            <w:vAlign w:val="bottom"/>
          </w:tcPr>
          <w:p w14:paraId="394E32E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vAlign w:val="bottom"/>
          </w:tcPr>
          <w:p w14:paraId="08032CC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117,000</w:t>
            </w:r>
          </w:p>
        </w:tc>
        <w:tc>
          <w:tcPr>
            <w:tcW w:w="981" w:type="dxa"/>
            <w:vAlign w:val="bottom"/>
          </w:tcPr>
          <w:p w14:paraId="7CDA4B0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152</w:t>
            </w:r>
          </w:p>
        </w:tc>
        <w:tc>
          <w:tcPr>
            <w:tcW w:w="983" w:type="dxa"/>
          </w:tcPr>
          <w:p w14:paraId="5D7D18D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23.9</w:t>
            </w:r>
          </w:p>
        </w:tc>
      </w:tr>
      <w:tr w:rsidR="006B43AF" w:rsidRPr="005907D3" w14:paraId="2839562A" w14:textId="77777777" w:rsidTr="00321BE8">
        <w:trPr>
          <w:trHeight w:val="20"/>
        </w:trPr>
        <w:tc>
          <w:tcPr>
            <w:tcW w:w="2059" w:type="dxa"/>
          </w:tcPr>
          <w:p w14:paraId="7FDF2D13"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Cabot Circus</w:t>
            </w:r>
          </w:p>
        </w:tc>
        <w:tc>
          <w:tcPr>
            <w:tcW w:w="1664" w:type="dxa"/>
          </w:tcPr>
          <w:p w14:paraId="2FD134A7"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Bristol</w:t>
            </w:r>
          </w:p>
        </w:tc>
        <w:tc>
          <w:tcPr>
            <w:tcW w:w="1386" w:type="dxa"/>
          </w:tcPr>
          <w:p w14:paraId="07DDC329"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venture</w:t>
            </w:r>
          </w:p>
        </w:tc>
        <w:tc>
          <w:tcPr>
            <w:tcW w:w="476" w:type="dxa"/>
          </w:tcPr>
          <w:p w14:paraId="6194C339" w14:textId="77777777" w:rsidR="006B43AF" w:rsidRPr="005907D3" w:rsidRDefault="006B43AF" w:rsidP="004203CD">
            <w:pPr>
              <w:pStyle w:val="TablesTText"/>
              <w:jc w:val="center"/>
              <w:rPr>
                <w:rFonts w:ascii="IBM Plex Sans Light" w:hAnsi="IBM Plex Sans Light"/>
              </w:rPr>
            </w:pPr>
            <w:r>
              <w:rPr>
                <w:rFonts w:ascii="IBM Plex Sans Light" w:hAnsi="IBM Plex Sans Light"/>
              </w:rPr>
              <w:t>b</w:t>
            </w:r>
          </w:p>
        </w:tc>
        <w:tc>
          <w:tcPr>
            <w:tcW w:w="1219" w:type="dxa"/>
            <w:vAlign w:val="bottom"/>
          </w:tcPr>
          <w:p w14:paraId="23125EEA"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vAlign w:val="bottom"/>
          </w:tcPr>
          <w:p w14:paraId="12CFFE7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106,300</w:t>
            </w:r>
          </w:p>
        </w:tc>
        <w:tc>
          <w:tcPr>
            <w:tcW w:w="981" w:type="dxa"/>
            <w:vAlign w:val="bottom"/>
          </w:tcPr>
          <w:p w14:paraId="5062E630"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109</w:t>
            </w:r>
          </w:p>
        </w:tc>
        <w:tc>
          <w:tcPr>
            <w:tcW w:w="983" w:type="dxa"/>
          </w:tcPr>
          <w:p w14:paraId="7D25A509"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10.8</w:t>
            </w:r>
          </w:p>
        </w:tc>
      </w:tr>
      <w:tr w:rsidR="006B43AF" w:rsidRPr="005907D3" w14:paraId="4ADC59EC" w14:textId="77777777" w:rsidTr="00321BE8">
        <w:trPr>
          <w:trHeight w:val="20"/>
        </w:trPr>
        <w:tc>
          <w:tcPr>
            <w:tcW w:w="2059" w:type="dxa"/>
          </w:tcPr>
          <w:p w14:paraId="3AAB4188"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The Oracle</w:t>
            </w:r>
          </w:p>
        </w:tc>
        <w:tc>
          <w:tcPr>
            <w:tcW w:w="1664" w:type="dxa"/>
          </w:tcPr>
          <w:p w14:paraId="56FDC1B1"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Reading</w:t>
            </w:r>
          </w:p>
        </w:tc>
        <w:tc>
          <w:tcPr>
            <w:tcW w:w="1386" w:type="dxa"/>
          </w:tcPr>
          <w:p w14:paraId="5FFC817C"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venture</w:t>
            </w:r>
          </w:p>
        </w:tc>
        <w:tc>
          <w:tcPr>
            <w:tcW w:w="476" w:type="dxa"/>
          </w:tcPr>
          <w:p w14:paraId="7500583F" w14:textId="77777777" w:rsidR="006B43AF" w:rsidRPr="005907D3" w:rsidRDefault="006B43AF" w:rsidP="004203CD">
            <w:pPr>
              <w:pStyle w:val="TablesTText"/>
              <w:rPr>
                <w:rFonts w:ascii="IBM Plex Sans Light" w:hAnsi="IBM Plex Sans Light"/>
              </w:rPr>
            </w:pPr>
          </w:p>
        </w:tc>
        <w:tc>
          <w:tcPr>
            <w:tcW w:w="1219" w:type="dxa"/>
            <w:vAlign w:val="bottom"/>
          </w:tcPr>
          <w:p w14:paraId="29465FC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vAlign w:val="bottom"/>
          </w:tcPr>
          <w:p w14:paraId="0BD5F92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72,100</w:t>
            </w:r>
          </w:p>
        </w:tc>
        <w:tc>
          <w:tcPr>
            <w:tcW w:w="981" w:type="dxa"/>
            <w:vAlign w:val="bottom"/>
          </w:tcPr>
          <w:p w14:paraId="2AC3A05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98</w:t>
            </w:r>
          </w:p>
        </w:tc>
        <w:tc>
          <w:tcPr>
            <w:tcW w:w="983" w:type="dxa"/>
          </w:tcPr>
          <w:p w14:paraId="2DEBD1C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10.4</w:t>
            </w:r>
          </w:p>
        </w:tc>
      </w:tr>
      <w:tr w:rsidR="006B43AF" w:rsidRPr="005907D3" w14:paraId="78FD5DC9" w14:textId="77777777" w:rsidTr="00321BE8">
        <w:trPr>
          <w:trHeight w:val="20"/>
        </w:trPr>
        <w:tc>
          <w:tcPr>
            <w:tcW w:w="2059" w:type="dxa"/>
          </w:tcPr>
          <w:p w14:paraId="02729246"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Union Square</w:t>
            </w:r>
          </w:p>
        </w:tc>
        <w:tc>
          <w:tcPr>
            <w:tcW w:w="1664" w:type="dxa"/>
          </w:tcPr>
          <w:p w14:paraId="00622B40"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Aberdeen</w:t>
            </w:r>
          </w:p>
        </w:tc>
        <w:tc>
          <w:tcPr>
            <w:tcW w:w="1386" w:type="dxa"/>
          </w:tcPr>
          <w:p w14:paraId="5121E2FC" w14:textId="77777777" w:rsidR="006B43AF" w:rsidRPr="000D641C" w:rsidRDefault="006B43AF" w:rsidP="004203CD">
            <w:pPr>
              <w:pStyle w:val="TablesTText"/>
              <w:rPr>
                <w:rFonts w:ascii="IBM Plex Sans Light" w:hAnsi="IBM Plex Sans Light"/>
                <w:sz w:val="18"/>
                <w:szCs w:val="18"/>
              </w:rPr>
            </w:pPr>
          </w:p>
        </w:tc>
        <w:tc>
          <w:tcPr>
            <w:tcW w:w="476" w:type="dxa"/>
          </w:tcPr>
          <w:p w14:paraId="1C0DB8E2" w14:textId="77777777" w:rsidR="006B43AF" w:rsidRPr="005907D3" w:rsidRDefault="006B43AF" w:rsidP="004203CD">
            <w:pPr>
              <w:pStyle w:val="TablesTText"/>
              <w:rPr>
                <w:rFonts w:ascii="IBM Plex Sans Light" w:hAnsi="IBM Plex Sans Light"/>
              </w:rPr>
            </w:pPr>
          </w:p>
        </w:tc>
        <w:tc>
          <w:tcPr>
            <w:tcW w:w="1219" w:type="dxa"/>
            <w:vAlign w:val="bottom"/>
          </w:tcPr>
          <w:p w14:paraId="557A696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100%</w:t>
            </w:r>
          </w:p>
        </w:tc>
        <w:tc>
          <w:tcPr>
            <w:tcW w:w="1150" w:type="dxa"/>
            <w:vAlign w:val="bottom"/>
          </w:tcPr>
          <w:p w14:paraId="542B64B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51,800</w:t>
            </w:r>
          </w:p>
        </w:tc>
        <w:tc>
          <w:tcPr>
            <w:tcW w:w="981" w:type="dxa"/>
            <w:vAlign w:val="bottom"/>
          </w:tcPr>
          <w:p w14:paraId="1FC2E24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72</w:t>
            </w:r>
          </w:p>
        </w:tc>
        <w:tc>
          <w:tcPr>
            <w:tcW w:w="983" w:type="dxa"/>
          </w:tcPr>
          <w:p w14:paraId="12704B17"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15.9</w:t>
            </w:r>
          </w:p>
        </w:tc>
      </w:tr>
      <w:tr w:rsidR="006B43AF" w:rsidRPr="005907D3" w14:paraId="5B2F5E08" w14:textId="77777777" w:rsidTr="00321BE8">
        <w:trPr>
          <w:trHeight w:val="20"/>
        </w:trPr>
        <w:tc>
          <w:tcPr>
            <w:tcW w:w="2059" w:type="dxa"/>
            <w:tcBorders>
              <w:bottom w:val="single" w:sz="2" w:space="0" w:color="3D7FE0" w:themeColor="accent1"/>
            </w:tcBorders>
            <w:shd w:val="clear" w:color="auto" w:fill="auto"/>
          </w:tcPr>
          <w:p w14:paraId="2B03DD35"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Westquay</w:t>
            </w:r>
          </w:p>
        </w:tc>
        <w:tc>
          <w:tcPr>
            <w:tcW w:w="1664" w:type="dxa"/>
            <w:tcBorders>
              <w:bottom w:val="single" w:sz="2" w:space="0" w:color="3D7FE0" w:themeColor="accent1"/>
            </w:tcBorders>
            <w:shd w:val="clear" w:color="auto" w:fill="auto"/>
          </w:tcPr>
          <w:p w14:paraId="4E4A1764"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Southampton</w:t>
            </w:r>
          </w:p>
        </w:tc>
        <w:tc>
          <w:tcPr>
            <w:tcW w:w="1386" w:type="dxa"/>
            <w:tcBorders>
              <w:bottom w:val="single" w:sz="2" w:space="0" w:color="3D7FE0" w:themeColor="accent1"/>
            </w:tcBorders>
            <w:shd w:val="clear" w:color="auto" w:fill="auto"/>
          </w:tcPr>
          <w:p w14:paraId="0B7028B4"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venture</w:t>
            </w:r>
          </w:p>
        </w:tc>
        <w:tc>
          <w:tcPr>
            <w:tcW w:w="476" w:type="dxa"/>
            <w:tcBorders>
              <w:bottom w:val="single" w:sz="2" w:space="0" w:color="3D7FE0" w:themeColor="accent1"/>
            </w:tcBorders>
            <w:shd w:val="clear" w:color="auto" w:fill="auto"/>
          </w:tcPr>
          <w:p w14:paraId="68D63EE8" w14:textId="77777777" w:rsidR="006B43AF" w:rsidRPr="005907D3" w:rsidRDefault="006B43AF" w:rsidP="004203CD">
            <w:pPr>
              <w:pStyle w:val="TablesTText"/>
              <w:rPr>
                <w:rFonts w:ascii="IBM Plex Sans Light" w:hAnsi="IBM Plex Sans Light"/>
              </w:rPr>
            </w:pPr>
          </w:p>
        </w:tc>
        <w:tc>
          <w:tcPr>
            <w:tcW w:w="1219" w:type="dxa"/>
            <w:tcBorders>
              <w:bottom w:val="single" w:sz="2" w:space="0" w:color="3D7FE0" w:themeColor="accent1"/>
            </w:tcBorders>
            <w:shd w:val="clear" w:color="auto" w:fill="auto"/>
            <w:vAlign w:val="bottom"/>
          </w:tcPr>
          <w:p w14:paraId="7E3828F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tcBorders>
              <w:bottom w:val="single" w:sz="2" w:space="0" w:color="3D7FE0" w:themeColor="accent1"/>
            </w:tcBorders>
            <w:shd w:val="clear" w:color="auto" w:fill="auto"/>
            <w:vAlign w:val="bottom"/>
          </w:tcPr>
          <w:p w14:paraId="4B896287"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94,400</w:t>
            </w:r>
          </w:p>
        </w:tc>
        <w:tc>
          <w:tcPr>
            <w:tcW w:w="981" w:type="dxa"/>
            <w:tcBorders>
              <w:bottom w:val="single" w:sz="2" w:space="0" w:color="3D7FE0" w:themeColor="accent1"/>
            </w:tcBorders>
            <w:shd w:val="clear" w:color="auto" w:fill="auto"/>
            <w:vAlign w:val="bottom"/>
          </w:tcPr>
          <w:p w14:paraId="7095AF2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110</w:t>
            </w:r>
          </w:p>
        </w:tc>
        <w:tc>
          <w:tcPr>
            <w:tcW w:w="983" w:type="dxa"/>
            <w:tcBorders>
              <w:bottom w:val="single" w:sz="2" w:space="0" w:color="3D7FE0" w:themeColor="accent1"/>
            </w:tcBorders>
            <w:shd w:val="clear" w:color="auto" w:fill="auto"/>
          </w:tcPr>
          <w:p w14:paraId="396E654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13.6</w:t>
            </w:r>
          </w:p>
        </w:tc>
      </w:tr>
      <w:tr w:rsidR="006B43AF" w:rsidRPr="005907D3" w14:paraId="6D1C759A" w14:textId="77777777" w:rsidTr="00321BE8">
        <w:trPr>
          <w:trHeight w:val="20"/>
        </w:trPr>
        <w:tc>
          <w:tcPr>
            <w:tcW w:w="2059" w:type="dxa"/>
            <w:shd w:val="clear" w:color="auto" w:fill="auto"/>
          </w:tcPr>
          <w:p w14:paraId="43373691" w14:textId="77777777" w:rsidR="006B43AF" w:rsidRPr="000D641C" w:rsidRDefault="006B43AF" w:rsidP="004203CD">
            <w:pPr>
              <w:pStyle w:val="TablesTText"/>
              <w:rPr>
                <w:rFonts w:ascii="IBM Plex Sans Light" w:hAnsi="IBM Plex Sans Light"/>
                <w:b/>
                <w:bCs/>
                <w:i/>
                <w:iCs/>
                <w:sz w:val="18"/>
                <w:szCs w:val="18"/>
              </w:rPr>
            </w:pPr>
            <w:r w:rsidRPr="000D641C">
              <w:rPr>
                <w:rFonts w:ascii="IBM Plex Sans Light" w:hAnsi="IBM Plex Sans Light"/>
                <w:b/>
                <w:bCs/>
                <w:i/>
                <w:iCs/>
                <w:sz w:val="18"/>
                <w:szCs w:val="18"/>
              </w:rPr>
              <w:t>France</w:t>
            </w:r>
          </w:p>
        </w:tc>
        <w:tc>
          <w:tcPr>
            <w:tcW w:w="1664" w:type="dxa"/>
            <w:shd w:val="clear" w:color="auto" w:fill="auto"/>
          </w:tcPr>
          <w:p w14:paraId="38353477" w14:textId="77777777" w:rsidR="006B43AF" w:rsidRPr="000D641C" w:rsidRDefault="006B43AF" w:rsidP="004203CD">
            <w:pPr>
              <w:pStyle w:val="TablesTText"/>
              <w:rPr>
                <w:rFonts w:ascii="IBM Plex Sans Light" w:hAnsi="IBM Plex Sans Light"/>
                <w:b/>
                <w:bCs/>
                <w:i/>
                <w:iCs/>
                <w:sz w:val="18"/>
                <w:szCs w:val="18"/>
              </w:rPr>
            </w:pPr>
          </w:p>
        </w:tc>
        <w:tc>
          <w:tcPr>
            <w:tcW w:w="1386" w:type="dxa"/>
            <w:shd w:val="clear" w:color="auto" w:fill="auto"/>
          </w:tcPr>
          <w:p w14:paraId="6C2A8043" w14:textId="77777777" w:rsidR="006B43AF" w:rsidRPr="000D641C" w:rsidRDefault="006B43AF" w:rsidP="004203CD">
            <w:pPr>
              <w:pStyle w:val="TablesTText"/>
              <w:rPr>
                <w:rFonts w:ascii="IBM Plex Sans Light" w:hAnsi="IBM Plex Sans Light"/>
                <w:b/>
                <w:bCs/>
                <w:i/>
                <w:iCs/>
                <w:sz w:val="18"/>
                <w:szCs w:val="18"/>
              </w:rPr>
            </w:pPr>
          </w:p>
        </w:tc>
        <w:tc>
          <w:tcPr>
            <w:tcW w:w="476" w:type="dxa"/>
            <w:shd w:val="clear" w:color="auto" w:fill="auto"/>
          </w:tcPr>
          <w:p w14:paraId="35876BAC" w14:textId="77777777" w:rsidR="006B43AF" w:rsidRPr="005907D3" w:rsidRDefault="006B43AF" w:rsidP="004203CD">
            <w:pPr>
              <w:pStyle w:val="TablesTText"/>
              <w:rPr>
                <w:rFonts w:ascii="IBM Plex Sans Light" w:hAnsi="IBM Plex Sans Light"/>
                <w:b/>
                <w:bCs/>
              </w:rPr>
            </w:pPr>
          </w:p>
        </w:tc>
        <w:tc>
          <w:tcPr>
            <w:tcW w:w="1219" w:type="dxa"/>
            <w:shd w:val="clear" w:color="auto" w:fill="auto"/>
            <w:vAlign w:val="bottom"/>
          </w:tcPr>
          <w:p w14:paraId="273A7D87"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1150" w:type="dxa"/>
            <w:shd w:val="clear" w:color="auto" w:fill="auto"/>
            <w:vAlign w:val="bottom"/>
          </w:tcPr>
          <w:p w14:paraId="09EE67EE"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981" w:type="dxa"/>
            <w:shd w:val="clear" w:color="auto" w:fill="auto"/>
            <w:vAlign w:val="bottom"/>
          </w:tcPr>
          <w:p w14:paraId="1A15DEAB"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983" w:type="dxa"/>
            <w:shd w:val="clear" w:color="auto" w:fill="auto"/>
            <w:vAlign w:val="bottom"/>
          </w:tcPr>
          <w:p w14:paraId="540C0B5B"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r>
      <w:tr w:rsidR="006B43AF" w:rsidRPr="005907D3" w14:paraId="210E660D" w14:textId="77777777" w:rsidTr="00321BE8">
        <w:trPr>
          <w:trHeight w:val="20"/>
        </w:trPr>
        <w:tc>
          <w:tcPr>
            <w:tcW w:w="2059" w:type="dxa"/>
          </w:tcPr>
          <w:p w14:paraId="77D88316"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Les 3 Fontaines</w:t>
            </w:r>
          </w:p>
        </w:tc>
        <w:tc>
          <w:tcPr>
            <w:tcW w:w="1664" w:type="dxa"/>
          </w:tcPr>
          <w:p w14:paraId="4829E3CB"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Cergy</w:t>
            </w:r>
          </w:p>
        </w:tc>
        <w:tc>
          <w:tcPr>
            <w:tcW w:w="1386" w:type="dxa"/>
          </w:tcPr>
          <w:p w14:paraId="0A14C5E1" w14:textId="77777777" w:rsidR="006B43AF" w:rsidRPr="000D641C" w:rsidRDefault="006B43AF" w:rsidP="004203CD">
            <w:pPr>
              <w:pStyle w:val="TablesTText"/>
              <w:rPr>
                <w:rFonts w:ascii="IBM Plex Sans Light" w:hAnsi="IBM Plex Sans Light"/>
                <w:sz w:val="18"/>
                <w:szCs w:val="18"/>
              </w:rPr>
            </w:pPr>
          </w:p>
        </w:tc>
        <w:tc>
          <w:tcPr>
            <w:tcW w:w="476" w:type="dxa"/>
          </w:tcPr>
          <w:p w14:paraId="59F80820" w14:textId="77777777" w:rsidR="006B43AF" w:rsidRPr="005907D3" w:rsidRDefault="006B43AF" w:rsidP="004203CD">
            <w:pPr>
              <w:pStyle w:val="TablesTText"/>
              <w:jc w:val="center"/>
              <w:rPr>
                <w:rFonts w:ascii="IBM Plex Sans Light" w:hAnsi="IBM Plex Sans Light"/>
              </w:rPr>
            </w:pPr>
            <w:r>
              <w:rPr>
                <w:rFonts w:ascii="IBM Plex Sans Light" w:hAnsi="IBM Plex Sans Light"/>
              </w:rPr>
              <w:t>c</w:t>
            </w:r>
          </w:p>
        </w:tc>
        <w:tc>
          <w:tcPr>
            <w:tcW w:w="1219" w:type="dxa"/>
            <w:vAlign w:val="bottom"/>
          </w:tcPr>
          <w:p w14:paraId="1B5CA718"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100%</w:t>
            </w:r>
          </w:p>
        </w:tc>
        <w:tc>
          <w:tcPr>
            <w:tcW w:w="1150" w:type="dxa"/>
            <w:vAlign w:val="bottom"/>
          </w:tcPr>
          <w:p w14:paraId="4C82F3A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76,600</w:t>
            </w:r>
          </w:p>
        </w:tc>
        <w:tc>
          <w:tcPr>
            <w:tcW w:w="981" w:type="dxa"/>
            <w:vAlign w:val="bottom"/>
          </w:tcPr>
          <w:p w14:paraId="56CAF0EA"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197</w:t>
            </w:r>
          </w:p>
        </w:tc>
        <w:tc>
          <w:tcPr>
            <w:tcW w:w="983" w:type="dxa"/>
            <w:vAlign w:val="bottom"/>
          </w:tcPr>
          <w:p w14:paraId="42891C4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21.9</w:t>
            </w:r>
          </w:p>
        </w:tc>
      </w:tr>
      <w:tr w:rsidR="006B43AF" w:rsidRPr="005907D3" w14:paraId="4402E3F5" w14:textId="77777777" w:rsidTr="00321BE8">
        <w:trPr>
          <w:trHeight w:val="20"/>
        </w:trPr>
        <w:tc>
          <w:tcPr>
            <w:tcW w:w="2059" w:type="dxa"/>
            <w:tcBorders>
              <w:bottom w:val="single" w:sz="2" w:space="0" w:color="3D7FE0" w:themeColor="accent1"/>
            </w:tcBorders>
          </w:tcPr>
          <w:p w14:paraId="406DB22D"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Les Terrasses du Port</w:t>
            </w:r>
          </w:p>
        </w:tc>
        <w:tc>
          <w:tcPr>
            <w:tcW w:w="1664" w:type="dxa"/>
            <w:tcBorders>
              <w:bottom w:val="single" w:sz="2" w:space="0" w:color="3D7FE0" w:themeColor="accent1"/>
            </w:tcBorders>
          </w:tcPr>
          <w:p w14:paraId="4B593DB1"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Marseille</w:t>
            </w:r>
          </w:p>
        </w:tc>
        <w:tc>
          <w:tcPr>
            <w:tcW w:w="1386" w:type="dxa"/>
            <w:tcBorders>
              <w:bottom w:val="single" w:sz="2" w:space="0" w:color="3D7FE0" w:themeColor="accent1"/>
            </w:tcBorders>
          </w:tcPr>
          <w:p w14:paraId="39A084DF" w14:textId="77777777" w:rsidR="006B43AF" w:rsidRPr="000D641C" w:rsidRDefault="006B43AF" w:rsidP="004203CD">
            <w:pPr>
              <w:pStyle w:val="TablesTText"/>
              <w:rPr>
                <w:rFonts w:ascii="IBM Plex Sans Light" w:hAnsi="IBM Plex Sans Light"/>
                <w:sz w:val="18"/>
                <w:szCs w:val="18"/>
              </w:rPr>
            </w:pPr>
          </w:p>
        </w:tc>
        <w:tc>
          <w:tcPr>
            <w:tcW w:w="476" w:type="dxa"/>
            <w:tcBorders>
              <w:bottom w:val="single" w:sz="2" w:space="0" w:color="3D7FE0" w:themeColor="accent1"/>
            </w:tcBorders>
          </w:tcPr>
          <w:p w14:paraId="5E16231F" w14:textId="77777777" w:rsidR="006B43AF" w:rsidRPr="005907D3" w:rsidRDefault="006B43AF" w:rsidP="004203CD">
            <w:pPr>
              <w:pStyle w:val="TablesTText"/>
              <w:rPr>
                <w:rFonts w:ascii="IBM Plex Sans Light" w:hAnsi="IBM Plex Sans Light"/>
              </w:rPr>
            </w:pPr>
          </w:p>
        </w:tc>
        <w:tc>
          <w:tcPr>
            <w:tcW w:w="1219" w:type="dxa"/>
            <w:tcBorders>
              <w:bottom w:val="single" w:sz="2" w:space="0" w:color="3D7FE0" w:themeColor="accent1"/>
            </w:tcBorders>
            <w:vAlign w:val="bottom"/>
          </w:tcPr>
          <w:p w14:paraId="124E3A60"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100%</w:t>
            </w:r>
          </w:p>
        </w:tc>
        <w:tc>
          <w:tcPr>
            <w:tcW w:w="1150" w:type="dxa"/>
            <w:tcBorders>
              <w:bottom w:val="single" w:sz="2" w:space="0" w:color="3D7FE0" w:themeColor="accent1"/>
            </w:tcBorders>
            <w:vAlign w:val="bottom"/>
          </w:tcPr>
          <w:p w14:paraId="5E222DB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62,800</w:t>
            </w:r>
          </w:p>
        </w:tc>
        <w:tc>
          <w:tcPr>
            <w:tcW w:w="981" w:type="dxa"/>
            <w:tcBorders>
              <w:bottom w:val="single" w:sz="2" w:space="0" w:color="3D7FE0" w:themeColor="accent1"/>
            </w:tcBorders>
            <w:vAlign w:val="bottom"/>
          </w:tcPr>
          <w:p w14:paraId="6041CD0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166</w:t>
            </w:r>
          </w:p>
        </w:tc>
        <w:tc>
          <w:tcPr>
            <w:tcW w:w="983" w:type="dxa"/>
            <w:tcBorders>
              <w:bottom w:val="single" w:sz="2" w:space="0" w:color="3D7FE0" w:themeColor="accent1"/>
            </w:tcBorders>
            <w:vAlign w:val="bottom"/>
          </w:tcPr>
          <w:p w14:paraId="576475AA"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30.3</w:t>
            </w:r>
          </w:p>
        </w:tc>
      </w:tr>
      <w:tr w:rsidR="006B43AF" w:rsidRPr="005907D3" w14:paraId="6F10B8D7" w14:textId="77777777" w:rsidTr="00321BE8">
        <w:trPr>
          <w:trHeight w:val="20"/>
        </w:trPr>
        <w:tc>
          <w:tcPr>
            <w:tcW w:w="2059" w:type="dxa"/>
            <w:tcBorders>
              <w:top w:val="single" w:sz="2" w:space="0" w:color="3D7FE0" w:themeColor="accent1"/>
            </w:tcBorders>
            <w:shd w:val="clear" w:color="auto" w:fill="auto"/>
          </w:tcPr>
          <w:p w14:paraId="3DF008BE" w14:textId="77777777" w:rsidR="006B43AF" w:rsidRPr="000D641C" w:rsidRDefault="006B43AF" w:rsidP="004203CD">
            <w:pPr>
              <w:pStyle w:val="TablesTText"/>
              <w:rPr>
                <w:rFonts w:ascii="IBM Plex Sans Light" w:hAnsi="IBM Plex Sans Light"/>
                <w:b/>
                <w:bCs/>
                <w:i/>
                <w:iCs/>
                <w:sz w:val="18"/>
                <w:szCs w:val="18"/>
              </w:rPr>
            </w:pPr>
            <w:r w:rsidRPr="000D641C">
              <w:rPr>
                <w:rFonts w:ascii="IBM Plex Sans Light" w:hAnsi="IBM Plex Sans Light"/>
                <w:b/>
                <w:bCs/>
                <w:i/>
                <w:iCs/>
                <w:sz w:val="18"/>
                <w:szCs w:val="18"/>
              </w:rPr>
              <w:t>Ireland</w:t>
            </w:r>
          </w:p>
        </w:tc>
        <w:tc>
          <w:tcPr>
            <w:tcW w:w="1664" w:type="dxa"/>
            <w:tcBorders>
              <w:top w:val="single" w:sz="2" w:space="0" w:color="3D7FE0" w:themeColor="accent1"/>
            </w:tcBorders>
            <w:shd w:val="clear" w:color="auto" w:fill="auto"/>
          </w:tcPr>
          <w:p w14:paraId="3C8C3997" w14:textId="77777777" w:rsidR="006B43AF" w:rsidRPr="000D641C" w:rsidRDefault="006B43AF" w:rsidP="004203CD">
            <w:pPr>
              <w:pStyle w:val="TablesTText"/>
              <w:rPr>
                <w:rFonts w:ascii="IBM Plex Sans Light" w:hAnsi="IBM Plex Sans Light"/>
                <w:b/>
                <w:bCs/>
                <w:i/>
                <w:iCs/>
                <w:sz w:val="18"/>
                <w:szCs w:val="18"/>
              </w:rPr>
            </w:pPr>
          </w:p>
        </w:tc>
        <w:tc>
          <w:tcPr>
            <w:tcW w:w="1386" w:type="dxa"/>
            <w:tcBorders>
              <w:top w:val="single" w:sz="2" w:space="0" w:color="3D7FE0" w:themeColor="accent1"/>
            </w:tcBorders>
            <w:shd w:val="clear" w:color="auto" w:fill="auto"/>
          </w:tcPr>
          <w:p w14:paraId="6A8A2427" w14:textId="77777777" w:rsidR="006B43AF" w:rsidRPr="000D641C" w:rsidRDefault="006B43AF" w:rsidP="004203CD">
            <w:pPr>
              <w:pStyle w:val="TablesTText"/>
              <w:rPr>
                <w:rFonts w:ascii="IBM Plex Sans Light" w:hAnsi="IBM Plex Sans Light"/>
                <w:b/>
                <w:bCs/>
                <w:i/>
                <w:iCs/>
                <w:sz w:val="18"/>
                <w:szCs w:val="18"/>
              </w:rPr>
            </w:pPr>
          </w:p>
        </w:tc>
        <w:tc>
          <w:tcPr>
            <w:tcW w:w="476" w:type="dxa"/>
            <w:tcBorders>
              <w:top w:val="single" w:sz="2" w:space="0" w:color="3D7FE0" w:themeColor="accent1"/>
            </w:tcBorders>
            <w:shd w:val="clear" w:color="auto" w:fill="auto"/>
          </w:tcPr>
          <w:p w14:paraId="5099E540" w14:textId="77777777" w:rsidR="006B43AF" w:rsidRPr="005907D3" w:rsidRDefault="006B43AF" w:rsidP="004203CD">
            <w:pPr>
              <w:pStyle w:val="TablesTText"/>
              <w:rPr>
                <w:rFonts w:ascii="IBM Plex Sans Light" w:hAnsi="IBM Plex Sans Light"/>
                <w:b/>
                <w:bCs/>
              </w:rPr>
            </w:pPr>
          </w:p>
        </w:tc>
        <w:tc>
          <w:tcPr>
            <w:tcW w:w="1219" w:type="dxa"/>
            <w:tcBorders>
              <w:top w:val="single" w:sz="2" w:space="0" w:color="3D7FE0" w:themeColor="accent1"/>
            </w:tcBorders>
            <w:shd w:val="clear" w:color="auto" w:fill="auto"/>
            <w:vAlign w:val="bottom"/>
          </w:tcPr>
          <w:p w14:paraId="3AFCB678"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1150" w:type="dxa"/>
            <w:tcBorders>
              <w:top w:val="single" w:sz="2" w:space="0" w:color="3D7FE0" w:themeColor="accent1"/>
            </w:tcBorders>
            <w:shd w:val="clear" w:color="auto" w:fill="auto"/>
            <w:vAlign w:val="bottom"/>
          </w:tcPr>
          <w:p w14:paraId="0BF0FADB"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981" w:type="dxa"/>
            <w:tcBorders>
              <w:top w:val="single" w:sz="2" w:space="0" w:color="3D7FE0" w:themeColor="accent1"/>
            </w:tcBorders>
            <w:shd w:val="clear" w:color="auto" w:fill="auto"/>
            <w:vAlign w:val="bottom"/>
          </w:tcPr>
          <w:p w14:paraId="36D44E32"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983" w:type="dxa"/>
            <w:tcBorders>
              <w:top w:val="single" w:sz="2" w:space="0" w:color="3D7FE0" w:themeColor="accent1"/>
            </w:tcBorders>
            <w:shd w:val="clear" w:color="auto" w:fill="auto"/>
            <w:vAlign w:val="bottom"/>
          </w:tcPr>
          <w:p w14:paraId="09C89535"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r>
      <w:tr w:rsidR="006B43AF" w:rsidRPr="005907D3" w14:paraId="3967E77F" w14:textId="77777777" w:rsidTr="00321BE8">
        <w:trPr>
          <w:trHeight w:val="20"/>
        </w:trPr>
        <w:tc>
          <w:tcPr>
            <w:tcW w:w="2059" w:type="dxa"/>
          </w:tcPr>
          <w:p w14:paraId="6F8FFED9"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Dundrum Town Centre</w:t>
            </w:r>
          </w:p>
        </w:tc>
        <w:tc>
          <w:tcPr>
            <w:tcW w:w="1664" w:type="dxa"/>
          </w:tcPr>
          <w:p w14:paraId="0230B6A8"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Dublin</w:t>
            </w:r>
          </w:p>
        </w:tc>
        <w:tc>
          <w:tcPr>
            <w:tcW w:w="1386" w:type="dxa"/>
          </w:tcPr>
          <w:p w14:paraId="21DC0D32"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venture</w:t>
            </w:r>
          </w:p>
        </w:tc>
        <w:tc>
          <w:tcPr>
            <w:tcW w:w="476" w:type="dxa"/>
          </w:tcPr>
          <w:p w14:paraId="11F2F98E" w14:textId="77777777" w:rsidR="006B43AF" w:rsidRPr="005907D3" w:rsidRDefault="006B43AF" w:rsidP="004203CD">
            <w:pPr>
              <w:pStyle w:val="TablesTText"/>
              <w:rPr>
                <w:rFonts w:ascii="IBM Plex Sans Light" w:hAnsi="IBM Plex Sans Light"/>
              </w:rPr>
            </w:pPr>
          </w:p>
        </w:tc>
        <w:tc>
          <w:tcPr>
            <w:tcW w:w="1219" w:type="dxa"/>
            <w:vAlign w:val="bottom"/>
          </w:tcPr>
          <w:p w14:paraId="315C848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vAlign w:val="bottom"/>
          </w:tcPr>
          <w:p w14:paraId="4554A42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125,600</w:t>
            </w:r>
          </w:p>
        </w:tc>
        <w:tc>
          <w:tcPr>
            <w:tcW w:w="981" w:type="dxa"/>
            <w:vAlign w:val="bottom"/>
          </w:tcPr>
          <w:p w14:paraId="5B2B459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152</w:t>
            </w:r>
          </w:p>
        </w:tc>
        <w:tc>
          <w:tcPr>
            <w:tcW w:w="983" w:type="dxa"/>
            <w:vAlign w:val="bottom"/>
          </w:tcPr>
          <w:p w14:paraId="2619734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27.5</w:t>
            </w:r>
          </w:p>
        </w:tc>
      </w:tr>
      <w:tr w:rsidR="006B43AF" w:rsidRPr="005907D3" w14:paraId="010434D9" w14:textId="77777777" w:rsidTr="00321BE8">
        <w:trPr>
          <w:trHeight w:val="20"/>
        </w:trPr>
        <w:tc>
          <w:tcPr>
            <w:tcW w:w="2059" w:type="dxa"/>
          </w:tcPr>
          <w:p w14:paraId="6228CD46"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Ilac Centre</w:t>
            </w:r>
          </w:p>
        </w:tc>
        <w:tc>
          <w:tcPr>
            <w:tcW w:w="1664" w:type="dxa"/>
          </w:tcPr>
          <w:p w14:paraId="5257E3F9"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Dublin</w:t>
            </w:r>
          </w:p>
        </w:tc>
        <w:tc>
          <w:tcPr>
            <w:tcW w:w="1386" w:type="dxa"/>
          </w:tcPr>
          <w:p w14:paraId="10D1B6BB"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operation</w:t>
            </w:r>
          </w:p>
        </w:tc>
        <w:tc>
          <w:tcPr>
            <w:tcW w:w="476" w:type="dxa"/>
          </w:tcPr>
          <w:p w14:paraId="585BCD4B" w14:textId="77777777" w:rsidR="006B43AF" w:rsidRPr="005907D3" w:rsidRDefault="006B43AF" w:rsidP="004203CD">
            <w:pPr>
              <w:pStyle w:val="TablesTText"/>
              <w:rPr>
                <w:rFonts w:ascii="IBM Plex Sans Light" w:hAnsi="IBM Plex Sans Light"/>
              </w:rPr>
            </w:pPr>
          </w:p>
        </w:tc>
        <w:tc>
          <w:tcPr>
            <w:tcW w:w="1219" w:type="dxa"/>
            <w:vAlign w:val="bottom"/>
          </w:tcPr>
          <w:p w14:paraId="54DF9A4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vAlign w:val="bottom"/>
          </w:tcPr>
          <w:p w14:paraId="212E5C1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27,900</w:t>
            </w:r>
          </w:p>
        </w:tc>
        <w:tc>
          <w:tcPr>
            <w:tcW w:w="981" w:type="dxa"/>
            <w:vAlign w:val="bottom"/>
          </w:tcPr>
          <w:p w14:paraId="0A8F2D48"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64</w:t>
            </w:r>
          </w:p>
        </w:tc>
        <w:tc>
          <w:tcPr>
            <w:tcW w:w="983" w:type="dxa"/>
            <w:vAlign w:val="bottom"/>
          </w:tcPr>
          <w:p w14:paraId="31C8D79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4.1</w:t>
            </w:r>
          </w:p>
        </w:tc>
      </w:tr>
      <w:tr w:rsidR="006B43AF" w:rsidRPr="005907D3" w14:paraId="504B947D" w14:textId="77777777" w:rsidTr="00321BE8">
        <w:trPr>
          <w:trHeight w:val="20"/>
        </w:trPr>
        <w:tc>
          <w:tcPr>
            <w:tcW w:w="2059" w:type="dxa"/>
            <w:tcBorders>
              <w:bottom w:val="single" w:sz="2" w:space="0" w:color="3D7FE0" w:themeColor="accent1"/>
            </w:tcBorders>
            <w:shd w:val="clear" w:color="auto" w:fill="auto"/>
          </w:tcPr>
          <w:p w14:paraId="196C0CA7"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Pavilions</w:t>
            </w:r>
          </w:p>
        </w:tc>
        <w:tc>
          <w:tcPr>
            <w:tcW w:w="1664" w:type="dxa"/>
            <w:tcBorders>
              <w:bottom w:val="single" w:sz="2" w:space="0" w:color="3D7FE0" w:themeColor="accent1"/>
            </w:tcBorders>
            <w:shd w:val="clear" w:color="auto" w:fill="auto"/>
          </w:tcPr>
          <w:p w14:paraId="612E0F66"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Swords</w:t>
            </w:r>
          </w:p>
        </w:tc>
        <w:tc>
          <w:tcPr>
            <w:tcW w:w="1386" w:type="dxa"/>
            <w:tcBorders>
              <w:bottom w:val="single" w:sz="2" w:space="0" w:color="3D7FE0" w:themeColor="accent1"/>
            </w:tcBorders>
            <w:shd w:val="clear" w:color="auto" w:fill="auto"/>
          </w:tcPr>
          <w:p w14:paraId="3F11B241"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Joint operation</w:t>
            </w:r>
          </w:p>
        </w:tc>
        <w:tc>
          <w:tcPr>
            <w:tcW w:w="476" w:type="dxa"/>
            <w:tcBorders>
              <w:bottom w:val="single" w:sz="2" w:space="0" w:color="3D7FE0" w:themeColor="accent1"/>
            </w:tcBorders>
            <w:shd w:val="clear" w:color="auto" w:fill="auto"/>
          </w:tcPr>
          <w:p w14:paraId="24F042E1" w14:textId="77777777" w:rsidR="006B43AF" w:rsidRPr="005907D3" w:rsidRDefault="006B43AF" w:rsidP="004203CD">
            <w:pPr>
              <w:pStyle w:val="TablesTText"/>
              <w:rPr>
                <w:rFonts w:ascii="IBM Plex Sans Light" w:hAnsi="IBM Plex Sans Light"/>
              </w:rPr>
            </w:pPr>
          </w:p>
        </w:tc>
        <w:tc>
          <w:tcPr>
            <w:tcW w:w="1219" w:type="dxa"/>
            <w:tcBorders>
              <w:bottom w:val="single" w:sz="2" w:space="0" w:color="3D7FE0" w:themeColor="accent1"/>
            </w:tcBorders>
            <w:shd w:val="clear" w:color="auto" w:fill="auto"/>
            <w:vAlign w:val="bottom"/>
          </w:tcPr>
          <w:p w14:paraId="30426E5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tcBorders>
              <w:bottom w:val="single" w:sz="2" w:space="0" w:color="3D7FE0" w:themeColor="accent1"/>
            </w:tcBorders>
            <w:shd w:val="clear" w:color="auto" w:fill="auto"/>
            <w:vAlign w:val="bottom"/>
          </w:tcPr>
          <w:p w14:paraId="7F9070D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44,400</w:t>
            </w:r>
          </w:p>
        </w:tc>
        <w:tc>
          <w:tcPr>
            <w:tcW w:w="981" w:type="dxa"/>
            <w:tcBorders>
              <w:bottom w:val="single" w:sz="2" w:space="0" w:color="3D7FE0" w:themeColor="accent1"/>
            </w:tcBorders>
            <w:shd w:val="clear" w:color="auto" w:fill="auto"/>
            <w:vAlign w:val="bottom"/>
          </w:tcPr>
          <w:p w14:paraId="634716B7"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94</w:t>
            </w:r>
          </w:p>
        </w:tc>
        <w:tc>
          <w:tcPr>
            <w:tcW w:w="983" w:type="dxa"/>
            <w:tcBorders>
              <w:bottom w:val="single" w:sz="2" w:space="0" w:color="3D7FE0" w:themeColor="accent1"/>
            </w:tcBorders>
            <w:shd w:val="clear" w:color="auto" w:fill="auto"/>
            <w:vAlign w:val="bottom"/>
          </w:tcPr>
          <w:p w14:paraId="393F667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7.2</w:t>
            </w:r>
          </w:p>
        </w:tc>
      </w:tr>
      <w:tr w:rsidR="006B43AF" w:rsidRPr="005907D3" w14:paraId="6256EDC8" w14:textId="77777777" w:rsidTr="00321BE8">
        <w:trPr>
          <w:trHeight w:val="20"/>
        </w:trPr>
        <w:tc>
          <w:tcPr>
            <w:tcW w:w="2059" w:type="dxa"/>
            <w:tcBorders>
              <w:top w:val="single" w:sz="2" w:space="0" w:color="3D7FE0" w:themeColor="accent1"/>
            </w:tcBorders>
          </w:tcPr>
          <w:p w14:paraId="7E8C5965" w14:textId="77777777" w:rsidR="006B43AF" w:rsidRPr="000D641C" w:rsidRDefault="006B43AF" w:rsidP="004203CD">
            <w:pPr>
              <w:pStyle w:val="TablesTText"/>
              <w:rPr>
                <w:rFonts w:ascii="IBM Plex Sans Light" w:hAnsi="IBM Plex Sans Light"/>
                <w:sz w:val="18"/>
                <w:szCs w:val="18"/>
              </w:rPr>
            </w:pPr>
          </w:p>
        </w:tc>
        <w:tc>
          <w:tcPr>
            <w:tcW w:w="1664" w:type="dxa"/>
            <w:tcBorders>
              <w:top w:val="single" w:sz="2" w:space="0" w:color="3D7FE0" w:themeColor="accent1"/>
            </w:tcBorders>
          </w:tcPr>
          <w:p w14:paraId="694E7DA9" w14:textId="77777777" w:rsidR="006B43AF" w:rsidRPr="000D641C" w:rsidRDefault="006B43AF" w:rsidP="004203CD">
            <w:pPr>
              <w:pStyle w:val="TablesTText"/>
              <w:rPr>
                <w:rFonts w:ascii="IBM Plex Sans Light" w:hAnsi="IBM Plex Sans Light"/>
                <w:sz w:val="18"/>
                <w:szCs w:val="18"/>
              </w:rPr>
            </w:pPr>
          </w:p>
        </w:tc>
        <w:tc>
          <w:tcPr>
            <w:tcW w:w="1386" w:type="dxa"/>
            <w:tcBorders>
              <w:top w:val="single" w:sz="2" w:space="0" w:color="3D7FE0" w:themeColor="accent1"/>
            </w:tcBorders>
          </w:tcPr>
          <w:p w14:paraId="0337B3E9" w14:textId="77777777" w:rsidR="006B43AF" w:rsidRPr="000D641C" w:rsidRDefault="006B43AF" w:rsidP="004203CD">
            <w:pPr>
              <w:pStyle w:val="TablesTText"/>
              <w:rPr>
                <w:rFonts w:ascii="IBM Plex Sans Light" w:hAnsi="IBM Plex Sans Light"/>
                <w:sz w:val="18"/>
                <w:szCs w:val="18"/>
              </w:rPr>
            </w:pPr>
          </w:p>
        </w:tc>
        <w:tc>
          <w:tcPr>
            <w:tcW w:w="476" w:type="dxa"/>
            <w:tcBorders>
              <w:top w:val="single" w:sz="2" w:space="0" w:color="3D7FE0" w:themeColor="accent1"/>
            </w:tcBorders>
          </w:tcPr>
          <w:p w14:paraId="0AFD9A42" w14:textId="77777777" w:rsidR="006B43AF" w:rsidRPr="005907D3" w:rsidRDefault="006B43AF" w:rsidP="004203CD">
            <w:pPr>
              <w:pStyle w:val="TablesTText"/>
              <w:rPr>
                <w:rFonts w:ascii="IBM Plex Sans Light" w:hAnsi="IBM Plex Sans Light"/>
              </w:rPr>
            </w:pPr>
          </w:p>
        </w:tc>
        <w:tc>
          <w:tcPr>
            <w:tcW w:w="1219" w:type="dxa"/>
            <w:tcBorders>
              <w:top w:val="single" w:sz="2" w:space="0" w:color="3D7FE0" w:themeColor="accent1"/>
            </w:tcBorders>
            <w:vAlign w:val="bottom"/>
          </w:tcPr>
          <w:p w14:paraId="3E139AB0"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1150" w:type="dxa"/>
            <w:tcBorders>
              <w:top w:val="single" w:sz="2" w:space="0" w:color="3D7FE0" w:themeColor="accent1"/>
            </w:tcBorders>
            <w:vAlign w:val="bottom"/>
          </w:tcPr>
          <w:p w14:paraId="11223210"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981" w:type="dxa"/>
            <w:tcBorders>
              <w:top w:val="single" w:sz="2" w:space="0" w:color="3D7FE0" w:themeColor="accent1"/>
            </w:tcBorders>
            <w:vAlign w:val="bottom"/>
          </w:tcPr>
          <w:p w14:paraId="67E75C16"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c>
          <w:tcPr>
            <w:tcW w:w="983" w:type="dxa"/>
            <w:tcBorders>
              <w:top w:val="single" w:sz="2" w:space="0" w:color="3D7FE0" w:themeColor="accent1"/>
            </w:tcBorders>
            <w:vAlign w:val="bottom"/>
          </w:tcPr>
          <w:p w14:paraId="31C4B4C0" w14:textId="77777777" w:rsidR="006B43AF" w:rsidRPr="000D641C" w:rsidRDefault="006B43AF" w:rsidP="004203CD">
            <w:pPr>
              <w:pStyle w:val="TableFiguresBold"/>
              <w:rPr>
                <w:rFonts w:ascii="IBM Plex Sans Medium" w:hAnsi="IBM Plex Sans Medium"/>
                <w:color w:val="3D7FE0" w:themeColor="accent1"/>
                <w:spacing w:val="-4"/>
                <w:sz w:val="18"/>
                <w:szCs w:val="18"/>
              </w:rPr>
            </w:pPr>
          </w:p>
        </w:tc>
      </w:tr>
      <w:tr w:rsidR="006B43AF" w:rsidRPr="005907D3" w14:paraId="08B1373A" w14:textId="77777777" w:rsidTr="00321BE8">
        <w:trPr>
          <w:trHeight w:val="20"/>
        </w:trPr>
        <w:tc>
          <w:tcPr>
            <w:tcW w:w="3723" w:type="dxa"/>
            <w:gridSpan w:val="2"/>
            <w:tcBorders>
              <w:bottom w:val="single" w:sz="2" w:space="0" w:color="3D7FE0" w:themeColor="accent1"/>
            </w:tcBorders>
            <w:shd w:val="clear" w:color="auto" w:fill="auto"/>
          </w:tcPr>
          <w:p w14:paraId="3BED0F29" w14:textId="77777777" w:rsidR="006B43AF" w:rsidRPr="000D641C" w:rsidRDefault="006B43AF" w:rsidP="004203CD">
            <w:pPr>
              <w:pStyle w:val="TablesTText"/>
              <w:spacing w:line="240" w:lineRule="auto"/>
              <w:rPr>
                <w:rFonts w:ascii="IBM Plex Sans Light" w:hAnsi="IBM Plex Sans Light"/>
                <w:b/>
                <w:bCs/>
                <w:color w:val="3D7FE0" w:themeColor="accent1"/>
                <w:sz w:val="18"/>
                <w:szCs w:val="18"/>
              </w:rPr>
            </w:pPr>
            <w:r w:rsidRPr="000D641C">
              <w:rPr>
                <w:rFonts w:ascii="IBM Plex Sans Light" w:hAnsi="IBM Plex Sans Light"/>
                <w:b/>
                <w:bCs/>
                <w:color w:val="3D7FE0" w:themeColor="accent1"/>
                <w:sz w:val="18"/>
                <w:szCs w:val="18"/>
              </w:rPr>
              <w:t>Developments and other (key properties)</w:t>
            </w:r>
          </w:p>
        </w:tc>
        <w:tc>
          <w:tcPr>
            <w:tcW w:w="1386" w:type="dxa"/>
            <w:tcBorders>
              <w:bottom w:val="single" w:sz="2" w:space="0" w:color="3D7FE0" w:themeColor="accent1"/>
            </w:tcBorders>
            <w:shd w:val="clear" w:color="auto" w:fill="auto"/>
          </w:tcPr>
          <w:p w14:paraId="106B7B41" w14:textId="77777777" w:rsidR="006B43AF" w:rsidRPr="000D641C" w:rsidRDefault="006B43AF" w:rsidP="004203CD">
            <w:pPr>
              <w:pStyle w:val="TablesTText"/>
              <w:spacing w:line="240" w:lineRule="auto"/>
              <w:rPr>
                <w:rFonts w:ascii="IBM Plex Sans Light" w:hAnsi="IBM Plex Sans Light"/>
                <w:b/>
                <w:bCs/>
                <w:sz w:val="18"/>
                <w:szCs w:val="18"/>
              </w:rPr>
            </w:pPr>
          </w:p>
        </w:tc>
        <w:tc>
          <w:tcPr>
            <w:tcW w:w="476" w:type="dxa"/>
            <w:tcBorders>
              <w:bottom w:val="single" w:sz="2" w:space="0" w:color="3D7FE0" w:themeColor="accent1"/>
            </w:tcBorders>
            <w:shd w:val="clear" w:color="auto" w:fill="auto"/>
          </w:tcPr>
          <w:p w14:paraId="06641A8C" w14:textId="77777777" w:rsidR="006B43AF" w:rsidRPr="005907D3" w:rsidRDefault="006B43AF" w:rsidP="004203CD">
            <w:pPr>
              <w:pStyle w:val="TablesTText"/>
              <w:spacing w:line="240" w:lineRule="auto"/>
              <w:rPr>
                <w:rFonts w:ascii="IBM Plex Sans Light" w:hAnsi="IBM Plex Sans Light"/>
              </w:rPr>
            </w:pPr>
          </w:p>
        </w:tc>
        <w:tc>
          <w:tcPr>
            <w:tcW w:w="1219" w:type="dxa"/>
            <w:tcBorders>
              <w:bottom w:val="single" w:sz="2" w:space="0" w:color="3D7FE0" w:themeColor="accent1"/>
            </w:tcBorders>
            <w:shd w:val="clear" w:color="auto" w:fill="auto"/>
            <w:vAlign w:val="bottom"/>
          </w:tcPr>
          <w:p w14:paraId="495B2D99" w14:textId="77777777" w:rsidR="006B43AF" w:rsidRPr="000D641C" w:rsidRDefault="006B43AF" w:rsidP="004203CD">
            <w:pPr>
              <w:pStyle w:val="TableFiguresBold"/>
              <w:spacing w:before="0" w:after="0" w:line="240" w:lineRule="auto"/>
              <w:rPr>
                <w:rFonts w:ascii="IBM Plex Sans Medium" w:hAnsi="IBM Plex Sans Medium"/>
                <w:color w:val="3D7FE0" w:themeColor="accent1"/>
                <w:spacing w:val="-4"/>
                <w:sz w:val="18"/>
                <w:szCs w:val="18"/>
              </w:rPr>
            </w:pPr>
          </w:p>
        </w:tc>
        <w:tc>
          <w:tcPr>
            <w:tcW w:w="1150" w:type="dxa"/>
            <w:tcBorders>
              <w:bottom w:val="single" w:sz="2" w:space="0" w:color="3D7FE0" w:themeColor="accent1"/>
            </w:tcBorders>
            <w:shd w:val="clear" w:color="auto" w:fill="auto"/>
            <w:vAlign w:val="bottom"/>
          </w:tcPr>
          <w:p w14:paraId="49F11E06" w14:textId="77777777" w:rsidR="006B43AF" w:rsidRPr="000D641C" w:rsidRDefault="006B43AF" w:rsidP="004203CD">
            <w:pPr>
              <w:pStyle w:val="TableFiguresBold"/>
              <w:spacing w:before="0" w:after="0" w:line="240" w:lineRule="auto"/>
              <w:rPr>
                <w:rFonts w:ascii="IBM Plex Sans Medium" w:hAnsi="IBM Plex Sans Medium"/>
                <w:color w:val="3D7FE0" w:themeColor="accent1"/>
                <w:spacing w:val="-4"/>
                <w:sz w:val="18"/>
                <w:szCs w:val="18"/>
              </w:rPr>
            </w:pPr>
          </w:p>
        </w:tc>
        <w:tc>
          <w:tcPr>
            <w:tcW w:w="981" w:type="dxa"/>
            <w:tcBorders>
              <w:bottom w:val="single" w:sz="2" w:space="0" w:color="3D7FE0" w:themeColor="accent1"/>
            </w:tcBorders>
            <w:shd w:val="clear" w:color="auto" w:fill="auto"/>
            <w:vAlign w:val="bottom"/>
          </w:tcPr>
          <w:p w14:paraId="4219A50B" w14:textId="77777777" w:rsidR="006B43AF" w:rsidRPr="000D641C" w:rsidRDefault="006B43AF" w:rsidP="004203CD">
            <w:pPr>
              <w:pStyle w:val="TableFiguresBold"/>
              <w:spacing w:before="0" w:after="0" w:line="240" w:lineRule="auto"/>
              <w:rPr>
                <w:rFonts w:ascii="IBM Plex Sans Medium" w:hAnsi="IBM Plex Sans Medium"/>
                <w:color w:val="3D7FE0" w:themeColor="accent1"/>
                <w:spacing w:val="-4"/>
                <w:sz w:val="18"/>
                <w:szCs w:val="18"/>
              </w:rPr>
            </w:pPr>
          </w:p>
        </w:tc>
        <w:tc>
          <w:tcPr>
            <w:tcW w:w="983" w:type="dxa"/>
            <w:tcBorders>
              <w:bottom w:val="single" w:sz="2" w:space="0" w:color="3D7FE0" w:themeColor="accent1"/>
            </w:tcBorders>
            <w:shd w:val="clear" w:color="auto" w:fill="auto"/>
            <w:vAlign w:val="bottom"/>
          </w:tcPr>
          <w:p w14:paraId="6CDD812B" w14:textId="77777777" w:rsidR="006B43AF" w:rsidRPr="000D641C" w:rsidRDefault="006B43AF" w:rsidP="004203CD">
            <w:pPr>
              <w:pStyle w:val="TableFiguresBold"/>
              <w:spacing w:before="0" w:after="0" w:line="240" w:lineRule="auto"/>
              <w:rPr>
                <w:rFonts w:ascii="IBM Plex Sans Medium" w:hAnsi="IBM Plex Sans Medium"/>
                <w:color w:val="3D7FE0" w:themeColor="accent1"/>
                <w:spacing w:val="-4"/>
                <w:sz w:val="18"/>
                <w:szCs w:val="18"/>
              </w:rPr>
            </w:pPr>
          </w:p>
        </w:tc>
      </w:tr>
      <w:tr w:rsidR="006B43AF" w:rsidRPr="005907D3" w14:paraId="13A7D028" w14:textId="77777777" w:rsidTr="00321BE8">
        <w:trPr>
          <w:trHeight w:val="20"/>
        </w:trPr>
        <w:tc>
          <w:tcPr>
            <w:tcW w:w="2059" w:type="dxa"/>
            <w:shd w:val="clear" w:color="auto" w:fill="auto"/>
          </w:tcPr>
          <w:p w14:paraId="11A04F11"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Bristol Broadmead</w:t>
            </w:r>
          </w:p>
        </w:tc>
        <w:tc>
          <w:tcPr>
            <w:tcW w:w="1664" w:type="dxa"/>
            <w:shd w:val="clear" w:color="auto" w:fill="auto"/>
          </w:tcPr>
          <w:p w14:paraId="4E05EBFB"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Bristol</w:t>
            </w:r>
          </w:p>
        </w:tc>
        <w:tc>
          <w:tcPr>
            <w:tcW w:w="1386" w:type="dxa"/>
            <w:shd w:val="clear" w:color="auto" w:fill="auto"/>
          </w:tcPr>
          <w:p w14:paraId="543AEDD9"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Joint venture</w:t>
            </w:r>
          </w:p>
        </w:tc>
        <w:tc>
          <w:tcPr>
            <w:tcW w:w="476" w:type="dxa"/>
            <w:shd w:val="clear" w:color="auto" w:fill="auto"/>
          </w:tcPr>
          <w:p w14:paraId="73C38CB9" w14:textId="77777777" w:rsidR="006B43AF" w:rsidRPr="005907D3" w:rsidRDefault="006B43AF" w:rsidP="004203CD">
            <w:pPr>
              <w:pStyle w:val="TablesTText"/>
              <w:jc w:val="center"/>
              <w:rPr>
                <w:rFonts w:ascii="IBM Plex Sans Light" w:hAnsi="IBM Plex Sans Light"/>
              </w:rPr>
            </w:pPr>
            <w:r>
              <w:rPr>
                <w:rFonts w:ascii="IBM Plex Sans Light" w:hAnsi="IBM Plex Sans Light"/>
              </w:rPr>
              <w:t>b</w:t>
            </w:r>
          </w:p>
        </w:tc>
        <w:tc>
          <w:tcPr>
            <w:tcW w:w="1219" w:type="dxa"/>
            <w:shd w:val="clear" w:color="auto" w:fill="auto"/>
            <w:vAlign w:val="bottom"/>
          </w:tcPr>
          <w:p w14:paraId="2FFA8ED1"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shd w:val="clear" w:color="auto" w:fill="auto"/>
            <w:vAlign w:val="bottom"/>
          </w:tcPr>
          <w:p w14:paraId="3A45BA4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34,</w:t>
            </w:r>
            <w:r>
              <w:rPr>
                <w:rFonts w:ascii="IBM Plex Sans Medium" w:hAnsi="IBM Plex Sans Medium"/>
                <w:color w:val="3D7FE0" w:themeColor="accent1"/>
                <w:spacing w:val="-4"/>
                <w:sz w:val="18"/>
                <w:szCs w:val="18"/>
              </w:rPr>
              <w:t>8</w:t>
            </w:r>
            <w:r w:rsidRPr="000D641C">
              <w:rPr>
                <w:rFonts w:ascii="IBM Plex Sans Medium" w:hAnsi="IBM Plex Sans Medium"/>
                <w:color w:val="3D7FE0" w:themeColor="accent1"/>
                <w:spacing w:val="-4"/>
                <w:sz w:val="18"/>
                <w:szCs w:val="18"/>
              </w:rPr>
              <w:t>00</w:t>
            </w:r>
          </w:p>
        </w:tc>
        <w:tc>
          <w:tcPr>
            <w:tcW w:w="981" w:type="dxa"/>
            <w:shd w:val="clear" w:color="auto" w:fill="auto"/>
            <w:vAlign w:val="bottom"/>
          </w:tcPr>
          <w:p w14:paraId="2007DAC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62</w:t>
            </w:r>
          </w:p>
        </w:tc>
        <w:tc>
          <w:tcPr>
            <w:tcW w:w="983" w:type="dxa"/>
            <w:shd w:val="clear" w:color="auto" w:fill="auto"/>
            <w:vAlign w:val="bottom"/>
          </w:tcPr>
          <w:p w14:paraId="686206B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2.9</w:t>
            </w:r>
          </w:p>
        </w:tc>
      </w:tr>
      <w:tr w:rsidR="006B43AF" w:rsidRPr="005907D3" w14:paraId="654ACB17" w14:textId="77777777" w:rsidTr="00321BE8">
        <w:trPr>
          <w:trHeight w:val="20"/>
        </w:trPr>
        <w:tc>
          <w:tcPr>
            <w:tcW w:w="2059" w:type="dxa"/>
            <w:shd w:val="clear" w:color="auto" w:fill="auto"/>
          </w:tcPr>
          <w:p w14:paraId="27E93AD1"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 xml:space="preserve">Dublin Central </w:t>
            </w:r>
          </w:p>
        </w:tc>
        <w:tc>
          <w:tcPr>
            <w:tcW w:w="1664" w:type="dxa"/>
            <w:shd w:val="clear" w:color="auto" w:fill="auto"/>
          </w:tcPr>
          <w:p w14:paraId="398224D0"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Dublin</w:t>
            </w:r>
          </w:p>
        </w:tc>
        <w:tc>
          <w:tcPr>
            <w:tcW w:w="1386" w:type="dxa"/>
            <w:shd w:val="clear" w:color="auto" w:fill="auto"/>
          </w:tcPr>
          <w:p w14:paraId="50CB24F1" w14:textId="77777777" w:rsidR="006B43AF" w:rsidRPr="000D641C" w:rsidRDefault="006B43AF" w:rsidP="004203CD">
            <w:pPr>
              <w:pStyle w:val="TablesTText"/>
              <w:rPr>
                <w:rFonts w:ascii="IBM Plex Sans Light" w:hAnsi="IBM Plex Sans Light"/>
                <w:b/>
                <w:bCs/>
                <w:sz w:val="18"/>
                <w:szCs w:val="18"/>
              </w:rPr>
            </w:pPr>
          </w:p>
        </w:tc>
        <w:tc>
          <w:tcPr>
            <w:tcW w:w="476" w:type="dxa"/>
            <w:shd w:val="clear" w:color="auto" w:fill="auto"/>
          </w:tcPr>
          <w:p w14:paraId="1C55022D" w14:textId="77777777" w:rsidR="006B43AF" w:rsidRPr="005907D3" w:rsidRDefault="006B43AF" w:rsidP="004203CD">
            <w:pPr>
              <w:pStyle w:val="TablesTText"/>
              <w:jc w:val="center"/>
              <w:rPr>
                <w:rFonts w:ascii="IBM Plex Sans Light" w:hAnsi="IBM Plex Sans Light"/>
              </w:rPr>
            </w:pPr>
          </w:p>
        </w:tc>
        <w:tc>
          <w:tcPr>
            <w:tcW w:w="1219" w:type="dxa"/>
            <w:shd w:val="clear" w:color="auto" w:fill="auto"/>
            <w:vAlign w:val="bottom"/>
          </w:tcPr>
          <w:p w14:paraId="04413CE9"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100%</w:t>
            </w:r>
          </w:p>
        </w:tc>
        <w:tc>
          <w:tcPr>
            <w:tcW w:w="1150" w:type="dxa"/>
            <w:shd w:val="clear" w:color="auto" w:fill="auto"/>
            <w:vAlign w:val="bottom"/>
          </w:tcPr>
          <w:p w14:paraId="55CA71D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1" w:type="dxa"/>
            <w:shd w:val="clear" w:color="auto" w:fill="auto"/>
            <w:vAlign w:val="bottom"/>
          </w:tcPr>
          <w:p w14:paraId="527E0B9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3" w:type="dxa"/>
            <w:shd w:val="clear" w:color="auto" w:fill="auto"/>
            <w:vAlign w:val="bottom"/>
          </w:tcPr>
          <w:p w14:paraId="48905CF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r>
      <w:tr w:rsidR="006B43AF" w:rsidRPr="005907D3" w14:paraId="2BAB384C" w14:textId="77777777" w:rsidTr="00321BE8">
        <w:trPr>
          <w:trHeight w:val="20"/>
        </w:trPr>
        <w:tc>
          <w:tcPr>
            <w:tcW w:w="2059" w:type="dxa"/>
            <w:shd w:val="clear" w:color="auto" w:fill="auto"/>
          </w:tcPr>
          <w:p w14:paraId="015E1204"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Dundrum Phase II</w:t>
            </w:r>
          </w:p>
        </w:tc>
        <w:tc>
          <w:tcPr>
            <w:tcW w:w="1664" w:type="dxa"/>
            <w:shd w:val="clear" w:color="auto" w:fill="auto"/>
          </w:tcPr>
          <w:p w14:paraId="10E5E312"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Dublin</w:t>
            </w:r>
          </w:p>
        </w:tc>
        <w:tc>
          <w:tcPr>
            <w:tcW w:w="1386" w:type="dxa"/>
            <w:shd w:val="clear" w:color="auto" w:fill="auto"/>
          </w:tcPr>
          <w:p w14:paraId="5E44E52E"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Joint venture</w:t>
            </w:r>
          </w:p>
        </w:tc>
        <w:tc>
          <w:tcPr>
            <w:tcW w:w="476" w:type="dxa"/>
            <w:shd w:val="clear" w:color="auto" w:fill="auto"/>
          </w:tcPr>
          <w:p w14:paraId="14191188" w14:textId="77777777" w:rsidR="006B43AF" w:rsidRPr="005907D3" w:rsidRDefault="006B43AF" w:rsidP="004203CD">
            <w:pPr>
              <w:pStyle w:val="TablesTText"/>
              <w:jc w:val="center"/>
              <w:rPr>
                <w:rFonts w:ascii="IBM Plex Sans Light" w:hAnsi="IBM Plex Sans Light"/>
              </w:rPr>
            </w:pPr>
          </w:p>
        </w:tc>
        <w:tc>
          <w:tcPr>
            <w:tcW w:w="1219" w:type="dxa"/>
            <w:shd w:val="clear" w:color="auto" w:fill="auto"/>
            <w:vAlign w:val="bottom"/>
          </w:tcPr>
          <w:p w14:paraId="20C25B49"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shd w:val="clear" w:color="auto" w:fill="auto"/>
            <w:vAlign w:val="bottom"/>
          </w:tcPr>
          <w:p w14:paraId="5B34C0E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1" w:type="dxa"/>
            <w:shd w:val="clear" w:color="auto" w:fill="auto"/>
            <w:vAlign w:val="bottom"/>
          </w:tcPr>
          <w:p w14:paraId="11DA5A4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3" w:type="dxa"/>
            <w:shd w:val="clear" w:color="auto" w:fill="auto"/>
            <w:vAlign w:val="bottom"/>
          </w:tcPr>
          <w:p w14:paraId="00C549C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r>
      <w:tr w:rsidR="006B43AF" w:rsidRPr="005907D3" w14:paraId="7EC87BF1" w14:textId="77777777" w:rsidTr="00321BE8">
        <w:trPr>
          <w:trHeight w:val="20"/>
        </w:trPr>
        <w:tc>
          <w:tcPr>
            <w:tcW w:w="2059" w:type="dxa"/>
            <w:shd w:val="clear" w:color="auto" w:fill="auto"/>
          </w:tcPr>
          <w:p w14:paraId="629B8484"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Grand Central</w:t>
            </w:r>
          </w:p>
        </w:tc>
        <w:tc>
          <w:tcPr>
            <w:tcW w:w="1664" w:type="dxa"/>
            <w:shd w:val="clear" w:color="auto" w:fill="auto"/>
          </w:tcPr>
          <w:p w14:paraId="0337972F"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Birmingham</w:t>
            </w:r>
          </w:p>
        </w:tc>
        <w:tc>
          <w:tcPr>
            <w:tcW w:w="1386" w:type="dxa"/>
            <w:shd w:val="clear" w:color="auto" w:fill="auto"/>
          </w:tcPr>
          <w:p w14:paraId="06AF8BFE"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Joint venture</w:t>
            </w:r>
          </w:p>
        </w:tc>
        <w:tc>
          <w:tcPr>
            <w:tcW w:w="476" w:type="dxa"/>
            <w:shd w:val="clear" w:color="auto" w:fill="auto"/>
          </w:tcPr>
          <w:p w14:paraId="179A3F4F" w14:textId="77777777" w:rsidR="006B43AF" w:rsidRPr="005907D3" w:rsidRDefault="006B43AF" w:rsidP="004203CD">
            <w:pPr>
              <w:pStyle w:val="TablesTText"/>
              <w:jc w:val="center"/>
              <w:rPr>
                <w:rFonts w:ascii="IBM Plex Sans Light" w:hAnsi="IBM Plex Sans Light"/>
              </w:rPr>
            </w:pPr>
            <w:r>
              <w:rPr>
                <w:rFonts w:ascii="IBM Plex Sans Light" w:hAnsi="IBM Plex Sans Light"/>
              </w:rPr>
              <w:t>a</w:t>
            </w:r>
          </w:p>
        </w:tc>
        <w:tc>
          <w:tcPr>
            <w:tcW w:w="1219" w:type="dxa"/>
            <w:shd w:val="clear" w:color="auto" w:fill="auto"/>
            <w:vAlign w:val="bottom"/>
          </w:tcPr>
          <w:p w14:paraId="137B6E5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shd w:val="clear" w:color="auto" w:fill="auto"/>
            <w:vAlign w:val="bottom"/>
          </w:tcPr>
          <w:p w14:paraId="0145CAF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39,000</w:t>
            </w:r>
          </w:p>
        </w:tc>
        <w:tc>
          <w:tcPr>
            <w:tcW w:w="981" w:type="dxa"/>
            <w:shd w:val="clear" w:color="auto" w:fill="auto"/>
            <w:vAlign w:val="bottom"/>
          </w:tcPr>
          <w:p w14:paraId="6D88AB3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53</w:t>
            </w:r>
          </w:p>
        </w:tc>
        <w:tc>
          <w:tcPr>
            <w:tcW w:w="983" w:type="dxa"/>
            <w:shd w:val="clear" w:color="auto" w:fill="auto"/>
            <w:vAlign w:val="bottom"/>
          </w:tcPr>
          <w:p w14:paraId="2F1CCBF0"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3.7</w:t>
            </w:r>
          </w:p>
        </w:tc>
      </w:tr>
      <w:tr w:rsidR="006B43AF" w:rsidRPr="005907D3" w14:paraId="7A842AE2" w14:textId="77777777" w:rsidTr="00321BE8">
        <w:trPr>
          <w:trHeight w:val="20"/>
        </w:trPr>
        <w:tc>
          <w:tcPr>
            <w:tcW w:w="2059" w:type="dxa"/>
            <w:shd w:val="clear" w:color="auto" w:fill="auto"/>
          </w:tcPr>
          <w:p w14:paraId="6C47D0DF" w14:textId="77777777" w:rsidR="006B43AF" w:rsidRPr="000D641C" w:rsidRDefault="006B43AF" w:rsidP="004203CD">
            <w:pPr>
              <w:pStyle w:val="TablesTText"/>
              <w:rPr>
                <w:rFonts w:ascii="IBM Plex Sans Light" w:hAnsi="IBM Plex Sans Light"/>
                <w:sz w:val="18"/>
                <w:szCs w:val="18"/>
              </w:rPr>
            </w:pPr>
            <w:r>
              <w:rPr>
                <w:rFonts w:ascii="IBM Plex Sans Light" w:hAnsi="IBM Plex Sans Light"/>
                <w:sz w:val="18"/>
                <w:szCs w:val="18"/>
              </w:rPr>
              <w:t>Eastgate</w:t>
            </w:r>
          </w:p>
        </w:tc>
        <w:tc>
          <w:tcPr>
            <w:tcW w:w="1664" w:type="dxa"/>
            <w:shd w:val="clear" w:color="auto" w:fill="auto"/>
          </w:tcPr>
          <w:p w14:paraId="1A24F2D3" w14:textId="77777777" w:rsidR="006B43AF" w:rsidRPr="000D641C" w:rsidRDefault="006B43AF" w:rsidP="004203CD">
            <w:pPr>
              <w:pStyle w:val="TablesTText"/>
              <w:rPr>
                <w:rFonts w:ascii="IBM Plex Sans Light" w:hAnsi="IBM Plex Sans Light"/>
                <w:sz w:val="18"/>
                <w:szCs w:val="18"/>
              </w:rPr>
            </w:pPr>
            <w:r>
              <w:rPr>
                <w:rFonts w:ascii="IBM Plex Sans Light" w:hAnsi="IBM Plex Sans Light"/>
                <w:sz w:val="18"/>
                <w:szCs w:val="18"/>
              </w:rPr>
              <w:t>Leeds</w:t>
            </w:r>
          </w:p>
        </w:tc>
        <w:tc>
          <w:tcPr>
            <w:tcW w:w="1386" w:type="dxa"/>
            <w:shd w:val="clear" w:color="auto" w:fill="auto"/>
          </w:tcPr>
          <w:p w14:paraId="16844D37" w14:textId="77777777" w:rsidR="006B43AF" w:rsidRPr="000D641C" w:rsidRDefault="006B43AF" w:rsidP="004203CD">
            <w:pPr>
              <w:pStyle w:val="TablesTText"/>
              <w:rPr>
                <w:rFonts w:ascii="IBM Plex Sans Light" w:hAnsi="IBM Plex Sans Light"/>
                <w:sz w:val="18"/>
                <w:szCs w:val="18"/>
              </w:rPr>
            </w:pPr>
          </w:p>
        </w:tc>
        <w:tc>
          <w:tcPr>
            <w:tcW w:w="476" w:type="dxa"/>
            <w:shd w:val="clear" w:color="auto" w:fill="auto"/>
          </w:tcPr>
          <w:p w14:paraId="6C92F22C" w14:textId="77777777" w:rsidR="006B43AF" w:rsidRPr="005907D3" w:rsidRDefault="006B43AF" w:rsidP="004203CD">
            <w:pPr>
              <w:pStyle w:val="TablesTText"/>
              <w:jc w:val="center"/>
              <w:rPr>
                <w:rFonts w:ascii="IBM Plex Sans Light" w:hAnsi="IBM Plex Sans Light"/>
              </w:rPr>
            </w:pPr>
          </w:p>
        </w:tc>
        <w:tc>
          <w:tcPr>
            <w:tcW w:w="1219" w:type="dxa"/>
            <w:shd w:val="clear" w:color="auto" w:fill="auto"/>
            <w:vAlign w:val="bottom"/>
          </w:tcPr>
          <w:p w14:paraId="5C616ED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100%</w:t>
            </w:r>
          </w:p>
        </w:tc>
        <w:tc>
          <w:tcPr>
            <w:tcW w:w="1150" w:type="dxa"/>
            <w:shd w:val="clear" w:color="auto" w:fill="auto"/>
            <w:vAlign w:val="bottom"/>
          </w:tcPr>
          <w:p w14:paraId="20E69E8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n/a</w:t>
            </w:r>
          </w:p>
        </w:tc>
        <w:tc>
          <w:tcPr>
            <w:tcW w:w="981" w:type="dxa"/>
            <w:shd w:val="clear" w:color="auto" w:fill="auto"/>
            <w:vAlign w:val="bottom"/>
          </w:tcPr>
          <w:p w14:paraId="4A5D5CA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n/a</w:t>
            </w:r>
          </w:p>
        </w:tc>
        <w:tc>
          <w:tcPr>
            <w:tcW w:w="983" w:type="dxa"/>
            <w:shd w:val="clear" w:color="auto" w:fill="auto"/>
            <w:vAlign w:val="bottom"/>
          </w:tcPr>
          <w:p w14:paraId="7AB7DC1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n/a</w:t>
            </w:r>
          </w:p>
        </w:tc>
      </w:tr>
      <w:tr w:rsidR="006B43AF" w:rsidRPr="005907D3" w14:paraId="4F96DCD5" w14:textId="77777777" w:rsidTr="00321BE8">
        <w:trPr>
          <w:trHeight w:val="20"/>
        </w:trPr>
        <w:tc>
          <w:tcPr>
            <w:tcW w:w="2059" w:type="dxa"/>
            <w:shd w:val="clear" w:color="auto" w:fill="auto"/>
          </w:tcPr>
          <w:p w14:paraId="3B6E251A"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Martineau Galleries</w:t>
            </w:r>
          </w:p>
        </w:tc>
        <w:tc>
          <w:tcPr>
            <w:tcW w:w="1664" w:type="dxa"/>
            <w:shd w:val="clear" w:color="auto" w:fill="auto"/>
          </w:tcPr>
          <w:p w14:paraId="0B9219CF"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Birmingham</w:t>
            </w:r>
          </w:p>
        </w:tc>
        <w:tc>
          <w:tcPr>
            <w:tcW w:w="1386" w:type="dxa"/>
            <w:shd w:val="clear" w:color="auto" w:fill="auto"/>
          </w:tcPr>
          <w:p w14:paraId="7EF4D8FC" w14:textId="77777777" w:rsidR="006B43AF" w:rsidRPr="000D641C" w:rsidRDefault="006B43AF" w:rsidP="004203CD">
            <w:pPr>
              <w:pStyle w:val="TablesTText"/>
              <w:rPr>
                <w:rFonts w:ascii="IBM Plex Sans Light" w:hAnsi="IBM Plex Sans Light"/>
                <w:b/>
                <w:bCs/>
                <w:sz w:val="18"/>
                <w:szCs w:val="18"/>
              </w:rPr>
            </w:pPr>
          </w:p>
        </w:tc>
        <w:tc>
          <w:tcPr>
            <w:tcW w:w="476" w:type="dxa"/>
            <w:shd w:val="clear" w:color="auto" w:fill="auto"/>
          </w:tcPr>
          <w:p w14:paraId="123543FF" w14:textId="77777777" w:rsidR="006B43AF" w:rsidRPr="005907D3" w:rsidRDefault="006B43AF" w:rsidP="004203CD">
            <w:pPr>
              <w:pStyle w:val="TablesTText"/>
              <w:jc w:val="center"/>
              <w:rPr>
                <w:rFonts w:ascii="IBM Plex Sans Light" w:hAnsi="IBM Plex Sans Light"/>
              </w:rPr>
            </w:pPr>
            <w:r>
              <w:rPr>
                <w:rFonts w:ascii="IBM Plex Sans Light" w:hAnsi="IBM Plex Sans Light"/>
              </w:rPr>
              <w:t>a</w:t>
            </w:r>
          </w:p>
        </w:tc>
        <w:tc>
          <w:tcPr>
            <w:tcW w:w="1219" w:type="dxa"/>
            <w:shd w:val="clear" w:color="auto" w:fill="auto"/>
            <w:vAlign w:val="bottom"/>
          </w:tcPr>
          <w:p w14:paraId="207E384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100%</w:t>
            </w:r>
          </w:p>
        </w:tc>
        <w:tc>
          <w:tcPr>
            <w:tcW w:w="1150" w:type="dxa"/>
            <w:shd w:val="clear" w:color="auto" w:fill="auto"/>
            <w:vAlign w:val="bottom"/>
          </w:tcPr>
          <w:p w14:paraId="25419678"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35,200</w:t>
            </w:r>
          </w:p>
        </w:tc>
        <w:tc>
          <w:tcPr>
            <w:tcW w:w="981" w:type="dxa"/>
            <w:shd w:val="clear" w:color="auto" w:fill="auto"/>
            <w:vAlign w:val="bottom"/>
          </w:tcPr>
          <w:p w14:paraId="6036468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41</w:t>
            </w:r>
          </w:p>
        </w:tc>
        <w:tc>
          <w:tcPr>
            <w:tcW w:w="983" w:type="dxa"/>
            <w:shd w:val="clear" w:color="auto" w:fill="auto"/>
            <w:vAlign w:val="bottom"/>
          </w:tcPr>
          <w:p w14:paraId="1D3D313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2.0</w:t>
            </w:r>
          </w:p>
        </w:tc>
      </w:tr>
      <w:tr w:rsidR="006B43AF" w:rsidRPr="005907D3" w14:paraId="629F8CD2" w14:textId="77777777" w:rsidTr="00321BE8">
        <w:trPr>
          <w:trHeight w:val="20"/>
        </w:trPr>
        <w:tc>
          <w:tcPr>
            <w:tcW w:w="2059" w:type="dxa"/>
            <w:shd w:val="clear" w:color="auto" w:fill="auto"/>
          </w:tcPr>
          <w:p w14:paraId="69A2B1E4"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Pavilions land</w:t>
            </w:r>
          </w:p>
        </w:tc>
        <w:tc>
          <w:tcPr>
            <w:tcW w:w="1664" w:type="dxa"/>
            <w:shd w:val="clear" w:color="auto" w:fill="auto"/>
          </w:tcPr>
          <w:p w14:paraId="218F61DB"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Swords</w:t>
            </w:r>
          </w:p>
        </w:tc>
        <w:tc>
          <w:tcPr>
            <w:tcW w:w="1386" w:type="dxa"/>
            <w:shd w:val="clear" w:color="auto" w:fill="auto"/>
          </w:tcPr>
          <w:p w14:paraId="14A9C2DD" w14:textId="77777777" w:rsidR="006B43AF" w:rsidRPr="000D641C" w:rsidRDefault="006B43AF" w:rsidP="004203CD">
            <w:pPr>
              <w:pStyle w:val="TablesTText"/>
              <w:rPr>
                <w:rFonts w:ascii="IBM Plex Sans Light" w:hAnsi="IBM Plex Sans Light"/>
                <w:b/>
                <w:bCs/>
                <w:sz w:val="18"/>
                <w:szCs w:val="18"/>
              </w:rPr>
            </w:pPr>
          </w:p>
        </w:tc>
        <w:tc>
          <w:tcPr>
            <w:tcW w:w="476" w:type="dxa"/>
            <w:shd w:val="clear" w:color="auto" w:fill="auto"/>
          </w:tcPr>
          <w:p w14:paraId="4FA54385" w14:textId="77777777" w:rsidR="006B43AF" w:rsidRPr="005907D3" w:rsidRDefault="006B43AF" w:rsidP="004203CD">
            <w:pPr>
              <w:pStyle w:val="TablesTText"/>
              <w:rPr>
                <w:rFonts w:ascii="IBM Plex Sans Light" w:hAnsi="IBM Plex Sans Light"/>
              </w:rPr>
            </w:pPr>
          </w:p>
        </w:tc>
        <w:tc>
          <w:tcPr>
            <w:tcW w:w="1219" w:type="dxa"/>
            <w:shd w:val="clear" w:color="auto" w:fill="auto"/>
            <w:vAlign w:val="bottom"/>
          </w:tcPr>
          <w:p w14:paraId="121C17B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100%</w:t>
            </w:r>
          </w:p>
        </w:tc>
        <w:tc>
          <w:tcPr>
            <w:tcW w:w="1150" w:type="dxa"/>
            <w:shd w:val="clear" w:color="auto" w:fill="auto"/>
            <w:vAlign w:val="bottom"/>
          </w:tcPr>
          <w:p w14:paraId="5AC78001"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1" w:type="dxa"/>
            <w:shd w:val="clear" w:color="auto" w:fill="auto"/>
            <w:vAlign w:val="bottom"/>
          </w:tcPr>
          <w:p w14:paraId="3286981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3" w:type="dxa"/>
            <w:shd w:val="clear" w:color="auto" w:fill="auto"/>
            <w:vAlign w:val="bottom"/>
          </w:tcPr>
          <w:p w14:paraId="7086134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r>
      <w:tr w:rsidR="006B43AF" w:rsidRPr="005907D3" w14:paraId="5138DEDB" w14:textId="77777777" w:rsidTr="00321BE8">
        <w:trPr>
          <w:trHeight w:val="20"/>
        </w:trPr>
        <w:tc>
          <w:tcPr>
            <w:tcW w:w="2059" w:type="dxa"/>
            <w:tcBorders>
              <w:bottom w:val="single" w:sz="2" w:space="0" w:color="3D7FE0" w:themeColor="accent1"/>
            </w:tcBorders>
            <w:shd w:val="clear" w:color="auto" w:fill="auto"/>
          </w:tcPr>
          <w:p w14:paraId="1DEA4D4D" w14:textId="77777777" w:rsidR="006B43AF" w:rsidRPr="000D641C" w:rsidRDefault="006B43AF" w:rsidP="004203CD">
            <w:pPr>
              <w:pStyle w:val="TablesTText"/>
              <w:rPr>
                <w:rFonts w:ascii="IBM Plex Sans Light" w:hAnsi="IBM Plex Sans Light"/>
                <w:sz w:val="18"/>
                <w:szCs w:val="18"/>
              </w:rPr>
            </w:pPr>
            <w:r>
              <w:rPr>
                <w:rFonts w:ascii="IBM Plex Sans Light" w:hAnsi="IBM Plex Sans Light"/>
                <w:sz w:val="18"/>
                <w:szCs w:val="18"/>
              </w:rPr>
              <w:t>The</w:t>
            </w:r>
            <w:r w:rsidRPr="000D641C">
              <w:rPr>
                <w:rFonts w:ascii="IBM Plex Sans Light" w:hAnsi="IBM Plex Sans Light"/>
                <w:sz w:val="18"/>
                <w:szCs w:val="18"/>
              </w:rPr>
              <w:t xml:space="preserve"> Goodsyard</w:t>
            </w:r>
          </w:p>
        </w:tc>
        <w:tc>
          <w:tcPr>
            <w:tcW w:w="1664" w:type="dxa"/>
            <w:tcBorders>
              <w:bottom w:val="single" w:sz="2" w:space="0" w:color="3D7FE0" w:themeColor="accent1"/>
            </w:tcBorders>
            <w:shd w:val="clear" w:color="auto" w:fill="auto"/>
          </w:tcPr>
          <w:p w14:paraId="40A443DC" w14:textId="77777777" w:rsidR="006B43AF" w:rsidRPr="000D641C" w:rsidRDefault="006B43AF" w:rsidP="004203CD">
            <w:pPr>
              <w:pStyle w:val="TablesTText"/>
              <w:rPr>
                <w:rFonts w:ascii="IBM Plex Sans Light" w:hAnsi="IBM Plex Sans Light"/>
                <w:sz w:val="18"/>
                <w:szCs w:val="18"/>
              </w:rPr>
            </w:pPr>
            <w:r w:rsidRPr="000D641C">
              <w:rPr>
                <w:rFonts w:ascii="IBM Plex Sans Light" w:hAnsi="IBM Plex Sans Light"/>
                <w:sz w:val="18"/>
                <w:szCs w:val="18"/>
              </w:rPr>
              <w:t>London</w:t>
            </w:r>
          </w:p>
        </w:tc>
        <w:tc>
          <w:tcPr>
            <w:tcW w:w="1386" w:type="dxa"/>
            <w:tcBorders>
              <w:bottom w:val="single" w:sz="2" w:space="0" w:color="3D7FE0" w:themeColor="accent1"/>
            </w:tcBorders>
            <w:shd w:val="clear" w:color="auto" w:fill="auto"/>
          </w:tcPr>
          <w:p w14:paraId="78CC344C" w14:textId="77777777" w:rsidR="006B43AF" w:rsidRPr="000D641C" w:rsidRDefault="006B43AF" w:rsidP="004203CD">
            <w:pPr>
              <w:pStyle w:val="TablesTText"/>
              <w:rPr>
                <w:rFonts w:ascii="IBM Plex Sans Light" w:hAnsi="IBM Plex Sans Light"/>
                <w:b/>
                <w:bCs/>
                <w:sz w:val="18"/>
                <w:szCs w:val="18"/>
              </w:rPr>
            </w:pPr>
            <w:r w:rsidRPr="000D641C">
              <w:rPr>
                <w:rFonts w:ascii="IBM Plex Sans Light" w:hAnsi="IBM Plex Sans Light"/>
                <w:sz w:val="18"/>
                <w:szCs w:val="18"/>
              </w:rPr>
              <w:t>Joint venture</w:t>
            </w:r>
          </w:p>
        </w:tc>
        <w:tc>
          <w:tcPr>
            <w:tcW w:w="476" w:type="dxa"/>
            <w:tcBorders>
              <w:bottom w:val="single" w:sz="2" w:space="0" w:color="3D7FE0" w:themeColor="accent1"/>
            </w:tcBorders>
            <w:shd w:val="clear" w:color="auto" w:fill="auto"/>
          </w:tcPr>
          <w:p w14:paraId="4CFF3E98" w14:textId="77777777" w:rsidR="006B43AF" w:rsidRPr="005907D3" w:rsidRDefault="006B43AF" w:rsidP="004203CD">
            <w:pPr>
              <w:pStyle w:val="TablesTText"/>
              <w:rPr>
                <w:rFonts w:ascii="IBM Plex Sans Light" w:hAnsi="IBM Plex Sans Light"/>
              </w:rPr>
            </w:pPr>
          </w:p>
        </w:tc>
        <w:tc>
          <w:tcPr>
            <w:tcW w:w="1219" w:type="dxa"/>
            <w:tcBorders>
              <w:bottom w:val="single" w:sz="2" w:space="0" w:color="3D7FE0" w:themeColor="accent1"/>
            </w:tcBorders>
            <w:shd w:val="clear" w:color="auto" w:fill="auto"/>
            <w:vAlign w:val="bottom"/>
          </w:tcPr>
          <w:p w14:paraId="77113823"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50" w:type="dxa"/>
            <w:tcBorders>
              <w:bottom w:val="single" w:sz="2" w:space="0" w:color="3D7FE0" w:themeColor="accent1"/>
            </w:tcBorders>
            <w:shd w:val="clear" w:color="auto" w:fill="auto"/>
            <w:vAlign w:val="bottom"/>
          </w:tcPr>
          <w:p w14:paraId="6AA39EA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1" w:type="dxa"/>
            <w:tcBorders>
              <w:bottom w:val="single" w:sz="2" w:space="0" w:color="3D7FE0" w:themeColor="accent1"/>
            </w:tcBorders>
            <w:shd w:val="clear" w:color="auto" w:fill="auto"/>
            <w:vAlign w:val="bottom"/>
          </w:tcPr>
          <w:p w14:paraId="220999E0"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c>
          <w:tcPr>
            <w:tcW w:w="983" w:type="dxa"/>
            <w:tcBorders>
              <w:bottom w:val="single" w:sz="2" w:space="0" w:color="3D7FE0" w:themeColor="accent1"/>
            </w:tcBorders>
            <w:shd w:val="clear" w:color="auto" w:fill="auto"/>
            <w:vAlign w:val="bottom"/>
          </w:tcPr>
          <w:p w14:paraId="6560E4D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n/a</w:t>
            </w:r>
          </w:p>
        </w:tc>
      </w:tr>
    </w:tbl>
    <w:p w14:paraId="0DCA58F8" w14:textId="77777777" w:rsidR="006B43AF" w:rsidRPr="005907D3" w:rsidRDefault="006B43AF" w:rsidP="006B43AF">
      <w:pPr>
        <w:pStyle w:val="Footnotes"/>
        <w:spacing w:before="0" w:after="0" w:line="240" w:lineRule="auto"/>
        <w:ind w:left="0" w:firstLine="0"/>
        <w:rPr>
          <w:rFonts w:ascii="IBM Plex Sans Light" w:hAnsi="IBM Plex Sans Light"/>
          <w:sz w:val="16"/>
          <w:szCs w:val="22"/>
        </w:rPr>
      </w:pPr>
    </w:p>
    <w:tbl>
      <w:tblPr>
        <w:tblW w:w="9894" w:type="dxa"/>
        <w:tblCellMar>
          <w:left w:w="0" w:type="dxa"/>
          <w:right w:w="0" w:type="dxa"/>
        </w:tblCellMar>
        <w:tblLook w:val="04A0" w:firstRow="1" w:lastRow="0" w:firstColumn="1" w:lastColumn="0" w:noHBand="0" w:noVBand="1"/>
      </w:tblPr>
      <w:tblGrid>
        <w:gridCol w:w="2127"/>
        <w:gridCol w:w="1701"/>
        <w:gridCol w:w="1417"/>
        <w:gridCol w:w="481"/>
        <w:gridCol w:w="1022"/>
        <w:gridCol w:w="1162"/>
        <w:gridCol w:w="992"/>
        <w:gridCol w:w="992"/>
      </w:tblGrid>
      <w:tr w:rsidR="006B43AF" w:rsidRPr="005907D3" w14:paraId="4C4D3DB3" w14:textId="77777777" w:rsidTr="004203CD">
        <w:trPr>
          <w:trHeight w:val="20"/>
        </w:trPr>
        <w:tc>
          <w:tcPr>
            <w:tcW w:w="2127" w:type="dxa"/>
            <w:tcBorders>
              <w:bottom w:val="single" w:sz="2" w:space="0" w:color="4175BA"/>
            </w:tcBorders>
            <w:shd w:val="clear" w:color="auto" w:fill="auto"/>
            <w:vAlign w:val="bottom"/>
          </w:tcPr>
          <w:p w14:paraId="26C3DAAB" w14:textId="77777777" w:rsidR="006B43AF" w:rsidRPr="005907D3" w:rsidRDefault="006B43AF" w:rsidP="004203CD">
            <w:pPr>
              <w:pStyle w:val="TablesTColHead"/>
              <w:rPr>
                <w:rFonts w:ascii="IBM Plex Sans Light" w:hAnsi="IBM Plex Sans Light"/>
                <w:highlight w:val="yellow"/>
              </w:rPr>
            </w:pPr>
          </w:p>
        </w:tc>
        <w:tc>
          <w:tcPr>
            <w:tcW w:w="1701" w:type="dxa"/>
            <w:tcBorders>
              <w:bottom w:val="single" w:sz="2" w:space="0" w:color="4175BA"/>
            </w:tcBorders>
            <w:shd w:val="clear" w:color="auto" w:fill="auto"/>
            <w:vAlign w:val="bottom"/>
          </w:tcPr>
          <w:p w14:paraId="42A88AEB" w14:textId="77777777" w:rsidR="006B43AF" w:rsidRPr="005907D3" w:rsidRDefault="006B43AF" w:rsidP="004203CD">
            <w:pPr>
              <w:pStyle w:val="TablesTColHead"/>
              <w:rPr>
                <w:rFonts w:ascii="IBM Plex Sans Light" w:hAnsi="IBM Plex Sans Light"/>
                <w:highlight w:val="yellow"/>
              </w:rPr>
            </w:pPr>
          </w:p>
        </w:tc>
        <w:tc>
          <w:tcPr>
            <w:tcW w:w="1417" w:type="dxa"/>
            <w:tcBorders>
              <w:bottom w:val="single" w:sz="2" w:space="0" w:color="4175BA"/>
            </w:tcBorders>
            <w:shd w:val="clear" w:color="auto" w:fill="auto"/>
            <w:vAlign w:val="bottom"/>
          </w:tcPr>
          <w:p w14:paraId="56E62712" w14:textId="77777777" w:rsidR="006B43AF" w:rsidRPr="005907D3" w:rsidRDefault="006B43AF" w:rsidP="004203CD">
            <w:pPr>
              <w:pStyle w:val="TablesTColHead"/>
              <w:rPr>
                <w:rFonts w:ascii="IBM Plex Sans Light" w:hAnsi="IBM Plex Sans Light"/>
                <w:b/>
                <w:bCs/>
                <w:color w:val="3D7FE0" w:themeColor="accent1"/>
                <w:highlight w:val="yellow"/>
              </w:rPr>
            </w:pPr>
          </w:p>
        </w:tc>
        <w:tc>
          <w:tcPr>
            <w:tcW w:w="481" w:type="dxa"/>
            <w:tcBorders>
              <w:bottom w:val="single" w:sz="2" w:space="0" w:color="4175BA"/>
            </w:tcBorders>
            <w:shd w:val="clear" w:color="auto" w:fill="auto"/>
            <w:vAlign w:val="bottom"/>
          </w:tcPr>
          <w:p w14:paraId="5675C53D" w14:textId="77777777" w:rsidR="006B43AF" w:rsidRPr="005907D3" w:rsidRDefault="006B43AF" w:rsidP="004203CD">
            <w:pPr>
              <w:pStyle w:val="TablesTColHead"/>
              <w:rPr>
                <w:rFonts w:ascii="IBM Plex Sans Light" w:hAnsi="IBM Plex Sans Light"/>
                <w:b/>
                <w:bCs/>
                <w:color w:val="3D7FE0" w:themeColor="accent1"/>
                <w:highlight w:val="yellow"/>
              </w:rPr>
            </w:pPr>
          </w:p>
        </w:tc>
        <w:tc>
          <w:tcPr>
            <w:tcW w:w="1022" w:type="dxa"/>
            <w:tcBorders>
              <w:bottom w:val="single" w:sz="2" w:space="0" w:color="4175BA"/>
            </w:tcBorders>
            <w:shd w:val="clear" w:color="auto" w:fill="auto"/>
            <w:vAlign w:val="bottom"/>
          </w:tcPr>
          <w:p w14:paraId="7F1C9DFB"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Ownership</w:t>
            </w:r>
          </w:p>
        </w:tc>
        <w:tc>
          <w:tcPr>
            <w:tcW w:w="1162" w:type="dxa"/>
            <w:tcBorders>
              <w:bottom w:val="single" w:sz="2" w:space="0" w:color="4175BA"/>
            </w:tcBorders>
            <w:shd w:val="clear" w:color="auto" w:fill="auto"/>
            <w:vAlign w:val="bottom"/>
          </w:tcPr>
          <w:p w14:paraId="07E5AACF"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Area, m</w:t>
            </w:r>
            <w:r w:rsidRPr="005907D3">
              <w:rPr>
                <w:rFonts w:ascii="IBM Plex Sans Light" w:hAnsi="IBM Plex Sans Light"/>
                <w:b/>
                <w:bCs/>
                <w:color w:val="3D7FE0" w:themeColor="accent1"/>
                <w:sz w:val="14"/>
                <w:szCs w:val="24"/>
                <w:vertAlign w:val="superscript"/>
              </w:rPr>
              <w:t>2</w:t>
            </w:r>
          </w:p>
        </w:tc>
        <w:tc>
          <w:tcPr>
            <w:tcW w:w="992" w:type="dxa"/>
            <w:tcBorders>
              <w:bottom w:val="single" w:sz="2" w:space="0" w:color="4175BA"/>
            </w:tcBorders>
            <w:shd w:val="clear" w:color="auto" w:fill="auto"/>
            <w:vAlign w:val="bottom"/>
          </w:tcPr>
          <w:p w14:paraId="10D68E29"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No. of tenants</w:t>
            </w:r>
          </w:p>
        </w:tc>
        <w:tc>
          <w:tcPr>
            <w:tcW w:w="992" w:type="dxa"/>
            <w:tcBorders>
              <w:bottom w:val="single" w:sz="2" w:space="0" w:color="4175BA"/>
            </w:tcBorders>
            <w:shd w:val="clear" w:color="auto" w:fill="auto"/>
            <w:vAlign w:val="bottom"/>
          </w:tcPr>
          <w:p w14:paraId="12186EE6"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Income</w:t>
            </w:r>
          </w:p>
          <w:p w14:paraId="4E632347" w14:textId="77777777" w:rsidR="006B43AF" w:rsidRPr="005907D3" w:rsidRDefault="006B43AF" w:rsidP="004203CD">
            <w:pPr>
              <w:pStyle w:val="TablesTColHead"/>
              <w:rPr>
                <w:rFonts w:ascii="IBM Plex Sans Light" w:hAnsi="IBM Plex Sans Light"/>
                <w:b/>
                <w:bCs/>
                <w:color w:val="3D7FE0" w:themeColor="accent1"/>
                <w:sz w:val="14"/>
                <w:szCs w:val="24"/>
              </w:rPr>
            </w:pPr>
            <w:r w:rsidRPr="005907D3">
              <w:rPr>
                <w:rFonts w:ascii="IBM Plex Sans Light" w:hAnsi="IBM Plex Sans Light"/>
                <w:b/>
                <w:bCs/>
                <w:color w:val="3D7FE0" w:themeColor="accent1"/>
                <w:sz w:val="14"/>
                <w:szCs w:val="24"/>
              </w:rPr>
              <w:t>£m</w:t>
            </w:r>
          </w:p>
        </w:tc>
      </w:tr>
      <w:tr w:rsidR="006B43AF" w:rsidRPr="005907D3" w14:paraId="086DBD2D" w14:textId="77777777" w:rsidTr="004203CD">
        <w:trPr>
          <w:trHeight w:val="20"/>
        </w:trPr>
        <w:tc>
          <w:tcPr>
            <w:tcW w:w="2127" w:type="dxa"/>
            <w:tcBorders>
              <w:bottom w:val="single" w:sz="2" w:space="0" w:color="4175BA"/>
            </w:tcBorders>
            <w:shd w:val="clear" w:color="auto" w:fill="auto"/>
            <w:vAlign w:val="bottom"/>
          </w:tcPr>
          <w:p w14:paraId="4A44CCE0" w14:textId="77777777" w:rsidR="006B43AF" w:rsidRPr="005907D3" w:rsidRDefault="006B43AF" w:rsidP="004203CD">
            <w:pPr>
              <w:pStyle w:val="TablesTColHead"/>
              <w:jc w:val="left"/>
              <w:rPr>
                <w:rFonts w:ascii="IBM Plex Sans Light" w:hAnsi="IBM Plex Sans Light"/>
                <w:b/>
                <w:bCs/>
                <w:color w:val="3D7FE0" w:themeColor="accent1"/>
              </w:rPr>
            </w:pPr>
            <w:r w:rsidRPr="00A04876">
              <w:rPr>
                <w:rFonts w:ascii="IBM Plex Sans Medium" w:hAnsi="IBM Plex Sans Medium"/>
                <w:b/>
                <w:bCs/>
                <w:sz w:val="18"/>
                <w:szCs w:val="32"/>
              </w:rPr>
              <w:t>Value Retail</w:t>
            </w:r>
          </w:p>
        </w:tc>
        <w:tc>
          <w:tcPr>
            <w:tcW w:w="1701" w:type="dxa"/>
            <w:tcBorders>
              <w:bottom w:val="single" w:sz="2" w:space="0" w:color="4175BA"/>
            </w:tcBorders>
            <w:shd w:val="clear" w:color="auto" w:fill="auto"/>
            <w:vAlign w:val="bottom"/>
          </w:tcPr>
          <w:p w14:paraId="4C7486D7" w14:textId="77777777" w:rsidR="006B43AF" w:rsidRPr="005907D3" w:rsidRDefault="006B43AF" w:rsidP="004203CD">
            <w:pPr>
              <w:pStyle w:val="TablesTText"/>
              <w:rPr>
                <w:rFonts w:ascii="IBM Plex Sans Light" w:hAnsi="IBM Plex Sans Light"/>
                <w:b/>
                <w:bCs/>
                <w:color w:val="3D7FE0" w:themeColor="accent1"/>
              </w:rPr>
            </w:pPr>
          </w:p>
        </w:tc>
        <w:tc>
          <w:tcPr>
            <w:tcW w:w="1417" w:type="dxa"/>
            <w:tcBorders>
              <w:bottom w:val="single" w:sz="2" w:space="0" w:color="4175BA"/>
            </w:tcBorders>
            <w:shd w:val="clear" w:color="auto" w:fill="auto"/>
            <w:vAlign w:val="bottom"/>
          </w:tcPr>
          <w:p w14:paraId="2D65BB4D" w14:textId="77777777" w:rsidR="006B43AF" w:rsidRPr="005907D3" w:rsidRDefault="006B43AF" w:rsidP="004203CD">
            <w:pPr>
              <w:pStyle w:val="TablesTText"/>
              <w:rPr>
                <w:rFonts w:ascii="IBM Plex Sans Light" w:hAnsi="IBM Plex Sans Light"/>
              </w:rPr>
            </w:pPr>
            <w:r w:rsidRPr="005907D3">
              <w:rPr>
                <w:rFonts w:ascii="IBM Plex Sans Light" w:hAnsi="IBM Plex Sans Light"/>
              </w:rPr>
              <w:t>Associate</w:t>
            </w:r>
          </w:p>
        </w:tc>
        <w:tc>
          <w:tcPr>
            <w:tcW w:w="481" w:type="dxa"/>
            <w:tcBorders>
              <w:bottom w:val="single" w:sz="2" w:space="0" w:color="4175BA"/>
            </w:tcBorders>
            <w:shd w:val="clear" w:color="auto" w:fill="auto"/>
            <w:vAlign w:val="bottom"/>
          </w:tcPr>
          <w:p w14:paraId="32CF409B" w14:textId="77777777" w:rsidR="006B43AF" w:rsidRPr="005907D3" w:rsidRDefault="006B43AF" w:rsidP="004203CD">
            <w:pPr>
              <w:pStyle w:val="TablesTText"/>
              <w:jc w:val="center"/>
              <w:rPr>
                <w:rFonts w:ascii="IBM Plex Sans Light" w:hAnsi="IBM Plex Sans Light"/>
              </w:rPr>
            </w:pPr>
            <w:r w:rsidRPr="005907D3">
              <w:rPr>
                <w:rFonts w:ascii="IBM Plex Sans Light" w:hAnsi="IBM Plex Sans Light"/>
              </w:rPr>
              <w:t>d</w:t>
            </w:r>
          </w:p>
        </w:tc>
        <w:tc>
          <w:tcPr>
            <w:tcW w:w="1022" w:type="dxa"/>
            <w:tcBorders>
              <w:bottom w:val="single" w:sz="2" w:space="0" w:color="4175BA"/>
            </w:tcBorders>
            <w:shd w:val="clear" w:color="auto" w:fill="auto"/>
            <w:vAlign w:val="bottom"/>
          </w:tcPr>
          <w:p w14:paraId="53EE46A9" w14:textId="77777777" w:rsidR="006B43AF" w:rsidRPr="005907D3" w:rsidRDefault="006B43AF" w:rsidP="004203CD">
            <w:pPr>
              <w:pStyle w:val="TablesTText"/>
              <w:rPr>
                <w:rFonts w:ascii="IBM Plex Sans Light" w:hAnsi="IBM Plex Sans Light"/>
              </w:rPr>
            </w:pPr>
          </w:p>
        </w:tc>
        <w:tc>
          <w:tcPr>
            <w:tcW w:w="1162" w:type="dxa"/>
            <w:tcBorders>
              <w:bottom w:val="single" w:sz="2" w:space="0" w:color="4175BA"/>
            </w:tcBorders>
            <w:shd w:val="clear" w:color="auto" w:fill="auto"/>
            <w:vAlign w:val="bottom"/>
          </w:tcPr>
          <w:p w14:paraId="77199EC1" w14:textId="77777777" w:rsidR="006B43AF" w:rsidRPr="005907D3" w:rsidRDefault="006B43AF" w:rsidP="004203CD">
            <w:pPr>
              <w:pStyle w:val="TablesTText"/>
              <w:rPr>
                <w:rFonts w:ascii="IBM Plex Sans Light" w:hAnsi="IBM Plex Sans Light"/>
              </w:rPr>
            </w:pPr>
          </w:p>
        </w:tc>
        <w:tc>
          <w:tcPr>
            <w:tcW w:w="992" w:type="dxa"/>
            <w:tcBorders>
              <w:bottom w:val="single" w:sz="2" w:space="0" w:color="4175BA"/>
            </w:tcBorders>
            <w:shd w:val="clear" w:color="auto" w:fill="auto"/>
            <w:vAlign w:val="bottom"/>
          </w:tcPr>
          <w:p w14:paraId="2CEC3864" w14:textId="77777777" w:rsidR="006B43AF" w:rsidRPr="005907D3" w:rsidRDefault="006B43AF" w:rsidP="004203CD">
            <w:pPr>
              <w:pStyle w:val="TablesTText"/>
              <w:rPr>
                <w:rFonts w:ascii="IBM Plex Sans Light" w:hAnsi="IBM Plex Sans Light"/>
              </w:rPr>
            </w:pPr>
          </w:p>
        </w:tc>
        <w:tc>
          <w:tcPr>
            <w:tcW w:w="992" w:type="dxa"/>
            <w:tcBorders>
              <w:bottom w:val="single" w:sz="2" w:space="0" w:color="4175BA"/>
            </w:tcBorders>
            <w:shd w:val="clear" w:color="auto" w:fill="auto"/>
            <w:vAlign w:val="bottom"/>
          </w:tcPr>
          <w:p w14:paraId="7D3C2BEA" w14:textId="77777777" w:rsidR="006B43AF" w:rsidRPr="005907D3" w:rsidRDefault="006B43AF" w:rsidP="004203CD">
            <w:pPr>
              <w:pStyle w:val="TablesTText"/>
              <w:jc w:val="center"/>
              <w:rPr>
                <w:rFonts w:ascii="IBM Plex Sans Light" w:hAnsi="IBM Plex Sans Light"/>
              </w:rPr>
            </w:pPr>
          </w:p>
        </w:tc>
      </w:tr>
      <w:tr w:rsidR="006B43AF" w:rsidRPr="005907D3" w14:paraId="157ECA66" w14:textId="77777777" w:rsidTr="004203CD">
        <w:trPr>
          <w:trHeight w:val="20"/>
        </w:trPr>
        <w:tc>
          <w:tcPr>
            <w:tcW w:w="2127" w:type="dxa"/>
            <w:tcBorders>
              <w:top w:val="single" w:sz="2" w:space="0" w:color="4175BA"/>
            </w:tcBorders>
          </w:tcPr>
          <w:p w14:paraId="74FF22EA"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Bicester Village</w:t>
            </w:r>
          </w:p>
        </w:tc>
        <w:tc>
          <w:tcPr>
            <w:tcW w:w="1701" w:type="dxa"/>
            <w:tcBorders>
              <w:top w:val="single" w:sz="2" w:space="0" w:color="4175BA"/>
            </w:tcBorders>
          </w:tcPr>
          <w:p w14:paraId="7AEB545B"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Bicester</w:t>
            </w:r>
          </w:p>
        </w:tc>
        <w:tc>
          <w:tcPr>
            <w:tcW w:w="1417" w:type="dxa"/>
            <w:tcBorders>
              <w:top w:val="single" w:sz="2" w:space="0" w:color="4175BA"/>
            </w:tcBorders>
          </w:tcPr>
          <w:p w14:paraId="31100FE2"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Borders>
              <w:top w:val="single" w:sz="2" w:space="0" w:color="4175BA"/>
            </w:tcBorders>
          </w:tcPr>
          <w:p w14:paraId="503E2F70"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tcBorders>
              <w:top w:val="single" w:sz="2" w:space="0" w:color="4175BA"/>
            </w:tcBorders>
            <w:vAlign w:val="bottom"/>
          </w:tcPr>
          <w:p w14:paraId="7CAEA97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50%</w:t>
            </w:r>
          </w:p>
        </w:tc>
        <w:tc>
          <w:tcPr>
            <w:tcW w:w="1162" w:type="dxa"/>
            <w:tcBorders>
              <w:top w:val="single" w:sz="2" w:space="0" w:color="4175BA"/>
            </w:tcBorders>
            <w:vAlign w:val="bottom"/>
          </w:tcPr>
          <w:p w14:paraId="53A80289"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28,000</w:t>
            </w:r>
          </w:p>
        </w:tc>
        <w:tc>
          <w:tcPr>
            <w:tcW w:w="992" w:type="dxa"/>
            <w:tcBorders>
              <w:top w:val="single" w:sz="2" w:space="0" w:color="4175BA"/>
            </w:tcBorders>
            <w:vAlign w:val="bottom"/>
          </w:tcPr>
          <w:p w14:paraId="6F76268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159</w:t>
            </w:r>
          </w:p>
        </w:tc>
        <w:tc>
          <w:tcPr>
            <w:tcW w:w="992" w:type="dxa"/>
            <w:tcBorders>
              <w:top w:val="single" w:sz="2" w:space="0" w:color="4175BA"/>
            </w:tcBorders>
            <w:vAlign w:val="bottom"/>
          </w:tcPr>
          <w:p w14:paraId="22B1AE77"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77.9</w:t>
            </w:r>
          </w:p>
        </w:tc>
      </w:tr>
      <w:tr w:rsidR="006B43AF" w:rsidRPr="005907D3" w14:paraId="55555C96" w14:textId="77777777" w:rsidTr="004203CD">
        <w:trPr>
          <w:trHeight w:val="20"/>
        </w:trPr>
        <w:tc>
          <w:tcPr>
            <w:tcW w:w="2127" w:type="dxa"/>
          </w:tcPr>
          <w:p w14:paraId="3C276340"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La Roca Village</w:t>
            </w:r>
          </w:p>
        </w:tc>
        <w:tc>
          <w:tcPr>
            <w:tcW w:w="1701" w:type="dxa"/>
          </w:tcPr>
          <w:p w14:paraId="4E1770EE"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Barcelona</w:t>
            </w:r>
          </w:p>
        </w:tc>
        <w:tc>
          <w:tcPr>
            <w:tcW w:w="1417" w:type="dxa"/>
          </w:tcPr>
          <w:p w14:paraId="74543CC4"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5EAC1107"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0A16340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41%</w:t>
            </w:r>
          </w:p>
        </w:tc>
        <w:tc>
          <w:tcPr>
            <w:tcW w:w="1162" w:type="dxa"/>
            <w:shd w:val="clear" w:color="auto" w:fill="auto"/>
            <w:vAlign w:val="bottom"/>
          </w:tcPr>
          <w:p w14:paraId="10D7AFE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25,900</w:t>
            </w:r>
          </w:p>
        </w:tc>
        <w:tc>
          <w:tcPr>
            <w:tcW w:w="992" w:type="dxa"/>
            <w:vAlign w:val="bottom"/>
          </w:tcPr>
          <w:p w14:paraId="3D837726"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146</w:t>
            </w:r>
          </w:p>
        </w:tc>
        <w:tc>
          <w:tcPr>
            <w:tcW w:w="992" w:type="dxa"/>
            <w:vAlign w:val="bottom"/>
          </w:tcPr>
          <w:p w14:paraId="777EC4EB"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23.5</w:t>
            </w:r>
          </w:p>
        </w:tc>
      </w:tr>
      <w:tr w:rsidR="006B43AF" w:rsidRPr="005907D3" w14:paraId="640F7625" w14:textId="77777777" w:rsidTr="004203CD">
        <w:trPr>
          <w:trHeight w:val="20"/>
        </w:trPr>
        <w:tc>
          <w:tcPr>
            <w:tcW w:w="2127" w:type="dxa"/>
          </w:tcPr>
          <w:p w14:paraId="46CDD204"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Las Rozas Village</w:t>
            </w:r>
          </w:p>
        </w:tc>
        <w:tc>
          <w:tcPr>
            <w:tcW w:w="1701" w:type="dxa"/>
          </w:tcPr>
          <w:p w14:paraId="60FEB007"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Madrid</w:t>
            </w:r>
          </w:p>
        </w:tc>
        <w:tc>
          <w:tcPr>
            <w:tcW w:w="1417" w:type="dxa"/>
          </w:tcPr>
          <w:p w14:paraId="25B3EECF"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02DD551E"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0017122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38%</w:t>
            </w:r>
          </w:p>
        </w:tc>
        <w:tc>
          <w:tcPr>
            <w:tcW w:w="1162" w:type="dxa"/>
            <w:shd w:val="clear" w:color="auto" w:fill="auto"/>
            <w:vAlign w:val="bottom"/>
          </w:tcPr>
          <w:p w14:paraId="10211D9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15,600</w:t>
            </w:r>
          </w:p>
        </w:tc>
        <w:tc>
          <w:tcPr>
            <w:tcW w:w="992" w:type="dxa"/>
            <w:vAlign w:val="bottom"/>
          </w:tcPr>
          <w:p w14:paraId="617A1BF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99</w:t>
            </w:r>
          </w:p>
        </w:tc>
        <w:tc>
          <w:tcPr>
            <w:tcW w:w="992" w:type="dxa"/>
            <w:vAlign w:val="bottom"/>
          </w:tcPr>
          <w:p w14:paraId="2490DA3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14.8</w:t>
            </w:r>
          </w:p>
        </w:tc>
      </w:tr>
      <w:tr w:rsidR="006B43AF" w:rsidRPr="005907D3" w14:paraId="4CE9A52E" w14:textId="77777777" w:rsidTr="004203CD">
        <w:trPr>
          <w:trHeight w:val="20"/>
        </w:trPr>
        <w:tc>
          <w:tcPr>
            <w:tcW w:w="2127" w:type="dxa"/>
          </w:tcPr>
          <w:p w14:paraId="40345C4F"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 xml:space="preserve">La </w:t>
            </w:r>
            <w:proofErr w:type="spellStart"/>
            <w:r w:rsidRPr="000D641C">
              <w:rPr>
                <w:rFonts w:ascii="IBM Plex Sans Light" w:hAnsi="IBM Plex Sans Light"/>
                <w:sz w:val="18"/>
                <w:szCs w:val="18"/>
              </w:rPr>
              <w:t>Vallée</w:t>
            </w:r>
            <w:proofErr w:type="spellEnd"/>
            <w:r w:rsidRPr="000D641C">
              <w:rPr>
                <w:rFonts w:ascii="IBM Plex Sans Light" w:hAnsi="IBM Plex Sans Light"/>
                <w:sz w:val="18"/>
                <w:szCs w:val="18"/>
              </w:rPr>
              <w:t xml:space="preserve"> Village</w:t>
            </w:r>
          </w:p>
        </w:tc>
        <w:tc>
          <w:tcPr>
            <w:tcW w:w="1701" w:type="dxa"/>
          </w:tcPr>
          <w:p w14:paraId="33C607A2"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Paris</w:t>
            </w:r>
          </w:p>
        </w:tc>
        <w:tc>
          <w:tcPr>
            <w:tcW w:w="1417" w:type="dxa"/>
          </w:tcPr>
          <w:p w14:paraId="4F1FAFE3"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0DAB6FBC"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04EA31BA"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26%</w:t>
            </w:r>
          </w:p>
        </w:tc>
        <w:tc>
          <w:tcPr>
            <w:tcW w:w="1162" w:type="dxa"/>
            <w:shd w:val="clear" w:color="auto" w:fill="auto"/>
            <w:vAlign w:val="bottom"/>
          </w:tcPr>
          <w:p w14:paraId="2782696A"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21,600</w:t>
            </w:r>
          </w:p>
        </w:tc>
        <w:tc>
          <w:tcPr>
            <w:tcW w:w="992" w:type="dxa"/>
            <w:vAlign w:val="bottom"/>
          </w:tcPr>
          <w:p w14:paraId="5112CDDD"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109</w:t>
            </w:r>
          </w:p>
        </w:tc>
        <w:tc>
          <w:tcPr>
            <w:tcW w:w="992" w:type="dxa"/>
            <w:vAlign w:val="bottom"/>
          </w:tcPr>
          <w:p w14:paraId="597086A1"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25.5</w:t>
            </w:r>
          </w:p>
        </w:tc>
      </w:tr>
      <w:tr w:rsidR="006B43AF" w:rsidRPr="005907D3" w14:paraId="44B3D9B9" w14:textId="77777777" w:rsidTr="004203CD">
        <w:trPr>
          <w:trHeight w:val="20"/>
        </w:trPr>
        <w:tc>
          <w:tcPr>
            <w:tcW w:w="2127" w:type="dxa"/>
          </w:tcPr>
          <w:p w14:paraId="3A72B59F"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Maasmechelen Village</w:t>
            </w:r>
          </w:p>
        </w:tc>
        <w:tc>
          <w:tcPr>
            <w:tcW w:w="1701" w:type="dxa"/>
          </w:tcPr>
          <w:p w14:paraId="5DAE5B6B"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Brussels</w:t>
            </w:r>
          </w:p>
        </w:tc>
        <w:tc>
          <w:tcPr>
            <w:tcW w:w="1417" w:type="dxa"/>
          </w:tcPr>
          <w:p w14:paraId="04F5FCBA"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6BED31C7"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059B80B4"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27%</w:t>
            </w:r>
          </w:p>
        </w:tc>
        <w:tc>
          <w:tcPr>
            <w:tcW w:w="1162" w:type="dxa"/>
            <w:shd w:val="clear" w:color="auto" w:fill="auto"/>
            <w:vAlign w:val="bottom"/>
          </w:tcPr>
          <w:p w14:paraId="39A531F6" w14:textId="38ECA455"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20,</w:t>
            </w:r>
            <w:r w:rsidR="00321BE8">
              <w:rPr>
                <w:rFonts w:ascii="IBM Plex Sans Medium" w:hAnsi="IBM Plex Sans Medium"/>
                <w:color w:val="3D7FE0" w:themeColor="accent1"/>
                <w:spacing w:val="-4"/>
                <w:sz w:val="18"/>
                <w:szCs w:val="18"/>
              </w:rPr>
              <w:t>0</w:t>
            </w:r>
            <w:r w:rsidRPr="000D641C">
              <w:rPr>
                <w:rFonts w:ascii="IBM Plex Sans Medium" w:hAnsi="IBM Plex Sans Medium"/>
                <w:color w:val="3D7FE0" w:themeColor="accent1"/>
                <w:spacing w:val="-4"/>
                <w:sz w:val="18"/>
                <w:szCs w:val="18"/>
              </w:rPr>
              <w:t>00</w:t>
            </w:r>
          </w:p>
        </w:tc>
        <w:tc>
          <w:tcPr>
            <w:tcW w:w="992" w:type="dxa"/>
            <w:vAlign w:val="bottom"/>
          </w:tcPr>
          <w:p w14:paraId="117A8987"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106</w:t>
            </w:r>
          </w:p>
        </w:tc>
        <w:tc>
          <w:tcPr>
            <w:tcW w:w="992" w:type="dxa"/>
            <w:vAlign w:val="bottom"/>
          </w:tcPr>
          <w:p w14:paraId="24FACDB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6.3</w:t>
            </w:r>
          </w:p>
        </w:tc>
      </w:tr>
      <w:tr w:rsidR="006B43AF" w:rsidRPr="005907D3" w14:paraId="4710D7D3" w14:textId="77777777" w:rsidTr="004203CD">
        <w:trPr>
          <w:trHeight w:val="20"/>
        </w:trPr>
        <w:tc>
          <w:tcPr>
            <w:tcW w:w="2127" w:type="dxa"/>
          </w:tcPr>
          <w:p w14:paraId="42B47708" w14:textId="77777777" w:rsidR="006B43AF" w:rsidRPr="000D641C" w:rsidRDefault="006B43AF" w:rsidP="004203CD">
            <w:pPr>
              <w:pStyle w:val="TablesTText"/>
              <w:spacing w:line="240" w:lineRule="auto"/>
              <w:rPr>
                <w:rFonts w:ascii="IBM Plex Sans Light" w:hAnsi="IBM Plex Sans Light"/>
                <w:sz w:val="18"/>
                <w:szCs w:val="18"/>
              </w:rPr>
            </w:pPr>
            <w:proofErr w:type="spellStart"/>
            <w:r w:rsidRPr="000D641C">
              <w:rPr>
                <w:rFonts w:ascii="IBM Plex Sans Light" w:hAnsi="IBM Plex Sans Light"/>
                <w:sz w:val="18"/>
                <w:szCs w:val="18"/>
              </w:rPr>
              <w:t>Fidenza</w:t>
            </w:r>
            <w:proofErr w:type="spellEnd"/>
            <w:r w:rsidRPr="000D641C">
              <w:rPr>
                <w:rFonts w:ascii="IBM Plex Sans Light" w:hAnsi="IBM Plex Sans Light"/>
                <w:sz w:val="18"/>
                <w:szCs w:val="18"/>
              </w:rPr>
              <w:t xml:space="preserve"> Village</w:t>
            </w:r>
          </w:p>
        </w:tc>
        <w:tc>
          <w:tcPr>
            <w:tcW w:w="1701" w:type="dxa"/>
          </w:tcPr>
          <w:p w14:paraId="20474C2B"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Milan</w:t>
            </w:r>
          </w:p>
        </w:tc>
        <w:tc>
          <w:tcPr>
            <w:tcW w:w="1417" w:type="dxa"/>
          </w:tcPr>
          <w:p w14:paraId="6A41D46D"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7A7F4C62"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00A2564C"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34%</w:t>
            </w:r>
          </w:p>
        </w:tc>
        <w:tc>
          <w:tcPr>
            <w:tcW w:w="1162" w:type="dxa"/>
            <w:shd w:val="clear" w:color="auto" w:fill="auto"/>
            <w:vAlign w:val="bottom"/>
          </w:tcPr>
          <w:p w14:paraId="6ED55D79"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21,100</w:t>
            </w:r>
          </w:p>
        </w:tc>
        <w:tc>
          <w:tcPr>
            <w:tcW w:w="992" w:type="dxa"/>
            <w:vAlign w:val="bottom"/>
          </w:tcPr>
          <w:p w14:paraId="0A6FF02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117</w:t>
            </w:r>
          </w:p>
        </w:tc>
        <w:tc>
          <w:tcPr>
            <w:tcW w:w="992" w:type="dxa"/>
            <w:vAlign w:val="bottom"/>
          </w:tcPr>
          <w:p w14:paraId="035DF872"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7.3</w:t>
            </w:r>
          </w:p>
        </w:tc>
      </w:tr>
      <w:tr w:rsidR="006B43AF" w:rsidRPr="005907D3" w14:paraId="0CCBDE7C" w14:textId="77777777" w:rsidTr="004203CD">
        <w:trPr>
          <w:trHeight w:val="20"/>
        </w:trPr>
        <w:tc>
          <w:tcPr>
            <w:tcW w:w="2127" w:type="dxa"/>
          </w:tcPr>
          <w:p w14:paraId="6C348C25"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Wertheim Village</w:t>
            </w:r>
          </w:p>
        </w:tc>
        <w:tc>
          <w:tcPr>
            <w:tcW w:w="1701" w:type="dxa"/>
          </w:tcPr>
          <w:p w14:paraId="36F1671F"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Frankfurt</w:t>
            </w:r>
          </w:p>
        </w:tc>
        <w:tc>
          <w:tcPr>
            <w:tcW w:w="1417" w:type="dxa"/>
          </w:tcPr>
          <w:p w14:paraId="660DD784"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3C11D931"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13C5F868"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45%</w:t>
            </w:r>
          </w:p>
        </w:tc>
        <w:tc>
          <w:tcPr>
            <w:tcW w:w="1162" w:type="dxa"/>
            <w:shd w:val="clear" w:color="auto" w:fill="auto"/>
            <w:vAlign w:val="bottom"/>
          </w:tcPr>
          <w:p w14:paraId="2CD76BD3"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20,900</w:t>
            </w:r>
          </w:p>
        </w:tc>
        <w:tc>
          <w:tcPr>
            <w:tcW w:w="992" w:type="dxa"/>
            <w:vAlign w:val="bottom"/>
          </w:tcPr>
          <w:p w14:paraId="5F504069"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116</w:t>
            </w:r>
          </w:p>
        </w:tc>
        <w:tc>
          <w:tcPr>
            <w:tcW w:w="992" w:type="dxa"/>
            <w:vAlign w:val="bottom"/>
          </w:tcPr>
          <w:p w14:paraId="24C3F648"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11.0</w:t>
            </w:r>
          </w:p>
        </w:tc>
      </w:tr>
      <w:tr w:rsidR="006B43AF" w:rsidRPr="005907D3" w14:paraId="0CC7F437" w14:textId="77777777" w:rsidTr="004203CD">
        <w:trPr>
          <w:trHeight w:val="20"/>
        </w:trPr>
        <w:tc>
          <w:tcPr>
            <w:tcW w:w="2127" w:type="dxa"/>
          </w:tcPr>
          <w:p w14:paraId="0422E29D"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lastRenderedPageBreak/>
              <w:t>Ingolstadt Village</w:t>
            </w:r>
          </w:p>
        </w:tc>
        <w:tc>
          <w:tcPr>
            <w:tcW w:w="1701" w:type="dxa"/>
          </w:tcPr>
          <w:p w14:paraId="495C50EA"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Munich</w:t>
            </w:r>
          </w:p>
        </w:tc>
        <w:tc>
          <w:tcPr>
            <w:tcW w:w="1417" w:type="dxa"/>
          </w:tcPr>
          <w:p w14:paraId="7598FD77"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Pr>
          <w:p w14:paraId="0940C3FB"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vAlign w:val="bottom"/>
          </w:tcPr>
          <w:p w14:paraId="14AB3081"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15%</w:t>
            </w:r>
          </w:p>
        </w:tc>
        <w:tc>
          <w:tcPr>
            <w:tcW w:w="1162" w:type="dxa"/>
            <w:shd w:val="clear" w:color="auto" w:fill="auto"/>
            <w:vAlign w:val="bottom"/>
          </w:tcPr>
          <w:p w14:paraId="067080C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21,000</w:t>
            </w:r>
          </w:p>
        </w:tc>
        <w:tc>
          <w:tcPr>
            <w:tcW w:w="992" w:type="dxa"/>
            <w:vAlign w:val="bottom"/>
          </w:tcPr>
          <w:p w14:paraId="250A44AA"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112</w:t>
            </w:r>
          </w:p>
        </w:tc>
        <w:tc>
          <w:tcPr>
            <w:tcW w:w="992" w:type="dxa"/>
            <w:vAlign w:val="bottom"/>
          </w:tcPr>
          <w:p w14:paraId="15F901D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3.9</w:t>
            </w:r>
          </w:p>
        </w:tc>
      </w:tr>
      <w:tr w:rsidR="006B43AF" w:rsidRPr="005907D3" w14:paraId="54789E45" w14:textId="77777777" w:rsidTr="004203CD">
        <w:trPr>
          <w:trHeight w:val="20"/>
        </w:trPr>
        <w:tc>
          <w:tcPr>
            <w:tcW w:w="2127" w:type="dxa"/>
            <w:tcBorders>
              <w:bottom w:val="single" w:sz="2" w:space="0" w:color="4175BA"/>
            </w:tcBorders>
            <w:shd w:val="clear" w:color="auto" w:fill="auto"/>
          </w:tcPr>
          <w:p w14:paraId="6DF09F6B"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Kildare Village</w:t>
            </w:r>
          </w:p>
        </w:tc>
        <w:tc>
          <w:tcPr>
            <w:tcW w:w="1701" w:type="dxa"/>
            <w:tcBorders>
              <w:bottom w:val="single" w:sz="2" w:space="0" w:color="4175BA"/>
            </w:tcBorders>
            <w:shd w:val="clear" w:color="auto" w:fill="auto"/>
          </w:tcPr>
          <w:p w14:paraId="4320C9FA" w14:textId="77777777" w:rsidR="006B43AF" w:rsidRPr="000D641C" w:rsidRDefault="006B43AF" w:rsidP="004203CD">
            <w:pPr>
              <w:pStyle w:val="TablesTText"/>
              <w:spacing w:line="240" w:lineRule="auto"/>
              <w:rPr>
                <w:rFonts w:ascii="IBM Plex Sans Light" w:hAnsi="IBM Plex Sans Light"/>
                <w:sz w:val="18"/>
                <w:szCs w:val="18"/>
              </w:rPr>
            </w:pPr>
            <w:r w:rsidRPr="000D641C">
              <w:rPr>
                <w:rFonts w:ascii="IBM Plex Sans Light" w:hAnsi="IBM Plex Sans Light"/>
                <w:sz w:val="18"/>
                <w:szCs w:val="18"/>
              </w:rPr>
              <w:t>Dublin</w:t>
            </w:r>
          </w:p>
        </w:tc>
        <w:tc>
          <w:tcPr>
            <w:tcW w:w="1417" w:type="dxa"/>
            <w:tcBorders>
              <w:bottom w:val="single" w:sz="2" w:space="0" w:color="4175BA"/>
            </w:tcBorders>
            <w:shd w:val="clear" w:color="auto" w:fill="auto"/>
          </w:tcPr>
          <w:p w14:paraId="5BF14A45" w14:textId="77777777" w:rsidR="006B43AF" w:rsidRPr="000D641C" w:rsidRDefault="006B43AF" w:rsidP="004203CD">
            <w:pPr>
              <w:pStyle w:val="TablesTText"/>
              <w:spacing w:line="240" w:lineRule="auto"/>
              <w:rPr>
                <w:rFonts w:ascii="IBM Plex Sans Light" w:hAnsi="IBM Plex Sans Light"/>
                <w:sz w:val="18"/>
                <w:szCs w:val="18"/>
              </w:rPr>
            </w:pPr>
          </w:p>
        </w:tc>
        <w:tc>
          <w:tcPr>
            <w:tcW w:w="481" w:type="dxa"/>
            <w:tcBorders>
              <w:bottom w:val="single" w:sz="2" w:space="0" w:color="4175BA"/>
            </w:tcBorders>
            <w:shd w:val="clear" w:color="auto" w:fill="auto"/>
          </w:tcPr>
          <w:p w14:paraId="52BB19B9" w14:textId="77777777" w:rsidR="006B43AF" w:rsidRPr="000D641C" w:rsidRDefault="006B43AF" w:rsidP="004203CD">
            <w:pPr>
              <w:pStyle w:val="TablesTText"/>
              <w:spacing w:line="240" w:lineRule="auto"/>
              <w:rPr>
                <w:rFonts w:ascii="IBM Plex Sans Light" w:hAnsi="IBM Plex Sans Light"/>
                <w:sz w:val="18"/>
                <w:szCs w:val="18"/>
              </w:rPr>
            </w:pPr>
          </w:p>
        </w:tc>
        <w:tc>
          <w:tcPr>
            <w:tcW w:w="1022" w:type="dxa"/>
            <w:tcBorders>
              <w:bottom w:val="single" w:sz="2" w:space="0" w:color="4175BA"/>
            </w:tcBorders>
            <w:shd w:val="clear" w:color="auto" w:fill="auto"/>
            <w:vAlign w:val="bottom"/>
          </w:tcPr>
          <w:p w14:paraId="6ED6B42F"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41%</w:t>
            </w:r>
          </w:p>
        </w:tc>
        <w:tc>
          <w:tcPr>
            <w:tcW w:w="1162" w:type="dxa"/>
            <w:tcBorders>
              <w:bottom w:val="single" w:sz="2" w:space="0" w:color="4175BA"/>
            </w:tcBorders>
            <w:shd w:val="clear" w:color="auto" w:fill="auto"/>
            <w:vAlign w:val="bottom"/>
          </w:tcPr>
          <w:p w14:paraId="3DCB511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sidRPr="000D641C">
              <w:rPr>
                <w:rFonts w:ascii="IBM Plex Sans Medium" w:hAnsi="IBM Plex Sans Medium"/>
                <w:color w:val="3D7FE0" w:themeColor="accent1"/>
                <w:spacing w:val="-4"/>
                <w:sz w:val="18"/>
                <w:szCs w:val="18"/>
              </w:rPr>
              <w:t>21,600</w:t>
            </w:r>
          </w:p>
        </w:tc>
        <w:tc>
          <w:tcPr>
            <w:tcW w:w="992" w:type="dxa"/>
            <w:tcBorders>
              <w:bottom w:val="single" w:sz="2" w:space="0" w:color="4175BA"/>
            </w:tcBorders>
            <w:shd w:val="clear" w:color="auto" w:fill="auto"/>
            <w:vAlign w:val="bottom"/>
          </w:tcPr>
          <w:p w14:paraId="3BF25C95"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117</w:t>
            </w:r>
          </w:p>
        </w:tc>
        <w:tc>
          <w:tcPr>
            <w:tcW w:w="992" w:type="dxa"/>
            <w:tcBorders>
              <w:bottom w:val="single" w:sz="2" w:space="0" w:color="4175BA"/>
            </w:tcBorders>
            <w:shd w:val="clear" w:color="auto" w:fill="auto"/>
            <w:vAlign w:val="bottom"/>
          </w:tcPr>
          <w:p w14:paraId="5BD6A4AE" w14:textId="77777777" w:rsidR="006B43AF" w:rsidRPr="000D641C" w:rsidRDefault="006B43AF" w:rsidP="004203CD">
            <w:pPr>
              <w:pStyle w:val="TableFiguresBold"/>
              <w:rPr>
                <w:rFonts w:ascii="IBM Plex Sans Medium" w:hAnsi="IBM Plex Sans Medium"/>
                <w:color w:val="3D7FE0" w:themeColor="accent1"/>
                <w:spacing w:val="-4"/>
                <w:sz w:val="18"/>
                <w:szCs w:val="18"/>
              </w:rPr>
            </w:pPr>
            <w:r>
              <w:rPr>
                <w:rFonts w:ascii="IBM Plex Sans Medium" w:hAnsi="IBM Plex Sans Medium"/>
                <w:color w:val="3D7FE0" w:themeColor="accent1"/>
                <w:spacing w:val="-4"/>
                <w:sz w:val="18"/>
                <w:szCs w:val="18"/>
              </w:rPr>
              <w:t>11.7</w:t>
            </w:r>
          </w:p>
        </w:tc>
      </w:tr>
    </w:tbl>
    <w:p w14:paraId="325CAEF5" w14:textId="77777777" w:rsidR="006B43AF" w:rsidRPr="005907D3" w:rsidRDefault="006B43AF" w:rsidP="006B43AF">
      <w:pPr>
        <w:pStyle w:val="Footnotes"/>
        <w:numPr>
          <w:ilvl w:val="1"/>
          <w:numId w:val="38"/>
        </w:numPr>
        <w:spacing w:before="100" w:after="0" w:line="240" w:lineRule="auto"/>
        <w:ind w:left="284" w:hanging="284"/>
        <w:rPr>
          <w:rFonts w:ascii="IBM Plex Sans Light" w:hAnsi="IBM Plex Sans Light"/>
          <w:sz w:val="16"/>
          <w:szCs w:val="22"/>
        </w:rPr>
      </w:pPr>
      <w:r>
        <w:rPr>
          <w:rFonts w:ascii="IBM Plex Sans Light" w:hAnsi="IBM Plex Sans Light"/>
          <w:sz w:val="16"/>
          <w:szCs w:val="22"/>
        </w:rPr>
        <w:t>Collectively known as the Birmingham Estate.</w:t>
      </w:r>
    </w:p>
    <w:p w14:paraId="28B0CA71" w14:textId="77777777" w:rsidR="006B43AF" w:rsidRPr="005907D3" w:rsidRDefault="006B43AF" w:rsidP="006B43AF">
      <w:pPr>
        <w:pStyle w:val="Footnotes"/>
        <w:numPr>
          <w:ilvl w:val="1"/>
          <w:numId w:val="38"/>
        </w:numPr>
        <w:spacing w:before="100" w:after="0" w:line="240" w:lineRule="auto"/>
        <w:ind w:left="284" w:hanging="284"/>
        <w:rPr>
          <w:rFonts w:ascii="IBM Plex Sans Light" w:hAnsi="IBM Plex Sans Light"/>
          <w:sz w:val="16"/>
          <w:szCs w:val="22"/>
        </w:rPr>
      </w:pPr>
      <w:r w:rsidRPr="005907D3">
        <w:rPr>
          <w:rFonts w:ascii="IBM Plex Sans Light" w:hAnsi="IBM Plex Sans Light"/>
          <w:sz w:val="16"/>
          <w:szCs w:val="22"/>
        </w:rPr>
        <w:tab/>
      </w:r>
      <w:r>
        <w:rPr>
          <w:rFonts w:ascii="IBM Plex Sans Light" w:hAnsi="IBM Plex Sans Light"/>
          <w:sz w:val="16"/>
          <w:szCs w:val="22"/>
        </w:rPr>
        <w:t>Collectively known as the Bristol Estate.</w:t>
      </w:r>
    </w:p>
    <w:p w14:paraId="215317EF" w14:textId="6266A7C6" w:rsidR="006B43AF" w:rsidRPr="005907D3" w:rsidRDefault="006B43AF" w:rsidP="006B43AF">
      <w:pPr>
        <w:pStyle w:val="Footnotes"/>
        <w:numPr>
          <w:ilvl w:val="1"/>
          <w:numId w:val="38"/>
        </w:numPr>
        <w:spacing w:before="100" w:after="0" w:line="240" w:lineRule="auto"/>
        <w:ind w:left="284" w:hanging="284"/>
        <w:rPr>
          <w:rFonts w:ascii="IBM Plex Sans Light" w:hAnsi="IBM Plex Sans Light"/>
          <w:sz w:val="16"/>
          <w:szCs w:val="22"/>
        </w:rPr>
      </w:pPr>
      <w:r>
        <w:rPr>
          <w:rFonts w:ascii="IBM Plex Sans Light" w:hAnsi="IBM Plex Sans Light"/>
          <w:sz w:val="16"/>
          <w:szCs w:val="22"/>
        </w:rPr>
        <w:t>Property includes areas held under co-ownership</w:t>
      </w:r>
      <w:r w:rsidR="0078416E">
        <w:rPr>
          <w:rFonts w:ascii="IBM Plex Sans Light" w:hAnsi="IBM Plex Sans Light"/>
          <w:sz w:val="16"/>
          <w:szCs w:val="22"/>
        </w:rPr>
        <w:t>;</w:t>
      </w:r>
      <w:r>
        <w:rPr>
          <w:rFonts w:ascii="IBM Plex Sans Light" w:hAnsi="IBM Plex Sans Light"/>
          <w:sz w:val="16"/>
          <w:szCs w:val="22"/>
        </w:rPr>
        <w:t xml:space="preserve"> figures above reflect the Group’s ownership interests only.</w:t>
      </w:r>
    </w:p>
    <w:p w14:paraId="0BC9FF39" w14:textId="77777777" w:rsidR="006B43AF" w:rsidRPr="00040E7A" w:rsidRDefault="006B43AF" w:rsidP="006B43AF">
      <w:pPr>
        <w:pStyle w:val="Footnotes"/>
        <w:numPr>
          <w:ilvl w:val="1"/>
          <w:numId w:val="38"/>
        </w:numPr>
        <w:spacing w:before="100" w:after="0" w:line="240" w:lineRule="auto"/>
        <w:ind w:left="284" w:hanging="284"/>
        <w:rPr>
          <w:rFonts w:ascii="IBM Plex Sans Light" w:hAnsi="IBM Plex Sans Light"/>
          <w:sz w:val="16"/>
          <w:szCs w:val="22"/>
        </w:rPr>
      </w:pPr>
      <w:r w:rsidRPr="00903E36">
        <w:rPr>
          <w:rFonts w:ascii="IBM Plex Sans Light" w:hAnsi="IBM Plex Sans Light"/>
          <w:sz w:val="16"/>
          <w:szCs w:val="22"/>
        </w:rPr>
        <w:tab/>
      </w:r>
      <w:r>
        <w:rPr>
          <w:rFonts w:ascii="IBM Plex Sans Light" w:hAnsi="IBM Plex Sans Light"/>
          <w:sz w:val="16"/>
          <w:szCs w:val="22"/>
        </w:rPr>
        <w:t>Passing rent for Value Retail represents annualised base and turnover rent at the Group’s ownership share.</w:t>
      </w:r>
    </w:p>
    <w:bookmarkEnd w:id="5"/>
    <w:p w14:paraId="6F446CDA" w14:textId="77777777" w:rsidR="006B43AF" w:rsidRDefault="006B43AF" w:rsidP="006B43AF">
      <w:pPr>
        <w:spacing w:after="0" w:line="240" w:lineRule="auto"/>
        <w:rPr>
          <w:rFonts w:ascii="IBM Plex Sans Medium" w:hAnsi="IBM Plex Sans Medium" w:cs="Arial"/>
          <w:b/>
          <w:caps/>
          <w:sz w:val="24"/>
        </w:rPr>
      </w:pPr>
    </w:p>
    <w:p w14:paraId="2F10E1EE" w14:textId="77777777" w:rsidR="006B43AF" w:rsidRPr="001066C1" w:rsidRDefault="006B43AF" w:rsidP="006B43AF">
      <w:pPr>
        <w:spacing w:after="0" w:line="240" w:lineRule="auto"/>
        <w:rPr>
          <w:rFonts w:ascii="IBM Plex Sans Medium" w:hAnsi="IBM Plex Sans Medium" w:cs="Arial"/>
          <w:b/>
          <w:caps/>
          <w:sz w:val="24"/>
        </w:rPr>
      </w:pPr>
      <w:r w:rsidRPr="001066C1">
        <w:rPr>
          <w:rFonts w:ascii="IBM Plex Sans Medium" w:hAnsi="IBM Plex Sans Medium" w:cs="Arial"/>
          <w:b/>
          <w:caps/>
          <w:sz w:val="24"/>
        </w:rPr>
        <w:t>Responsibility Statement</w:t>
      </w:r>
    </w:p>
    <w:p w14:paraId="35B82F51" w14:textId="323A6589" w:rsidR="006B43AF" w:rsidRPr="00F27995" w:rsidRDefault="006B43AF" w:rsidP="006B43AF">
      <w:pPr>
        <w:spacing w:after="120" w:line="240" w:lineRule="auto"/>
        <w:ind w:right="-255"/>
        <w:rPr>
          <w:rFonts w:ascii="IBM Plex Sans Light" w:hAnsi="IBM Plex Sans Light"/>
          <w:szCs w:val="18"/>
        </w:rPr>
      </w:pPr>
      <w:r w:rsidRPr="00784D5B">
        <w:rPr>
          <w:rFonts w:ascii="IBM Plex Sans Light" w:hAnsi="IBM Plex Sans Light"/>
          <w:szCs w:val="18"/>
        </w:rPr>
        <w:t>The Annual Report 202</w:t>
      </w:r>
      <w:r>
        <w:rPr>
          <w:rFonts w:ascii="IBM Plex Sans Light" w:hAnsi="IBM Plex Sans Light"/>
          <w:szCs w:val="18"/>
        </w:rPr>
        <w:t>3</w:t>
      </w:r>
      <w:r w:rsidRPr="00784D5B">
        <w:rPr>
          <w:rFonts w:ascii="IBM Plex Sans Light" w:hAnsi="IBM Plex Sans Light"/>
          <w:szCs w:val="18"/>
        </w:rPr>
        <w:t xml:space="preserve"> which will be issued in March 202</w:t>
      </w:r>
      <w:r w:rsidR="00181BC9">
        <w:rPr>
          <w:rFonts w:ascii="IBM Plex Sans Light" w:hAnsi="IBM Plex Sans Light"/>
          <w:szCs w:val="18"/>
        </w:rPr>
        <w:t>4</w:t>
      </w:r>
      <w:r w:rsidRPr="00784D5B">
        <w:rPr>
          <w:rFonts w:ascii="IBM Plex Sans Light" w:hAnsi="IBM Plex Sans Light"/>
          <w:szCs w:val="18"/>
        </w:rPr>
        <w:t xml:space="preserve">, contains a responsibility statement in compliance with DTR 4.1.12 of the Listing Rules which sets out that as at the date of approval on </w:t>
      </w:r>
      <w:r>
        <w:rPr>
          <w:rFonts w:ascii="IBM Plex Sans Light" w:hAnsi="IBM Plex Sans Light"/>
          <w:szCs w:val="18"/>
        </w:rPr>
        <w:t>28 February 2024</w:t>
      </w:r>
      <w:r w:rsidRPr="00784D5B">
        <w:rPr>
          <w:rFonts w:ascii="IBM Plex Sans Light" w:hAnsi="IBM Plex Sans Light"/>
          <w:szCs w:val="18"/>
        </w:rPr>
        <w:t>, the Directors confirm to the best of their knowledge:</w:t>
      </w:r>
    </w:p>
    <w:p w14:paraId="75FC17AE" w14:textId="77777777" w:rsidR="006B43AF" w:rsidRPr="00F27995" w:rsidRDefault="006B43AF" w:rsidP="006B43AF">
      <w:pPr>
        <w:pStyle w:val="ListParagraph"/>
        <w:numPr>
          <w:ilvl w:val="0"/>
          <w:numId w:val="22"/>
        </w:numPr>
        <w:spacing w:before="120"/>
        <w:ind w:left="284" w:right="-255" w:hanging="284"/>
        <w:rPr>
          <w:rFonts w:ascii="IBM Plex Sans Light" w:hAnsi="IBM Plex Sans Light"/>
          <w:sz w:val="18"/>
          <w:szCs w:val="18"/>
        </w:rPr>
      </w:pPr>
      <w:r w:rsidRPr="00F27995">
        <w:rPr>
          <w:rFonts w:ascii="IBM Plex Sans Light" w:hAnsi="IBM Plex Sans Light"/>
          <w:sz w:val="18"/>
          <w:szCs w:val="18"/>
        </w:rPr>
        <w:t>The Group financial statements, which have been prepared in accordance with UK-adopted international accounting standards and International Financial Reporting Standards (IFRS) adopted pursuant to Regulation (EC) No 1606/2002 as it applies in the European Union, give a true and fair view of the assets, liabilities, financial position and loss of the Group</w:t>
      </w:r>
    </w:p>
    <w:p w14:paraId="63256592" w14:textId="77777777" w:rsidR="006B43AF" w:rsidRPr="00F27995" w:rsidRDefault="006B43AF" w:rsidP="006B43AF">
      <w:pPr>
        <w:pStyle w:val="ListParagraph"/>
        <w:numPr>
          <w:ilvl w:val="0"/>
          <w:numId w:val="22"/>
        </w:numPr>
        <w:spacing w:before="120"/>
        <w:ind w:left="284" w:right="-255" w:hanging="284"/>
        <w:rPr>
          <w:rFonts w:ascii="IBM Plex Sans Light" w:hAnsi="IBM Plex Sans Light"/>
          <w:sz w:val="18"/>
          <w:szCs w:val="18"/>
        </w:rPr>
      </w:pPr>
      <w:r w:rsidRPr="00F27995">
        <w:rPr>
          <w:rFonts w:ascii="IBM Plex Sans Light" w:hAnsi="IBM Plex Sans Light"/>
          <w:sz w:val="18"/>
          <w:szCs w:val="18"/>
        </w:rPr>
        <w:tab/>
        <w:t xml:space="preserve">The Company financial statements, which have been prepared in accordance with UK Accounting Standards, comprising FRS 101, give a true and fair view of the assets, liabilities and financial position of the Company </w:t>
      </w:r>
    </w:p>
    <w:p w14:paraId="2CB67984" w14:textId="77777777" w:rsidR="006B43AF" w:rsidRPr="00F27995" w:rsidRDefault="006B43AF" w:rsidP="006B43AF">
      <w:pPr>
        <w:pStyle w:val="ListParagraph"/>
        <w:numPr>
          <w:ilvl w:val="0"/>
          <w:numId w:val="22"/>
        </w:numPr>
        <w:spacing w:before="120"/>
        <w:ind w:left="284" w:right="-255" w:hanging="284"/>
        <w:rPr>
          <w:rFonts w:ascii="IBM Plex Sans Light" w:hAnsi="IBM Plex Sans Light"/>
          <w:sz w:val="18"/>
          <w:szCs w:val="18"/>
        </w:rPr>
      </w:pPr>
      <w:r w:rsidRPr="00F27995">
        <w:rPr>
          <w:rFonts w:ascii="IBM Plex Sans Light" w:hAnsi="IBM Plex Sans Light"/>
          <w:sz w:val="18"/>
          <w:szCs w:val="18"/>
        </w:rPr>
        <w:t>The Strategic Report includes a fair review of the development and performance of the business and the position of the Group and Company, together with a description of the principal risks and uncertainties that it faces</w:t>
      </w:r>
    </w:p>
    <w:p w14:paraId="6F6090DF" w14:textId="77777777" w:rsidR="006B43AF" w:rsidRPr="00F27995" w:rsidRDefault="006B43AF" w:rsidP="006B43AF">
      <w:pPr>
        <w:spacing w:after="120" w:line="240" w:lineRule="auto"/>
        <w:ind w:right="-255"/>
        <w:rPr>
          <w:rFonts w:ascii="IBM Plex Sans Light" w:hAnsi="IBM Plex Sans Light"/>
          <w:szCs w:val="18"/>
        </w:rPr>
      </w:pPr>
    </w:p>
    <w:p w14:paraId="66A2A5A2" w14:textId="77777777" w:rsidR="006B43AF" w:rsidRPr="00F27995" w:rsidRDefault="006B43AF" w:rsidP="006B43AF">
      <w:pPr>
        <w:spacing w:after="120" w:line="240" w:lineRule="auto"/>
        <w:ind w:right="-255"/>
        <w:rPr>
          <w:rFonts w:ascii="IBM Plex Sans Light" w:hAnsi="IBM Plex Sans Light"/>
          <w:szCs w:val="18"/>
        </w:rPr>
      </w:pPr>
      <w:r w:rsidRPr="00F27995">
        <w:rPr>
          <w:rFonts w:ascii="IBM Plex Sans Light" w:hAnsi="IBM Plex Sans Light"/>
          <w:szCs w:val="18"/>
        </w:rPr>
        <w:t>The financial statements were approved by the Directors and signed on their behalf by:</w:t>
      </w:r>
    </w:p>
    <w:p w14:paraId="08B923FA" w14:textId="77777777" w:rsidR="006B43AF" w:rsidRPr="00F27995" w:rsidRDefault="006B43AF" w:rsidP="006B43AF">
      <w:pPr>
        <w:spacing w:after="120" w:line="240" w:lineRule="auto"/>
        <w:ind w:right="-255"/>
        <w:rPr>
          <w:rFonts w:ascii="IBM Plex Sans Light" w:hAnsi="IBM Plex Sans Light"/>
          <w:szCs w:val="18"/>
        </w:rPr>
      </w:pPr>
    </w:p>
    <w:tbl>
      <w:tblPr>
        <w:tblW w:w="0" w:type="auto"/>
        <w:tblCellMar>
          <w:left w:w="0" w:type="dxa"/>
          <w:right w:w="0" w:type="dxa"/>
        </w:tblCellMar>
        <w:tblLook w:val="01E0" w:firstRow="1" w:lastRow="1" w:firstColumn="1" w:lastColumn="1" w:noHBand="0" w:noVBand="0"/>
      </w:tblPr>
      <w:tblGrid>
        <w:gridCol w:w="3969"/>
        <w:gridCol w:w="4553"/>
      </w:tblGrid>
      <w:tr w:rsidR="006B43AF" w:rsidRPr="00F27995" w14:paraId="1D3C4D89" w14:textId="77777777" w:rsidTr="004203CD">
        <w:tc>
          <w:tcPr>
            <w:tcW w:w="3969" w:type="dxa"/>
          </w:tcPr>
          <w:p w14:paraId="41A5E56B" w14:textId="77777777" w:rsidR="006B43AF" w:rsidRPr="00F27995" w:rsidRDefault="006B43AF" w:rsidP="004203CD">
            <w:pPr>
              <w:spacing w:after="0"/>
              <w:rPr>
                <w:rFonts w:ascii="IBM Plex Sans Light" w:hAnsi="IBM Plex Sans Light" w:cs="Arial"/>
                <w:b/>
                <w:szCs w:val="18"/>
              </w:rPr>
            </w:pPr>
            <w:r w:rsidRPr="00F27995">
              <w:rPr>
                <w:rFonts w:ascii="IBM Plex Sans Light" w:hAnsi="IBM Plex Sans Light" w:cs="Arial"/>
                <w:b/>
                <w:szCs w:val="18"/>
              </w:rPr>
              <w:t>Rita-Rose Gagné</w:t>
            </w:r>
          </w:p>
        </w:tc>
        <w:tc>
          <w:tcPr>
            <w:tcW w:w="4553" w:type="dxa"/>
          </w:tcPr>
          <w:p w14:paraId="145F0B2C" w14:textId="77777777" w:rsidR="006B43AF" w:rsidRPr="00F27995" w:rsidRDefault="006B43AF" w:rsidP="004203CD">
            <w:pPr>
              <w:spacing w:after="0"/>
              <w:rPr>
                <w:rFonts w:ascii="IBM Plex Sans Light" w:hAnsi="IBM Plex Sans Light" w:cs="Arial"/>
                <w:b/>
                <w:szCs w:val="18"/>
              </w:rPr>
            </w:pPr>
            <w:r w:rsidRPr="00F27995">
              <w:rPr>
                <w:rFonts w:ascii="IBM Plex Sans Light" w:hAnsi="IBM Plex Sans Light" w:cs="Arial"/>
                <w:b/>
                <w:szCs w:val="18"/>
              </w:rPr>
              <w:t>Himanshu Raja</w:t>
            </w:r>
          </w:p>
        </w:tc>
      </w:tr>
      <w:tr w:rsidR="006B43AF" w:rsidRPr="00F27995" w14:paraId="7101B837" w14:textId="77777777" w:rsidTr="004203CD">
        <w:tc>
          <w:tcPr>
            <w:tcW w:w="3969" w:type="dxa"/>
          </w:tcPr>
          <w:p w14:paraId="2D773D3D" w14:textId="77777777" w:rsidR="006B43AF" w:rsidRPr="00F27995" w:rsidRDefault="006B43AF" w:rsidP="004203CD">
            <w:pPr>
              <w:spacing w:after="0"/>
              <w:rPr>
                <w:rFonts w:ascii="IBM Plex Sans Light" w:hAnsi="IBM Plex Sans Light" w:cs="Arial"/>
                <w:szCs w:val="18"/>
              </w:rPr>
            </w:pPr>
            <w:r w:rsidRPr="00F27995">
              <w:rPr>
                <w:rFonts w:ascii="IBM Plex Sans Light" w:hAnsi="IBM Plex Sans Light" w:cs="Arial"/>
                <w:szCs w:val="18"/>
              </w:rPr>
              <w:t>Director</w:t>
            </w:r>
          </w:p>
        </w:tc>
        <w:tc>
          <w:tcPr>
            <w:tcW w:w="4553" w:type="dxa"/>
          </w:tcPr>
          <w:p w14:paraId="5275170A" w14:textId="77777777" w:rsidR="006B43AF" w:rsidRPr="00F27995" w:rsidRDefault="006B43AF" w:rsidP="004203CD">
            <w:pPr>
              <w:spacing w:after="0"/>
              <w:rPr>
                <w:rFonts w:ascii="IBM Plex Sans Light" w:hAnsi="IBM Plex Sans Light" w:cs="Arial"/>
                <w:szCs w:val="18"/>
              </w:rPr>
            </w:pPr>
            <w:r w:rsidRPr="00F27995">
              <w:rPr>
                <w:rFonts w:ascii="IBM Plex Sans Light" w:hAnsi="IBM Plex Sans Light" w:cs="Arial"/>
                <w:szCs w:val="18"/>
              </w:rPr>
              <w:t>Director</w:t>
            </w:r>
          </w:p>
        </w:tc>
      </w:tr>
    </w:tbl>
    <w:p w14:paraId="6A051129" w14:textId="77777777" w:rsidR="006B43AF" w:rsidRPr="00F27995" w:rsidRDefault="006B43AF" w:rsidP="006B43AF">
      <w:pPr>
        <w:spacing w:after="120" w:line="240" w:lineRule="auto"/>
        <w:ind w:right="-255"/>
        <w:rPr>
          <w:rFonts w:ascii="IBM Plex Sans Light" w:hAnsi="IBM Plex Sans Light"/>
          <w:szCs w:val="18"/>
        </w:rPr>
      </w:pPr>
    </w:p>
    <w:p w14:paraId="5F704369" w14:textId="4B14BFEF" w:rsidR="006B43AF" w:rsidRPr="00F27995" w:rsidRDefault="006B43AF" w:rsidP="006B43AF">
      <w:pPr>
        <w:spacing w:after="120" w:line="240" w:lineRule="auto"/>
        <w:ind w:right="-255"/>
        <w:rPr>
          <w:rFonts w:ascii="IBM Plex Sans Light" w:hAnsi="IBM Plex Sans Light"/>
          <w:szCs w:val="18"/>
        </w:rPr>
      </w:pPr>
      <w:r>
        <w:rPr>
          <w:rFonts w:ascii="IBM Plex Sans Light" w:hAnsi="IBM Plex Sans Light"/>
          <w:szCs w:val="18"/>
        </w:rPr>
        <w:t>28 February 2024</w:t>
      </w:r>
    </w:p>
    <w:p w14:paraId="70D6F419" w14:textId="77777777" w:rsidR="006B43AF" w:rsidRPr="00F27995" w:rsidRDefault="006B43AF" w:rsidP="006B43AF">
      <w:pPr>
        <w:spacing w:after="120" w:line="240" w:lineRule="auto"/>
        <w:ind w:right="-255"/>
        <w:rPr>
          <w:rFonts w:ascii="IBM Plex Sans Light" w:hAnsi="IBM Plex Sans Light"/>
          <w:szCs w:val="18"/>
        </w:rPr>
      </w:pPr>
    </w:p>
    <w:p w14:paraId="43AFF66C" w14:textId="5B6F3545" w:rsidR="006B43AF" w:rsidRPr="00F27995" w:rsidRDefault="006B43AF" w:rsidP="006B43AF">
      <w:pPr>
        <w:spacing w:after="0" w:line="240" w:lineRule="auto"/>
        <w:rPr>
          <w:rFonts w:ascii="IBM Plex Sans Light" w:hAnsi="IBM Plex Sans Light"/>
          <w:szCs w:val="18"/>
        </w:rPr>
      </w:pPr>
    </w:p>
    <w:p w14:paraId="477BEB1E" w14:textId="77777777" w:rsidR="00DE34B7" w:rsidRDefault="00DE34B7" w:rsidP="00DE34B7">
      <w:pPr>
        <w:spacing w:after="0" w:line="240" w:lineRule="auto"/>
        <w:rPr>
          <w:rFonts w:ascii="IBM Plex Sans Medium" w:hAnsi="IBM Plex Sans Medium" w:cs="Arial"/>
          <w:b/>
          <w:caps/>
          <w:sz w:val="24"/>
        </w:rPr>
      </w:pPr>
      <w:r w:rsidRPr="001066C1">
        <w:rPr>
          <w:rFonts w:ascii="IBM Plex Sans Medium" w:hAnsi="IBM Plex Sans Medium" w:cs="Arial"/>
          <w:b/>
          <w:caps/>
          <w:sz w:val="24"/>
        </w:rPr>
        <w:t>Glossary</w:t>
      </w:r>
    </w:p>
    <w:tbl>
      <w:tblPr>
        <w:tblStyle w:val="TableGrid"/>
        <w:tblW w:w="0" w:type="auto"/>
        <w:tblBorders>
          <w:top w:val="single" w:sz="2" w:space="0" w:color="3D7FE0" w:themeColor="accent1"/>
          <w:bottom w:val="single" w:sz="2" w:space="0" w:color="3D7FE0" w:themeColor="accent1"/>
          <w:insideH w:val="single" w:sz="2" w:space="0" w:color="3D7FE0" w:themeColor="accent1"/>
        </w:tblBorders>
        <w:tblLook w:val="04A0" w:firstRow="1" w:lastRow="0" w:firstColumn="1" w:lastColumn="0" w:noHBand="0" w:noVBand="1"/>
      </w:tblPr>
      <w:tblGrid>
        <w:gridCol w:w="1838"/>
        <w:gridCol w:w="7178"/>
      </w:tblGrid>
      <w:tr w:rsidR="00DE34B7" w14:paraId="7B49DFD5" w14:textId="77777777" w:rsidTr="00B64C63">
        <w:tc>
          <w:tcPr>
            <w:tcW w:w="1838" w:type="dxa"/>
          </w:tcPr>
          <w:p w14:paraId="475C9F5E"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Adjusted earnings</w:t>
            </w:r>
          </w:p>
        </w:tc>
        <w:tc>
          <w:tcPr>
            <w:tcW w:w="7178" w:type="dxa"/>
          </w:tcPr>
          <w:p w14:paraId="475AA3C7"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 xml:space="preserve">Reported amounts excluding certain items in accordance with EPRA guidelines and also certain cash and non-cash items which the Directors believe are not reflective of the normal day-to-day operating activities of the Group. </w:t>
            </w:r>
          </w:p>
        </w:tc>
      </w:tr>
      <w:tr w:rsidR="00DE34B7" w14:paraId="33FF3216" w14:textId="77777777" w:rsidTr="00B64C63">
        <w:tc>
          <w:tcPr>
            <w:tcW w:w="1838" w:type="dxa"/>
          </w:tcPr>
          <w:p w14:paraId="5C1CE6B6"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Annual Incentive Plan (AIP)</w:t>
            </w:r>
          </w:p>
        </w:tc>
        <w:tc>
          <w:tcPr>
            <w:tcW w:w="7178" w:type="dxa"/>
          </w:tcPr>
          <w:p w14:paraId="5BCBC987"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Annual bonus plan for all employees, including Executive Directors.</w:t>
            </w:r>
          </w:p>
        </w:tc>
      </w:tr>
      <w:tr w:rsidR="00DE34B7" w14:paraId="3CF07E82" w14:textId="77777777" w:rsidTr="00B64C63">
        <w:tc>
          <w:tcPr>
            <w:tcW w:w="1838" w:type="dxa"/>
          </w:tcPr>
          <w:p w14:paraId="60313B00"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Average cost of debt or weighted average interest rate (WAIR)</w:t>
            </w:r>
          </w:p>
        </w:tc>
        <w:tc>
          <w:tcPr>
            <w:tcW w:w="7178" w:type="dxa"/>
          </w:tcPr>
          <w:p w14:paraId="5BB15401"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The cost of finance expressed as a percentage of the weighted average debt (can be calculated on both a net and gross debt basis) during the period.</w:t>
            </w:r>
          </w:p>
        </w:tc>
      </w:tr>
      <w:tr w:rsidR="00DE34B7" w14:paraId="5A5CA147" w14:textId="77777777" w:rsidTr="00B64C63">
        <w:tc>
          <w:tcPr>
            <w:tcW w:w="1838" w:type="dxa"/>
          </w:tcPr>
          <w:p w14:paraId="71321A63"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Borrowings</w:t>
            </w:r>
          </w:p>
        </w:tc>
        <w:tc>
          <w:tcPr>
            <w:tcW w:w="7178" w:type="dxa"/>
          </w:tcPr>
          <w:p w14:paraId="2A2B4E03"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The aggregate of loans and currency swaps but excluding the fair value of the interest rate swaps, as the fair value crystallises over the life of the instruments rather than at maturity.</w:t>
            </w:r>
          </w:p>
        </w:tc>
      </w:tr>
      <w:tr w:rsidR="00DE34B7" w14:paraId="22E175CA" w14:textId="77777777" w:rsidTr="00B64C63">
        <w:tc>
          <w:tcPr>
            <w:tcW w:w="1838" w:type="dxa"/>
          </w:tcPr>
          <w:p w14:paraId="2EA418FB"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BREEAM</w:t>
            </w:r>
          </w:p>
        </w:tc>
        <w:tc>
          <w:tcPr>
            <w:tcW w:w="7178" w:type="dxa"/>
          </w:tcPr>
          <w:p w14:paraId="685F1625"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An environmental rating assessed under the Building Research Establishment Environmental Assessment Method.</w:t>
            </w:r>
          </w:p>
        </w:tc>
      </w:tr>
      <w:tr w:rsidR="00DE34B7" w14:paraId="7D1DCE16" w14:textId="77777777" w:rsidTr="00B64C63">
        <w:tc>
          <w:tcPr>
            <w:tcW w:w="1838" w:type="dxa"/>
          </w:tcPr>
          <w:p w14:paraId="3E7092E3"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Capital return</w:t>
            </w:r>
          </w:p>
        </w:tc>
        <w:tc>
          <w:tcPr>
            <w:tcW w:w="7178" w:type="dxa"/>
          </w:tcPr>
          <w:p w14:paraId="7FBFD365"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 xml:space="preserve">The change in property value during the period after taking account of capital expenditure, calculated on a monthly time-weighted and constant currency basis. </w:t>
            </w:r>
          </w:p>
        </w:tc>
      </w:tr>
      <w:tr w:rsidR="00DE34B7" w14:paraId="5836EA43" w14:textId="77777777" w:rsidTr="00B64C63">
        <w:tc>
          <w:tcPr>
            <w:tcW w:w="1838" w:type="dxa"/>
          </w:tcPr>
          <w:p w14:paraId="7B7820B1"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Compulsory Voluntary Arrangement (CVA)</w:t>
            </w:r>
          </w:p>
        </w:tc>
        <w:tc>
          <w:tcPr>
            <w:tcW w:w="7178" w:type="dxa"/>
          </w:tcPr>
          <w:p w14:paraId="4A8B2C7F"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A legally binding agreement with creditors to restructure liabilities, including future lease liabilities.</w:t>
            </w:r>
          </w:p>
        </w:tc>
      </w:tr>
      <w:tr w:rsidR="00DE34B7" w14:paraId="369C42BD" w14:textId="77777777" w:rsidTr="00B64C63">
        <w:tc>
          <w:tcPr>
            <w:tcW w:w="1838" w:type="dxa"/>
          </w:tcPr>
          <w:p w14:paraId="4DC5FC48"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Corporate Sustainability Reporting Directive (CSRD)</w:t>
            </w:r>
          </w:p>
        </w:tc>
        <w:tc>
          <w:tcPr>
            <w:tcW w:w="7178" w:type="dxa"/>
          </w:tcPr>
          <w:p w14:paraId="3F6C3E3B"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 xml:space="preserve">A new directive requiring large companies to disclose ESG information based on the European Sustainability Reporting Standards (ESRS). The Group is expecting to report under CSRD in 2025. </w:t>
            </w:r>
          </w:p>
        </w:tc>
      </w:tr>
      <w:tr w:rsidR="00DE34B7" w14:paraId="41B6EEFE" w14:textId="77777777" w:rsidTr="00B64C63">
        <w:tc>
          <w:tcPr>
            <w:tcW w:w="1838" w:type="dxa"/>
          </w:tcPr>
          <w:p w14:paraId="23B91651"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Dividend cover</w:t>
            </w:r>
          </w:p>
        </w:tc>
        <w:tc>
          <w:tcPr>
            <w:tcW w:w="7178" w:type="dxa"/>
          </w:tcPr>
          <w:p w14:paraId="0E99EA1C"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Adjusted earnings per share divided by dividend per share.</w:t>
            </w:r>
          </w:p>
        </w:tc>
      </w:tr>
      <w:tr w:rsidR="00DE34B7" w14:paraId="7CC225B6" w14:textId="77777777" w:rsidTr="00B64C63">
        <w:tc>
          <w:tcPr>
            <w:tcW w:w="1838" w:type="dxa"/>
          </w:tcPr>
          <w:p w14:paraId="21FB504E"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EBITDA</w:t>
            </w:r>
          </w:p>
        </w:tc>
        <w:tc>
          <w:tcPr>
            <w:tcW w:w="7178" w:type="dxa"/>
          </w:tcPr>
          <w:p w14:paraId="4144857F"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Earnings before interest, tax, depreciation and amortisation.</w:t>
            </w:r>
          </w:p>
        </w:tc>
      </w:tr>
      <w:tr w:rsidR="00DE34B7" w14:paraId="7218F676" w14:textId="77777777" w:rsidTr="00B64C63">
        <w:tc>
          <w:tcPr>
            <w:tcW w:w="1838" w:type="dxa"/>
          </w:tcPr>
          <w:p w14:paraId="3F2DA962"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EPRA</w:t>
            </w:r>
          </w:p>
        </w:tc>
        <w:tc>
          <w:tcPr>
            <w:tcW w:w="7178" w:type="dxa"/>
          </w:tcPr>
          <w:p w14:paraId="55C7EE97"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 xml:space="preserve">The European Public Real Estate Association, a real estate industry body, of which the Company is a member. This organisation has issued Best Practice Recommendations with the intention of </w:t>
            </w:r>
            <w:r w:rsidRPr="00B64C63">
              <w:rPr>
                <w:rFonts w:ascii="IBM Plex Sans Light" w:hAnsi="IBM Plex Sans Light"/>
                <w:sz w:val="17"/>
                <w:szCs w:val="17"/>
              </w:rPr>
              <w:lastRenderedPageBreak/>
              <w:t>improving the transparency, comparability and relevance of the published results of listed real estate companies in Europe.</w:t>
            </w:r>
          </w:p>
        </w:tc>
      </w:tr>
      <w:tr w:rsidR="00DE34B7" w14:paraId="4561FE8F" w14:textId="77777777" w:rsidTr="00B64C63">
        <w:tc>
          <w:tcPr>
            <w:tcW w:w="1838" w:type="dxa"/>
          </w:tcPr>
          <w:p w14:paraId="42B40461"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lastRenderedPageBreak/>
              <w:t>Equivalent yield (true and nominal)</w:t>
            </w:r>
          </w:p>
        </w:tc>
        <w:tc>
          <w:tcPr>
            <w:tcW w:w="7178" w:type="dxa"/>
          </w:tcPr>
          <w:p w14:paraId="0F18CC4A"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The capitalisation rate applied to future cash flows to calculate the gross property value. The cash flows reflect future rents resulting from lettings, lease renewals and rent reviews based on current ERVs. The true equivalent yield (TEY) assumes rents are received quarterly in advance, while the nominal equivalent yield (NEY) assumes rents are received annually in arrears. These yields are determined by the Group’s external valuers.</w:t>
            </w:r>
          </w:p>
        </w:tc>
      </w:tr>
      <w:tr w:rsidR="00DE34B7" w14:paraId="042BCCE5" w14:textId="77777777" w:rsidTr="00B64C63">
        <w:tc>
          <w:tcPr>
            <w:tcW w:w="1838" w:type="dxa"/>
          </w:tcPr>
          <w:p w14:paraId="5B6F9F52"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ERV</w:t>
            </w:r>
          </w:p>
        </w:tc>
        <w:tc>
          <w:tcPr>
            <w:tcW w:w="7178" w:type="dxa"/>
          </w:tcPr>
          <w:p w14:paraId="643FF1CA"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The estimated market rental value of the total lettable space in a property calculated by the Group’s external valuers on a net effective basis.</w:t>
            </w:r>
          </w:p>
        </w:tc>
      </w:tr>
      <w:tr w:rsidR="00DE34B7" w14:paraId="4687B91F" w14:textId="77777777" w:rsidTr="00B64C63">
        <w:tc>
          <w:tcPr>
            <w:tcW w:w="1838" w:type="dxa"/>
          </w:tcPr>
          <w:p w14:paraId="1F601FFF"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ESG</w:t>
            </w:r>
          </w:p>
        </w:tc>
        <w:tc>
          <w:tcPr>
            <w:tcW w:w="7178" w:type="dxa"/>
          </w:tcPr>
          <w:p w14:paraId="45B832F5"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Using environmental, social and governance factors to evaluate companies and countries on how far advanced they are with sustainability.</w:t>
            </w:r>
          </w:p>
        </w:tc>
      </w:tr>
      <w:tr w:rsidR="00DE34B7" w14:paraId="14F96D29" w14:textId="77777777" w:rsidTr="00B64C63">
        <w:tc>
          <w:tcPr>
            <w:tcW w:w="1838" w:type="dxa"/>
          </w:tcPr>
          <w:p w14:paraId="5FD5A51D"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F&amp;B</w:t>
            </w:r>
          </w:p>
        </w:tc>
        <w:tc>
          <w:tcPr>
            <w:tcW w:w="7178" w:type="dxa"/>
          </w:tcPr>
          <w:p w14:paraId="222C34FC"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Food and beverage.</w:t>
            </w:r>
          </w:p>
        </w:tc>
      </w:tr>
      <w:tr w:rsidR="00DE34B7" w14:paraId="7A3E83C9" w14:textId="77777777" w:rsidTr="00B64C63">
        <w:tc>
          <w:tcPr>
            <w:tcW w:w="1838" w:type="dxa"/>
          </w:tcPr>
          <w:p w14:paraId="3FDD678E"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Gearing</w:t>
            </w:r>
          </w:p>
        </w:tc>
        <w:tc>
          <w:tcPr>
            <w:tcW w:w="7178" w:type="dxa"/>
          </w:tcPr>
          <w:p w14:paraId="2BDA8C20"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Net debt expressed as a percentage of equity shareholders’ funds calculated as per the covenant definition in the Group’s unsecured bank loans and facilities and private placements.</w:t>
            </w:r>
          </w:p>
        </w:tc>
      </w:tr>
      <w:tr w:rsidR="00DE34B7" w14:paraId="3DE05115" w14:textId="77777777" w:rsidTr="00B64C63">
        <w:tc>
          <w:tcPr>
            <w:tcW w:w="1838" w:type="dxa"/>
          </w:tcPr>
          <w:p w14:paraId="4B529FE5"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Gross property value or Gross asset value (GAV)</w:t>
            </w:r>
          </w:p>
        </w:tc>
        <w:tc>
          <w:tcPr>
            <w:tcW w:w="7178" w:type="dxa"/>
          </w:tcPr>
          <w:p w14:paraId="3BCCE0FE"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Property value before deduction of purchasers’ costs, as provided by the Group’s external valuers.</w:t>
            </w:r>
          </w:p>
        </w:tc>
      </w:tr>
      <w:tr w:rsidR="00DE34B7" w14:paraId="6A157906" w14:textId="77777777" w:rsidTr="00B64C63">
        <w:tc>
          <w:tcPr>
            <w:tcW w:w="1838" w:type="dxa"/>
          </w:tcPr>
          <w:p w14:paraId="6193602E"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Gross rental income (GRI)</w:t>
            </w:r>
          </w:p>
        </w:tc>
        <w:tc>
          <w:tcPr>
            <w:tcW w:w="7178" w:type="dxa"/>
          </w:tcPr>
          <w:p w14:paraId="6DDD9E79"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Income from leases, car parks and commercialisation, after amortising lease incentives.</w:t>
            </w:r>
          </w:p>
        </w:tc>
      </w:tr>
      <w:tr w:rsidR="00DE34B7" w14:paraId="34D30D55" w14:textId="77777777" w:rsidTr="00B64C63">
        <w:tc>
          <w:tcPr>
            <w:tcW w:w="1838" w:type="dxa"/>
          </w:tcPr>
          <w:p w14:paraId="54D0B8C4"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Headline rent</w:t>
            </w:r>
          </w:p>
        </w:tc>
        <w:tc>
          <w:tcPr>
            <w:tcW w:w="7178" w:type="dxa"/>
          </w:tcPr>
          <w:p w14:paraId="664D0C05"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The annual rental income derived from a lease, including base and turnover rent but after rent-free periods.</w:t>
            </w:r>
          </w:p>
        </w:tc>
      </w:tr>
      <w:tr w:rsidR="00DE34B7" w14:paraId="19E247F5" w14:textId="77777777" w:rsidTr="00B64C63">
        <w:tc>
          <w:tcPr>
            <w:tcW w:w="1838" w:type="dxa"/>
          </w:tcPr>
          <w:p w14:paraId="1FB356D7"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Inclusive lease</w:t>
            </w:r>
          </w:p>
        </w:tc>
        <w:tc>
          <w:tcPr>
            <w:tcW w:w="7178" w:type="dxa"/>
          </w:tcPr>
          <w:p w14:paraId="3E172B3B"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A lease, often for a short period, under which the rent includes costs such as service charge, rates and utilities. Instead, the landlord incurs these costs as part of the overall commercial arrangement.</w:t>
            </w:r>
          </w:p>
        </w:tc>
      </w:tr>
      <w:tr w:rsidR="00DE34B7" w14:paraId="29EAB676" w14:textId="77777777" w:rsidTr="00B64C63">
        <w:tc>
          <w:tcPr>
            <w:tcW w:w="1838" w:type="dxa"/>
          </w:tcPr>
          <w:p w14:paraId="18EF4D76"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Income return</w:t>
            </w:r>
          </w:p>
        </w:tc>
        <w:tc>
          <w:tcPr>
            <w:tcW w:w="7178" w:type="dxa"/>
          </w:tcPr>
          <w:p w14:paraId="2F7B57F9" w14:textId="7777777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Income derived from property taken as a percentage of the property value on a time-weighted and constant currency basis after taking account of capital expenditure.</w:t>
            </w:r>
          </w:p>
        </w:tc>
      </w:tr>
      <w:tr w:rsidR="00DE34B7" w14:paraId="32846DF0" w14:textId="77777777" w:rsidTr="00B64C63">
        <w:tc>
          <w:tcPr>
            <w:tcW w:w="1838" w:type="dxa"/>
          </w:tcPr>
          <w:p w14:paraId="2C669FE4"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Initial yield (or Net initial yield (NIY))</w:t>
            </w:r>
          </w:p>
        </w:tc>
        <w:tc>
          <w:tcPr>
            <w:tcW w:w="7178" w:type="dxa"/>
          </w:tcPr>
          <w:p w14:paraId="7810AB31" w14:textId="458A6617" w:rsidR="00DE34B7" w:rsidRPr="00B64C63" w:rsidRDefault="00DE34B7" w:rsidP="004203CD">
            <w:pPr>
              <w:rPr>
                <w:rFonts w:ascii="IBM Plex Sans Light" w:hAnsi="IBM Plex Sans Light"/>
                <w:sz w:val="17"/>
                <w:szCs w:val="17"/>
              </w:rPr>
            </w:pPr>
            <w:r w:rsidRPr="00B64C63">
              <w:rPr>
                <w:rFonts w:ascii="IBM Plex Sans Light" w:hAnsi="IBM Plex Sans Light"/>
                <w:sz w:val="17"/>
                <w:szCs w:val="17"/>
              </w:rPr>
              <w:t>Annual cash rents receivable (net of head rents and the cost of vacancy, and, in the case of France, net of an allowance for costs of approximately 5%, primarily for management fees), as a percentage of gross property value, as provided by the Group’s external valuers. Rents receivable following the expiry of rent-free periods are</w:t>
            </w:r>
            <w:r w:rsidR="00B64C63">
              <w:rPr>
                <w:rFonts w:ascii="IBM Plex Sans Light" w:hAnsi="IBM Plex Sans Light"/>
                <w:sz w:val="17"/>
                <w:szCs w:val="17"/>
              </w:rPr>
              <w:t xml:space="preserve"> </w:t>
            </w:r>
            <w:r w:rsidR="00B64C63" w:rsidRPr="00B64C63">
              <w:rPr>
                <w:rFonts w:ascii="IBM Plex Sans Light" w:hAnsi="IBM Plex Sans Light"/>
                <w:sz w:val="17"/>
                <w:szCs w:val="17"/>
              </w:rPr>
              <w:t>not included. Rent reviews are assumed to have been settled at the contractual review date at ERV.</w:t>
            </w:r>
          </w:p>
        </w:tc>
      </w:tr>
    </w:tbl>
    <w:p w14:paraId="6E793DB2" w14:textId="77777777" w:rsidR="00B64C63" w:rsidRDefault="00B64C63"/>
    <w:tbl>
      <w:tblPr>
        <w:tblStyle w:val="TableGrid"/>
        <w:tblW w:w="0" w:type="auto"/>
        <w:tblBorders>
          <w:top w:val="single" w:sz="2" w:space="0" w:color="3D7FE0" w:themeColor="accent1"/>
          <w:bottom w:val="single" w:sz="2" w:space="0" w:color="3D7FE0" w:themeColor="accent1"/>
          <w:insideH w:val="single" w:sz="2" w:space="0" w:color="3D7FE0" w:themeColor="accent1"/>
        </w:tblBorders>
        <w:tblLook w:val="04A0" w:firstRow="1" w:lastRow="0" w:firstColumn="1" w:lastColumn="0" w:noHBand="0" w:noVBand="1"/>
      </w:tblPr>
      <w:tblGrid>
        <w:gridCol w:w="1838"/>
        <w:gridCol w:w="7178"/>
      </w:tblGrid>
      <w:tr w:rsidR="00DE34B7" w14:paraId="3F0A41DE" w14:textId="77777777" w:rsidTr="00B64C63">
        <w:tc>
          <w:tcPr>
            <w:tcW w:w="1838" w:type="dxa"/>
          </w:tcPr>
          <w:p w14:paraId="1D7A62D6"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Interest cover</w:t>
            </w:r>
          </w:p>
        </w:tc>
        <w:tc>
          <w:tcPr>
            <w:tcW w:w="7178" w:type="dxa"/>
          </w:tcPr>
          <w:p w14:paraId="7B2E6CA0" w14:textId="30514951" w:rsidR="00DE34B7" w:rsidRPr="00B64C63" w:rsidRDefault="00B64C63" w:rsidP="004203CD">
            <w:pPr>
              <w:rPr>
                <w:rFonts w:ascii="IBM Plex Sans Light" w:hAnsi="IBM Plex Sans Light"/>
                <w:sz w:val="17"/>
                <w:szCs w:val="17"/>
              </w:rPr>
            </w:pPr>
            <w:r w:rsidRPr="00B64C63">
              <w:rPr>
                <w:rFonts w:ascii="IBM Plex Sans Light" w:hAnsi="IBM Plex Sans Light"/>
                <w:sz w:val="17"/>
                <w:szCs w:val="17"/>
              </w:rPr>
              <w:t>Adjusted net rental income excluding associates, divided by Adjusted net finance costs before capitalised interest and interest charges on lease obligations and pensions.</w:t>
            </w:r>
          </w:p>
        </w:tc>
      </w:tr>
      <w:tr w:rsidR="00B64C63" w14:paraId="2D3C945C" w14:textId="77777777" w:rsidTr="00B64C63">
        <w:tc>
          <w:tcPr>
            <w:tcW w:w="1838" w:type="dxa"/>
          </w:tcPr>
          <w:p w14:paraId="078DB25A"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Interest rate or currency swap (or derivatives)</w:t>
            </w:r>
          </w:p>
        </w:tc>
        <w:tc>
          <w:tcPr>
            <w:tcW w:w="7178" w:type="dxa"/>
          </w:tcPr>
          <w:p w14:paraId="61FFCBDC" w14:textId="3C1084F4"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An agreement with another party to exchange an interest or currency rate obligation for a pre-determined period.</w:t>
            </w:r>
          </w:p>
        </w:tc>
      </w:tr>
      <w:tr w:rsidR="00DE34B7" w14:paraId="1C7C7125" w14:textId="77777777" w:rsidTr="00B64C63">
        <w:tc>
          <w:tcPr>
            <w:tcW w:w="1838" w:type="dxa"/>
          </w:tcPr>
          <w:p w14:paraId="0814544F"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Joint venture and associate management fees</w:t>
            </w:r>
          </w:p>
        </w:tc>
        <w:tc>
          <w:tcPr>
            <w:tcW w:w="7178" w:type="dxa"/>
          </w:tcPr>
          <w:p w14:paraId="0EF307BC" w14:textId="7CCAB0CF" w:rsidR="00DE34B7" w:rsidRPr="00B64C63" w:rsidRDefault="00B64C63" w:rsidP="004203CD">
            <w:pPr>
              <w:rPr>
                <w:rFonts w:ascii="IBM Plex Sans Light" w:hAnsi="IBM Plex Sans Light"/>
                <w:sz w:val="17"/>
                <w:szCs w:val="17"/>
              </w:rPr>
            </w:pPr>
            <w:r w:rsidRPr="00B64C63">
              <w:rPr>
                <w:rFonts w:ascii="IBM Plex Sans Light" w:hAnsi="IBM Plex Sans Light"/>
                <w:sz w:val="17"/>
                <w:szCs w:val="17"/>
              </w:rPr>
              <w:t>Fees charged to joint ventures and associates for accounting, secretarial, asset and development management services.</w:t>
            </w:r>
          </w:p>
        </w:tc>
      </w:tr>
      <w:tr w:rsidR="00DE34B7" w14:paraId="798EA2D9" w14:textId="77777777" w:rsidTr="00B64C63">
        <w:tc>
          <w:tcPr>
            <w:tcW w:w="1838" w:type="dxa"/>
          </w:tcPr>
          <w:p w14:paraId="6D0D549B" w14:textId="77777777" w:rsidR="00DE34B7" w:rsidRPr="00B64C63" w:rsidRDefault="00DE34B7" w:rsidP="004203CD">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 xml:space="preserve">Leasing </w:t>
            </w:r>
          </w:p>
        </w:tc>
        <w:tc>
          <w:tcPr>
            <w:tcW w:w="7178" w:type="dxa"/>
          </w:tcPr>
          <w:p w14:paraId="3373B90B" w14:textId="0505F264" w:rsidR="00DE34B7" w:rsidRPr="00B64C63" w:rsidRDefault="00B64C63" w:rsidP="004203CD">
            <w:pPr>
              <w:rPr>
                <w:rFonts w:ascii="IBM Plex Sans Light" w:hAnsi="IBM Plex Sans Light"/>
                <w:sz w:val="17"/>
                <w:szCs w:val="17"/>
              </w:rPr>
            </w:pPr>
            <w:r w:rsidRPr="00B64C63">
              <w:rPr>
                <w:rFonts w:ascii="IBM Plex Sans Light" w:hAnsi="IBM Plex Sans Light"/>
                <w:sz w:val="17"/>
                <w:szCs w:val="17"/>
              </w:rPr>
              <w:t>Comprises new lettings and renewals.</w:t>
            </w:r>
          </w:p>
        </w:tc>
      </w:tr>
      <w:tr w:rsidR="00B64C63" w14:paraId="301A82EF" w14:textId="77777777" w:rsidTr="00B64C63">
        <w:tc>
          <w:tcPr>
            <w:tcW w:w="1838" w:type="dxa"/>
          </w:tcPr>
          <w:p w14:paraId="700A6673"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Leasing vs Passing rent</w:t>
            </w:r>
          </w:p>
        </w:tc>
        <w:tc>
          <w:tcPr>
            <w:tcW w:w="7178" w:type="dxa"/>
          </w:tcPr>
          <w:p w14:paraId="5A094149" w14:textId="01090DF7"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 comparison of Headline rent from new leases and renewals to the Passing rent at the most recent balance sheet date.</w:t>
            </w:r>
          </w:p>
        </w:tc>
      </w:tr>
      <w:tr w:rsidR="00B64C63" w14:paraId="25F86B04" w14:textId="77777777" w:rsidTr="00B64C63">
        <w:tc>
          <w:tcPr>
            <w:tcW w:w="1838" w:type="dxa"/>
          </w:tcPr>
          <w:p w14:paraId="041DD681"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Like-for-like (LFL) GRI/NRI</w:t>
            </w:r>
          </w:p>
        </w:tc>
        <w:tc>
          <w:tcPr>
            <w:tcW w:w="7178" w:type="dxa"/>
          </w:tcPr>
          <w:p w14:paraId="07BAD7E0" w14:textId="15D0960D"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 xml:space="preserve">The percentage change in GRI/NRI for flagship properties owned throughout both current and prior periods, calculated on a constant currency basis. Properties undergoing a significant extension project are excluded from this calculation during the period of the works. For interim reporting periods properties sold between the balance sheet date and the date of the announcement are also excluded from this metric. </w:t>
            </w:r>
          </w:p>
        </w:tc>
      </w:tr>
      <w:tr w:rsidR="00B64C63" w14:paraId="43021912" w14:textId="77777777" w:rsidTr="00B64C63">
        <w:tc>
          <w:tcPr>
            <w:tcW w:w="1838" w:type="dxa"/>
          </w:tcPr>
          <w:p w14:paraId="462E4C99"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Loan to value (LTV)</w:t>
            </w:r>
          </w:p>
        </w:tc>
        <w:tc>
          <w:tcPr>
            <w:tcW w:w="7178" w:type="dxa"/>
          </w:tcPr>
          <w:p w14:paraId="793D62BE" w14:textId="67FB48AB"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Net debt expressed as a percentage of property portfolio value. The Group has three measures of LTV: Headline, which includes the Group’s investment in Value Retail; Full proportional consolidation of Value Retail (FPC), which incorporates the Group’s share of Value Retail’s net debt and property values; and EPRA, which includes an adjustment for net payables.</w:t>
            </w:r>
          </w:p>
        </w:tc>
      </w:tr>
      <w:tr w:rsidR="00B64C63" w14:paraId="4491C570" w14:textId="77777777" w:rsidTr="00B64C63">
        <w:tc>
          <w:tcPr>
            <w:tcW w:w="1838" w:type="dxa"/>
          </w:tcPr>
          <w:p w14:paraId="42889FBB"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Net effective rent (NER)</w:t>
            </w:r>
          </w:p>
        </w:tc>
        <w:tc>
          <w:tcPr>
            <w:tcW w:w="7178" w:type="dxa"/>
          </w:tcPr>
          <w:p w14:paraId="0E649AC2" w14:textId="39D7A633"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Annual rent from a unit calculated by taking the total rent payable over the term of the lease to the earliest termination date and deducting all tenant incentives.</w:t>
            </w:r>
          </w:p>
        </w:tc>
      </w:tr>
      <w:tr w:rsidR="00B64C63" w14:paraId="6480D7DD" w14:textId="77777777" w:rsidTr="00B64C63">
        <w:tc>
          <w:tcPr>
            <w:tcW w:w="1838" w:type="dxa"/>
          </w:tcPr>
          <w:p w14:paraId="27504609"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Net rental income (NRI)</w:t>
            </w:r>
          </w:p>
        </w:tc>
        <w:tc>
          <w:tcPr>
            <w:tcW w:w="7178" w:type="dxa"/>
          </w:tcPr>
          <w:p w14:paraId="4D9B93C5" w14:textId="57102F4F"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GRI less net service charge expenses and cost of sales. Additionally, the change in provision for amounts not yet recognised in the income statement is also excluded to calculate Adjusted NRI.</w:t>
            </w:r>
          </w:p>
        </w:tc>
      </w:tr>
      <w:tr w:rsidR="00B64C63" w14:paraId="4FDF5AE0" w14:textId="77777777" w:rsidTr="00B64C63">
        <w:tc>
          <w:tcPr>
            <w:tcW w:w="1838" w:type="dxa"/>
          </w:tcPr>
          <w:p w14:paraId="3DE61752"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lastRenderedPageBreak/>
              <w:t>NTA (EPRA)</w:t>
            </w:r>
          </w:p>
        </w:tc>
        <w:tc>
          <w:tcPr>
            <w:tcW w:w="7178" w:type="dxa"/>
          </w:tcPr>
          <w:p w14:paraId="3F197D0E" w14:textId="645EA845"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EPRA Net Tangible Assets: An EPRA net asset per share measure calculated as equity shareholders’ funds with adjustments made for the fair values of certain financial derivatives, deferred tax and any goodwill balances.</w:t>
            </w:r>
          </w:p>
        </w:tc>
      </w:tr>
      <w:tr w:rsidR="00B64C63" w14:paraId="1785CC65" w14:textId="77777777" w:rsidTr="00B64C63">
        <w:tc>
          <w:tcPr>
            <w:tcW w:w="1838" w:type="dxa"/>
          </w:tcPr>
          <w:p w14:paraId="46AE2694"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Occupancy rate</w:t>
            </w:r>
          </w:p>
        </w:tc>
        <w:tc>
          <w:tcPr>
            <w:tcW w:w="7178" w:type="dxa"/>
          </w:tcPr>
          <w:p w14:paraId="220AE87D" w14:textId="69337B14"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The ERV of the area in a property or portfolio, excluding developments, which is let, expressed as a percentage of the total ERV, excluding the ERV for car parks, of that property or portfolio.</w:t>
            </w:r>
          </w:p>
        </w:tc>
      </w:tr>
      <w:tr w:rsidR="00B64C63" w14:paraId="5652103B" w14:textId="77777777" w:rsidTr="00B64C63">
        <w:tc>
          <w:tcPr>
            <w:tcW w:w="1838" w:type="dxa"/>
          </w:tcPr>
          <w:p w14:paraId="02FEEF06"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Occupational cost ratio (OCR)</w:t>
            </w:r>
          </w:p>
        </w:tc>
        <w:tc>
          <w:tcPr>
            <w:tcW w:w="7178" w:type="dxa"/>
          </w:tcPr>
          <w:p w14:paraId="092472BA" w14:textId="795EE72C"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The proportion of retailer’s sales compared with the total cost of occupation, including rent, local taxes (i.e. business rates) and service charge. Calculated excluding department stores.</w:t>
            </w:r>
          </w:p>
        </w:tc>
      </w:tr>
      <w:tr w:rsidR="00B64C63" w14:paraId="3153DBFD" w14:textId="77777777" w:rsidTr="00B64C63">
        <w:tc>
          <w:tcPr>
            <w:tcW w:w="1838" w:type="dxa"/>
          </w:tcPr>
          <w:p w14:paraId="25457CEB"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Over-rented</w:t>
            </w:r>
          </w:p>
        </w:tc>
        <w:tc>
          <w:tcPr>
            <w:tcW w:w="7178" w:type="dxa"/>
          </w:tcPr>
          <w:p w14:paraId="75D61796" w14:textId="4D997668"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 xml:space="preserve">The amount, or percentage, by which the ERV falls short of </w:t>
            </w:r>
            <w:r w:rsidR="00D208F2">
              <w:rPr>
                <w:rFonts w:ascii="IBM Plex Sans Light" w:hAnsi="IBM Plex Sans Light"/>
                <w:sz w:val="17"/>
                <w:szCs w:val="17"/>
              </w:rPr>
              <w:t xml:space="preserve">rent </w:t>
            </w:r>
            <w:r w:rsidRPr="00B64C63">
              <w:rPr>
                <w:rFonts w:ascii="IBM Plex Sans Light" w:hAnsi="IBM Plex Sans Light"/>
                <w:sz w:val="17"/>
                <w:szCs w:val="17"/>
              </w:rPr>
              <w:t>passing for reversion.</w:t>
            </w:r>
          </w:p>
        </w:tc>
      </w:tr>
      <w:tr w:rsidR="00B64C63" w14:paraId="48CA3326" w14:textId="77777777" w:rsidTr="00B64C63">
        <w:tc>
          <w:tcPr>
            <w:tcW w:w="1838" w:type="dxa"/>
          </w:tcPr>
          <w:p w14:paraId="792B548B"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Passing rents or rents passing</w:t>
            </w:r>
          </w:p>
        </w:tc>
        <w:tc>
          <w:tcPr>
            <w:tcW w:w="7178" w:type="dxa"/>
          </w:tcPr>
          <w:p w14:paraId="0E575E52" w14:textId="37CD08B7"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 xml:space="preserve">The annual rental income receivable from an investment property after rent-free periods, head rents, car park costs and commercialisation costs. </w:t>
            </w:r>
          </w:p>
        </w:tc>
      </w:tr>
      <w:tr w:rsidR="00B64C63" w14:paraId="73BADAA1" w14:textId="77777777" w:rsidTr="00B64C63">
        <w:tc>
          <w:tcPr>
            <w:tcW w:w="1838" w:type="dxa"/>
          </w:tcPr>
          <w:p w14:paraId="493DCF71"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Pre-let</w:t>
            </w:r>
          </w:p>
        </w:tc>
        <w:tc>
          <w:tcPr>
            <w:tcW w:w="7178" w:type="dxa"/>
          </w:tcPr>
          <w:p w14:paraId="634BF31F" w14:textId="0D7A6FE9"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 lease signed with a tenant prior to the completion of a development or other major project.</w:t>
            </w:r>
          </w:p>
        </w:tc>
      </w:tr>
      <w:tr w:rsidR="00B64C63" w14:paraId="0AB341AB" w14:textId="77777777" w:rsidTr="00B64C63">
        <w:tc>
          <w:tcPr>
            <w:tcW w:w="1838" w:type="dxa"/>
          </w:tcPr>
          <w:p w14:paraId="626241AE"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Principal lease</w:t>
            </w:r>
          </w:p>
        </w:tc>
        <w:tc>
          <w:tcPr>
            <w:tcW w:w="7178" w:type="dxa"/>
          </w:tcPr>
          <w:p w14:paraId="6E7E9F54" w14:textId="4967854C"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 lease signed with a tenant with a secure term of greater than one year.</w:t>
            </w:r>
          </w:p>
        </w:tc>
      </w:tr>
      <w:tr w:rsidR="00B64C63" w14:paraId="7649FEE2" w14:textId="77777777" w:rsidTr="00B64C63">
        <w:tc>
          <w:tcPr>
            <w:tcW w:w="1838" w:type="dxa"/>
          </w:tcPr>
          <w:p w14:paraId="19EB032F"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Property fee income</w:t>
            </w:r>
          </w:p>
        </w:tc>
        <w:tc>
          <w:tcPr>
            <w:tcW w:w="7178" w:type="dxa"/>
          </w:tcPr>
          <w:p w14:paraId="67E5CF2E" w14:textId="27BB0532"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Amounts recharged to tenants or co-owners for property management services including, but not limited to service charge management and rent collection fees.</w:t>
            </w:r>
          </w:p>
        </w:tc>
      </w:tr>
      <w:tr w:rsidR="00B64C63" w14:paraId="689BDF72" w14:textId="77777777" w:rsidTr="00B64C63">
        <w:tc>
          <w:tcPr>
            <w:tcW w:w="1838" w:type="dxa"/>
          </w:tcPr>
          <w:p w14:paraId="0FC428E1"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Property Income Distribution (PID)</w:t>
            </w:r>
          </w:p>
        </w:tc>
        <w:tc>
          <w:tcPr>
            <w:tcW w:w="7178" w:type="dxa"/>
          </w:tcPr>
          <w:p w14:paraId="7360EE1E" w14:textId="3EDF8F72"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A dividend, generally subject to withholding tax, that a UK REIT is required to pay from its tax-exempt property rental business and which is taxable for UK-resident shareholders at their marginal tax rate.</w:t>
            </w:r>
          </w:p>
        </w:tc>
      </w:tr>
      <w:tr w:rsidR="00B64C63" w14:paraId="18899E4B" w14:textId="77777777" w:rsidTr="00B64C63">
        <w:tc>
          <w:tcPr>
            <w:tcW w:w="1838" w:type="dxa"/>
          </w:tcPr>
          <w:p w14:paraId="3ED7FDA5"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Property interests (Share of)</w:t>
            </w:r>
          </w:p>
        </w:tc>
        <w:tc>
          <w:tcPr>
            <w:tcW w:w="7178" w:type="dxa"/>
          </w:tcPr>
          <w:p w14:paraId="7F2A65A0" w14:textId="4A25B4AE"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The Group’s non-wholly owned properties which management proportionally consolidate when reviewing the performance of the business. These exclude Value Retail which is not proportionally consolidated.</w:t>
            </w:r>
          </w:p>
        </w:tc>
      </w:tr>
      <w:tr w:rsidR="00B64C63" w14:paraId="355B1ADA" w14:textId="77777777" w:rsidTr="00B64C63">
        <w:tc>
          <w:tcPr>
            <w:tcW w:w="1838" w:type="dxa"/>
          </w:tcPr>
          <w:p w14:paraId="728A5DC3"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Property outgoings</w:t>
            </w:r>
          </w:p>
        </w:tc>
        <w:tc>
          <w:tcPr>
            <w:tcW w:w="7178" w:type="dxa"/>
          </w:tcPr>
          <w:p w14:paraId="413BFCB9" w14:textId="2E3C909B"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The direct operational costs and expenses incurred by the landlord relating to property ownership and management. This typically comprises void costs, net service charge expenses, letting related costs, marketing expenditure, repairs and maintenance, tenant incentive impairment, bad debt expense relating to items recognised in the income statement and other direct irrecoverable property expenses. These costs are included within the Group’s calculation of like-for-like NRI and the cost ratio.</w:t>
            </w:r>
          </w:p>
        </w:tc>
      </w:tr>
      <w:tr w:rsidR="00B64C63" w14:paraId="7F68AB7A" w14:textId="77777777" w:rsidTr="00B64C63">
        <w:tc>
          <w:tcPr>
            <w:tcW w:w="1838" w:type="dxa"/>
          </w:tcPr>
          <w:p w14:paraId="0321E847"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Proportional consolidation</w:t>
            </w:r>
          </w:p>
        </w:tc>
        <w:tc>
          <w:tcPr>
            <w:tcW w:w="7178" w:type="dxa"/>
          </w:tcPr>
          <w:p w14:paraId="46D89F6B" w14:textId="40CB05A9"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The aggregation of the financial results of the Reported Group and the Group’s Share of Property interests under management (i.e. excluding Value Retail) as set out in note 2 to the financial statements.</w:t>
            </w:r>
          </w:p>
        </w:tc>
      </w:tr>
      <w:tr w:rsidR="00B64C63" w14:paraId="6E1B8404" w14:textId="77777777" w:rsidTr="00B64C63">
        <w:tc>
          <w:tcPr>
            <w:tcW w:w="1838" w:type="dxa"/>
          </w:tcPr>
          <w:p w14:paraId="6D8775D5" w14:textId="77777777" w:rsidR="00B64C63" w:rsidRPr="00B64C63" w:rsidRDefault="00B64C63" w:rsidP="00B64C63">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QIAIF</w:t>
            </w:r>
          </w:p>
        </w:tc>
        <w:tc>
          <w:tcPr>
            <w:tcW w:w="7178" w:type="dxa"/>
          </w:tcPr>
          <w:p w14:paraId="00C058CE" w14:textId="0B4D56DD" w:rsidR="00B64C63" w:rsidRPr="00B64C63" w:rsidRDefault="00B64C63" w:rsidP="00B64C63">
            <w:pPr>
              <w:rPr>
                <w:rFonts w:ascii="IBM Plex Sans Light" w:hAnsi="IBM Plex Sans Light"/>
                <w:sz w:val="17"/>
                <w:szCs w:val="17"/>
              </w:rPr>
            </w:pPr>
            <w:r w:rsidRPr="00B64C63">
              <w:rPr>
                <w:rFonts w:ascii="IBM Plex Sans Light" w:hAnsi="IBM Plex Sans Light"/>
                <w:sz w:val="17"/>
                <w:szCs w:val="17"/>
              </w:rPr>
              <w:t>Qualifying Investor Alternative Investment Fund. A regulated tax regime in the Republic of Ireland which exempts participants from Irish tax on property income and chargeable gains subject to certain requirements.</w:t>
            </w:r>
          </w:p>
        </w:tc>
      </w:tr>
      <w:tr w:rsidR="008758EF" w14:paraId="2D4FC75E" w14:textId="77777777" w:rsidTr="00B64C63">
        <w:tc>
          <w:tcPr>
            <w:tcW w:w="1838" w:type="dxa"/>
          </w:tcPr>
          <w:p w14:paraId="36DA989B" w14:textId="062D3F28" w:rsidR="008758EF" w:rsidRPr="00B64C63" w:rsidRDefault="008758EF" w:rsidP="008758EF">
            <w:pPr>
              <w:rPr>
                <w:rStyle w:val="BoldWeights"/>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REIT</w:t>
            </w:r>
          </w:p>
        </w:tc>
        <w:tc>
          <w:tcPr>
            <w:tcW w:w="7178" w:type="dxa"/>
          </w:tcPr>
          <w:p w14:paraId="7B1D4793" w14:textId="10DCA50B"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Real Estate Investment Trust. A tax regime which in the UK exempts participants from corporation tax both on UK rental income and gains arising on UK investment property sales, subject to certain requirements.</w:t>
            </w:r>
          </w:p>
        </w:tc>
      </w:tr>
      <w:tr w:rsidR="008758EF" w14:paraId="2D65CA37" w14:textId="77777777" w:rsidTr="00B64C63">
        <w:tc>
          <w:tcPr>
            <w:tcW w:w="1838" w:type="dxa"/>
          </w:tcPr>
          <w:p w14:paraId="30A47B9A"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Rent collection</w:t>
            </w:r>
          </w:p>
        </w:tc>
        <w:tc>
          <w:tcPr>
            <w:tcW w:w="7178" w:type="dxa"/>
          </w:tcPr>
          <w:p w14:paraId="31268269" w14:textId="1F2B739D"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Rent collected as a percentage of rent due for a particular period after taking account of any rent concessions granted for the relevant period.</w:t>
            </w:r>
          </w:p>
        </w:tc>
      </w:tr>
      <w:tr w:rsidR="008758EF" w14:paraId="02670BEA" w14:textId="77777777" w:rsidTr="00B64C63">
        <w:tc>
          <w:tcPr>
            <w:tcW w:w="1838" w:type="dxa"/>
          </w:tcPr>
          <w:p w14:paraId="350B722E" w14:textId="13604E99" w:rsidR="008758EF" w:rsidRPr="00B64C63" w:rsidRDefault="008758EF" w:rsidP="008758EF">
            <w:pPr>
              <w:rPr>
                <w:rFonts w:ascii="IBM Plex Sans Light" w:hAnsi="IBM Plex Sans Light"/>
                <w:color w:val="3D7FE0" w:themeColor="accent1"/>
                <w:sz w:val="17"/>
                <w:szCs w:val="17"/>
              </w:rPr>
            </w:pPr>
            <w:r w:rsidRPr="00024B10">
              <w:rPr>
                <w:rStyle w:val="BoldWeights"/>
                <w:rFonts w:ascii="IBM Plex Sans Light" w:hAnsi="IBM Plex Sans Light"/>
                <w:b w:val="0"/>
                <w:bCs w:val="0"/>
                <w:color w:val="3D7FE0" w:themeColor="accent1"/>
                <w:sz w:val="17"/>
                <w:szCs w:val="17"/>
              </w:rPr>
              <w:t>R</w:t>
            </w:r>
            <w:r w:rsidRPr="00024B10">
              <w:rPr>
                <w:rStyle w:val="BoldWeights"/>
                <w:b w:val="0"/>
                <w:bCs w:val="0"/>
                <w:color w:val="3D7FE0" w:themeColor="accent1"/>
                <w:sz w:val="17"/>
                <w:szCs w:val="17"/>
              </w:rPr>
              <w:t>ent p</w:t>
            </w:r>
            <w:r w:rsidRPr="00024B10">
              <w:rPr>
                <w:rStyle w:val="BoldWeights"/>
                <w:rFonts w:ascii="IBM Plex Sans Light" w:hAnsi="IBM Plex Sans Light"/>
                <w:b w:val="0"/>
                <w:bCs w:val="0"/>
                <w:color w:val="3D7FE0" w:themeColor="accent1"/>
                <w:sz w:val="17"/>
                <w:szCs w:val="17"/>
              </w:rPr>
              <w:t>a</w:t>
            </w:r>
            <w:r w:rsidRPr="00B64C63">
              <w:rPr>
                <w:rStyle w:val="BoldWeights"/>
                <w:rFonts w:ascii="IBM Plex Sans Light" w:hAnsi="IBM Plex Sans Light"/>
                <w:color w:val="3D7FE0" w:themeColor="accent1"/>
                <w:sz w:val="17"/>
                <w:szCs w:val="17"/>
              </w:rPr>
              <w:t>ssing for reversion</w:t>
            </w:r>
          </w:p>
        </w:tc>
        <w:tc>
          <w:tcPr>
            <w:tcW w:w="7178" w:type="dxa"/>
          </w:tcPr>
          <w:p w14:paraId="13280C28" w14:textId="70B3FCC0"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Passing rent adjusted for tenant incentives and inclusive costs</w:t>
            </w:r>
            <w:r w:rsidR="00D208F2">
              <w:rPr>
                <w:rFonts w:ascii="IBM Plex Sans Light" w:hAnsi="IBM Plex Sans Light"/>
                <w:sz w:val="17"/>
                <w:szCs w:val="17"/>
              </w:rPr>
              <w:t xml:space="preserve"> to be on a net effective basis</w:t>
            </w:r>
            <w:r w:rsidRPr="00B64C63">
              <w:rPr>
                <w:rFonts w:ascii="IBM Plex Sans Light" w:hAnsi="IBM Plex Sans Light"/>
                <w:sz w:val="17"/>
                <w:szCs w:val="17"/>
              </w:rPr>
              <w:t xml:space="preserve">. This will increase or decrease </w:t>
            </w:r>
            <w:r>
              <w:rPr>
                <w:rFonts w:ascii="IBM Plex Sans Light" w:hAnsi="IBM Plex Sans Light"/>
                <w:sz w:val="17"/>
                <w:szCs w:val="17"/>
              </w:rPr>
              <w:t xml:space="preserve">due to changes to rents passing at rent review or the next lease event (i.e. expiry or break), or by leasing </w:t>
            </w:r>
            <w:r w:rsidRPr="00B64C63">
              <w:rPr>
                <w:rFonts w:ascii="IBM Plex Sans Light" w:hAnsi="IBM Plex Sans Light"/>
                <w:sz w:val="17"/>
                <w:szCs w:val="17"/>
              </w:rPr>
              <w:t>vacant space</w:t>
            </w:r>
            <w:r>
              <w:rPr>
                <w:rFonts w:ascii="IBM Plex Sans Light" w:hAnsi="IBM Plex Sans Light"/>
                <w:sz w:val="17"/>
                <w:szCs w:val="17"/>
              </w:rPr>
              <w:t xml:space="preserve"> or</w:t>
            </w:r>
            <w:r w:rsidRPr="00B64C63">
              <w:rPr>
                <w:rFonts w:ascii="IBM Plex Sans Light" w:hAnsi="IBM Plex Sans Light"/>
                <w:sz w:val="17"/>
                <w:szCs w:val="17"/>
              </w:rPr>
              <w:t xml:space="preserve"> space undergoing reconfiguration.</w:t>
            </w:r>
          </w:p>
        </w:tc>
      </w:tr>
      <w:tr w:rsidR="008758EF" w14:paraId="2C6F62F7" w14:textId="77777777" w:rsidTr="00B64C63">
        <w:tc>
          <w:tcPr>
            <w:tcW w:w="1838" w:type="dxa"/>
          </w:tcPr>
          <w:p w14:paraId="4640B805"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Reported Group</w:t>
            </w:r>
          </w:p>
        </w:tc>
        <w:tc>
          <w:tcPr>
            <w:tcW w:w="7178" w:type="dxa"/>
          </w:tcPr>
          <w:p w14:paraId="3BE07182" w14:textId="53202FB8"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The financial results as presented under IFRS.</w:t>
            </w:r>
          </w:p>
        </w:tc>
      </w:tr>
      <w:tr w:rsidR="008758EF" w14:paraId="008E305F" w14:textId="77777777" w:rsidTr="00B64C63">
        <w:tc>
          <w:tcPr>
            <w:tcW w:w="1838" w:type="dxa"/>
          </w:tcPr>
          <w:p w14:paraId="4834764C"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Reversionary or under-rented</w:t>
            </w:r>
          </w:p>
        </w:tc>
        <w:tc>
          <w:tcPr>
            <w:tcW w:w="7178" w:type="dxa"/>
          </w:tcPr>
          <w:p w14:paraId="1FAB0FE9" w14:textId="43F4424B"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 xml:space="preserve">The amount, or percentage, by which the ERV exceeds the rent </w:t>
            </w:r>
            <w:r w:rsidR="00D208F2">
              <w:rPr>
                <w:rFonts w:ascii="IBM Plex Sans Light" w:hAnsi="IBM Plex Sans Light"/>
                <w:sz w:val="17"/>
                <w:szCs w:val="17"/>
              </w:rPr>
              <w:t xml:space="preserve">passing </w:t>
            </w:r>
            <w:r w:rsidRPr="00B64C63">
              <w:rPr>
                <w:rFonts w:ascii="IBM Plex Sans Light" w:hAnsi="IBM Plex Sans Light"/>
                <w:sz w:val="17"/>
                <w:szCs w:val="17"/>
              </w:rPr>
              <w:t>for reversion.</w:t>
            </w:r>
          </w:p>
        </w:tc>
      </w:tr>
      <w:tr w:rsidR="008758EF" w14:paraId="462F7939" w14:textId="77777777" w:rsidTr="00B64C63">
        <w:tc>
          <w:tcPr>
            <w:tcW w:w="1838" w:type="dxa"/>
          </w:tcPr>
          <w:p w14:paraId="69E24E01"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RIDDOR</w:t>
            </w:r>
          </w:p>
        </w:tc>
        <w:tc>
          <w:tcPr>
            <w:tcW w:w="7178" w:type="dxa"/>
          </w:tcPr>
          <w:p w14:paraId="29D75DA0" w14:textId="55B30B29"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A health and safety reporting obligation to report deaths, injuries, diseases and ‘dangerous occurrences’ at work, including near misses, under the Reporting of Injuries, Diseases and Dangerous Occurrences Regulations 2013.</w:t>
            </w:r>
          </w:p>
        </w:tc>
      </w:tr>
      <w:tr w:rsidR="008758EF" w14:paraId="361FD3B5" w14:textId="77777777" w:rsidTr="00B64C63">
        <w:tc>
          <w:tcPr>
            <w:tcW w:w="1838" w:type="dxa"/>
          </w:tcPr>
          <w:p w14:paraId="264A5F18"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Scope 1 emissions</w:t>
            </w:r>
          </w:p>
        </w:tc>
        <w:tc>
          <w:tcPr>
            <w:tcW w:w="7178" w:type="dxa"/>
          </w:tcPr>
          <w:p w14:paraId="0E2ED7F7" w14:textId="61CF68AB"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Direct emissions from owned or controlled sources.</w:t>
            </w:r>
          </w:p>
        </w:tc>
      </w:tr>
      <w:tr w:rsidR="008758EF" w14:paraId="40AB02C4" w14:textId="77777777" w:rsidTr="00B64C63">
        <w:tc>
          <w:tcPr>
            <w:tcW w:w="1838" w:type="dxa"/>
          </w:tcPr>
          <w:p w14:paraId="7E098A56"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Scope 2 emissions</w:t>
            </w:r>
          </w:p>
        </w:tc>
        <w:tc>
          <w:tcPr>
            <w:tcW w:w="7178" w:type="dxa"/>
          </w:tcPr>
          <w:p w14:paraId="4F0CFF4D" w14:textId="5D33C62D"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Indirect emissions from the generation of purchased energy.</w:t>
            </w:r>
          </w:p>
        </w:tc>
      </w:tr>
      <w:tr w:rsidR="008758EF" w14:paraId="622DF2C9" w14:textId="77777777" w:rsidTr="00B64C63">
        <w:tc>
          <w:tcPr>
            <w:tcW w:w="1838" w:type="dxa"/>
          </w:tcPr>
          <w:p w14:paraId="7B95F237"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Scope 3 emissions</w:t>
            </w:r>
          </w:p>
        </w:tc>
        <w:tc>
          <w:tcPr>
            <w:tcW w:w="7178" w:type="dxa"/>
          </w:tcPr>
          <w:p w14:paraId="427A2017" w14:textId="31DCC404"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All indirect emissions (not included in Scope 2) that occur in the value chain of the reporting company, including both upstream and downstream emissions.</w:t>
            </w:r>
          </w:p>
        </w:tc>
      </w:tr>
      <w:tr w:rsidR="008758EF" w14:paraId="490B7A6B" w14:textId="77777777" w:rsidTr="00B64C63">
        <w:tc>
          <w:tcPr>
            <w:tcW w:w="1838" w:type="dxa"/>
          </w:tcPr>
          <w:p w14:paraId="17C80075"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SAICA</w:t>
            </w:r>
          </w:p>
        </w:tc>
        <w:tc>
          <w:tcPr>
            <w:tcW w:w="7178" w:type="dxa"/>
          </w:tcPr>
          <w:p w14:paraId="6EC65082" w14:textId="373F6CD2"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South African Institute of Chartered Accountants.</w:t>
            </w:r>
          </w:p>
        </w:tc>
      </w:tr>
      <w:tr w:rsidR="008758EF" w14:paraId="6F53C6B8" w14:textId="77777777" w:rsidTr="00B64C63">
        <w:tc>
          <w:tcPr>
            <w:tcW w:w="1838" w:type="dxa"/>
          </w:tcPr>
          <w:p w14:paraId="586449FD"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SIIC</w:t>
            </w:r>
          </w:p>
        </w:tc>
        <w:tc>
          <w:tcPr>
            <w:tcW w:w="7178" w:type="dxa"/>
          </w:tcPr>
          <w:p w14:paraId="1A775710" w14:textId="425D5AFE"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 xml:space="preserve">Sociétés </w:t>
            </w:r>
            <w:proofErr w:type="spellStart"/>
            <w:r w:rsidRPr="00B64C63">
              <w:rPr>
                <w:rFonts w:ascii="IBM Plex Sans Light" w:hAnsi="IBM Plex Sans Light"/>
                <w:sz w:val="17"/>
                <w:szCs w:val="17"/>
              </w:rPr>
              <w:t>d’Investissements</w:t>
            </w:r>
            <w:proofErr w:type="spellEnd"/>
            <w:r w:rsidRPr="00B64C63">
              <w:rPr>
                <w:rFonts w:ascii="IBM Plex Sans Light" w:hAnsi="IBM Plex Sans Light"/>
                <w:sz w:val="17"/>
                <w:szCs w:val="17"/>
              </w:rPr>
              <w:t xml:space="preserve"> </w:t>
            </w:r>
            <w:proofErr w:type="spellStart"/>
            <w:r w:rsidRPr="00B64C63">
              <w:rPr>
                <w:rFonts w:ascii="IBM Plex Sans Light" w:hAnsi="IBM Plex Sans Light"/>
                <w:sz w:val="17"/>
                <w:szCs w:val="17"/>
              </w:rPr>
              <w:t>Immobiliers</w:t>
            </w:r>
            <w:proofErr w:type="spellEnd"/>
            <w:r w:rsidRPr="00B64C63">
              <w:rPr>
                <w:rFonts w:ascii="IBM Plex Sans Light" w:hAnsi="IBM Plex Sans Light"/>
                <w:sz w:val="17"/>
                <w:szCs w:val="17"/>
              </w:rPr>
              <w:t xml:space="preserve"> </w:t>
            </w:r>
            <w:proofErr w:type="spellStart"/>
            <w:r w:rsidRPr="00B64C63">
              <w:rPr>
                <w:rFonts w:ascii="IBM Plex Sans Light" w:hAnsi="IBM Plex Sans Light"/>
                <w:sz w:val="17"/>
                <w:szCs w:val="17"/>
              </w:rPr>
              <w:t>Côtées</w:t>
            </w:r>
            <w:proofErr w:type="spellEnd"/>
            <w:r w:rsidRPr="00B64C63">
              <w:rPr>
                <w:rFonts w:ascii="IBM Plex Sans Light" w:hAnsi="IBM Plex Sans Light"/>
                <w:sz w:val="17"/>
                <w:szCs w:val="17"/>
              </w:rPr>
              <w:t>. A tax regime in France which exempts participants from the French tax on property income and gains subject to certain requirements.</w:t>
            </w:r>
          </w:p>
        </w:tc>
      </w:tr>
      <w:tr w:rsidR="008758EF" w14:paraId="23FCA301" w14:textId="77777777" w:rsidTr="00B64C63">
        <w:tc>
          <w:tcPr>
            <w:tcW w:w="1838" w:type="dxa"/>
          </w:tcPr>
          <w:p w14:paraId="7BFB6CBD"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SONIA</w:t>
            </w:r>
          </w:p>
        </w:tc>
        <w:tc>
          <w:tcPr>
            <w:tcW w:w="7178" w:type="dxa"/>
          </w:tcPr>
          <w:p w14:paraId="77877E13" w14:textId="1FEFA120"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Sterling Overnight Index Average.</w:t>
            </w:r>
          </w:p>
        </w:tc>
      </w:tr>
      <w:tr w:rsidR="008758EF" w14:paraId="6771238F" w14:textId="77777777" w:rsidTr="00B64C63">
        <w:tc>
          <w:tcPr>
            <w:tcW w:w="1838" w:type="dxa"/>
          </w:tcPr>
          <w:p w14:paraId="2E0619D5"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lastRenderedPageBreak/>
              <w:t>Task Force on Climate-related Financial Disclosures (TCFD)</w:t>
            </w:r>
          </w:p>
        </w:tc>
        <w:tc>
          <w:tcPr>
            <w:tcW w:w="7178" w:type="dxa"/>
          </w:tcPr>
          <w:p w14:paraId="3B19CA42" w14:textId="73A1FA8D"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An organisation established with the goal of developing a set of voluntary climate-related financial risk disclosures to be adopted by companies to inform investors and the public about the risks they face relating to climate change.</w:t>
            </w:r>
          </w:p>
        </w:tc>
      </w:tr>
      <w:tr w:rsidR="008758EF" w14:paraId="6668CCE5" w14:textId="77777777" w:rsidTr="00B64C63">
        <w:tc>
          <w:tcPr>
            <w:tcW w:w="1838" w:type="dxa"/>
          </w:tcPr>
          <w:p w14:paraId="7A6E2021"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Temporary lease</w:t>
            </w:r>
          </w:p>
        </w:tc>
        <w:tc>
          <w:tcPr>
            <w:tcW w:w="7178" w:type="dxa"/>
          </w:tcPr>
          <w:p w14:paraId="6DD38381" w14:textId="5F7DD4C8"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A lease with a period of one year or less, measured to the earlier of lease expiry or tenant break.</w:t>
            </w:r>
          </w:p>
        </w:tc>
      </w:tr>
      <w:tr w:rsidR="008758EF" w14:paraId="3EEE3579" w14:textId="77777777" w:rsidTr="00B64C63">
        <w:tc>
          <w:tcPr>
            <w:tcW w:w="1838" w:type="dxa"/>
          </w:tcPr>
          <w:p w14:paraId="5D894FB8"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Total accounting return (TAR)</w:t>
            </w:r>
          </w:p>
        </w:tc>
        <w:tc>
          <w:tcPr>
            <w:tcW w:w="7178" w:type="dxa"/>
          </w:tcPr>
          <w:p w14:paraId="77C44093" w14:textId="1FFCBCE6"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The growth in EPRA NTA per share plus dividends paid, expressed as a percentage of EPRA NTA per share at the beginning of the period. The return excludes the dilution impact from scrip dividends.</w:t>
            </w:r>
          </w:p>
        </w:tc>
      </w:tr>
      <w:tr w:rsidR="008758EF" w14:paraId="51A95273" w14:textId="77777777" w:rsidTr="00B64C63">
        <w:tc>
          <w:tcPr>
            <w:tcW w:w="1838" w:type="dxa"/>
          </w:tcPr>
          <w:p w14:paraId="5386365A"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Total development cost</w:t>
            </w:r>
          </w:p>
        </w:tc>
        <w:tc>
          <w:tcPr>
            <w:tcW w:w="7178" w:type="dxa"/>
          </w:tcPr>
          <w:p w14:paraId="5EDFFAE7" w14:textId="2C2EF5B4"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All capital expenditure on a development or other major project, including capitalised interest.</w:t>
            </w:r>
          </w:p>
        </w:tc>
      </w:tr>
      <w:tr w:rsidR="008758EF" w14:paraId="119593EA" w14:textId="77777777" w:rsidTr="00B64C63">
        <w:tc>
          <w:tcPr>
            <w:tcW w:w="1838" w:type="dxa"/>
          </w:tcPr>
          <w:p w14:paraId="67CCDA25"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Total property return (TPR) (or total return)</w:t>
            </w:r>
          </w:p>
        </w:tc>
        <w:tc>
          <w:tcPr>
            <w:tcW w:w="7178" w:type="dxa"/>
          </w:tcPr>
          <w:p w14:paraId="38D9AB83" w14:textId="66963160"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NRI, excluding the change in provision for amounts not yet recognised in the income statement, and capital growth expressed as a percentage of the opening book value of property adjusted for capital expenditure, calculated on a monthly time-weighted and constant currency basis..</w:t>
            </w:r>
          </w:p>
        </w:tc>
      </w:tr>
      <w:tr w:rsidR="008758EF" w14:paraId="6079EE1B" w14:textId="77777777" w:rsidTr="00B64C63">
        <w:tc>
          <w:tcPr>
            <w:tcW w:w="1838" w:type="dxa"/>
          </w:tcPr>
          <w:p w14:paraId="32582AE3"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Total shareholder return (TSR)</w:t>
            </w:r>
          </w:p>
        </w:tc>
        <w:tc>
          <w:tcPr>
            <w:tcW w:w="7178" w:type="dxa"/>
          </w:tcPr>
          <w:p w14:paraId="7B7206C0" w14:textId="4E960650"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Dividends and capital growth in a Company’s share price, expressed as a percentage of the share price at the beginning of the period.</w:t>
            </w:r>
          </w:p>
        </w:tc>
      </w:tr>
      <w:tr w:rsidR="008758EF" w14:paraId="6E479970" w14:textId="77777777" w:rsidTr="00B64C63">
        <w:tc>
          <w:tcPr>
            <w:tcW w:w="1838" w:type="dxa"/>
          </w:tcPr>
          <w:p w14:paraId="40B0737A"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Transitional risk</w:t>
            </w:r>
          </w:p>
        </w:tc>
        <w:tc>
          <w:tcPr>
            <w:tcW w:w="7178" w:type="dxa"/>
          </w:tcPr>
          <w:p w14:paraId="4C4AD7DA" w14:textId="04A2D2F6"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Business risk posed by regulatory and policy changes implemented to tackle climate change.</w:t>
            </w:r>
          </w:p>
        </w:tc>
      </w:tr>
      <w:tr w:rsidR="008758EF" w14:paraId="23CF91AD" w14:textId="77777777" w:rsidTr="00B64C63">
        <w:tc>
          <w:tcPr>
            <w:tcW w:w="1838" w:type="dxa"/>
          </w:tcPr>
          <w:p w14:paraId="4BD65652"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Turnover rent</w:t>
            </w:r>
          </w:p>
        </w:tc>
        <w:tc>
          <w:tcPr>
            <w:tcW w:w="7178" w:type="dxa"/>
          </w:tcPr>
          <w:p w14:paraId="78BA72B5" w14:textId="54181E60"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Rental income which is linked to an occupier’s revenues.</w:t>
            </w:r>
          </w:p>
        </w:tc>
      </w:tr>
      <w:tr w:rsidR="008758EF" w14:paraId="0E326E34" w14:textId="77777777" w:rsidTr="00B64C63">
        <w:tc>
          <w:tcPr>
            <w:tcW w:w="1838" w:type="dxa"/>
          </w:tcPr>
          <w:p w14:paraId="6D146081"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Vacancy rate</w:t>
            </w:r>
          </w:p>
        </w:tc>
        <w:tc>
          <w:tcPr>
            <w:tcW w:w="7178" w:type="dxa"/>
          </w:tcPr>
          <w:p w14:paraId="41C719B8" w14:textId="0A70BB27"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The ERV of the area in a property, or portfolio, excluding developments, which is currently available for letting, expressed as a percentage of the ERV of that property or portfolio.</w:t>
            </w:r>
          </w:p>
        </w:tc>
      </w:tr>
      <w:tr w:rsidR="008758EF" w14:paraId="5036074C" w14:textId="77777777" w:rsidTr="00B64C63">
        <w:tc>
          <w:tcPr>
            <w:tcW w:w="1838" w:type="dxa"/>
          </w:tcPr>
          <w:p w14:paraId="3FBA89DF"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WAULB/WAULT</w:t>
            </w:r>
          </w:p>
        </w:tc>
        <w:tc>
          <w:tcPr>
            <w:tcW w:w="7178" w:type="dxa"/>
          </w:tcPr>
          <w:p w14:paraId="724806B3" w14:textId="04DCA2B5"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Weighted Average Unexpired Lease to Break/Term.</w:t>
            </w:r>
          </w:p>
        </w:tc>
      </w:tr>
      <w:tr w:rsidR="008758EF" w14:paraId="6AF7BA2D" w14:textId="77777777" w:rsidTr="00B64C63">
        <w:tc>
          <w:tcPr>
            <w:tcW w:w="1838" w:type="dxa"/>
          </w:tcPr>
          <w:p w14:paraId="43C2DBA1" w14:textId="77777777" w:rsidR="008758EF" w:rsidRPr="00B64C63" w:rsidRDefault="008758EF" w:rsidP="008758EF">
            <w:pPr>
              <w:rPr>
                <w:rFonts w:ascii="IBM Plex Sans Light" w:hAnsi="IBM Plex Sans Light"/>
                <w:color w:val="3D7FE0" w:themeColor="accent1"/>
                <w:sz w:val="17"/>
                <w:szCs w:val="17"/>
              </w:rPr>
            </w:pPr>
            <w:r w:rsidRPr="00B64C63">
              <w:rPr>
                <w:rStyle w:val="BoldWeights"/>
                <w:rFonts w:ascii="IBM Plex Sans Light" w:hAnsi="IBM Plex Sans Light"/>
                <w:color w:val="3D7FE0" w:themeColor="accent1"/>
                <w:sz w:val="17"/>
                <w:szCs w:val="17"/>
              </w:rPr>
              <w:t>Yield on cost</w:t>
            </w:r>
          </w:p>
        </w:tc>
        <w:tc>
          <w:tcPr>
            <w:tcW w:w="7178" w:type="dxa"/>
          </w:tcPr>
          <w:p w14:paraId="25709458" w14:textId="02D72A91" w:rsidR="008758EF" w:rsidRPr="00B64C63" w:rsidRDefault="008758EF" w:rsidP="008758EF">
            <w:pPr>
              <w:rPr>
                <w:rFonts w:ascii="IBM Plex Sans Light" w:hAnsi="IBM Plex Sans Light"/>
                <w:sz w:val="17"/>
                <w:szCs w:val="17"/>
              </w:rPr>
            </w:pPr>
            <w:r w:rsidRPr="00B64C63">
              <w:rPr>
                <w:rFonts w:ascii="IBM Plex Sans Light" w:hAnsi="IBM Plex Sans Light"/>
                <w:sz w:val="17"/>
                <w:szCs w:val="17"/>
              </w:rPr>
              <w:t>Passing rents expressed as a percentage of the total development cost of a property.</w:t>
            </w:r>
          </w:p>
        </w:tc>
      </w:tr>
    </w:tbl>
    <w:p w14:paraId="3D1E1D73" w14:textId="77777777" w:rsidR="00DE34B7" w:rsidRPr="001066C1" w:rsidRDefault="00DE34B7" w:rsidP="00DE34B7">
      <w:pPr>
        <w:spacing w:after="0" w:line="240" w:lineRule="auto"/>
        <w:ind w:left="-142"/>
        <w:rPr>
          <w:rFonts w:ascii="IBM Plex Sans Medium" w:hAnsi="IBM Plex Sans Medium" w:cs="Arial"/>
          <w:b/>
          <w:caps/>
          <w:sz w:val="24"/>
        </w:rPr>
      </w:pPr>
    </w:p>
    <w:p w14:paraId="11B4E889" w14:textId="77777777" w:rsidR="00392285" w:rsidRPr="00392285" w:rsidRDefault="00392285" w:rsidP="00392285">
      <w:pPr>
        <w:widowControl w:val="0"/>
        <w:autoSpaceDE w:val="0"/>
        <w:autoSpaceDN w:val="0"/>
        <w:rPr>
          <w:rFonts w:ascii="Verdana" w:hAnsi="Verdana" w:cs="Verdana"/>
          <w:sz w:val="20"/>
          <w:szCs w:val="20"/>
          <w:lang w:val="en-US"/>
        </w:rPr>
      </w:pPr>
    </w:p>
    <w:p w14:paraId="64497CA6" w14:textId="28333DB0" w:rsidR="00392285" w:rsidRPr="00392285" w:rsidRDefault="00392285" w:rsidP="00392285">
      <w:pPr>
        <w:widowControl w:val="0"/>
        <w:autoSpaceDE w:val="0"/>
        <w:autoSpaceDN w:val="0"/>
        <w:rPr>
          <w:rFonts w:ascii="Verdana" w:hAnsi="Verdana"/>
          <w:sz w:val="20"/>
          <w:szCs w:val="20"/>
        </w:rPr>
      </w:pPr>
      <w:bookmarkStart w:id="8" w:name="_Hlk159776519"/>
      <w:r w:rsidRPr="00392285">
        <w:rPr>
          <w:rFonts w:ascii="Verdana" w:hAnsi="Verdana" w:cs="Verdana"/>
          <w:sz w:val="20"/>
          <w:szCs w:val="20"/>
          <w:lang w:val="en-US"/>
        </w:rPr>
        <w:t>This announcement has also been released on the SENS system of the Johannesburg Stock Exchange and on Euronext Dublin</w:t>
      </w:r>
      <w:bookmarkEnd w:id="8"/>
      <w:r w:rsidR="00025847">
        <w:rPr>
          <w:rFonts w:ascii="Verdana" w:hAnsi="Verdana" w:cs="Verdana"/>
          <w:sz w:val="20"/>
          <w:szCs w:val="20"/>
          <w:lang w:val="en-US"/>
        </w:rPr>
        <w:t>.</w:t>
      </w:r>
    </w:p>
    <w:p w14:paraId="70EE4394" w14:textId="77777777" w:rsidR="006B43AF" w:rsidRPr="0078185E" w:rsidRDefault="006B43AF" w:rsidP="0078185E">
      <w:pPr>
        <w:spacing w:after="0" w:line="240" w:lineRule="auto"/>
        <w:rPr>
          <w:rFonts w:ascii="IBM Plex Sans Light" w:hAnsi="IBM Plex Sans Light"/>
        </w:rPr>
      </w:pPr>
    </w:p>
    <w:sectPr w:rsidR="006B43AF" w:rsidRPr="0078185E" w:rsidSect="00895760">
      <w:footerReference w:type="default" r:id="rId14"/>
      <w:pgSz w:w="11906" w:h="16838" w:code="9"/>
      <w:pgMar w:top="1077" w:right="991" w:bottom="567" w:left="113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FF2A" w14:textId="77777777" w:rsidR="007711EF" w:rsidRDefault="007711EF">
      <w:r>
        <w:separator/>
      </w:r>
    </w:p>
  </w:endnote>
  <w:endnote w:type="continuationSeparator" w:id="0">
    <w:p w14:paraId="2C3D656A" w14:textId="77777777" w:rsidR="007711EF" w:rsidRDefault="007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ND Light">
    <w:panose1 w:val="020B0402020204020303"/>
    <w:charset w:val="00"/>
    <w:family w:val="swiss"/>
    <w:pitch w:val="variable"/>
    <w:sig w:usb0="80000027" w:usb1="00000040" w:usb2="00000000" w:usb3="00000000" w:csb0="00000011" w:csb1="00000000"/>
  </w:font>
  <w:font w:name="RT_Albanese">
    <w:panose1 w:val="00000000000000000000"/>
    <w:charset w:val="00"/>
    <w:family w:val="roma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Rounded Book">
    <w:altName w:val="Arial"/>
    <w:panose1 w:val="00000000000000000000"/>
    <w:charset w:val="00"/>
    <w:family w:val="modern"/>
    <w:notTrueType/>
    <w:pitch w:val="variable"/>
    <w:sig w:usb0="A00000FF" w:usb1="4000004A" w:usb2="00000000" w:usb3="00000000" w:csb0="0000000B" w:csb1="00000000"/>
  </w:font>
  <w:font w:name="TESCO Modern Light">
    <w:charset w:val="00"/>
    <w:family w:val="auto"/>
    <w:pitch w:val="variable"/>
    <w:sig w:usb0="0000020F" w:usb1="00000000" w:usb2="00000000" w:usb3="00000000" w:csb0="00000097" w:csb1="00000000"/>
  </w:font>
  <w:font w:name="Chronicle Text G1">
    <w:panose1 w:val="00000000000000000000"/>
    <w:charset w:val="00"/>
    <w:family w:val="modern"/>
    <w:notTrueType/>
    <w:pitch w:val="variable"/>
    <w:sig w:usb0="A00000FF" w:usb1="4000004A" w:usb2="00000000" w:usb3="00000000" w:csb0="0000000B" w:csb1="00000000"/>
  </w:font>
  <w:font w:name="Futura ND Book">
    <w:altName w:val="Futura ND Book"/>
    <w:panose1 w:val="020B0502020204020303"/>
    <w:charset w:val="00"/>
    <w:family w:val="swiss"/>
    <w:pitch w:val="variable"/>
    <w:sig w:usb0="80000027" w:usb1="00000040" w:usb2="00000000" w:usb3="00000000" w:csb0="00000011" w:csb1="00000000"/>
  </w:font>
  <w:font w:name="ITC Franklin Gothic Std Book">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otham Rounded Bold">
    <w:altName w:val="Calibri"/>
    <w:panose1 w:val="00000000000000000000"/>
    <w:charset w:val="00"/>
    <w:family w:val="modern"/>
    <w:notTrueType/>
    <w:pitch w:val="variable"/>
    <w:sig w:usb0="A00000FF" w:usb1="4000004A" w:usb2="00000000" w:usb3="00000000" w:csb0="0000000B" w:csb1="00000000"/>
  </w:font>
  <w:font w:name="Akzidenz Grotesk BE">
    <w:altName w:val="Courier New"/>
    <w:panose1 w:val="00000000000000000000"/>
    <w:charset w:val="00"/>
    <w:family w:val="swiss"/>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FS Sinclair Medium">
    <w:altName w:val="Segoe Condensed"/>
    <w:charset w:val="00"/>
    <w:family w:val="auto"/>
    <w:pitch w:val="variable"/>
    <w:sig w:usb0="A00000AF" w:usb1="4000204A" w:usb2="00000000" w:usb3="00000000" w:csb0="0000009B" w:csb1="00000000"/>
  </w:font>
  <w:font w:name="MyriadPro-Regular">
    <w:panose1 w:val="00000000000000000000"/>
    <w:charset w:val="4D"/>
    <w:family w:val="auto"/>
    <w:notTrueType/>
    <w:pitch w:val="default"/>
    <w:sig w:usb0="00000003" w:usb1="00000000" w:usb2="00000000" w:usb3="00000000" w:csb0="00000001" w:csb1="00000000"/>
  </w:font>
  <w:font w:name="MyriadPro-Light">
    <w:altName w:val="MS Gothic"/>
    <w:panose1 w:val="00000000000000000000"/>
    <w:charset w:val="4D"/>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onsolas">
    <w:panose1 w:val="020B0609020204030204"/>
    <w:charset w:val="00"/>
    <w:family w:val="modern"/>
    <w:pitch w:val="fixed"/>
    <w:sig w:usb0="E00006FF" w:usb1="0000FCFF" w:usb2="00000001" w:usb3="00000000" w:csb0="0000019F" w:csb1="00000000"/>
  </w:font>
  <w:font w:name="FoundrySterling-Light">
    <w:altName w:val="Vrinda"/>
    <w:charset w:val="00"/>
    <w:family w:val="auto"/>
    <w:pitch w:val="variable"/>
    <w:sig w:usb0="00000003" w:usb1="00000000" w:usb2="00000000" w:usb3="00000000" w:csb0="00000001" w:csb1="00000000"/>
  </w:font>
  <w:font w:name="Futura ND">
    <w:panose1 w:val="020B0802020204020204"/>
    <w:charset w:val="00"/>
    <w:family w:val="swiss"/>
    <w:pitch w:val="variable"/>
    <w:sig w:usb0="80000027" w:usb1="00000040" w:usb2="00000000" w:usb3="00000000" w:csb0="00000011" w:csb1="00000000"/>
  </w:font>
  <w:font w:name="Chronicle Text G1 Bold">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ronicleTextG1-Roman">
    <w:altName w:val="Cambr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FuturaNDBook">
    <w:altName w:val="Malgun Gothic Semilight"/>
    <w:panose1 w:val="00000000000000000000"/>
    <w:charset w:val="88"/>
    <w:family w:val="auto"/>
    <w:notTrueType/>
    <w:pitch w:val="default"/>
    <w:sig w:usb0="00000000" w:usb1="08080000" w:usb2="00000010" w:usb3="00000000" w:csb0="00100000" w:csb1="00000000"/>
  </w:font>
  <w:font w:name="FuturaND-Bold">
    <w:altName w:val="Century Gothic"/>
    <w:charset w:val="4D"/>
    <w:family w:val="auto"/>
    <w:pitch w:val="default"/>
    <w:sig w:usb0="00000003" w:usb1="00000000" w:usb2="00000000" w:usb3="00000000" w:csb0="00000001" w:csb1="00000000"/>
  </w:font>
  <w:font w:name="ChronicleTextG1-Bold">
    <w:altName w:val="Chronicle Text G1"/>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BM Plex Sans Light">
    <w:panose1 w:val="020B0403050203000203"/>
    <w:charset w:val="00"/>
    <w:family w:val="swiss"/>
    <w:notTrueType/>
    <w:pitch w:val="variable"/>
    <w:sig w:usb0="A000026F" w:usb1="5000207B" w:usb2="00000000" w:usb3="00000000" w:csb0="00000197" w:csb1="00000000"/>
  </w:font>
  <w:font w:name="IBM Plex Sans">
    <w:panose1 w:val="020B0503050203000203"/>
    <w:charset w:val="00"/>
    <w:family w:val="swiss"/>
    <w:notTrueType/>
    <w:pitch w:val="variable"/>
    <w:sig w:usb0="A000026F" w:usb1="5000207B" w:usb2="00000000" w:usb3="00000000" w:csb0="00000197" w:csb1="00000000"/>
  </w:font>
  <w:font w:name="MinionPro-Regular">
    <w:altName w:val="Calibri"/>
    <w:panose1 w:val="00000000000000000000"/>
    <w:charset w:val="00"/>
    <w:family w:val="auto"/>
    <w:notTrueType/>
    <w:pitch w:val="default"/>
    <w:sig w:usb0="00000003" w:usb1="00000000" w:usb2="00000000" w:usb3="00000000" w:csb0="00000001" w:csb1="00000000"/>
  </w:font>
  <w:font w:name="IBM Plex Sans Medium">
    <w:panose1 w:val="020B0603050203000203"/>
    <w:charset w:val="00"/>
    <w:family w:val="swiss"/>
    <w:notTrueType/>
    <w:pitch w:val="variable"/>
    <w:sig w:usb0="A000026F" w:usb1="5000207B" w:usb2="00000000" w:usb3="00000000" w:csb0="00000197" w:csb1="00000000"/>
  </w:font>
  <w:font w:name="IBM Plex Sans (OTF) Bold">
    <w:altName w:val="IBM Plex Sans"/>
    <w:panose1 w:val="00000000000000000000"/>
    <w:charset w:val="00"/>
    <w:family w:val="auto"/>
    <w:notTrueType/>
    <w:pitch w:val="default"/>
    <w:sig w:usb0="00000003" w:usb1="00000000" w:usb2="00000000" w:usb3="00000000" w:csb0="00000001" w:csb1="00000000"/>
  </w:font>
  <w:font w:name="IBM Plex Sans SemiBold">
    <w:panose1 w:val="020B0703050203000203"/>
    <w:charset w:val="00"/>
    <w:family w:val="swiss"/>
    <w:notTrueType/>
    <w:pitch w:val="variable"/>
    <w:sig w:usb0="A000026F" w:usb1="5000207B" w:usb2="00000000" w:usb3="00000000" w:csb0="00000197" w:csb1="00000000"/>
  </w:font>
  <w:font w:name="IBMPlexSans-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BAFD" w14:textId="41D7F23B" w:rsidR="007711EF" w:rsidRPr="00366E7C" w:rsidRDefault="007711EF" w:rsidP="00D75ECB">
    <w:pPr>
      <w:pStyle w:val="Footer"/>
      <w:jc w:val="center"/>
    </w:pPr>
    <w:r w:rsidRPr="0066334D">
      <w:rPr>
        <w:color w:val="5B9BD5"/>
      </w:rPr>
      <w:fldChar w:fldCharType="begin"/>
    </w:r>
    <w:r w:rsidRPr="0066334D">
      <w:rPr>
        <w:color w:val="5B9BD5"/>
      </w:rPr>
      <w:instrText xml:space="preserve"> PAGE   \* MERGEFORMAT </w:instrText>
    </w:r>
    <w:r w:rsidRPr="0066334D">
      <w:rPr>
        <w:color w:val="5B9BD5"/>
      </w:rPr>
      <w:fldChar w:fldCharType="separate"/>
    </w:r>
    <w:r w:rsidR="00D43C62">
      <w:rPr>
        <w:noProof/>
        <w:color w:val="5B9BD5"/>
      </w:rPr>
      <w:t>5</w:t>
    </w:r>
    <w:r w:rsidRPr="0066334D">
      <w:rPr>
        <w:noProof/>
        <w:color w:val="5B9BD5"/>
      </w:rPr>
      <w:fldChar w:fldCharType="end"/>
    </w:r>
  </w:p>
  <w:p w14:paraId="6253DD5C" w14:textId="77777777" w:rsidR="007711EF" w:rsidRDefault="007711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3311" w14:textId="77777777" w:rsidR="007711EF" w:rsidRDefault="007711EF">
      <w:r>
        <w:separator/>
      </w:r>
    </w:p>
  </w:footnote>
  <w:footnote w:type="continuationSeparator" w:id="0">
    <w:p w14:paraId="16A543ED" w14:textId="77777777" w:rsidR="007711EF" w:rsidRDefault="00771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98ADA54"/>
    <w:styleLink w:val="BulletedList2"/>
    <w:lvl w:ilvl="0">
      <w:start w:val="1"/>
      <w:numFmt w:val="bullet"/>
      <w:pStyle w:val="ListBullet2"/>
      <w:lvlText w:val="–"/>
      <w:lvlJc w:val="left"/>
      <w:pPr>
        <w:ind w:left="3688" w:hanging="360"/>
      </w:pPr>
      <w:rPr>
        <w:rFonts w:ascii="Times New Roman" w:hAnsi="Times New Roman" w:hint="default"/>
      </w:rPr>
    </w:lvl>
  </w:abstractNum>
  <w:abstractNum w:abstractNumId="1" w15:restartNumberingAfterBreak="0">
    <w:nsid w:val="FFFFFF88"/>
    <w:multiLevelType w:val="singleLevel"/>
    <w:tmpl w:val="BF9418C4"/>
    <w:styleLink w:val="NumberedList2"/>
    <w:lvl w:ilvl="0">
      <w:start w:val="1"/>
      <w:numFmt w:val="decimal"/>
      <w:pStyle w:val="Footnotesnumberedcondensed"/>
      <w:lvlText w:val="%1."/>
      <w:lvlJc w:val="left"/>
      <w:pPr>
        <w:tabs>
          <w:tab w:val="num" w:pos="360"/>
        </w:tabs>
        <w:ind w:left="360" w:hanging="360"/>
      </w:pPr>
      <w:rPr>
        <w:rFonts w:cs="Times New Roman"/>
      </w:rPr>
    </w:lvl>
  </w:abstractNum>
  <w:abstractNum w:abstractNumId="2" w15:restartNumberingAfterBreak="0">
    <w:nsid w:val="FFFFFF89"/>
    <w:multiLevelType w:val="singleLevel"/>
    <w:tmpl w:val="D6E6C430"/>
    <w:styleLink w:val="NumberedFootnotes1"/>
    <w:lvl w:ilvl="0">
      <w:start w:val="1"/>
      <w:numFmt w:val="bullet"/>
      <w:pStyle w:val="BULLETS"/>
      <w:lvlText w:val=""/>
      <w:lvlJc w:val="left"/>
      <w:pPr>
        <w:ind w:left="530" w:hanging="360"/>
      </w:pPr>
      <w:rPr>
        <w:rFonts w:ascii="Symbol" w:hAnsi="Symbol" w:hint="default"/>
        <w:color w:val="auto"/>
      </w:rPr>
    </w:lvl>
  </w:abstractNum>
  <w:abstractNum w:abstractNumId="3" w15:restartNumberingAfterBreak="0">
    <w:nsid w:val="002672D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A90651"/>
    <w:multiLevelType w:val="hybridMultilevel"/>
    <w:tmpl w:val="B142A11A"/>
    <w:lvl w:ilvl="0" w:tplc="FFFFFFFF">
      <w:start w:val="1"/>
      <w:numFmt w:val="lowerLetter"/>
      <w:lvlText w:val="(%1)"/>
      <w:lvlJc w:val="left"/>
      <w:pPr>
        <w:ind w:left="720" w:hanging="360"/>
      </w:pPr>
      <w:rPr>
        <w:rFonts w:ascii="Futura ND Light" w:eastAsia="Times New Roman" w:hAnsi="Futura ND Light" w:cs="Times New Roman"/>
      </w:rPr>
    </w:lvl>
    <w:lvl w:ilvl="1" w:tplc="9468CA1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B43005"/>
    <w:multiLevelType w:val="multilevel"/>
    <w:tmpl w:val="AEEE736E"/>
    <w:styleLink w:val="NumberedLists2"/>
    <w:lvl w:ilvl="0">
      <w:start w:val="1"/>
      <w:numFmt w:val="bullet"/>
      <w:lvlText w:val="–"/>
      <w:lvlJc w:val="left"/>
      <w:pPr>
        <w:tabs>
          <w:tab w:val="num" w:pos="170"/>
        </w:tabs>
        <w:ind w:left="170" w:hanging="170"/>
      </w:pPr>
      <w:rPr>
        <w:rFonts w:ascii="RT_Albanese" w:hAnsi="RT_Albanese" w:hint="default"/>
        <w:sz w:val="18"/>
      </w:rPr>
    </w:lvl>
    <w:lvl w:ilvl="1">
      <w:start w:val="1"/>
      <w:numFmt w:val="bullet"/>
      <w:lvlText w:val="–"/>
      <w:lvlJc w:val="left"/>
      <w:pPr>
        <w:tabs>
          <w:tab w:val="num" w:pos="340"/>
        </w:tabs>
        <w:ind w:left="340" w:hanging="170"/>
      </w:pPr>
      <w:rPr>
        <w:rFonts w:ascii="RT_Albanese" w:hAnsi="RT_Albanese" w:hint="default"/>
      </w:rPr>
    </w:lvl>
    <w:lvl w:ilvl="2">
      <w:start w:val="1"/>
      <w:numFmt w:val="bullet"/>
      <w:lvlText w:val="–"/>
      <w:lvlJc w:val="left"/>
      <w:pPr>
        <w:tabs>
          <w:tab w:val="num" w:pos="510"/>
        </w:tabs>
        <w:ind w:left="510" w:hanging="170"/>
      </w:pPr>
      <w:rPr>
        <w:rFonts w:ascii="RT_Albanese" w:hAnsi="RT_Albanese"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25E48"/>
    <w:multiLevelType w:val="multilevel"/>
    <w:tmpl w:val="1AF0E620"/>
    <w:styleLink w:val="ListNumber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6323B76"/>
    <w:multiLevelType w:val="hybridMultilevel"/>
    <w:tmpl w:val="2C0882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5324A"/>
    <w:multiLevelType w:val="hybridMultilevel"/>
    <w:tmpl w:val="D4369EA8"/>
    <w:lvl w:ilvl="0" w:tplc="FFFFFFFF">
      <w:start w:val="1"/>
      <w:numFmt w:val="lowerLetter"/>
      <w:lvlText w:val="(%1)"/>
      <w:lvlJc w:val="left"/>
      <w:pPr>
        <w:ind w:left="720" w:hanging="360"/>
      </w:pPr>
      <w:rPr>
        <w:rFonts w:ascii="Futura ND Light" w:eastAsia="Times New Roman" w:hAnsi="Futura ND Light" w:cs="Times New Roman"/>
      </w:rPr>
    </w:lvl>
    <w:lvl w:ilvl="1" w:tplc="98FA3C3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22834"/>
    <w:multiLevelType w:val="hybridMultilevel"/>
    <w:tmpl w:val="00D66C5E"/>
    <w:lvl w:ilvl="0" w:tplc="AD8A3994">
      <w:numFmt w:val="bullet"/>
      <w:pStyle w:val="sss10"/>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B753A7"/>
    <w:multiLevelType w:val="multilevel"/>
    <w:tmpl w:val="3F622288"/>
    <w:styleLink w:val="NumberedLists"/>
    <w:lvl w:ilvl="0">
      <w:start w:val="1"/>
      <w:numFmt w:val="decimal"/>
      <w:lvlText w:val="%1."/>
      <w:lvlJc w:val="left"/>
      <w:pPr>
        <w:ind w:left="360" w:hanging="360"/>
      </w:pPr>
      <w:rPr>
        <w:rFonts w:ascii="Gotham Rounded Book" w:hAnsi="Gotham Rounded Book" w:cs="Times New Roman"/>
        <w:spacing w:val="-4"/>
        <w:sz w:val="16"/>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1CB10FE"/>
    <w:multiLevelType w:val="hybridMultilevel"/>
    <w:tmpl w:val="0736FB78"/>
    <w:lvl w:ilvl="0" w:tplc="F9BC36D0">
      <w:start w:val="1"/>
      <w:numFmt w:val="bullet"/>
      <w:pStyle w:val="GenericStylesListsBulletList1"/>
      <w:lvlText w:val="–"/>
      <w:lvlJc w:val="left"/>
      <w:pPr>
        <w:ind w:left="720" w:hanging="360"/>
      </w:pPr>
      <w:rPr>
        <w:rFonts w:ascii="TESCO Modern Light" w:hAnsi="TESCO Moder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1FF"/>
    <w:multiLevelType w:val="hybridMultilevel"/>
    <w:tmpl w:val="92345600"/>
    <w:lvl w:ilvl="0" w:tplc="FFFFFFFF">
      <w:start w:val="1"/>
      <w:numFmt w:val="lowerLetter"/>
      <w:lvlText w:val="(%1)"/>
      <w:lvlJc w:val="left"/>
      <w:pPr>
        <w:ind w:left="720" w:hanging="360"/>
      </w:pPr>
      <w:rPr>
        <w:rFonts w:ascii="Futura ND Light" w:eastAsia="Times New Roman" w:hAnsi="Futura ND Light" w:cs="Times New Roman"/>
      </w:rPr>
    </w:lvl>
    <w:lvl w:ilvl="1" w:tplc="24C4F74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CC0A35"/>
    <w:multiLevelType w:val="multilevel"/>
    <w:tmpl w:val="9AAA1C6E"/>
    <w:styleLink w:val="StyleBulleted"/>
    <w:lvl w:ilvl="0">
      <w:start w:val="15"/>
      <w:numFmt w:val="bullet"/>
      <w:pStyle w:val="SSSSSS"/>
      <w:lvlText w:val="-"/>
      <w:lvlJc w:val="left"/>
      <w:pPr>
        <w:tabs>
          <w:tab w:val="num" w:pos="0"/>
        </w:tabs>
        <w:ind w:left="170" w:hanging="170"/>
      </w:pPr>
      <w:rPr>
        <w:rFonts w:ascii="Arial" w:hAnsi="Arial" w:hint="default"/>
        <w:spacing w:val="-4"/>
        <w:sz w:val="18"/>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14" w15:restartNumberingAfterBreak="0">
    <w:nsid w:val="2F5B0275"/>
    <w:multiLevelType w:val="hybridMultilevel"/>
    <w:tmpl w:val="68ECA3E8"/>
    <w:lvl w:ilvl="0" w:tplc="08090001">
      <w:start w:val="1"/>
      <w:numFmt w:val="bullet"/>
      <w:lvlText w:val=""/>
      <w:lvlJc w:val="left"/>
      <w:pPr>
        <w:ind w:left="1917" w:hanging="360"/>
      </w:pPr>
      <w:rPr>
        <w:rFonts w:ascii="Symbol" w:hAnsi="Symbol" w:hint="default"/>
      </w:rPr>
    </w:lvl>
    <w:lvl w:ilvl="1" w:tplc="FFFFFFFF">
      <w:numFmt w:val="bullet"/>
      <w:lvlText w:val="•"/>
      <w:lvlJc w:val="left"/>
      <w:pPr>
        <w:ind w:left="1437" w:hanging="360"/>
      </w:pPr>
      <w:rPr>
        <w:rFonts w:ascii="Futura ND Light" w:eastAsia="Times New Roman" w:hAnsi="Futura ND Light" w:cs="Times New Roman" w:hint="default"/>
      </w:r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34025FBA"/>
    <w:multiLevelType w:val="hybridMultilevel"/>
    <w:tmpl w:val="196828AA"/>
    <w:lvl w:ilvl="0" w:tplc="663EDC46">
      <w:start w:val="3"/>
      <w:numFmt w:val="decimal"/>
      <w:pStyle w:val="Outline1"/>
      <w:lvlText w:val="%1."/>
      <w:lvlJc w:val="left"/>
      <w:pPr>
        <w:tabs>
          <w:tab w:val="num" w:pos="720"/>
        </w:tabs>
        <w:ind w:left="720" w:hanging="360"/>
      </w:pPr>
      <w:rPr>
        <w:rFonts w:cs="Times New Roman" w:hint="default"/>
      </w:rPr>
    </w:lvl>
    <w:lvl w:ilvl="1" w:tplc="08090019" w:tentative="1">
      <w:start w:val="1"/>
      <w:numFmt w:val="lowerLetter"/>
      <w:pStyle w:val="Outline2"/>
      <w:lvlText w:val="%2."/>
      <w:lvlJc w:val="left"/>
      <w:pPr>
        <w:tabs>
          <w:tab w:val="num" w:pos="1440"/>
        </w:tabs>
        <w:ind w:left="1440" w:hanging="360"/>
      </w:pPr>
      <w:rPr>
        <w:rFonts w:cs="Times New Roman"/>
      </w:rPr>
    </w:lvl>
    <w:lvl w:ilvl="2" w:tplc="0809001B" w:tentative="1">
      <w:start w:val="1"/>
      <w:numFmt w:val="lowerRoman"/>
      <w:pStyle w:val="Outline3"/>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pStyle w:val="Outline5"/>
      <w:lvlText w:val="%5."/>
      <w:lvlJc w:val="left"/>
      <w:pPr>
        <w:tabs>
          <w:tab w:val="num" w:pos="3600"/>
        </w:tabs>
        <w:ind w:left="3600" w:hanging="360"/>
      </w:pPr>
      <w:rPr>
        <w:rFonts w:cs="Times New Roman"/>
      </w:rPr>
    </w:lvl>
    <w:lvl w:ilvl="5" w:tplc="0809001B" w:tentative="1">
      <w:start w:val="1"/>
      <w:numFmt w:val="lowerRoman"/>
      <w:pStyle w:val="Outline6"/>
      <w:lvlText w:val="%6."/>
      <w:lvlJc w:val="right"/>
      <w:pPr>
        <w:tabs>
          <w:tab w:val="num" w:pos="4320"/>
        </w:tabs>
        <w:ind w:left="4320" w:hanging="180"/>
      </w:pPr>
      <w:rPr>
        <w:rFonts w:cs="Times New Roman"/>
      </w:rPr>
    </w:lvl>
    <w:lvl w:ilvl="6" w:tplc="0809000F" w:tentative="1">
      <w:start w:val="1"/>
      <w:numFmt w:val="decimal"/>
      <w:pStyle w:val="Lnum1"/>
      <w:lvlText w:val="%7."/>
      <w:lvlJc w:val="left"/>
      <w:pPr>
        <w:tabs>
          <w:tab w:val="num" w:pos="5040"/>
        </w:tabs>
        <w:ind w:left="5040" w:hanging="360"/>
      </w:pPr>
      <w:rPr>
        <w:rFonts w:cs="Times New Roman"/>
      </w:rPr>
    </w:lvl>
    <w:lvl w:ilvl="7" w:tplc="08090019" w:tentative="1">
      <w:start w:val="1"/>
      <w:numFmt w:val="lowerLetter"/>
      <w:pStyle w:val="Lnum2"/>
      <w:lvlText w:val="%8."/>
      <w:lvlJc w:val="left"/>
      <w:pPr>
        <w:tabs>
          <w:tab w:val="num" w:pos="5760"/>
        </w:tabs>
        <w:ind w:left="5760" w:hanging="360"/>
      </w:pPr>
      <w:rPr>
        <w:rFonts w:cs="Times New Roman"/>
      </w:rPr>
    </w:lvl>
    <w:lvl w:ilvl="8" w:tplc="0809001B" w:tentative="1">
      <w:start w:val="1"/>
      <w:numFmt w:val="lowerRoman"/>
      <w:pStyle w:val="Lnum3"/>
      <w:lvlText w:val="%9."/>
      <w:lvlJc w:val="right"/>
      <w:pPr>
        <w:tabs>
          <w:tab w:val="num" w:pos="6480"/>
        </w:tabs>
        <w:ind w:left="6480" w:hanging="180"/>
      </w:pPr>
      <w:rPr>
        <w:rFonts w:cs="Times New Roman"/>
      </w:rPr>
    </w:lvl>
  </w:abstractNum>
  <w:abstractNum w:abstractNumId="16" w15:restartNumberingAfterBreak="0">
    <w:nsid w:val="3D244A38"/>
    <w:multiLevelType w:val="hybridMultilevel"/>
    <w:tmpl w:val="740ECD60"/>
    <w:lvl w:ilvl="0" w:tplc="275E976C">
      <w:start w:val="1"/>
      <w:numFmt w:val="decimal"/>
      <w:lvlText w:val="%1."/>
      <w:lvlJc w:val="left"/>
      <w:pPr>
        <w:tabs>
          <w:tab w:val="num" w:pos="360"/>
        </w:tabs>
        <w:ind w:left="360" w:hanging="360"/>
      </w:pPr>
      <w:rPr>
        <w:rFonts w:cs="Times New Roman" w:hint="default"/>
      </w:rPr>
    </w:lvl>
    <w:lvl w:ilvl="1" w:tplc="08090019" w:tentative="1">
      <w:start w:val="1"/>
      <w:numFmt w:val="lowerLetter"/>
      <w:pStyle w:val="StyleHeading2Italic"/>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2A1603"/>
    <w:multiLevelType w:val="singleLevel"/>
    <w:tmpl w:val="1BC0003A"/>
    <w:lvl w:ilvl="0">
      <w:start w:val="1"/>
      <w:numFmt w:val="upperLetter"/>
      <w:pStyle w:val="Coverdetails"/>
      <w:lvlText w:val="(%1)"/>
      <w:lvlJc w:val="left"/>
      <w:pPr>
        <w:tabs>
          <w:tab w:val="num" w:pos="992"/>
        </w:tabs>
        <w:ind w:left="992" w:hanging="567"/>
      </w:pPr>
      <w:rPr>
        <w:rFonts w:cs="Times New Roman"/>
      </w:rPr>
    </w:lvl>
  </w:abstractNum>
  <w:abstractNum w:abstractNumId="18" w15:restartNumberingAfterBreak="0">
    <w:nsid w:val="3E72503E"/>
    <w:multiLevelType w:val="multilevel"/>
    <w:tmpl w:val="C01C95D4"/>
    <w:styleLink w:val="NumberedFootnotes"/>
    <w:lvl w:ilvl="0">
      <w:start w:val="1"/>
      <w:numFmt w:val="decimal"/>
      <w:lvlText w:val="%1."/>
      <w:lvlJc w:val="left"/>
      <w:pPr>
        <w:ind w:left="720" w:hanging="360"/>
      </w:pPr>
      <w:rPr>
        <w:rFonts w:ascii="Chronicle Text G1" w:hAnsi="Chronicle Text G1"/>
        <w:spacing w:val="-4"/>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7D0F5B"/>
    <w:multiLevelType w:val="hybridMultilevel"/>
    <w:tmpl w:val="03CE5758"/>
    <w:lvl w:ilvl="0" w:tplc="CD0E4944">
      <w:start w:val="1"/>
      <w:numFmt w:val="lowerLetter"/>
      <w:lvlText w:val="%1"/>
      <w:lvlJc w:val="left"/>
      <w:pPr>
        <w:ind w:left="716" w:hanging="360"/>
      </w:pPr>
      <w:rPr>
        <w:rFonts w:hint="default"/>
      </w:rPr>
    </w:lvl>
    <w:lvl w:ilvl="1" w:tplc="08090019" w:tentative="1">
      <w:start w:val="1"/>
      <w:numFmt w:val="lowerLetter"/>
      <w:lvlText w:val="%2."/>
      <w:lvlJc w:val="left"/>
      <w:pPr>
        <w:ind w:left="1436" w:hanging="360"/>
      </w:pPr>
    </w:lvl>
    <w:lvl w:ilvl="2" w:tplc="0809001B" w:tentative="1">
      <w:start w:val="1"/>
      <w:numFmt w:val="lowerRoman"/>
      <w:lvlText w:val="%3."/>
      <w:lvlJc w:val="right"/>
      <w:pPr>
        <w:ind w:left="2156" w:hanging="180"/>
      </w:pPr>
    </w:lvl>
    <w:lvl w:ilvl="3" w:tplc="0809000F" w:tentative="1">
      <w:start w:val="1"/>
      <w:numFmt w:val="decimal"/>
      <w:lvlText w:val="%4."/>
      <w:lvlJc w:val="left"/>
      <w:pPr>
        <w:ind w:left="2876" w:hanging="360"/>
      </w:pPr>
    </w:lvl>
    <w:lvl w:ilvl="4" w:tplc="08090019" w:tentative="1">
      <w:start w:val="1"/>
      <w:numFmt w:val="lowerLetter"/>
      <w:lvlText w:val="%5."/>
      <w:lvlJc w:val="left"/>
      <w:pPr>
        <w:ind w:left="3596" w:hanging="360"/>
      </w:pPr>
    </w:lvl>
    <w:lvl w:ilvl="5" w:tplc="0809001B" w:tentative="1">
      <w:start w:val="1"/>
      <w:numFmt w:val="lowerRoman"/>
      <w:lvlText w:val="%6."/>
      <w:lvlJc w:val="right"/>
      <w:pPr>
        <w:ind w:left="4316" w:hanging="180"/>
      </w:pPr>
    </w:lvl>
    <w:lvl w:ilvl="6" w:tplc="0809000F" w:tentative="1">
      <w:start w:val="1"/>
      <w:numFmt w:val="decimal"/>
      <w:lvlText w:val="%7."/>
      <w:lvlJc w:val="left"/>
      <w:pPr>
        <w:ind w:left="5036" w:hanging="360"/>
      </w:pPr>
    </w:lvl>
    <w:lvl w:ilvl="7" w:tplc="08090019" w:tentative="1">
      <w:start w:val="1"/>
      <w:numFmt w:val="lowerLetter"/>
      <w:lvlText w:val="%8."/>
      <w:lvlJc w:val="left"/>
      <w:pPr>
        <w:ind w:left="5756" w:hanging="360"/>
      </w:pPr>
    </w:lvl>
    <w:lvl w:ilvl="8" w:tplc="0809001B" w:tentative="1">
      <w:start w:val="1"/>
      <w:numFmt w:val="lowerRoman"/>
      <w:lvlText w:val="%9."/>
      <w:lvlJc w:val="right"/>
      <w:pPr>
        <w:ind w:left="6476" w:hanging="180"/>
      </w:pPr>
    </w:lvl>
  </w:abstractNum>
  <w:abstractNum w:abstractNumId="20" w15:restartNumberingAfterBreak="0">
    <w:nsid w:val="4A067BDE"/>
    <w:multiLevelType w:val="hybridMultilevel"/>
    <w:tmpl w:val="A828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C7004"/>
    <w:multiLevelType w:val="hybridMultilevel"/>
    <w:tmpl w:val="B2283AB8"/>
    <w:lvl w:ilvl="0" w:tplc="17AC8C84">
      <w:start w:val="1"/>
      <w:numFmt w:val="upperLetter"/>
      <w:lvlText w:val="%1."/>
      <w:lvlJc w:val="left"/>
      <w:pPr>
        <w:tabs>
          <w:tab w:val="num" w:pos="6173"/>
        </w:tabs>
        <w:ind w:left="6173" w:hanging="360"/>
      </w:pPr>
      <w:rPr>
        <w:rFonts w:cs="Times New Roman" w:hint="default"/>
        <w:b/>
        <w:bCs w:val="0"/>
      </w:rPr>
    </w:lvl>
    <w:lvl w:ilvl="1" w:tplc="08090019" w:tentative="1">
      <w:start w:val="1"/>
      <w:numFmt w:val="lowerLetter"/>
      <w:lvlText w:val="%2."/>
      <w:lvlJc w:val="left"/>
      <w:pPr>
        <w:tabs>
          <w:tab w:val="num" w:pos="3448"/>
        </w:tabs>
        <w:ind w:left="3448" w:hanging="360"/>
      </w:pPr>
      <w:rPr>
        <w:rFonts w:cs="Times New Roman"/>
      </w:rPr>
    </w:lvl>
    <w:lvl w:ilvl="2" w:tplc="0809001B" w:tentative="1">
      <w:start w:val="1"/>
      <w:numFmt w:val="lowerRoman"/>
      <w:lvlText w:val="%3."/>
      <w:lvlJc w:val="right"/>
      <w:pPr>
        <w:tabs>
          <w:tab w:val="num" w:pos="4168"/>
        </w:tabs>
        <w:ind w:left="4168" w:hanging="180"/>
      </w:pPr>
      <w:rPr>
        <w:rFonts w:cs="Times New Roman"/>
      </w:rPr>
    </w:lvl>
    <w:lvl w:ilvl="3" w:tplc="0809000F" w:tentative="1">
      <w:start w:val="1"/>
      <w:numFmt w:val="decimal"/>
      <w:lvlText w:val="%4."/>
      <w:lvlJc w:val="left"/>
      <w:pPr>
        <w:tabs>
          <w:tab w:val="num" w:pos="4888"/>
        </w:tabs>
        <w:ind w:left="4888" w:hanging="360"/>
      </w:pPr>
      <w:rPr>
        <w:rFonts w:cs="Times New Roman"/>
      </w:rPr>
    </w:lvl>
    <w:lvl w:ilvl="4" w:tplc="08090019" w:tentative="1">
      <w:start w:val="1"/>
      <w:numFmt w:val="lowerLetter"/>
      <w:lvlText w:val="%5."/>
      <w:lvlJc w:val="left"/>
      <w:pPr>
        <w:tabs>
          <w:tab w:val="num" w:pos="5608"/>
        </w:tabs>
        <w:ind w:left="5608" w:hanging="360"/>
      </w:pPr>
      <w:rPr>
        <w:rFonts w:cs="Times New Roman"/>
      </w:rPr>
    </w:lvl>
    <w:lvl w:ilvl="5" w:tplc="0809001B" w:tentative="1">
      <w:start w:val="1"/>
      <w:numFmt w:val="lowerRoman"/>
      <w:lvlText w:val="%6."/>
      <w:lvlJc w:val="right"/>
      <w:pPr>
        <w:tabs>
          <w:tab w:val="num" w:pos="6328"/>
        </w:tabs>
        <w:ind w:left="6328" w:hanging="180"/>
      </w:pPr>
      <w:rPr>
        <w:rFonts w:cs="Times New Roman"/>
      </w:rPr>
    </w:lvl>
    <w:lvl w:ilvl="6" w:tplc="0809000F" w:tentative="1">
      <w:start w:val="1"/>
      <w:numFmt w:val="decimal"/>
      <w:lvlText w:val="%7."/>
      <w:lvlJc w:val="left"/>
      <w:pPr>
        <w:tabs>
          <w:tab w:val="num" w:pos="7048"/>
        </w:tabs>
        <w:ind w:left="7048" w:hanging="360"/>
      </w:pPr>
      <w:rPr>
        <w:rFonts w:cs="Times New Roman"/>
      </w:rPr>
    </w:lvl>
    <w:lvl w:ilvl="7" w:tplc="08090019" w:tentative="1">
      <w:start w:val="1"/>
      <w:numFmt w:val="lowerLetter"/>
      <w:lvlText w:val="%8."/>
      <w:lvlJc w:val="left"/>
      <w:pPr>
        <w:tabs>
          <w:tab w:val="num" w:pos="7768"/>
        </w:tabs>
        <w:ind w:left="7768" w:hanging="360"/>
      </w:pPr>
      <w:rPr>
        <w:rFonts w:cs="Times New Roman"/>
      </w:rPr>
    </w:lvl>
    <w:lvl w:ilvl="8" w:tplc="0809001B" w:tentative="1">
      <w:start w:val="1"/>
      <w:numFmt w:val="lowerRoman"/>
      <w:lvlText w:val="%9."/>
      <w:lvlJc w:val="right"/>
      <w:pPr>
        <w:tabs>
          <w:tab w:val="num" w:pos="8488"/>
        </w:tabs>
        <w:ind w:left="8488" w:hanging="180"/>
      </w:pPr>
      <w:rPr>
        <w:rFonts w:cs="Times New Roman"/>
      </w:rPr>
    </w:lvl>
  </w:abstractNum>
  <w:abstractNum w:abstractNumId="22" w15:restartNumberingAfterBreak="0">
    <w:nsid w:val="501E53DD"/>
    <w:multiLevelType w:val="hybridMultilevel"/>
    <w:tmpl w:val="E07ECE10"/>
    <w:lvl w:ilvl="0" w:tplc="D6A4CE04">
      <w:start w:val="1"/>
      <w:numFmt w:val="decimal"/>
      <w:pStyle w:val="Lists"/>
      <w:lvlText w:val="%1."/>
      <w:lvlJc w:val="left"/>
      <w:pPr>
        <w:tabs>
          <w:tab w:val="num" w:pos="284"/>
        </w:tabs>
        <w:ind w:left="284" w:hanging="284"/>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C2A984"/>
    <w:multiLevelType w:val="hybridMultilevel"/>
    <w:tmpl w:val="EDEC1DD2"/>
    <w:lvl w:ilvl="0" w:tplc="EEFAA974">
      <w:start w:val="1"/>
      <w:numFmt w:val="lowerLetter"/>
      <w:lvlText w:val="%1"/>
      <w:lvlJc w:val="left"/>
      <w:pPr>
        <w:ind w:left="719" w:hanging="360"/>
      </w:pPr>
      <w:rPr>
        <w:rFonts w:hint="default"/>
      </w:rPr>
    </w:lvl>
    <w:lvl w:ilvl="1" w:tplc="8938C158">
      <w:start w:val="1"/>
      <w:numFmt w:val="lowerLetter"/>
      <w:lvlText w:val="%2."/>
      <w:lvlJc w:val="left"/>
      <w:pPr>
        <w:ind w:left="1439" w:hanging="360"/>
      </w:pPr>
    </w:lvl>
    <w:lvl w:ilvl="2" w:tplc="D7C2EA9E">
      <w:start w:val="1"/>
      <w:numFmt w:val="lowerRoman"/>
      <w:lvlText w:val="%3."/>
      <w:lvlJc w:val="right"/>
      <w:pPr>
        <w:ind w:left="2159" w:hanging="180"/>
      </w:pPr>
    </w:lvl>
    <w:lvl w:ilvl="3" w:tplc="78165298">
      <w:start w:val="1"/>
      <w:numFmt w:val="decimal"/>
      <w:lvlText w:val="%4."/>
      <w:lvlJc w:val="left"/>
      <w:pPr>
        <w:ind w:left="2879" w:hanging="360"/>
      </w:pPr>
    </w:lvl>
    <w:lvl w:ilvl="4" w:tplc="269A30B2">
      <w:start w:val="1"/>
      <w:numFmt w:val="lowerLetter"/>
      <w:lvlText w:val="%5."/>
      <w:lvlJc w:val="left"/>
      <w:pPr>
        <w:ind w:left="3599" w:hanging="360"/>
      </w:pPr>
    </w:lvl>
    <w:lvl w:ilvl="5" w:tplc="880A62B6">
      <w:start w:val="1"/>
      <w:numFmt w:val="lowerRoman"/>
      <w:lvlText w:val="%6."/>
      <w:lvlJc w:val="right"/>
      <w:pPr>
        <w:ind w:left="4319" w:hanging="180"/>
      </w:pPr>
    </w:lvl>
    <w:lvl w:ilvl="6" w:tplc="6C740310">
      <w:start w:val="1"/>
      <w:numFmt w:val="decimal"/>
      <w:lvlText w:val="%7."/>
      <w:lvlJc w:val="left"/>
      <w:pPr>
        <w:ind w:left="5039" w:hanging="360"/>
      </w:pPr>
    </w:lvl>
    <w:lvl w:ilvl="7" w:tplc="D17647C8">
      <w:start w:val="1"/>
      <w:numFmt w:val="lowerLetter"/>
      <w:lvlText w:val="%8."/>
      <w:lvlJc w:val="left"/>
      <w:pPr>
        <w:ind w:left="5759" w:hanging="360"/>
      </w:pPr>
    </w:lvl>
    <w:lvl w:ilvl="8" w:tplc="1BF83910">
      <w:start w:val="1"/>
      <w:numFmt w:val="lowerRoman"/>
      <w:lvlText w:val="%9."/>
      <w:lvlJc w:val="right"/>
      <w:pPr>
        <w:ind w:left="6479" w:hanging="180"/>
      </w:pPr>
    </w:lvl>
  </w:abstractNum>
  <w:abstractNum w:abstractNumId="24" w15:restartNumberingAfterBreak="0">
    <w:nsid w:val="5B0102C1"/>
    <w:multiLevelType w:val="hybridMultilevel"/>
    <w:tmpl w:val="38BC0EC8"/>
    <w:lvl w:ilvl="0" w:tplc="FFFFFFFF">
      <w:start w:val="1"/>
      <w:numFmt w:val="lowerLetter"/>
      <w:lvlText w:val="(%1)"/>
      <w:lvlJc w:val="left"/>
      <w:pPr>
        <w:ind w:left="720" w:hanging="360"/>
      </w:pPr>
      <w:rPr>
        <w:rFonts w:ascii="Futura ND Light" w:eastAsia="Times New Roman" w:hAnsi="Futura ND Light" w:cs="Times New Roman"/>
      </w:rPr>
    </w:lvl>
    <w:lvl w:ilvl="1" w:tplc="DBD038A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2964F3"/>
    <w:multiLevelType w:val="multilevel"/>
    <w:tmpl w:val="0409001D"/>
    <w:styleLink w:val="ListNumbers2"/>
    <w:lvl w:ilvl="0">
      <w:start w:val="1"/>
      <w:numFmt w:val="decimal"/>
      <w:pStyle w:val="ListBulletlast"/>
      <w:lvlText w:val="%1)"/>
      <w:lvlJc w:val="left"/>
      <w:pPr>
        <w:ind w:left="360" w:hanging="360"/>
      </w:pPr>
      <w:rPr>
        <w:rFonts w:ascii="Gotham Rounded Book" w:hAnsi="Gotham Rounded Book" w:cs="Times New Roman"/>
        <w:spacing w:val="-4"/>
        <w:sz w:val="16"/>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5E117D48"/>
    <w:multiLevelType w:val="hybridMultilevel"/>
    <w:tmpl w:val="A35E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D201A"/>
    <w:multiLevelType w:val="hybridMultilevel"/>
    <w:tmpl w:val="98CE978C"/>
    <w:lvl w:ilvl="0" w:tplc="3508CF92">
      <w:numFmt w:val="bullet"/>
      <w:pStyle w:val="TabletextBullets2"/>
      <w:lvlText w:val="-"/>
      <w:lvlJc w:val="left"/>
      <w:pPr>
        <w:ind w:left="890" w:hanging="360"/>
      </w:pPr>
      <w:rPr>
        <w:rFonts w:ascii="Arial" w:eastAsia="Times New Roman" w:hAnsi="Aria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8" w15:restartNumberingAfterBreak="0">
    <w:nsid w:val="5FC314F6"/>
    <w:multiLevelType w:val="multilevel"/>
    <w:tmpl w:val="669E3924"/>
    <w:lvl w:ilvl="0">
      <w:start w:val="1"/>
      <w:numFmt w:val="bullet"/>
      <w:pStyle w:val="Outline4"/>
      <w:lvlText w:val="–"/>
      <w:lvlJc w:val="left"/>
      <w:pPr>
        <w:tabs>
          <w:tab w:val="num" w:pos="284"/>
        </w:tabs>
        <w:ind w:left="284" w:hanging="284"/>
      </w:pPr>
      <w:rPr>
        <w:rFonts w:ascii="Times New Roman" w:hAnsi="Times New Roman" w:hint="default"/>
        <w:color w:val="auto"/>
        <w:sz w:val="18"/>
      </w:rPr>
    </w:lvl>
    <w:lvl w:ilvl="1">
      <w:start w:val="1"/>
      <w:numFmt w:val="bullet"/>
      <w:lvlText w:val="○"/>
      <w:lvlJc w:val="left"/>
      <w:pPr>
        <w:tabs>
          <w:tab w:val="num" w:pos="567"/>
        </w:tabs>
        <w:ind w:left="567" w:hanging="283"/>
      </w:pPr>
      <w:rPr>
        <w:rFonts w:ascii="Times New Roman" w:hAnsi="Times New Roman" w:hint="default"/>
        <w:color w:val="auto"/>
      </w:rPr>
    </w:lvl>
    <w:lvl w:ilvl="2">
      <w:start w:val="1"/>
      <w:numFmt w:val="bullet"/>
      <w:lvlText w:val="–"/>
      <w:lvlJc w:val="left"/>
      <w:pPr>
        <w:tabs>
          <w:tab w:val="num" w:pos="851"/>
        </w:tabs>
        <w:ind w:left="851" w:hanging="284"/>
      </w:pPr>
      <w:rPr>
        <w:rFonts w:ascii="Times New Roman" w:hAnsi="Times New Roman" w:hint="default"/>
      </w:rPr>
    </w:lvl>
    <w:lvl w:ilvl="3">
      <w:start w:val="1"/>
      <w:numFmt w:val="bullet"/>
      <w:lvlText w:val="○"/>
      <w:lvlJc w:val="left"/>
      <w:pPr>
        <w:tabs>
          <w:tab w:val="num" w:pos="1134"/>
        </w:tabs>
        <w:ind w:left="1134" w:hanging="283"/>
      </w:pPr>
      <w:rPr>
        <w:rFonts w:ascii="Times New Roman" w:hAnsi="Times New Roman"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619E3169"/>
    <w:multiLevelType w:val="hybridMultilevel"/>
    <w:tmpl w:val="904E8652"/>
    <w:lvl w:ilvl="0" w:tplc="FFFFFFFF">
      <w:start w:val="1"/>
      <w:numFmt w:val="lowerLetter"/>
      <w:lvlText w:val="(%1)"/>
      <w:lvlJc w:val="left"/>
      <w:pPr>
        <w:ind w:left="720" w:hanging="360"/>
      </w:pPr>
      <w:rPr>
        <w:rFonts w:ascii="Futura ND Light" w:eastAsia="Times New Roman" w:hAnsi="Futura ND Light" w:cs="Times New Roman"/>
      </w:rPr>
    </w:lvl>
    <w:lvl w:ilvl="1" w:tplc="CD0E4944">
      <w:start w:val="1"/>
      <w:numFmt w:val="lowerLetter"/>
      <w:lvlText w:val="%2"/>
      <w:lvlJc w:val="left"/>
      <w:pPr>
        <w:ind w:left="71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A462E7"/>
    <w:multiLevelType w:val="hybridMultilevel"/>
    <w:tmpl w:val="0C48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24A3B"/>
    <w:multiLevelType w:val="hybridMultilevel"/>
    <w:tmpl w:val="FFFFFFFF"/>
    <w:lvl w:ilvl="0" w:tplc="05F00D9C">
      <w:start w:val="1"/>
      <w:numFmt w:val="bullet"/>
      <w:lvlText w:val="–"/>
      <w:lvlJc w:val="left"/>
      <w:pPr>
        <w:ind w:left="1362" w:hanging="360"/>
      </w:pPr>
      <w:rPr>
        <w:rFonts w:ascii="Futura ND Book" w:hAnsi="Futura ND Book"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1159BC"/>
    <w:multiLevelType w:val="hybridMultilevel"/>
    <w:tmpl w:val="7C2AE3E2"/>
    <w:lvl w:ilvl="0" w:tplc="8558FD64">
      <w:start w:val="1"/>
      <w:numFmt w:val="upperLetter"/>
      <w:pStyle w:val="Alpha2aitalicnum"/>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F6F49A9"/>
    <w:multiLevelType w:val="hybridMultilevel"/>
    <w:tmpl w:val="1D06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43C1D"/>
    <w:multiLevelType w:val="hybridMultilevel"/>
    <w:tmpl w:val="E2B02A72"/>
    <w:lvl w:ilvl="0" w:tplc="FFFFFFFF">
      <w:start w:val="1"/>
      <w:numFmt w:val="bullet"/>
      <w:lvlText w:val=""/>
      <w:lvlJc w:val="left"/>
      <w:pPr>
        <w:ind w:left="719" w:hanging="360"/>
      </w:pPr>
      <w:rPr>
        <w:rFonts w:ascii="Symbol" w:hAnsi="Symbol" w:hint="default"/>
      </w:rPr>
    </w:lvl>
    <w:lvl w:ilvl="1" w:tplc="885CC180">
      <w:start w:val="1"/>
      <w:numFmt w:val="bullet"/>
      <w:lvlText w:val="−"/>
      <w:lvlJc w:val="left"/>
      <w:pPr>
        <w:ind w:left="1439" w:hanging="360"/>
      </w:pPr>
      <w:rPr>
        <w:rFonts w:ascii="Futura ND Book" w:hAnsi="Futura ND Book"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35" w15:restartNumberingAfterBreak="0">
    <w:nsid w:val="70747312"/>
    <w:multiLevelType w:val="multilevel"/>
    <w:tmpl w:val="9F445D36"/>
    <w:styleLink w:val="LFO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31968C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14765"/>
    <w:multiLevelType w:val="hybridMultilevel"/>
    <w:tmpl w:val="9F4A866C"/>
    <w:lvl w:ilvl="0" w:tplc="6ACA1E96">
      <w:start w:val="1"/>
      <w:numFmt w:val="bullet"/>
      <w:pStyle w:val="buLlets0"/>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77156"/>
    <w:multiLevelType w:val="hybridMultilevel"/>
    <w:tmpl w:val="7E726862"/>
    <w:lvl w:ilvl="0" w:tplc="0FCA1C92">
      <w:start w:val="1"/>
      <w:numFmt w:val="upperLetter"/>
      <w:lvlText w:val="%1."/>
      <w:lvlJc w:val="left"/>
      <w:pPr>
        <w:ind w:left="718" w:hanging="360"/>
      </w:pPr>
      <w:rPr>
        <w:rFonts w:hint="default"/>
      </w:r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39" w15:restartNumberingAfterBreak="0">
    <w:nsid w:val="7A375C99"/>
    <w:multiLevelType w:val="hybridMultilevel"/>
    <w:tmpl w:val="37E6FA4E"/>
    <w:lvl w:ilvl="0" w:tplc="5A2E2DA2">
      <w:start w:val="1"/>
      <w:numFmt w:val="bullet"/>
      <w:pStyle w:val="TablesTTextBullets"/>
      <w:lvlText w:val="–"/>
      <w:lvlJc w:val="left"/>
      <w:pPr>
        <w:ind w:left="720" w:hanging="360"/>
      </w:pPr>
      <w:rPr>
        <w:rFonts w:ascii="ITC Franklin Gothic Std Book" w:hAnsi="ITC Franklin Gothic Std Book"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A07A9"/>
    <w:multiLevelType w:val="multilevel"/>
    <w:tmpl w:val="9AAA1C6E"/>
    <w:numStyleLink w:val="StyleBulleted"/>
  </w:abstractNum>
  <w:num w:numId="1" w16cid:durableId="866484013">
    <w:abstractNumId w:val="0"/>
  </w:num>
  <w:num w:numId="2" w16cid:durableId="337661458">
    <w:abstractNumId w:val="1"/>
  </w:num>
  <w:num w:numId="3" w16cid:durableId="329410031">
    <w:abstractNumId w:val="5"/>
  </w:num>
  <w:num w:numId="4" w16cid:durableId="880751089">
    <w:abstractNumId w:val="25"/>
  </w:num>
  <w:num w:numId="5" w16cid:durableId="1655599178">
    <w:abstractNumId w:val="10"/>
  </w:num>
  <w:num w:numId="6" w16cid:durableId="1981416306">
    <w:abstractNumId w:val="6"/>
  </w:num>
  <w:num w:numId="7" w16cid:durableId="59639823">
    <w:abstractNumId w:val="2"/>
  </w:num>
  <w:num w:numId="8" w16cid:durableId="883103913">
    <w:abstractNumId w:val="22"/>
  </w:num>
  <w:num w:numId="9" w16cid:durableId="2006662980">
    <w:abstractNumId w:val="27"/>
  </w:num>
  <w:num w:numId="10" w16cid:durableId="865750751">
    <w:abstractNumId w:val="9"/>
  </w:num>
  <w:num w:numId="11" w16cid:durableId="58333731">
    <w:abstractNumId w:val="16"/>
  </w:num>
  <w:num w:numId="12" w16cid:durableId="1740471216">
    <w:abstractNumId w:val="21"/>
  </w:num>
  <w:num w:numId="13" w16cid:durableId="1600721320">
    <w:abstractNumId w:val="32"/>
  </w:num>
  <w:num w:numId="14" w16cid:durableId="410738990">
    <w:abstractNumId w:val="15"/>
  </w:num>
  <w:num w:numId="15" w16cid:durableId="1021207450">
    <w:abstractNumId w:val="17"/>
    <w:lvlOverride w:ilvl="0">
      <w:startOverride w:val="1"/>
    </w:lvlOverride>
  </w:num>
  <w:num w:numId="16" w16cid:durableId="279650891">
    <w:abstractNumId w:val="28"/>
  </w:num>
  <w:num w:numId="17" w16cid:durableId="1494370070">
    <w:abstractNumId w:val="13"/>
  </w:num>
  <w:num w:numId="18" w16cid:durableId="2130470737">
    <w:abstractNumId w:val="40"/>
  </w:num>
  <w:num w:numId="19" w16cid:durableId="1987274500">
    <w:abstractNumId w:val="37"/>
  </w:num>
  <w:num w:numId="20" w16cid:durableId="898826828">
    <w:abstractNumId w:val="18"/>
  </w:num>
  <w:num w:numId="21" w16cid:durableId="1148786303">
    <w:abstractNumId w:val="39"/>
  </w:num>
  <w:num w:numId="22" w16cid:durableId="1983265822">
    <w:abstractNumId w:val="14"/>
  </w:num>
  <w:num w:numId="23" w16cid:durableId="428888393">
    <w:abstractNumId w:val="38"/>
  </w:num>
  <w:num w:numId="24" w16cid:durableId="1094590939">
    <w:abstractNumId w:val="11"/>
  </w:num>
  <w:num w:numId="25" w16cid:durableId="1612973896">
    <w:abstractNumId w:val="36"/>
  </w:num>
  <w:num w:numId="26" w16cid:durableId="154036661">
    <w:abstractNumId w:val="31"/>
  </w:num>
  <w:num w:numId="27" w16cid:durableId="47147899">
    <w:abstractNumId w:val="3"/>
  </w:num>
  <w:num w:numId="28" w16cid:durableId="908154816">
    <w:abstractNumId w:val="23"/>
  </w:num>
  <w:num w:numId="29" w16cid:durableId="1506091669">
    <w:abstractNumId w:val="7"/>
  </w:num>
  <w:num w:numId="30" w16cid:durableId="1719671571">
    <w:abstractNumId w:val="34"/>
  </w:num>
  <w:num w:numId="31" w16cid:durableId="2130738063">
    <w:abstractNumId w:val="26"/>
  </w:num>
  <w:num w:numId="32" w16cid:durableId="815952983">
    <w:abstractNumId w:val="33"/>
  </w:num>
  <w:num w:numId="33" w16cid:durableId="296305583">
    <w:abstractNumId w:val="20"/>
  </w:num>
  <w:num w:numId="34" w16cid:durableId="47383036">
    <w:abstractNumId w:val="29"/>
  </w:num>
  <w:num w:numId="35" w16cid:durableId="1006518269">
    <w:abstractNumId w:val="8"/>
  </w:num>
  <w:num w:numId="36" w16cid:durableId="154416537">
    <w:abstractNumId w:val="24"/>
  </w:num>
  <w:num w:numId="37" w16cid:durableId="979843464">
    <w:abstractNumId w:val="4"/>
  </w:num>
  <w:num w:numId="38" w16cid:durableId="1858546398">
    <w:abstractNumId w:val="12"/>
  </w:num>
  <w:num w:numId="39" w16cid:durableId="492600833">
    <w:abstractNumId w:val="19"/>
  </w:num>
  <w:num w:numId="40" w16cid:durableId="1946885310">
    <w:abstractNumId w:val="35"/>
    <w:lvlOverride w:ilvl="0">
      <w:lvl w:ilvl="0">
        <w:start w:val="1"/>
        <w:numFmt w:val="upperLetter"/>
        <w:lvlText w:val="%1."/>
        <w:lvlJc w:val="left"/>
        <w:pPr>
          <w:ind w:left="360" w:hanging="360"/>
        </w:pPr>
        <w:rPr>
          <w:b/>
          <w:bCs w:val="0"/>
        </w:rPr>
      </w:lvl>
    </w:lvlOverride>
  </w:num>
  <w:num w:numId="41" w16cid:durableId="1361934371">
    <w:abstractNumId w:val="35"/>
  </w:num>
  <w:num w:numId="42" w16cid:durableId="1037898314">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ED"/>
    <w:rsid w:val="000000D0"/>
    <w:rsid w:val="000003FB"/>
    <w:rsid w:val="00000611"/>
    <w:rsid w:val="000006AB"/>
    <w:rsid w:val="0000090F"/>
    <w:rsid w:val="00000ABF"/>
    <w:rsid w:val="00000D11"/>
    <w:rsid w:val="00000DCA"/>
    <w:rsid w:val="00000FD8"/>
    <w:rsid w:val="0000135C"/>
    <w:rsid w:val="000014EE"/>
    <w:rsid w:val="00001A96"/>
    <w:rsid w:val="00001D89"/>
    <w:rsid w:val="000024A0"/>
    <w:rsid w:val="000024E0"/>
    <w:rsid w:val="00002512"/>
    <w:rsid w:val="00002804"/>
    <w:rsid w:val="00002BDD"/>
    <w:rsid w:val="00002CAC"/>
    <w:rsid w:val="00002EC2"/>
    <w:rsid w:val="00003142"/>
    <w:rsid w:val="00003355"/>
    <w:rsid w:val="00003380"/>
    <w:rsid w:val="0000388D"/>
    <w:rsid w:val="00003FDB"/>
    <w:rsid w:val="000044BA"/>
    <w:rsid w:val="0000451E"/>
    <w:rsid w:val="000045EA"/>
    <w:rsid w:val="00004660"/>
    <w:rsid w:val="00004909"/>
    <w:rsid w:val="00004F84"/>
    <w:rsid w:val="0000505E"/>
    <w:rsid w:val="0000532D"/>
    <w:rsid w:val="000056B8"/>
    <w:rsid w:val="000059F0"/>
    <w:rsid w:val="00005DD1"/>
    <w:rsid w:val="000061FB"/>
    <w:rsid w:val="000069F1"/>
    <w:rsid w:val="00007308"/>
    <w:rsid w:val="00007323"/>
    <w:rsid w:val="00007702"/>
    <w:rsid w:val="00007A5B"/>
    <w:rsid w:val="00007CB9"/>
    <w:rsid w:val="00007E16"/>
    <w:rsid w:val="000100B0"/>
    <w:rsid w:val="000100C9"/>
    <w:rsid w:val="000101A7"/>
    <w:rsid w:val="000101D3"/>
    <w:rsid w:val="00010246"/>
    <w:rsid w:val="00010654"/>
    <w:rsid w:val="0001067B"/>
    <w:rsid w:val="000106A9"/>
    <w:rsid w:val="00010864"/>
    <w:rsid w:val="00010956"/>
    <w:rsid w:val="00010986"/>
    <w:rsid w:val="00010CDA"/>
    <w:rsid w:val="00011060"/>
    <w:rsid w:val="000110A8"/>
    <w:rsid w:val="000110CC"/>
    <w:rsid w:val="00011815"/>
    <w:rsid w:val="00011B27"/>
    <w:rsid w:val="00011F31"/>
    <w:rsid w:val="00012543"/>
    <w:rsid w:val="00012F46"/>
    <w:rsid w:val="000131B7"/>
    <w:rsid w:val="00013291"/>
    <w:rsid w:val="000136C2"/>
    <w:rsid w:val="000136CC"/>
    <w:rsid w:val="00013D50"/>
    <w:rsid w:val="00013F5C"/>
    <w:rsid w:val="00013FDD"/>
    <w:rsid w:val="000143CE"/>
    <w:rsid w:val="00014D1B"/>
    <w:rsid w:val="00014E16"/>
    <w:rsid w:val="00014F5E"/>
    <w:rsid w:val="00015208"/>
    <w:rsid w:val="0001543D"/>
    <w:rsid w:val="0001558E"/>
    <w:rsid w:val="000158D1"/>
    <w:rsid w:val="0001609C"/>
    <w:rsid w:val="00016183"/>
    <w:rsid w:val="00016415"/>
    <w:rsid w:val="00016786"/>
    <w:rsid w:val="00016BDF"/>
    <w:rsid w:val="00016F2F"/>
    <w:rsid w:val="0001706A"/>
    <w:rsid w:val="000176E5"/>
    <w:rsid w:val="000179F8"/>
    <w:rsid w:val="00017A9D"/>
    <w:rsid w:val="00017C3B"/>
    <w:rsid w:val="0002002B"/>
    <w:rsid w:val="000201A5"/>
    <w:rsid w:val="000203CD"/>
    <w:rsid w:val="000204A3"/>
    <w:rsid w:val="000205D5"/>
    <w:rsid w:val="0002073B"/>
    <w:rsid w:val="00020AFC"/>
    <w:rsid w:val="00021062"/>
    <w:rsid w:val="000213F2"/>
    <w:rsid w:val="0002142E"/>
    <w:rsid w:val="00021677"/>
    <w:rsid w:val="00021BD4"/>
    <w:rsid w:val="00021CB6"/>
    <w:rsid w:val="00021CF4"/>
    <w:rsid w:val="00022207"/>
    <w:rsid w:val="000222AA"/>
    <w:rsid w:val="0002263C"/>
    <w:rsid w:val="000232C6"/>
    <w:rsid w:val="00023496"/>
    <w:rsid w:val="00023512"/>
    <w:rsid w:val="000238D9"/>
    <w:rsid w:val="00023988"/>
    <w:rsid w:val="00023993"/>
    <w:rsid w:val="00023AFC"/>
    <w:rsid w:val="00023C02"/>
    <w:rsid w:val="00023CE6"/>
    <w:rsid w:val="00023DA1"/>
    <w:rsid w:val="00023E50"/>
    <w:rsid w:val="000241F2"/>
    <w:rsid w:val="00024229"/>
    <w:rsid w:val="000243C2"/>
    <w:rsid w:val="00024749"/>
    <w:rsid w:val="000248B0"/>
    <w:rsid w:val="000248FC"/>
    <w:rsid w:val="00024B10"/>
    <w:rsid w:val="00024BE4"/>
    <w:rsid w:val="00024C10"/>
    <w:rsid w:val="00024C24"/>
    <w:rsid w:val="00024DBD"/>
    <w:rsid w:val="00025317"/>
    <w:rsid w:val="00025457"/>
    <w:rsid w:val="0002548A"/>
    <w:rsid w:val="00025847"/>
    <w:rsid w:val="00025AC0"/>
    <w:rsid w:val="00025B20"/>
    <w:rsid w:val="00025DDE"/>
    <w:rsid w:val="00025E7B"/>
    <w:rsid w:val="0002601C"/>
    <w:rsid w:val="000260B6"/>
    <w:rsid w:val="00026557"/>
    <w:rsid w:val="0002673C"/>
    <w:rsid w:val="0002681C"/>
    <w:rsid w:val="00026957"/>
    <w:rsid w:val="00026A2E"/>
    <w:rsid w:val="000272C9"/>
    <w:rsid w:val="000274E6"/>
    <w:rsid w:val="000278A3"/>
    <w:rsid w:val="00027EF0"/>
    <w:rsid w:val="00030108"/>
    <w:rsid w:val="000301E6"/>
    <w:rsid w:val="000306EA"/>
    <w:rsid w:val="00030A31"/>
    <w:rsid w:val="00030B66"/>
    <w:rsid w:val="0003107F"/>
    <w:rsid w:val="00031090"/>
    <w:rsid w:val="000310D5"/>
    <w:rsid w:val="0003130A"/>
    <w:rsid w:val="00031679"/>
    <w:rsid w:val="00031B5E"/>
    <w:rsid w:val="00031B62"/>
    <w:rsid w:val="00031E39"/>
    <w:rsid w:val="00032082"/>
    <w:rsid w:val="00032125"/>
    <w:rsid w:val="0003272F"/>
    <w:rsid w:val="00032745"/>
    <w:rsid w:val="000327F3"/>
    <w:rsid w:val="00032921"/>
    <w:rsid w:val="000329B3"/>
    <w:rsid w:val="00032B90"/>
    <w:rsid w:val="00032BCB"/>
    <w:rsid w:val="00032D79"/>
    <w:rsid w:val="00033059"/>
    <w:rsid w:val="00033445"/>
    <w:rsid w:val="0003363C"/>
    <w:rsid w:val="00033B6C"/>
    <w:rsid w:val="00033C9C"/>
    <w:rsid w:val="00033D1C"/>
    <w:rsid w:val="00033E19"/>
    <w:rsid w:val="00034145"/>
    <w:rsid w:val="00034480"/>
    <w:rsid w:val="0003455E"/>
    <w:rsid w:val="00034678"/>
    <w:rsid w:val="00034C83"/>
    <w:rsid w:val="00035324"/>
    <w:rsid w:val="000353CA"/>
    <w:rsid w:val="0003540D"/>
    <w:rsid w:val="00035593"/>
    <w:rsid w:val="00035743"/>
    <w:rsid w:val="00035A44"/>
    <w:rsid w:val="00035A77"/>
    <w:rsid w:val="00035C90"/>
    <w:rsid w:val="00035DBA"/>
    <w:rsid w:val="00035E44"/>
    <w:rsid w:val="000360DB"/>
    <w:rsid w:val="000361FF"/>
    <w:rsid w:val="0003631D"/>
    <w:rsid w:val="000364DC"/>
    <w:rsid w:val="0003667B"/>
    <w:rsid w:val="0003678D"/>
    <w:rsid w:val="00036806"/>
    <w:rsid w:val="00036B55"/>
    <w:rsid w:val="00036B7C"/>
    <w:rsid w:val="00036E19"/>
    <w:rsid w:val="00036E99"/>
    <w:rsid w:val="00037161"/>
    <w:rsid w:val="000372BF"/>
    <w:rsid w:val="000372F8"/>
    <w:rsid w:val="000379A6"/>
    <w:rsid w:val="00037A67"/>
    <w:rsid w:val="00040251"/>
    <w:rsid w:val="00040581"/>
    <w:rsid w:val="00040956"/>
    <w:rsid w:val="00041074"/>
    <w:rsid w:val="00041490"/>
    <w:rsid w:val="00041627"/>
    <w:rsid w:val="00041691"/>
    <w:rsid w:val="0004184A"/>
    <w:rsid w:val="0004190B"/>
    <w:rsid w:val="00041C0C"/>
    <w:rsid w:val="00041F57"/>
    <w:rsid w:val="00042397"/>
    <w:rsid w:val="000429A3"/>
    <w:rsid w:val="00042C6B"/>
    <w:rsid w:val="00042D69"/>
    <w:rsid w:val="000431C3"/>
    <w:rsid w:val="000434C0"/>
    <w:rsid w:val="0004351A"/>
    <w:rsid w:val="000438B2"/>
    <w:rsid w:val="00043C3F"/>
    <w:rsid w:val="00043CD8"/>
    <w:rsid w:val="00044558"/>
    <w:rsid w:val="00044823"/>
    <w:rsid w:val="00044B73"/>
    <w:rsid w:val="00044D42"/>
    <w:rsid w:val="000458FA"/>
    <w:rsid w:val="000459EC"/>
    <w:rsid w:val="000460BD"/>
    <w:rsid w:val="000460E9"/>
    <w:rsid w:val="00046213"/>
    <w:rsid w:val="0004646F"/>
    <w:rsid w:val="00046F3F"/>
    <w:rsid w:val="0004733A"/>
    <w:rsid w:val="00047C99"/>
    <w:rsid w:val="0005013A"/>
    <w:rsid w:val="000502D7"/>
    <w:rsid w:val="0005039F"/>
    <w:rsid w:val="000505FA"/>
    <w:rsid w:val="00050625"/>
    <w:rsid w:val="000507EA"/>
    <w:rsid w:val="00050A8A"/>
    <w:rsid w:val="00050AF2"/>
    <w:rsid w:val="00050B00"/>
    <w:rsid w:val="00050B7F"/>
    <w:rsid w:val="000510FC"/>
    <w:rsid w:val="00051217"/>
    <w:rsid w:val="000519EC"/>
    <w:rsid w:val="00051A85"/>
    <w:rsid w:val="00051CB2"/>
    <w:rsid w:val="00051FEE"/>
    <w:rsid w:val="000521C1"/>
    <w:rsid w:val="00052247"/>
    <w:rsid w:val="000526E3"/>
    <w:rsid w:val="00052927"/>
    <w:rsid w:val="0005297E"/>
    <w:rsid w:val="00052B21"/>
    <w:rsid w:val="00052B33"/>
    <w:rsid w:val="00052BE1"/>
    <w:rsid w:val="00052C02"/>
    <w:rsid w:val="00052D98"/>
    <w:rsid w:val="0005314A"/>
    <w:rsid w:val="000531EA"/>
    <w:rsid w:val="00053BA6"/>
    <w:rsid w:val="00053BB2"/>
    <w:rsid w:val="00053D51"/>
    <w:rsid w:val="00053D8E"/>
    <w:rsid w:val="0005431A"/>
    <w:rsid w:val="0005432E"/>
    <w:rsid w:val="00054711"/>
    <w:rsid w:val="00054A00"/>
    <w:rsid w:val="00054A52"/>
    <w:rsid w:val="00054CB0"/>
    <w:rsid w:val="00055430"/>
    <w:rsid w:val="0005559C"/>
    <w:rsid w:val="00055923"/>
    <w:rsid w:val="00055D4F"/>
    <w:rsid w:val="0005600A"/>
    <w:rsid w:val="000562FB"/>
    <w:rsid w:val="00056503"/>
    <w:rsid w:val="000565B4"/>
    <w:rsid w:val="00056DB8"/>
    <w:rsid w:val="000571B2"/>
    <w:rsid w:val="000573F4"/>
    <w:rsid w:val="000577C6"/>
    <w:rsid w:val="00057F45"/>
    <w:rsid w:val="000603D4"/>
    <w:rsid w:val="00060D3C"/>
    <w:rsid w:val="00061509"/>
    <w:rsid w:val="00061D41"/>
    <w:rsid w:val="00062CBF"/>
    <w:rsid w:val="00062CCF"/>
    <w:rsid w:val="00062E04"/>
    <w:rsid w:val="00062F3D"/>
    <w:rsid w:val="00062FE0"/>
    <w:rsid w:val="000637C3"/>
    <w:rsid w:val="000637DE"/>
    <w:rsid w:val="00063C38"/>
    <w:rsid w:val="00063E7A"/>
    <w:rsid w:val="00064649"/>
    <w:rsid w:val="0006475A"/>
    <w:rsid w:val="0006480A"/>
    <w:rsid w:val="00064827"/>
    <w:rsid w:val="00064B91"/>
    <w:rsid w:val="00064CD1"/>
    <w:rsid w:val="00064E61"/>
    <w:rsid w:val="00065416"/>
    <w:rsid w:val="000655F2"/>
    <w:rsid w:val="000657C2"/>
    <w:rsid w:val="00065CE8"/>
    <w:rsid w:val="00066032"/>
    <w:rsid w:val="000660C9"/>
    <w:rsid w:val="000663E6"/>
    <w:rsid w:val="000665D7"/>
    <w:rsid w:val="00066901"/>
    <w:rsid w:val="00066DA5"/>
    <w:rsid w:val="00066E6B"/>
    <w:rsid w:val="00066F47"/>
    <w:rsid w:val="00067557"/>
    <w:rsid w:val="0006782A"/>
    <w:rsid w:val="00067B56"/>
    <w:rsid w:val="00067C3D"/>
    <w:rsid w:val="00067EEA"/>
    <w:rsid w:val="00067F05"/>
    <w:rsid w:val="000704A9"/>
    <w:rsid w:val="000705F5"/>
    <w:rsid w:val="00070880"/>
    <w:rsid w:val="00070A0E"/>
    <w:rsid w:val="00070A68"/>
    <w:rsid w:val="00070C72"/>
    <w:rsid w:val="00070DA9"/>
    <w:rsid w:val="00071054"/>
    <w:rsid w:val="000711E3"/>
    <w:rsid w:val="00071246"/>
    <w:rsid w:val="000717A5"/>
    <w:rsid w:val="00071AA6"/>
    <w:rsid w:val="00071ACC"/>
    <w:rsid w:val="00071BAF"/>
    <w:rsid w:val="00071C9C"/>
    <w:rsid w:val="00071CC6"/>
    <w:rsid w:val="000720B0"/>
    <w:rsid w:val="000727B5"/>
    <w:rsid w:val="000727EB"/>
    <w:rsid w:val="0007283F"/>
    <w:rsid w:val="00072A1E"/>
    <w:rsid w:val="00072B27"/>
    <w:rsid w:val="00074702"/>
    <w:rsid w:val="00074987"/>
    <w:rsid w:val="00074A7A"/>
    <w:rsid w:val="00074BEA"/>
    <w:rsid w:val="00074C77"/>
    <w:rsid w:val="00074D96"/>
    <w:rsid w:val="00075001"/>
    <w:rsid w:val="00075505"/>
    <w:rsid w:val="0007572E"/>
    <w:rsid w:val="000757B5"/>
    <w:rsid w:val="00075DE9"/>
    <w:rsid w:val="000761A1"/>
    <w:rsid w:val="000762FE"/>
    <w:rsid w:val="00076442"/>
    <w:rsid w:val="00076A9B"/>
    <w:rsid w:val="00076C88"/>
    <w:rsid w:val="00076E7C"/>
    <w:rsid w:val="00076EB4"/>
    <w:rsid w:val="00076FB9"/>
    <w:rsid w:val="000772AE"/>
    <w:rsid w:val="0007737D"/>
    <w:rsid w:val="00077BD9"/>
    <w:rsid w:val="00077EAC"/>
    <w:rsid w:val="00080118"/>
    <w:rsid w:val="000802C2"/>
    <w:rsid w:val="000802C4"/>
    <w:rsid w:val="00080AFC"/>
    <w:rsid w:val="00080B12"/>
    <w:rsid w:val="00080B49"/>
    <w:rsid w:val="000813F3"/>
    <w:rsid w:val="0008147C"/>
    <w:rsid w:val="0008161B"/>
    <w:rsid w:val="000816A3"/>
    <w:rsid w:val="00081C17"/>
    <w:rsid w:val="000820BB"/>
    <w:rsid w:val="0008229C"/>
    <w:rsid w:val="00082892"/>
    <w:rsid w:val="00082F42"/>
    <w:rsid w:val="000832D3"/>
    <w:rsid w:val="00083408"/>
    <w:rsid w:val="00083E45"/>
    <w:rsid w:val="000840A1"/>
    <w:rsid w:val="0008424D"/>
    <w:rsid w:val="00084BBD"/>
    <w:rsid w:val="00084F48"/>
    <w:rsid w:val="000850D9"/>
    <w:rsid w:val="000857BB"/>
    <w:rsid w:val="000858A8"/>
    <w:rsid w:val="000859A1"/>
    <w:rsid w:val="00085AE8"/>
    <w:rsid w:val="00085D3A"/>
    <w:rsid w:val="00085FAB"/>
    <w:rsid w:val="000861A8"/>
    <w:rsid w:val="000863D3"/>
    <w:rsid w:val="000864C9"/>
    <w:rsid w:val="000869BE"/>
    <w:rsid w:val="00087028"/>
    <w:rsid w:val="00087787"/>
    <w:rsid w:val="000879DE"/>
    <w:rsid w:val="00087BB6"/>
    <w:rsid w:val="00087F76"/>
    <w:rsid w:val="00090251"/>
    <w:rsid w:val="00090360"/>
    <w:rsid w:val="00090A80"/>
    <w:rsid w:val="00090D92"/>
    <w:rsid w:val="0009107B"/>
    <w:rsid w:val="00091096"/>
    <w:rsid w:val="000916E3"/>
    <w:rsid w:val="0009183F"/>
    <w:rsid w:val="00091978"/>
    <w:rsid w:val="00091AF2"/>
    <w:rsid w:val="00091AF6"/>
    <w:rsid w:val="00091B5C"/>
    <w:rsid w:val="00091C3E"/>
    <w:rsid w:val="00091C6D"/>
    <w:rsid w:val="00091C9E"/>
    <w:rsid w:val="0009219D"/>
    <w:rsid w:val="00092270"/>
    <w:rsid w:val="00092505"/>
    <w:rsid w:val="00092736"/>
    <w:rsid w:val="00092932"/>
    <w:rsid w:val="00092A0C"/>
    <w:rsid w:val="00092ADA"/>
    <w:rsid w:val="00093057"/>
    <w:rsid w:val="000931B8"/>
    <w:rsid w:val="00093937"/>
    <w:rsid w:val="00093BE2"/>
    <w:rsid w:val="00093D2F"/>
    <w:rsid w:val="00093D41"/>
    <w:rsid w:val="00094077"/>
    <w:rsid w:val="00094407"/>
    <w:rsid w:val="000946F4"/>
    <w:rsid w:val="000947F0"/>
    <w:rsid w:val="000947FF"/>
    <w:rsid w:val="00094870"/>
    <w:rsid w:val="0009489A"/>
    <w:rsid w:val="000948A3"/>
    <w:rsid w:val="00094C21"/>
    <w:rsid w:val="00094ECF"/>
    <w:rsid w:val="00094F97"/>
    <w:rsid w:val="0009546D"/>
    <w:rsid w:val="00095642"/>
    <w:rsid w:val="00095898"/>
    <w:rsid w:val="000958C0"/>
    <w:rsid w:val="00095969"/>
    <w:rsid w:val="00095AC8"/>
    <w:rsid w:val="00095FC8"/>
    <w:rsid w:val="000969FE"/>
    <w:rsid w:val="00096BF6"/>
    <w:rsid w:val="00096DAF"/>
    <w:rsid w:val="0009773C"/>
    <w:rsid w:val="000A027A"/>
    <w:rsid w:val="000A05F3"/>
    <w:rsid w:val="000A0AC8"/>
    <w:rsid w:val="000A0EAB"/>
    <w:rsid w:val="000A166C"/>
    <w:rsid w:val="000A16A2"/>
    <w:rsid w:val="000A18A2"/>
    <w:rsid w:val="000A236A"/>
    <w:rsid w:val="000A2390"/>
    <w:rsid w:val="000A2A2D"/>
    <w:rsid w:val="000A2AAE"/>
    <w:rsid w:val="000A2B37"/>
    <w:rsid w:val="000A2B6A"/>
    <w:rsid w:val="000A2C9F"/>
    <w:rsid w:val="000A3158"/>
    <w:rsid w:val="000A32ED"/>
    <w:rsid w:val="000A358F"/>
    <w:rsid w:val="000A37EF"/>
    <w:rsid w:val="000A415E"/>
    <w:rsid w:val="000A419A"/>
    <w:rsid w:val="000A4281"/>
    <w:rsid w:val="000A42CC"/>
    <w:rsid w:val="000A4A77"/>
    <w:rsid w:val="000A4B67"/>
    <w:rsid w:val="000A4F4D"/>
    <w:rsid w:val="000A5417"/>
    <w:rsid w:val="000A5ABE"/>
    <w:rsid w:val="000A5E33"/>
    <w:rsid w:val="000A612D"/>
    <w:rsid w:val="000A61C2"/>
    <w:rsid w:val="000A642B"/>
    <w:rsid w:val="000A65EE"/>
    <w:rsid w:val="000A6800"/>
    <w:rsid w:val="000A6A46"/>
    <w:rsid w:val="000A6C02"/>
    <w:rsid w:val="000A6CFB"/>
    <w:rsid w:val="000A71ED"/>
    <w:rsid w:val="000A73D9"/>
    <w:rsid w:val="000A767F"/>
    <w:rsid w:val="000A799D"/>
    <w:rsid w:val="000B00EA"/>
    <w:rsid w:val="000B012B"/>
    <w:rsid w:val="000B01DC"/>
    <w:rsid w:val="000B0314"/>
    <w:rsid w:val="000B0A15"/>
    <w:rsid w:val="000B0D33"/>
    <w:rsid w:val="000B0F10"/>
    <w:rsid w:val="000B12E6"/>
    <w:rsid w:val="000B1448"/>
    <w:rsid w:val="000B1BA1"/>
    <w:rsid w:val="000B1CD3"/>
    <w:rsid w:val="000B25C4"/>
    <w:rsid w:val="000B25CF"/>
    <w:rsid w:val="000B28B1"/>
    <w:rsid w:val="000B29A1"/>
    <w:rsid w:val="000B2AE0"/>
    <w:rsid w:val="000B2EDC"/>
    <w:rsid w:val="000B2F41"/>
    <w:rsid w:val="000B3024"/>
    <w:rsid w:val="000B309A"/>
    <w:rsid w:val="000B3460"/>
    <w:rsid w:val="000B36C5"/>
    <w:rsid w:val="000B3D5F"/>
    <w:rsid w:val="000B3EFD"/>
    <w:rsid w:val="000B464B"/>
    <w:rsid w:val="000B4A64"/>
    <w:rsid w:val="000B4A7C"/>
    <w:rsid w:val="000B4B94"/>
    <w:rsid w:val="000B50CB"/>
    <w:rsid w:val="000B552B"/>
    <w:rsid w:val="000B570B"/>
    <w:rsid w:val="000B5A4B"/>
    <w:rsid w:val="000B5AED"/>
    <w:rsid w:val="000B5B2B"/>
    <w:rsid w:val="000B5F52"/>
    <w:rsid w:val="000B65B9"/>
    <w:rsid w:val="000B6955"/>
    <w:rsid w:val="000B6A45"/>
    <w:rsid w:val="000B6BAA"/>
    <w:rsid w:val="000B6E9C"/>
    <w:rsid w:val="000B6ECE"/>
    <w:rsid w:val="000B715A"/>
    <w:rsid w:val="000B71EA"/>
    <w:rsid w:val="000B7603"/>
    <w:rsid w:val="000B76D7"/>
    <w:rsid w:val="000B7707"/>
    <w:rsid w:val="000B7CFA"/>
    <w:rsid w:val="000B7E4F"/>
    <w:rsid w:val="000C00DC"/>
    <w:rsid w:val="000C0132"/>
    <w:rsid w:val="000C02A4"/>
    <w:rsid w:val="000C0315"/>
    <w:rsid w:val="000C0C5C"/>
    <w:rsid w:val="000C0E4B"/>
    <w:rsid w:val="000C10F7"/>
    <w:rsid w:val="000C1CDA"/>
    <w:rsid w:val="000C2086"/>
    <w:rsid w:val="000C2167"/>
    <w:rsid w:val="000C2202"/>
    <w:rsid w:val="000C2809"/>
    <w:rsid w:val="000C29B7"/>
    <w:rsid w:val="000C2AA9"/>
    <w:rsid w:val="000C2B16"/>
    <w:rsid w:val="000C30BB"/>
    <w:rsid w:val="000C338E"/>
    <w:rsid w:val="000C33D1"/>
    <w:rsid w:val="000C3534"/>
    <w:rsid w:val="000C3785"/>
    <w:rsid w:val="000C47AC"/>
    <w:rsid w:val="000C4DA6"/>
    <w:rsid w:val="000C4E53"/>
    <w:rsid w:val="000C4EA6"/>
    <w:rsid w:val="000C5572"/>
    <w:rsid w:val="000C5BA6"/>
    <w:rsid w:val="000C5EBE"/>
    <w:rsid w:val="000C5F91"/>
    <w:rsid w:val="000C61BE"/>
    <w:rsid w:val="000C61CD"/>
    <w:rsid w:val="000C61FD"/>
    <w:rsid w:val="000C6243"/>
    <w:rsid w:val="000C629B"/>
    <w:rsid w:val="000C630F"/>
    <w:rsid w:val="000C632D"/>
    <w:rsid w:val="000C6B65"/>
    <w:rsid w:val="000C6F65"/>
    <w:rsid w:val="000C707E"/>
    <w:rsid w:val="000C74A9"/>
    <w:rsid w:val="000C7B98"/>
    <w:rsid w:val="000C7DB8"/>
    <w:rsid w:val="000D0014"/>
    <w:rsid w:val="000D0281"/>
    <w:rsid w:val="000D02A4"/>
    <w:rsid w:val="000D0A88"/>
    <w:rsid w:val="000D0A98"/>
    <w:rsid w:val="000D0BC6"/>
    <w:rsid w:val="000D0E86"/>
    <w:rsid w:val="000D14F4"/>
    <w:rsid w:val="000D16DF"/>
    <w:rsid w:val="000D1732"/>
    <w:rsid w:val="000D17A7"/>
    <w:rsid w:val="000D18D9"/>
    <w:rsid w:val="000D1A4D"/>
    <w:rsid w:val="000D1D24"/>
    <w:rsid w:val="000D1D7F"/>
    <w:rsid w:val="000D1FC9"/>
    <w:rsid w:val="000D2171"/>
    <w:rsid w:val="000D261A"/>
    <w:rsid w:val="000D2844"/>
    <w:rsid w:val="000D2F76"/>
    <w:rsid w:val="000D30C3"/>
    <w:rsid w:val="000D3147"/>
    <w:rsid w:val="000D3569"/>
    <w:rsid w:val="000D378A"/>
    <w:rsid w:val="000D381B"/>
    <w:rsid w:val="000D3A87"/>
    <w:rsid w:val="000D3D44"/>
    <w:rsid w:val="000D3EF2"/>
    <w:rsid w:val="000D42FA"/>
    <w:rsid w:val="000D44BC"/>
    <w:rsid w:val="000D4665"/>
    <w:rsid w:val="000D468D"/>
    <w:rsid w:val="000D488D"/>
    <w:rsid w:val="000D5365"/>
    <w:rsid w:val="000D5FD7"/>
    <w:rsid w:val="000D60F5"/>
    <w:rsid w:val="000D6E43"/>
    <w:rsid w:val="000D72DE"/>
    <w:rsid w:val="000D78F9"/>
    <w:rsid w:val="000D79C0"/>
    <w:rsid w:val="000D7CB0"/>
    <w:rsid w:val="000D7D9B"/>
    <w:rsid w:val="000D7E2B"/>
    <w:rsid w:val="000E015E"/>
    <w:rsid w:val="000E065C"/>
    <w:rsid w:val="000E0A05"/>
    <w:rsid w:val="000E0C9F"/>
    <w:rsid w:val="000E0CB3"/>
    <w:rsid w:val="000E0EE6"/>
    <w:rsid w:val="000E118B"/>
    <w:rsid w:val="000E121B"/>
    <w:rsid w:val="000E1627"/>
    <w:rsid w:val="000E173E"/>
    <w:rsid w:val="000E18A1"/>
    <w:rsid w:val="000E20F4"/>
    <w:rsid w:val="000E25BD"/>
    <w:rsid w:val="000E28DF"/>
    <w:rsid w:val="000E2A76"/>
    <w:rsid w:val="000E2B04"/>
    <w:rsid w:val="000E2C74"/>
    <w:rsid w:val="000E2C8A"/>
    <w:rsid w:val="000E2EFA"/>
    <w:rsid w:val="000E3206"/>
    <w:rsid w:val="000E328D"/>
    <w:rsid w:val="000E335B"/>
    <w:rsid w:val="000E3591"/>
    <w:rsid w:val="000E3E58"/>
    <w:rsid w:val="000E423A"/>
    <w:rsid w:val="000E43DE"/>
    <w:rsid w:val="000E4AAF"/>
    <w:rsid w:val="000E4DF1"/>
    <w:rsid w:val="000E504E"/>
    <w:rsid w:val="000E57CB"/>
    <w:rsid w:val="000E5900"/>
    <w:rsid w:val="000E6075"/>
    <w:rsid w:val="000E64E1"/>
    <w:rsid w:val="000E68F2"/>
    <w:rsid w:val="000E69F2"/>
    <w:rsid w:val="000E6B35"/>
    <w:rsid w:val="000E7381"/>
    <w:rsid w:val="000E752A"/>
    <w:rsid w:val="000E7616"/>
    <w:rsid w:val="000F06AA"/>
    <w:rsid w:val="000F0BD4"/>
    <w:rsid w:val="000F0CDC"/>
    <w:rsid w:val="000F1092"/>
    <w:rsid w:val="000F115A"/>
    <w:rsid w:val="000F14AB"/>
    <w:rsid w:val="000F1991"/>
    <w:rsid w:val="000F1ABE"/>
    <w:rsid w:val="000F1B58"/>
    <w:rsid w:val="000F1DD9"/>
    <w:rsid w:val="000F25B0"/>
    <w:rsid w:val="000F2637"/>
    <w:rsid w:val="000F2B34"/>
    <w:rsid w:val="000F2B5F"/>
    <w:rsid w:val="000F2BB2"/>
    <w:rsid w:val="000F2D20"/>
    <w:rsid w:val="000F2D33"/>
    <w:rsid w:val="000F2E4F"/>
    <w:rsid w:val="000F3653"/>
    <w:rsid w:val="000F3C18"/>
    <w:rsid w:val="000F3F36"/>
    <w:rsid w:val="000F4228"/>
    <w:rsid w:val="000F4640"/>
    <w:rsid w:val="000F47D8"/>
    <w:rsid w:val="000F48D4"/>
    <w:rsid w:val="000F4D19"/>
    <w:rsid w:val="000F52D0"/>
    <w:rsid w:val="000F530B"/>
    <w:rsid w:val="000F5665"/>
    <w:rsid w:val="000F5AA7"/>
    <w:rsid w:val="000F5B10"/>
    <w:rsid w:val="000F5F5D"/>
    <w:rsid w:val="000F5F83"/>
    <w:rsid w:val="000F6401"/>
    <w:rsid w:val="000F657D"/>
    <w:rsid w:val="000F6EFE"/>
    <w:rsid w:val="000F70FF"/>
    <w:rsid w:val="000F7104"/>
    <w:rsid w:val="000F7291"/>
    <w:rsid w:val="000F738A"/>
    <w:rsid w:val="000F76F3"/>
    <w:rsid w:val="000F79D8"/>
    <w:rsid w:val="000F7EBD"/>
    <w:rsid w:val="000F7EF0"/>
    <w:rsid w:val="0010034C"/>
    <w:rsid w:val="00100685"/>
    <w:rsid w:val="0010076C"/>
    <w:rsid w:val="0010102B"/>
    <w:rsid w:val="00101502"/>
    <w:rsid w:val="0010174F"/>
    <w:rsid w:val="00101796"/>
    <w:rsid w:val="00101977"/>
    <w:rsid w:val="00101B35"/>
    <w:rsid w:val="00101DA2"/>
    <w:rsid w:val="00101E25"/>
    <w:rsid w:val="001025AE"/>
    <w:rsid w:val="001027F5"/>
    <w:rsid w:val="001027F9"/>
    <w:rsid w:val="001029DC"/>
    <w:rsid w:val="00102CBC"/>
    <w:rsid w:val="00102F71"/>
    <w:rsid w:val="00102FC7"/>
    <w:rsid w:val="0010300F"/>
    <w:rsid w:val="0010315C"/>
    <w:rsid w:val="001032A9"/>
    <w:rsid w:val="00103D31"/>
    <w:rsid w:val="001040C1"/>
    <w:rsid w:val="00105259"/>
    <w:rsid w:val="00105423"/>
    <w:rsid w:val="001054C5"/>
    <w:rsid w:val="0010565E"/>
    <w:rsid w:val="001058A6"/>
    <w:rsid w:val="00105B13"/>
    <w:rsid w:val="00105EE7"/>
    <w:rsid w:val="001065A6"/>
    <w:rsid w:val="001066AF"/>
    <w:rsid w:val="0010685D"/>
    <w:rsid w:val="00106937"/>
    <w:rsid w:val="00106E99"/>
    <w:rsid w:val="00107C38"/>
    <w:rsid w:val="001104A7"/>
    <w:rsid w:val="00110578"/>
    <w:rsid w:val="00110585"/>
    <w:rsid w:val="001108EB"/>
    <w:rsid w:val="00110AED"/>
    <w:rsid w:val="00110BE0"/>
    <w:rsid w:val="00110E64"/>
    <w:rsid w:val="00110F5D"/>
    <w:rsid w:val="00110FA1"/>
    <w:rsid w:val="00110FD5"/>
    <w:rsid w:val="001111B6"/>
    <w:rsid w:val="00111250"/>
    <w:rsid w:val="001114E3"/>
    <w:rsid w:val="0011199E"/>
    <w:rsid w:val="00111BE3"/>
    <w:rsid w:val="00111CC1"/>
    <w:rsid w:val="00111EC8"/>
    <w:rsid w:val="0011239C"/>
    <w:rsid w:val="00112419"/>
    <w:rsid w:val="0011252C"/>
    <w:rsid w:val="00112921"/>
    <w:rsid w:val="001129FF"/>
    <w:rsid w:val="00112B55"/>
    <w:rsid w:val="00112D6D"/>
    <w:rsid w:val="00112E01"/>
    <w:rsid w:val="00112E86"/>
    <w:rsid w:val="0011343B"/>
    <w:rsid w:val="00113B7A"/>
    <w:rsid w:val="00113C85"/>
    <w:rsid w:val="00113E73"/>
    <w:rsid w:val="00114139"/>
    <w:rsid w:val="0011427D"/>
    <w:rsid w:val="001142D1"/>
    <w:rsid w:val="001143D3"/>
    <w:rsid w:val="001145BE"/>
    <w:rsid w:val="0011471D"/>
    <w:rsid w:val="00114934"/>
    <w:rsid w:val="0011496F"/>
    <w:rsid w:val="00114C56"/>
    <w:rsid w:val="00114CFF"/>
    <w:rsid w:val="00114D0C"/>
    <w:rsid w:val="001153D6"/>
    <w:rsid w:val="001155F9"/>
    <w:rsid w:val="00115619"/>
    <w:rsid w:val="00115813"/>
    <w:rsid w:val="0011581A"/>
    <w:rsid w:val="0011583E"/>
    <w:rsid w:val="00116054"/>
    <w:rsid w:val="001161F8"/>
    <w:rsid w:val="001162D6"/>
    <w:rsid w:val="001163B0"/>
    <w:rsid w:val="00116501"/>
    <w:rsid w:val="001169BF"/>
    <w:rsid w:val="001169C0"/>
    <w:rsid w:val="001170EC"/>
    <w:rsid w:val="00117104"/>
    <w:rsid w:val="00117874"/>
    <w:rsid w:val="00117C73"/>
    <w:rsid w:val="00117D88"/>
    <w:rsid w:val="00117EB5"/>
    <w:rsid w:val="00117EED"/>
    <w:rsid w:val="00120243"/>
    <w:rsid w:val="001202B2"/>
    <w:rsid w:val="00120363"/>
    <w:rsid w:val="001203A2"/>
    <w:rsid w:val="0012047A"/>
    <w:rsid w:val="00121DAB"/>
    <w:rsid w:val="00122149"/>
    <w:rsid w:val="0012236F"/>
    <w:rsid w:val="0012246D"/>
    <w:rsid w:val="0012289F"/>
    <w:rsid w:val="00122ABD"/>
    <w:rsid w:val="00122C62"/>
    <w:rsid w:val="00122D60"/>
    <w:rsid w:val="0012310F"/>
    <w:rsid w:val="001233EF"/>
    <w:rsid w:val="0012347E"/>
    <w:rsid w:val="001235C2"/>
    <w:rsid w:val="00123972"/>
    <w:rsid w:val="00123AA3"/>
    <w:rsid w:val="00123B86"/>
    <w:rsid w:val="00123C6E"/>
    <w:rsid w:val="00123D83"/>
    <w:rsid w:val="0012408F"/>
    <w:rsid w:val="00125142"/>
    <w:rsid w:val="001253F6"/>
    <w:rsid w:val="001256E3"/>
    <w:rsid w:val="00125910"/>
    <w:rsid w:val="00125B93"/>
    <w:rsid w:val="001264C1"/>
    <w:rsid w:val="001267BD"/>
    <w:rsid w:val="00126809"/>
    <w:rsid w:val="00126E88"/>
    <w:rsid w:val="001273A8"/>
    <w:rsid w:val="001278E9"/>
    <w:rsid w:val="001278FF"/>
    <w:rsid w:val="00127F76"/>
    <w:rsid w:val="00127F8D"/>
    <w:rsid w:val="001302CA"/>
    <w:rsid w:val="001305E1"/>
    <w:rsid w:val="001308D6"/>
    <w:rsid w:val="00130A2D"/>
    <w:rsid w:val="00130C63"/>
    <w:rsid w:val="00130F82"/>
    <w:rsid w:val="0013130B"/>
    <w:rsid w:val="001314CF"/>
    <w:rsid w:val="00131668"/>
    <w:rsid w:val="00131672"/>
    <w:rsid w:val="001316A1"/>
    <w:rsid w:val="00131998"/>
    <w:rsid w:val="00131AD6"/>
    <w:rsid w:val="00131DEF"/>
    <w:rsid w:val="00131EC9"/>
    <w:rsid w:val="0013296F"/>
    <w:rsid w:val="00133258"/>
    <w:rsid w:val="001336AA"/>
    <w:rsid w:val="001337C5"/>
    <w:rsid w:val="00133B60"/>
    <w:rsid w:val="0013430B"/>
    <w:rsid w:val="00134931"/>
    <w:rsid w:val="00134B61"/>
    <w:rsid w:val="00134E1A"/>
    <w:rsid w:val="00134EF6"/>
    <w:rsid w:val="00134F96"/>
    <w:rsid w:val="00135072"/>
    <w:rsid w:val="001352BD"/>
    <w:rsid w:val="001353E1"/>
    <w:rsid w:val="00135430"/>
    <w:rsid w:val="0013561C"/>
    <w:rsid w:val="00135767"/>
    <w:rsid w:val="00135B2C"/>
    <w:rsid w:val="00135BD0"/>
    <w:rsid w:val="00135FE9"/>
    <w:rsid w:val="0013625B"/>
    <w:rsid w:val="001365B0"/>
    <w:rsid w:val="0013664B"/>
    <w:rsid w:val="001367E1"/>
    <w:rsid w:val="00136849"/>
    <w:rsid w:val="00136E0F"/>
    <w:rsid w:val="00136F01"/>
    <w:rsid w:val="0013741D"/>
    <w:rsid w:val="00137684"/>
    <w:rsid w:val="001403EC"/>
    <w:rsid w:val="001406E8"/>
    <w:rsid w:val="001409AD"/>
    <w:rsid w:val="00140B0F"/>
    <w:rsid w:val="00140B21"/>
    <w:rsid w:val="001412D3"/>
    <w:rsid w:val="0014146F"/>
    <w:rsid w:val="001414DA"/>
    <w:rsid w:val="00141AD0"/>
    <w:rsid w:val="00141B90"/>
    <w:rsid w:val="00141EE6"/>
    <w:rsid w:val="00141F74"/>
    <w:rsid w:val="00142190"/>
    <w:rsid w:val="00142498"/>
    <w:rsid w:val="00142554"/>
    <w:rsid w:val="00142B17"/>
    <w:rsid w:val="00142FA5"/>
    <w:rsid w:val="00143229"/>
    <w:rsid w:val="0014361A"/>
    <w:rsid w:val="001436A3"/>
    <w:rsid w:val="0014381D"/>
    <w:rsid w:val="00143EA5"/>
    <w:rsid w:val="00143FD3"/>
    <w:rsid w:val="00144215"/>
    <w:rsid w:val="0014454D"/>
    <w:rsid w:val="00144D9F"/>
    <w:rsid w:val="00144E53"/>
    <w:rsid w:val="00145751"/>
    <w:rsid w:val="00145A1C"/>
    <w:rsid w:val="00145DC6"/>
    <w:rsid w:val="001461F9"/>
    <w:rsid w:val="00146565"/>
    <w:rsid w:val="0014657B"/>
    <w:rsid w:val="00146686"/>
    <w:rsid w:val="0014687B"/>
    <w:rsid w:val="00146885"/>
    <w:rsid w:val="00146CA1"/>
    <w:rsid w:val="00147403"/>
    <w:rsid w:val="001474A0"/>
    <w:rsid w:val="001476DA"/>
    <w:rsid w:val="00147C94"/>
    <w:rsid w:val="001501AF"/>
    <w:rsid w:val="001503DE"/>
    <w:rsid w:val="00150F59"/>
    <w:rsid w:val="001510BA"/>
    <w:rsid w:val="001511E9"/>
    <w:rsid w:val="00151456"/>
    <w:rsid w:val="00151532"/>
    <w:rsid w:val="001516EA"/>
    <w:rsid w:val="0015174B"/>
    <w:rsid w:val="00151C0E"/>
    <w:rsid w:val="00151DAE"/>
    <w:rsid w:val="00152242"/>
    <w:rsid w:val="0015224F"/>
    <w:rsid w:val="00152489"/>
    <w:rsid w:val="00152798"/>
    <w:rsid w:val="00152BF9"/>
    <w:rsid w:val="00152FC2"/>
    <w:rsid w:val="001530D2"/>
    <w:rsid w:val="001530F5"/>
    <w:rsid w:val="00153153"/>
    <w:rsid w:val="00154129"/>
    <w:rsid w:val="001548E3"/>
    <w:rsid w:val="00154D66"/>
    <w:rsid w:val="00154D76"/>
    <w:rsid w:val="00154D8C"/>
    <w:rsid w:val="00154F05"/>
    <w:rsid w:val="00155041"/>
    <w:rsid w:val="00155301"/>
    <w:rsid w:val="00155388"/>
    <w:rsid w:val="00155395"/>
    <w:rsid w:val="00155710"/>
    <w:rsid w:val="00155B5F"/>
    <w:rsid w:val="00155D6F"/>
    <w:rsid w:val="0015625C"/>
    <w:rsid w:val="00156CAB"/>
    <w:rsid w:val="00157371"/>
    <w:rsid w:val="00157750"/>
    <w:rsid w:val="00157778"/>
    <w:rsid w:val="001577FB"/>
    <w:rsid w:val="00157BE7"/>
    <w:rsid w:val="001600A3"/>
    <w:rsid w:val="001602D1"/>
    <w:rsid w:val="00160517"/>
    <w:rsid w:val="00160AAA"/>
    <w:rsid w:val="00160ABF"/>
    <w:rsid w:val="00160F25"/>
    <w:rsid w:val="00160F93"/>
    <w:rsid w:val="001610B9"/>
    <w:rsid w:val="00161283"/>
    <w:rsid w:val="00161318"/>
    <w:rsid w:val="00161970"/>
    <w:rsid w:val="00161AF5"/>
    <w:rsid w:val="0016221E"/>
    <w:rsid w:val="0016243C"/>
    <w:rsid w:val="0016293F"/>
    <w:rsid w:val="001629D4"/>
    <w:rsid w:val="00162CD5"/>
    <w:rsid w:val="00162DDE"/>
    <w:rsid w:val="00162E15"/>
    <w:rsid w:val="00162F76"/>
    <w:rsid w:val="00163252"/>
    <w:rsid w:val="0016396E"/>
    <w:rsid w:val="00163F0E"/>
    <w:rsid w:val="00164B17"/>
    <w:rsid w:val="00164BDD"/>
    <w:rsid w:val="00164E4D"/>
    <w:rsid w:val="00164F90"/>
    <w:rsid w:val="0016500D"/>
    <w:rsid w:val="001652D5"/>
    <w:rsid w:val="001652F4"/>
    <w:rsid w:val="00165709"/>
    <w:rsid w:val="00165A4D"/>
    <w:rsid w:val="00165DB8"/>
    <w:rsid w:val="00165E04"/>
    <w:rsid w:val="001669A3"/>
    <w:rsid w:val="00166BBC"/>
    <w:rsid w:val="00166EC5"/>
    <w:rsid w:val="00167337"/>
    <w:rsid w:val="0016740C"/>
    <w:rsid w:val="00167429"/>
    <w:rsid w:val="00167543"/>
    <w:rsid w:val="00167774"/>
    <w:rsid w:val="00167C0B"/>
    <w:rsid w:val="00167DA6"/>
    <w:rsid w:val="00170377"/>
    <w:rsid w:val="001708AE"/>
    <w:rsid w:val="00170957"/>
    <w:rsid w:val="00170A90"/>
    <w:rsid w:val="00170C4E"/>
    <w:rsid w:val="00170D3C"/>
    <w:rsid w:val="00170DF0"/>
    <w:rsid w:val="001710E5"/>
    <w:rsid w:val="001712E5"/>
    <w:rsid w:val="00171507"/>
    <w:rsid w:val="00171523"/>
    <w:rsid w:val="001715E5"/>
    <w:rsid w:val="00171DB0"/>
    <w:rsid w:val="00171F3B"/>
    <w:rsid w:val="00172228"/>
    <w:rsid w:val="001726F2"/>
    <w:rsid w:val="00172784"/>
    <w:rsid w:val="00172C2E"/>
    <w:rsid w:val="00172EF0"/>
    <w:rsid w:val="00172F38"/>
    <w:rsid w:val="00173419"/>
    <w:rsid w:val="001735E3"/>
    <w:rsid w:val="00173606"/>
    <w:rsid w:val="00173A96"/>
    <w:rsid w:val="00173C5D"/>
    <w:rsid w:val="00173D89"/>
    <w:rsid w:val="001742EA"/>
    <w:rsid w:val="001746EF"/>
    <w:rsid w:val="001746F2"/>
    <w:rsid w:val="001748AE"/>
    <w:rsid w:val="00174B1A"/>
    <w:rsid w:val="00174CC2"/>
    <w:rsid w:val="00174CE6"/>
    <w:rsid w:val="00174DEB"/>
    <w:rsid w:val="00174FD0"/>
    <w:rsid w:val="00175019"/>
    <w:rsid w:val="00175059"/>
    <w:rsid w:val="00175297"/>
    <w:rsid w:val="001752FA"/>
    <w:rsid w:val="00175312"/>
    <w:rsid w:val="00175387"/>
    <w:rsid w:val="001753B1"/>
    <w:rsid w:val="001753B2"/>
    <w:rsid w:val="001753EC"/>
    <w:rsid w:val="0017540C"/>
    <w:rsid w:val="001755E5"/>
    <w:rsid w:val="001756CB"/>
    <w:rsid w:val="00175AB1"/>
    <w:rsid w:val="00175D50"/>
    <w:rsid w:val="00176444"/>
    <w:rsid w:val="00176BB0"/>
    <w:rsid w:val="00176DBF"/>
    <w:rsid w:val="00176E66"/>
    <w:rsid w:val="001773E6"/>
    <w:rsid w:val="00177580"/>
    <w:rsid w:val="001775C9"/>
    <w:rsid w:val="001775D8"/>
    <w:rsid w:val="00177A4D"/>
    <w:rsid w:val="00177ABA"/>
    <w:rsid w:val="00177B5C"/>
    <w:rsid w:val="00177C55"/>
    <w:rsid w:val="00177F28"/>
    <w:rsid w:val="00177FEC"/>
    <w:rsid w:val="001800E8"/>
    <w:rsid w:val="001801E0"/>
    <w:rsid w:val="0018069C"/>
    <w:rsid w:val="00180BAA"/>
    <w:rsid w:val="00180EA2"/>
    <w:rsid w:val="00180F83"/>
    <w:rsid w:val="00181112"/>
    <w:rsid w:val="00181175"/>
    <w:rsid w:val="00181825"/>
    <w:rsid w:val="00181AD9"/>
    <w:rsid w:val="00181BBF"/>
    <w:rsid w:val="00181BC9"/>
    <w:rsid w:val="00181C0F"/>
    <w:rsid w:val="001820C9"/>
    <w:rsid w:val="00182CDC"/>
    <w:rsid w:val="0018346C"/>
    <w:rsid w:val="00183584"/>
    <w:rsid w:val="001835C2"/>
    <w:rsid w:val="001837FE"/>
    <w:rsid w:val="00183C6B"/>
    <w:rsid w:val="00183D7A"/>
    <w:rsid w:val="001840E1"/>
    <w:rsid w:val="00184513"/>
    <w:rsid w:val="00184C98"/>
    <w:rsid w:val="00184FD7"/>
    <w:rsid w:val="001851CF"/>
    <w:rsid w:val="00185495"/>
    <w:rsid w:val="001859A9"/>
    <w:rsid w:val="00185D2C"/>
    <w:rsid w:val="00185E6A"/>
    <w:rsid w:val="001860FF"/>
    <w:rsid w:val="001862C6"/>
    <w:rsid w:val="0018637B"/>
    <w:rsid w:val="0018687A"/>
    <w:rsid w:val="00186A14"/>
    <w:rsid w:val="00186B21"/>
    <w:rsid w:val="00186D73"/>
    <w:rsid w:val="001871DE"/>
    <w:rsid w:val="00187206"/>
    <w:rsid w:val="0018764B"/>
    <w:rsid w:val="00187897"/>
    <w:rsid w:val="001878BE"/>
    <w:rsid w:val="001879A0"/>
    <w:rsid w:val="00187A8D"/>
    <w:rsid w:val="00187E8D"/>
    <w:rsid w:val="0019001C"/>
    <w:rsid w:val="00190150"/>
    <w:rsid w:val="001903EA"/>
    <w:rsid w:val="001907A7"/>
    <w:rsid w:val="00190A22"/>
    <w:rsid w:val="00191683"/>
    <w:rsid w:val="00191ADC"/>
    <w:rsid w:val="00191B0D"/>
    <w:rsid w:val="00191BAE"/>
    <w:rsid w:val="00191CF7"/>
    <w:rsid w:val="00191F09"/>
    <w:rsid w:val="001920B8"/>
    <w:rsid w:val="001925C3"/>
    <w:rsid w:val="0019270B"/>
    <w:rsid w:val="00192817"/>
    <w:rsid w:val="00192A16"/>
    <w:rsid w:val="00192A3A"/>
    <w:rsid w:val="00192E8B"/>
    <w:rsid w:val="0019312A"/>
    <w:rsid w:val="0019324F"/>
    <w:rsid w:val="00193259"/>
    <w:rsid w:val="001932DD"/>
    <w:rsid w:val="001932F5"/>
    <w:rsid w:val="00193470"/>
    <w:rsid w:val="0019382F"/>
    <w:rsid w:val="00193DDD"/>
    <w:rsid w:val="00194241"/>
    <w:rsid w:val="00194665"/>
    <w:rsid w:val="0019494C"/>
    <w:rsid w:val="00194A30"/>
    <w:rsid w:val="0019530A"/>
    <w:rsid w:val="001954B4"/>
    <w:rsid w:val="0019573A"/>
    <w:rsid w:val="00195BE3"/>
    <w:rsid w:val="00195C91"/>
    <w:rsid w:val="00195D7B"/>
    <w:rsid w:val="001961FF"/>
    <w:rsid w:val="001962EF"/>
    <w:rsid w:val="001971CF"/>
    <w:rsid w:val="00197A2C"/>
    <w:rsid w:val="00197ACA"/>
    <w:rsid w:val="00197C6A"/>
    <w:rsid w:val="00197E64"/>
    <w:rsid w:val="001A0616"/>
    <w:rsid w:val="001A078B"/>
    <w:rsid w:val="001A0C28"/>
    <w:rsid w:val="001A0C35"/>
    <w:rsid w:val="001A0E1B"/>
    <w:rsid w:val="001A1200"/>
    <w:rsid w:val="001A1262"/>
    <w:rsid w:val="001A12B6"/>
    <w:rsid w:val="001A19CC"/>
    <w:rsid w:val="001A1ACB"/>
    <w:rsid w:val="001A1D68"/>
    <w:rsid w:val="001A1E83"/>
    <w:rsid w:val="001A1E84"/>
    <w:rsid w:val="001A28AB"/>
    <w:rsid w:val="001A2CD2"/>
    <w:rsid w:val="001A2E37"/>
    <w:rsid w:val="001A325B"/>
    <w:rsid w:val="001A32EA"/>
    <w:rsid w:val="001A35E3"/>
    <w:rsid w:val="001A3618"/>
    <w:rsid w:val="001A39AC"/>
    <w:rsid w:val="001A3FEE"/>
    <w:rsid w:val="001A420A"/>
    <w:rsid w:val="001A46AD"/>
    <w:rsid w:val="001A489B"/>
    <w:rsid w:val="001A496F"/>
    <w:rsid w:val="001A4D32"/>
    <w:rsid w:val="001A4F00"/>
    <w:rsid w:val="001A4F11"/>
    <w:rsid w:val="001A5752"/>
    <w:rsid w:val="001A6045"/>
    <w:rsid w:val="001A6157"/>
    <w:rsid w:val="001A651D"/>
    <w:rsid w:val="001A71F0"/>
    <w:rsid w:val="001A776F"/>
    <w:rsid w:val="001A7861"/>
    <w:rsid w:val="001A7BC4"/>
    <w:rsid w:val="001A7D82"/>
    <w:rsid w:val="001A7FE3"/>
    <w:rsid w:val="001B00F8"/>
    <w:rsid w:val="001B0416"/>
    <w:rsid w:val="001B06D5"/>
    <w:rsid w:val="001B07D3"/>
    <w:rsid w:val="001B090C"/>
    <w:rsid w:val="001B0CF5"/>
    <w:rsid w:val="001B0E1B"/>
    <w:rsid w:val="001B1462"/>
    <w:rsid w:val="001B16B6"/>
    <w:rsid w:val="001B183F"/>
    <w:rsid w:val="001B1C14"/>
    <w:rsid w:val="001B2545"/>
    <w:rsid w:val="001B2B1D"/>
    <w:rsid w:val="001B2D7D"/>
    <w:rsid w:val="001B3186"/>
    <w:rsid w:val="001B327E"/>
    <w:rsid w:val="001B33EB"/>
    <w:rsid w:val="001B3600"/>
    <w:rsid w:val="001B3955"/>
    <w:rsid w:val="001B3A6A"/>
    <w:rsid w:val="001B3D9F"/>
    <w:rsid w:val="001B40C7"/>
    <w:rsid w:val="001B4231"/>
    <w:rsid w:val="001B4389"/>
    <w:rsid w:val="001B43CE"/>
    <w:rsid w:val="001B4519"/>
    <w:rsid w:val="001B4B56"/>
    <w:rsid w:val="001B4B68"/>
    <w:rsid w:val="001B533D"/>
    <w:rsid w:val="001B5888"/>
    <w:rsid w:val="001B5C32"/>
    <w:rsid w:val="001B5D2A"/>
    <w:rsid w:val="001B5DFC"/>
    <w:rsid w:val="001B5F57"/>
    <w:rsid w:val="001B60A6"/>
    <w:rsid w:val="001B671B"/>
    <w:rsid w:val="001B68D8"/>
    <w:rsid w:val="001B6BBF"/>
    <w:rsid w:val="001B6DA1"/>
    <w:rsid w:val="001B6F16"/>
    <w:rsid w:val="001B7765"/>
    <w:rsid w:val="001C01DF"/>
    <w:rsid w:val="001C051D"/>
    <w:rsid w:val="001C05F4"/>
    <w:rsid w:val="001C0842"/>
    <w:rsid w:val="001C09D0"/>
    <w:rsid w:val="001C0F03"/>
    <w:rsid w:val="001C10D7"/>
    <w:rsid w:val="001C11E5"/>
    <w:rsid w:val="001C15FC"/>
    <w:rsid w:val="001C1A79"/>
    <w:rsid w:val="001C20DC"/>
    <w:rsid w:val="001C2169"/>
    <w:rsid w:val="001C2587"/>
    <w:rsid w:val="001C2594"/>
    <w:rsid w:val="001C291F"/>
    <w:rsid w:val="001C2A7C"/>
    <w:rsid w:val="001C2AF8"/>
    <w:rsid w:val="001C3760"/>
    <w:rsid w:val="001C38B7"/>
    <w:rsid w:val="001C38ED"/>
    <w:rsid w:val="001C3FE9"/>
    <w:rsid w:val="001C501A"/>
    <w:rsid w:val="001C5534"/>
    <w:rsid w:val="001C558B"/>
    <w:rsid w:val="001C5D5C"/>
    <w:rsid w:val="001C5DDA"/>
    <w:rsid w:val="001C62E5"/>
    <w:rsid w:val="001C639C"/>
    <w:rsid w:val="001C68EF"/>
    <w:rsid w:val="001C6BF4"/>
    <w:rsid w:val="001C6FB4"/>
    <w:rsid w:val="001C70E0"/>
    <w:rsid w:val="001C7718"/>
    <w:rsid w:val="001C7845"/>
    <w:rsid w:val="001C7925"/>
    <w:rsid w:val="001C79C0"/>
    <w:rsid w:val="001C7EB4"/>
    <w:rsid w:val="001D06AD"/>
    <w:rsid w:val="001D0AD1"/>
    <w:rsid w:val="001D0B0A"/>
    <w:rsid w:val="001D0FF6"/>
    <w:rsid w:val="001D1028"/>
    <w:rsid w:val="001D1A65"/>
    <w:rsid w:val="001D1E6C"/>
    <w:rsid w:val="001D1E8A"/>
    <w:rsid w:val="001D1EE4"/>
    <w:rsid w:val="001D1FB2"/>
    <w:rsid w:val="001D27E1"/>
    <w:rsid w:val="001D2BE1"/>
    <w:rsid w:val="001D32C9"/>
    <w:rsid w:val="001D369C"/>
    <w:rsid w:val="001D385A"/>
    <w:rsid w:val="001D396D"/>
    <w:rsid w:val="001D3A52"/>
    <w:rsid w:val="001D3BED"/>
    <w:rsid w:val="001D3D3A"/>
    <w:rsid w:val="001D4C01"/>
    <w:rsid w:val="001D513F"/>
    <w:rsid w:val="001D5210"/>
    <w:rsid w:val="001D53E1"/>
    <w:rsid w:val="001D5C36"/>
    <w:rsid w:val="001D60A5"/>
    <w:rsid w:val="001D6498"/>
    <w:rsid w:val="001D682D"/>
    <w:rsid w:val="001D6872"/>
    <w:rsid w:val="001D6B14"/>
    <w:rsid w:val="001D6BB5"/>
    <w:rsid w:val="001D6CB3"/>
    <w:rsid w:val="001D7301"/>
    <w:rsid w:val="001D74F3"/>
    <w:rsid w:val="001D7743"/>
    <w:rsid w:val="001D791C"/>
    <w:rsid w:val="001D7B08"/>
    <w:rsid w:val="001D7B52"/>
    <w:rsid w:val="001D7DE8"/>
    <w:rsid w:val="001E02A5"/>
    <w:rsid w:val="001E0434"/>
    <w:rsid w:val="001E0591"/>
    <w:rsid w:val="001E0594"/>
    <w:rsid w:val="001E0661"/>
    <w:rsid w:val="001E06D5"/>
    <w:rsid w:val="001E07ED"/>
    <w:rsid w:val="001E0AFD"/>
    <w:rsid w:val="001E0CFA"/>
    <w:rsid w:val="001E0E36"/>
    <w:rsid w:val="001E0F8F"/>
    <w:rsid w:val="001E0FDE"/>
    <w:rsid w:val="001E118C"/>
    <w:rsid w:val="001E17B3"/>
    <w:rsid w:val="001E1A31"/>
    <w:rsid w:val="001E1C00"/>
    <w:rsid w:val="001E214E"/>
    <w:rsid w:val="001E23D9"/>
    <w:rsid w:val="001E2680"/>
    <w:rsid w:val="001E29C5"/>
    <w:rsid w:val="001E2BDE"/>
    <w:rsid w:val="001E2F22"/>
    <w:rsid w:val="001E3133"/>
    <w:rsid w:val="001E3138"/>
    <w:rsid w:val="001E3366"/>
    <w:rsid w:val="001E3539"/>
    <w:rsid w:val="001E376B"/>
    <w:rsid w:val="001E3CC6"/>
    <w:rsid w:val="001E422E"/>
    <w:rsid w:val="001E4334"/>
    <w:rsid w:val="001E47FE"/>
    <w:rsid w:val="001E5D54"/>
    <w:rsid w:val="001E63B2"/>
    <w:rsid w:val="001E672D"/>
    <w:rsid w:val="001E6805"/>
    <w:rsid w:val="001E6CAE"/>
    <w:rsid w:val="001E7519"/>
    <w:rsid w:val="001E7ACA"/>
    <w:rsid w:val="001E7AF3"/>
    <w:rsid w:val="001E7CCF"/>
    <w:rsid w:val="001E7D18"/>
    <w:rsid w:val="001E7D27"/>
    <w:rsid w:val="001E7E16"/>
    <w:rsid w:val="001F0274"/>
    <w:rsid w:val="001F0738"/>
    <w:rsid w:val="001F09CD"/>
    <w:rsid w:val="001F0AE1"/>
    <w:rsid w:val="001F0CCE"/>
    <w:rsid w:val="001F0EAA"/>
    <w:rsid w:val="001F0FE1"/>
    <w:rsid w:val="001F0FE6"/>
    <w:rsid w:val="001F101D"/>
    <w:rsid w:val="001F113D"/>
    <w:rsid w:val="001F18D7"/>
    <w:rsid w:val="001F1904"/>
    <w:rsid w:val="001F1E5F"/>
    <w:rsid w:val="001F1E61"/>
    <w:rsid w:val="001F1EAC"/>
    <w:rsid w:val="001F2004"/>
    <w:rsid w:val="001F200C"/>
    <w:rsid w:val="001F210C"/>
    <w:rsid w:val="001F26C9"/>
    <w:rsid w:val="001F2755"/>
    <w:rsid w:val="001F28B5"/>
    <w:rsid w:val="001F2961"/>
    <w:rsid w:val="001F2B03"/>
    <w:rsid w:val="001F3764"/>
    <w:rsid w:val="001F42B7"/>
    <w:rsid w:val="001F430C"/>
    <w:rsid w:val="001F43EA"/>
    <w:rsid w:val="001F4714"/>
    <w:rsid w:val="001F49E4"/>
    <w:rsid w:val="001F52F9"/>
    <w:rsid w:val="001F5374"/>
    <w:rsid w:val="001F58BB"/>
    <w:rsid w:val="001F5E0A"/>
    <w:rsid w:val="001F614A"/>
    <w:rsid w:val="001F6201"/>
    <w:rsid w:val="001F670A"/>
    <w:rsid w:val="001F6A82"/>
    <w:rsid w:val="001F6D4E"/>
    <w:rsid w:val="001F6E35"/>
    <w:rsid w:val="001F70E8"/>
    <w:rsid w:val="001F7638"/>
    <w:rsid w:val="001F76BE"/>
    <w:rsid w:val="001F7990"/>
    <w:rsid w:val="001F7D75"/>
    <w:rsid w:val="001F7E15"/>
    <w:rsid w:val="001F7F96"/>
    <w:rsid w:val="002002CB"/>
    <w:rsid w:val="00200842"/>
    <w:rsid w:val="002009D6"/>
    <w:rsid w:val="00200F54"/>
    <w:rsid w:val="002010AF"/>
    <w:rsid w:val="00201AA4"/>
    <w:rsid w:val="0020217A"/>
    <w:rsid w:val="002024C3"/>
    <w:rsid w:val="00202CD4"/>
    <w:rsid w:val="00202CF1"/>
    <w:rsid w:val="00202ED9"/>
    <w:rsid w:val="00203085"/>
    <w:rsid w:val="0020325A"/>
    <w:rsid w:val="00203621"/>
    <w:rsid w:val="002037B8"/>
    <w:rsid w:val="0020390A"/>
    <w:rsid w:val="00203964"/>
    <w:rsid w:val="00203EE5"/>
    <w:rsid w:val="00203F71"/>
    <w:rsid w:val="00204123"/>
    <w:rsid w:val="00204307"/>
    <w:rsid w:val="0020470D"/>
    <w:rsid w:val="00204845"/>
    <w:rsid w:val="00204901"/>
    <w:rsid w:val="00204A3B"/>
    <w:rsid w:val="00204B21"/>
    <w:rsid w:val="00204BC9"/>
    <w:rsid w:val="0020511B"/>
    <w:rsid w:val="00205181"/>
    <w:rsid w:val="00205222"/>
    <w:rsid w:val="00205339"/>
    <w:rsid w:val="002054C4"/>
    <w:rsid w:val="00205976"/>
    <w:rsid w:val="00205B40"/>
    <w:rsid w:val="00205E2A"/>
    <w:rsid w:val="00206651"/>
    <w:rsid w:val="00206995"/>
    <w:rsid w:val="00206B24"/>
    <w:rsid w:val="00206BCB"/>
    <w:rsid w:val="00206DCB"/>
    <w:rsid w:val="00206E43"/>
    <w:rsid w:val="00207253"/>
    <w:rsid w:val="00207623"/>
    <w:rsid w:val="002079D4"/>
    <w:rsid w:val="0021025F"/>
    <w:rsid w:val="00210358"/>
    <w:rsid w:val="00210B06"/>
    <w:rsid w:val="00210C78"/>
    <w:rsid w:val="00211D45"/>
    <w:rsid w:val="00211E7E"/>
    <w:rsid w:val="00211F64"/>
    <w:rsid w:val="00212383"/>
    <w:rsid w:val="00212964"/>
    <w:rsid w:val="00212CD7"/>
    <w:rsid w:val="00212E76"/>
    <w:rsid w:val="00212EF9"/>
    <w:rsid w:val="00212FD9"/>
    <w:rsid w:val="00212FF8"/>
    <w:rsid w:val="00213581"/>
    <w:rsid w:val="002135D4"/>
    <w:rsid w:val="00213979"/>
    <w:rsid w:val="002139AE"/>
    <w:rsid w:val="00213A11"/>
    <w:rsid w:val="00213FEE"/>
    <w:rsid w:val="00214092"/>
    <w:rsid w:val="0021456E"/>
    <w:rsid w:val="00214681"/>
    <w:rsid w:val="00214860"/>
    <w:rsid w:val="00214978"/>
    <w:rsid w:val="00214987"/>
    <w:rsid w:val="00214A78"/>
    <w:rsid w:val="00214ABB"/>
    <w:rsid w:val="00215121"/>
    <w:rsid w:val="00215D81"/>
    <w:rsid w:val="00215EED"/>
    <w:rsid w:val="00215F99"/>
    <w:rsid w:val="0021637B"/>
    <w:rsid w:val="00216695"/>
    <w:rsid w:val="00216846"/>
    <w:rsid w:val="00216A2E"/>
    <w:rsid w:val="00216AE1"/>
    <w:rsid w:val="00216E12"/>
    <w:rsid w:val="0021706B"/>
    <w:rsid w:val="0021757A"/>
    <w:rsid w:val="0021766E"/>
    <w:rsid w:val="002177BA"/>
    <w:rsid w:val="0021790C"/>
    <w:rsid w:val="00217B78"/>
    <w:rsid w:val="00217D49"/>
    <w:rsid w:val="00220032"/>
    <w:rsid w:val="00220659"/>
    <w:rsid w:val="002208DF"/>
    <w:rsid w:val="00221109"/>
    <w:rsid w:val="0022119E"/>
    <w:rsid w:val="00221341"/>
    <w:rsid w:val="002214D2"/>
    <w:rsid w:val="002215BB"/>
    <w:rsid w:val="002216FE"/>
    <w:rsid w:val="00221763"/>
    <w:rsid w:val="00221804"/>
    <w:rsid w:val="00221892"/>
    <w:rsid w:val="002218BD"/>
    <w:rsid w:val="00222091"/>
    <w:rsid w:val="0022218D"/>
    <w:rsid w:val="00222275"/>
    <w:rsid w:val="00222280"/>
    <w:rsid w:val="00222294"/>
    <w:rsid w:val="00222756"/>
    <w:rsid w:val="00222769"/>
    <w:rsid w:val="0022279D"/>
    <w:rsid w:val="0022296C"/>
    <w:rsid w:val="00222BE3"/>
    <w:rsid w:val="00222D9E"/>
    <w:rsid w:val="00222DAC"/>
    <w:rsid w:val="002235B0"/>
    <w:rsid w:val="002239E9"/>
    <w:rsid w:val="00223A2E"/>
    <w:rsid w:val="002243FB"/>
    <w:rsid w:val="002245A3"/>
    <w:rsid w:val="002246F4"/>
    <w:rsid w:val="002247A1"/>
    <w:rsid w:val="00224D18"/>
    <w:rsid w:val="00224D6A"/>
    <w:rsid w:val="00224F2A"/>
    <w:rsid w:val="0022525F"/>
    <w:rsid w:val="00225370"/>
    <w:rsid w:val="002257FB"/>
    <w:rsid w:val="00225811"/>
    <w:rsid w:val="00225920"/>
    <w:rsid w:val="002259E1"/>
    <w:rsid w:val="002261D6"/>
    <w:rsid w:val="002266C3"/>
    <w:rsid w:val="002269FF"/>
    <w:rsid w:val="00226EA2"/>
    <w:rsid w:val="00227072"/>
    <w:rsid w:val="002270C1"/>
    <w:rsid w:val="0022735F"/>
    <w:rsid w:val="00227471"/>
    <w:rsid w:val="00227750"/>
    <w:rsid w:val="0023008F"/>
    <w:rsid w:val="00230454"/>
    <w:rsid w:val="00230806"/>
    <w:rsid w:val="00230BDE"/>
    <w:rsid w:val="00230EE3"/>
    <w:rsid w:val="00231604"/>
    <w:rsid w:val="0023186C"/>
    <w:rsid w:val="00231BD0"/>
    <w:rsid w:val="0023209C"/>
    <w:rsid w:val="00232227"/>
    <w:rsid w:val="00232281"/>
    <w:rsid w:val="00232865"/>
    <w:rsid w:val="00232879"/>
    <w:rsid w:val="00232C04"/>
    <w:rsid w:val="00233713"/>
    <w:rsid w:val="002337E0"/>
    <w:rsid w:val="00233973"/>
    <w:rsid w:val="00233FC0"/>
    <w:rsid w:val="00234151"/>
    <w:rsid w:val="00234193"/>
    <w:rsid w:val="00234244"/>
    <w:rsid w:val="0023459E"/>
    <w:rsid w:val="00234653"/>
    <w:rsid w:val="002347A5"/>
    <w:rsid w:val="002349BA"/>
    <w:rsid w:val="00234AE2"/>
    <w:rsid w:val="0023527E"/>
    <w:rsid w:val="002352F6"/>
    <w:rsid w:val="002356E6"/>
    <w:rsid w:val="00235A24"/>
    <w:rsid w:val="00235CA8"/>
    <w:rsid w:val="00235CA9"/>
    <w:rsid w:val="0023617C"/>
    <w:rsid w:val="0023648A"/>
    <w:rsid w:val="0023682B"/>
    <w:rsid w:val="00236AA3"/>
    <w:rsid w:val="00236D5C"/>
    <w:rsid w:val="002370B2"/>
    <w:rsid w:val="002373AE"/>
    <w:rsid w:val="0023741D"/>
    <w:rsid w:val="002378E9"/>
    <w:rsid w:val="00237A61"/>
    <w:rsid w:val="00237AA2"/>
    <w:rsid w:val="00237CB7"/>
    <w:rsid w:val="00237DD1"/>
    <w:rsid w:val="00240A4B"/>
    <w:rsid w:val="00240B27"/>
    <w:rsid w:val="00240E4E"/>
    <w:rsid w:val="0024109D"/>
    <w:rsid w:val="002413FA"/>
    <w:rsid w:val="00241666"/>
    <w:rsid w:val="00241B80"/>
    <w:rsid w:val="00241F0C"/>
    <w:rsid w:val="002420E3"/>
    <w:rsid w:val="00242575"/>
    <w:rsid w:val="002425A5"/>
    <w:rsid w:val="00242A3D"/>
    <w:rsid w:val="00242B54"/>
    <w:rsid w:val="00242F87"/>
    <w:rsid w:val="00243105"/>
    <w:rsid w:val="0024316C"/>
    <w:rsid w:val="002432BC"/>
    <w:rsid w:val="0024382A"/>
    <w:rsid w:val="0024388F"/>
    <w:rsid w:val="00243C88"/>
    <w:rsid w:val="0024419D"/>
    <w:rsid w:val="00244471"/>
    <w:rsid w:val="0024447B"/>
    <w:rsid w:val="00244647"/>
    <w:rsid w:val="00244956"/>
    <w:rsid w:val="002449F2"/>
    <w:rsid w:val="00244A05"/>
    <w:rsid w:val="00244D89"/>
    <w:rsid w:val="00245076"/>
    <w:rsid w:val="002456E6"/>
    <w:rsid w:val="00245A33"/>
    <w:rsid w:val="00245F34"/>
    <w:rsid w:val="00246219"/>
    <w:rsid w:val="00246490"/>
    <w:rsid w:val="00246DAA"/>
    <w:rsid w:val="00246E14"/>
    <w:rsid w:val="00246EC0"/>
    <w:rsid w:val="0024707B"/>
    <w:rsid w:val="00247711"/>
    <w:rsid w:val="002477D2"/>
    <w:rsid w:val="00247AF9"/>
    <w:rsid w:val="00247E45"/>
    <w:rsid w:val="0025031A"/>
    <w:rsid w:val="00250322"/>
    <w:rsid w:val="00250411"/>
    <w:rsid w:val="002505DB"/>
    <w:rsid w:val="002509DB"/>
    <w:rsid w:val="00250B4D"/>
    <w:rsid w:val="00250DF5"/>
    <w:rsid w:val="002510EF"/>
    <w:rsid w:val="00251645"/>
    <w:rsid w:val="00251C63"/>
    <w:rsid w:val="00252289"/>
    <w:rsid w:val="002526DC"/>
    <w:rsid w:val="00252835"/>
    <w:rsid w:val="002529CB"/>
    <w:rsid w:val="00252A09"/>
    <w:rsid w:val="00252A3A"/>
    <w:rsid w:val="00252B43"/>
    <w:rsid w:val="00252B74"/>
    <w:rsid w:val="00252E5F"/>
    <w:rsid w:val="00253104"/>
    <w:rsid w:val="002532AD"/>
    <w:rsid w:val="002536C8"/>
    <w:rsid w:val="00253A7B"/>
    <w:rsid w:val="00253C5B"/>
    <w:rsid w:val="00253E47"/>
    <w:rsid w:val="00254113"/>
    <w:rsid w:val="002545C1"/>
    <w:rsid w:val="00254B43"/>
    <w:rsid w:val="00254BFB"/>
    <w:rsid w:val="00254C0F"/>
    <w:rsid w:val="00254F9B"/>
    <w:rsid w:val="00255557"/>
    <w:rsid w:val="002557D1"/>
    <w:rsid w:val="00255D7E"/>
    <w:rsid w:val="00255F42"/>
    <w:rsid w:val="002561AF"/>
    <w:rsid w:val="002563DE"/>
    <w:rsid w:val="002565B1"/>
    <w:rsid w:val="00256748"/>
    <w:rsid w:val="00256D56"/>
    <w:rsid w:val="00256F6D"/>
    <w:rsid w:val="00257473"/>
    <w:rsid w:val="002574E0"/>
    <w:rsid w:val="0025753F"/>
    <w:rsid w:val="002575E8"/>
    <w:rsid w:val="002578FC"/>
    <w:rsid w:val="00257A37"/>
    <w:rsid w:val="00257A70"/>
    <w:rsid w:val="00257DF8"/>
    <w:rsid w:val="00257EC9"/>
    <w:rsid w:val="00257F03"/>
    <w:rsid w:val="00260134"/>
    <w:rsid w:val="0026048B"/>
    <w:rsid w:val="0026057A"/>
    <w:rsid w:val="002606DE"/>
    <w:rsid w:val="002606FC"/>
    <w:rsid w:val="0026088D"/>
    <w:rsid w:val="00260A8F"/>
    <w:rsid w:val="00260BA1"/>
    <w:rsid w:val="0026105A"/>
    <w:rsid w:val="0026114C"/>
    <w:rsid w:val="0026156D"/>
    <w:rsid w:val="002615EB"/>
    <w:rsid w:val="00261E3F"/>
    <w:rsid w:val="002624E5"/>
    <w:rsid w:val="002625FF"/>
    <w:rsid w:val="00262A47"/>
    <w:rsid w:val="00262F98"/>
    <w:rsid w:val="00262FEB"/>
    <w:rsid w:val="00263140"/>
    <w:rsid w:val="0026342C"/>
    <w:rsid w:val="002636B8"/>
    <w:rsid w:val="00263AE1"/>
    <w:rsid w:val="0026404B"/>
    <w:rsid w:val="0026420F"/>
    <w:rsid w:val="002642F2"/>
    <w:rsid w:val="0026440B"/>
    <w:rsid w:val="00264489"/>
    <w:rsid w:val="00264D4C"/>
    <w:rsid w:val="00264E16"/>
    <w:rsid w:val="00265294"/>
    <w:rsid w:val="0026543A"/>
    <w:rsid w:val="0026544F"/>
    <w:rsid w:val="00265495"/>
    <w:rsid w:val="00265895"/>
    <w:rsid w:val="0026596B"/>
    <w:rsid w:val="0026627B"/>
    <w:rsid w:val="0026633B"/>
    <w:rsid w:val="00266484"/>
    <w:rsid w:val="00266569"/>
    <w:rsid w:val="0026693E"/>
    <w:rsid w:val="00266A17"/>
    <w:rsid w:val="00266E8B"/>
    <w:rsid w:val="00267730"/>
    <w:rsid w:val="00267782"/>
    <w:rsid w:val="00267853"/>
    <w:rsid w:val="0026785C"/>
    <w:rsid w:val="002678C4"/>
    <w:rsid w:val="00267AB9"/>
    <w:rsid w:val="00267CA1"/>
    <w:rsid w:val="00267E79"/>
    <w:rsid w:val="00270324"/>
    <w:rsid w:val="0027042F"/>
    <w:rsid w:val="002709BF"/>
    <w:rsid w:val="00270CEB"/>
    <w:rsid w:val="0027166D"/>
    <w:rsid w:val="002716A8"/>
    <w:rsid w:val="002718F3"/>
    <w:rsid w:val="00271972"/>
    <w:rsid w:val="00271DE7"/>
    <w:rsid w:val="00272498"/>
    <w:rsid w:val="00272582"/>
    <w:rsid w:val="002725AE"/>
    <w:rsid w:val="002726E8"/>
    <w:rsid w:val="00272CAB"/>
    <w:rsid w:val="00272E70"/>
    <w:rsid w:val="00272F3A"/>
    <w:rsid w:val="0027315F"/>
    <w:rsid w:val="002733CA"/>
    <w:rsid w:val="00273D99"/>
    <w:rsid w:val="00274120"/>
    <w:rsid w:val="002744F1"/>
    <w:rsid w:val="00274626"/>
    <w:rsid w:val="00274A6D"/>
    <w:rsid w:val="002754D0"/>
    <w:rsid w:val="0027562B"/>
    <w:rsid w:val="00275A4B"/>
    <w:rsid w:val="00276465"/>
    <w:rsid w:val="00276750"/>
    <w:rsid w:val="00276976"/>
    <w:rsid w:val="00276C32"/>
    <w:rsid w:val="00277744"/>
    <w:rsid w:val="00277E80"/>
    <w:rsid w:val="00277EAE"/>
    <w:rsid w:val="00280295"/>
    <w:rsid w:val="002806D4"/>
    <w:rsid w:val="00280A43"/>
    <w:rsid w:val="00281117"/>
    <w:rsid w:val="002811B2"/>
    <w:rsid w:val="00281CE0"/>
    <w:rsid w:val="00281D3D"/>
    <w:rsid w:val="002822AA"/>
    <w:rsid w:val="00282599"/>
    <w:rsid w:val="002827F9"/>
    <w:rsid w:val="00282BAD"/>
    <w:rsid w:val="00282C84"/>
    <w:rsid w:val="00282DED"/>
    <w:rsid w:val="00282E77"/>
    <w:rsid w:val="00282EC1"/>
    <w:rsid w:val="002830A5"/>
    <w:rsid w:val="002830A6"/>
    <w:rsid w:val="002830DC"/>
    <w:rsid w:val="00283163"/>
    <w:rsid w:val="0028318D"/>
    <w:rsid w:val="002834EA"/>
    <w:rsid w:val="0028443E"/>
    <w:rsid w:val="00284734"/>
    <w:rsid w:val="00284C6C"/>
    <w:rsid w:val="00284C72"/>
    <w:rsid w:val="00284DDF"/>
    <w:rsid w:val="00285490"/>
    <w:rsid w:val="0028567C"/>
    <w:rsid w:val="002856D6"/>
    <w:rsid w:val="0028575A"/>
    <w:rsid w:val="0028578D"/>
    <w:rsid w:val="002858D6"/>
    <w:rsid w:val="00285B77"/>
    <w:rsid w:val="00285C1D"/>
    <w:rsid w:val="002866C3"/>
    <w:rsid w:val="002868F6"/>
    <w:rsid w:val="002869FE"/>
    <w:rsid w:val="00286D09"/>
    <w:rsid w:val="00286FDD"/>
    <w:rsid w:val="00287233"/>
    <w:rsid w:val="00287272"/>
    <w:rsid w:val="0028728C"/>
    <w:rsid w:val="002872EE"/>
    <w:rsid w:val="002876B9"/>
    <w:rsid w:val="00287B41"/>
    <w:rsid w:val="00287CCD"/>
    <w:rsid w:val="00287E81"/>
    <w:rsid w:val="00287E8B"/>
    <w:rsid w:val="002904D0"/>
    <w:rsid w:val="002906D1"/>
    <w:rsid w:val="0029096B"/>
    <w:rsid w:val="00290A67"/>
    <w:rsid w:val="0029144D"/>
    <w:rsid w:val="0029145B"/>
    <w:rsid w:val="00291B8D"/>
    <w:rsid w:val="00291EEF"/>
    <w:rsid w:val="00291FAD"/>
    <w:rsid w:val="00292092"/>
    <w:rsid w:val="0029240D"/>
    <w:rsid w:val="0029259F"/>
    <w:rsid w:val="002926BC"/>
    <w:rsid w:val="00292824"/>
    <w:rsid w:val="002928E9"/>
    <w:rsid w:val="00292A9E"/>
    <w:rsid w:val="00292C9B"/>
    <w:rsid w:val="00292E87"/>
    <w:rsid w:val="0029333B"/>
    <w:rsid w:val="0029335D"/>
    <w:rsid w:val="002934CB"/>
    <w:rsid w:val="002938DF"/>
    <w:rsid w:val="00293992"/>
    <w:rsid w:val="00293FF2"/>
    <w:rsid w:val="002940FE"/>
    <w:rsid w:val="002942D4"/>
    <w:rsid w:val="002943FC"/>
    <w:rsid w:val="00294552"/>
    <w:rsid w:val="002949F0"/>
    <w:rsid w:val="00294A85"/>
    <w:rsid w:val="00294D00"/>
    <w:rsid w:val="00295107"/>
    <w:rsid w:val="00295452"/>
    <w:rsid w:val="00295CBB"/>
    <w:rsid w:val="00296235"/>
    <w:rsid w:val="002964D1"/>
    <w:rsid w:val="002965C7"/>
    <w:rsid w:val="00296D2C"/>
    <w:rsid w:val="00297109"/>
    <w:rsid w:val="00297135"/>
    <w:rsid w:val="002978ED"/>
    <w:rsid w:val="00297F8C"/>
    <w:rsid w:val="002A0083"/>
    <w:rsid w:val="002A06BA"/>
    <w:rsid w:val="002A08EE"/>
    <w:rsid w:val="002A09E0"/>
    <w:rsid w:val="002A0AF7"/>
    <w:rsid w:val="002A0D9E"/>
    <w:rsid w:val="002A0EA1"/>
    <w:rsid w:val="002A0F83"/>
    <w:rsid w:val="002A1256"/>
    <w:rsid w:val="002A12DF"/>
    <w:rsid w:val="002A1A61"/>
    <w:rsid w:val="002A1BAA"/>
    <w:rsid w:val="002A1C57"/>
    <w:rsid w:val="002A2151"/>
    <w:rsid w:val="002A26C3"/>
    <w:rsid w:val="002A2860"/>
    <w:rsid w:val="002A2BDC"/>
    <w:rsid w:val="002A2D3F"/>
    <w:rsid w:val="002A2FD2"/>
    <w:rsid w:val="002A3101"/>
    <w:rsid w:val="002A3357"/>
    <w:rsid w:val="002A33BC"/>
    <w:rsid w:val="002A33EC"/>
    <w:rsid w:val="002A379F"/>
    <w:rsid w:val="002A3E51"/>
    <w:rsid w:val="002A40B0"/>
    <w:rsid w:val="002A481A"/>
    <w:rsid w:val="002A48DC"/>
    <w:rsid w:val="002A496B"/>
    <w:rsid w:val="002A4A37"/>
    <w:rsid w:val="002A4B06"/>
    <w:rsid w:val="002A4E44"/>
    <w:rsid w:val="002A4F2A"/>
    <w:rsid w:val="002A550D"/>
    <w:rsid w:val="002A55F2"/>
    <w:rsid w:val="002A56E4"/>
    <w:rsid w:val="002A5FF1"/>
    <w:rsid w:val="002A62B2"/>
    <w:rsid w:val="002A638D"/>
    <w:rsid w:val="002A6B8A"/>
    <w:rsid w:val="002A728F"/>
    <w:rsid w:val="002A7942"/>
    <w:rsid w:val="002A7ACA"/>
    <w:rsid w:val="002A7B5D"/>
    <w:rsid w:val="002A7DA7"/>
    <w:rsid w:val="002A7F6A"/>
    <w:rsid w:val="002B003F"/>
    <w:rsid w:val="002B0178"/>
    <w:rsid w:val="002B0244"/>
    <w:rsid w:val="002B026D"/>
    <w:rsid w:val="002B0433"/>
    <w:rsid w:val="002B0657"/>
    <w:rsid w:val="002B0ACC"/>
    <w:rsid w:val="002B0B5D"/>
    <w:rsid w:val="002B0CAE"/>
    <w:rsid w:val="002B0E11"/>
    <w:rsid w:val="002B0EF9"/>
    <w:rsid w:val="002B1958"/>
    <w:rsid w:val="002B1B1A"/>
    <w:rsid w:val="002B1ED2"/>
    <w:rsid w:val="002B1FB7"/>
    <w:rsid w:val="002B28B7"/>
    <w:rsid w:val="002B2A58"/>
    <w:rsid w:val="002B2DBD"/>
    <w:rsid w:val="002B2E53"/>
    <w:rsid w:val="002B320C"/>
    <w:rsid w:val="002B3275"/>
    <w:rsid w:val="002B355E"/>
    <w:rsid w:val="002B359C"/>
    <w:rsid w:val="002B371D"/>
    <w:rsid w:val="002B377B"/>
    <w:rsid w:val="002B39CB"/>
    <w:rsid w:val="002B423A"/>
    <w:rsid w:val="002B4356"/>
    <w:rsid w:val="002B448F"/>
    <w:rsid w:val="002B4514"/>
    <w:rsid w:val="002B4697"/>
    <w:rsid w:val="002B4CD8"/>
    <w:rsid w:val="002B4F23"/>
    <w:rsid w:val="002B5032"/>
    <w:rsid w:val="002B505F"/>
    <w:rsid w:val="002B5141"/>
    <w:rsid w:val="002B52F2"/>
    <w:rsid w:val="002B5475"/>
    <w:rsid w:val="002B54B7"/>
    <w:rsid w:val="002B568B"/>
    <w:rsid w:val="002B5698"/>
    <w:rsid w:val="002B5A93"/>
    <w:rsid w:val="002B5BEE"/>
    <w:rsid w:val="002B5DF1"/>
    <w:rsid w:val="002B63AC"/>
    <w:rsid w:val="002B63AD"/>
    <w:rsid w:val="002B641F"/>
    <w:rsid w:val="002B6436"/>
    <w:rsid w:val="002B65C1"/>
    <w:rsid w:val="002B68A3"/>
    <w:rsid w:val="002B69C2"/>
    <w:rsid w:val="002B6C87"/>
    <w:rsid w:val="002B70B3"/>
    <w:rsid w:val="002B70C8"/>
    <w:rsid w:val="002B7E5D"/>
    <w:rsid w:val="002B7FD9"/>
    <w:rsid w:val="002C0152"/>
    <w:rsid w:val="002C059D"/>
    <w:rsid w:val="002C0CD5"/>
    <w:rsid w:val="002C0FCB"/>
    <w:rsid w:val="002C11A4"/>
    <w:rsid w:val="002C1253"/>
    <w:rsid w:val="002C1319"/>
    <w:rsid w:val="002C15F6"/>
    <w:rsid w:val="002C186F"/>
    <w:rsid w:val="002C1D2C"/>
    <w:rsid w:val="002C1DFE"/>
    <w:rsid w:val="002C1F29"/>
    <w:rsid w:val="002C27D8"/>
    <w:rsid w:val="002C2997"/>
    <w:rsid w:val="002C2A22"/>
    <w:rsid w:val="002C2CFA"/>
    <w:rsid w:val="002C2D7C"/>
    <w:rsid w:val="002C323C"/>
    <w:rsid w:val="002C33E6"/>
    <w:rsid w:val="002C37D8"/>
    <w:rsid w:val="002C385A"/>
    <w:rsid w:val="002C397D"/>
    <w:rsid w:val="002C413F"/>
    <w:rsid w:val="002C414A"/>
    <w:rsid w:val="002C478D"/>
    <w:rsid w:val="002C47BE"/>
    <w:rsid w:val="002C4CFA"/>
    <w:rsid w:val="002C5352"/>
    <w:rsid w:val="002C54C6"/>
    <w:rsid w:val="002C5A6F"/>
    <w:rsid w:val="002C5F00"/>
    <w:rsid w:val="002C6058"/>
    <w:rsid w:val="002C64E1"/>
    <w:rsid w:val="002C655B"/>
    <w:rsid w:val="002C659F"/>
    <w:rsid w:val="002C6646"/>
    <w:rsid w:val="002C69E7"/>
    <w:rsid w:val="002C6B61"/>
    <w:rsid w:val="002C6D25"/>
    <w:rsid w:val="002C70BF"/>
    <w:rsid w:val="002C76B9"/>
    <w:rsid w:val="002C7898"/>
    <w:rsid w:val="002C79CB"/>
    <w:rsid w:val="002C7C03"/>
    <w:rsid w:val="002D00BC"/>
    <w:rsid w:val="002D0232"/>
    <w:rsid w:val="002D0472"/>
    <w:rsid w:val="002D06B8"/>
    <w:rsid w:val="002D0CC4"/>
    <w:rsid w:val="002D11EE"/>
    <w:rsid w:val="002D1222"/>
    <w:rsid w:val="002D13EE"/>
    <w:rsid w:val="002D192F"/>
    <w:rsid w:val="002D1A45"/>
    <w:rsid w:val="002D1BD4"/>
    <w:rsid w:val="002D1D82"/>
    <w:rsid w:val="002D270D"/>
    <w:rsid w:val="002D28B0"/>
    <w:rsid w:val="002D29E0"/>
    <w:rsid w:val="002D2E3B"/>
    <w:rsid w:val="002D2F4E"/>
    <w:rsid w:val="002D3409"/>
    <w:rsid w:val="002D3946"/>
    <w:rsid w:val="002D4156"/>
    <w:rsid w:val="002D42E2"/>
    <w:rsid w:val="002D4585"/>
    <w:rsid w:val="002D4652"/>
    <w:rsid w:val="002D4877"/>
    <w:rsid w:val="002D4884"/>
    <w:rsid w:val="002D4887"/>
    <w:rsid w:val="002D4B02"/>
    <w:rsid w:val="002D4D09"/>
    <w:rsid w:val="002D5464"/>
    <w:rsid w:val="002D55FD"/>
    <w:rsid w:val="002D593F"/>
    <w:rsid w:val="002D5DF3"/>
    <w:rsid w:val="002D62FE"/>
    <w:rsid w:val="002D6463"/>
    <w:rsid w:val="002D6D6F"/>
    <w:rsid w:val="002D6EEB"/>
    <w:rsid w:val="002D6F2D"/>
    <w:rsid w:val="002D7AA2"/>
    <w:rsid w:val="002D7D39"/>
    <w:rsid w:val="002D7E54"/>
    <w:rsid w:val="002E00EB"/>
    <w:rsid w:val="002E0399"/>
    <w:rsid w:val="002E03AD"/>
    <w:rsid w:val="002E03B9"/>
    <w:rsid w:val="002E073D"/>
    <w:rsid w:val="002E0BE9"/>
    <w:rsid w:val="002E0DAE"/>
    <w:rsid w:val="002E0F69"/>
    <w:rsid w:val="002E14C9"/>
    <w:rsid w:val="002E1FCA"/>
    <w:rsid w:val="002E210D"/>
    <w:rsid w:val="002E2378"/>
    <w:rsid w:val="002E2414"/>
    <w:rsid w:val="002E24B5"/>
    <w:rsid w:val="002E25C1"/>
    <w:rsid w:val="002E26F8"/>
    <w:rsid w:val="002E28C8"/>
    <w:rsid w:val="002E28CD"/>
    <w:rsid w:val="002E2972"/>
    <w:rsid w:val="002E2D2D"/>
    <w:rsid w:val="002E2EC7"/>
    <w:rsid w:val="002E3A75"/>
    <w:rsid w:val="002E3AAC"/>
    <w:rsid w:val="002E3B47"/>
    <w:rsid w:val="002E3C6E"/>
    <w:rsid w:val="002E45E9"/>
    <w:rsid w:val="002E461C"/>
    <w:rsid w:val="002E4672"/>
    <w:rsid w:val="002E48DA"/>
    <w:rsid w:val="002E4943"/>
    <w:rsid w:val="002E4C2C"/>
    <w:rsid w:val="002E4E3A"/>
    <w:rsid w:val="002E53C0"/>
    <w:rsid w:val="002E54C2"/>
    <w:rsid w:val="002E5990"/>
    <w:rsid w:val="002E59FC"/>
    <w:rsid w:val="002E5B13"/>
    <w:rsid w:val="002E61AE"/>
    <w:rsid w:val="002E65C5"/>
    <w:rsid w:val="002E6831"/>
    <w:rsid w:val="002E68E5"/>
    <w:rsid w:val="002E69CC"/>
    <w:rsid w:val="002E6A76"/>
    <w:rsid w:val="002E6D14"/>
    <w:rsid w:val="002E6D18"/>
    <w:rsid w:val="002E6D5D"/>
    <w:rsid w:val="002E70F0"/>
    <w:rsid w:val="002E7642"/>
    <w:rsid w:val="002E7ABD"/>
    <w:rsid w:val="002E7ADA"/>
    <w:rsid w:val="002F091F"/>
    <w:rsid w:val="002F0A17"/>
    <w:rsid w:val="002F0A9B"/>
    <w:rsid w:val="002F0F2B"/>
    <w:rsid w:val="002F147F"/>
    <w:rsid w:val="002F14E0"/>
    <w:rsid w:val="002F17CE"/>
    <w:rsid w:val="002F1C17"/>
    <w:rsid w:val="002F21BC"/>
    <w:rsid w:val="002F2680"/>
    <w:rsid w:val="002F2AD1"/>
    <w:rsid w:val="002F2BB3"/>
    <w:rsid w:val="002F2F2F"/>
    <w:rsid w:val="002F315F"/>
    <w:rsid w:val="002F372F"/>
    <w:rsid w:val="002F393B"/>
    <w:rsid w:val="002F3A20"/>
    <w:rsid w:val="002F4140"/>
    <w:rsid w:val="002F4271"/>
    <w:rsid w:val="002F440C"/>
    <w:rsid w:val="002F4548"/>
    <w:rsid w:val="002F4563"/>
    <w:rsid w:val="002F4732"/>
    <w:rsid w:val="002F48C7"/>
    <w:rsid w:val="002F4EBD"/>
    <w:rsid w:val="002F4F9D"/>
    <w:rsid w:val="002F52A9"/>
    <w:rsid w:val="002F5325"/>
    <w:rsid w:val="002F5346"/>
    <w:rsid w:val="002F5504"/>
    <w:rsid w:val="002F5987"/>
    <w:rsid w:val="002F5AB6"/>
    <w:rsid w:val="002F5E0A"/>
    <w:rsid w:val="002F5E50"/>
    <w:rsid w:val="002F619E"/>
    <w:rsid w:val="002F6523"/>
    <w:rsid w:val="002F6744"/>
    <w:rsid w:val="002F6918"/>
    <w:rsid w:val="002F6A0A"/>
    <w:rsid w:val="002F6B52"/>
    <w:rsid w:val="002F6EC6"/>
    <w:rsid w:val="002F6F53"/>
    <w:rsid w:val="002F7034"/>
    <w:rsid w:val="002F7429"/>
    <w:rsid w:val="002F7556"/>
    <w:rsid w:val="002F7594"/>
    <w:rsid w:val="002F7C0D"/>
    <w:rsid w:val="002F7D46"/>
    <w:rsid w:val="0030037B"/>
    <w:rsid w:val="00300665"/>
    <w:rsid w:val="00300F15"/>
    <w:rsid w:val="003013B9"/>
    <w:rsid w:val="00301502"/>
    <w:rsid w:val="00301582"/>
    <w:rsid w:val="003021AF"/>
    <w:rsid w:val="0030269B"/>
    <w:rsid w:val="003026AF"/>
    <w:rsid w:val="003026EE"/>
    <w:rsid w:val="0030286A"/>
    <w:rsid w:val="00302FCC"/>
    <w:rsid w:val="0030312A"/>
    <w:rsid w:val="00303509"/>
    <w:rsid w:val="00303515"/>
    <w:rsid w:val="003035A6"/>
    <w:rsid w:val="003037FA"/>
    <w:rsid w:val="0030393C"/>
    <w:rsid w:val="0030397A"/>
    <w:rsid w:val="00303BF4"/>
    <w:rsid w:val="00303C6C"/>
    <w:rsid w:val="00303CB3"/>
    <w:rsid w:val="00303EFA"/>
    <w:rsid w:val="00304120"/>
    <w:rsid w:val="00304289"/>
    <w:rsid w:val="003044DB"/>
    <w:rsid w:val="00304607"/>
    <w:rsid w:val="00304945"/>
    <w:rsid w:val="00304E38"/>
    <w:rsid w:val="0030517C"/>
    <w:rsid w:val="00305382"/>
    <w:rsid w:val="0030574D"/>
    <w:rsid w:val="00305A2B"/>
    <w:rsid w:val="00305F63"/>
    <w:rsid w:val="00306173"/>
    <w:rsid w:val="003061AB"/>
    <w:rsid w:val="00306770"/>
    <w:rsid w:val="00306D64"/>
    <w:rsid w:val="00307062"/>
    <w:rsid w:val="00307B61"/>
    <w:rsid w:val="00307B77"/>
    <w:rsid w:val="00307C6B"/>
    <w:rsid w:val="00307D6D"/>
    <w:rsid w:val="003101A8"/>
    <w:rsid w:val="00310366"/>
    <w:rsid w:val="00310452"/>
    <w:rsid w:val="003105D3"/>
    <w:rsid w:val="00310958"/>
    <w:rsid w:val="00310996"/>
    <w:rsid w:val="00310A01"/>
    <w:rsid w:val="00310BE6"/>
    <w:rsid w:val="00310C91"/>
    <w:rsid w:val="00310D69"/>
    <w:rsid w:val="0031100F"/>
    <w:rsid w:val="0031167D"/>
    <w:rsid w:val="003118FE"/>
    <w:rsid w:val="003119B1"/>
    <w:rsid w:val="00311BB5"/>
    <w:rsid w:val="00311E7A"/>
    <w:rsid w:val="00311EE1"/>
    <w:rsid w:val="0031216B"/>
    <w:rsid w:val="00312300"/>
    <w:rsid w:val="003124FD"/>
    <w:rsid w:val="00312879"/>
    <w:rsid w:val="00312E7C"/>
    <w:rsid w:val="00313983"/>
    <w:rsid w:val="00313B61"/>
    <w:rsid w:val="00314102"/>
    <w:rsid w:val="00314120"/>
    <w:rsid w:val="00314264"/>
    <w:rsid w:val="0031492C"/>
    <w:rsid w:val="00314B6A"/>
    <w:rsid w:val="00314C0B"/>
    <w:rsid w:val="00314C39"/>
    <w:rsid w:val="00314CD2"/>
    <w:rsid w:val="00314D3F"/>
    <w:rsid w:val="00314E89"/>
    <w:rsid w:val="00315223"/>
    <w:rsid w:val="003155A9"/>
    <w:rsid w:val="003155D3"/>
    <w:rsid w:val="003157C8"/>
    <w:rsid w:val="003159A5"/>
    <w:rsid w:val="00316085"/>
    <w:rsid w:val="0031630C"/>
    <w:rsid w:val="003164ED"/>
    <w:rsid w:val="00316570"/>
    <w:rsid w:val="00316701"/>
    <w:rsid w:val="00316A4B"/>
    <w:rsid w:val="00316AF2"/>
    <w:rsid w:val="00316DE0"/>
    <w:rsid w:val="00317367"/>
    <w:rsid w:val="00317773"/>
    <w:rsid w:val="00317FED"/>
    <w:rsid w:val="003204C1"/>
    <w:rsid w:val="0032066D"/>
    <w:rsid w:val="003206A5"/>
    <w:rsid w:val="003209F3"/>
    <w:rsid w:val="00320E55"/>
    <w:rsid w:val="00321327"/>
    <w:rsid w:val="00321485"/>
    <w:rsid w:val="00321723"/>
    <w:rsid w:val="00321AAF"/>
    <w:rsid w:val="00321AFA"/>
    <w:rsid w:val="00321B54"/>
    <w:rsid w:val="00321BE8"/>
    <w:rsid w:val="00321E80"/>
    <w:rsid w:val="0032215B"/>
    <w:rsid w:val="00322365"/>
    <w:rsid w:val="00322AA2"/>
    <w:rsid w:val="00322CD9"/>
    <w:rsid w:val="00322E94"/>
    <w:rsid w:val="0032330B"/>
    <w:rsid w:val="003234D3"/>
    <w:rsid w:val="003237AD"/>
    <w:rsid w:val="003237E2"/>
    <w:rsid w:val="00323E33"/>
    <w:rsid w:val="00324145"/>
    <w:rsid w:val="00324725"/>
    <w:rsid w:val="00324AEC"/>
    <w:rsid w:val="00324B5F"/>
    <w:rsid w:val="00324DC1"/>
    <w:rsid w:val="003250CC"/>
    <w:rsid w:val="003251AA"/>
    <w:rsid w:val="00325320"/>
    <w:rsid w:val="00325E12"/>
    <w:rsid w:val="00326655"/>
    <w:rsid w:val="00326C33"/>
    <w:rsid w:val="00326C9F"/>
    <w:rsid w:val="0032704C"/>
    <w:rsid w:val="003271CB"/>
    <w:rsid w:val="00327896"/>
    <w:rsid w:val="00327B9C"/>
    <w:rsid w:val="00327D21"/>
    <w:rsid w:val="00330100"/>
    <w:rsid w:val="0033023F"/>
    <w:rsid w:val="00330ABC"/>
    <w:rsid w:val="00330D24"/>
    <w:rsid w:val="0033128D"/>
    <w:rsid w:val="00331403"/>
    <w:rsid w:val="003315B8"/>
    <w:rsid w:val="003316D1"/>
    <w:rsid w:val="0033179F"/>
    <w:rsid w:val="00331C9C"/>
    <w:rsid w:val="00331D4C"/>
    <w:rsid w:val="00331E2B"/>
    <w:rsid w:val="00332164"/>
    <w:rsid w:val="00332364"/>
    <w:rsid w:val="00332DA0"/>
    <w:rsid w:val="00332E7A"/>
    <w:rsid w:val="00332E99"/>
    <w:rsid w:val="0033320C"/>
    <w:rsid w:val="00333780"/>
    <w:rsid w:val="00333930"/>
    <w:rsid w:val="00333ACD"/>
    <w:rsid w:val="00333D88"/>
    <w:rsid w:val="00333F8E"/>
    <w:rsid w:val="00333FA6"/>
    <w:rsid w:val="00334340"/>
    <w:rsid w:val="00334375"/>
    <w:rsid w:val="0033459E"/>
    <w:rsid w:val="003346E0"/>
    <w:rsid w:val="00334DC9"/>
    <w:rsid w:val="003351A6"/>
    <w:rsid w:val="00335F4B"/>
    <w:rsid w:val="003362BD"/>
    <w:rsid w:val="00336A29"/>
    <w:rsid w:val="00336D4D"/>
    <w:rsid w:val="00337025"/>
    <w:rsid w:val="0033726E"/>
    <w:rsid w:val="003372BF"/>
    <w:rsid w:val="003372F3"/>
    <w:rsid w:val="00337338"/>
    <w:rsid w:val="00337D6F"/>
    <w:rsid w:val="0034009A"/>
    <w:rsid w:val="003401B3"/>
    <w:rsid w:val="00340239"/>
    <w:rsid w:val="003402CD"/>
    <w:rsid w:val="0034032F"/>
    <w:rsid w:val="00340687"/>
    <w:rsid w:val="003409E0"/>
    <w:rsid w:val="0034122B"/>
    <w:rsid w:val="00341281"/>
    <w:rsid w:val="003413FF"/>
    <w:rsid w:val="00341E3E"/>
    <w:rsid w:val="003420A4"/>
    <w:rsid w:val="003420FC"/>
    <w:rsid w:val="003421D9"/>
    <w:rsid w:val="003423A3"/>
    <w:rsid w:val="003424B9"/>
    <w:rsid w:val="00342551"/>
    <w:rsid w:val="00342564"/>
    <w:rsid w:val="00342610"/>
    <w:rsid w:val="0034274D"/>
    <w:rsid w:val="003427A5"/>
    <w:rsid w:val="00342B18"/>
    <w:rsid w:val="00343081"/>
    <w:rsid w:val="003435EA"/>
    <w:rsid w:val="003439FB"/>
    <w:rsid w:val="00343B4C"/>
    <w:rsid w:val="00343BEF"/>
    <w:rsid w:val="00343EBD"/>
    <w:rsid w:val="00343FB3"/>
    <w:rsid w:val="003444E7"/>
    <w:rsid w:val="003445E0"/>
    <w:rsid w:val="0034460E"/>
    <w:rsid w:val="00344A1B"/>
    <w:rsid w:val="00344DCA"/>
    <w:rsid w:val="003451FB"/>
    <w:rsid w:val="00345205"/>
    <w:rsid w:val="0034549B"/>
    <w:rsid w:val="0034553B"/>
    <w:rsid w:val="00345936"/>
    <w:rsid w:val="00345B51"/>
    <w:rsid w:val="00345B96"/>
    <w:rsid w:val="003460FA"/>
    <w:rsid w:val="003463A8"/>
    <w:rsid w:val="003464BC"/>
    <w:rsid w:val="00346545"/>
    <w:rsid w:val="0034685B"/>
    <w:rsid w:val="00346A95"/>
    <w:rsid w:val="00346B2E"/>
    <w:rsid w:val="00346C1C"/>
    <w:rsid w:val="00346DD0"/>
    <w:rsid w:val="0034724A"/>
    <w:rsid w:val="00347388"/>
    <w:rsid w:val="003475A3"/>
    <w:rsid w:val="003475CA"/>
    <w:rsid w:val="00347648"/>
    <w:rsid w:val="003476C2"/>
    <w:rsid w:val="003476DE"/>
    <w:rsid w:val="0034771C"/>
    <w:rsid w:val="00347A0C"/>
    <w:rsid w:val="00347E7B"/>
    <w:rsid w:val="00347EA0"/>
    <w:rsid w:val="0035023D"/>
    <w:rsid w:val="0035047A"/>
    <w:rsid w:val="00350611"/>
    <w:rsid w:val="0035063A"/>
    <w:rsid w:val="003506E2"/>
    <w:rsid w:val="00350AF3"/>
    <w:rsid w:val="00350B8F"/>
    <w:rsid w:val="003511CB"/>
    <w:rsid w:val="0035130C"/>
    <w:rsid w:val="003514E4"/>
    <w:rsid w:val="00351653"/>
    <w:rsid w:val="0035179C"/>
    <w:rsid w:val="0035188C"/>
    <w:rsid w:val="00351CC8"/>
    <w:rsid w:val="0035219A"/>
    <w:rsid w:val="0035248A"/>
    <w:rsid w:val="00352496"/>
    <w:rsid w:val="00352787"/>
    <w:rsid w:val="00352A2E"/>
    <w:rsid w:val="00352CC1"/>
    <w:rsid w:val="0035325C"/>
    <w:rsid w:val="003532CB"/>
    <w:rsid w:val="0035368E"/>
    <w:rsid w:val="003537F8"/>
    <w:rsid w:val="00353900"/>
    <w:rsid w:val="00353AF4"/>
    <w:rsid w:val="00353B98"/>
    <w:rsid w:val="00353BC2"/>
    <w:rsid w:val="00353BFD"/>
    <w:rsid w:val="00353E75"/>
    <w:rsid w:val="00353F57"/>
    <w:rsid w:val="003542C1"/>
    <w:rsid w:val="003542C4"/>
    <w:rsid w:val="003543FC"/>
    <w:rsid w:val="003546AD"/>
    <w:rsid w:val="003547AB"/>
    <w:rsid w:val="00354C38"/>
    <w:rsid w:val="00354EB6"/>
    <w:rsid w:val="00355387"/>
    <w:rsid w:val="00355497"/>
    <w:rsid w:val="0035577A"/>
    <w:rsid w:val="003558F7"/>
    <w:rsid w:val="00355A90"/>
    <w:rsid w:val="00355B80"/>
    <w:rsid w:val="00355CBF"/>
    <w:rsid w:val="00356830"/>
    <w:rsid w:val="00356964"/>
    <w:rsid w:val="00356E19"/>
    <w:rsid w:val="00357133"/>
    <w:rsid w:val="00357282"/>
    <w:rsid w:val="00357434"/>
    <w:rsid w:val="00357A2C"/>
    <w:rsid w:val="00357A53"/>
    <w:rsid w:val="00357E3F"/>
    <w:rsid w:val="0036016A"/>
    <w:rsid w:val="003601B3"/>
    <w:rsid w:val="003606C8"/>
    <w:rsid w:val="003607C7"/>
    <w:rsid w:val="003611FD"/>
    <w:rsid w:val="00361617"/>
    <w:rsid w:val="00361897"/>
    <w:rsid w:val="003619D2"/>
    <w:rsid w:val="00361DE6"/>
    <w:rsid w:val="00361E26"/>
    <w:rsid w:val="00361EF5"/>
    <w:rsid w:val="00361FEF"/>
    <w:rsid w:val="0036282F"/>
    <w:rsid w:val="003629D8"/>
    <w:rsid w:val="003629FC"/>
    <w:rsid w:val="00362E09"/>
    <w:rsid w:val="00362F7C"/>
    <w:rsid w:val="0036319E"/>
    <w:rsid w:val="00363A6D"/>
    <w:rsid w:val="00363AC0"/>
    <w:rsid w:val="00363B33"/>
    <w:rsid w:val="00363B51"/>
    <w:rsid w:val="00363F8A"/>
    <w:rsid w:val="00364BD8"/>
    <w:rsid w:val="00364CF3"/>
    <w:rsid w:val="00364E75"/>
    <w:rsid w:val="00364ED1"/>
    <w:rsid w:val="0036534B"/>
    <w:rsid w:val="003656D6"/>
    <w:rsid w:val="0036597D"/>
    <w:rsid w:val="003659FE"/>
    <w:rsid w:val="00365A61"/>
    <w:rsid w:val="00365D87"/>
    <w:rsid w:val="003660B9"/>
    <w:rsid w:val="003660F1"/>
    <w:rsid w:val="00366750"/>
    <w:rsid w:val="00366A2A"/>
    <w:rsid w:val="00366DF3"/>
    <w:rsid w:val="00366E57"/>
    <w:rsid w:val="00366E7C"/>
    <w:rsid w:val="003670A8"/>
    <w:rsid w:val="003674EC"/>
    <w:rsid w:val="0036764C"/>
    <w:rsid w:val="003678DE"/>
    <w:rsid w:val="003679F2"/>
    <w:rsid w:val="00367A00"/>
    <w:rsid w:val="00367B2D"/>
    <w:rsid w:val="00370050"/>
    <w:rsid w:val="00370190"/>
    <w:rsid w:val="00370286"/>
    <w:rsid w:val="00370731"/>
    <w:rsid w:val="003707D0"/>
    <w:rsid w:val="00371363"/>
    <w:rsid w:val="003713A1"/>
    <w:rsid w:val="003713B4"/>
    <w:rsid w:val="00371704"/>
    <w:rsid w:val="003719B9"/>
    <w:rsid w:val="00371C16"/>
    <w:rsid w:val="00371CAC"/>
    <w:rsid w:val="00372222"/>
    <w:rsid w:val="00372F08"/>
    <w:rsid w:val="00373084"/>
    <w:rsid w:val="003732D7"/>
    <w:rsid w:val="003735CD"/>
    <w:rsid w:val="003736C8"/>
    <w:rsid w:val="00373906"/>
    <w:rsid w:val="00373B1F"/>
    <w:rsid w:val="00373BB8"/>
    <w:rsid w:val="00374114"/>
    <w:rsid w:val="00374253"/>
    <w:rsid w:val="003747C8"/>
    <w:rsid w:val="00375984"/>
    <w:rsid w:val="00375DC6"/>
    <w:rsid w:val="0037633D"/>
    <w:rsid w:val="003764EE"/>
    <w:rsid w:val="003764F8"/>
    <w:rsid w:val="00376512"/>
    <w:rsid w:val="0037674B"/>
    <w:rsid w:val="003767BA"/>
    <w:rsid w:val="00376904"/>
    <w:rsid w:val="00376A23"/>
    <w:rsid w:val="00376A85"/>
    <w:rsid w:val="00376B11"/>
    <w:rsid w:val="00376C98"/>
    <w:rsid w:val="0037709C"/>
    <w:rsid w:val="00377133"/>
    <w:rsid w:val="0037718B"/>
    <w:rsid w:val="00377242"/>
    <w:rsid w:val="003773B2"/>
    <w:rsid w:val="0037745C"/>
    <w:rsid w:val="0037799B"/>
    <w:rsid w:val="00377A0B"/>
    <w:rsid w:val="00377A4C"/>
    <w:rsid w:val="00377D45"/>
    <w:rsid w:val="00377E3A"/>
    <w:rsid w:val="00380863"/>
    <w:rsid w:val="003814C0"/>
    <w:rsid w:val="00381A94"/>
    <w:rsid w:val="00381CD1"/>
    <w:rsid w:val="00382244"/>
    <w:rsid w:val="00383073"/>
    <w:rsid w:val="00383153"/>
    <w:rsid w:val="003832E9"/>
    <w:rsid w:val="00383859"/>
    <w:rsid w:val="00383997"/>
    <w:rsid w:val="00383CFB"/>
    <w:rsid w:val="00383D22"/>
    <w:rsid w:val="00383D45"/>
    <w:rsid w:val="00384501"/>
    <w:rsid w:val="003851A9"/>
    <w:rsid w:val="0038540C"/>
    <w:rsid w:val="003854A2"/>
    <w:rsid w:val="0038599F"/>
    <w:rsid w:val="00385BAD"/>
    <w:rsid w:val="00386061"/>
    <w:rsid w:val="0038614D"/>
    <w:rsid w:val="00386492"/>
    <w:rsid w:val="00386512"/>
    <w:rsid w:val="0038682A"/>
    <w:rsid w:val="00386B45"/>
    <w:rsid w:val="00386DF8"/>
    <w:rsid w:val="00386EEF"/>
    <w:rsid w:val="00387185"/>
    <w:rsid w:val="0038719E"/>
    <w:rsid w:val="00387212"/>
    <w:rsid w:val="0038751F"/>
    <w:rsid w:val="00387547"/>
    <w:rsid w:val="0038799B"/>
    <w:rsid w:val="00387BE3"/>
    <w:rsid w:val="00390664"/>
    <w:rsid w:val="003907E6"/>
    <w:rsid w:val="00390A3A"/>
    <w:rsid w:val="00390C3F"/>
    <w:rsid w:val="00390C90"/>
    <w:rsid w:val="00390D15"/>
    <w:rsid w:val="00391077"/>
    <w:rsid w:val="00391105"/>
    <w:rsid w:val="00391464"/>
    <w:rsid w:val="00391536"/>
    <w:rsid w:val="00391CA9"/>
    <w:rsid w:val="00391CC2"/>
    <w:rsid w:val="00391F9D"/>
    <w:rsid w:val="0039215A"/>
    <w:rsid w:val="003921C5"/>
    <w:rsid w:val="00392285"/>
    <w:rsid w:val="003927A1"/>
    <w:rsid w:val="00392868"/>
    <w:rsid w:val="0039295C"/>
    <w:rsid w:val="00392E93"/>
    <w:rsid w:val="00393235"/>
    <w:rsid w:val="003933D7"/>
    <w:rsid w:val="0039347C"/>
    <w:rsid w:val="0039347F"/>
    <w:rsid w:val="00393772"/>
    <w:rsid w:val="003937EF"/>
    <w:rsid w:val="0039410B"/>
    <w:rsid w:val="00394141"/>
    <w:rsid w:val="003942FC"/>
    <w:rsid w:val="00394415"/>
    <w:rsid w:val="0039442A"/>
    <w:rsid w:val="003945D2"/>
    <w:rsid w:val="003946F6"/>
    <w:rsid w:val="00394716"/>
    <w:rsid w:val="003948C4"/>
    <w:rsid w:val="003949A7"/>
    <w:rsid w:val="00394BD8"/>
    <w:rsid w:val="00395295"/>
    <w:rsid w:val="00395370"/>
    <w:rsid w:val="003954DC"/>
    <w:rsid w:val="0039588E"/>
    <w:rsid w:val="00395E14"/>
    <w:rsid w:val="00396137"/>
    <w:rsid w:val="003962CA"/>
    <w:rsid w:val="0039632D"/>
    <w:rsid w:val="00396B5A"/>
    <w:rsid w:val="00396DA5"/>
    <w:rsid w:val="003972B3"/>
    <w:rsid w:val="00397435"/>
    <w:rsid w:val="003974AD"/>
    <w:rsid w:val="003976E0"/>
    <w:rsid w:val="003978B2"/>
    <w:rsid w:val="00397BF3"/>
    <w:rsid w:val="00397D93"/>
    <w:rsid w:val="00397E30"/>
    <w:rsid w:val="003A0102"/>
    <w:rsid w:val="003A05E0"/>
    <w:rsid w:val="003A0BFA"/>
    <w:rsid w:val="003A10FA"/>
    <w:rsid w:val="003A1538"/>
    <w:rsid w:val="003A19EE"/>
    <w:rsid w:val="003A1BD6"/>
    <w:rsid w:val="003A1BEA"/>
    <w:rsid w:val="003A1C38"/>
    <w:rsid w:val="003A1CC8"/>
    <w:rsid w:val="003A1DC7"/>
    <w:rsid w:val="003A29D0"/>
    <w:rsid w:val="003A2F82"/>
    <w:rsid w:val="003A2FD2"/>
    <w:rsid w:val="003A316D"/>
    <w:rsid w:val="003A38B2"/>
    <w:rsid w:val="003A390C"/>
    <w:rsid w:val="003A3CA4"/>
    <w:rsid w:val="003A491D"/>
    <w:rsid w:val="003A4A87"/>
    <w:rsid w:val="003A4AD8"/>
    <w:rsid w:val="003A4ADA"/>
    <w:rsid w:val="003A4C57"/>
    <w:rsid w:val="003A4FB9"/>
    <w:rsid w:val="003A5417"/>
    <w:rsid w:val="003A5597"/>
    <w:rsid w:val="003A57EB"/>
    <w:rsid w:val="003A5D07"/>
    <w:rsid w:val="003A5F4D"/>
    <w:rsid w:val="003A61B4"/>
    <w:rsid w:val="003A6251"/>
    <w:rsid w:val="003A66C5"/>
    <w:rsid w:val="003A6A4E"/>
    <w:rsid w:val="003A6FAC"/>
    <w:rsid w:val="003A71B7"/>
    <w:rsid w:val="003A73F5"/>
    <w:rsid w:val="003A7CD8"/>
    <w:rsid w:val="003A7DFD"/>
    <w:rsid w:val="003B00E9"/>
    <w:rsid w:val="003B02AD"/>
    <w:rsid w:val="003B0381"/>
    <w:rsid w:val="003B043E"/>
    <w:rsid w:val="003B05AC"/>
    <w:rsid w:val="003B05FB"/>
    <w:rsid w:val="003B0807"/>
    <w:rsid w:val="003B0C36"/>
    <w:rsid w:val="003B1091"/>
    <w:rsid w:val="003B10D8"/>
    <w:rsid w:val="003B174B"/>
    <w:rsid w:val="003B1E51"/>
    <w:rsid w:val="003B20A0"/>
    <w:rsid w:val="003B21C6"/>
    <w:rsid w:val="003B22FD"/>
    <w:rsid w:val="003B24B7"/>
    <w:rsid w:val="003B2CCF"/>
    <w:rsid w:val="003B2D69"/>
    <w:rsid w:val="003B3166"/>
    <w:rsid w:val="003B322E"/>
    <w:rsid w:val="003B34F1"/>
    <w:rsid w:val="003B3921"/>
    <w:rsid w:val="003B39E7"/>
    <w:rsid w:val="003B3CD0"/>
    <w:rsid w:val="003B3D91"/>
    <w:rsid w:val="003B3E5D"/>
    <w:rsid w:val="003B3EB8"/>
    <w:rsid w:val="003B40F5"/>
    <w:rsid w:val="003B4254"/>
    <w:rsid w:val="003B46EF"/>
    <w:rsid w:val="003B4954"/>
    <w:rsid w:val="003B4B98"/>
    <w:rsid w:val="003B4C06"/>
    <w:rsid w:val="003B4D2B"/>
    <w:rsid w:val="003B5064"/>
    <w:rsid w:val="003B51EF"/>
    <w:rsid w:val="003B524C"/>
    <w:rsid w:val="003B5349"/>
    <w:rsid w:val="003B57DA"/>
    <w:rsid w:val="003B5955"/>
    <w:rsid w:val="003B5C8F"/>
    <w:rsid w:val="003B5D73"/>
    <w:rsid w:val="003B6363"/>
    <w:rsid w:val="003B646C"/>
    <w:rsid w:val="003B6647"/>
    <w:rsid w:val="003B69EB"/>
    <w:rsid w:val="003B6B90"/>
    <w:rsid w:val="003B6DD7"/>
    <w:rsid w:val="003B6EC6"/>
    <w:rsid w:val="003B713B"/>
    <w:rsid w:val="003B7B28"/>
    <w:rsid w:val="003B7FCD"/>
    <w:rsid w:val="003C0053"/>
    <w:rsid w:val="003C0229"/>
    <w:rsid w:val="003C081E"/>
    <w:rsid w:val="003C0847"/>
    <w:rsid w:val="003C0E0E"/>
    <w:rsid w:val="003C0E3B"/>
    <w:rsid w:val="003C133C"/>
    <w:rsid w:val="003C14D5"/>
    <w:rsid w:val="003C1A34"/>
    <w:rsid w:val="003C212F"/>
    <w:rsid w:val="003C2BFD"/>
    <w:rsid w:val="003C2C32"/>
    <w:rsid w:val="003C31FA"/>
    <w:rsid w:val="003C335E"/>
    <w:rsid w:val="003C3844"/>
    <w:rsid w:val="003C3961"/>
    <w:rsid w:val="003C47B7"/>
    <w:rsid w:val="003C494E"/>
    <w:rsid w:val="003C4D24"/>
    <w:rsid w:val="003C50A4"/>
    <w:rsid w:val="003C5342"/>
    <w:rsid w:val="003C56AF"/>
    <w:rsid w:val="003C5B87"/>
    <w:rsid w:val="003C5BCD"/>
    <w:rsid w:val="003C5D61"/>
    <w:rsid w:val="003C603F"/>
    <w:rsid w:val="003C6041"/>
    <w:rsid w:val="003C6AD0"/>
    <w:rsid w:val="003C6EBC"/>
    <w:rsid w:val="003C724D"/>
    <w:rsid w:val="003C7432"/>
    <w:rsid w:val="003C75FE"/>
    <w:rsid w:val="003C7CCB"/>
    <w:rsid w:val="003C7E8F"/>
    <w:rsid w:val="003D03EC"/>
    <w:rsid w:val="003D071F"/>
    <w:rsid w:val="003D0798"/>
    <w:rsid w:val="003D079C"/>
    <w:rsid w:val="003D0852"/>
    <w:rsid w:val="003D08CD"/>
    <w:rsid w:val="003D0C79"/>
    <w:rsid w:val="003D0CAB"/>
    <w:rsid w:val="003D0F71"/>
    <w:rsid w:val="003D10BF"/>
    <w:rsid w:val="003D1368"/>
    <w:rsid w:val="003D19D9"/>
    <w:rsid w:val="003D20E9"/>
    <w:rsid w:val="003D2160"/>
    <w:rsid w:val="003D2411"/>
    <w:rsid w:val="003D2AA5"/>
    <w:rsid w:val="003D2E99"/>
    <w:rsid w:val="003D342C"/>
    <w:rsid w:val="003D3629"/>
    <w:rsid w:val="003D3AB3"/>
    <w:rsid w:val="003D3BE1"/>
    <w:rsid w:val="003D42C5"/>
    <w:rsid w:val="003D44C1"/>
    <w:rsid w:val="003D476E"/>
    <w:rsid w:val="003D4A8F"/>
    <w:rsid w:val="003D5315"/>
    <w:rsid w:val="003D554E"/>
    <w:rsid w:val="003D5722"/>
    <w:rsid w:val="003D5A9B"/>
    <w:rsid w:val="003D5C37"/>
    <w:rsid w:val="003D6138"/>
    <w:rsid w:val="003D63DA"/>
    <w:rsid w:val="003D6565"/>
    <w:rsid w:val="003D6A59"/>
    <w:rsid w:val="003D6E06"/>
    <w:rsid w:val="003D73E1"/>
    <w:rsid w:val="003D787B"/>
    <w:rsid w:val="003D7BE5"/>
    <w:rsid w:val="003D7CBF"/>
    <w:rsid w:val="003D7F01"/>
    <w:rsid w:val="003D7F30"/>
    <w:rsid w:val="003D7F9D"/>
    <w:rsid w:val="003E00A1"/>
    <w:rsid w:val="003E04EC"/>
    <w:rsid w:val="003E0BD0"/>
    <w:rsid w:val="003E0E07"/>
    <w:rsid w:val="003E1238"/>
    <w:rsid w:val="003E15A3"/>
    <w:rsid w:val="003E166C"/>
    <w:rsid w:val="003E16D7"/>
    <w:rsid w:val="003E1A45"/>
    <w:rsid w:val="003E1B10"/>
    <w:rsid w:val="003E2477"/>
    <w:rsid w:val="003E282F"/>
    <w:rsid w:val="003E29BC"/>
    <w:rsid w:val="003E2DB6"/>
    <w:rsid w:val="003E3077"/>
    <w:rsid w:val="003E31BE"/>
    <w:rsid w:val="003E385C"/>
    <w:rsid w:val="003E3EBF"/>
    <w:rsid w:val="003E4394"/>
    <w:rsid w:val="003E46CC"/>
    <w:rsid w:val="003E4D8C"/>
    <w:rsid w:val="003E4E95"/>
    <w:rsid w:val="003E4FAC"/>
    <w:rsid w:val="003E5083"/>
    <w:rsid w:val="003E53F3"/>
    <w:rsid w:val="003E552E"/>
    <w:rsid w:val="003E58ED"/>
    <w:rsid w:val="003E5974"/>
    <w:rsid w:val="003E5FFB"/>
    <w:rsid w:val="003E6015"/>
    <w:rsid w:val="003E639C"/>
    <w:rsid w:val="003E6423"/>
    <w:rsid w:val="003E65F1"/>
    <w:rsid w:val="003E68CA"/>
    <w:rsid w:val="003E6EAE"/>
    <w:rsid w:val="003E6EEF"/>
    <w:rsid w:val="003E707B"/>
    <w:rsid w:val="003E791D"/>
    <w:rsid w:val="003E7B90"/>
    <w:rsid w:val="003E7BBD"/>
    <w:rsid w:val="003E7BE8"/>
    <w:rsid w:val="003E7D01"/>
    <w:rsid w:val="003E7E46"/>
    <w:rsid w:val="003F066B"/>
    <w:rsid w:val="003F06BA"/>
    <w:rsid w:val="003F0B18"/>
    <w:rsid w:val="003F1270"/>
    <w:rsid w:val="003F1B93"/>
    <w:rsid w:val="003F2066"/>
    <w:rsid w:val="003F21AB"/>
    <w:rsid w:val="003F2344"/>
    <w:rsid w:val="003F2380"/>
    <w:rsid w:val="003F246C"/>
    <w:rsid w:val="003F265A"/>
    <w:rsid w:val="003F281F"/>
    <w:rsid w:val="003F2C4C"/>
    <w:rsid w:val="003F2D9E"/>
    <w:rsid w:val="003F2F6A"/>
    <w:rsid w:val="003F2F98"/>
    <w:rsid w:val="003F2F9F"/>
    <w:rsid w:val="003F31D1"/>
    <w:rsid w:val="003F3413"/>
    <w:rsid w:val="003F34C2"/>
    <w:rsid w:val="003F39B9"/>
    <w:rsid w:val="003F3BEB"/>
    <w:rsid w:val="003F3D17"/>
    <w:rsid w:val="003F40F2"/>
    <w:rsid w:val="003F427F"/>
    <w:rsid w:val="003F45E6"/>
    <w:rsid w:val="003F4CB0"/>
    <w:rsid w:val="003F4F9F"/>
    <w:rsid w:val="003F5041"/>
    <w:rsid w:val="003F553B"/>
    <w:rsid w:val="003F5B66"/>
    <w:rsid w:val="003F5FEF"/>
    <w:rsid w:val="003F6003"/>
    <w:rsid w:val="003F61A5"/>
    <w:rsid w:val="003F647C"/>
    <w:rsid w:val="003F6616"/>
    <w:rsid w:val="003F6AA6"/>
    <w:rsid w:val="003F6AFC"/>
    <w:rsid w:val="003F6B1B"/>
    <w:rsid w:val="003F6C63"/>
    <w:rsid w:val="003F7342"/>
    <w:rsid w:val="003F7A28"/>
    <w:rsid w:val="003F7D8A"/>
    <w:rsid w:val="00400336"/>
    <w:rsid w:val="004005E1"/>
    <w:rsid w:val="00400CF8"/>
    <w:rsid w:val="00400E70"/>
    <w:rsid w:val="004012C2"/>
    <w:rsid w:val="004013D3"/>
    <w:rsid w:val="0040147F"/>
    <w:rsid w:val="0040160B"/>
    <w:rsid w:val="004016EB"/>
    <w:rsid w:val="0040173B"/>
    <w:rsid w:val="00401903"/>
    <w:rsid w:val="00401CE2"/>
    <w:rsid w:val="00401F4B"/>
    <w:rsid w:val="00401F57"/>
    <w:rsid w:val="0040224F"/>
    <w:rsid w:val="00402933"/>
    <w:rsid w:val="00402B15"/>
    <w:rsid w:val="00402E13"/>
    <w:rsid w:val="0040307B"/>
    <w:rsid w:val="0040352E"/>
    <w:rsid w:val="004038D9"/>
    <w:rsid w:val="004038E8"/>
    <w:rsid w:val="00403BAA"/>
    <w:rsid w:val="00403F9F"/>
    <w:rsid w:val="0040400C"/>
    <w:rsid w:val="004041D2"/>
    <w:rsid w:val="00404202"/>
    <w:rsid w:val="0040454B"/>
    <w:rsid w:val="00404621"/>
    <w:rsid w:val="00404A9B"/>
    <w:rsid w:val="00404BC5"/>
    <w:rsid w:val="00405836"/>
    <w:rsid w:val="0040588E"/>
    <w:rsid w:val="004058AA"/>
    <w:rsid w:val="00406008"/>
    <w:rsid w:val="004061D8"/>
    <w:rsid w:val="0040651A"/>
    <w:rsid w:val="00406791"/>
    <w:rsid w:val="004067EF"/>
    <w:rsid w:val="00406849"/>
    <w:rsid w:val="004071CD"/>
    <w:rsid w:val="0040723C"/>
    <w:rsid w:val="0040776D"/>
    <w:rsid w:val="00410045"/>
    <w:rsid w:val="0041022E"/>
    <w:rsid w:val="00410526"/>
    <w:rsid w:val="00410599"/>
    <w:rsid w:val="00410997"/>
    <w:rsid w:val="00410DBE"/>
    <w:rsid w:val="00410E93"/>
    <w:rsid w:val="00411B25"/>
    <w:rsid w:val="00411C63"/>
    <w:rsid w:val="00411D0B"/>
    <w:rsid w:val="0041250E"/>
    <w:rsid w:val="0041288C"/>
    <w:rsid w:val="00412A7F"/>
    <w:rsid w:val="00412AA9"/>
    <w:rsid w:val="00412AB0"/>
    <w:rsid w:val="00412D86"/>
    <w:rsid w:val="00412FD1"/>
    <w:rsid w:val="004130E5"/>
    <w:rsid w:val="004132E4"/>
    <w:rsid w:val="004133D7"/>
    <w:rsid w:val="004137BB"/>
    <w:rsid w:val="00413823"/>
    <w:rsid w:val="00413F10"/>
    <w:rsid w:val="004145C1"/>
    <w:rsid w:val="0041478D"/>
    <w:rsid w:val="00414C0E"/>
    <w:rsid w:val="00414CDF"/>
    <w:rsid w:val="00414E41"/>
    <w:rsid w:val="00415601"/>
    <w:rsid w:val="00415C3A"/>
    <w:rsid w:val="00416163"/>
    <w:rsid w:val="0041642D"/>
    <w:rsid w:val="0041644D"/>
    <w:rsid w:val="004166D5"/>
    <w:rsid w:val="004167CD"/>
    <w:rsid w:val="00416939"/>
    <w:rsid w:val="00417653"/>
    <w:rsid w:val="00417B54"/>
    <w:rsid w:val="00420004"/>
    <w:rsid w:val="00420026"/>
    <w:rsid w:val="00420307"/>
    <w:rsid w:val="004203EA"/>
    <w:rsid w:val="004206F1"/>
    <w:rsid w:val="004209EF"/>
    <w:rsid w:val="00420A03"/>
    <w:rsid w:val="00420B38"/>
    <w:rsid w:val="00420EE9"/>
    <w:rsid w:val="00421762"/>
    <w:rsid w:val="004218F9"/>
    <w:rsid w:val="00421B1A"/>
    <w:rsid w:val="00421DEC"/>
    <w:rsid w:val="00421F0B"/>
    <w:rsid w:val="0042218B"/>
    <w:rsid w:val="00422812"/>
    <w:rsid w:val="00422B3F"/>
    <w:rsid w:val="00422B4B"/>
    <w:rsid w:val="00422C18"/>
    <w:rsid w:val="00422D24"/>
    <w:rsid w:val="00423377"/>
    <w:rsid w:val="00423447"/>
    <w:rsid w:val="004235F8"/>
    <w:rsid w:val="0042364F"/>
    <w:rsid w:val="00423650"/>
    <w:rsid w:val="004236AE"/>
    <w:rsid w:val="00423A44"/>
    <w:rsid w:val="00423B17"/>
    <w:rsid w:val="00423E90"/>
    <w:rsid w:val="00423F3F"/>
    <w:rsid w:val="004240F9"/>
    <w:rsid w:val="00424304"/>
    <w:rsid w:val="0042480D"/>
    <w:rsid w:val="00424F51"/>
    <w:rsid w:val="00425478"/>
    <w:rsid w:val="004256A6"/>
    <w:rsid w:val="00425732"/>
    <w:rsid w:val="00425D88"/>
    <w:rsid w:val="00425E8A"/>
    <w:rsid w:val="00425EDF"/>
    <w:rsid w:val="004261E0"/>
    <w:rsid w:val="004265C5"/>
    <w:rsid w:val="004267DE"/>
    <w:rsid w:val="00426DE4"/>
    <w:rsid w:val="00426EFB"/>
    <w:rsid w:val="004270C8"/>
    <w:rsid w:val="0042750F"/>
    <w:rsid w:val="004276DF"/>
    <w:rsid w:val="0042778F"/>
    <w:rsid w:val="004278F4"/>
    <w:rsid w:val="00427C67"/>
    <w:rsid w:val="00427EF6"/>
    <w:rsid w:val="00427FCF"/>
    <w:rsid w:val="00430091"/>
    <w:rsid w:val="004301F3"/>
    <w:rsid w:val="004302BF"/>
    <w:rsid w:val="004306B5"/>
    <w:rsid w:val="00430CE4"/>
    <w:rsid w:val="00430EC0"/>
    <w:rsid w:val="004319E3"/>
    <w:rsid w:val="00431D0E"/>
    <w:rsid w:val="00431FC7"/>
    <w:rsid w:val="0043203E"/>
    <w:rsid w:val="0043250C"/>
    <w:rsid w:val="0043251D"/>
    <w:rsid w:val="00432551"/>
    <w:rsid w:val="0043263B"/>
    <w:rsid w:val="0043270F"/>
    <w:rsid w:val="00432C27"/>
    <w:rsid w:val="00433098"/>
    <w:rsid w:val="004333B7"/>
    <w:rsid w:val="00433F15"/>
    <w:rsid w:val="00434220"/>
    <w:rsid w:val="0043437D"/>
    <w:rsid w:val="0043448B"/>
    <w:rsid w:val="0043456B"/>
    <w:rsid w:val="00434724"/>
    <w:rsid w:val="004349F0"/>
    <w:rsid w:val="00434DF3"/>
    <w:rsid w:val="004350DE"/>
    <w:rsid w:val="0043590D"/>
    <w:rsid w:val="00435CF7"/>
    <w:rsid w:val="00435DB2"/>
    <w:rsid w:val="00435DB5"/>
    <w:rsid w:val="00435E94"/>
    <w:rsid w:val="00435EEB"/>
    <w:rsid w:val="00436183"/>
    <w:rsid w:val="00436308"/>
    <w:rsid w:val="004364EA"/>
    <w:rsid w:val="00436606"/>
    <w:rsid w:val="00436673"/>
    <w:rsid w:val="004366C8"/>
    <w:rsid w:val="00436D38"/>
    <w:rsid w:val="00436F28"/>
    <w:rsid w:val="00437466"/>
    <w:rsid w:val="004376E8"/>
    <w:rsid w:val="004376EB"/>
    <w:rsid w:val="0043773B"/>
    <w:rsid w:val="00437A02"/>
    <w:rsid w:val="00437B09"/>
    <w:rsid w:val="00437BE8"/>
    <w:rsid w:val="00437EAA"/>
    <w:rsid w:val="004401E4"/>
    <w:rsid w:val="00440648"/>
    <w:rsid w:val="0044066D"/>
    <w:rsid w:val="004406E3"/>
    <w:rsid w:val="0044082A"/>
    <w:rsid w:val="00440971"/>
    <w:rsid w:val="00440AB3"/>
    <w:rsid w:val="00440C5A"/>
    <w:rsid w:val="00440E85"/>
    <w:rsid w:val="004411B2"/>
    <w:rsid w:val="0044129F"/>
    <w:rsid w:val="004419C5"/>
    <w:rsid w:val="00441A4E"/>
    <w:rsid w:val="00441D86"/>
    <w:rsid w:val="004421BE"/>
    <w:rsid w:val="00442773"/>
    <w:rsid w:val="004429DD"/>
    <w:rsid w:val="00442CC9"/>
    <w:rsid w:val="00442D33"/>
    <w:rsid w:val="00442E0A"/>
    <w:rsid w:val="004444FE"/>
    <w:rsid w:val="004446A5"/>
    <w:rsid w:val="004447D2"/>
    <w:rsid w:val="00444E6A"/>
    <w:rsid w:val="0044581D"/>
    <w:rsid w:val="0044598A"/>
    <w:rsid w:val="00445CB0"/>
    <w:rsid w:val="0044658C"/>
    <w:rsid w:val="00446685"/>
    <w:rsid w:val="00446A67"/>
    <w:rsid w:val="00446A73"/>
    <w:rsid w:val="004472C3"/>
    <w:rsid w:val="00447531"/>
    <w:rsid w:val="00447926"/>
    <w:rsid w:val="00447A5A"/>
    <w:rsid w:val="00450022"/>
    <w:rsid w:val="004505A3"/>
    <w:rsid w:val="0045061D"/>
    <w:rsid w:val="00450AD0"/>
    <w:rsid w:val="00450BF3"/>
    <w:rsid w:val="00450FF4"/>
    <w:rsid w:val="004510B4"/>
    <w:rsid w:val="0045167E"/>
    <w:rsid w:val="004516B6"/>
    <w:rsid w:val="00451870"/>
    <w:rsid w:val="00451D2A"/>
    <w:rsid w:val="004524EB"/>
    <w:rsid w:val="00452848"/>
    <w:rsid w:val="004528B5"/>
    <w:rsid w:val="00452B84"/>
    <w:rsid w:val="00452D4D"/>
    <w:rsid w:val="00452F2D"/>
    <w:rsid w:val="0045311E"/>
    <w:rsid w:val="00453199"/>
    <w:rsid w:val="004534EC"/>
    <w:rsid w:val="004534F7"/>
    <w:rsid w:val="00454109"/>
    <w:rsid w:val="0045427F"/>
    <w:rsid w:val="004543CD"/>
    <w:rsid w:val="0045463B"/>
    <w:rsid w:val="004549EC"/>
    <w:rsid w:val="004549FE"/>
    <w:rsid w:val="00454BA6"/>
    <w:rsid w:val="00454D51"/>
    <w:rsid w:val="0045582C"/>
    <w:rsid w:val="004558F6"/>
    <w:rsid w:val="00455A8F"/>
    <w:rsid w:val="00455C1E"/>
    <w:rsid w:val="0045620D"/>
    <w:rsid w:val="00456216"/>
    <w:rsid w:val="0045648B"/>
    <w:rsid w:val="00456561"/>
    <w:rsid w:val="00456996"/>
    <w:rsid w:val="00456C9B"/>
    <w:rsid w:val="004570CC"/>
    <w:rsid w:val="004575F5"/>
    <w:rsid w:val="00457A27"/>
    <w:rsid w:val="00457CBD"/>
    <w:rsid w:val="00457E62"/>
    <w:rsid w:val="0046031E"/>
    <w:rsid w:val="0046070B"/>
    <w:rsid w:val="004609C7"/>
    <w:rsid w:val="00460D89"/>
    <w:rsid w:val="00460F69"/>
    <w:rsid w:val="00460FC3"/>
    <w:rsid w:val="00461050"/>
    <w:rsid w:val="004616FC"/>
    <w:rsid w:val="00461757"/>
    <w:rsid w:val="00461E42"/>
    <w:rsid w:val="00462233"/>
    <w:rsid w:val="004626DD"/>
    <w:rsid w:val="004627D8"/>
    <w:rsid w:val="00462844"/>
    <w:rsid w:val="00462896"/>
    <w:rsid w:val="004629DC"/>
    <w:rsid w:val="00462A68"/>
    <w:rsid w:val="00462BD6"/>
    <w:rsid w:val="00462D35"/>
    <w:rsid w:val="00463715"/>
    <w:rsid w:val="00463A83"/>
    <w:rsid w:val="00463C5A"/>
    <w:rsid w:val="00463CFE"/>
    <w:rsid w:val="00464AA2"/>
    <w:rsid w:val="00464D72"/>
    <w:rsid w:val="00465CBC"/>
    <w:rsid w:val="00465D5A"/>
    <w:rsid w:val="00465EC1"/>
    <w:rsid w:val="00465F4B"/>
    <w:rsid w:val="004668A1"/>
    <w:rsid w:val="004668F5"/>
    <w:rsid w:val="00466C24"/>
    <w:rsid w:val="0046701D"/>
    <w:rsid w:val="00467259"/>
    <w:rsid w:val="00467308"/>
    <w:rsid w:val="00467317"/>
    <w:rsid w:val="004675CE"/>
    <w:rsid w:val="00467B54"/>
    <w:rsid w:val="00467E59"/>
    <w:rsid w:val="00467F8F"/>
    <w:rsid w:val="0047032B"/>
    <w:rsid w:val="00470812"/>
    <w:rsid w:val="004708E6"/>
    <w:rsid w:val="00470A47"/>
    <w:rsid w:val="00470E5D"/>
    <w:rsid w:val="00470EC8"/>
    <w:rsid w:val="00470F7D"/>
    <w:rsid w:val="00471104"/>
    <w:rsid w:val="00471596"/>
    <w:rsid w:val="004716E9"/>
    <w:rsid w:val="004717B2"/>
    <w:rsid w:val="00471839"/>
    <w:rsid w:val="004718ED"/>
    <w:rsid w:val="00471ADE"/>
    <w:rsid w:val="00471C30"/>
    <w:rsid w:val="004720F5"/>
    <w:rsid w:val="00472776"/>
    <w:rsid w:val="00472806"/>
    <w:rsid w:val="004729D6"/>
    <w:rsid w:val="00472BDC"/>
    <w:rsid w:val="00472C06"/>
    <w:rsid w:val="00472DA4"/>
    <w:rsid w:val="00472DD5"/>
    <w:rsid w:val="004739D2"/>
    <w:rsid w:val="00473D47"/>
    <w:rsid w:val="004748CA"/>
    <w:rsid w:val="0047498C"/>
    <w:rsid w:val="00474AB8"/>
    <w:rsid w:val="00474C81"/>
    <w:rsid w:val="0047523B"/>
    <w:rsid w:val="004753FD"/>
    <w:rsid w:val="0047546A"/>
    <w:rsid w:val="0047571C"/>
    <w:rsid w:val="00475A19"/>
    <w:rsid w:val="00475BC8"/>
    <w:rsid w:val="00475DF6"/>
    <w:rsid w:val="0047601D"/>
    <w:rsid w:val="004761BB"/>
    <w:rsid w:val="00476339"/>
    <w:rsid w:val="00476584"/>
    <w:rsid w:val="004766C7"/>
    <w:rsid w:val="00476996"/>
    <w:rsid w:val="00476F88"/>
    <w:rsid w:val="0047721B"/>
    <w:rsid w:val="00477427"/>
    <w:rsid w:val="004776CA"/>
    <w:rsid w:val="00477A19"/>
    <w:rsid w:val="00477BA8"/>
    <w:rsid w:val="00477F25"/>
    <w:rsid w:val="00480027"/>
    <w:rsid w:val="00480252"/>
    <w:rsid w:val="004803B6"/>
    <w:rsid w:val="0048049F"/>
    <w:rsid w:val="00480C08"/>
    <w:rsid w:val="00480C97"/>
    <w:rsid w:val="00480CEC"/>
    <w:rsid w:val="00480D88"/>
    <w:rsid w:val="0048104B"/>
    <w:rsid w:val="004815D1"/>
    <w:rsid w:val="00481652"/>
    <w:rsid w:val="00481A27"/>
    <w:rsid w:val="00481F16"/>
    <w:rsid w:val="00481FF2"/>
    <w:rsid w:val="00482918"/>
    <w:rsid w:val="00482BAD"/>
    <w:rsid w:val="00482C21"/>
    <w:rsid w:val="00482F51"/>
    <w:rsid w:val="0048307D"/>
    <w:rsid w:val="004830C4"/>
    <w:rsid w:val="004832C0"/>
    <w:rsid w:val="00483399"/>
    <w:rsid w:val="00483536"/>
    <w:rsid w:val="00483A08"/>
    <w:rsid w:val="00483A2C"/>
    <w:rsid w:val="00483B9B"/>
    <w:rsid w:val="00483EFA"/>
    <w:rsid w:val="0048407A"/>
    <w:rsid w:val="004847D8"/>
    <w:rsid w:val="00484F8F"/>
    <w:rsid w:val="004859DD"/>
    <w:rsid w:val="00485A87"/>
    <w:rsid w:val="00486402"/>
    <w:rsid w:val="004867EE"/>
    <w:rsid w:val="004869C5"/>
    <w:rsid w:val="00486FB4"/>
    <w:rsid w:val="00487211"/>
    <w:rsid w:val="00487299"/>
    <w:rsid w:val="00487512"/>
    <w:rsid w:val="00487960"/>
    <w:rsid w:val="00487E19"/>
    <w:rsid w:val="00487F28"/>
    <w:rsid w:val="0049046D"/>
    <w:rsid w:val="00490832"/>
    <w:rsid w:val="00490917"/>
    <w:rsid w:val="004910C1"/>
    <w:rsid w:val="004917FD"/>
    <w:rsid w:val="00491893"/>
    <w:rsid w:val="004919A7"/>
    <w:rsid w:val="00491A6F"/>
    <w:rsid w:val="00491BDA"/>
    <w:rsid w:val="00491ECF"/>
    <w:rsid w:val="0049215B"/>
    <w:rsid w:val="004927CB"/>
    <w:rsid w:val="00493319"/>
    <w:rsid w:val="00493423"/>
    <w:rsid w:val="004934F9"/>
    <w:rsid w:val="00493799"/>
    <w:rsid w:val="00493D2B"/>
    <w:rsid w:val="0049457D"/>
    <w:rsid w:val="00494A97"/>
    <w:rsid w:val="00494C24"/>
    <w:rsid w:val="0049502D"/>
    <w:rsid w:val="0049589A"/>
    <w:rsid w:val="00495C10"/>
    <w:rsid w:val="00495D5C"/>
    <w:rsid w:val="00495F4A"/>
    <w:rsid w:val="00496247"/>
    <w:rsid w:val="004963FD"/>
    <w:rsid w:val="0049676C"/>
    <w:rsid w:val="00496AC4"/>
    <w:rsid w:val="00496E8C"/>
    <w:rsid w:val="00497495"/>
    <w:rsid w:val="0049763D"/>
    <w:rsid w:val="0049783C"/>
    <w:rsid w:val="00497B61"/>
    <w:rsid w:val="00497C74"/>
    <w:rsid w:val="00497C8B"/>
    <w:rsid w:val="00497CB5"/>
    <w:rsid w:val="004A01CE"/>
    <w:rsid w:val="004A01E8"/>
    <w:rsid w:val="004A04A3"/>
    <w:rsid w:val="004A0893"/>
    <w:rsid w:val="004A0D09"/>
    <w:rsid w:val="004A0DA4"/>
    <w:rsid w:val="004A0E9D"/>
    <w:rsid w:val="004A122F"/>
    <w:rsid w:val="004A1A1C"/>
    <w:rsid w:val="004A1C96"/>
    <w:rsid w:val="004A1D15"/>
    <w:rsid w:val="004A1D1B"/>
    <w:rsid w:val="004A2510"/>
    <w:rsid w:val="004A25A1"/>
    <w:rsid w:val="004A25C4"/>
    <w:rsid w:val="004A29E1"/>
    <w:rsid w:val="004A3305"/>
    <w:rsid w:val="004A3315"/>
    <w:rsid w:val="004A348A"/>
    <w:rsid w:val="004A3500"/>
    <w:rsid w:val="004A3717"/>
    <w:rsid w:val="004A39D5"/>
    <w:rsid w:val="004A3A33"/>
    <w:rsid w:val="004A3D25"/>
    <w:rsid w:val="004A42EA"/>
    <w:rsid w:val="004A46A9"/>
    <w:rsid w:val="004A47AD"/>
    <w:rsid w:val="004A4819"/>
    <w:rsid w:val="004A49C0"/>
    <w:rsid w:val="004A555E"/>
    <w:rsid w:val="004A5572"/>
    <w:rsid w:val="004A57EE"/>
    <w:rsid w:val="004A5EC9"/>
    <w:rsid w:val="004A5F68"/>
    <w:rsid w:val="004A6394"/>
    <w:rsid w:val="004A65AC"/>
    <w:rsid w:val="004A687D"/>
    <w:rsid w:val="004A68FA"/>
    <w:rsid w:val="004A6A1D"/>
    <w:rsid w:val="004A6BDD"/>
    <w:rsid w:val="004A6C51"/>
    <w:rsid w:val="004A6DE2"/>
    <w:rsid w:val="004A71A5"/>
    <w:rsid w:val="004A7435"/>
    <w:rsid w:val="004A7442"/>
    <w:rsid w:val="004B0115"/>
    <w:rsid w:val="004B02E0"/>
    <w:rsid w:val="004B06DB"/>
    <w:rsid w:val="004B0D64"/>
    <w:rsid w:val="004B0ED6"/>
    <w:rsid w:val="004B1204"/>
    <w:rsid w:val="004B13D0"/>
    <w:rsid w:val="004B1749"/>
    <w:rsid w:val="004B184B"/>
    <w:rsid w:val="004B186B"/>
    <w:rsid w:val="004B18CD"/>
    <w:rsid w:val="004B1F36"/>
    <w:rsid w:val="004B20C9"/>
    <w:rsid w:val="004B2712"/>
    <w:rsid w:val="004B294F"/>
    <w:rsid w:val="004B2A08"/>
    <w:rsid w:val="004B2B69"/>
    <w:rsid w:val="004B2B8C"/>
    <w:rsid w:val="004B2EEB"/>
    <w:rsid w:val="004B3252"/>
    <w:rsid w:val="004B342F"/>
    <w:rsid w:val="004B3972"/>
    <w:rsid w:val="004B4929"/>
    <w:rsid w:val="004B49CA"/>
    <w:rsid w:val="004B4DE7"/>
    <w:rsid w:val="004B4E6E"/>
    <w:rsid w:val="004B52F8"/>
    <w:rsid w:val="004B59FD"/>
    <w:rsid w:val="004B5B5C"/>
    <w:rsid w:val="004B5C48"/>
    <w:rsid w:val="004B5D73"/>
    <w:rsid w:val="004B5DAB"/>
    <w:rsid w:val="004B5F10"/>
    <w:rsid w:val="004B6430"/>
    <w:rsid w:val="004B65C4"/>
    <w:rsid w:val="004B6690"/>
    <w:rsid w:val="004B6D84"/>
    <w:rsid w:val="004B736B"/>
    <w:rsid w:val="004B7A89"/>
    <w:rsid w:val="004B7AAC"/>
    <w:rsid w:val="004B7B1B"/>
    <w:rsid w:val="004B7C83"/>
    <w:rsid w:val="004B7CD7"/>
    <w:rsid w:val="004C0058"/>
    <w:rsid w:val="004C0267"/>
    <w:rsid w:val="004C09DB"/>
    <w:rsid w:val="004C0B4D"/>
    <w:rsid w:val="004C0B55"/>
    <w:rsid w:val="004C0BC6"/>
    <w:rsid w:val="004C0C0D"/>
    <w:rsid w:val="004C0C41"/>
    <w:rsid w:val="004C0DDC"/>
    <w:rsid w:val="004C139C"/>
    <w:rsid w:val="004C1600"/>
    <w:rsid w:val="004C19AB"/>
    <w:rsid w:val="004C1E0C"/>
    <w:rsid w:val="004C2206"/>
    <w:rsid w:val="004C2CC7"/>
    <w:rsid w:val="004C2E0D"/>
    <w:rsid w:val="004C2EBD"/>
    <w:rsid w:val="004C2F4B"/>
    <w:rsid w:val="004C30FD"/>
    <w:rsid w:val="004C3254"/>
    <w:rsid w:val="004C3605"/>
    <w:rsid w:val="004C38EE"/>
    <w:rsid w:val="004C3DC2"/>
    <w:rsid w:val="004C3F1E"/>
    <w:rsid w:val="004C4518"/>
    <w:rsid w:val="004C48F7"/>
    <w:rsid w:val="004C4C5F"/>
    <w:rsid w:val="004C5037"/>
    <w:rsid w:val="004C5040"/>
    <w:rsid w:val="004C51FD"/>
    <w:rsid w:val="004C5275"/>
    <w:rsid w:val="004C53F6"/>
    <w:rsid w:val="004C54BC"/>
    <w:rsid w:val="004C57B4"/>
    <w:rsid w:val="004C5814"/>
    <w:rsid w:val="004C5B01"/>
    <w:rsid w:val="004C5CB0"/>
    <w:rsid w:val="004C618B"/>
    <w:rsid w:val="004C688B"/>
    <w:rsid w:val="004C69A7"/>
    <w:rsid w:val="004C6F75"/>
    <w:rsid w:val="004C7155"/>
    <w:rsid w:val="004C71B5"/>
    <w:rsid w:val="004C73AB"/>
    <w:rsid w:val="004C7427"/>
    <w:rsid w:val="004C743E"/>
    <w:rsid w:val="004C773C"/>
    <w:rsid w:val="004C789B"/>
    <w:rsid w:val="004C7A26"/>
    <w:rsid w:val="004D0028"/>
    <w:rsid w:val="004D0370"/>
    <w:rsid w:val="004D056A"/>
    <w:rsid w:val="004D090A"/>
    <w:rsid w:val="004D0AC1"/>
    <w:rsid w:val="004D0BA4"/>
    <w:rsid w:val="004D0F25"/>
    <w:rsid w:val="004D142E"/>
    <w:rsid w:val="004D15EA"/>
    <w:rsid w:val="004D1674"/>
    <w:rsid w:val="004D18EB"/>
    <w:rsid w:val="004D1BA5"/>
    <w:rsid w:val="004D1DC1"/>
    <w:rsid w:val="004D2550"/>
    <w:rsid w:val="004D2859"/>
    <w:rsid w:val="004D29F0"/>
    <w:rsid w:val="004D2CCF"/>
    <w:rsid w:val="004D2DC6"/>
    <w:rsid w:val="004D3507"/>
    <w:rsid w:val="004D39C0"/>
    <w:rsid w:val="004D428B"/>
    <w:rsid w:val="004D44A2"/>
    <w:rsid w:val="004D4816"/>
    <w:rsid w:val="004D49E5"/>
    <w:rsid w:val="004D4AD2"/>
    <w:rsid w:val="004D4D01"/>
    <w:rsid w:val="004D4FAE"/>
    <w:rsid w:val="004D57AA"/>
    <w:rsid w:val="004D58D1"/>
    <w:rsid w:val="004D5A6C"/>
    <w:rsid w:val="004D5F27"/>
    <w:rsid w:val="004D66DC"/>
    <w:rsid w:val="004D6AF1"/>
    <w:rsid w:val="004D72DF"/>
    <w:rsid w:val="004D73F3"/>
    <w:rsid w:val="004D75E8"/>
    <w:rsid w:val="004D7ACA"/>
    <w:rsid w:val="004D7BFC"/>
    <w:rsid w:val="004D7C40"/>
    <w:rsid w:val="004D7EF5"/>
    <w:rsid w:val="004E09A0"/>
    <w:rsid w:val="004E0C2E"/>
    <w:rsid w:val="004E1024"/>
    <w:rsid w:val="004E1283"/>
    <w:rsid w:val="004E1368"/>
    <w:rsid w:val="004E170B"/>
    <w:rsid w:val="004E1746"/>
    <w:rsid w:val="004E17DA"/>
    <w:rsid w:val="004E1998"/>
    <w:rsid w:val="004E1AFA"/>
    <w:rsid w:val="004E21E2"/>
    <w:rsid w:val="004E258F"/>
    <w:rsid w:val="004E2843"/>
    <w:rsid w:val="004E2A0B"/>
    <w:rsid w:val="004E2AE1"/>
    <w:rsid w:val="004E2D66"/>
    <w:rsid w:val="004E2DDC"/>
    <w:rsid w:val="004E2F0C"/>
    <w:rsid w:val="004E2FD4"/>
    <w:rsid w:val="004E3023"/>
    <w:rsid w:val="004E34DC"/>
    <w:rsid w:val="004E35B1"/>
    <w:rsid w:val="004E3ED9"/>
    <w:rsid w:val="004E4099"/>
    <w:rsid w:val="004E4326"/>
    <w:rsid w:val="004E4371"/>
    <w:rsid w:val="004E4A54"/>
    <w:rsid w:val="004E4E71"/>
    <w:rsid w:val="004E4F83"/>
    <w:rsid w:val="004E52AC"/>
    <w:rsid w:val="004E531C"/>
    <w:rsid w:val="004E5439"/>
    <w:rsid w:val="004E5585"/>
    <w:rsid w:val="004E5617"/>
    <w:rsid w:val="004E59CD"/>
    <w:rsid w:val="004E62CC"/>
    <w:rsid w:val="004E63E5"/>
    <w:rsid w:val="004E64EB"/>
    <w:rsid w:val="004E6B18"/>
    <w:rsid w:val="004E7369"/>
    <w:rsid w:val="004E73FC"/>
    <w:rsid w:val="004E765C"/>
    <w:rsid w:val="004E76A4"/>
    <w:rsid w:val="004E7752"/>
    <w:rsid w:val="004E77D1"/>
    <w:rsid w:val="004E7F87"/>
    <w:rsid w:val="004F03AB"/>
    <w:rsid w:val="004F045D"/>
    <w:rsid w:val="004F065F"/>
    <w:rsid w:val="004F06CF"/>
    <w:rsid w:val="004F07AE"/>
    <w:rsid w:val="004F092A"/>
    <w:rsid w:val="004F0939"/>
    <w:rsid w:val="004F0ABA"/>
    <w:rsid w:val="004F158D"/>
    <w:rsid w:val="004F1606"/>
    <w:rsid w:val="004F1679"/>
    <w:rsid w:val="004F201E"/>
    <w:rsid w:val="004F2479"/>
    <w:rsid w:val="004F25EA"/>
    <w:rsid w:val="004F2C15"/>
    <w:rsid w:val="004F2D0B"/>
    <w:rsid w:val="004F2D15"/>
    <w:rsid w:val="004F2DF8"/>
    <w:rsid w:val="004F2FC1"/>
    <w:rsid w:val="004F3154"/>
    <w:rsid w:val="004F3555"/>
    <w:rsid w:val="004F474B"/>
    <w:rsid w:val="004F4CAB"/>
    <w:rsid w:val="004F4ECF"/>
    <w:rsid w:val="004F4F48"/>
    <w:rsid w:val="004F51BB"/>
    <w:rsid w:val="004F52EF"/>
    <w:rsid w:val="004F5457"/>
    <w:rsid w:val="004F5895"/>
    <w:rsid w:val="004F6120"/>
    <w:rsid w:val="004F628A"/>
    <w:rsid w:val="004F64E1"/>
    <w:rsid w:val="004F66E5"/>
    <w:rsid w:val="004F6D92"/>
    <w:rsid w:val="004F6EBC"/>
    <w:rsid w:val="004F7114"/>
    <w:rsid w:val="004F74BB"/>
    <w:rsid w:val="004F74E5"/>
    <w:rsid w:val="004F76C1"/>
    <w:rsid w:val="004F78C8"/>
    <w:rsid w:val="004F7BBD"/>
    <w:rsid w:val="004F7BDC"/>
    <w:rsid w:val="004F7D68"/>
    <w:rsid w:val="004F7F36"/>
    <w:rsid w:val="005006D8"/>
    <w:rsid w:val="0050074D"/>
    <w:rsid w:val="005008C3"/>
    <w:rsid w:val="00501925"/>
    <w:rsid w:val="00501A3F"/>
    <w:rsid w:val="00501CC8"/>
    <w:rsid w:val="00501DF5"/>
    <w:rsid w:val="005023C9"/>
    <w:rsid w:val="005027FC"/>
    <w:rsid w:val="00502ED5"/>
    <w:rsid w:val="00503048"/>
    <w:rsid w:val="0050329C"/>
    <w:rsid w:val="00503309"/>
    <w:rsid w:val="0050376C"/>
    <w:rsid w:val="00503A8A"/>
    <w:rsid w:val="00503DDE"/>
    <w:rsid w:val="0050411B"/>
    <w:rsid w:val="00504195"/>
    <w:rsid w:val="005044A4"/>
    <w:rsid w:val="00504577"/>
    <w:rsid w:val="00504682"/>
    <w:rsid w:val="00504711"/>
    <w:rsid w:val="00504D24"/>
    <w:rsid w:val="0050539F"/>
    <w:rsid w:val="005054AE"/>
    <w:rsid w:val="00505D32"/>
    <w:rsid w:val="00505ED8"/>
    <w:rsid w:val="005061C9"/>
    <w:rsid w:val="00506418"/>
    <w:rsid w:val="00506590"/>
    <w:rsid w:val="005066C3"/>
    <w:rsid w:val="00506775"/>
    <w:rsid w:val="00506938"/>
    <w:rsid w:val="00506DBB"/>
    <w:rsid w:val="00506F30"/>
    <w:rsid w:val="00507066"/>
    <w:rsid w:val="00507330"/>
    <w:rsid w:val="0050741B"/>
    <w:rsid w:val="005075D3"/>
    <w:rsid w:val="0050772F"/>
    <w:rsid w:val="005077EC"/>
    <w:rsid w:val="00507A0E"/>
    <w:rsid w:val="00507F4B"/>
    <w:rsid w:val="0051021E"/>
    <w:rsid w:val="00510340"/>
    <w:rsid w:val="00510450"/>
    <w:rsid w:val="00510727"/>
    <w:rsid w:val="005109BF"/>
    <w:rsid w:val="00510B02"/>
    <w:rsid w:val="00511450"/>
    <w:rsid w:val="005119A1"/>
    <w:rsid w:val="00511B7B"/>
    <w:rsid w:val="00512499"/>
    <w:rsid w:val="005124A4"/>
    <w:rsid w:val="00512787"/>
    <w:rsid w:val="00512821"/>
    <w:rsid w:val="00512A00"/>
    <w:rsid w:val="00512BFE"/>
    <w:rsid w:val="00512E4F"/>
    <w:rsid w:val="0051311A"/>
    <w:rsid w:val="0051331F"/>
    <w:rsid w:val="00513435"/>
    <w:rsid w:val="0051344E"/>
    <w:rsid w:val="005136B0"/>
    <w:rsid w:val="00513832"/>
    <w:rsid w:val="00513F2F"/>
    <w:rsid w:val="00513F74"/>
    <w:rsid w:val="00514F14"/>
    <w:rsid w:val="00514F66"/>
    <w:rsid w:val="005154F8"/>
    <w:rsid w:val="00515677"/>
    <w:rsid w:val="005161DD"/>
    <w:rsid w:val="005164C4"/>
    <w:rsid w:val="00516613"/>
    <w:rsid w:val="00516EB8"/>
    <w:rsid w:val="0051712F"/>
    <w:rsid w:val="00517222"/>
    <w:rsid w:val="00517CD3"/>
    <w:rsid w:val="00517E99"/>
    <w:rsid w:val="00517F65"/>
    <w:rsid w:val="005205EE"/>
    <w:rsid w:val="00520608"/>
    <w:rsid w:val="00520634"/>
    <w:rsid w:val="0052103F"/>
    <w:rsid w:val="005210DE"/>
    <w:rsid w:val="005211ED"/>
    <w:rsid w:val="00521518"/>
    <w:rsid w:val="0052183A"/>
    <w:rsid w:val="00521B19"/>
    <w:rsid w:val="00522391"/>
    <w:rsid w:val="0052245A"/>
    <w:rsid w:val="00522B9D"/>
    <w:rsid w:val="00522C17"/>
    <w:rsid w:val="00522C5D"/>
    <w:rsid w:val="00522CA4"/>
    <w:rsid w:val="00522CFF"/>
    <w:rsid w:val="00522DF5"/>
    <w:rsid w:val="00523104"/>
    <w:rsid w:val="005232E3"/>
    <w:rsid w:val="005233E3"/>
    <w:rsid w:val="005233F1"/>
    <w:rsid w:val="005238B6"/>
    <w:rsid w:val="00523C90"/>
    <w:rsid w:val="00523D31"/>
    <w:rsid w:val="0052433F"/>
    <w:rsid w:val="00524478"/>
    <w:rsid w:val="005248EF"/>
    <w:rsid w:val="00524D94"/>
    <w:rsid w:val="00524F59"/>
    <w:rsid w:val="00525025"/>
    <w:rsid w:val="00525350"/>
    <w:rsid w:val="0052540C"/>
    <w:rsid w:val="00525672"/>
    <w:rsid w:val="005257CA"/>
    <w:rsid w:val="005258C8"/>
    <w:rsid w:val="00525E04"/>
    <w:rsid w:val="00525EA4"/>
    <w:rsid w:val="00525FA3"/>
    <w:rsid w:val="0052605E"/>
    <w:rsid w:val="005268F7"/>
    <w:rsid w:val="005272DD"/>
    <w:rsid w:val="005273FA"/>
    <w:rsid w:val="005276B1"/>
    <w:rsid w:val="0052784F"/>
    <w:rsid w:val="00527984"/>
    <w:rsid w:val="00527C78"/>
    <w:rsid w:val="00527FD5"/>
    <w:rsid w:val="00530349"/>
    <w:rsid w:val="0053048A"/>
    <w:rsid w:val="00530572"/>
    <w:rsid w:val="00530BFB"/>
    <w:rsid w:val="00530E50"/>
    <w:rsid w:val="005310FC"/>
    <w:rsid w:val="005312B9"/>
    <w:rsid w:val="0053134C"/>
    <w:rsid w:val="00531652"/>
    <w:rsid w:val="0053173E"/>
    <w:rsid w:val="0053174A"/>
    <w:rsid w:val="00531984"/>
    <w:rsid w:val="00531C29"/>
    <w:rsid w:val="00531DC9"/>
    <w:rsid w:val="00532049"/>
    <w:rsid w:val="0053208A"/>
    <w:rsid w:val="005320B4"/>
    <w:rsid w:val="00532179"/>
    <w:rsid w:val="005321B5"/>
    <w:rsid w:val="005324D0"/>
    <w:rsid w:val="00532666"/>
    <w:rsid w:val="00532958"/>
    <w:rsid w:val="0053295A"/>
    <w:rsid w:val="00532A88"/>
    <w:rsid w:val="00532CB1"/>
    <w:rsid w:val="00532D19"/>
    <w:rsid w:val="00533048"/>
    <w:rsid w:val="005331D9"/>
    <w:rsid w:val="005335EB"/>
    <w:rsid w:val="00533672"/>
    <w:rsid w:val="0053378D"/>
    <w:rsid w:val="00533A60"/>
    <w:rsid w:val="00533BFF"/>
    <w:rsid w:val="00533F55"/>
    <w:rsid w:val="00533F5A"/>
    <w:rsid w:val="005340AD"/>
    <w:rsid w:val="00534207"/>
    <w:rsid w:val="005349A8"/>
    <w:rsid w:val="00534B69"/>
    <w:rsid w:val="00534C06"/>
    <w:rsid w:val="00534C72"/>
    <w:rsid w:val="00534D1C"/>
    <w:rsid w:val="00534DD7"/>
    <w:rsid w:val="005351A4"/>
    <w:rsid w:val="005353F6"/>
    <w:rsid w:val="005356A0"/>
    <w:rsid w:val="00535874"/>
    <w:rsid w:val="005358F0"/>
    <w:rsid w:val="0053604F"/>
    <w:rsid w:val="00536C33"/>
    <w:rsid w:val="00537653"/>
    <w:rsid w:val="00537A7C"/>
    <w:rsid w:val="00537C72"/>
    <w:rsid w:val="00537CB5"/>
    <w:rsid w:val="00537D7E"/>
    <w:rsid w:val="00537D83"/>
    <w:rsid w:val="00540218"/>
    <w:rsid w:val="00540367"/>
    <w:rsid w:val="0054039B"/>
    <w:rsid w:val="005405C2"/>
    <w:rsid w:val="00540C7E"/>
    <w:rsid w:val="00540E51"/>
    <w:rsid w:val="005412AA"/>
    <w:rsid w:val="00541424"/>
    <w:rsid w:val="00541A92"/>
    <w:rsid w:val="00541D6E"/>
    <w:rsid w:val="00541DD3"/>
    <w:rsid w:val="00542253"/>
    <w:rsid w:val="0054247F"/>
    <w:rsid w:val="0054248A"/>
    <w:rsid w:val="00542A9D"/>
    <w:rsid w:val="00542AB5"/>
    <w:rsid w:val="00542C78"/>
    <w:rsid w:val="00543479"/>
    <w:rsid w:val="0054349F"/>
    <w:rsid w:val="0054356B"/>
    <w:rsid w:val="0054390E"/>
    <w:rsid w:val="00543989"/>
    <w:rsid w:val="00543AD4"/>
    <w:rsid w:val="00543B1B"/>
    <w:rsid w:val="00543BED"/>
    <w:rsid w:val="00544057"/>
    <w:rsid w:val="005441C3"/>
    <w:rsid w:val="005441F9"/>
    <w:rsid w:val="0054427B"/>
    <w:rsid w:val="00544483"/>
    <w:rsid w:val="0054466A"/>
    <w:rsid w:val="0054466E"/>
    <w:rsid w:val="00544BAC"/>
    <w:rsid w:val="00544BFD"/>
    <w:rsid w:val="00544D0C"/>
    <w:rsid w:val="00544F0C"/>
    <w:rsid w:val="005453D0"/>
    <w:rsid w:val="005459AF"/>
    <w:rsid w:val="00545B09"/>
    <w:rsid w:val="00545B7A"/>
    <w:rsid w:val="00545FA2"/>
    <w:rsid w:val="0054612C"/>
    <w:rsid w:val="0054634C"/>
    <w:rsid w:val="0054639E"/>
    <w:rsid w:val="0054646F"/>
    <w:rsid w:val="00546609"/>
    <w:rsid w:val="00546749"/>
    <w:rsid w:val="00546AA1"/>
    <w:rsid w:val="00546C56"/>
    <w:rsid w:val="00546E07"/>
    <w:rsid w:val="0054763A"/>
    <w:rsid w:val="005478B3"/>
    <w:rsid w:val="005478D1"/>
    <w:rsid w:val="00547A6F"/>
    <w:rsid w:val="00547C54"/>
    <w:rsid w:val="00547C8E"/>
    <w:rsid w:val="00547F67"/>
    <w:rsid w:val="00550136"/>
    <w:rsid w:val="00550CC5"/>
    <w:rsid w:val="00550CCF"/>
    <w:rsid w:val="00550F09"/>
    <w:rsid w:val="00550FEC"/>
    <w:rsid w:val="00551659"/>
    <w:rsid w:val="00551852"/>
    <w:rsid w:val="00551929"/>
    <w:rsid w:val="00551A5A"/>
    <w:rsid w:val="00551D4E"/>
    <w:rsid w:val="00551E23"/>
    <w:rsid w:val="00552041"/>
    <w:rsid w:val="00552508"/>
    <w:rsid w:val="0055268C"/>
    <w:rsid w:val="00552E3C"/>
    <w:rsid w:val="00553038"/>
    <w:rsid w:val="0055305A"/>
    <w:rsid w:val="005533BF"/>
    <w:rsid w:val="00553693"/>
    <w:rsid w:val="00553711"/>
    <w:rsid w:val="00553A78"/>
    <w:rsid w:val="00553C06"/>
    <w:rsid w:val="00553C84"/>
    <w:rsid w:val="00553D3B"/>
    <w:rsid w:val="005540F4"/>
    <w:rsid w:val="005541C1"/>
    <w:rsid w:val="005542E2"/>
    <w:rsid w:val="0055448D"/>
    <w:rsid w:val="00554A28"/>
    <w:rsid w:val="00554BFC"/>
    <w:rsid w:val="00554FA1"/>
    <w:rsid w:val="00555265"/>
    <w:rsid w:val="005552F4"/>
    <w:rsid w:val="005555E5"/>
    <w:rsid w:val="00555617"/>
    <w:rsid w:val="005557EF"/>
    <w:rsid w:val="00555858"/>
    <w:rsid w:val="005558D2"/>
    <w:rsid w:val="00555981"/>
    <w:rsid w:val="00555C48"/>
    <w:rsid w:val="00555E0D"/>
    <w:rsid w:val="00556248"/>
    <w:rsid w:val="005562C6"/>
    <w:rsid w:val="005563B6"/>
    <w:rsid w:val="0055647F"/>
    <w:rsid w:val="005565FD"/>
    <w:rsid w:val="0055693D"/>
    <w:rsid w:val="00556F42"/>
    <w:rsid w:val="00557678"/>
    <w:rsid w:val="00557793"/>
    <w:rsid w:val="00557816"/>
    <w:rsid w:val="00557904"/>
    <w:rsid w:val="00557A7D"/>
    <w:rsid w:val="00557E56"/>
    <w:rsid w:val="00560B03"/>
    <w:rsid w:val="00560CFF"/>
    <w:rsid w:val="005613E9"/>
    <w:rsid w:val="005614A3"/>
    <w:rsid w:val="005615AA"/>
    <w:rsid w:val="00561999"/>
    <w:rsid w:val="00561BB1"/>
    <w:rsid w:val="00561BDF"/>
    <w:rsid w:val="00561D95"/>
    <w:rsid w:val="00561E8E"/>
    <w:rsid w:val="00562896"/>
    <w:rsid w:val="00562B95"/>
    <w:rsid w:val="00562BAA"/>
    <w:rsid w:val="00562C48"/>
    <w:rsid w:val="00562CC7"/>
    <w:rsid w:val="005630BC"/>
    <w:rsid w:val="00563489"/>
    <w:rsid w:val="00563657"/>
    <w:rsid w:val="005636F0"/>
    <w:rsid w:val="00563E92"/>
    <w:rsid w:val="00564289"/>
    <w:rsid w:val="00564637"/>
    <w:rsid w:val="00564744"/>
    <w:rsid w:val="00564A00"/>
    <w:rsid w:val="00564FD6"/>
    <w:rsid w:val="00565036"/>
    <w:rsid w:val="00565576"/>
    <w:rsid w:val="005656C6"/>
    <w:rsid w:val="00565848"/>
    <w:rsid w:val="00565AD4"/>
    <w:rsid w:val="00565CE8"/>
    <w:rsid w:val="00565ED4"/>
    <w:rsid w:val="00566359"/>
    <w:rsid w:val="005665DB"/>
    <w:rsid w:val="0056668B"/>
    <w:rsid w:val="0056695E"/>
    <w:rsid w:val="00566DBC"/>
    <w:rsid w:val="00566FAB"/>
    <w:rsid w:val="00567050"/>
    <w:rsid w:val="00567156"/>
    <w:rsid w:val="005671C8"/>
    <w:rsid w:val="005671D0"/>
    <w:rsid w:val="0056720A"/>
    <w:rsid w:val="00567329"/>
    <w:rsid w:val="00567391"/>
    <w:rsid w:val="00567395"/>
    <w:rsid w:val="0056762F"/>
    <w:rsid w:val="00567653"/>
    <w:rsid w:val="00567657"/>
    <w:rsid w:val="00567814"/>
    <w:rsid w:val="00567B41"/>
    <w:rsid w:val="00567D02"/>
    <w:rsid w:val="00567D96"/>
    <w:rsid w:val="00567DAA"/>
    <w:rsid w:val="0057030B"/>
    <w:rsid w:val="00570520"/>
    <w:rsid w:val="00571098"/>
    <w:rsid w:val="0057155F"/>
    <w:rsid w:val="00571996"/>
    <w:rsid w:val="00571C81"/>
    <w:rsid w:val="00571FBF"/>
    <w:rsid w:val="005722A7"/>
    <w:rsid w:val="00572347"/>
    <w:rsid w:val="0057244E"/>
    <w:rsid w:val="005727F0"/>
    <w:rsid w:val="00572909"/>
    <w:rsid w:val="00572FD1"/>
    <w:rsid w:val="00573527"/>
    <w:rsid w:val="00573571"/>
    <w:rsid w:val="00573946"/>
    <w:rsid w:val="00573BEB"/>
    <w:rsid w:val="00573BF6"/>
    <w:rsid w:val="00573F43"/>
    <w:rsid w:val="00573FB8"/>
    <w:rsid w:val="00574080"/>
    <w:rsid w:val="00574A9E"/>
    <w:rsid w:val="005751F2"/>
    <w:rsid w:val="00575532"/>
    <w:rsid w:val="00575B34"/>
    <w:rsid w:val="00575D21"/>
    <w:rsid w:val="00575F10"/>
    <w:rsid w:val="0057671A"/>
    <w:rsid w:val="0057686E"/>
    <w:rsid w:val="00576DC0"/>
    <w:rsid w:val="00576F12"/>
    <w:rsid w:val="00576F57"/>
    <w:rsid w:val="005771D2"/>
    <w:rsid w:val="00577709"/>
    <w:rsid w:val="00577784"/>
    <w:rsid w:val="00577D13"/>
    <w:rsid w:val="00577D63"/>
    <w:rsid w:val="00577E1A"/>
    <w:rsid w:val="00580D16"/>
    <w:rsid w:val="0058116A"/>
    <w:rsid w:val="0058166B"/>
    <w:rsid w:val="0058171F"/>
    <w:rsid w:val="00581977"/>
    <w:rsid w:val="00581A50"/>
    <w:rsid w:val="00581D98"/>
    <w:rsid w:val="00582059"/>
    <w:rsid w:val="005820DA"/>
    <w:rsid w:val="005821AB"/>
    <w:rsid w:val="005822D8"/>
    <w:rsid w:val="00582312"/>
    <w:rsid w:val="00582485"/>
    <w:rsid w:val="005825CD"/>
    <w:rsid w:val="00582811"/>
    <w:rsid w:val="00582833"/>
    <w:rsid w:val="005830CA"/>
    <w:rsid w:val="005830DD"/>
    <w:rsid w:val="005830EC"/>
    <w:rsid w:val="00583541"/>
    <w:rsid w:val="005835B4"/>
    <w:rsid w:val="0058371C"/>
    <w:rsid w:val="005837D5"/>
    <w:rsid w:val="00583AA6"/>
    <w:rsid w:val="00583E9E"/>
    <w:rsid w:val="00583F27"/>
    <w:rsid w:val="00584312"/>
    <w:rsid w:val="005846CF"/>
    <w:rsid w:val="00584B1D"/>
    <w:rsid w:val="0058536D"/>
    <w:rsid w:val="0058562F"/>
    <w:rsid w:val="00585763"/>
    <w:rsid w:val="0058589A"/>
    <w:rsid w:val="00585A3E"/>
    <w:rsid w:val="00585BB7"/>
    <w:rsid w:val="00585F90"/>
    <w:rsid w:val="005863EA"/>
    <w:rsid w:val="0058652F"/>
    <w:rsid w:val="005865FB"/>
    <w:rsid w:val="00586D0E"/>
    <w:rsid w:val="00586D40"/>
    <w:rsid w:val="00586FC8"/>
    <w:rsid w:val="0058705E"/>
    <w:rsid w:val="00587136"/>
    <w:rsid w:val="00587182"/>
    <w:rsid w:val="00587287"/>
    <w:rsid w:val="005872BC"/>
    <w:rsid w:val="00587773"/>
    <w:rsid w:val="0058785A"/>
    <w:rsid w:val="00587D30"/>
    <w:rsid w:val="00587D5F"/>
    <w:rsid w:val="00587DFF"/>
    <w:rsid w:val="005903DD"/>
    <w:rsid w:val="005904BC"/>
    <w:rsid w:val="00590715"/>
    <w:rsid w:val="0059088D"/>
    <w:rsid w:val="00590964"/>
    <w:rsid w:val="00590B02"/>
    <w:rsid w:val="005915B2"/>
    <w:rsid w:val="005916E4"/>
    <w:rsid w:val="00591708"/>
    <w:rsid w:val="005917A4"/>
    <w:rsid w:val="00591B70"/>
    <w:rsid w:val="00592244"/>
    <w:rsid w:val="005923B9"/>
    <w:rsid w:val="00592465"/>
    <w:rsid w:val="00592990"/>
    <w:rsid w:val="005929FE"/>
    <w:rsid w:val="00592AD6"/>
    <w:rsid w:val="00592BB1"/>
    <w:rsid w:val="00592DE3"/>
    <w:rsid w:val="0059393A"/>
    <w:rsid w:val="00593BE7"/>
    <w:rsid w:val="00593BEB"/>
    <w:rsid w:val="00594262"/>
    <w:rsid w:val="0059433D"/>
    <w:rsid w:val="005947F7"/>
    <w:rsid w:val="00594A12"/>
    <w:rsid w:val="00594CC1"/>
    <w:rsid w:val="00594CF1"/>
    <w:rsid w:val="005951B3"/>
    <w:rsid w:val="00595404"/>
    <w:rsid w:val="005954CD"/>
    <w:rsid w:val="0059561F"/>
    <w:rsid w:val="005959C8"/>
    <w:rsid w:val="00595DFA"/>
    <w:rsid w:val="0059602B"/>
    <w:rsid w:val="0059627C"/>
    <w:rsid w:val="00596515"/>
    <w:rsid w:val="00596A1E"/>
    <w:rsid w:val="00596F93"/>
    <w:rsid w:val="005974F2"/>
    <w:rsid w:val="005975B5"/>
    <w:rsid w:val="005976A2"/>
    <w:rsid w:val="0059776D"/>
    <w:rsid w:val="00597854"/>
    <w:rsid w:val="005A0088"/>
    <w:rsid w:val="005A00D7"/>
    <w:rsid w:val="005A0111"/>
    <w:rsid w:val="005A01C2"/>
    <w:rsid w:val="005A01E5"/>
    <w:rsid w:val="005A027B"/>
    <w:rsid w:val="005A0438"/>
    <w:rsid w:val="005A04C3"/>
    <w:rsid w:val="005A0D70"/>
    <w:rsid w:val="005A0E79"/>
    <w:rsid w:val="005A0F84"/>
    <w:rsid w:val="005A1817"/>
    <w:rsid w:val="005A1D32"/>
    <w:rsid w:val="005A2107"/>
    <w:rsid w:val="005A22F4"/>
    <w:rsid w:val="005A26AF"/>
    <w:rsid w:val="005A29DD"/>
    <w:rsid w:val="005A2DDD"/>
    <w:rsid w:val="005A2F05"/>
    <w:rsid w:val="005A33BD"/>
    <w:rsid w:val="005A35D9"/>
    <w:rsid w:val="005A3913"/>
    <w:rsid w:val="005A3919"/>
    <w:rsid w:val="005A42FB"/>
    <w:rsid w:val="005A4766"/>
    <w:rsid w:val="005A4830"/>
    <w:rsid w:val="005A4968"/>
    <w:rsid w:val="005A49EB"/>
    <w:rsid w:val="005A4ED8"/>
    <w:rsid w:val="005A5700"/>
    <w:rsid w:val="005A5781"/>
    <w:rsid w:val="005A58C0"/>
    <w:rsid w:val="005A5CAC"/>
    <w:rsid w:val="005A5D0E"/>
    <w:rsid w:val="005A5F85"/>
    <w:rsid w:val="005A64CF"/>
    <w:rsid w:val="005A66D6"/>
    <w:rsid w:val="005A67BC"/>
    <w:rsid w:val="005A6DA8"/>
    <w:rsid w:val="005A74F5"/>
    <w:rsid w:val="005A7540"/>
    <w:rsid w:val="005A75FF"/>
    <w:rsid w:val="005A7639"/>
    <w:rsid w:val="005A7678"/>
    <w:rsid w:val="005A7795"/>
    <w:rsid w:val="005A77F6"/>
    <w:rsid w:val="005B00F6"/>
    <w:rsid w:val="005B060A"/>
    <w:rsid w:val="005B06A8"/>
    <w:rsid w:val="005B079F"/>
    <w:rsid w:val="005B07C7"/>
    <w:rsid w:val="005B0CB8"/>
    <w:rsid w:val="005B0D3D"/>
    <w:rsid w:val="005B1191"/>
    <w:rsid w:val="005B128F"/>
    <w:rsid w:val="005B1714"/>
    <w:rsid w:val="005B1F60"/>
    <w:rsid w:val="005B1FBA"/>
    <w:rsid w:val="005B2096"/>
    <w:rsid w:val="005B2560"/>
    <w:rsid w:val="005B2CF0"/>
    <w:rsid w:val="005B2DCF"/>
    <w:rsid w:val="005B2DE2"/>
    <w:rsid w:val="005B2EAE"/>
    <w:rsid w:val="005B2EB8"/>
    <w:rsid w:val="005B3206"/>
    <w:rsid w:val="005B3577"/>
    <w:rsid w:val="005B38A6"/>
    <w:rsid w:val="005B3B8A"/>
    <w:rsid w:val="005B3FA6"/>
    <w:rsid w:val="005B41FB"/>
    <w:rsid w:val="005B46BE"/>
    <w:rsid w:val="005B46C8"/>
    <w:rsid w:val="005B4C03"/>
    <w:rsid w:val="005B4EE0"/>
    <w:rsid w:val="005B5A31"/>
    <w:rsid w:val="005B62FE"/>
    <w:rsid w:val="005B674B"/>
    <w:rsid w:val="005B68EC"/>
    <w:rsid w:val="005B6F65"/>
    <w:rsid w:val="005B6F9E"/>
    <w:rsid w:val="005B7072"/>
    <w:rsid w:val="005B7384"/>
    <w:rsid w:val="005B74C8"/>
    <w:rsid w:val="005B7502"/>
    <w:rsid w:val="005B7D0E"/>
    <w:rsid w:val="005C0040"/>
    <w:rsid w:val="005C03D3"/>
    <w:rsid w:val="005C06F6"/>
    <w:rsid w:val="005C0945"/>
    <w:rsid w:val="005C0F10"/>
    <w:rsid w:val="005C13CA"/>
    <w:rsid w:val="005C159F"/>
    <w:rsid w:val="005C1799"/>
    <w:rsid w:val="005C18CA"/>
    <w:rsid w:val="005C1975"/>
    <w:rsid w:val="005C1A56"/>
    <w:rsid w:val="005C1B84"/>
    <w:rsid w:val="005C1CAA"/>
    <w:rsid w:val="005C21A0"/>
    <w:rsid w:val="005C25CE"/>
    <w:rsid w:val="005C2A7C"/>
    <w:rsid w:val="005C2A89"/>
    <w:rsid w:val="005C2C15"/>
    <w:rsid w:val="005C2C3F"/>
    <w:rsid w:val="005C2DD7"/>
    <w:rsid w:val="005C2E6C"/>
    <w:rsid w:val="005C3049"/>
    <w:rsid w:val="005C31A7"/>
    <w:rsid w:val="005C37D4"/>
    <w:rsid w:val="005C39BB"/>
    <w:rsid w:val="005C3E65"/>
    <w:rsid w:val="005C3F56"/>
    <w:rsid w:val="005C3F7F"/>
    <w:rsid w:val="005C4031"/>
    <w:rsid w:val="005C4469"/>
    <w:rsid w:val="005C45A4"/>
    <w:rsid w:val="005C45A7"/>
    <w:rsid w:val="005C4636"/>
    <w:rsid w:val="005C4655"/>
    <w:rsid w:val="005C4765"/>
    <w:rsid w:val="005C4926"/>
    <w:rsid w:val="005C5352"/>
    <w:rsid w:val="005C538F"/>
    <w:rsid w:val="005C549E"/>
    <w:rsid w:val="005C5BF1"/>
    <w:rsid w:val="005C5DA7"/>
    <w:rsid w:val="005C677A"/>
    <w:rsid w:val="005C6796"/>
    <w:rsid w:val="005C6AA1"/>
    <w:rsid w:val="005C7871"/>
    <w:rsid w:val="005C7C55"/>
    <w:rsid w:val="005D0137"/>
    <w:rsid w:val="005D05CB"/>
    <w:rsid w:val="005D073E"/>
    <w:rsid w:val="005D0778"/>
    <w:rsid w:val="005D0A16"/>
    <w:rsid w:val="005D1723"/>
    <w:rsid w:val="005D1994"/>
    <w:rsid w:val="005D1C71"/>
    <w:rsid w:val="005D203B"/>
    <w:rsid w:val="005D20C9"/>
    <w:rsid w:val="005D2370"/>
    <w:rsid w:val="005D2456"/>
    <w:rsid w:val="005D2517"/>
    <w:rsid w:val="005D2692"/>
    <w:rsid w:val="005D2755"/>
    <w:rsid w:val="005D2D58"/>
    <w:rsid w:val="005D311C"/>
    <w:rsid w:val="005D4172"/>
    <w:rsid w:val="005D43BB"/>
    <w:rsid w:val="005D4B72"/>
    <w:rsid w:val="005D4CF0"/>
    <w:rsid w:val="005D4D34"/>
    <w:rsid w:val="005D4EC2"/>
    <w:rsid w:val="005D529D"/>
    <w:rsid w:val="005D5447"/>
    <w:rsid w:val="005D5704"/>
    <w:rsid w:val="005D5897"/>
    <w:rsid w:val="005D5CD1"/>
    <w:rsid w:val="005D5D24"/>
    <w:rsid w:val="005D610D"/>
    <w:rsid w:val="005D665C"/>
    <w:rsid w:val="005D6883"/>
    <w:rsid w:val="005D68CD"/>
    <w:rsid w:val="005D69DB"/>
    <w:rsid w:val="005D6FEC"/>
    <w:rsid w:val="005D72CC"/>
    <w:rsid w:val="005D7CAD"/>
    <w:rsid w:val="005D7D34"/>
    <w:rsid w:val="005E0072"/>
    <w:rsid w:val="005E0244"/>
    <w:rsid w:val="005E024E"/>
    <w:rsid w:val="005E04D4"/>
    <w:rsid w:val="005E04F2"/>
    <w:rsid w:val="005E057E"/>
    <w:rsid w:val="005E070A"/>
    <w:rsid w:val="005E0797"/>
    <w:rsid w:val="005E0C37"/>
    <w:rsid w:val="005E13F3"/>
    <w:rsid w:val="005E1853"/>
    <w:rsid w:val="005E1855"/>
    <w:rsid w:val="005E235A"/>
    <w:rsid w:val="005E2FDD"/>
    <w:rsid w:val="005E30DA"/>
    <w:rsid w:val="005E31AB"/>
    <w:rsid w:val="005E355E"/>
    <w:rsid w:val="005E39B5"/>
    <w:rsid w:val="005E3F43"/>
    <w:rsid w:val="005E4159"/>
    <w:rsid w:val="005E44E7"/>
    <w:rsid w:val="005E4535"/>
    <w:rsid w:val="005E45F5"/>
    <w:rsid w:val="005E4F59"/>
    <w:rsid w:val="005E50D7"/>
    <w:rsid w:val="005E5331"/>
    <w:rsid w:val="005E5429"/>
    <w:rsid w:val="005E56CF"/>
    <w:rsid w:val="005E5796"/>
    <w:rsid w:val="005E5B9A"/>
    <w:rsid w:val="005E5C31"/>
    <w:rsid w:val="005E6782"/>
    <w:rsid w:val="005E693C"/>
    <w:rsid w:val="005E6AA6"/>
    <w:rsid w:val="005E6F19"/>
    <w:rsid w:val="005E6F30"/>
    <w:rsid w:val="005E7BFB"/>
    <w:rsid w:val="005E7C1D"/>
    <w:rsid w:val="005E7D16"/>
    <w:rsid w:val="005E7D5F"/>
    <w:rsid w:val="005E7DAD"/>
    <w:rsid w:val="005F041F"/>
    <w:rsid w:val="005F063E"/>
    <w:rsid w:val="005F0978"/>
    <w:rsid w:val="005F0ABF"/>
    <w:rsid w:val="005F10AC"/>
    <w:rsid w:val="005F123B"/>
    <w:rsid w:val="005F13E8"/>
    <w:rsid w:val="005F17E5"/>
    <w:rsid w:val="005F1E94"/>
    <w:rsid w:val="005F1FCD"/>
    <w:rsid w:val="005F24AA"/>
    <w:rsid w:val="005F25AA"/>
    <w:rsid w:val="005F335F"/>
    <w:rsid w:val="005F34DA"/>
    <w:rsid w:val="005F3864"/>
    <w:rsid w:val="005F3A73"/>
    <w:rsid w:val="005F3DB6"/>
    <w:rsid w:val="005F3EFB"/>
    <w:rsid w:val="005F41F9"/>
    <w:rsid w:val="005F422C"/>
    <w:rsid w:val="005F4501"/>
    <w:rsid w:val="005F4D0F"/>
    <w:rsid w:val="005F4FEA"/>
    <w:rsid w:val="005F54A2"/>
    <w:rsid w:val="005F5FCE"/>
    <w:rsid w:val="005F61BC"/>
    <w:rsid w:val="005F65B8"/>
    <w:rsid w:val="005F68D5"/>
    <w:rsid w:val="005F6C0D"/>
    <w:rsid w:val="005F6D26"/>
    <w:rsid w:val="005F7161"/>
    <w:rsid w:val="005F71F1"/>
    <w:rsid w:val="005F7232"/>
    <w:rsid w:val="005F7312"/>
    <w:rsid w:val="005F7525"/>
    <w:rsid w:val="005F7C93"/>
    <w:rsid w:val="00600566"/>
    <w:rsid w:val="00600719"/>
    <w:rsid w:val="0060095B"/>
    <w:rsid w:val="00600CAA"/>
    <w:rsid w:val="00600D00"/>
    <w:rsid w:val="006010CD"/>
    <w:rsid w:val="00601547"/>
    <w:rsid w:val="006018C2"/>
    <w:rsid w:val="00601AE0"/>
    <w:rsid w:val="00601B98"/>
    <w:rsid w:val="00601C16"/>
    <w:rsid w:val="0060240E"/>
    <w:rsid w:val="0060283F"/>
    <w:rsid w:val="006029A0"/>
    <w:rsid w:val="006029A4"/>
    <w:rsid w:val="00602E59"/>
    <w:rsid w:val="00602FA7"/>
    <w:rsid w:val="00602FAC"/>
    <w:rsid w:val="006033A9"/>
    <w:rsid w:val="00603757"/>
    <w:rsid w:val="00603986"/>
    <w:rsid w:val="00603A12"/>
    <w:rsid w:val="00603AAC"/>
    <w:rsid w:val="00603D22"/>
    <w:rsid w:val="00603F4E"/>
    <w:rsid w:val="006041CD"/>
    <w:rsid w:val="00604781"/>
    <w:rsid w:val="0060485C"/>
    <w:rsid w:val="006053E3"/>
    <w:rsid w:val="00605452"/>
    <w:rsid w:val="006054E9"/>
    <w:rsid w:val="00605C8C"/>
    <w:rsid w:val="00605D5B"/>
    <w:rsid w:val="00605D99"/>
    <w:rsid w:val="00605DA9"/>
    <w:rsid w:val="00605E7D"/>
    <w:rsid w:val="00605F79"/>
    <w:rsid w:val="006060F5"/>
    <w:rsid w:val="00606222"/>
    <w:rsid w:val="00606355"/>
    <w:rsid w:val="00607220"/>
    <w:rsid w:val="0060769D"/>
    <w:rsid w:val="0060772C"/>
    <w:rsid w:val="006078FF"/>
    <w:rsid w:val="00607BAA"/>
    <w:rsid w:val="00610751"/>
    <w:rsid w:val="00610ED3"/>
    <w:rsid w:val="00610F89"/>
    <w:rsid w:val="0061130A"/>
    <w:rsid w:val="00611740"/>
    <w:rsid w:val="006118B1"/>
    <w:rsid w:val="00612153"/>
    <w:rsid w:val="006125CF"/>
    <w:rsid w:val="0061273C"/>
    <w:rsid w:val="00612A60"/>
    <w:rsid w:val="00612EC7"/>
    <w:rsid w:val="00613263"/>
    <w:rsid w:val="0061331A"/>
    <w:rsid w:val="00613A9B"/>
    <w:rsid w:val="00613FD2"/>
    <w:rsid w:val="00614431"/>
    <w:rsid w:val="00614455"/>
    <w:rsid w:val="00614718"/>
    <w:rsid w:val="00615012"/>
    <w:rsid w:val="00615488"/>
    <w:rsid w:val="00615A55"/>
    <w:rsid w:val="00615C68"/>
    <w:rsid w:val="00615EE1"/>
    <w:rsid w:val="00616255"/>
    <w:rsid w:val="00616362"/>
    <w:rsid w:val="00616575"/>
    <w:rsid w:val="006167E7"/>
    <w:rsid w:val="006167ED"/>
    <w:rsid w:val="006170A2"/>
    <w:rsid w:val="0061741C"/>
    <w:rsid w:val="00617626"/>
    <w:rsid w:val="00617754"/>
    <w:rsid w:val="00620114"/>
    <w:rsid w:val="0062034F"/>
    <w:rsid w:val="006208E0"/>
    <w:rsid w:val="00620AC2"/>
    <w:rsid w:val="00620CAC"/>
    <w:rsid w:val="00620CE7"/>
    <w:rsid w:val="00620E9E"/>
    <w:rsid w:val="006212B7"/>
    <w:rsid w:val="006214A0"/>
    <w:rsid w:val="0062182B"/>
    <w:rsid w:val="00621EC4"/>
    <w:rsid w:val="00621F80"/>
    <w:rsid w:val="006222EE"/>
    <w:rsid w:val="006225E7"/>
    <w:rsid w:val="006227F3"/>
    <w:rsid w:val="00622DE4"/>
    <w:rsid w:val="0062316D"/>
    <w:rsid w:val="00623534"/>
    <w:rsid w:val="00623883"/>
    <w:rsid w:val="00623898"/>
    <w:rsid w:val="00623A6B"/>
    <w:rsid w:val="00623AC6"/>
    <w:rsid w:val="00623C54"/>
    <w:rsid w:val="00623F82"/>
    <w:rsid w:val="00624250"/>
    <w:rsid w:val="0062443A"/>
    <w:rsid w:val="006246C5"/>
    <w:rsid w:val="00624EE3"/>
    <w:rsid w:val="0062520C"/>
    <w:rsid w:val="006257DB"/>
    <w:rsid w:val="0062592F"/>
    <w:rsid w:val="006259A9"/>
    <w:rsid w:val="00625B9B"/>
    <w:rsid w:val="00625E68"/>
    <w:rsid w:val="0062602D"/>
    <w:rsid w:val="0062648B"/>
    <w:rsid w:val="00626539"/>
    <w:rsid w:val="006269DE"/>
    <w:rsid w:val="00626C96"/>
    <w:rsid w:val="00627173"/>
    <w:rsid w:val="006273C4"/>
    <w:rsid w:val="006273F5"/>
    <w:rsid w:val="00627500"/>
    <w:rsid w:val="006276B0"/>
    <w:rsid w:val="006277F1"/>
    <w:rsid w:val="0062787C"/>
    <w:rsid w:val="006279A7"/>
    <w:rsid w:val="00627A9B"/>
    <w:rsid w:val="00627A9C"/>
    <w:rsid w:val="00627BE5"/>
    <w:rsid w:val="00627D6D"/>
    <w:rsid w:val="00627E4F"/>
    <w:rsid w:val="0063016C"/>
    <w:rsid w:val="00630183"/>
    <w:rsid w:val="0063029D"/>
    <w:rsid w:val="006302FF"/>
    <w:rsid w:val="006304BD"/>
    <w:rsid w:val="00630894"/>
    <w:rsid w:val="00630B18"/>
    <w:rsid w:val="0063108A"/>
    <w:rsid w:val="006312E3"/>
    <w:rsid w:val="006313E1"/>
    <w:rsid w:val="00631993"/>
    <w:rsid w:val="00631A6B"/>
    <w:rsid w:val="00631D67"/>
    <w:rsid w:val="00631E21"/>
    <w:rsid w:val="006320DA"/>
    <w:rsid w:val="0063218B"/>
    <w:rsid w:val="006324CC"/>
    <w:rsid w:val="00632520"/>
    <w:rsid w:val="00632A52"/>
    <w:rsid w:val="00632A87"/>
    <w:rsid w:val="00632DF8"/>
    <w:rsid w:val="00633296"/>
    <w:rsid w:val="00633383"/>
    <w:rsid w:val="0063347D"/>
    <w:rsid w:val="0063353F"/>
    <w:rsid w:val="00633FA6"/>
    <w:rsid w:val="00634140"/>
    <w:rsid w:val="006341D2"/>
    <w:rsid w:val="0063443D"/>
    <w:rsid w:val="00634952"/>
    <w:rsid w:val="0063546F"/>
    <w:rsid w:val="0063574E"/>
    <w:rsid w:val="00635A53"/>
    <w:rsid w:val="0063604E"/>
    <w:rsid w:val="00636065"/>
    <w:rsid w:val="006367E6"/>
    <w:rsid w:val="006367F4"/>
    <w:rsid w:val="00636831"/>
    <w:rsid w:val="0063695B"/>
    <w:rsid w:val="006369FF"/>
    <w:rsid w:val="00636B5F"/>
    <w:rsid w:val="00636BFC"/>
    <w:rsid w:val="00636D44"/>
    <w:rsid w:val="00636EEA"/>
    <w:rsid w:val="00636F2E"/>
    <w:rsid w:val="00636FC7"/>
    <w:rsid w:val="0063726C"/>
    <w:rsid w:val="006373FC"/>
    <w:rsid w:val="006378E3"/>
    <w:rsid w:val="00637A19"/>
    <w:rsid w:val="00637BC7"/>
    <w:rsid w:val="00637EE1"/>
    <w:rsid w:val="006403AD"/>
    <w:rsid w:val="006403E1"/>
    <w:rsid w:val="0064071A"/>
    <w:rsid w:val="00640744"/>
    <w:rsid w:val="00641319"/>
    <w:rsid w:val="006418C8"/>
    <w:rsid w:val="00641CE6"/>
    <w:rsid w:val="00641D7E"/>
    <w:rsid w:val="00641E30"/>
    <w:rsid w:val="00641F13"/>
    <w:rsid w:val="006422B1"/>
    <w:rsid w:val="006422DB"/>
    <w:rsid w:val="00642370"/>
    <w:rsid w:val="006423B4"/>
    <w:rsid w:val="00642479"/>
    <w:rsid w:val="0064260B"/>
    <w:rsid w:val="0064289F"/>
    <w:rsid w:val="00642CA2"/>
    <w:rsid w:val="006433C1"/>
    <w:rsid w:val="006434B7"/>
    <w:rsid w:val="00643EDC"/>
    <w:rsid w:val="00643EE2"/>
    <w:rsid w:val="0064410C"/>
    <w:rsid w:val="006449F8"/>
    <w:rsid w:val="00644D14"/>
    <w:rsid w:val="00645C23"/>
    <w:rsid w:val="006463EF"/>
    <w:rsid w:val="00646AB8"/>
    <w:rsid w:val="00646BD6"/>
    <w:rsid w:val="00646D5A"/>
    <w:rsid w:val="00647250"/>
    <w:rsid w:val="0064741D"/>
    <w:rsid w:val="0064774D"/>
    <w:rsid w:val="006479AE"/>
    <w:rsid w:val="006479E3"/>
    <w:rsid w:val="00647B41"/>
    <w:rsid w:val="00647FB8"/>
    <w:rsid w:val="0065088E"/>
    <w:rsid w:val="00650A19"/>
    <w:rsid w:val="00650C2A"/>
    <w:rsid w:val="00651092"/>
    <w:rsid w:val="006510D0"/>
    <w:rsid w:val="00651388"/>
    <w:rsid w:val="00651D7B"/>
    <w:rsid w:val="00651E69"/>
    <w:rsid w:val="0065211E"/>
    <w:rsid w:val="006524E8"/>
    <w:rsid w:val="006524FB"/>
    <w:rsid w:val="006527C7"/>
    <w:rsid w:val="006527F2"/>
    <w:rsid w:val="00652D26"/>
    <w:rsid w:val="00652E31"/>
    <w:rsid w:val="006530CE"/>
    <w:rsid w:val="006530D8"/>
    <w:rsid w:val="00653207"/>
    <w:rsid w:val="00653692"/>
    <w:rsid w:val="006536B2"/>
    <w:rsid w:val="00653768"/>
    <w:rsid w:val="006539F0"/>
    <w:rsid w:val="00653A2A"/>
    <w:rsid w:val="00653ABA"/>
    <w:rsid w:val="00653AE5"/>
    <w:rsid w:val="00653CA6"/>
    <w:rsid w:val="00653E8B"/>
    <w:rsid w:val="0065416E"/>
    <w:rsid w:val="00654ADC"/>
    <w:rsid w:val="006551FF"/>
    <w:rsid w:val="0065565C"/>
    <w:rsid w:val="0065590C"/>
    <w:rsid w:val="00655AA2"/>
    <w:rsid w:val="00655B71"/>
    <w:rsid w:val="006561A2"/>
    <w:rsid w:val="0065640B"/>
    <w:rsid w:val="00656875"/>
    <w:rsid w:val="00656A9E"/>
    <w:rsid w:val="00656AF7"/>
    <w:rsid w:val="00657048"/>
    <w:rsid w:val="00657A06"/>
    <w:rsid w:val="00657E47"/>
    <w:rsid w:val="00660457"/>
    <w:rsid w:val="00660661"/>
    <w:rsid w:val="00660697"/>
    <w:rsid w:val="00660933"/>
    <w:rsid w:val="00660AAB"/>
    <w:rsid w:val="00660AC7"/>
    <w:rsid w:val="0066114D"/>
    <w:rsid w:val="006614EB"/>
    <w:rsid w:val="006617C4"/>
    <w:rsid w:val="00661CD5"/>
    <w:rsid w:val="006622F2"/>
    <w:rsid w:val="006623C8"/>
    <w:rsid w:val="00662468"/>
    <w:rsid w:val="00662475"/>
    <w:rsid w:val="0066279D"/>
    <w:rsid w:val="006632CF"/>
    <w:rsid w:val="0066334D"/>
    <w:rsid w:val="006635FE"/>
    <w:rsid w:val="00663761"/>
    <w:rsid w:val="00663769"/>
    <w:rsid w:val="00663895"/>
    <w:rsid w:val="0066390D"/>
    <w:rsid w:val="00663D57"/>
    <w:rsid w:val="00663F88"/>
    <w:rsid w:val="006640CE"/>
    <w:rsid w:val="00664139"/>
    <w:rsid w:val="006642D5"/>
    <w:rsid w:val="006643B1"/>
    <w:rsid w:val="006644AE"/>
    <w:rsid w:val="006644C9"/>
    <w:rsid w:val="006644FF"/>
    <w:rsid w:val="00664895"/>
    <w:rsid w:val="00664A48"/>
    <w:rsid w:val="00664C31"/>
    <w:rsid w:val="00664D24"/>
    <w:rsid w:val="00665138"/>
    <w:rsid w:val="00665FC6"/>
    <w:rsid w:val="0066609D"/>
    <w:rsid w:val="00666180"/>
    <w:rsid w:val="0066627D"/>
    <w:rsid w:val="0066633F"/>
    <w:rsid w:val="0066655D"/>
    <w:rsid w:val="006666B8"/>
    <w:rsid w:val="00666D17"/>
    <w:rsid w:val="00666E31"/>
    <w:rsid w:val="00667281"/>
    <w:rsid w:val="0066742E"/>
    <w:rsid w:val="0066767F"/>
    <w:rsid w:val="006677AA"/>
    <w:rsid w:val="00667BA3"/>
    <w:rsid w:val="00667F74"/>
    <w:rsid w:val="00670005"/>
    <w:rsid w:val="006700F1"/>
    <w:rsid w:val="00670108"/>
    <w:rsid w:val="0067022B"/>
    <w:rsid w:val="006705FD"/>
    <w:rsid w:val="0067071D"/>
    <w:rsid w:val="00670A29"/>
    <w:rsid w:val="00670A5B"/>
    <w:rsid w:val="00670C1D"/>
    <w:rsid w:val="00670F02"/>
    <w:rsid w:val="00670F40"/>
    <w:rsid w:val="00671191"/>
    <w:rsid w:val="00671783"/>
    <w:rsid w:val="0067196A"/>
    <w:rsid w:val="00671A95"/>
    <w:rsid w:val="00671CDA"/>
    <w:rsid w:val="00671FFA"/>
    <w:rsid w:val="0067233B"/>
    <w:rsid w:val="006723E6"/>
    <w:rsid w:val="0067259F"/>
    <w:rsid w:val="0067274D"/>
    <w:rsid w:val="00672947"/>
    <w:rsid w:val="00672BCD"/>
    <w:rsid w:val="00672D66"/>
    <w:rsid w:val="0067307A"/>
    <w:rsid w:val="00673249"/>
    <w:rsid w:val="006734D6"/>
    <w:rsid w:val="0067366B"/>
    <w:rsid w:val="006736D0"/>
    <w:rsid w:val="00673ADC"/>
    <w:rsid w:val="00673D3E"/>
    <w:rsid w:val="00673F46"/>
    <w:rsid w:val="00673FAB"/>
    <w:rsid w:val="0067495F"/>
    <w:rsid w:val="00674AE9"/>
    <w:rsid w:val="00674C3D"/>
    <w:rsid w:val="00674FFA"/>
    <w:rsid w:val="00675079"/>
    <w:rsid w:val="00675477"/>
    <w:rsid w:val="00675535"/>
    <w:rsid w:val="006755CF"/>
    <w:rsid w:val="00675C7F"/>
    <w:rsid w:val="00675CBD"/>
    <w:rsid w:val="0067631D"/>
    <w:rsid w:val="00676579"/>
    <w:rsid w:val="00676756"/>
    <w:rsid w:val="006768FB"/>
    <w:rsid w:val="00676A0B"/>
    <w:rsid w:val="00676A19"/>
    <w:rsid w:val="00676B5E"/>
    <w:rsid w:val="00676D7D"/>
    <w:rsid w:val="006771BE"/>
    <w:rsid w:val="006778A3"/>
    <w:rsid w:val="00677A9A"/>
    <w:rsid w:val="00677B83"/>
    <w:rsid w:val="006805CB"/>
    <w:rsid w:val="00680F1D"/>
    <w:rsid w:val="00681A76"/>
    <w:rsid w:val="00681D14"/>
    <w:rsid w:val="0068264B"/>
    <w:rsid w:val="006827C0"/>
    <w:rsid w:val="00682B55"/>
    <w:rsid w:val="0068384F"/>
    <w:rsid w:val="006838E0"/>
    <w:rsid w:val="0068398E"/>
    <w:rsid w:val="00683A04"/>
    <w:rsid w:val="006845B3"/>
    <w:rsid w:val="00684A1A"/>
    <w:rsid w:val="00684A42"/>
    <w:rsid w:val="00684CCC"/>
    <w:rsid w:val="00684F7A"/>
    <w:rsid w:val="0068524E"/>
    <w:rsid w:val="00685639"/>
    <w:rsid w:val="0068590A"/>
    <w:rsid w:val="00685D20"/>
    <w:rsid w:val="00686329"/>
    <w:rsid w:val="00686406"/>
    <w:rsid w:val="006864DC"/>
    <w:rsid w:val="00686547"/>
    <w:rsid w:val="0068664C"/>
    <w:rsid w:val="006866F5"/>
    <w:rsid w:val="006867D3"/>
    <w:rsid w:val="00686844"/>
    <w:rsid w:val="00686950"/>
    <w:rsid w:val="00686F84"/>
    <w:rsid w:val="006875CA"/>
    <w:rsid w:val="00687901"/>
    <w:rsid w:val="00687B45"/>
    <w:rsid w:val="00687BBE"/>
    <w:rsid w:val="00687D30"/>
    <w:rsid w:val="00687F8D"/>
    <w:rsid w:val="006901D4"/>
    <w:rsid w:val="006901E0"/>
    <w:rsid w:val="006909F7"/>
    <w:rsid w:val="00690F61"/>
    <w:rsid w:val="00691178"/>
    <w:rsid w:val="0069143A"/>
    <w:rsid w:val="006918DF"/>
    <w:rsid w:val="00691902"/>
    <w:rsid w:val="00691C2E"/>
    <w:rsid w:val="00691C99"/>
    <w:rsid w:val="00691D35"/>
    <w:rsid w:val="006925CF"/>
    <w:rsid w:val="00692C1F"/>
    <w:rsid w:val="00692F24"/>
    <w:rsid w:val="0069303A"/>
    <w:rsid w:val="0069330A"/>
    <w:rsid w:val="00693C39"/>
    <w:rsid w:val="00693CFD"/>
    <w:rsid w:val="006946EC"/>
    <w:rsid w:val="0069490B"/>
    <w:rsid w:val="006949D7"/>
    <w:rsid w:val="00694A2B"/>
    <w:rsid w:val="006950E2"/>
    <w:rsid w:val="00695371"/>
    <w:rsid w:val="006955CC"/>
    <w:rsid w:val="006956B0"/>
    <w:rsid w:val="00695C87"/>
    <w:rsid w:val="00695DE7"/>
    <w:rsid w:val="0069616B"/>
    <w:rsid w:val="0069688A"/>
    <w:rsid w:val="00696988"/>
    <w:rsid w:val="006970F6"/>
    <w:rsid w:val="006971E3"/>
    <w:rsid w:val="00697824"/>
    <w:rsid w:val="006979B4"/>
    <w:rsid w:val="006A01DA"/>
    <w:rsid w:val="006A05DC"/>
    <w:rsid w:val="006A09A0"/>
    <w:rsid w:val="006A09B8"/>
    <w:rsid w:val="006A0BAF"/>
    <w:rsid w:val="006A0DBE"/>
    <w:rsid w:val="006A0E1D"/>
    <w:rsid w:val="006A0F61"/>
    <w:rsid w:val="006A0F7E"/>
    <w:rsid w:val="006A102A"/>
    <w:rsid w:val="006A10A6"/>
    <w:rsid w:val="006A14B8"/>
    <w:rsid w:val="006A14EA"/>
    <w:rsid w:val="006A15FA"/>
    <w:rsid w:val="006A1921"/>
    <w:rsid w:val="006A1CC5"/>
    <w:rsid w:val="006A2721"/>
    <w:rsid w:val="006A2E13"/>
    <w:rsid w:val="006A3020"/>
    <w:rsid w:val="006A36ED"/>
    <w:rsid w:val="006A3885"/>
    <w:rsid w:val="006A3B12"/>
    <w:rsid w:val="006A3B38"/>
    <w:rsid w:val="006A3BB4"/>
    <w:rsid w:val="006A3DC5"/>
    <w:rsid w:val="006A47AB"/>
    <w:rsid w:val="006A5226"/>
    <w:rsid w:val="006A5237"/>
    <w:rsid w:val="006A530D"/>
    <w:rsid w:val="006A5529"/>
    <w:rsid w:val="006A5588"/>
    <w:rsid w:val="006A565B"/>
    <w:rsid w:val="006A5B79"/>
    <w:rsid w:val="006A5C69"/>
    <w:rsid w:val="006A5CDE"/>
    <w:rsid w:val="006A5E07"/>
    <w:rsid w:val="006A5EBB"/>
    <w:rsid w:val="006A6306"/>
    <w:rsid w:val="006A639D"/>
    <w:rsid w:val="006A6763"/>
    <w:rsid w:val="006A6A22"/>
    <w:rsid w:val="006A6E0B"/>
    <w:rsid w:val="006A6FDC"/>
    <w:rsid w:val="006A7260"/>
    <w:rsid w:val="006A73EC"/>
    <w:rsid w:val="006A75AA"/>
    <w:rsid w:val="006A7629"/>
    <w:rsid w:val="006A76BA"/>
    <w:rsid w:val="006B03C8"/>
    <w:rsid w:val="006B0689"/>
    <w:rsid w:val="006B06FF"/>
    <w:rsid w:val="006B08C3"/>
    <w:rsid w:val="006B0B5A"/>
    <w:rsid w:val="006B0FB5"/>
    <w:rsid w:val="006B10C9"/>
    <w:rsid w:val="006B11D7"/>
    <w:rsid w:val="006B13ED"/>
    <w:rsid w:val="006B1529"/>
    <w:rsid w:val="006B1763"/>
    <w:rsid w:val="006B1FBB"/>
    <w:rsid w:val="006B2025"/>
    <w:rsid w:val="006B2140"/>
    <w:rsid w:val="006B225A"/>
    <w:rsid w:val="006B256F"/>
    <w:rsid w:val="006B2626"/>
    <w:rsid w:val="006B2799"/>
    <w:rsid w:val="006B3251"/>
    <w:rsid w:val="006B3296"/>
    <w:rsid w:val="006B3308"/>
    <w:rsid w:val="006B34A6"/>
    <w:rsid w:val="006B357A"/>
    <w:rsid w:val="006B394E"/>
    <w:rsid w:val="006B3A52"/>
    <w:rsid w:val="006B3D33"/>
    <w:rsid w:val="006B3D45"/>
    <w:rsid w:val="006B3EF5"/>
    <w:rsid w:val="006B3F42"/>
    <w:rsid w:val="006B4133"/>
    <w:rsid w:val="006B43AF"/>
    <w:rsid w:val="006B4514"/>
    <w:rsid w:val="006B4812"/>
    <w:rsid w:val="006B48D2"/>
    <w:rsid w:val="006B4F65"/>
    <w:rsid w:val="006B4FCD"/>
    <w:rsid w:val="006B5130"/>
    <w:rsid w:val="006B587D"/>
    <w:rsid w:val="006B589E"/>
    <w:rsid w:val="006B5B79"/>
    <w:rsid w:val="006B5DCA"/>
    <w:rsid w:val="006B60B4"/>
    <w:rsid w:val="006B6136"/>
    <w:rsid w:val="006B615E"/>
    <w:rsid w:val="006B6ABF"/>
    <w:rsid w:val="006B6D1F"/>
    <w:rsid w:val="006B6EB1"/>
    <w:rsid w:val="006B6F8F"/>
    <w:rsid w:val="006B7177"/>
    <w:rsid w:val="006B7721"/>
    <w:rsid w:val="006B7B1A"/>
    <w:rsid w:val="006B7DE2"/>
    <w:rsid w:val="006B7F07"/>
    <w:rsid w:val="006C0050"/>
    <w:rsid w:val="006C00B2"/>
    <w:rsid w:val="006C023D"/>
    <w:rsid w:val="006C0252"/>
    <w:rsid w:val="006C055C"/>
    <w:rsid w:val="006C0764"/>
    <w:rsid w:val="006C0773"/>
    <w:rsid w:val="006C09C0"/>
    <w:rsid w:val="006C0A49"/>
    <w:rsid w:val="006C0A84"/>
    <w:rsid w:val="006C0B26"/>
    <w:rsid w:val="006C0E08"/>
    <w:rsid w:val="006C0F5C"/>
    <w:rsid w:val="006C1217"/>
    <w:rsid w:val="006C184D"/>
    <w:rsid w:val="006C18B4"/>
    <w:rsid w:val="006C1CE7"/>
    <w:rsid w:val="006C20E9"/>
    <w:rsid w:val="006C2443"/>
    <w:rsid w:val="006C25E4"/>
    <w:rsid w:val="006C264B"/>
    <w:rsid w:val="006C2C1D"/>
    <w:rsid w:val="006C2C9B"/>
    <w:rsid w:val="006C3072"/>
    <w:rsid w:val="006C3460"/>
    <w:rsid w:val="006C390E"/>
    <w:rsid w:val="006C3DFE"/>
    <w:rsid w:val="006C4232"/>
    <w:rsid w:val="006C46DD"/>
    <w:rsid w:val="006C474B"/>
    <w:rsid w:val="006C4A44"/>
    <w:rsid w:val="006C4C52"/>
    <w:rsid w:val="006C4FD1"/>
    <w:rsid w:val="006C5336"/>
    <w:rsid w:val="006C5400"/>
    <w:rsid w:val="006C56D1"/>
    <w:rsid w:val="006C58AD"/>
    <w:rsid w:val="006C591B"/>
    <w:rsid w:val="006C5B56"/>
    <w:rsid w:val="006C5B61"/>
    <w:rsid w:val="006C5FA6"/>
    <w:rsid w:val="006C6015"/>
    <w:rsid w:val="006C613A"/>
    <w:rsid w:val="006C61CE"/>
    <w:rsid w:val="006C6347"/>
    <w:rsid w:val="006C645D"/>
    <w:rsid w:val="006C6471"/>
    <w:rsid w:val="006C65C4"/>
    <w:rsid w:val="006C67F0"/>
    <w:rsid w:val="006C6A4E"/>
    <w:rsid w:val="006C6AAF"/>
    <w:rsid w:val="006C6D1D"/>
    <w:rsid w:val="006C6D82"/>
    <w:rsid w:val="006C6FAE"/>
    <w:rsid w:val="006C71B8"/>
    <w:rsid w:val="006C75B3"/>
    <w:rsid w:val="006C79EC"/>
    <w:rsid w:val="006C7A3D"/>
    <w:rsid w:val="006C7EFF"/>
    <w:rsid w:val="006D0263"/>
    <w:rsid w:val="006D06CE"/>
    <w:rsid w:val="006D0C82"/>
    <w:rsid w:val="006D1337"/>
    <w:rsid w:val="006D1789"/>
    <w:rsid w:val="006D19B4"/>
    <w:rsid w:val="006D1A4B"/>
    <w:rsid w:val="006D1B16"/>
    <w:rsid w:val="006D1BBE"/>
    <w:rsid w:val="006D1EE2"/>
    <w:rsid w:val="006D1F0C"/>
    <w:rsid w:val="006D1FB6"/>
    <w:rsid w:val="006D265D"/>
    <w:rsid w:val="006D2665"/>
    <w:rsid w:val="006D26DD"/>
    <w:rsid w:val="006D26E5"/>
    <w:rsid w:val="006D2A49"/>
    <w:rsid w:val="006D2BEE"/>
    <w:rsid w:val="006D37FA"/>
    <w:rsid w:val="006D3B9D"/>
    <w:rsid w:val="006D44CF"/>
    <w:rsid w:val="006D4589"/>
    <w:rsid w:val="006D479A"/>
    <w:rsid w:val="006D4807"/>
    <w:rsid w:val="006D48A8"/>
    <w:rsid w:val="006D498F"/>
    <w:rsid w:val="006D49D0"/>
    <w:rsid w:val="006D4AC2"/>
    <w:rsid w:val="006D4D24"/>
    <w:rsid w:val="006D4D28"/>
    <w:rsid w:val="006D4E03"/>
    <w:rsid w:val="006D4E2B"/>
    <w:rsid w:val="006D516B"/>
    <w:rsid w:val="006D5311"/>
    <w:rsid w:val="006D5AAE"/>
    <w:rsid w:val="006D5D54"/>
    <w:rsid w:val="006D5F3A"/>
    <w:rsid w:val="006D6193"/>
    <w:rsid w:val="006D62E1"/>
    <w:rsid w:val="006D6309"/>
    <w:rsid w:val="006D6683"/>
    <w:rsid w:val="006D6BF8"/>
    <w:rsid w:val="006D6C87"/>
    <w:rsid w:val="006D6F87"/>
    <w:rsid w:val="006D6FB3"/>
    <w:rsid w:val="006D7078"/>
    <w:rsid w:val="006D7084"/>
    <w:rsid w:val="006D7278"/>
    <w:rsid w:val="006D751F"/>
    <w:rsid w:val="006D76CE"/>
    <w:rsid w:val="006D77A4"/>
    <w:rsid w:val="006D78B1"/>
    <w:rsid w:val="006D7A37"/>
    <w:rsid w:val="006D7AA8"/>
    <w:rsid w:val="006D7B02"/>
    <w:rsid w:val="006D7C29"/>
    <w:rsid w:val="006D7DDB"/>
    <w:rsid w:val="006D7E8E"/>
    <w:rsid w:val="006E014D"/>
    <w:rsid w:val="006E02B1"/>
    <w:rsid w:val="006E0354"/>
    <w:rsid w:val="006E0557"/>
    <w:rsid w:val="006E0881"/>
    <w:rsid w:val="006E0954"/>
    <w:rsid w:val="006E0AA2"/>
    <w:rsid w:val="006E0FB5"/>
    <w:rsid w:val="006E12D1"/>
    <w:rsid w:val="006E166C"/>
    <w:rsid w:val="006E1D91"/>
    <w:rsid w:val="006E1E3C"/>
    <w:rsid w:val="006E2646"/>
    <w:rsid w:val="006E27D9"/>
    <w:rsid w:val="006E2AEF"/>
    <w:rsid w:val="006E2B31"/>
    <w:rsid w:val="006E2C40"/>
    <w:rsid w:val="006E2D6C"/>
    <w:rsid w:val="006E2DA1"/>
    <w:rsid w:val="006E2DF1"/>
    <w:rsid w:val="006E3174"/>
    <w:rsid w:val="006E32A1"/>
    <w:rsid w:val="006E33F8"/>
    <w:rsid w:val="006E3610"/>
    <w:rsid w:val="006E3F7E"/>
    <w:rsid w:val="006E42A7"/>
    <w:rsid w:val="006E42DD"/>
    <w:rsid w:val="006E4403"/>
    <w:rsid w:val="006E4643"/>
    <w:rsid w:val="006E495E"/>
    <w:rsid w:val="006E4E31"/>
    <w:rsid w:val="006E4F4D"/>
    <w:rsid w:val="006E4FDA"/>
    <w:rsid w:val="006E511F"/>
    <w:rsid w:val="006E546C"/>
    <w:rsid w:val="006E55B2"/>
    <w:rsid w:val="006E59DA"/>
    <w:rsid w:val="006E5AED"/>
    <w:rsid w:val="006E5AEE"/>
    <w:rsid w:val="006E5BCE"/>
    <w:rsid w:val="006E5E74"/>
    <w:rsid w:val="006E6121"/>
    <w:rsid w:val="006E623D"/>
    <w:rsid w:val="006E6A7C"/>
    <w:rsid w:val="006E6F37"/>
    <w:rsid w:val="006E7260"/>
    <w:rsid w:val="006E7421"/>
    <w:rsid w:val="006E7495"/>
    <w:rsid w:val="006E754D"/>
    <w:rsid w:val="006E788C"/>
    <w:rsid w:val="006E7AE4"/>
    <w:rsid w:val="006E7EB0"/>
    <w:rsid w:val="006F0412"/>
    <w:rsid w:val="006F05FA"/>
    <w:rsid w:val="006F05FD"/>
    <w:rsid w:val="006F0A78"/>
    <w:rsid w:val="006F0EC5"/>
    <w:rsid w:val="006F12C5"/>
    <w:rsid w:val="006F1C44"/>
    <w:rsid w:val="006F1D6F"/>
    <w:rsid w:val="006F23B3"/>
    <w:rsid w:val="006F24B1"/>
    <w:rsid w:val="006F2B80"/>
    <w:rsid w:val="006F2E8E"/>
    <w:rsid w:val="006F2F63"/>
    <w:rsid w:val="006F305E"/>
    <w:rsid w:val="006F3501"/>
    <w:rsid w:val="006F3752"/>
    <w:rsid w:val="006F3975"/>
    <w:rsid w:val="006F44FC"/>
    <w:rsid w:val="006F4660"/>
    <w:rsid w:val="006F4A61"/>
    <w:rsid w:val="006F4C12"/>
    <w:rsid w:val="006F5077"/>
    <w:rsid w:val="006F548E"/>
    <w:rsid w:val="006F55F7"/>
    <w:rsid w:val="006F5784"/>
    <w:rsid w:val="006F58B1"/>
    <w:rsid w:val="006F5A3C"/>
    <w:rsid w:val="006F5FE7"/>
    <w:rsid w:val="006F61EF"/>
    <w:rsid w:val="006F635C"/>
    <w:rsid w:val="006F6387"/>
    <w:rsid w:val="006F647A"/>
    <w:rsid w:val="006F677A"/>
    <w:rsid w:val="006F6E7C"/>
    <w:rsid w:val="006F7220"/>
    <w:rsid w:val="006F7274"/>
    <w:rsid w:val="006F7436"/>
    <w:rsid w:val="006F7970"/>
    <w:rsid w:val="006F7D0E"/>
    <w:rsid w:val="006F7F82"/>
    <w:rsid w:val="0070035A"/>
    <w:rsid w:val="00700394"/>
    <w:rsid w:val="0070047D"/>
    <w:rsid w:val="00700871"/>
    <w:rsid w:val="00700D08"/>
    <w:rsid w:val="00701C96"/>
    <w:rsid w:val="00701F6B"/>
    <w:rsid w:val="007021C3"/>
    <w:rsid w:val="00702588"/>
    <w:rsid w:val="00702C17"/>
    <w:rsid w:val="007032A5"/>
    <w:rsid w:val="007039C0"/>
    <w:rsid w:val="00703BBA"/>
    <w:rsid w:val="00703D38"/>
    <w:rsid w:val="007045D4"/>
    <w:rsid w:val="00704663"/>
    <w:rsid w:val="00704C00"/>
    <w:rsid w:val="00704DAE"/>
    <w:rsid w:val="00704FCD"/>
    <w:rsid w:val="00705003"/>
    <w:rsid w:val="007050C4"/>
    <w:rsid w:val="0070553D"/>
    <w:rsid w:val="00705698"/>
    <w:rsid w:val="00705CCF"/>
    <w:rsid w:val="00705D22"/>
    <w:rsid w:val="00705FE2"/>
    <w:rsid w:val="007061BE"/>
    <w:rsid w:val="0070646C"/>
    <w:rsid w:val="00706654"/>
    <w:rsid w:val="00706A33"/>
    <w:rsid w:val="00707029"/>
    <w:rsid w:val="0070702C"/>
    <w:rsid w:val="00707074"/>
    <w:rsid w:val="00707291"/>
    <w:rsid w:val="007074D3"/>
    <w:rsid w:val="0070788B"/>
    <w:rsid w:val="00707928"/>
    <w:rsid w:val="00707E6E"/>
    <w:rsid w:val="00710289"/>
    <w:rsid w:val="0071028E"/>
    <w:rsid w:val="00710781"/>
    <w:rsid w:val="007107AB"/>
    <w:rsid w:val="007107B6"/>
    <w:rsid w:val="00710846"/>
    <w:rsid w:val="007109C4"/>
    <w:rsid w:val="00710D26"/>
    <w:rsid w:val="00710E8B"/>
    <w:rsid w:val="00710FC3"/>
    <w:rsid w:val="0071119F"/>
    <w:rsid w:val="007111CD"/>
    <w:rsid w:val="00711B11"/>
    <w:rsid w:val="00711B4B"/>
    <w:rsid w:val="00711C9A"/>
    <w:rsid w:val="00711EB8"/>
    <w:rsid w:val="00711F12"/>
    <w:rsid w:val="00711F4B"/>
    <w:rsid w:val="0071252F"/>
    <w:rsid w:val="0071277F"/>
    <w:rsid w:val="00712806"/>
    <w:rsid w:val="00712A61"/>
    <w:rsid w:val="00712B10"/>
    <w:rsid w:val="00712C40"/>
    <w:rsid w:val="00712C8D"/>
    <w:rsid w:val="00712F32"/>
    <w:rsid w:val="00713221"/>
    <w:rsid w:val="0071337C"/>
    <w:rsid w:val="007136C6"/>
    <w:rsid w:val="00713793"/>
    <w:rsid w:val="00713832"/>
    <w:rsid w:val="00713981"/>
    <w:rsid w:val="00713B2B"/>
    <w:rsid w:val="00713C09"/>
    <w:rsid w:val="0071450E"/>
    <w:rsid w:val="00714D5D"/>
    <w:rsid w:val="00714F64"/>
    <w:rsid w:val="00715092"/>
    <w:rsid w:val="007155CC"/>
    <w:rsid w:val="0071585F"/>
    <w:rsid w:val="00715A2A"/>
    <w:rsid w:val="00715FA5"/>
    <w:rsid w:val="00716726"/>
    <w:rsid w:val="00716E2E"/>
    <w:rsid w:val="007171E9"/>
    <w:rsid w:val="007172E6"/>
    <w:rsid w:val="00717AE8"/>
    <w:rsid w:val="00717CFB"/>
    <w:rsid w:val="00717FCE"/>
    <w:rsid w:val="00720578"/>
    <w:rsid w:val="00720678"/>
    <w:rsid w:val="0072072C"/>
    <w:rsid w:val="00720BEA"/>
    <w:rsid w:val="00720F92"/>
    <w:rsid w:val="007210B4"/>
    <w:rsid w:val="00721181"/>
    <w:rsid w:val="007214EA"/>
    <w:rsid w:val="00721B02"/>
    <w:rsid w:val="00721C93"/>
    <w:rsid w:val="00722383"/>
    <w:rsid w:val="00722DF8"/>
    <w:rsid w:val="00722E82"/>
    <w:rsid w:val="00722F6F"/>
    <w:rsid w:val="00723188"/>
    <w:rsid w:val="00723583"/>
    <w:rsid w:val="00723FE0"/>
    <w:rsid w:val="0072406E"/>
    <w:rsid w:val="00724889"/>
    <w:rsid w:val="00724C77"/>
    <w:rsid w:val="00724DD8"/>
    <w:rsid w:val="007250B6"/>
    <w:rsid w:val="00725202"/>
    <w:rsid w:val="0072568C"/>
    <w:rsid w:val="00725C39"/>
    <w:rsid w:val="00725C7C"/>
    <w:rsid w:val="00725E65"/>
    <w:rsid w:val="007260B5"/>
    <w:rsid w:val="0072631F"/>
    <w:rsid w:val="0072675E"/>
    <w:rsid w:val="007267DA"/>
    <w:rsid w:val="00726BA8"/>
    <w:rsid w:val="00726D45"/>
    <w:rsid w:val="007270AB"/>
    <w:rsid w:val="0072714A"/>
    <w:rsid w:val="0072723D"/>
    <w:rsid w:val="007272E7"/>
    <w:rsid w:val="00727326"/>
    <w:rsid w:val="00727A04"/>
    <w:rsid w:val="00727A77"/>
    <w:rsid w:val="00727DB7"/>
    <w:rsid w:val="00727F2C"/>
    <w:rsid w:val="0073007A"/>
    <w:rsid w:val="00730264"/>
    <w:rsid w:val="00730296"/>
    <w:rsid w:val="007305F0"/>
    <w:rsid w:val="007310D0"/>
    <w:rsid w:val="00731166"/>
    <w:rsid w:val="007318C9"/>
    <w:rsid w:val="007320B9"/>
    <w:rsid w:val="00732110"/>
    <w:rsid w:val="00732402"/>
    <w:rsid w:val="007324C7"/>
    <w:rsid w:val="007329D1"/>
    <w:rsid w:val="0073303B"/>
    <w:rsid w:val="007330D2"/>
    <w:rsid w:val="0073374B"/>
    <w:rsid w:val="007337C6"/>
    <w:rsid w:val="0073387F"/>
    <w:rsid w:val="007339B6"/>
    <w:rsid w:val="00733AA8"/>
    <w:rsid w:val="007340C2"/>
    <w:rsid w:val="007341E5"/>
    <w:rsid w:val="007346D8"/>
    <w:rsid w:val="00735551"/>
    <w:rsid w:val="007357AB"/>
    <w:rsid w:val="00735C0D"/>
    <w:rsid w:val="00735F4E"/>
    <w:rsid w:val="00736194"/>
    <w:rsid w:val="007363A9"/>
    <w:rsid w:val="0073651B"/>
    <w:rsid w:val="00736AB8"/>
    <w:rsid w:val="00736BC3"/>
    <w:rsid w:val="00736DC6"/>
    <w:rsid w:val="007370A6"/>
    <w:rsid w:val="0073724B"/>
    <w:rsid w:val="00737A18"/>
    <w:rsid w:val="00737F69"/>
    <w:rsid w:val="007401EA"/>
    <w:rsid w:val="00740304"/>
    <w:rsid w:val="007403E4"/>
    <w:rsid w:val="00740495"/>
    <w:rsid w:val="00740974"/>
    <w:rsid w:val="00740D12"/>
    <w:rsid w:val="00740E6B"/>
    <w:rsid w:val="00740E8C"/>
    <w:rsid w:val="007415DC"/>
    <w:rsid w:val="0074213D"/>
    <w:rsid w:val="007424E8"/>
    <w:rsid w:val="0074305A"/>
    <w:rsid w:val="0074324D"/>
    <w:rsid w:val="007434F9"/>
    <w:rsid w:val="007438B4"/>
    <w:rsid w:val="007438C0"/>
    <w:rsid w:val="00743DBB"/>
    <w:rsid w:val="00743E78"/>
    <w:rsid w:val="0074450A"/>
    <w:rsid w:val="00744C35"/>
    <w:rsid w:val="00744FEB"/>
    <w:rsid w:val="00745793"/>
    <w:rsid w:val="00745BCB"/>
    <w:rsid w:val="00745F1E"/>
    <w:rsid w:val="00745F70"/>
    <w:rsid w:val="007462BD"/>
    <w:rsid w:val="00746807"/>
    <w:rsid w:val="00746D90"/>
    <w:rsid w:val="00746E55"/>
    <w:rsid w:val="00746FBC"/>
    <w:rsid w:val="00746FF2"/>
    <w:rsid w:val="00747602"/>
    <w:rsid w:val="00747949"/>
    <w:rsid w:val="00747F8D"/>
    <w:rsid w:val="0075002C"/>
    <w:rsid w:val="007500E0"/>
    <w:rsid w:val="007502AF"/>
    <w:rsid w:val="007503C4"/>
    <w:rsid w:val="007503D7"/>
    <w:rsid w:val="00750590"/>
    <w:rsid w:val="00750630"/>
    <w:rsid w:val="0075070B"/>
    <w:rsid w:val="00750AB7"/>
    <w:rsid w:val="00750B81"/>
    <w:rsid w:val="00750CBC"/>
    <w:rsid w:val="00750D9B"/>
    <w:rsid w:val="00750F17"/>
    <w:rsid w:val="00751302"/>
    <w:rsid w:val="00751E30"/>
    <w:rsid w:val="00752165"/>
    <w:rsid w:val="00752352"/>
    <w:rsid w:val="00752E19"/>
    <w:rsid w:val="00753216"/>
    <w:rsid w:val="0075353D"/>
    <w:rsid w:val="00753705"/>
    <w:rsid w:val="0075380A"/>
    <w:rsid w:val="00753A40"/>
    <w:rsid w:val="00753EE4"/>
    <w:rsid w:val="00754219"/>
    <w:rsid w:val="007543CA"/>
    <w:rsid w:val="00754728"/>
    <w:rsid w:val="00754DC4"/>
    <w:rsid w:val="00754FA3"/>
    <w:rsid w:val="0075598D"/>
    <w:rsid w:val="00755AB3"/>
    <w:rsid w:val="00755F9F"/>
    <w:rsid w:val="00756257"/>
    <w:rsid w:val="00756288"/>
    <w:rsid w:val="0075635B"/>
    <w:rsid w:val="00756432"/>
    <w:rsid w:val="0075658B"/>
    <w:rsid w:val="00756C1D"/>
    <w:rsid w:val="00757339"/>
    <w:rsid w:val="00757980"/>
    <w:rsid w:val="007579BC"/>
    <w:rsid w:val="00757BE1"/>
    <w:rsid w:val="00757CA5"/>
    <w:rsid w:val="00757CCA"/>
    <w:rsid w:val="00757EBD"/>
    <w:rsid w:val="00760145"/>
    <w:rsid w:val="0076025C"/>
    <w:rsid w:val="007604CC"/>
    <w:rsid w:val="007604D6"/>
    <w:rsid w:val="0076072C"/>
    <w:rsid w:val="00760F10"/>
    <w:rsid w:val="0076112F"/>
    <w:rsid w:val="0076117A"/>
    <w:rsid w:val="007613CA"/>
    <w:rsid w:val="007614BD"/>
    <w:rsid w:val="0076194F"/>
    <w:rsid w:val="00761EF6"/>
    <w:rsid w:val="0076208B"/>
    <w:rsid w:val="00762128"/>
    <w:rsid w:val="00762929"/>
    <w:rsid w:val="00762B7B"/>
    <w:rsid w:val="00762E3B"/>
    <w:rsid w:val="007632CC"/>
    <w:rsid w:val="0076332E"/>
    <w:rsid w:val="007633C5"/>
    <w:rsid w:val="0076348D"/>
    <w:rsid w:val="00763654"/>
    <w:rsid w:val="0076395F"/>
    <w:rsid w:val="00763A68"/>
    <w:rsid w:val="00763F2C"/>
    <w:rsid w:val="007641DA"/>
    <w:rsid w:val="007642CF"/>
    <w:rsid w:val="007643A5"/>
    <w:rsid w:val="007644FD"/>
    <w:rsid w:val="00764C31"/>
    <w:rsid w:val="00764D65"/>
    <w:rsid w:val="00765271"/>
    <w:rsid w:val="007652F2"/>
    <w:rsid w:val="00765679"/>
    <w:rsid w:val="00765B80"/>
    <w:rsid w:val="00765C88"/>
    <w:rsid w:val="0076611F"/>
    <w:rsid w:val="007664AC"/>
    <w:rsid w:val="007664C4"/>
    <w:rsid w:val="0076656C"/>
    <w:rsid w:val="0076658A"/>
    <w:rsid w:val="007668C5"/>
    <w:rsid w:val="00766A7F"/>
    <w:rsid w:val="00766ACA"/>
    <w:rsid w:val="00766B64"/>
    <w:rsid w:val="0076754E"/>
    <w:rsid w:val="00767DCA"/>
    <w:rsid w:val="00767FA8"/>
    <w:rsid w:val="00770541"/>
    <w:rsid w:val="0077064A"/>
    <w:rsid w:val="0077073B"/>
    <w:rsid w:val="00770772"/>
    <w:rsid w:val="00770832"/>
    <w:rsid w:val="007709E3"/>
    <w:rsid w:val="007711EF"/>
    <w:rsid w:val="00771579"/>
    <w:rsid w:val="007716EB"/>
    <w:rsid w:val="007717A1"/>
    <w:rsid w:val="00771DBC"/>
    <w:rsid w:val="00771E1A"/>
    <w:rsid w:val="00771F39"/>
    <w:rsid w:val="00771F52"/>
    <w:rsid w:val="00772E20"/>
    <w:rsid w:val="00773341"/>
    <w:rsid w:val="0077349C"/>
    <w:rsid w:val="007734F5"/>
    <w:rsid w:val="00773AFD"/>
    <w:rsid w:val="00773E57"/>
    <w:rsid w:val="00773EB8"/>
    <w:rsid w:val="0077406B"/>
    <w:rsid w:val="0077450B"/>
    <w:rsid w:val="00774542"/>
    <w:rsid w:val="0077479E"/>
    <w:rsid w:val="00774F9F"/>
    <w:rsid w:val="00775824"/>
    <w:rsid w:val="00775D0F"/>
    <w:rsid w:val="0077646B"/>
    <w:rsid w:val="007765A2"/>
    <w:rsid w:val="00776E7E"/>
    <w:rsid w:val="007770B6"/>
    <w:rsid w:val="007774FB"/>
    <w:rsid w:val="00777749"/>
    <w:rsid w:val="00777862"/>
    <w:rsid w:val="00777920"/>
    <w:rsid w:val="007800EE"/>
    <w:rsid w:val="00780D3C"/>
    <w:rsid w:val="00781140"/>
    <w:rsid w:val="0078139A"/>
    <w:rsid w:val="007815EC"/>
    <w:rsid w:val="00781799"/>
    <w:rsid w:val="007817E3"/>
    <w:rsid w:val="0078185E"/>
    <w:rsid w:val="00782269"/>
    <w:rsid w:val="00782293"/>
    <w:rsid w:val="007822E8"/>
    <w:rsid w:val="007824B3"/>
    <w:rsid w:val="00782671"/>
    <w:rsid w:val="0078287A"/>
    <w:rsid w:val="00782C2A"/>
    <w:rsid w:val="00782E48"/>
    <w:rsid w:val="0078375A"/>
    <w:rsid w:val="007837E0"/>
    <w:rsid w:val="00783921"/>
    <w:rsid w:val="00783CEC"/>
    <w:rsid w:val="0078416E"/>
    <w:rsid w:val="00784245"/>
    <w:rsid w:val="007842E2"/>
    <w:rsid w:val="00784660"/>
    <w:rsid w:val="00785104"/>
    <w:rsid w:val="007858CC"/>
    <w:rsid w:val="00785AC2"/>
    <w:rsid w:val="00785E6C"/>
    <w:rsid w:val="00786298"/>
    <w:rsid w:val="00786557"/>
    <w:rsid w:val="007869CB"/>
    <w:rsid w:val="00786A67"/>
    <w:rsid w:val="00786CFB"/>
    <w:rsid w:val="00786D75"/>
    <w:rsid w:val="00786FE9"/>
    <w:rsid w:val="007870E1"/>
    <w:rsid w:val="00787375"/>
    <w:rsid w:val="007873F2"/>
    <w:rsid w:val="007874E3"/>
    <w:rsid w:val="0078757D"/>
    <w:rsid w:val="00787599"/>
    <w:rsid w:val="00787928"/>
    <w:rsid w:val="00787BBE"/>
    <w:rsid w:val="007905B3"/>
    <w:rsid w:val="007907B6"/>
    <w:rsid w:val="00790964"/>
    <w:rsid w:val="00790A8E"/>
    <w:rsid w:val="00790DF0"/>
    <w:rsid w:val="0079102C"/>
    <w:rsid w:val="0079121E"/>
    <w:rsid w:val="0079199A"/>
    <w:rsid w:val="00791C92"/>
    <w:rsid w:val="00791EFD"/>
    <w:rsid w:val="007921ED"/>
    <w:rsid w:val="00792463"/>
    <w:rsid w:val="007929C5"/>
    <w:rsid w:val="00792A64"/>
    <w:rsid w:val="00792B03"/>
    <w:rsid w:val="00792BFD"/>
    <w:rsid w:val="007934E2"/>
    <w:rsid w:val="0079353D"/>
    <w:rsid w:val="007938D1"/>
    <w:rsid w:val="007938E9"/>
    <w:rsid w:val="00793946"/>
    <w:rsid w:val="00793A42"/>
    <w:rsid w:val="00793C6B"/>
    <w:rsid w:val="00793FBD"/>
    <w:rsid w:val="00794041"/>
    <w:rsid w:val="0079456C"/>
    <w:rsid w:val="00794658"/>
    <w:rsid w:val="007948CE"/>
    <w:rsid w:val="00794A1B"/>
    <w:rsid w:val="00794A7B"/>
    <w:rsid w:val="00794D2C"/>
    <w:rsid w:val="00794E12"/>
    <w:rsid w:val="00794F4C"/>
    <w:rsid w:val="00794FF4"/>
    <w:rsid w:val="00795214"/>
    <w:rsid w:val="0079544E"/>
    <w:rsid w:val="007955C0"/>
    <w:rsid w:val="007957FD"/>
    <w:rsid w:val="00795964"/>
    <w:rsid w:val="00795D2E"/>
    <w:rsid w:val="00795FCF"/>
    <w:rsid w:val="007961E3"/>
    <w:rsid w:val="0079685E"/>
    <w:rsid w:val="00796A30"/>
    <w:rsid w:val="00796D67"/>
    <w:rsid w:val="007A0028"/>
    <w:rsid w:val="007A0105"/>
    <w:rsid w:val="007A03B5"/>
    <w:rsid w:val="007A0493"/>
    <w:rsid w:val="007A0737"/>
    <w:rsid w:val="007A0CAB"/>
    <w:rsid w:val="007A0DAF"/>
    <w:rsid w:val="007A1454"/>
    <w:rsid w:val="007A154D"/>
    <w:rsid w:val="007A17BA"/>
    <w:rsid w:val="007A185E"/>
    <w:rsid w:val="007A1B6D"/>
    <w:rsid w:val="007A2369"/>
    <w:rsid w:val="007A29D9"/>
    <w:rsid w:val="007A29DA"/>
    <w:rsid w:val="007A2C72"/>
    <w:rsid w:val="007A2FC5"/>
    <w:rsid w:val="007A304D"/>
    <w:rsid w:val="007A3109"/>
    <w:rsid w:val="007A3367"/>
    <w:rsid w:val="007A35C7"/>
    <w:rsid w:val="007A37A1"/>
    <w:rsid w:val="007A3936"/>
    <w:rsid w:val="007A3ACB"/>
    <w:rsid w:val="007A3BC5"/>
    <w:rsid w:val="007A3F93"/>
    <w:rsid w:val="007A45E3"/>
    <w:rsid w:val="007A4A18"/>
    <w:rsid w:val="007A4C9F"/>
    <w:rsid w:val="007A4EAF"/>
    <w:rsid w:val="007A500C"/>
    <w:rsid w:val="007A5182"/>
    <w:rsid w:val="007A53CF"/>
    <w:rsid w:val="007A55D7"/>
    <w:rsid w:val="007A5C54"/>
    <w:rsid w:val="007A6045"/>
    <w:rsid w:val="007A62DE"/>
    <w:rsid w:val="007A66CF"/>
    <w:rsid w:val="007A67C9"/>
    <w:rsid w:val="007A6C32"/>
    <w:rsid w:val="007A7057"/>
    <w:rsid w:val="007A72F3"/>
    <w:rsid w:val="007A7753"/>
    <w:rsid w:val="007A7AC3"/>
    <w:rsid w:val="007B0046"/>
    <w:rsid w:val="007B0139"/>
    <w:rsid w:val="007B052B"/>
    <w:rsid w:val="007B0623"/>
    <w:rsid w:val="007B1200"/>
    <w:rsid w:val="007B1B28"/>
    <w:rsid w:val="007B1DC8"/>
    <w:rsid w:val="007B1E90"/>
    <w:rsid w:val="007B1F1A"/>
    <w:rsid w:val="007B1F6E"/>
    <w:rsid w:val="007B22FA"/>
    <w:rsid w:val="007B2626"/>
    <w:rsid w:val="007B2904"/>
    <w:rsid w:val="007B2F43"/>
    <w:rsid w:val="007B312D"/>
    <w:rsid w:val="007B32DB"/>
    <w:rsid w:val="007B365C"/>
    <w:rsid w:val="007B3917"/>
    <w:rsid w:val="007B3C5A"/>
    <w:rsid w:val="007B3D73"/>
    <w:rsid w:val="007B4035"/>
    <w:rsid w:val="007B421C"/>
    <w:rsid w:val="007B4338"/>
    <w:rsid w:val="007B4628"/>
    <w:rsid w:val="007B4650"/>
    <w:rsid w:val="007B4872"/>
    <w:rsid w:val="007B4B00"/>
    <w:rsid w:val="007B54A3"/>
    <w:rsid w:val="007B55FE"/>
    <w:rsid w:val="007B56EF"/>
    <w:rsid w:val="007B5A31"/>
    <w:rsid w:val="007B5E05"/>
    <w:rsid w:val="007B5E2E"/>
    <w:rsid w:val="007B5F36"/>
    <w:rsid w:val="007B62F9"/>
    <w:rsid w:val="007B63A2"/>
    <w:rsid w:val="007B671A"/>
    <w:rsid w:val="007B7257"/>
    <w:rsid w:val="007B7413"/>
    <w:rsid w:val="007B754F"/>
    <w:rsid w:val="007B77EC"/>
    <w:rsid w:val="007B7987"/>
    <w:rsid w:val="007B7FE1"/>
    <w:rsid w:val="007C06BA"/>
    <w:rsid w:val="007C094C"/>
    <w:rsid w:val="007C0BC1"/>
    <w:rsid w:val="007C0E76"/>
    <w:rsid w:val="007C0ED4"/>
    <w:rsid w:val="007C1481"/>
    <w:rsid w:val="007C1A70"/>
    <w:rsid w:val="007C1ABB"/>
    <w:rsid w:val="007C1B39"/>
    <w:rsid w:val="007C2379"/>
    <w:rsid w:val="007C2542"/>
    <w:rsid w:val="007C25AB"/>
    <w:rsid w:val="007C263C"/>
    <w:rsid w:val="007C2A22"/>
    <w:rsid w:val="007C314D"/>
    <w:rsid w:val="007C32D6"/>
    <w:rsid w:val="007C38AC"/>
    <w:rsid w:val="007C39DC"/>
    <w:rsid w:val="007C3A26"/>
    <w:rsid w:val="007C3ED9"/>
    <w:rsid w:val="007C417A"/>
    <w:rsid w:val="007C41DA"/>
    <w:rsid w:val="007C4497"/>
    <w:rsid w:val="007C4A05"/>
    <w:rsid w:val="007C4ECD"/>
    <w:rsid w:val="007C5135"/>
    <w:rsid w:val="007C594D"/>
    <w:rsid w:val="007C5F9F"/>
    <w:rsid w:val="007C6366"/>
    <w:rsid w:val="007C6442"/>
    <w:rsid w:val="007C65F4"/>
    <w:rsid w:val="007C662D"/>
    <w:rsid w:val="007C695C"/>
    <w:rsid w:val="007C6CE6"/>
    <w:rsid w:val="007C70E9"/>
    <w:rsid w:val="007C7200"/>
    <w:rsid w:val="007C744F"/>
    <w:rsid w:val="007C76CE"/>
    <w:rsid w:val="007C77DB"/>
    <w:rsid w:val="007C79BE"/>
    <w:rsid w:val="007C7CFD"/>
    <w:rsid w:val="007C7FED"/>
    <w:rsid w:val="007D020D"/>
    <w:rsid w:val="007D0648"/>
    <w:rsid w:val="007D0746"/>
    <w:rsid w:val="007D078C"/>
    <w:rsid w:val="007D0837"/>
    <w:rsid w:val="007D0A3B"/>
    <w:rsid w:val="007D0C41"/>
    <w:rsid w:val="007D0D4F"/>
    <w:rsid w:val="007D173C"/>
    <w:rsid w:val="007D19C0"/>
    <w:rsid w:val="007D1E0C"/>
    <w:rsid w:val="007D20AA"/>
    <w:rsid w:val="007D245D"/>
    <w:rsid w:val="007D2498"/>
    <w:rsid w:val="007D24B8"/>
    <w:rsid w:val="007D255D"/>
    <w:rsid w:val="007D2890"/>
    <w:rsid w:val="007D2971"/>
    <w:rsid w:val="007D2B23"/>
    <w:rsid w:val="007D36A9"/>
    <w:rsid w:val="007D3743"/>
    <w:rsid w:val="007D395D"/>
    <w:rsid w:val="007D3AD9"/>
    <w:rsid w:val="007D3C28"/>
    <w:rsid w:val="007D3C98"/>
    <w:rsid w:val="007D3CDF"/>
    <w:rsid w:val="007D40EF"/>
    <w:rsid w:val="007D44E0"/>
    <w:rsid w:val="007D4759"/>
    <w:rsid w:val="007D57D7"/>
    <w:rsid w:val="007D5944"/>
    <w:rsid w:val="007D5E8B"/>
    <w:rsid w:val="007D60E6"/>
    <w:rsid w:val="007D6370"/>
    <w:rsid w:val="007D6483"/>
    <w:rsid w:val="007D657C"/>
    <w:rsid w:val="007D6A63"/>
    <w:rsid w:val="007D6BD5"/>
    <w:rsid w:val="007D71A4"/>
    <w:rsid w:val="007D721F"/>
    <w:rsid w:val="007D738E"/>
    <w:rsid w:val="007D74F9"/>
    <w:rsid w:val="007D754D"/>
    <w:rsid w:val="007D7703"/>
    <w:rsid w:val="007D7C75"/>
    <w:rsid w:val="007D7D5A"/>
    <w:rsid w:val="007D7E2E"/>
    <w:rsid w:val="007D7E75"/>
    <w:rsid w:val="007D7F4E"/>
    <w:rsid w:val="007D7FE3"/>
    <w:rsid w:val="007E002D"/>
    <w:rsid w:val="007E01F9"/>
    <w:rsid w:val="007E0567"/>
    <w:rsid w:val="007E07A6"/>
    <w:rsid w:val="007E08D0"/>
    <w:rsid w:val="007E0F47"/>
    <w:rsid w:val="007E105E"/>
    <w:rsid w:val="007E1422"/>
    <w:rsid w:val="007E18A5"/>
    <w:rsid w:val="007E2A51"/>
    <w:rsid w:val="007E2D01"/>
    <w:rsid w:val="007E2E75"/>
    <w:rsid w:val="007E2EF3"/>
    <w:rsid w:val="007E38A2"/>
    <w:rsid w:val="007E3915"/>
    <w:rsid w:val="007E3918"/>
    <w:rsid w:val="007E3A4C"/>
    <w:rsid w:val="007E3C2F"/>
    <w:rsid w:val="007E452A"/>
    <w:rsid w:val="007E4690"/>
    <w:rsid w:val="007E49D8"/>
    <w:rsid w:val="007E49E8"/>
    <w:rsid w:val="007E4A10"/>
    <w:rsid w:val="007E4F0D"/>
    <w:rsid w:val="007E5025"/>
    <w:rsid w:val="007E5E62"/>
    <w:rsid w:val="007E5F51"/>
    <w:rsid w:val="007E60E8"/>
    <w:rsid w:val="007E68B1"/>
    <w:rsid w:val="007E70E1"/>
    <w:rsid w:val="007E71C8"/>
    <w:rsid w:val="007E7206"/>
    <w:rsid w:val="007E736F"/>
    <w:rsid w:val="007E73A1"/>
    <w:rsid w:val="007E796E"/>
    <w:rsid w:val="007E79D5"/>
    <w:rsid w:val="007E79F4"/>
    <w:rsid w:val="007E7ABA"/>
    <w:rsid w:val="007E7B44"/>
    <w:rsid w:val="007F0427"/>
    <w:rsid w:val="007F08C9"/>
    <w:rsid w:val="007F0A9A"/>
    <w:rsid w:val="007F0BD8"/>
    <w:rsid w:val="007F0C4D"/>
    <w:rsid w:val="007F0CE1"/>
    <w:rsid w:val="007F13A7"/>
    <w:rsid w:val="007F14FA"/>
    <w:rsid w:val="007F16D6"/>
    <w:rsid w:val="007F1B2A"/>
    <w:rsid w:val="007F20B6"/>
    <w:rsid w:val="007F23DC"/>
    <w:rsid w:val="007F2C16"/>
    <w:rsid w:val="007F2E68"/>
    <w:rsid w:val="007F302E"/>
    <w:rsid w:val="007F35EC"/>
    <w:rsid w:val="007F397A"/>
    <w:rsid w:val="007F39F7"/>
    <w:rsid w:val="007F3CFE"/>
    <w:rsid w:val="007F3F62"/>
    <w:rsid w:val="007F3F8C"/>
    <w:rsid w:val="007F470D"/>
    <w:rsid w:val="007F49BB"/>
    <w:rsid w:val="007F4AF4"/>
    <w:rsid w:val="007F4BA1"/>
    <w:rsid w:val="007F4BF6"/>
    <w:rsid w:val="007F4D20"/>
    <w:rsid w:val="007F4E3B"/>
    <w:rsid w:val="007F5146"/>
    <w:rsid w:val="007F52BA"/>
    <w:rsid w:val="007F54D4"/>
    <w:rsid w:val="007F550E"/>
    <w:rsid w:val="007F5AB0"/>
    <w:rsid w:val="007F605B"/>
    <w:rsid w:val="007F62E9"/>
    <w:rsid w:val="007F63AE"/>
    <w:rsid w:val="007F72D5"/>
    <w:rsid w:val="007F72DC"/>
    <w:rsid w:val="007F769D"/>
    <w:rsid w:val="007F7A1E"/>
    <w:rsid w:val="007F7AED"/>
    <w:rsid w:val="007F7EF9"/>
    <w:rsid w:val="007F7F35"/>
    <w:rsid w:val="00800029"/>
    <w:rsid w:val="00800114"/>
    <w:rsid w:val="00800AB5"/>
    <w:rsid w:val="00800C34"/>
    <w:rsid w:val="00800D0F"/>
    <w:rsid w:val="0080104F"/>
    <w:rsid w:val="00801190"/>
    <w:rsid w:val="00801426"/>
    <w:rsid w:val="00801522"/>
    <w:rsid w:val="00801573"/>
    <w:rsid w:val="00801981"/>
    <w:rsid w:val="00801982"/>
    <w:rsid w:val="00801A76"/>
    <w:rsid w:val="00801E2B"/>
    <w:rsid w:val="00801EF0"/>
    <w:rsid w:val="0080236E"/>
    <w:rsid w:val="0080249A"/>
    <w:rsid w:val="008024FB"/>
    <w:rsid w:val="0080260C"/>
    <w:rsid w:val="008026C7"/>
    <w:rsid w:val="00802870"/>
    <w:rsid w:val="008029DA"/>
    <w:rsid w:val="00802B37"/>
    <w:rsid w:val="00802BCC"/>
    <w:rsid w:val="00803298"/>
    <w:rsid w:val="008033C7"/>
    <w:rsid w:val="008034D8"/>
    <w:rsid w:val="0080358B"/>
    <w:rsid w:val="008039FB"/>
    <w:rsid w:val="00803A7B"/>
    <w:rsid w:val="00803EF9"/>
    <w:rsid w:val="0080453E"/>
    <w:rsid w:val="008046A6"/>
    <w:rsid w:val="008047FD"/>
    <w:rsid w:val="00804833"/>
    <w:rsid w:val="00804864"/>
    <w:rsid w:val="008048C8"/>
    <w:rsid w:val="00804A1F"/>
    <w:rsid w:val="00804D06"/>
    <w:rsid w:val="00804D91"/>
    <w:rsid w:val="00805697"/>
    <w:rsid w:val="008056BB"/>
    <w:rsid w:val="00805A4D"/>
    <w:rsid w:val="00805D36"/>
    <w:rsid w:val="00806483"/>
    <w:rsid w:val="0080660C"/>
    <w:rsid w:val="00806960"/>
    <w:rsid w:val="00806BA4"/>
    <w:rsid w:val="00806C50"/>
    <w:rsid w:val="00806CFE"/>
    <w:rsid w:val="0080700C"/>
    <w:rsid w:val="00807219"/>
    <w:rsid w:val="00807373"/>
    <w:rsid w:val="008074E0"/>
    <w:rsid w:val="00807598"/>
    <w:rsid w:val="00807627"/>
    <w:rsid w:val="00807673"/>
    <w:rsid w:val="008077BE"/>
    <w:rsid w:val="00807A89"/>
    <w:rsid w:val="00807BF5"/>
    <w:rsid w:val="00807E0C"/>
    <w:rsid w:val="0081053E"/>
    <w:rsid w:val="00811391"/>
    <w:rsid w:val="008114C8"/>
    <w:rsid w:val="00811851"/>
    <w:rsid w:val="00811BA1"/>
    <w:rsid w:val="00812118"/>
    <w:rsid w:val="00812196"/>
    <w:rsid w:val="00812307"/>
    <w:rsid w:val="00812468"/>
    <w:rsid w:val="00812AD4"/>
    <w:rsid w:val="00812B69"/>
    <w:rsid w:val="00812B9F"/>
    <w:rsid w:val="00812EEB"/>
    <w:rsid w:val="008134A3"/>
    <w:rsid w:val="008134E7"/>
    <w:rsid w:val="0081371C"/>
    <w:rsid w:val="008139A9"/>
    <w:rsid w:val="00813A51"/>
    <w:rsid w:val="0081404E"/>
    <w:rsid w:val="008140D3"/>
    <w:rsid w:val="0081441B"/>
    <w:rsid w:val="00814712"/>
    <w:rsid w:val="008149B9"/>
    <w:rsid w:val="008149FA"/>
    <w:rsid w:val="00814A85"/>
    <w:rsid w:val="00814E29"/>
    <w:rsid w:val="00814EA6"/>
    <w:rsid w:val="00814EB9"/>
    <w:rsid w:val="0081536E"/>
    <w:rsid w:val="00815395"/>
    <w:rsid w:val="00815506"/>
    <w:rsid w:val="00815574"/>
    <w:rsid w:val="008155D9"/>
    <w:rsid w:val="0081586E"/>
    <w:rsid w:val="00815B94"/>
    <w:rsid w:val="00815C3F"/>
    <w:rsid w:val="00815CD8"/>
    <w:rsid w:val="00815E9E"/>
    <w:rsid w:val="008160E7"/>
    <w:rsid w:val="0081615A"/>
    <w:rsid w:val="0081628E"/>
    <w:rsid w:val="008162AB"/>
    <w:rsid w:val="0081644D"/>
    <w:rsid w:val="0081657A"/>
    <w:rsid w:val="0081673C"/>
    <w:rsid w:val="00816F59"/>
    <w:rsid w:val="00816FE9"/>
    <w:rsid w:val="0081703B"/>
    <w:rsid w:val="008170D0"/>
    <w:rsid w:val="008173A7"/>
    <w:rsid w:val="00817555"/>
    <w:rsid w:val="008178CD"/>
    <w:rsid w:val="008178D9"/>
    <w:rsid w:val="00817CD9"/>
    <w:rsid w:val="00817EF7"/>
    <w:rsid w:val="00820002"/>
    <w:rsid w:val="008201C4"/>
    <w:rsid w:val="00820335"/>
    <w:rsid w:val="00820358"/>
    <w:rsid w:val="0082055C"/>
    <w:rsid w:val="0082087E"/>
    <w:rsid w:val="00820C47"/>
    <w:rsid w:val="00820C8E"/>
    <w:rsid w:val="00820EA2"/>
    <w:rsid w:val="00820FFF"/>
    <w:rsid w:val="00821256"/>
    <w:rsid w:val="0082182A"/>
    <w:rsid w:val="00822913"/>
    <w:rsid w:val="00822BC5"/>
    <w:rsid w:val="00822F4A"/>
    <w:rsid w:val="0082330E"/>
    <w:rsid w:val="0082347D"/>
    <w:rsid w:val="0082348D"/>
    <w:rsid w:val="008235F2"/>
    <w:rsid w:val="0082368B"/>
    <w:rsid w:val="0082379D"/>
    <w:rsid w:val="008237B5"/>
    <w:rsid w:val="008237FA"/>
    <w:rsid w:val="0082380E"/>
    <w:rsid w:val="00823864"/>
    <w:rsid w:val="00823FFE"/>
    <w:rsid w:val="00824382"/>
    <w:rsid w:val="008243B0"/>
    <w:rsid w:val="0082477D"/>
    <w:rsid w:val="00824C41"/>
    <w:rsid w:val="00824FAA"/>
    <w:rsid w:val="00825125"/>
    <w:rsid w:val="00826BBF"/>
    <w:rsid w:val="00826E66"/>
    <w:rsid w:val="00827175"/>
    <w:rsid w:val="00827194"/>
    <w:rsid w:val="0082746B"/>
    <w:rsid w:val="0082754D"/>
    <w:rsid w:val="00827881"/>
    <w:rsid w:val="00827AA1"/>
    <w:rsid w:val="00827BA3"/>
    <w:rsid w:val="008300B4"/>
    <w:rsid w:val="00830153"/>
    <w:rsid w:val="00830581"/>
    <w:rsid w:val="008305AC"/>
    <w:rsid w:val="00830948"/>
    <w:rsid w:val="00830966"/>
    <w:rsid w:val="00830986"/>
    <w:rsid w:val="00830BAD"/>
    <w:rsid w:val="00830CEB"/>
    <w:rsid w:val="00831167"/>
    <w:rsid w:val="008311CE"/>
    <w:rsid w:val="008311F7"/>
    <w:rsid w:val="00831F4A"/>
    <w:rsid w:val="008321F7"/>
    <w:rsid w:val="008324E6"/>
    <w:rsid w:val="0083295B"/>
    <w:rsid w:val="00832A8C"/>
    <w:rsid w:val="00832CB4"/>
    <w:rsid w:val="008331CC"/>
    <w:rsid w:val="008338BC"/>
    <w:rsid w:val="00833BA3"/>
    <w:rsid w:val="00833E18"/>
    <w:rsid w:val="00833F0D"/>
    <w:rsid w:val="008344FB"/>
    <w:rsid w:val="00834725"/>
    <w:rsid w:val="0083485E"/>
    <w:rsid w:val="00834B5D"/>
    <w:rsid w:val="00834C53"/>
    <w:rsid w:val="00834F74"/>
    <w:rsid w:val="00835275"/>
    <w:rsid w:val="0083549E"/>
    <w:rsid w:val="0083597B"/>
    <w:rsid w:val="00835A78"/>
    <w:rsid w:val="0083617A"/>
    <w:rsid w:val="00836190"/>
    <w:rsid w:val="0083627C"/>
    <w:rsid w:val="0083660C"/>
    <w:rsid w:val="008367D7"/>
    <w:rsid w:val="008369DB"/>
    <w:rsid w:val="00836C2C"/>
    <w:rsid w:val="00836E95"/>
    <w:rsid w:val="00837176"/>
    <w:rsid w:val="0083768B"/>
    <w:rsid w:val="008379F2"/>
    <w:rsid w:val="00837A5F"/>
    <w:rsid w:val="00837D38"/>
    <w:rsid w:val="008405B9"/>
    <w:rsid w:val="00840690"/>
    <w:rsid w:val="0084094C"/>
    <w:rsid w:val="00840A94"/>
    <w:rsid w:val="00840AC3"/>
    <w:rsid w:val="00840E4F"/>
    <w:rsid w:val="0084123A"/>
    <w:rsid w:val="0084141D"/>
    <w:rsid w:val="0084161B"/>
    <w:rsid w:val="00841C38"/>
    <w:rsid w:val="00841C59"/>
    <w:rsid w:val="00841F33"/>
    <w:rsid w:val="008420AC"/>
    <w:rsid w:val="0084212C"/>
    <w:rsid w:val="008423EE"/>
    <w:rsid w:val="008426AA"/>
    <w:rsid w:val="00842948"/>
    <w:rsid w:val="00842E09"/>
    <w:rsid w:val="00842EA8"/>
    <w:rsid w:val="00843070"/>
    <w:rsid w:val="008432B4"/>
    <w:rsid w:val="008433D8"/>
    <w:rsid w:val="00843A4A"/>
    <w:rsid w:val="00843B7A"/>
    <w:rsid w:val="0084439F"/>
    <w:rsid w:val="008447FD"/>
    <w:rsid w:val="008449E4"/>
    <w:rsid w:val="00844C5A"/>
    <w:rsid w:val="00844D59"/>
    <w:rsid w:val="00844FC2"/>
    <w:rsid w:val="00845586"/>
    <w:rsid w:val="00845630"/>
    <w:rsid w:val="0084584E"/>
    <w:rsid w:val="00845AD0"/>
    <w:rsid w:val="00845E52"/>
    <w:rsid w:val="0084641C"/>
    <w:rsid w:val="0084676D"/>
    <w:rsid w:val="00846778"/>
    <w:rsid w:val="00846AA0"/>
    <w:rsid w:val="00846CF0"/>
    <w:rsid w:val="00846E32"/>
    <w:rsid w:val="0084708F"/>
    <w:rsid w:val="0084722B"/>
    <w:rsid w:val="00847548"/>
    <w:rsid w:val="0084759D"/>
    <w:rsid w:val="00847B5C"/>
    <w:rsid w:val="00847C17"/>
    <w:rsid w:val="00847EFC"/>
    <w:rsid w:val="00847EFD"/>
    <w:rsid w:val="00847F0F"/>
    <w:rsid w:val="008501BC"/>
    <w:rsid w:val="008504DF"/>
    <w:rsid w:val="00850707"/>
    <w:rsid w:val="008508A8"/>
    <w:rsid w:val="00850A98"/>
    <w:rsid w:val="00850D8D"/>
    <w:rsid w:val="00850FD5"/>
    <w:rsid w:val="00851159"/>
    <w:rsid w:val="00851388"/>
    <w:rsid w:val="008514DE"/>
    <w:rsid w:val="00851504"/>
    <w:rsid w:val="00851543"/>
    <w:rsid w:val="00851897"/>
    <w:rsid w:val="008518F0"/>
    <w:rsid w:val="008518F9"/>
    <w:rsid w:val="008519C0"/>
    <w:rsid w:val="00851F53"/>
    <w:rsid w:val="00852083"/>
    <w:rsid w:val="00852733"/>
    <w:rsid w:val="00852755"/>
    <w:rsid w:val="008527AD"/>
    <w:rsid w:val="00852901"/>
    <w:rsid w:val="00852E74"/>
    <w:rsid w:val="008533CD"/>
    <w:rsid w:val="008535CC"/>
    <w:rsid w:val="00853B4A"/>
    <w:rsid w:val="00853C15"/>
    <w:rsid w:val="00853C96"/>
    <w:rsid w:val="00854055"/>
    <w:rsid w:val="00854156"/>
    <w:rsid w:val="008543CF"/>
    <w:rsid w:val="00854496"/>
    <w:rsid w:val="008549EA"/>
    <w:rsid w:val="008550E1"/>
    <w:rsid w:val="00855108"/>
    <w:rsid w:val="00855320"/>
    <w:rsid w:val="00855519"/>
    <w:rsid w:val="00855939"/>
    <w:rsid w:val="00855B25"/>
    <w:rsid w:val="0085626C"/>
    <w:rsid w:val="00856312"/>
    <w:rsid w:val="00856941"/>
    <w:rsid w:val="0085721B"/>
    <w:rsid w:val="00857600"/>
    <w:rsid w:val="008577BC"/>
    <w:rsid w:val="00857EB6"/>
    <w:rsid w:val="00857F57"/>
    <w:rsid w:val="00857F92"/>
    <w:rsid w:val="0086003B"/>
    <w:rsid w:val="008601DA"/>
    <w:rsid w:val="00860436"/>
    <w:rsid w:val="008604F2"/>
    <w:rsid w:val="00860BB7"/>
    <w:rsid w:val="00860FA8"/>
    <w:rsid w:val="00861062"/>
    <w:rsid w:val="0086156C"/>
    <w:rsid w:val="00861879"/>
    <w:rsid w:val="008618FE"/>
    <w:rsid w:val="00861BFA"/>
    <w:rsid w:val="00861D70"/>
    <w:rsid w:val="00861E50"/>
    <w:rsid w:val="00861F43"/>
    <w:rsid w:val="008620E0"/>
    <w:rsid w:val="0086218F"/>
    <w:rsid w:val="008626EC"/>
    <w:rsid w:val="00862735"/>
    <w:rsid w:val="00862788"/>
    <w:rsid w:val="008627B7"/>
    <w:rsid w:val="008627DA"/>
    <w:rsid w:val="00862AFC"/>
    <w:rsid w:val="00862CC1"/>
    <w:rsid w:val="00862D82"/>
    <w:rsid w:val="008630F1"/>
    <w:rsid w:val="008634BE"/>
    <w:rsid w:val="00863582"/>
    <w:rsid w:val="008638C6"/>
    <w:rsid w:val="00863FDC"/>
    <w:rsid w:val="00864335"/>
    <w:rsid w:val="008648F7"/>
    <w:rsid w:val="00864AD7"/>
    <w:rsid w:val="00865712"/>
    <w:rsid w:val="008659C7"/>
    <w:rsid w:val="00865B98"/>
    <w:rsid w:val="00865C3F"/>
    <w:rsid w:val="008666B3"/>
    <w:rsid w:val="00866AC9"/>
    <w:rsid w:val="00867179"/>
    <w:rsid w:val="0086717B"/>
    <w:rsid w:val="0086726B"/>
    <w:rsid w:val="008672A5"/>
    <w:rsid w:val="00867CB4"/>
    <w:rsid w:val="008701E3"/>
    <w:rsid w:val="008704A8"/>
    <w:rsid w:val="008706BA"/>
    <w:rsid w:val="00870711"/>
    <w:rsid w:val="0087077A"/>
    <w:rsid w:val="0087098C"/>
    <w:rsid w:val="00870B12"/>
    <w:rsid w:val="00870E08"/>
    <w:rsid w:val="00871092"/>
    <w:rsid w:val="008710D8"/>
    <w:rsid w:val="008711E2"/>
    <w:rsid w:val="008712DE"/>
    <w:rsid w:val="008716D6"/>
    <w:rsid w:val="0087177B"/>
    <w:rsid w:val="00871B5D"/>
    <w:rsid w:val="00871F61"/>
    <w:rsid w:val="008722E9"/>
    <w:rsid w:val="008723B6"/>
    <w:rsid w:val="008724B2"/>
    <w:rsid w:val="00872780"/>
    <w:rsid w:val="00872B4A"/>
    <w:rsid w:val="00872E94"/>
    <w:rsid w:val="00873389"/>
    <w:rsid w:val="008734C8"/>
    <w:rsid w:val="0087423C"/>
    <w:rsid w:val="00874B18"/>
    <w:rsid w:val="008751F4"/>
    <w:rsid w:val="008753D9"/>
    <w:rsid w:val="008755A2"/>
    <w:rsid w:val="008758EF"/>
    <w:rsid w:val="00875A5D"/>
    <w:rsid w:val="00875CE7"/>
    <w:rsid w:val="00875DBA"/>
    <w:rsid w:val="00875DC1"/>
    <w:rsid w:val="00875E37"/>
    <w:rsid w:val="0087605F"/>
    <w:rsid w:val="0087640A"/>
    <w:rsid w:val="00876BA5"/>
    <w:rsid w:val="00877297"/>
    <w:rsid w:val="00877507"/>
    <w:rsid w:val="00877595"/>
    <w:rsid w:val="00877CE6"/>
    <w:rsid w:val="00880333"/>
    <w:rsid w:val="0088034C"/>
    <w:rsid w:val="008803B1"/>
    <w:rsid w:val="008804F0"/>
    <w:rsid w:val="00880547"/>
    <w:rsid w:val="008807B8"/>
    <w:rsid w:val="00880A68"/>
    <w:rsid w:val="00880F8C"/>
    <w:rsid w:val="0088126D"/>
    <w:rsid w:val="008813F0"/>
    <w:rsid w:val="008818C2"/>
    <w:rsid w:val="00881DA0"/>
    <w:rsid w:val="008820EE"/>
    <w:rsid w:val="008821B0"/>
    <w:rsid w:val="00882259"/>
    <w:rsid w:val="0088235F"/>
    <w:rsid w:val="00882665"/>
    <w:rsid w:val="0088278C"/>
    <w:rsid w:val="008829BC"/>
    <w:rsid w:val="00882B4D"/>
    <w:rsid w:val="00882B50"/>
    <w:rsid w:val="00882BC5"/>
    <w:rsid w:val="00882CAB"/>
    <w:rsid w:val="00882E71"/>
    <w:rsid w:val="008833FC"/>
    <w:rsid w:val="008838DA"/>
    <w:rsid w:val="00883B8F"/>
    <w:rsid w:val="00883FF9"/>
    <w:rsid w:val="0088418C"/>
    <w:rsid w:val="0088454F"/>
    <w:rsid w:val="0088487A"/>
    <w:rsid w:val="00884903"/>
    <w:rsid w:val="00884A4A"/>
    <w:rsid w:val="00884A51"/>
    <w:rsid w:val="00884BE2"/>
    <w:rsid w:val="00884DA5"/>
    <w:rsid w:val="00884E07"/>
    <w:rsid w:val="00884FBC"/>
    <w:rsid w:val="008859AA"/>
    <w:rsid w:val="008862FA"/>
    <w:rsid w:val="008867E1"/>
    <w:rsid w:val="008872B9"/>
    <w:rsid w:val="0088756E"/>
    <w:rsid w:val="00887767"/>
    <w:rsid w:val="00887AA1"/>
    <w:rsid w:val="00887F18"/>
    <w:rsid w:val="008901BD"/>
    <w:rsid w:val="008902EF"/>
    <w:rsid w:val="0089096C"/>
    <w:rsid w:val="008909CD"/>
    <w:rsid w:val="00890A2D"/>
    <w:rsid w:val="00890CE4"/>
    <w:rsid w:val="0089125E"/>
    <w:rsid w:val="0089151A"/>
    <w:rsid w:val="00891894"/>
    <w:rsid w:val="008918E0"/>
    <w:rsid w:val="00891DD2"/>
    <w:rsid w:val="00891E7E"/>
    <w:rsid w:val="008921A9"/>
    <w:rsid w:val="0089220C"/>
    <w:rsid w:val="00892596"/>
    <w:rsid w:val="00892821"/>
    <w:rsid w:val="00892BB6"/>
    <w:rsid w:val="00892D36"/>
    <w:rsid w:val="00892DA9"/>
    <w:rsid w:val="0089338F"/>
    <w:rsid w:val="008934EF"/>
    <w:rsid w:val="008934F9"/>
    <w:rsid w:val="00893C43"/>
    <w:rsid w:val="00893D1A"/>
    <w:rsid w:val="00893EAB"/>
    <w:rsid w:val="00894028"/>
    <w:rsid w:val="00894590"/>
    <w:rsid w:val="008945D3"/>
    <w:rsid w:val="00894C92"/>
    <w:rsid w:val="00894D94"/>
    <w:rsid w:val="00894DBE"/>
    <w:rsid w:val="008953AA"/>
    <w:rsid w:val="008954C3"/>
    <w:rsid w:val="008956AD"/>
    <w:rsid w:val="00895760"/>
    <w:rsid w:val="00895809"/>
    <w:rsid w:val="00895810"/>
    <w:rsid w:val="008958B8"/>
    <w:rsid w:val="008959D9"/>
    <w:rsid w:val="00895A78"/>
    <w:rsid w:val="00895D73"/>
    <w:rsid w:val="00895D9E"/>
    <w:rsid w:val="00895E5B"/>
    <w:rsid w:val="00895F8A"/>
    <w:rsid w:val="008960EE"/>
    <w:rsid w:val="00896192"/>
    <w:rsid w:val="00896324"/>
    <w:rsid w:val="008964EE"/>
    <w:rsid w:val="0089650F"/>
    <w:rsid w:val="00896512"/>
    <w:rsid w:val="008965D6"/>
    <w:rsid w:val="0089665E"/>
    <w:rsid w:val="00896ADA"/>
    <w:rsid w:val="00896E4F"/>
    <w:rsid w:val="00896F84"/>
    <w:rsid w:val="008975B4"/>
    <w:rsid w:val="00897933"/>
    <w:rsid w:val="00897989"/>
    <w:rsid w:val="00897CD1"/>
    <w:rsid w:val="00897E05"/>
    <w:rsid w:val="008A00BC"/>
    <w:rsid w:val="008A03C6"/>
    <w:rsid w:val="008A0574"/>
    <w:rsid w:val="008A1504"/>
    <w:rsid w:val="008A1618"/>
    <w:rsid w:val="008A175F"/>
    <w:rsid w:val="008A1982"/>
    <w:rsid w:val="008A1ACA"/>
    <w:rsid w:val="008A1D52"/>
    <w:rsid w:val="008A24D6"/>
    <w:rsid w:val="008A2ADD"/>
    <w:rsid w:val="008A2B6E"/>
    <w:rsid w:val="008A2E97"/>
    <w:rsid w:val="008A2F01"/>
    <w:rsid w:val="008A3767"/>
    <w:rsid w:val="008A37A0"/>
    <w:rsid w:val="008A3B5E"/>
    <w:rsid w:val="008A3C6A"/>
    <w:rsid w:val="008A3EB5"/>
    <w:rsid w:val="008A3FBC"/>
    <w:rsid w:val="008A4AF8"/>
    <w:rsid w:val="008A4E72"/>
    <w:rsid w:val="008A50F6"/>
    <w:rsid w:val="008A5384"/>
    <w:rsid w:val="008A59A0"/>
    <w:rsid w:val="008A5F18"/>
    <w:rsid w:val="008A637B"/>
    <w:rsid w:val="008A6B6D"/>
    <w:rsid w:val="008A71BA"/>
    <w:rsid w:val="008A7226"/>
    <w:rsid w:val="008A73DE"/>
    <w:rsid w:val="008A7D2D"/>
    <w:rsid w:val="008B06D7"/>
    <w:rsid w:val="008B0DAB"/>
    <w:rsid w:val="008B0EC5"/>
    <w:rsid w:val="008B1603"/>
    <w:rsid w:val="008B1901"/>
    <w:rsid w:val="008B1E1E"/>
    <w:rsid w:val="008B21D0"/>
    <w:rsid w:val="008B268B"/>
    <w:rsid w:val="008B288C"/>
    <w:rsid w:val="008B2A4B"/>
    <w:rsid w:val="008B2D21"/>
    <w:rsid w:val="008B2E08"/>
    <w:rsid w:val="008B2F6F"/>
    <w:rsid w:val="008B395D"/>
    <w:rsid w:val="008B39E5"/>
    <w:rsid w:val="008B3C5C"/>
    <w:rsid w:val="008B3F6E"/>
    <w:rsid w:val="008B3FC6"/>
    <w:rsid w:val="008B423E"/>
    <w:rsid w:val="008B4740"/>
    <w:rsid w:val="008B47FC"/>
    <w:rsid w:val="008B497D"/>
    <w:rsid w:val="008B4F4B"/>
    <w:rsid w:val="008B51A1"/>
    <w:rsid w:val="008B53CD"/>
    <w:rsid w:val="008B55E0"/>
    <w:rsid w:val="008B5B6E"/>
    <w:rsid w:val="008B5C58"/>
    <w:rsid w:val="008B5CF5"/>
    <w:rsid w:val="008B5E93"/>
    <w:rsid w:val="008B5F93"/>
    <w:rsid w:val="008B6B0C"/>
    <w:rsid w:val="008B6B2C"/>
    <w:rsid w:val="008B70C6"/>
    <w:rsid w:val="008B72B2"/>
    <w:rsid w:val="008B732F"/>
    <w:rsid w:val="008B7CD3"/>
    <w:rsid w:val="008B7D2A"/>
    <w:rsid w:val="008B7D4D"/>
    <w:rsid w:val="008C001C"/>
    <w:rsid w:val="008C03A9"/>
    <w:rsid w:val="008C043A"/>
    <w:rsid w:val="008C0C01"/>
    <w:rsid w:val="008C0F62"/>
    <w:rsid w:val="008C13C7"/>
    <w:rsid w:val="008C1609"/>
    <w:rsid w:val="008C16C3"/>
    <w:rsid w:val="008C1A35"/>
    <w:rsid w:val="008C1EB6"/>
    <w:rsid w:val="008C21EB"/>
    <w:rsid w:val="008C2548"/>
    <w:rsid w:val="008C2825"/>
    <w:rsid w:val="008C2950"/>
    <w:rsid w:val="008C2B6B"/>
    <w:rsid w:val="008C2D11"/>
    <w:rsid w:val="008C2D47"/>
    <w:rsid w:val="008C2D97"/>
    <w:rsid w:val="008C3094"/>
    <w:rsid w:val="008C3C77"/>
    <w:rsid w:val="008C3E09"/>
    <w:rsid w:val="008C41B0"/>
    <w:rsid w:val="008C430C"/>
    <w:rsid w:val="008C4962"/>
    <w:rsid w:val="008C4C38"/>
    <w:rsid w:val="008C5056"/>
    <w:rsid w:val="008C5590"/>
    <w:rsid w:val="008C57DA"/>
    <w:rsid w:val="008C5DCD"/>
    <w:rsid w:val="008C66FD"/>
    <w:rsid w:val="008C6AF8"/>
    <w:rsid w:val="008C72A8"/>
    <w:rsid w:val="008C76E2"/>
    <w:rsid w:val="008C7790"/>
    <w:rsid w:val="008C77DE"/>
    <w:rsid w:val="008C7829"/>
    <w:rsid w:val="008C7899"/>
    <w:rsid w:val="008C7B5E"/>
    <w:rsid w:val="008C7E0B"/>
    <w:rsid w:val="008D0167"/>
    <w:rsid w:val="008D060F"/>
    <w:rsid w:val="008D06F3"/>
    <w:rsid w:val="008D0C30"/>
    <w:rsid w:val="008D0CCA"/>
    <w:rsid w:val="008D0CCD"/>
    <w:rsid w:val="008D0CEA"/>
    <w:rsid w:val="008D0DCA"/>
    <w:rsid w:val="008D17C4"/>
    <w:rsid w:val="008D1A1F"/>
    <w:rsid w:val="008D1D19"/>
    <w:rsid w:val="008D242B"/>
    <w:rsid w:val="008D2628"/>
    <w:rsid w:val="008D2AC8"/>
    <w:rsid w:val="008D2C33"/>
    <w:rsid w:val="008D2DEC"/>
    <w:rsid w:val="008D2E7E"/>
    <w:rsid w:val="008D3261"/>
    <w:rsid w:val="008D386B"/>
    <w:rsid w:val="008D3B9B"/>
    <w:rsid w:val="008D3FA9"/>
    <w:rsid w:val="008D48C5"/>
    <w:rsid w:val="008D4DF8"/>
    <w:rsid w:val="008D4ED4"/>
    <w:rsid w:val="008D544C"/>
    <w:rsid w:val="008D62B3"/>
    <w:rsid w:val="008D658C"/>
    <w:rsid w:val="008D65A6"/>
    <w:rsid w:val="008D65BA"/>
    <w:rsid w:val="008D68D8"/>
    <w:rsid w:val="008D69D6"/>
    <w:rsid w:val="008D6B48"/>
    <w:rsid w:val="008D6D68"/>
    <w:rsid w:val="008D7CB1"/>
    <w:rsid w:val="008E0315"/>
    <w:rsid w:val="008E03FA"/>
    <w:rsid w:val="008E082D"/>
    <w:rsid w:val="008E099B"/>
    <w:rsid w:val="008E1339"/>
    <w:rsid w:val="008E15F0"/>
    <w:rsid w:val="008E1B1B"/>
    <w:rsid w:val="008E1E11"/>
    <w:rsid w:val="008E1EA2"/>
    <w:rsid w:val="008E2085"/>
    <w:rsid w:val="008E2139"/>
    <w:rsid w:val="008E2233"/>
    <w:rsid w:val="008E2304"/>
    <w:rsid w:val="008E25C1"/>
    <w:rsid w:val="008E2A27"/>
    <w:rsid w:val="008E32CB"/>
    <w:rsid w:val="008E3440"/>
    <w:rsid w:val="008E393C"/>
    <w:rsid w:val="008E41B0"/>
    <w:rsid w:val="008E4532"/>
    <w:rsid w:val="008E4593"/>
    <w:rsid w:val="008E45CA"/>
    <w:rsid w:val="008E474C"/>
    <w:rsid w:val="008E4F77"/>
    <w:rsid w:val="008E509E"/>
    <w:rsid w:val="008E50B6"/>
    <w:rsid w:val="008E523D"/>
    <w:rsid w:val="008E535D"/>
    <w:rsid w:val="008E54D5"/>
    <w:rsid w:val="008E563B"/>
    <w:rsid w:val="008E571F"/>
    <w:rsid w:val="008E5A83"/>
    <w:rsid w:val="008E5BBF"/>
    <w:rsid w:val="008E5D6E"/>
    <w:rsid w:val="008E5DE7"/>
    <w:rsid w:val="008E6361"/>
    <w:rsid w:val="008E65EF"/>
    <w:rsid w:val="008E6F39"/>
    <w:rsid w:val="008E6FEB"/>
    <w:rsid w:val="008E6FF7"/>
    <w:rsid w:val="008E71A1"/>
    <w:rsid w:val="008E737C"/>
    <w:rsid w:val="008E73F2"/>
    <w:rsid w:val="008E754A"/>
    <w:rsid w:val="008E7C43"/>
    <w:rsid w:val="008E7D40"/>
    <w:rsid w:val="008F02F7"/>
    <w:rsid w:val="008F0454"/>
    <w:rsid w:val="008F0CF7"/>
    <w:rsid w:val="008F0EDE"/>
    <w:rsid w:val="008F12FE"/>
    <w:rsid w:val="008F16C2"/>
    <w:rsid w:val="008F1A39"/>
    <w:rsid w:val="008F1AE6"/>
    <w:rsid w:val="008F1AEB"/>
    <w:rsid w:val="008F1B1C"/>
    <w:rsid w:val="008F2458"/>
    <w:rsid w:val="008F2AF2"/>
    <w:rsid w:val="008F2E9E"/>
    <w:rsid w:val="008F2EC6"/>
    <w:rsid w:val="008F30C1"/>
    <w:rsid w:val="008F3636"/>
    <w:rsid w:val="008F3887"/>
    <w:rsid w:val="008F395F"/>
    <w:rsid w:val="008F39F2"/>
    <w:rsid w:val="008F3C4F"/>
    <w:rsid w:val="008F3D00"/>
    <w:rsid w:val="008F3FE0"/>
    <w:rsid w:val="008F40BD"/>
    <w:rsid w:val="008F4389"/>
    <w:rsid w:val="008F45F1"/>
    <w:rsid w:val="008F4B21"/>
    <w:rsid w:val="008F4DC0"/>
    <w:rsid w:val="008F4EA4"/>
    <w:rsid w:val="008F4EE4"/>
    <w:rsid w:val="008F546C"/>
    <w:rsid w:val="008F5704"/>
    <w:rsid w:val="008F576A"/>
    <w:rsid w:val="008F57AD"/>
    <w:rsid w:val="008F58C5"/>
    <w:rsid w:val="008F5AA8"/>
    <w:rsid w:val="008F5B04"/>
    <w:rsid w:val="008F5D29"/>
    <w:rsid w:val="008F62F3"/>
    <w:rsid w:val="008F64EF"/>
    <w:rsid w:val="008F6776"/>
    <w:rsid w:val="008F69A4"/>
    <w:rsid w:val="008F69CF"/>
    <w:rsid w:val="008F7253"/>
    <w:rsid w:val="008F75BE"/>
    <w:rsid w:val="008F76E8"/>
    <w:rsid w:val="008F7C0E"/>
    <w:rsid w:val="008F7C65"/>
    <w:rsid w:val="008F7C76"/>
    <w:rsid w:val="00900505"/>
    <w:rsid w:val="009005AC"/>
    <w:rsid w:val="00900F7E"/>
    <w:rsid w:val="009010EE"/>
    <w:rsid w:val="009011E1"/>
    <w:rsid w:val="00902318"/>
    <w:rsid w:val="00902524"/>
    <w:rsid w:val="0090290A"/>
    <w:rsid w:val="0090290D"/>
    <w:rsid w:val="009029E7"/>
    <w:rsid w:val="00903101"/>
    <w:rsid w:val="00903383"/>
    <w:rsid w:val="009033C8"/>
    <w:rsid w:val="00903414"/>
    <w:rsid w:val="009039C2"/>
    <w:rsid w:val="009039C3"/>
    <w:rsid w:val="00903B2E"/>
    <w:rsid w:val="00904063"/>
    <w:rsid w:val="009040E0"/>
    <w:rsid w:val="009045FA"/>
    <w:rsid w:val="00904610"/>
    <w:rsid w:val="00904848"/>
    <w:rsid w:val="009049A2"/>
    <w:rsid w:val="00904B8C"/>
    <w:rsid w:val="00904BA3"/>
    <w:rsid w:val="00904BAF"/>
    <w:rsid w:val="00905182"/>
    <w:rsid w:val="009053F2"/>
    <w:rsid w:val="00905B3E"/>
    <w:rsid w:val="00905DED"/>
    <w:rsid w:val="00905EC4"/>
    <w:rsid w:val="00905FFE"/>
    <w:rsid w:val="00906708"/>
    <w:rsid w:val="00906A9D"/>
    <w:rsid w:val="00906CD7"/>
    <w:rsid w:val="00907222"/>
    <w:rsid w:val="00907934"/>
    <w:rsid w:val="009079DD"/>
    <w:rsid w:val="00907C24"/>
    <w:rsid w:val="00907F68"/>
    <w:rsid w:val="00907FC9"/>
    <w:rsid w:val="00907FFC"/>
    <w:rsid w:val="0091002E"/>
    <w:rsid w:val="00910252"/>
    <w:rsid w:val="009108C9"/>
    <w:rsid w:val="00911187"/>
    <w:rsid w:val="009111A2"/>
    <w:rsid w:val="009112D6"/>
    <w:rsid w:val="00912108"/>
    <w:rsid w:val="009124D2"/>
    <w:rsid w:val="0091250C"/>
    <w:rsid w:val="009126C7"/>
    <w:rsid w:val="00912B19"/>
    <w:rsid w:val="00912FFB"/>
    <w:rsid w:val="00913261"/>
    <w:rsid w:val="009134C0"/>
    <w:rsid w:val="0091380A"/>
    <w:rsid w:val="00913C5B"/>
    <w:rsid w:val="00913D7F"/>
    <w:rsid w:val="0091418D"/>
    <w:rsid w:val="0091422E"/>
    <w:rsid w:val="00914673"/>
    <w:rsid w:val="009146CB"/>
    <w:rsid w:val="00914D8B"/>
    <w:rsid w:val="00914DE4"/>
    <w:rsid w:val="0091536C"/>
    <w:rsid w:val="00915546"/>
    <w:rsid w:val="00915E96"/>
    <w:rsid w:val="00916133"/>
    <w:rsid w:val="0091643E"/>
    <w:rsid w:val="00916892"/>
    <w:rsid w:val="00916C1B"/>
    <w:rsid w:val="00916E8F"/>
    <w:rsid w:val="0091727D"/>
    <w:rsid w:val="00917609"/>
    <w:rsid w:val="0091771D"/>
    <w:rsid w:val="00917794"/>
    <w:rsid w:val="00917AC1"/>
    <w:rsid w:val="00917C57"/>
    <w:rsid w:val="00917D7F"/>
    <w:rsid w:val="00917D8C"/>
    <w:rsid w:val="009202C7"/>
    <w:rsid w:val="0092032D"/>
    <w:rsid w:val="009205E3"/>
    <w:rsid w:val="00920814"/>
    <w:rsid w:val="00920B72"/>
    <w:rsid w:val="00920C99"/>
    <w:rsid w:val="00920DD8"/>
    <w:rsid w:val="00921356"/>
    <w:rsid w:val="0092147F"/>
    <w:rsid w:val="009214E1"/>
    <w:rsid w:val="009216C7"/>
    <w:rsid w:val="00921748"/>
    <w:rsid w:val="00921760"/>
    <w:rsid w:val="00921791"/>
    <w:rsid w:val="00921948"/>
    <w:rsid w:val="00921D5E"/>
    <w:rsid w:val="00921EC8"/>
    <w:rsid w:val="00922337"/>
    <w:rsid w:val="00922436"/>
    <w:rsid w:val="00922BBF"/>
    <w:rsid w:val="00922BDD"/>
    <w:rsid w:val="00922C5C"/>
    <w:rsid w:val="00922F1C"/>
    <w:rsid w:val="00922F8A"/>
    <w:rsid w:val="00923194"/>
    <w:rsid w:val="00923313"/>
    <w:rsid w:val="00923419"/>
    <w:rsid w:val="00923764"/>
    <w:rsid w:val="00923792"/>
    <w:rsid w:val="00923A25"/>
    <w:rsid w:val="00923C5D"/>
    <w:rsid w:val="00923E1D"/>
    <w:rsid w:val="00924872"/>
    <w:rsid w:val="009249CB"/>
    <w:rsid w:val="00924A5A"/>
    <w:rsid w:val="00924B91"/>
    <w:rsid w:val="009250ED"/>
    <w:rsid w:val="00925111"/>
    <w:rsid w:val="00925357"/>
    <w:rsid w:val="00925709"/>
    <w:rsid w:val="00925BE3"/>
    <w:rsid w:val="00925CFF"/>
    <w:rsid w:val="00926700"/>
    <w:rsid w:val="00926798"/>
    <w:rsid w:val="009268F8"/>
    <w:rsid w:val="00927148"/>
    <w:rsid w:val="009272DD"/>
    <w:rsid w:val="00927AF6"/>
    <w:rsid w:val="00927C33"/>
    <w:rsid w:val="00927F2E"/>
    <w:rsid w:val="00927F7F"/>
    <w:rsid w:val="0093020F"/>
    <w:rsid w:val="009308CC"/>
    <w:rsid w:val="00930C8D"/>
    <w:rsid w:val="00930DDE"/>
    <w:rsid w:val="00930EA3"/>
    <w:rsid w:val="00930EC3"/>
    <w:rsid w:val="00931128"/>
    <w:rsid w:val="00931416"/>
    <w:rsid w:val="009316AF"/>
    <w:rsid w:val="0093172D"/>
    <w:rsid w:val="00931800"/>
    <w:rsid w:val="00931A27"/>
    <w:rsid w:val="00931F0E"/>
    <w:rsid w:val="009324AC"/>
    <w:rsid w:val="0093277B"/>
    <w:rsid w:val="00932B68"/>
    <w:rsid w:val="00932BEE"/>
    <w:rsid w:val="00932CB6"/>
    <w:rsid w:val="00932DE0"/>
    <w:rsid w:val="009330B9"/>
    <w:rsid w:val="009331C7"/>
    <w:rsid w:val="0093330D"/>
    <w:rsid w:val="00933AA8"/>
    <w:rsid w:val="00933B31"/>
    <w:rsid w:val="00933C89"/>
    <w:rsid w:val="00933D41"/>
    <w:rsid w:val="00933EF9"/>
    <w:rsid w:val="0093420A"/>
    <w:rsid w:val="009342BD"/>
    <w:rsid w:val="00934531"/>
    <w:rsid w:val="00934596"/>
    <w:rsid w:val="009347DF"/>
    <w:rsid w:val="00934831"/>
    <w:rsid w:val="00934C5F"/>
    <w:rsid w:val="00934CA8"/>
    <w:rsid w:val="00934DE9"/>
    <w:rsid w:val="00935012"/>
    <w:rsid w:val="0093553D"/>
    <w:rsid w:val="00935B3D"/>
    <w:rsid w:val="00936419"/>
    <w:rsid w:val="0093689C"/>
    <w:rsid w:val="00936A8A"/>
    <w:rsid w:val="00936BA7"/>
    <w:rsid w:val="00936C46"/>
    <w:rsid w:val="00936D29"/>
    <w:rsid w:val="00936F91"/>
    <w:rsid w:val="00937196"/>
    <w:rsid w:val="009372EE"/>
    <w:rsid w:val="00937BA3"/>
    <w:rsid w:val="00937C19"/>
    <w:rsid w:val="00937D25"/>
    <w:rsid w:val="00937FE4"/>
    <w:rsid w:val="00940621"/>
    <w:rsid w:val="00940A5A"/>
    <w:rsid w:val="00940DED"/>
    <w:rsid w:val="0094126A"/>
    <w:rsid w:val="009412CA"/>
    <w:rsid w:val="00941609"/>
    <w:rsid w:val="00941830"/>
    <w:rsid w:val="0094197B"/>
    <w:rsid w:val="00941AD0"/>
    <w:rsid w:val="00941BA6"/>
    <w:rsid w:val="00941C99"/>
    <w:rsid w:val="00941CDC"/>
    <w:rsid w:val="00941E31"/>
    <w:rsid w:val="00941E51"/>
    <w:rsid w:val="00941F89"/>
    <w:rsid w:val="0094236E"/>
    <w:rsid w:val="00942934"/>
    <w:rsid w:val="00942C82"/>
    <w:rsid w:val="0094339C"/>
    <w:rsid w:val="00943B9C"/>
    <w:rsid w:val="00943FB7"/>
    <w:rsid w:val="0094410D"/>
    <w:rsid w:val="0094480E"/>
    <w:rsid w:val="0094480F"/>
    <w:rsid w:val="00944C73"/>
    <w:rsid w:val="00944D4D"/>
    <w:rsid w:val="00944F72"/>
    <w:rsid w:val="00944FA7"/>
    <w:rsid w:val="009450DE"/>
    <w:rsid w:val="0094514A"/>
    <w:rsid w:val="00945351"/>
    <w:rsid w:val="00945797"/>
    <w:rsid w:val="00945D38"/>
    <w:rsid w:val="00945DC7"/>
    <w:rsid w:val="00946254"/>
    <w:rsid w:val="00946815"/>
    <w:rsid w:val="00946E43"/>
    <w:rsid w:val="00946EC3"/>
    <w:rsid w:val="00947129"/>
    <w:rsid w:val="009472C3"/>
    <w:rsid w:val="00947331"/>
    <w:rsid w:val="009476DC"/>
    <w:rsid w:val="009477EB"/>
    <w:rsid w:val="009478CD"/>
    <w:rsid w:val="00947927"/>
    <w:rsid w:val="00947CC0"/>
    <w:rsid w:val="00947ECE"/>
    <w:rsid w:val="00947FBE"/>
    <w:rsid w:val="0095025A"/>
    <w:rsid w:val="0095044B"/>
    <w:rsid w:val="009504E4"/>
    <w:rsid w:val="009509B2"/>
    <w:rsid w:val="00950BBA"/>
    <w:rsid w:val="00950D86"/>
    <w:rsid w:val="009510BE"/>
    <w:rsid w:val="009514B0"/>
    <w:rsid w:val="009516C4"/>
    <w:rsid w:val="00951849"/>
    <w:rsid w:val="00951AFD"/>
    <w:rsid w:val="00951BA5"/>
    <w:rsid w:val="00951BF9"/>
    <w:rsid w:val="00951D70"/>
    <w:rsid w:val="00951DC7"/>
    <w:rsid w:val="0095219C"/>
    <w:rsid w:val="009528ED"/>
    <w:rsid w:val="00952B2D"/>
    <w:rsid w:val="00952EE4"/>
    <w:rsid w:val="00952F0B"/>
    <w:rsid w:val="009533D8"/>
    <w:rsid w:val="009534DA"/>
    <w:rsid w:val="0095363A"/>
    <w:rsid w:val="00953728"/>
    <w:rsid w:val="009539E9"/>
    <w:rsid w:val="00953F14"/>
    <w:rsid w:val="00954B69"/>
    <w:rsid w:val="009550D4"/>
    <w:rsid w:val="00955BDE"/>
    <w:rsid w:val="00955CE2"/>
    <w:rsid w:val="00955D83"/>
    <w:rsid w:val="00955E2B"/>
    <w:rsid w:val="00955E52"/>
    <w:rsid w:val="00956620"/>
    <w:rsid w:val="00956816"/>
    <w:rsid w:val="00956FEB"/>
    <w:rsid w:val="00957178"/>
    <w:rsid w:val="00957464"/>
    <w:rsid w:val="00957604"/>
    <w:rsid w:val="00957698"/>
    <w:rsid w:val="00957948"/>
    <w:rsid w:val="00957E40"/>
    <w:rsid w:val="00960136"/>
    <w:rsid w:val="009601CE"/>
    <w:rsid w:val="009603D1"/>
    <w:rsid w:val="0096073B"/>
    <w:rsid w:val="00960FFA"/>
    <w:rsid w:val="00961590"/>
    <w:rsid w:val="009616E5"/>
    <w:rsid w:val="009616EE"/>
    <w:rsid w:val="00961E5B"/>
    <w:rsid w:val="009621D7"/>
    <w:rsid w:val="009624FD"/>
    <w:rsid w:val="00962A77"/>
    <w:rsid w:val="00962C97"/>
    <w:rsid w:val="00962D9E"/>
    <w:rsid w:val="00962F11"/>
    <w:rsid w:val="00963613"/>
    <w:rsid w:val="00963DF7"/>
    <w:rsid w:val="00963E79"/>
    <w:rsid w:val="00963F2D"/>
    <w:rsid w:val="009640C9"/>
    <w:rsid w:val="009640F8"/>
    <w:rsid w:val="0096446E"/>
    <w:rsid w:val="009645B1"/>
    <w:rsid w:val="00964BA8"/>
    <w:rsid w:val="00964CC0"/>
    <w:rsid w:val="00964CE5"/>
    <w:rsid w:val="00964FDE"/>
    <w:rsid w:val="00965432"/>
    <w:rsid w:val="00965EEA"/>
    <w:rsid w:val="00965F74"/>
    <w:rsid w:val="009665ED"/>
    <w:rsid w:val="00966D8C"/>
    <w:rsid w:val="00966E35"/>
    <w:rsid w:val="009670DC"/>
    <w:rsid w:val="00967510"/>
    <w:rsid w:val="0096764B"/>
    <w:rsid w:val="00967D8E"/>
    <w:rsid w:val="00967FB6"/>
    <w:rsid w:val="0097073C"/>
    <w:rsid w:val="00970789"/>
    <w:rsid w:val="00970C5A"/>
    <w:rsid w:val="0097104F"/>
    <w:rsid w:val="0097119A"/>
    <w:rsid w:val="00971314"/>
    <w:rsid w:val="009715DA"/>
    <w:rsid w:val="0097170D"/>
    <w:rsid w:val="0097182F"/>
    <w:rsid w:val="009719FB"/>
    <w:rsid w:val="00971CF5"/>
    <w:rsid w:val="00971F36"/>
    <w:rsid w:val="00972298"/>
    <w:rsid w:val="009723D0"/>
    <w:rsid w:val="00972442"/>
    <w:rsid w:val="00972537"/>
    <w:rsid w:val="00972839"/>
    <w:rsid w:val="00972AE5"/>
    <w:rsid w:val="00972D70"/>
    <w:rsid w:val="00972F15"/>
    <w:rsid w:val="00973275"/>
    <w:rsid w:val="00973C2B"/>
    <w:rsid w:val="00973CD8"/>
    <w:rsid w:val="00973E2A"/>
    <w:rsid w:val="009741C8"/>
    <w:rsid w:val="00974694"/>
    <w:rsid w:val="0097469F"/>
    <w:rsid w:val="009750FE"/>
    <w:rsid w:val="009753B1"/>
    <w:rsid w:val="009755FF"/>
    <w:rsid w:val="00975A59"/>
    <w:rsid w:val="00975ACB"/>
    <w:rsid w:val="00975D94"/>
    <w:rsid w:val="00975EEF"/>
    <w:rsid w:val="009761B6"/>
    <w:rsid w:val="009762FC"/>
    <w:rsid w:val="00976534"/>
    <w:rsid w:val="00976694"/>
    <w:rsid w:val="00976F9B"/>
    <w:rsid w:val="009771F7"/>
    <w:rsid w:val="0097724A"/>
    <w:rsid w:val="009772BD"/>
    <w:rsid w:val="009778E8"/>
    <w:rsid w:val="00977A04"/>
    <w:rsid w:val="00977B99"/>
    <w:rsid w:val="00977DFE"/>
    <w:rsid w:val="009802FF"/>
    <w:rsid w:val="00980418"/>
    <w:rsid w:val="0098056A"/>
    <w:rsid w:val="0098096F"/>
    <w:rsid w:val="00981555"/>
    <w:rsid w:val="00981771"/>
    <w:rsid w:val="00981989"/>
    <w:rsid w:val="00981998"/>
    <w:rsid w:val="00981A75"/>
    <w:rsid w:val="00981E57"/>
    <w:rsid w:val="00981F4B"/>
    <w:rsid w:val="00982009"/>
    <w:rsid w:val="00982089"/>
    <w:rsid w:val="0098210F"/>
    <w:rsid w:val="00982540"/>
    <w:rsid w:val="009825B5"/>
    <w:rsid w:val="0098288F"/>
    <w:rsid w:val="00982958"/>
    <w:rsid w:val="00982B20"/>
    <w:rsid w:val="00982C50"/>
    <w:rsid w:val="0098343C"/>
    <w:rsid w:val="009838AE"/>
    <w:rsid w:val="00983A3C"/>
    <w:rsid w:val="00983EA2"/>
    <w:rsid w:val="0098416B"/>
    <w:rsid w:val="009841FB"/>
    <w:rsid w:val="00984269"/>
    <w:rsid w:val="0098440A"/>
    <w:rsid w:val="00984624"/>
    <w:rsid w:val="009853E9"/>
    <w:rsid w:val="00985510"/>
    <w:rsid w:val="00985817"/>
    <w:rsid w:val="009859C9"/>
    <w:rsid w:val="00985A6C"/>
    <w:rsid w:val="00985D76"/>
    <w:rsid w:val="00985FEB"/>
    <w:rsid w:val="009862C4"/>
    <w:rsid w:val="00986374"/>
    <w:rsid w:val="009863A9"/>
    <w:rsid w:val="009863CD"/>
    <w:rsid w:val="0098654C"/>
    <w:rsid w:val="0098688D"/>
    <w:rsid w:val="00986BF4"/>
    <w:rsid w:val="00986FDA"/>
    <w:rsid w:val="00987071"/>
    <w:rsid w:val="009872C5"/>
    <w:rsid w:val="0098732F"/>
    <w:rsid w:val="00987854"/>
    <w:rsid w:val="009879C4"/>
    <w:rsid w:val="00990236"/>
    <w:rsid w:val="009905E8"/>
    <w:rsid w:val="009906B7"/>
    <w:rsid w:val="0099073E"/>
    <w:rsid w:val="0099085E"/>
    <w:rsid w:val="009908E2"/>
    <w:rsid w:val="009909DF"/>
    <w:rsid w:val="00990A9B"/>
    <w:rsid w:val="00990CA3"/>
    <w:rsid w:val="00990CC1"/>
    <w:rsid w:val="00990D78"/>
    <w:rsid w:val="00990E91"/>
    <w:rsid w:val="00990F3B"/>
    <w:rsid w:val="0099166B"/>
    <w:rsid w:val="00991A0B"/>
    <w:rsid w:val="00991A91"/>
    <w:rsid w:val="00991BBF"/>
    <w:rsid w:val="00991DB0"/>
    <w:rsid w:val="00992376"/>
    <w:rsid w:val="009928CE"/>
    <w:rsid w:val="00992A0D"/>
    <w:rsid w:val="00992D64"/>
    <w:rsid w:val="00992FC9"/>
    <w:rsid w:val="00993318"/>
    <w:rsid w:val="009935C1"/>
    <w:rsid w:val="00993605"/>
    <w:rsid w:val="009937E7"/>
    <w:rsid w:val="00993BDC"/>
    <w:rsid w:val="00993BE0"/>
    <w:rsid w:val="00993CCD"/>
    <w:rsid w:val="009943F0"/>
    <w:rsid w:val="009943F9"/>
    <w:rsid w:val="00994748"/>
    <w:rsid w:val="009953DB"/>
    <w:rsid w:val="009955EF"/>
    <w:rsid w:val="0099569C"/>
    <w:rsid w:val="00995758"/>
    <w:rsid w:val="00995994"/>
    <w:rsid w:val="00995BED"/>
    <w:rsid w:val="00996195"/>
    <w:rsid w:val="0099632F"/>
    <w:rsid w:val="00996550"/>
    <w:rsid w:val="00996591"/>
    <w:rsid w:val="0099685B"/>
    <w:rsid w:val="00996C26"/>
    <w:rsid w:val="00996CCD"/>
    <w:rsid w:val="00996D96"/>
    <w:rsid w:val="00996E9C"/>
    <w:rsid w:val="00996F1F"/>
    <w:rsid w:val="0099722A"/>
    <w:rsid w:val="009974F6"/>
    <w:rsid w:val="009976BD"/>
    <w:rsid w:val="00997956"/>
    <w:rsid w:val="00997BCD"/>
    <w:rsid w:val="00997E46"/>
    <w:rsid w:val="009A01E4"/>
    <w:rsid w:val="009A0261"/>
    <w:rsid w:val="009A053E"/>
    <w:rsid w:val="009A057F"/>
    <w:rsid w:val="009A06A0"/>
    <w:rsid w:val="009A0732"/>
    <w:rsid w:val="009A078E"/>
    <w:rsid w:val="009A07BB"/>
    <w:rsid w:val="009A0A54"/>
    <w:rsid w:val="009A0FAD"/>
    <w:rsid w:val="009A1012"/>
    <w:rsid w:val="009A1057"/>
    <w:rsid w:val="009A1183"/>
    <w:rsid w:val="009A14A6"/>
    <w:rsid w:val="009A15CE"/>
    <w:rsid w:val="009A1B44"/>
    <w:rsid w:val="009A1BF5"/>
    <w:rsid w:val="009A2D74"/>
    <w:rsid w:val="009A2FD6"/>
    <w:rsid w:val="009A33B0"/>
    <w:rsid w:val="009A3693"/>
    <w:rsid w:val="009A393A"/>
    <w:rsid w:val="009A3A02"/>
    <w:rsid w:val="009A3E84"/>
    <w:rsid w:val="009A3EF2"/>
    <w:rsid w:val="009A3F9E"/>
    <w:rsid w:val="009A4058"/>
    <w:rsid w:val="009A4259"/>
    <w:rsid w:val="009A482A"/>
    <w:rsid w:val="009A4A10"/>
    <w:rsid w:val="009A4A26"/>
    <w:rsid w:val="009A4E9C"/>
    <w:rsid w:val="009A50E3"/>
    <w:rsid w:val="009A510F"/>
    <w:rsid w:val="009A5203"/>
    <w:rsid w:val="009A540A"/>
    <w:rsid w:val="009A55A1"/>
    <w:rsid w:val="009A5720"/>
    <w:rsid w:val="009A5D27"/>
    <w:rsid w:val="009A604D"/>
    <w:rsid w:val="009A610A"/>
    <w:rsid w:val="009A62E7"/>
    <w:rsid w:val="009A6439"/>
    <w:rsid w:val="009A6453"/>
    <w:rsid w:val="009A648B"/>
    <w:rsid w:val="009A64DB"/>
    <w:rsid w:val="009A65F8"/>
    <w:rsid w:val="009A68EA"/>
    <w:rsid w:val="009A6A39"/>
    <w:rsid w:val="009A7158"/>
    <w:rsid w:val="009A7198"/>
    <w:rsid w:val="009A7678"/>
    <w:rsid w:val="009A77F5"/>
    <w:rsid w:val="009A78BD"/>
    <w:rsid w:val="009A7CEF"/>
    <w:rsid w:val="009A7D0B"/>
    <w:rsid w:val="009A7FA9"/>
    <w:rsid w:val="009B03E7"/>
    <w:rsid w:val="009B0531"/>
    <w:rsid w:val="009B0569"/>
    <w:rsid w:val="009B0823"/>
    <w:rsid w:val="009B085E"/>
    <w:rsid w:val="009B0ADB"/>
    <w:rsid w:val="009B0BBA"/>
    <w:rsid w:val="009B0DC9"/>
    <w:rsid w:val="009B15C6"/>
    <w:rsid w:val="009B162A"/>
    <w:rsid w:val="009B16B6"/>
    <w:rsid w:val="009B174C"/>
    <w:rsid w:val="009B19BA"/>
    <w:rsid w:val="009B24C4"/>
    <w:rsid w:val="009B2817"/>
    <w:rsid w:val="009B296B"/>
    <w:rsid w:val="009B2C59"/>
    <w:rsid w:val="009B331F"/>
    <w:rsid w:val="009B3632"/>
    <w:rsid w:val="009B3828"/>
    <w:rsid w:val="009B3890"/>
    <w:rsid w:val="009B3B71"/>
    <w:rsid w:val="009B42DF"/>
    <w:rsid w:val="009B449F"/>
    <w:rsid w:val="009B4597"/>
    <w:rsid w:val="009B4C68"/>
    <w:rsid w:val="009B500A"/>
    <w:rsid w:val="009B5165"/>
    <w:rsid w:val="009B51B3"/>
    <w:rsid w:val="009B51E8"/>
    <w:rsid w:val="009B5406"/>
    <w:rsid w:val="009B5707"/>
    <w:rsid w:val="009B5A15"/>
    <w:rsid w:val="009B5C82"/>
    <w:rsid w:val="009B5CC8"/>
    <w:rsid w:val="009B5D31"/>
    <w:rsid w:val="009B5DC9"/>
    <w:rsid w:val="009B634F"/>
    <w:rsid w:val="009B63EA"/>
    <w:rsid w:val="009B6434"/>
    <w:rsid w:val="009B679C"/>
    <w:rsid w:val="009B67D2"/>
    <w:rsid w:val="009B6985"/>
    <w:rsid w:val="009B69FC"/>
    <w:rsid w:val="009B6E97"/>
    <w:rsid w:val="009B6F7B"/>
    <w:rsid w:val="009B70E7"/>
    <w:rsid w:val="009B74CA"/>
    <w:rsid w:val="009B7727"/>
    <w:rsid w:val="009B7E78"/>
    <w:rsid w:val="009B7E9C"/>
    <w:rsid w:val="009C0372"/>
    <w:rsid w:val="009C0947"/>
    <w:rsid w:val="009C0A3F"/>
    <w:rsid w:val="009C1621"/>
    <w:rsid w:val="009C18A8"/>
    <w:rsid w:val="009C1A05"/>
    <w:rsid w:val="009C1B03"/>
    <w:rsid w:val="009C1BF4"/>
    <w:rsid w:val="009C1FB9"/>
    <w:rsid w:val="009C26B9"/>
    <w:rsid w:val="009C2706"/>
    <w:rsid w:val="009C27A4"/>
    <w:rsid w:val="009C293A"/>
    <w:rsid w:val="009C2A2C"/>
    <w:rsid w:val="009C2AB7"/>
    <w:rsid w:val="009C2E47"/>
    <w:rsid w:val="009C2E81"/>
    <w:rsid w:val="009C2F4B"/>
    <w:rsid w:val="009C3347"/>
    <w:rsid w:val="009C3682"/>
    <w:rsid w:val="009C370B"/>
    <w:rsid w:val="009C3877"/>
    <w:rsid w:val="009C390C"/>
    <w:rsid w:val="009C3C59"/>
    <w:rsid w:val="009C3D34"/>
    <w:rsid w:val="009C3DBA"/>
    <w:rsid w:val="009C3E95"/>
    <w:rsid w:val="009C44F5"/>
    <w:rsid w:val="009C454E"/>
    <w:rsid w:val="009C45CB"/>
    <w:rsid w:val="009C4603"/>
    <w:rsid w:val="009C47C1"/>
    <w:rsid w:val="009C4A24"/>
    <w:rsid w:val="009C4D67"/>
    <w:rsid w:val="009C532D"/>
    <w:rsid w:val="009C55ED"/>
    <w:rsid w:val="009C567C"/>
    <w:rsid w:val="009C57E5"/>
    <w:rsid w:val="009C60DF"/>
    <w:rsid w:val="009C63A8"/>
    <w:rsid w:val="009C6445"/>
    <w:rsid w:val="009C6688"/>
    <w:rsid w:val="009C6759"/>
    <w:rsid w:val="009C6DE0"/>
    <w:rsid w:val="009C6F61"/>
    <w:rsid w:val="009C70A8"/>
    <w:rsid w:val="009C718E"/>
    <w:rsid w:val="009C7339"/>
    <w:rsid w:val="009C76C7"/>
    <w:rsid w:val="009C76E8"/>
    <w:rsid w:val="009C7FB4"/>
    <w:rsid w:val="009D0001"/>
    <w:rsid w:val="009D0AD5"/>
    <w:rsid w:val="009D0B95"/>
    <w:rsid w:val="009D0D70"/>
    <w:rsid w:val="009D0E4C"/>
    <w:rsid w:val="009D0E9D"/>
    <w:rsid w:val="009D0F0D"/>
    <w:rsid w:val="009D1656"/>
    <w:rsid w:val="009D1981"/>
    <w:rsid w:val="009D19EC"/>
    <w:rsid w:val="009D19F1"/>
    <w:rsid w:val="009D1A5A"/>
    <w:rsid w:val="009D1BDE"/>
    <w:rsid w:val="009D1DF5"/>
    <w:rsid w:val="009D1E99"/>
    <w:rsid w:val="009D1FA1"/>
    <w:rsid w:val="009D2D40"/>
    <w:rsid w:val="009D310E"/>
    <w:rsid w:val="009D32BE"/>
    <w:rsid w:val="009D38AD"/>
    <w:rsid w:val="009D3F51"/>
    <w:rsid w:val="009D3FC5"/>
    <w:rsid w:val="009D4121"/>
    <w:rsid w:val="009D4264"/>
    <w:rsid w:val="009D4267"/>
    <w:rsid w:val="009D4324"/>
    <w:rsid w:val="009D4330"/>
    <w:rsid w:val="009D450F"/>
    <w:rsid w:val="009D4BF9"/>
    <w:rsid w:val="009D4C04"/>
    <w:rsid w:val="009D4DF6"/>
    <w:rsid w:val="009D539C"/>
    <w:rsid w:val="009D573B"/>
    <w:rsid w:val="009D5F06"/>
    <w:rsid w:val="009D600E"/>
    <w:rsid w:val="009D625E"/>
    <w:rsid w:val="009D66C5"/>
    <w:rsid w:val="009D68F1"/>
    <w:rsid w:val="009D69D1"/>
    <w:rsid w:val="009D6E05"/>
    <w:rsid w:val="009D7625"/>
    <w:rsid w:val="009D7B3E"/>
    <w:rsid w:val="009D7EB8"/>
    <w:rsid w:val="009E032D"/>
    <w:rsid w:val="009E0395"/>
    <w:rsid w:val="009E0571"/>
    <w:rsid w:val="009E0640"/>
    <w:rsid w:val="009E09C1"/>
    <w:rsid w:val="009E0FBA"/>
    <w:rsid w:val="009E117A"/>
    <w:rsid w:val="009E139C"/>
    <w:rsid w:val="009E15C8"/>
    <w:rsid w:val="009E16D5"/>
    <w:rsid w:val="009E1869"/>
    <w:rsid w:val="009E197D"/>
    <w:rsid w:val="009E1B5E"/>
    <w:rsid w:val="009E1EC6"/>
    <w:rsid w:val="009E1F3B"/>
    <w:rsid w:val="009E2547"/>
    <w:rsid w:val="009E25D9"/>
    <w:rsid w:val="009E2821"/>
    <w:rsid w:val="009E2B32"/>
    <w:rsid w:val="009E2CB8"/>
    <w:rsid w:val="009E302E"/>
    <w:rsid w:val="009E3DDD"/>
    <w:rsid w:val="009E49A0"/>
    <w:rsid w:val="009E4C39"/>
    <w:rsid w:val="009E4C3C"/>
    <w:rsid w:val="009E4DDC"/>
    <w:rsid w:val="009E4DE8"/>
    <w:rsid w:val="009E4EED"/>
    <w:rsid w:val="009E4F03"/>
    <w:rsid w:val="009E518D"/>
    <w:rsid w:val="009E51C0"/>
    <w:rsid w:val="009E5414"/>
    <w:rsid w:val="009E5436"/>
    <w:rsid w:val="009E55AF"/>
    <w:rsid w:val="009E57D5"/>
    <w:rsid w:val="009E5A5F"/>
    <w:rsid w:val="009E5B05"/>
    <w:rsid w:val="009E5C30"/>
    <w:rsid w:val="009E62C9"/>
    <w:rsid w:val="009E6597"/>
    <w:rsid w:val="009E6698"/>
    <w:rsid w:val="009E67CE"/>
    <w:rsid w:val="009E6DAB"/>
    <w:rsid w:val="009E6F31"/>
    <w:rsid w:val="009E6FBE"/>
    <w:rsid w:val="009E7253"/>
    <w:rsid w:val="009E725D"/>
    <w:rsid w:val="009E7308"/>
    <w:rsid w:val="009E757B"/>
    <w:rsid w:val="009E77BB"/>
    <w:rsid w:val="009E7860"/>
    <w:rsid w:val="009E78D2"/>
    <w:rsid w:val="009E7BB9"/>
    <w:rsid w:val="009E7D88"/>
    <w:rsid w:val="009F0537"/>
    <w:rsid w:val="009F064E"/>
    <w:rsid w:val="009F065E"/>
    <w:rsid w:val="009F0A3C"/>
    <w:rsid w:val="009F0C0D"/>
    <w:rsid w:val="009F0E60"/>
    <w:rsid w:val="009F1186"/>
    <w:rsid w:val="009F12A2"/>
    <w:rsid w:val="009F12A8"/>
    <w:rsid w:val="009F1359"/>
    <w:rsid w:val="009F1911"/>
    <w:rsid w:val="009F1D60"/>
    <w:rsid w:val="009F2168"/>
    <w:rsid w:val="009F2C73"/>
    <w:rsid w:val="009F2CC9"/>
    <w:rsid w:val="009F3319"/>
    <w:rsid w:val="009F365A"/>
    <w:rsid w:val="009F3828"/>
    <w:rsid w:val="009F3E30"/>
    <w:rsid w:val="009F442F"/>
    <w:rsid w:val="009F45FC"/>
    <w:rsid w:val="009F48D7"/>
    <w:rsid w:val="009F48D9"/>
    <w:rsid w:val="009F4CE2"/>
    <w:rsid w:val="009F4F28"/>
    <w:rsid w:val="009F52C6"/>
    <w:rsid w:val="009F53D2"/>
    <w:rsid w:val="009F55D8"/>
    <w:rsid w:val="009F5627"/>
    <w:rsid w:val="009F56BD"/>
    <w:rsid w:val="009F61A2"/>
    <w:rsid w:val="009F634A"/>
    <w:rsid w:val="009F6B3A"/>
    <w:rsid w:val="009F6E69"/>
    <w:rsid w:val="009F6FCF"/>
    <w:rsid w:val="009F70F8"/>
    <w:rsid w:val="009F7203"/>
    <w:rsid w:val="009F73AC"/>
    <w:rsid w:val="009F745E"/>
    <w:rsid w:val="009F7468"/>
    <w:rsid w:val="009F74E0"/>
    <w:rsid w:val="009F74EB"/>
    <w:rsid w:val="009F7629"/>
    <w:rsid w:val="009F77BF"/>
    <w:rsid w:val="009F7C96"/>
    <w:rsid w:val="009F7D10"/>
    <w:rsid w:val="00A0033A"/>
    <w:rsid w:val="00A00A39"/>
    <w:rsid w:val="00A00DDB"/>
    <w:rsid w:val="00A010F1"/>
    <w:rsid w:val="00A01184"/>
    <w:rsid w:val="00A015FB"/>
    <w:rsid w:val="00A01942"/>
    <w:rsid w:val="00A01AF1"/>
    <w:rsid w:val="00A01DA5"/>
    <w:rsid w:val="00A028E2"/>
    <w:rsid w:val="00A03165"/>
    <w:rsid w:val="00A0342A"/>
    <w:rsid w:val="00A036FA"/>
    <w:rsid w:val="00A040AA"/>
    <w:rsid w:val="00A04408"/>
    <w:rsid w:val="00A046C3"/>
    <w:rsid w:val="00A04CE1"/>
    <w:rsid w:val="00A04FB6"/>
    <w:rsid w:val="00A05FAB"/>
    <w:rsid w:val="00A06006"/>
    <w:rsid w:val="00A06116"/>
    <w:rsid w:val="00A06B57"/>
    <w:rsid w:val="00A06B5D"/>
    <w:rsid w:val="00A0706D"/>
    <w:rsid w:val="00A07083"/>
    <w:rsid w:val="00A0729C"/>
    <w:rsid w:val="00A072C1"/>
    <w:rsid w:val="00A074B5"/>
    <w:rsid w:val="00A07AFA"/>
    <w:rsid w:val="00A07C15"/>
    <w:rsid w:val="00A07D1A"/>
    <w:rsid w:val="00A07E46"/>
    <w:rsid w:val="00A07F5F"/>
    <w:rsid w:val="00A1002F"/>
    <w:rsid w:val="00A105F1"/>
    <w:rsid w:val="00A1071E"/>
    <w:rsid w:val="00A10B11"/>
    <w:rsid w:val="00A10C5E"/>
    <w:rsid w:val="00A10E99"/>
    <w:rsid w:val="00A10F67"/>
    <w:rsid w:val="00A1130A"/>
    <w:rsid w:val="00A114F9"/>
    <w:rsid w:val="00A11554"/>
    <w:rsid w:val="00A11779"/>
    <w:rsid w:val="00A11788"/>
    <w:rsid w:val="00A118D7"/>
    <w:rsid w:val="00A11B66"/>
    <w:rsid w:val="00A11BAF"/>
    <w:rsid w:val="00A11D31"/>
    <w:rsid w:val="00A1264E"/>
    <w:rsid w:val="00A1269D"/>
    <w:rsid w:val="00A12919"/>
    <w:rsid w:val="00A12AD6"/>
    <w:rsid w:val="00A12D75"/>
    <w:rsid w:val="00A1352A"/>
    <w:rsid w:val="00A139E8"/>
    <w:rsid w:val="00A13D01"/>
    <w:rsid w:val="00A13F07"/>
    <w:rsid w:val="00A140B2"/>
    <w:rsid w:val="00A140D3"/>
    <w:rsid w:val="00A1424D"/>
    <w:rsid w:val="00A143F1"/>
    <w:rsid w:val="00A14575"/>
    <w:rsid w:val="00A14768"/>
    <w:rsid w:val="00A14915"/>
    <w:rsid w:val="00A14933"/>
    <w:rsid w:val="00A14AF9"/>
    <w:rsid w:val="00A14B14"/>
    <w:rsid w:val="00A14B72"/>
    <w:rsid w:val="00A14F2F"/>
    <w:rsid w:val="00A1509D"/>
    <w:rsid w:val="00A15220"/>
    <w:rsid w:val="00A15404"/>
    <w:rsid w:val="00A154CC"/>
    <w:rsid w:val="00A15784"/>
    <w:rsid w:val="00A15D65"/>
    <w:rsid w:val="00A15D98"/>
    <w:rsid w:val="00A15EAC"/>
    <w:rsid w:val="00A15F30"/>
    <w:rsid w:val="00A16C3F"/>
    <w:rsid w:val="00A16E7E"/>
    <w:rsid w:val="00A17057"/>
    <w:rsid w:val="00A171D6"/>
    <w:rsid w:val="00A1759E"/>
    <w:rsid w:val="00A17D18"/>
    <w:rsid w:val="00A20789"/>
    <w:rsid w:val="00A20949"/>
    <w:rsid w:val="00A20B02"/>
    <w:rsid w:val="00A20C89"/>
    <w:rsid w:val="00A20EFF"/>
    <w:rsid w:val="00A211D7"/>
    <w:rsid w:val="00A21276"/>
    <w:rsid w:val="00A212CE"/>
    <w:rsid w:val="00A21406"/>
    <w:rsid w:val="00A214B2"/>
    <w:rsid w:val="00A21D70"/>
    <w:rsid w:val="00A22049"/>
    <w:rsid w:val="00A2234F"/>
    <w:rsid w:val="00A22903"/>
    <w:rsid w:val="00A22BC0"/>
    <w:rsid w:val="00A22E53"/>
    <w:rsid w:val="00A23A3C"/>
    <w:rsid w:val="00A23A7E"/>
    <w:rsid w:val="00A23AC1"/>
    <w:rsid w:val="00A24127"/>
    <w:rsid w:val="00A243A5"/>
    <w:rsid w:val="00A243BF"/>
    <w:rsid w:val="00A24420"/>
    <w:rsid w:val="00A244B7"/>
    <w:rsid w:val="00A244C3"/>
    <w:rsid w:val="00A24564"/>
    <w:rsid w:val="00A24652"/>
    <w:rsid w:val="00A24698"/>
    <w:rsid w:val="00A249B0"/>
    <w:rsid w:val="00A25061"/>
    <w:rsid w:val="00A2558D"/>
    <w:rsid w:val="00A25E3B"/>
    <w:rsid w:val="00A26784"/>
    <w:rsid w:val="00A26AA6"/>
    <w:rsid w:val="00A26BB7"/>
    <w:rsid w:val="00A26C15"/>
    <w:rsid w:val="00A26C34"/>
    <w:rsid w:val="00A26C3C"/>
    <w:rsid w:val="00A26CFD"/>
    <w:rsid w:val="00A270BE"/>
    <w:rsid w:val="00A27184"/>
    <w:rsid w:val="00A27634"/>
    <w:rsid w:val="00A2765D"/>
    <w:rsid w:val="00A27844"/>
    <w:rsid w:val="00A27936"/>
    <w:rsid w:val="00A27A3F"/>
    <w:rsid w:val="00A27B55"/>
    <w:rsid w:val="00A27F14"/>
    <w:rsid w:val="00A300FA"/>
    <w:rsid w:val="00A3033F"/>
    <w:rsid w:val="00A30609"/>
    <w:rsid w:val="00A307D5"/>
    <w:rsid w:val="00A309F8"/>
    <w:rsid w:val="00A30E1B"/>
    <w:rsid w:val="00A31077"/>
    <w:rsid w:val="00A3125B"/>
    <w:rsid w:val="00A312D5"/>
    <w:rsid w:val="00A31412"/>
    <w:rsid w:val="00A3157C"/>
    <w:rsid w:val="00A31595"/>
    <w:rsid w:val="00A319C8"/>
    <w:rsid w:val="00A325F3"/>
    <w:rsid w:val="00A329AA"/>
    <w:rsid w:val="00A329DF"/>
    <w:rsid w:val="00A32D8A"/>
    <w:rsid w:val="00A3336E"/>
    <w:rsid w:val="00A33414"/>
    <w:rsid w:val="00A33417"/>
    <w:rsid w:val="00A3357C"/>
    <w:rsid w:val="00A339C7"/>
    <w:rsid w:val="00A33DBA"/>
    <w:rsid w:val="00A33EBF"/>
    <w:rsid w:val="00A33EE9"/>
    <w:rsid w:val="00A34C4C"/>
    <w:rsid w:val="00A35334"/>
    <w:rsid w:val="00A356F8"/>
    <w:rsid w:val="00A357FA"/>
    <w:rsid w:val="00A35850"/>
    <w:rsid w:val="00A35A11"/>
    <w:rsid w:val="00A35F13"/>
    <w:rsid w:val="00A35FC9"/>
    <w:rsid w:val="00A3613A"/>
    <w:rsid w:val="00A361A3"/>
    <w:rsid w:val="00A3633C"/>
    <w:rsid w:val="00A3658B"/>
    <w:rsid w:val="00A365D5"/>
    <w:rsid w:val="00A3687E"/>
    <w:rsid w:val="00A36979"/>
    <w:rsid w:val="00A36A95"/>
    <w:rsid w:val="00A36F89"/>
    <w:rsid w:val="00A37165"/>
    <w:rsid w:val="00A37331"/>
    <w:rsid w:val="00A3741A"/>
    <w:rsid w:val="00A37604"/>
    <w:rsid w:val="00A3762B"/>
    <w:rsid w:val="00A37716"/>
    <w:rsid w:val="00A40205"/>
    <w:rsid w:val="00A4053D"/>
    <w:rsid w:val="00A4055D"/>
    <w:rsid w:val="00A40702"/>
    <w:rsid w:val="00A4130A"/>
    <w:rsid w:val="00A41678"/>
    <w:rsid w:val="00A4181A"/>
    <w:rsid w:val="00A41C14"/>
    <w:rsid w:val="00A41D53"/>
    <w:rsid w:val="00A41D84"/>
    <w:rsid w:val="00A41DAA"/>
    <w:rsid w:val="00A4204D"/>
    <w:rsid w:val="00A42053"/>
    <w:rsid w:val="00A42A59"/>
    <w:rsid w:val="00A42DCC"/>
    <w:rsid w:val="00A42F3F"/>
    <w:rsid w:val="00A432C1"/>
    <w:rsid w:val="00A4369A"/>
    <w:rsid w:val="00A4379B"/>
    <w:rsid w:val="00A4387D"/>
    <w:rsid w:val="00A43C89"/>
    <w:rsid w:val="00A43DA1"/>
    <w:rsid w:val="00A43EF6"/>
    <w:rsid w:val="00A4403B"/>
    <w:rsid w:val="00A44065"/>
    <w:rsid w:val="00A440F9"/>
    <w:rsid w:val="00A441B5"/>
    <w:rsid w:val="00A4433A"/>
    <w:rsid w:val="00A4491C"/>
    <w:rsid w:val="00A45244"/>
    <w:rsid w:val="00A452FC"/>
    <w:rsid w:val="00A45319"/>
    <w:rsid w:val="00A4563A"/>
    <w:rsid w:val="00A45A4A"/>
    <w:rsid w:val="00A45B85"/>
    <w:rsid w:val="00A45C47"/>
    <w:rsid w:val="00A45D18"/>
    <w:rsid w:val="00A4642C"/>
    <w:rsid w:val="00A464B9"/>
    <w:rsid w:val="00A466D9"/>
    <w:rsid w:val="00A46AE5"/>
    <w:rsid w:val="00A46B72"/>
    <w:rsid w:val="00A46B9D"/>
    <w:rsid w:val="00A46ECD"/>
    <w:rsid w:val="00A46F01"/>
    <w:rsid w:val="00A4722C"/>
    <w:rsid w:val="00A472BE"/>
    <w:rsid w:val="00A472C5"/>
    <w:rsid w:val="00A47C15"/>
    <w:rsid w:val="00A47D33"/>
    <w:rsid w:val="00A50099"/>
    <w:rsid w:val="00A5045A"/>
    <w:rsid w:val="00A50662"/>
    <w:rsid w:val="00A50746"/>
    <w:rsid w:val="00A50B91"/>
    <w:rsid w:val="00A50FBC"/>
    <w:rsid w:val="00A511CE"/>
    <w:rsid w:val="00A51215"/>
    <w:rsid w:val="00A51365"/>
    <w:rsid w:val="00A515E0"/>
    <w:rsid w:val="00A51A02"/>
    <w:rsid w:val="00A51F8A"/>
    <w:rsid w:val="00A52038"/>
    <w:rsid w:val="00A520E5"/>
    <w:rsid w:val="00A521AB"/>
    <w:rsid w:val="00A5245E"/>
    <w:rsid w:val="00A5260C"/>
    <w:rsid w:val="00A52C28"/>
    <w:rsid w:val="00A52C3F"/>
    <w:rsid w:val="00A52FFA"/>
    <w:rsid w:val="00A531F7"/>
    <w:rsid w:val="00A536F0"/>
    <w:rsid w:val="00A53A60"/>
    <w:rsid w:val="00A53DDA"/>
    <w:rsid w:val="00A5408C"/>
    <w:rsid w:val="00A5414F"/>
    <w:rsid w:val="00A542C3"/>
    <w:rsid w:val="00A5457F"/>
    <w:rsid w:val="00A545AE"/>
    <w:rsid w:val="00A5479A"/>
    <w:rsid w:val="00A54851"/>
    <w:rsid w:val="00A54957"/>
    <w:rsid w:val="00A54A6E"/>
    <w:rsid w:val="00A54C1A"/>
    <w:rsid w:val="00A54FF6"/>
    <w:rsid w:val="00A5500C"/>
    <w:rsid w:val="00A553FB"/>
    <w:rsid w:val="00A55B02"/>
    <w:rsid w:val="00A55BB4"/>
    <w:rsid w:val="00A55C40"/>
    <w:rsid w:val="00A56074"/>
    <w:rsid w:val="00A562CF"/>
    <w:rsid w:val="00A566C4"/>
    <w:rsid w:val="00A60105"/>
    <w:rsid w:val="00A607E6"/>
    <w:rsid w:val="00A60D31"/>
    <w:rsid w:val="00A60EB0"/>
    <w:rsid w:val="00A614B2"/>
    <w:rsid w:val="00A6166C"/>
    <w:rsid w:val="00A617D8"/>
    <w:rsid w:val="00A6182F"/>
    <w:rsid w:val="00A61BF2"/>
    <w:rsid w:val="00A61D4B"/>
    <w:rsid w:val="00A61E8C"/>
    <w:rsid w:val="00A62A0F"/>
    <w:rsid w:val="00A62AAF"/>
    <w:rsid w:val="00A62C0A"/>
    <w:rsid w:val="00A630E1"/>
    <w:rsid w:val="00A63102"/>
    <w:rsid w:val="00A632D2"/>
    <w:rsid w:val="00A633C2"/>
    <w:rsid w:val="00A633D0"/>
    <w:rsid w:val="00A6340A"/>
    <w:rsid w:val="00A63508"/>
    <w:rsid w:val="00A63866"/>
    <w:rsid w:val="00A638E9"/>
    <w:rsid w:val="00A63B1D"/>
    <w:rsid w:val="00A63BC0"/>
    <w:rsid w:val="00A63F36"/>
    <w:rsid w:val="00A646BC"/>
    <w:rsid w:val="00A64C39"/>
    <w:rsid w:val="00A64C93"/>
    <w:rsid w:val="00A64DA9"/>
    <w:rsid w:val="00A64DC1"/>
    <w:rsid w:val="00A65104"/>
    <w:rsid w:val="00A651FF"/>
    <w:rsid w:val="00A658D1"/>
    <w:rsid w:val="00A65AEE"/>
    <w:rsid w:val="00A65AFF"/>
    <w:rsid w:val="00A65D69"/>
    <w:rsid w:val="00A6601A"/>
    <w:rsid w:val="00A660CB"/>
    <w:rsid w:val="00A663F2"/>
    <w:rsid w:val="00A66722"/>
    <w:rsid w:val="00A66C4D"/>
    <w:rsid w:val="00A6740F"/>
    <w:rsid w:val="00A674B0"/>
    <w:rsid w:val="00A676E1"/>
    <w:rsid w:val="00A677DA"/>
    <w:rsid w:val="00A677E2"/>
    <w:rsid w:val="00A67B75"/>
    <w:rsid w:val="00A67F05"/>
    <w:rsid w:val="00A67F3D"/>
    <w:rsid w:val="00A702EF"/>
    <w:rsid w:val="00A703FF"/>
    <w:rsid w:val="00A70559"/>
    <w:rsid w:val="00A705F4"/>
    <w:rsid w:val="00A7133A"/>
    <w:rsid w:val="00A7180D"/>
    <w:rsid w:val="00A7183F"/>
    <w:rsid w:val="00A71923"/>
    <w:rsid w:val="00A71EF6"/>
    <w:rsid w:val="00A72085"/>
    <w:rsid w:val="00A72166"/>
    <w:rsid w:val="00A7237B"/>
    <w:rsid w:val="00A727BA"/>
    <w:rsid w:val="00A72B80"/>
    <w:rsid w:val="00A72C00"/>
    <w:rsid w:val="00A73031"/>
    <w:rsid w:val="00A73204"/>
    <w:rsid w:val="00A73A84"/>
    <w:rsid w:val="00A74124"/>
    <w:rsid w:val="00A74166"/>
    <w:rsid w:val="00A74191"/>
    <w:rsid w:val="00A74250"/>
    <w:rsid w:val="00A7499E"/>
    <w:rsid w:val="00A74C30"/>
    <w:rsid w:val="00A74E42"/>
    <w:rsid w:val="00A7588C"/>
    <w:rsid w:val="00A75A13"/>
    <w:rsid w:val="00A75BC5"/>
    <w:rsid w:val="00A75F6C"/>
    <w:rsid w:val="00A76285"/>
    <w:rsid w:val="00A768A6"/>
    <w:rsid w:val="00A76BC0"/>
    <w:rsid w:val="00A76DC0"/>
    <w:rsid w:val="00A771B2"/>
    <w:rsid w:val="00A771EF"/>
    <w:rsid w:val="00A7720E"/>
    <w:rsid w:val="00A77322"/>
    <w:rsid w:val="00A778C1"/>
    <w:rsid w:val="00A77929"/>
    <w:rsid w:val="00A77996"/>
    <w:rsid w:val="00A77EC1"/>
    <w:rsid w:val="00A800E3"/>
    <w:rsid w:val="00A8015E"/>
    <w:rsid w:val="00A8022D"/>
    <w:rsid w:val="00A80CD5"/>
    <w:rsid w:val="00A812A3"/>
    <w:rsid w:val="00A815B7"/>
    <w:rsid w:val="00A81D74"/>
    <w:rsid w:val="00A81DDB"/>
    <w:rsid w:val="00A81E50"/>
    <w:rsid w:val="00A82302"/>
    <w:rsid w:val="00A82990"/>
    <w:rsid w:val="00A82A0F"/>
    <w:rsid w:val="00A82CFE"/>
    <w:rsid w:val="00A82E05"/>
    <w:rsid w:val="00A82F7D"/>
    <w:rsid w:val="00A83419"/>
    <w:rsid w:val="00A83426"/>
    <w:rsid w:val="00A8348C"/>
    <w:rsid w:val="00A835DB"/>
    <w:rsid w:val="00A8362B"/>
    <w:rsid w:val="00A837CE"/>
    <w:rsid w:val="00A837F8"/>
    <w:rsid w:val="00A838AD"/>
    <w:rsid w:val="00A8399B"/>
    <w:rsid w:val="00A83C02"/>
    <w:rsid w:val="00A84119"/>
    <w:rsid w:val="00A84134"/>
    <w:rsid w:val="00A845E6"/>
    <w:rsid w:val="00A84619"/>
    <w:rsid w:val="00A8490F"/>
    <w:rsid w:val="00A8492D"/>
    <w:rsid w:val="00A84AE1"/>
    <w:rsid w:val="00A84B29"/>
    <w:rsid w:val="00A84FED"/>
    <w:rsid w:val="00A85209"/>
    <w:rsid w:val="00A854C3"/>
    <w:rsid w:val="00A8572A"/>
    <w:rsid w:val="00A8590A"/>
    <w:rsid w:val="00A85ABB"/>
    <w:rsid w:val="00A85E05"/>
    <w:rsid w:val="00A861ED"/>
    <w:rsid w:val="00A861FD"/>
    <w:rsid w:val="00A8620C"/>
    <w:rsid w:val="00A8638E"/>
    <w:rsid w:val="00A867A0"/>
    <w:rsid w:val="00A868EC"/>
    <w:rsid w:val="00A86B55"/>
    <w:rsid w:val="00A871D8"/>
    <w:rsid w:val="00A87550"/>
    <w:rsid w:val="00A877A7"/>
    <w:rsid w:val="00A8793F"/>
    <w:rsid w:val="00A8796F"/>
    <w:rsid w:val="00A9059F"/>
    <w:rsid w:val="00A9067E"/>
    <w:rsid w:val="00A90DC1"/>
    <w:rsid w:val="00A90E29"/>
    <w:rsid w:val="00A90E5C"/>
    <w:rsid w:val="00A90F4B"/>
    <w:rsid w:val="00A91222"/>
    <w:rsid w:val="00A91812"/>
    <w:rsid w:val="00A91D4A"/>
    <w:rsid w:val="00A91EF1"/>
    <w:rsid w:val="00A921DE"/>
    <w:rsid w:val="00A92692"/>
    <w:rsid w:val="00A92EE5"/>
    <w:rsid w:val="00A932F2"/>
    <w:rsid w:val="00A937CF"/>
    <w:rsid w:val="00A93CE4"/>
    <w:rsid w:val="00A94401"/>
    <w:rsid w:val="00A9490C"/>
    <w:rsid w:val="00A94D7A"/>
    <w:rsid w:val="00A94E0C"/>
    <w:rsid w:val="00A9526C"/>
    <w:rsid w:val="00A95313"/>
    <w:rsid w:val="00A9534C"/>
    <w:rsid w:val="00A959F5"/>
    <w:rsid w:val="00A95E01"/>
    <w:rsid w:val="00A95E64"/>
    <w:rsid w:val="00A96592"/>
    <w:rsid w:val="00A9660F"/>
    <w:rsid w:val="00A969A8"/>
    <w:rsid w:val="00A96FDC"/>
    <w:rsid w:val="00A971E6"/>
    <w:rsid w:val="00A9746E"/>
    <w:rsid w:val="00A9766C"/>
    <w:rsid w:val="00A9780E"/>
    <w:rsid w:val="00A97F27"/>
    <w:rsid w:val="00A97F93"/>
    <w:rsid w:val="00AA001C"/>
    <w:rsid w:val="00AA047F"/>
    <w:rsid w:val="00AA07DE"/>
    <w:rsid w:val="00AA0822"/>
    <w:rsid w:val="00AA0B7B"/>
    <w:rsid w:val="00AA0D9F"/>
    <w:rsid w:val="00AA0DFE"/>
    <w:rsid w:val="00AA12F8"/>
    <w:rsid w:val="00AA1592"/>
    <w:rsid w:val="00AA1961"/>
    <w:rsid w:val="00AA1DBD"/>
    <w:rsid w:val="00AA2534"/>
    <w:rsid w:val="00AA2A88"/>
    <w:rsid w:val="00AA2BDD"/>
    <w:rsid w:val="00AA2DA8"/>
    <w:rsid w:val="00AA345C"/>
    <w:rsid w:val="00AA34AA"/>
    <w:rsid w:val="00AA3A87"/>
    <w:rsid w:val="00AA4104"/>
    <w:rsid w:val="00AA41F7"/>
    <w:rsid w:val="00AA4826"/>
    <w:rsid w:val="00AA4A02"/>
    <w:rsid w:val="00AA4A38"/>
    <w:rsid w:val="00AA4A6E"/>
    <w:rsid w:val="00AA4C2D"/>
    <w:rsid w:val="00AA4CA0"/>
    <w:rsid w:val="00AA53D8"/>
    <w:rsid w:val="00AA5577"/>
    <w:rsid w:val="00AA59C3"/>
    <w:rsid w:val="00AA5CA2"/>
    <w:rsid w:val="00AA5E4E"/>
    <w:rsid w:val="00AA5F6A"/>
    <w:rsid w:val="00AA608F"/>
    <w:rsid w:val="00AA631A"/>
    <w:rsid w:val="00AA63EC"/>
    <w:rsid w:val="00AA64B4"/>
    <w:rsid w:val="00AA69CD"/>
    <w:rsid w:val="00AA6AFE"/>
    <w:rsid w:val="00AA6B0D"/>
    <w:rsid w:val="00AA6DF5"/>
    <w:rsid w:val="00AA6E17"/>
    <w:rsid w:val="00AA6FB8"/>
    <w:rsid w:val="00AA7035"/>
    <w:rsid w:val="00AA71BC"/>
    <w:rsid w:val="00AA74D5"/>
    <w:rsid w:val="00AA76E9"/>
    <w:rsid w:val="00AA777E"/>
    <w:rsid w:val="00AA779A"/>
    <w:rsid w:val="00AA7F1A"/>
    <w:rsid w:val="00AA7F48"/>
    <w:rsid w:val="00AB0442"/>
    <w:rsid w:val="00AB051B"/>
    <w:rsid w:val="00AB091D"/>
    <w:rsid w:val="00AB0E94"/>
    <w:rsid w:val="00AB11C0"/>
    <w:rsid w:val="00AB1477"/>
    <w:rsid w:val="00AB15CD"/>
    <w:rsid w:val="00AB1CB5"/>
    <w:rsid w:val="00AB2028"/>
    <w:rsid w:val="00AB2151"/>
    <w:rsid w:val="00AB2645"/>
    <w:rsid w:val="00AB28A5"/>
    <w:rsid w:val="00AB2EDB"/>
    <w:rsid w:val="00AB2FFD"/>
    <w:rsid w:val="00AB32FC"/>
    <w:rsid w:val="00AB34C5"/>
    <w:rsid w:val="00AB37C8"/>
    <w:rsid w:val="00AB3827"/>
    <w:rsid w:val="00AB3FAD"/>
    <w:rsid w:val="00AB4152"/>
    <w:rsid w:val="00AB4390"/>
    <w:rsid w:val="00AB461D"/>
    <w:rsid w:val="00AB484B"/>
    <w:rsid w:val="00AB491D"/>
    <w:rsid w:val="00AB4A34"/>
    <w:rsid w:val="00AB4B3A"/>
    <w:rsid w:val="00AB4C3D"/>
    <w:rsid w:val="00AB53D8"/>
    <w:rsid w:val="00AB56F5"/>
    <w:rsid w:val="00AB6804"/>
    <w:rsid w:val="00AB68C2"/>
    <w:rsid w:val="00AB6B6E"/>
    <w:rsid w:val="00AB6C7B"/>
    <w:rsid w:val="00AB6ED2"/>
    <w:rsid w:val="00AB6FD9"/>
    <w:rsid w:val="00AB70A0"/>
    <w:rsid w:val="00AB71F9"/>
    <w:rsid w:val="00AB755C"/>
    <w:rsid w:val="00AB79A7"/>
    <w:rsid w:val="00AB79C3"/>
    <w:rsid w:val="00AB79C9"/>
    <w:rsid w:val="00AB7B2B"/>
    <w:rsid w:val="00AB7D51"/>
    <w:rsid w:val="00AB7D80"/>
    <w:rsid w:val="00AB7FB2"/>
    <w:rsid w:val="00AC0249"/>
    <w:rsid w:val="00AC0424"/>
    <w:rsid w:val="00AC0441"/>
    <w:rsid w:val="00AC0555"/>
    <w:rsid w:val="00AC0567"/>
    <w:rsid w:val="00AC0C3A"/>
    <w:rsid w:val="00AC1635"/>
    <w:rsid w:val="00AC164D"/>
    <w:rsid w:val="00AC172F"/>
    <w:rsid w:val="00AC1807"/>
    <w:rsid w:val="00AC1886"/>
    <w:rsid w:val="00AC217F"/>
    <w:rsid w:val="00AC237E"/>
    <w:rsid w:val="00AC2613"/>
    <w:rsid w:val="00AC2A7C"/>
    <w:rsid w:val="00AC2CC9"/>
    <w:rsid w:val="00AC2DBD"/>
    <w:rsid w:val="00AC2F0C"/>
    <w:rsid w:val="00AC30D3"/>
    <w:rsid w:val="00AC3192"/>
    <w:rsid w:val="00AC3194"/>
    <w:rsid w:val="00AC3325"/>
    <w:rsid w:val="00AC3373"/>
    <w:rsid w:val="00AC34EE"/>
    <w:rsid w:val="00AC35A4"/>
    <w:rsid w:val="00AC362E"/>
    <w:rsid w:val="00AC3C49"/>
    <w:rsid w:val="00AC3C64"/>
    <w:rsid w:val="00AC3C74"/>
    <w:rsid w:val="00AC3E27"/>
    <w:rsid w:val="00AC3FAC"/>
    <w:rsid w:val="00AC3FAE"/>
    <w:rsid w:val="00AC4512"/>
    <w:rsid w:val="00AC4BB5"/>
    <w:rsid w:val="00AC4EBA"/>
    <w:rsid w:val="00AC50E4"/>
    <w:rsid w:val="00AC547C"/>
    <w:rsid w:val="00AC5623"/>
    <w:rsid w:val="00AC56A8"/>
    <w:rsid w:val="00AC5A7D"/>
    <w:rsid w:val="00AC5AD5"/>
    <w:rsid w:val="00AC5EAB"/>
    <w:rsid w:val="00AC609E"/>
    <w:rsid w:val="00AC60B1"/>
    <w:rsid w:val="00AC62E9"/>
    <w:rsid w:val="00AC6AAB"/>
    <w:rsid w:val="00AC71CD"/>
    <w:rsid w:val="00AC72E9"/>
    <w:rsid w:val="00AC73BB"/>
    <w:rsid w:val="00AC7594"/>
    <w:rsid w:val="00AC77EB"/>
    <w:rsid w:val="00AC7D06"/>
    <w:rsid w:val="00AD0140"/>
    <w:rsid w:val="00AD02E9"/>
    <w:rsid w:val="00AD03D3"/>
    <w:rsid w:val="00AD03E4"/>
    <w:rsid w:val="00AD0556"/>
    <w:rsid w:val="00AD05A2"/>
    <w:rsid w:val="00AD0698"/>
    <w:rsid w:val="00AD07CD"/>
    <w:rsid w:val="00AD0862"/>
    <w:rsid w:val="00AD09F9"/>
    <w:rsid w:val="00AD0B81"/>
    <w:rsid w:val="00AD0BB2"/>
    <w:rsid w:val="00AD0C37"/>
    <w:rsid w:val="00AD0CB9"/>
    <w:rsid w:val="00AD0E93"/>
    <w:rsid w:val="00AD0EC5"/>
    <w:rsid w:val="00AD134F"/>
    <w:rsid w:val="00AD13E1"/>
    <w:rsid w:val="00AD1761"/>
    <w:rsid w:val="00AD1C8E"/>
    <w:rsid w:val="00AD1DC0"/>
    <w:rsid w:val="00AD218D"/>
    <w:rsid w:val="00AD29C0"/>
    <w:rsid w:val="00AD2B72"/>
    <w:rsid w:val="00AD3000"/>
    <w:rsid w:val="00AD317E"/>
    <w:rsid w:val="00AD32B1"/>
    <w:rsid w:val="00AD3699"/>
    <w:rsid w:val="00AD38E9"/>
    <w:rsid w:val="00AD3A03"/>
    <w:rsid w:val="00AD3B0D"/>
    <w:rsid w:val="00AD3B93"/>
    <w:rsid w:val="00AD3C57"/>
    <w:rsid w:val="00AD3CEE"/>
    <w:rsid w:val="00AD40E7"/>
    <w:rsid w:val="00AD4715"/>
    <w:rsid w:val="00AD480E"/>
    <w:rsid w:val="00AD4894"/>
    <w:rsid w:val="00AD4A00"/>
    <w:rsid w:val="00AD4CEA"/>
    <w:rsid w:val="00AD4E4A"/>
    <w:rsid w:val="00AD5393"/>
    <w:rsid w:val="00AD5AB9"/>
    <w:rsid w:val="00AD5B36"/>
    <w:rsid w:val="00AD5CE2"/>
    <w:rsid w:val="00AD5E21"/>
    <w:rsid w:val="00AD5EAA"/>
    <w:rsid w:val="00AD6398"/>
    <w:rsid w:val="00AD65F4"/>
    <w:rsid w:val="00AD6667"/>
    <w:rsid w:val="00AD6BFD"/>
    <w:rsid w:val="00AD6F84"/>
    <w:rsid w:val="00AD71AD"/>
    <w:rsid w:val="00AD78A7"/>
    <w:rsid w:val="00AD7E01"/>
    <w:rsid w:val="00AE008B"/>
    <w:rsid w:val="00AE0A3B"/>
    <w:rsid w:val="00AE0B5F"/>
    <w:rsid w:val="00AE0E7C"/>
    <w:rsid w:val="00AE0FF0"/>
    <w:rsid w:val="00AE1231"/>
    <w:rsid w:val="00AE131B"/>
    <w:rsid w:val="00AE13D3"/>
    <w:rsid w:val="00AE1553"/>
    <w:rsid w:val="00AE1A5B"/>
    <w:rsid w:val="00AE1E5C"/>
    <w:rsid w:val="00AE20C6"/>
    <w:rsid w:val="00AE216A"/>
    <w:rsid w:val="00AE2193"/>
    <w:rsid w:val="00AE2409"/>
    <w:rsid w:val="00AE26B6"/>
    <w:rsid w:val="00AE295B"/>
    <w:rsid w:val="00AE3317"/>
    <w:rsid w:val="00AE33A6"/>
    <w:rsid w:val="00AE394B"/>
    <w:rsid w:val="00AE4549"/>
    <w:rsid w:val="00AE4697"/>
    <w:rsid w:val="00AE4CFA"/>
    <w:rsid w:val="00AE4F63"/>
    <w:rsid w:val="00AE570F"/>
    <w:rsid w:val="00AE6126"/>
    <w:rsid w:val="00AE6AFF"/>
    <w:rsid w:val="00AE6DC9"/>
    <w:rsid w:val="00AE706F"/>
    <w:rsid w:val="00AE72E6"/>
    <w:rsid w:val="00AE77B9"/>
    <w:rsid w:val="00AE7AA3"/>
    <w:rsid w:val="00AE7D60"/>
    <w:rsid w:val="00AF013D"/>
    <w:rsid w:val="00AF02C0"/>
    <w:rsid w:val="00AF051D"/>
    <w:rsid w:val="00AF0657"/>
    <w:rsid w:val="00AF0B5F"/>
    <w:rsid w:val="00AF0D6E"/>
    <w:rsid w:val="00AF0F53"/>
    <w:rsid w:val="00AF1134"/>
    <w:rsid w:val="00AF1190"/>
    <w:rsid w:val="00AF139E"/>
    <w:rsid w:val="00AF148C"/>
    <w:rsid w:val="00AF1863"/>
    <w:rsid w:val="00AF1CB6"/>
    <w:rsid w:val="00AF2010"/>
    <w:rsid w:val="00AF2607"/>
    <w:rsid w:val="00AF2CA4"/>
    <w:rsid w:val="00AF2E8D"/>
    <w:rsid w:val="00AF2F96"/>
    <w:rsid w:val="00AF30B9"/>
    <w:rsid w:val="00AF3467"/>
    <w:rsid w:val="00AF367B"/>
    <w:rsid w:val="00AF3B34"/>
    <w:rsid w:val="00AF3D02"/>
    <w:rsid w:val="00AF438D"/>
    <w:rsid w:val="00AF442F"/>
    <w:rsid w:val="00AF4E85"/>
    <w:rsid w:val="00AF5148"/>
    <w:rsid w:val="00AF53F2"/>
    <w:rsid w:val="00AF57DD"/>
    <w:rsid w:val="00AF59FC"/>
    <w:rsid w:val="00AF5A73"/>
    <w:rsid w:val="00AF5A93"/>
    <w:rsid w:val="00AF5AC5"/>
    <w:rsid w:val="00AF5CD5"/>
    <w:rsid w:val="00AF5F69"/>
    <w:rsid w:val="00AF60AF"/>
    <w:rsid w:val="00AF61EC"/>
    <w:rsid w:val="00AF648E"/>
    <w:rsid w:val="00AF6620"/>
    <w:rsid w:val="00AF6748"/>
    <w:rsid w:val="00AF689F"/>
    <w:rsid w:val="00AF6A5C"/>
    <w:rsid w:val="00AF6A7B"/>
    <w:rsid w:val="00AF6AF6"/>
    <w:rsid w:val="00AF6BEC"/>
    <w:rsid w:val="00AF70AE"/>
    <w:rsid w:val="00AF7528"/>
    <w:rsid w:val="00AF7A60"/>
    <w:rsid w:val="00B0011B"/>
    <w:rsid w:val="00B0022F"/>
    <w:rsid w:val="00B004BE"/>
    <w:rsid w:val="00B00751"/>
    <w:rsid w:val="00B007B3"/>
    <w:rsid w:val="00B0086D"/>
    <w:rsid w:val="00B00AE1"/>
    <w:rsid w:val="00B00D6D"/>
    <w:rsid w:val="00B00E2C"/>
    <w:rsid w:val="00B00EA1"/>
    <w:rsid w:val="00B0137C"/>
    <w:rsid w:val="00B014FE"/>
    <w:rsid w:val="00B0208C"/>
    <w:rsid w:val="00B02809"/>
    <w:rsid w:val="00B02B01"/>
    <w:rsid w:val="00B02D59"/>
    <w:rsid w:val="00B02E9F"/>
    <w:rsid w:val="00B02F0D"/>
    <w:rsid w:val="00B02F4A"/>
    <w:rsid w:val="00B03763"/>
    <w:rsid w:val="00B039EC"/>
    <w:rsid w:val="00B03C35"/>
    <w:rsid w:val="00B03C67"/>
    <w:rsid w:val="00B03CB9"/>
    <w:rsid w:val="00B03D8B"/>
    <w:rsid w:val="00B0423D"/>
    <w:rsid w:val="00B0428A"/>
    <w:rsid w:val="00B04290"/>
    <w:rsid w:val="00B04C81"/>
    <w:rsid w:val="00B04E14"/>
    <w:rsid w:val="00B0556B"/>
    <w:rsid w:val="00B055F6"/>
    <w:rsid w:val="00B05A8A"/>
    <w:rsid w:val="00B0616A"/>
    <w:rsid w:val="00B0621A"/>
    <w:rsid w:val="00B065D0"/>
    <w:rsid w:val="00B066C5"/>
    <w:rsid w:val="00B0691B"/>
    <w:rsid w:val="00B06A16"/>
    <w:rsid w:val="00B072FC"/>
    <w:rsid w:val="00B0789B"/>
    <w:rsid w:val="00B07D17"/>
    <w:rsid w:val="00B1023E"/>
    <w:rsid w:val="00B103F0"/>
    <w:rsid w:val="00B1081F"/>
    <w:rsid w:val="00B10BB2"/>
    <w:rsid w:val="00B10D38"/>
    <w:rsid w:val="00B10D89"/>
    <w:rsid w:val="00B111AE"/>
    <w:rsid w:val="00B1125E"/>
    <w:rsid w:val="00B117D7"/>
    <w:rsid w:val="00B11B65"/>
    <w:rsid w:val="00B11C13"/>
    <w:rsid w:val="00B11E31"/>
    <w:rsid w:val="00B11FDE"/>
    <w:rsid w:val="00B12318"/>
    <w:rsid w:val="00B12F1D"/>
    <w:rsid w:val="00B13276"/>
    <w:rsid w:val="00B1330F"/>
    <w:rsid w:val="00B13AD8"/>
    <w:rsid w:val="00B14419"/>
    <w:rsid w:val="00B1457F"/>
    <w:rsid w:val="00B146C9"/>
    <w:rsid w:val="00B14733"/>
    <w:rsid w:val="00B14F0A"/>
    <w:rsid w:val="00B14FDF"/>
    <w:rsid w:val="00B15024"/>
    <w:rsid w:val="00B153BA"/>
    <w:rsid w:val="00B158BF"/>
    <w:rsid w:val="00B15D1B"/>
    <w:rsid w:val="00B15F3D"/>
    <w:rsid w:val="00B16299"/>
    <w:rsid w:val="00B1634C"/>
    <w:rsid w:val="00B1637E"/>
    <w:rsid w:val="00B1679C"/>
    <w:rsid w:val="00B167E2"/>
    <w:rsid w:val="00B16843"/>
    <w:rsid w:val="00B16B7F"/>
    <w:rsid w:val="00B16CE5"/>
    <w:rsid w:val="00B16DBD"/>
    <w:rsid w:val="00B1713D"/>
    <w:rsid w:val="00B171F5"/>
    <w:rsid w:val="00B17224"/>
    <w:rsid w:val="00B17BD4"/>
    <w:rsid w:val="00B17EF1"/>
    <w:rsid w:val="00B20480"/>
    <w:rsid w:val="00B2051A"/>
    <w:rsid w:val="00B20960"/>
    <w:rsid w:val="00B20A98"/>
    <w:rsid w:val="00B210C1"/>
    <w:rsid w:val="00B210E3"/>
    <w:rsid w:val="00B21233"/>
    <w:rsid w:val="00B216F3"/>
    <w:rsid w:val="00B21882"/>
    <w:rsid w:val="00B218A1"/>
    <w:rsid w:val="00B2192B"/>
    <w:rsid w:val="00B21CA0"/>
    <w:rsid w:val="00B21CC9"/>
    <w:rsid w:val="00B21F40"/>
    <w:rsid w:val="00B220FB"/>
    <w:rsid w:val="00B222B9"/>
    <w:rsid w:val="00B2233C"/>
    <w:rsid w:val="00B22628"/>
    <w:rsid w:val="00B22C78"/>
    <w:rsid w:val="00B22F0A"/>
    <w:rsid w:val="00B23058"/>
    <w:rsid w:val="00B2323C"/>
    <w:rsid w:val="00B23291"/>
    <w:rsid w:val="00B23297"/>
    <w:rsid w:val="00B232F7"/>
    <w:rsid w:val="00B233F6"/>
    <w:rsid w:val="00B2340B"/>
    <w:rsid w:val="00B23760"/>
    <w:rsid w:val="00B23CF2"/>
    <w:rsid w:val="00B24F5A"/>
    <w:rsid w:val="00B250A1"/>
    <w:rsid w:val="00B25536"/>
    <w:rsid w:val="00B25D93"/>
    <w:rsid w:val="00B25DD8"/>
    <w:rsid w:val="00B25EA9"/>
    <w:rsid w:val="00B26041"/>
    <w:rsid w:val="00B26345"/>
    <w:rsid w:val="00B264B1"/>
    <w:rsid w:val="00B266AD"/>
    <w:rsid w:val="00B26817"/>
    <w:rsid w:val="00B26AE2"/>
    <w:rsid w:val="00B26B44"/>
    <w:rsid w:val="00B26CAF"/>
    <w:rsid w:val="00B26F45"/>
    <w:rsid w:val="00B277F6"/>
    <w:rsid w:val="00B27901"/>
    <w:rsid w:val="00B27C01"/>
    <w:rsid w:val="00B3009D"/>
    <w:rsid w:val="00B300B5"/>
    <w:rsid w:val="00B300B7"/>
    <w:rsid w:val="00B30414"/>
    <w:rsid w:val="00B309D5"/>
    <w:rsid w:val="00B30D60"/>
    <w:rsid w:val="00B30D72"/>
    <w:rsid w:val="00B31356"/>
    <w:rsid w:val="00B31478"/>
    <w:rsid w:val="00B3158A"/>
    <w:rsid w:val="00B316DD"/>
    <w:rsid w:val="00B31CCD"/>
    <w:rsid w:val="00B31E7B"/>
    <w:rsid w:val="00B32433"/>
    <w:rsid w:val="00B3262E"/>
    <w:rsid w:val="00B3298D"/>
    <w:rsid w:val="00B32F79"/>
    <w:rsid w:val="00B336B1"/>
    <w:rsid w:val="00B337EB"/>
    <w:rsid w:val="00B33925"/>
    <w:rsid w:val="00B33B55"/>
    <w:rsid w:val="00B33D86"/>
    <w:rsid w:val="00B3417A"/>
    <w:rsid w:val="00B34225"/>
    <w:rsid w:val="00B34226"/>
    <w:rsid w:val="00B349E3"/>
    <w:rsid w:val="00B350E9"/>
    <w:rsid w:val="00B35321"/>
    <w:rsid w:val="00B3549F"/>
    <w:rsid w:val="00B35637"/>
    <w:rsid w:val="00B356BE"/>
    <w:rsid w:val="00B3586C"/>
    <w:rsid w:val="00B35CBD"/>
    <w:rsid w:val="00B35E14"/>
    <w:rsid w:val="00B3671C"/>
    <w:rsid w:val="00B36C47"/>
    <w:rsid w:val="00B36C74"/>
    <w:rsid w:val="00B36CCB"/>
    <w:rsid w:val="00B36D88"/>
    <w:rsid w:val="00B371C5"/>
    <w:rsid w:val="00B37692"/>
    <w:rsid w:val="00B37AD4"/>
    <w:rsid w:val="00B37FB7"/>
    <w:rsid w:val="00B402C0"/>
    <w:rsid w:val="00B41177"/>
    <w:rsid w:val="00B4128E"/>
    <w:rsid w:val="00B41352"/>
    <w:rsid w:val="00B41561"/>
    <w:rsid w:val="00B41E18"/>
    <w:rsid w:val="00B42A73"/>
    <w:rsid w:val="00B42BA2"/>
    <w:rsid w:val="00B42C8F"/>
    <w:rsid w:val="00B42E64"/>
    <w:rsid w:val="00B43043"/>
    <w:rsid w:val="00B433F9"/>
    <w:rsid w:val="00B436B3"/>
    <w:rsid w:val="00B439B6"/>
    <w:rsid w:val="00B43CCE"/>
    <w:rsid w:val="00B44082"/>
    <w:rsid w:val="00B442B5"/>
    <w:rsid w:val="00B44AE1"/>
    <w:rsid w:val="00B44F95"/>
    <w:rsid w:val="00B44FDB"/>
    <w:rsid w:val="00B4510F"/>
    <w:rsid w:val="00B4523C"/>
    <w:rsid w:val="00B4524F"/>
    <w:rsid w:val="00B4557F"/>
    <w:rsid w:val="00B456D5"/>
    <w:rsid w:val="00B45976"/>
    <w:rsid w:val="00B45A45"/>
    <w:rsid w:val="00B45A51"/>
    <w:rsid w:val="00B45ACE"/>
    <w:rsid w:val="00B45B83"/>
    <w:rsid w:val="00B45D9B"/>
    <w:rsid w:val="00B45EF5"/>
    <w:rsid w:val="00B45F2F"/>
    <w:rsid w:val="00B46171"/>
    <w:rsid w:val="00B46559"/>
    <w:rsid w:val="00B46646"/>
    <w:rsid w:val="00B468EB"/>
    <w:rsid w:val="00B46CE0"/>
    <w:rsid w:val="00B46D79"/>
    <w:rsid w:val="00B47018"/>
    <w:rsid w:val="00B47460"/>
    <w:rsid w:val="00B4749E"/>
    <w:rsid w:val="00B474EA"/>
    <w:rsid w:val="00B47AB3"/>
    <w:rsid w:val="00B47B3C"/>
    <w:rsid w:val="00B47C67"/>
    <w:rsid w:val="00B47D5D"/>
    <w:rsid w:val="00B500D0"/>
    <w:rsid w:val="00B503F0"/>
    <w:rsid w:val="00B50618"/>
    <w:rsid w:val="00B5068F"/>
    <w:rsid w:val="00B508C0"/>
    <w:rsid w:val="00B5094B"/>
    <w:rsid w:val="00B50A5E"/>
    <w:rsid w:val="00B50BF3"/>
    <w:rsid w:val="00B50F2B"/>
    <w:rsid w:val="00B50FBA"/>
    <w:rsid w:val="00B5124B"/>
    <w:rsid w:val="00B51670"/>
    <w:rsid w:val="00B517E6"/>
    <w:rsid w:val="00B519DF"/>
    <w:rsid w:val="00B51AAE"/>
    <w:rsid w:val="00B51CA7"/>
    <w:rsid w:val="00B52373"/>
    <w:rsid w:val="00B5254E"/>
    <w:rsid w:val="00B52B4D"/>
    <w:rsid w:val="00B52E71"/>
    <w:rsid w:val="00B532E8"/>
    <w:rsid w:val="00B537DD"/>
    <w:rsid w:val="00B53969"/>
    <w:rsid w:val="00B53D92"/>
    <w:rsid w:val="00B53FF3"/>
    <w:rsid w:val="00B5404B"/>
    <w:rsid w:val="00B5432F"/>
    <w:rsid w:val="00B543F1"/>
    <w:rsid w:val="00B5449E"/>
    <w:rsid w:val="00B54542"/>
    <w:rsid w:val="00B546DD"/>
    <w:rsid w:val="00B54723"/>
    <w:rsid w:val="00B548CE"/>
    <w:rsid w:val="00B548FE"/>
    <w:rsid w:val="00B54981"/>
    <w:rsid w:val="00B54BEB"/>
    <w:rsid w:val="00B54E3D"/>
    <w:rsid w:val="00B552C3"/>
    <w:rsid w:val="00B55E70"/>
    <w:rsid w:val="00B5669D"/>
    <w:rsid w:val="00B56EA1"/>
    <w:rsid w:val="00B57055"/>
    <w:rsid w:val="00B57437"/>
    <w:rsid w:val="00B57996"/>
    <w:rsid w:val="00B57AD3"/>
    <w:rsid w:val="00B60007"/>
    <w:rsid w:val="00B6023A"/>
    <w:rsid w:val="00B60568"/>
    <w:rsid w:val="00B60591"/>
    <w:rsid w:val="00B60658"/>
    <w:rsid w:val="00B608EF"/>
    <w:rsid w:val="00B609F5"/>
    <w:rsid w:val="00B60A6A"/>
    <w:rsid w:val="00B60B3B"/>
    <w:rsid w:val="00B60C51"/>
    <w:rsid w:val="00B611E8"/>
    <w:rsid w:val="00B614DD"/>
    <w:rsid w:val="00B61821"/>
    <w:rsid w:val="00B61A00"/>
    <w:rsid w:val="00B61A0D"/>
    <w:rsid w:val="00B61E89"/>
    <w:rsid w:val="00B6248D"/>
    <w:rsid w:val="00B62513"/>
    <w:rsid w:val="00B62AEB"/>
    <w:rsid w:val="00B62F9D"/>
    <w:rsid w:val="00B63863"/>
    <w:rsid w:val="00B638A4"/>
    <w:rsid w:val="00B638C1"/>
    <w:rsid w:val="00B638FE"/>
    <w:rsid w:val="00B63FAA"/>
    <w:rsid w:val="00B64126"/>
    <w:rsid w:val="00B64290"/>
    <w:rsid w:val="00B642EA"/>
    <w:rsid w:val="00B643CC"/>
    <w:rsid w:val="00B64A05"/>
    <w:rsid w:val="00B64C63"/>
    <w:rsid w:val="00B64CF5"/>
    <w:rsid w:val="00B64F70"/>
    <w:rsid w:val="00B65200"/>
    <w:rsid w:val="00B6529B"/>
    <w:rsid w:val="00B6573B"/>
    <w:rsid w:val="00B657DC"/>
    <w:rsid w:val="00B659FC"/>
    <w:rsid w:val="00B65B94"/>
    <w:rsid w:val="00B65BE5"/>
    <w:rsid w:val="00B65CDC"/>
    <w:rsid w:val="00B65F17"/>
    <w:rsid w:val="00B661E3"/>
    <w:rsid w:val="00B665E3"/>
    <w:rsid w:val="00B6665C"/>
    <w:rsid w:val="00B6691E"/>
    <w:rsid w:val="00B66BF5"/>
    <w:rsid w:val="00B67025"/>
    <w:rsid w:val="00B6705A"/>
    <w:rsid w:val="00B670B0"/>
    <w:rsid w:val="00B670CD"/>
    <w:rsid w:val="00B67106"/>
    <w:rsid w:val="00B671AD"/>
    <w:rsid w:val="00B6744B"/>
    <w:rsid w:val="00B675DC"/>
    <w:rsid w:val="00B70024"/>
    <w:rsid w:val="00B70539"/>
    <w:rsid w:val="00B7096C"/>
    <w:rsid w:val="00B70AB5"/>
    <w:rsid w:val="00B70EBD"/>
    <w:rsid w:val="00B71036"/>
    <w:rsid w:val="00B71230"/>
    <w:rsid w:val="00B714DF"/>
    <w:rsid w:val="00B7176A"/>
    <w:rsid w:val="00B7186B"/>
    <w:rsid w:val="00B719B2"/>
    <w:rsid w:val="00B71CBE"/>
    <w:rsid w:val="00B71F0A"/>
    <w:rsid w:val="00B71F0B"/>
    <w:rsid w:val="00B71FAE"/>
    <w:rsid w:val="00B7250A"/>
    <w:rsid w:val="00B72A9B"/>
    <w:rsid w:val="00B72BA6"/>
    <w:rsid w:val="00B72C15"/>
    <w:rsid w:val="00B72C55"/>
    <w:rsid w:val="00B7320D"/>
    <w:rsid w:val="00B73422"/>
    <w:rsid w:val="00B734DA"/>
    <w:rsid w:val="00B736EF"/>
    <w:rsid w:val="00B73C57"/>
    <w:rsid w:val="00B73EDE"/>
    <w:rsid w:val="00B740E9"/>
    <w:rsid w:val="00B7449B"/>
    <w:rsid w:val="00B7466A"/>
    <w:rsid w:val="00B7498C"/>
    <w:rsid w:val="00B7561F"/>
    <w:rsid w:val="00B75BDD"/>
    <w:rsid w:val="00B75C90"/>
    <w:rsid w:val="00B75EC2"/>
    <w:rsid w:val="00B75F12"/>
    <w:rsid w:val="00B75F99"/>
    <w:rsid w:val="00B76348"/>
    <w:rsid w:val="00B7692A"/>
    <w:rsid w:val="00B76D3A"/>
    <w:rsid w:val="00B76DB9"/>
    <w:rsid w:val="00B770CE"/>
    <w:rsid w:val="00B770E1"/>
    <w:rsid w:val="00B77353"/>
    <w:rsid w:val="00B77AB8"/>
    <w:rsid w:val="00B77BF4"/>
    <w:rsid w:val="00B77E42"/>
    <w:rsid w:val="00B8029C"/>
    <w:rsid w:val="00B80842"/>
    <w:rsid w:val="00B80C31"/>
    <w:rsid w:val="00B80EFE"/>
    <w:rsid w:val="00B81311"/>
    <w:rsid w:val="00B813A0"/>
    <w:rsid w:val="00B813A2"/>
    <w:rsid w:val="00B8162D"/>
    <w:rsid w:val="00B8185C"/>
    <w:rsid w:val="00B81B47"/>
    <w:rsid w:val="00B820BB"/>
    <w:rsid w:val="00B8211A"/>
    <w:rsid w:val="00B821F5"/>
    <w:rsid w:val="00B824F7"/>
    <w:rsid w:val="00B82A72"/>
    <w:rsid w:val="00B82C3D"/>
    <w:rsid w:val="00B82CD1"/>
    <w:rsid w:val="00B82D5E"/>
    <w:rsid w:val="00B8345F"/>
    <w:rsid w:val="00B835FD"/>
    <w:rsid w:val="00B83D66"/>
    <w:rsid w:val="00B8449B"/>
    <w:rsid w:val="00B84E5B"/>
    <w:rsid w:val="00B8518F"/>
    <w:rsid w:val="00B8519D"/>
    <w:rsid w:val="00B8551C"/>
    <w:rsid w:val="00B85D30"/>
    <w:rsid w:val="00B864BD"/>
    <w:rsid w:val="00B864ED"/>
    <w:rsid w:val="00B86914"/>
    <w:rsid w:val="00B86B1A"/>
    <w:rsid w:val="00B87199"/>
    <w:rsid w:val="00B871B2"/>
    <w:rsid w:val="00B8728A"/>
    <w:rsid w:val="00B8759F"/>
    <w:rsid w:val="00B87767"/>
    <w:rsid w:val="00B877C0"/>
    <w:rsid w:val="00B90F9A"/>
    <w:rsid w:val="00B91585"/>
    <w:rsid w:val="00B916F8"/>
    <w:rsid w:val="00B91D2E"/>
    <w:rsid w:val="00B921B5"/>
    <w:rsid w:val="00B927B9"/>
    <w:rsid w:val="00B92A39"/>
    <w:rsid w:val="00B92C98"/>
    <w:rsid w:val="00B92CE4"/>
    <w:rsid w:val="00B9331B"/>
    <w:rsid w:val="00B93337"/>
    <w:rsid w:val="00B93602"/>
    <w:rsid w:val="00B9390A"/>
    <w:rsid w:val="00B93DF6"/>
    <w:rsid w:val="00B93E63"/>
    <w:rsid w:val="00B9409B"/>
    <w:rsid w:val="00B9421B"/>
    <w:rsid w:val="00B94409"/>
    <w:rsid w:val="00B94562"/>
    <w:rsid w:val="00B94648"/>
    <w:rsid w:val="00B94B12"/>
    <w:rsid w:val="00B94EB5"/>
    <w:rsid w:val="00B950E7"/>
    <w:rsid w:val="00B95237"/>
    <w:rsid w:val="00B952B8"/>
    <w:rsid w:val="00B95AAE"/>
    <w:rsid w:val="00B95ADD"/>
    <w:rsid w:val="00B95E4F"/>
    <w:rsid w:val="00B95E6E"/>
    <w:rsid w:val="00B95F4E"/>
    <w:rsid w:val="00B96169"/>
    <w:rsid w:val="00B96825"/>
    <w:rsid w:val="00B9698E"/>
    <w:rsid w:val="00B969EC"/>
    <w:rsid w:val="00B96B61"/>
    <w:rsid w:val="00B96F09"/>
    <w:rsid w:val="00B970B0"/>
    <w:rsid w:val="00B9715E"/>
    <w:rsid w:val="00B974C8"/>
    <w:rsid w:val="00B97976"/>
    <w:rsid w:val="00BA09B1"/>
    <w:rsid w:val="00BA0BDE"/>
    <w:rsid w:val="00BA0CA2"/>
    <w:rsid w:val="00BA0E1C"/>
    <w:rsid w:val="00BA1296"/>
    <w:rsid w:val="00BA13BE"/>
    <w:rsid w:val="00BA181A"/>
    <w:rsid w:val="00BA195C"/>
    <w:rsid w:val="00BA1AF3"/>
    <w:rsid w:val="00BA1BF1"/>
    <w:rsid w:val="00BA1FAC"/>
    <w:rsid w:val="00BA2001"/>
    <w:rsid w:val="00BA2028"/>
    <w:rsid w:val="00BA2406"/>
    <w:rsid w:val="00BA2712"/>
    <w:rsid w:val="00BA2856"/>
    <w:rsid w:val="00BA2869"/>
    <w:rsid w:val="00BA28A0"/>
    <w:rsid w:val="00BA2D25"/>
    <w:rsid w:val="00BA3112"/>
    <w:rsid w:val="00BA31AE"/>
    <w:rsid w:val="00BA335E"/>
    <w:rsid w:val="00BA40CC"/>
    <w:rsid w:val="00BA43B1"/>
    <w:rsid w:val="00BA441E"/>
    <w:rsid w:val="00BA44E6"/>
    <w:rsid w:val="00BA493F"/>
    <w:rsid w:val="00BA4B2D"/>
    <w:rsid w:val="00BA4B3C"/>
    <w:rsid w:val="00BA4D8F"/>
    <w:rsid w:val="00BA4DDC"/>
    <w:rsid w:val="00BA51EF"/>
    <w:rsid w:val="00BA563F"/>
    <w:rsid w:val="00BA58E5"/>
    <w:rsid w:val="00BA5B7C"/>
    <w:rsid w:val="00BA5BE0"/>
    <w:rsid w:val="00BA5D02"/>
    <w:rsid w:val="00BA5FCB"/>
    <w:rsid w:val="00BA61AD"/>
    <w:rsid w:val="00BA64F6"/>
    <w:rsid w:val="00BA6634"/>
    <w:rsid w:val="00BA6B82"/>
    <w:rsid w:val="00BA6BEC"/>
    <w:rsid w:val="00BA6C62"/>
    <w:rsid w:val="00BA7466"/>
    <w:rsid w:val="00BA7C16"/>
    <w:rsid w:val="00BA7F63"/>
    <w:rsid w:val="00BA7FD0"/>
    <w:rsid w:val="00BB00DE"/>
    <w:rsid w:val="00BB09C2"/>
    <w:rsid w:val="00BB0D23"/>
    <w:rsid w:val="00BB1210"/>
    <w:rsid w:val="00BB13F9"/>
    <w:rsid w:val="00BB1814"/>
    <w:rsid w:val="00BB248F"/>
    <w:rsid w:val="00BB25C4"/>
    <w:rsid w:val="00BB2678"/>
    <w:rsid w:val="00BB26F6"/>
    <w:rsid w:val="00BB2E08"/>
    <w:rsid w:val="00BB2F0C"/>
    <w:rsid w:val="00BB3E86"/>
    <w:rsid w:val="00BB3F37"/>
    <w:rsid w:val="00BB3F9D"/>
    <w:rsid w:val="00BB4BDB"/>
    <w:rsid w:val="00BB4C53"/>
    <w:rsid w:val="00BB4CA9"/>
    <w:rsid w:val="00BB5853"/>
    <w:rsid w:val="00BB5CA2"/>
    <w:rsid w:val="00BB616B"/>
    <w:rsid w:val="00BB63BF"/>
    <w:rsid w:val="00BB65B4"/>
    <w:rsid w:val="00BB68ED"/>
    <w:rsid w:val="00BB75F5"/>
    <w:rsid w:val="00BB7EF0"/>
    <w:rsid w:val="00BC024A"/>
    <w:rsid w:val="00BC0283"/>
    <w:rsid w:val="00BC0825"/>
    <w:rsid w:val="00BC09D0"/>
    <w:rsid w:val="00BC0ADD"/>
    <w:rsid w:val="00BC0D66"/>
    <w:rsid w:val="00BC0D6D"/>
    <w:rsid w:val="00BC0E59"/>
    <w:rsid w:val="00BC0E8F"/>
    <w:rsid w:val="00BC102E"/>
    <w:rsid w:val="00BC122C"/>
    <w:rsid w:val="00BC13D4"/>
    <w:rsid w:val="00BC143D"/>
    <w:rsid w:val="00BC1615"/>
    <w:rsid w:val="00BC17F9"/>
    <w:rsid w:val="00BC188F"/>
    <w:rsid w:val="00BC1C18"/>
    <w:rsid w:val="00BC1C4B"/>
    <w:rsid w:val="00BC1C7B"/>
    <w:rsid w:val="00BC2333"/>
    <w:rsid w:val="00BC24C6"/>
    <w:rsid w:val="00BC2AC7"/>
    <w:rsid w:val="00BC2C7B"/>
    <w:rsid w:val="00BC2EB7"/>
    <w:rsid w:val="00BC322D"/>
    <w:rsid w:val="00BC3552"/>
    <w:rsid w:val="00BC36D1"/>
    <w:rsid w:val="00BC3881"/>
    <w:rsid w:val="00BC3A46"/>
    <w:rsid w:val="00BC3B5D"/>
    <w:rsid w:val="00BC3D46"/>
    <w:rsid w:val="00BC3D7C"/>
    <w:rsid w:val="00BC3DFD"/>
    <w:rsid w:val="00BC3F51"/>
    <w:rsid w:val="00BC3F79"/>
    <w:rsid w:val="00BC424A"/>
    <w:rsid w:val="00BC4250"/>
    <w:rsid w:val="00BC42B9"/>
    <w:rsid w:val="00BC4329"/>
    <w:rsid w:val="00BC449A"/>
    <w:rsid w:val="00BC46E9"/>
    <w:rsid w:val="00BC474B"/>
    <w:rsid w:val="00BC4D6E"/>
    <w:rsid w:val="00BC4F85"/>
    <w:rsid w:val="00BC5070"/>
    <w:rsid w:val="00BC52FD"/>
    <w:rsid w:val="00BC5567"/>
    <w:rsid w:val="00BC5729"/>
    <w:rsid w:val="00BC5C62"/>
    <w:rsid w:val="00BC5CE0"/>
    <w:rsid w:val="00BC62F2"/>
    <w:rsid w:val="00BC6425"/>
    <w:rsid w:val="00BC64CC"/>
    <w:rsid w:val="00BC69B7"/>
    <w:rsid w:val="00BC6A8C"/>
    <w:rsid w:val="00BC6B95"/>
    <w:rsid w:val="00BC6D77"/>
    <w:rsid w:val="00BC6ECB"/>
    <w:rsid w:val="00BC6EF9"/>
    <w:rsid w:val="00BC73DD"/>
    <w:rsid w:val="00BC73E1"/>
    <w:rsid w:val="00BC74BD"/>
    <w:rsid w:val="00BC7759"/>
    <w:rsid w:val="00BC77AF"/>
    <w:rsid w:val="00BC79E4"/>
    <w:rsid w:val="00BC7B2C"/>
    <w:rsid w:val="00BC7BB5"/>
    <w:rsid w:val="00BC7FE9"/>
    <w:rsid w:val="00BD0066"/>
    <w:rsid w:val="00BD0173"/>
    <w:rsid w:val="00BD0400"/>
    <w:rsid w:val="00BD0417"/>
    <w:rsid w:val="00BD0602"/>
    <w:rsid w:val="00BD09A9"/>
    <w:rsid w:val="00BD13A2"/>
    <w:rsid w:val="00BD19CA"/>
    <w:rsid w:val="00BD19F3"/>
    <w:rsid w:val="00BD1ABC"/>
    <w:rsid w:val="00BD25D3"/>
    <w:rsid w:val="00BD29AB"/>
    <w:rsid w:val="00BD3240"/>
    <w:rsid w:val="00BD3B11"/>
    <w:rsid w:val="00BD3F5A"/>
    <w:rsid w:val="00BD402B"/>
    <w:rsid w:val="00BD41A7"/>
    <w:rsid w:val="00BD434A"/>
    <w:rsid w:val="00BD4473"/>
    <w:rsid w:val="00BD46A2"/>
    <w:rsid w:val="00BD46EF"/>
    <w:rsid w:val="00BD4802"/>
    <w:rsid w:val="00BD494F"/>
    <w:rsid w:val="00BD4BAF"/>
    <w:rsid w:val="00BD4FFD"/>
    <w:rsid w:val="00BD506F"/>
    <w:rsid w:val="00BD5577"/>
    <w:rsid w:val="00BD5AB3"/>
    <w:rsid w:val="00BD63D6"/>
    <w:rsid w:val="00BD6A12"/>
    <w:rsid w:val="00BD6AA1"/>
    <w:rsid w:val="00BD6EFC"/>
    <w:rsid w:val="00BD7171"/>
    <w:rsid w:val="00BD76F5"/>
    <w:rsid w:val="00BD796B"/>
    <w:rsid w:val="00BD79BE"/>
    <w:rsid w:val="00BD7B38"/>
    <w:rsid w:val="00BD7B6D"/>
    <w:rsid w:val="00BD7CE4"/>
    <w:rsid w:val="00BD7D81"/>
    <w:rsid w:val="00BD7E8C"/>
    <w:rsid w:val="00BE03A8"/>
    <w:rsid w:val="00BE08A9"/>
    <w:rsid w:val="00BE0A1D"/>
    <w:rsid w:val="00BE0C5F"/>
    <w:rsid w:val="00BE0CA0"/>
    <w:rsid w:val="00BE1197"/>
    <w:rsid w:val="00BE11BE"/>
    <w:rsid w:val="00BE17EF"/>
    <w:rsid w:val="00BE1BAA"/>
    <w:rsid w:val="00BE1D6B"/>
    <w:rsid w:val="00BE2003"/>
    <w:rsid w:val="00BE20B6"/>
    <w:rsid w:val="00BE21B0"/>
    <w:rsid w:val="00BE2236"/>
    <w:rsid w:val="00BE23EA"/>
    <w:rsid w:val="00BE24B5"/>
    <w:rsid w:val="00BE283A"/>
    <w:rsid w:val="00BE285E"/>
    <w:rsid w:val="00BE2943"/>
    <w:rsid w:val="00BE294F"/>
    <w:rsid w:val="00BE2B11"/>
    <w:rsid w:val="00BE2CD3"/>
    <w:rsid w:val="00BE2F0A"/>
    <w:rsid w:val="00BE2FFC"/>
    <w:rsid w:val="00BE382F"/>
    <w:rsid w:val="00BE3A2D"/>
    <w:rsid w:val="00BE3A38"/>
    <w:rsid w:val="00BE3A3D"/>
    <w:rsid w:val="00BE3ABD"/>
    <w:rsid w:val="00BE3D89"/>
    <w:rsid w:val="00BE3FC1"/>
    <w:rsid w:val="00BE40D5"/>
    <w:rsid w:val="00BE4156"/>
    <w:rsid w:val="00BE4332"/>
    <w:rsid w:val="00BE43D5"/>
    <w:rsid w:val="00BE44DF"/>
    <w:rsid w:val="00BE4AFA"/>
    <w:rsid w:val="00BE4DA1"/>
    <w:rsid w:val="00BE57FB"/>
    <w:rsid w:val="00BE5DD7"/>
    <w:rsid w:val="00BE5EC4"/>
    <w:rsid w:val="00BE5EDF"/>
    <w:rsid w:val="00BE628D"/>
    <w:rsid w:val="00BE64CF"/>
    <w:rsid w:val="00BE6551"/>
    <w:rsid w:val="00BE661F"/>
    <w:rsid w:val="00BE6D4D"/>
    <w:rsid w:val="00BE6DF2"/>
    <w:rsid w:val="00BE6EA1"/>
    <w:rsid w:val="00BE744E"/>
    <w:rsid w:val="00BE7574"/>
    <w:rsid w:val="00BE7797"/>
    <w:rsid w:val="00BE7AF5"/>
    <w:rsid w:val="00BF0007"/>
    <w:rsid w:val="00BF026C"/>
    <w:rsid w:val="00BF040A"/>
    <w:rsid w:val="00BF04DB"/>
    <w:rsid w:val="00BF09CB"/>
    <w:rsid w:val="00BF10C3"/>
    <w:rsid w:val="00BF1123"/>
    <w:rsid w:val="00BF133D"/>
    <w:rsid w:val="00BF14FB"/>
    <w:rsid w:val="00BF1C62"/>
    <w:rsid w:val="00BF1DAB"/>
    <w:rsid w:val="00BF20AF"/>
    <w:rsid w:val="00BF239A"/>
    <w:rsid w:val="00BF2694"/>
    <w:rsid w:val="00BF30CF"/>
    <w:rsid w:val="00BF3E04"/>
    <w:rsid w:val="00BF41C7"/>
    <w:rsid w:val="00BF4963"/>
    <w:rsid w:val="00BF4AE3"/>
    <w:rsid w:val="00BF4CF6"/>
    <w:rsid w:val="00BF51FA"/>
    <w:rsid w:val="00BF53D0"/>
    <w:rsid w:val="00BF5551"/>
    <w:rsid w:val="00BF5BA6"/>
    <w:rsid w:val="00BF6656"/>
    <w:rsid w:val="00BF6DA9"/>
    <w:rsid w:val="00BF6FD3"/>
    <w:rsid w:val="00BF7375"/>
    <w:rsid w:val="00BF7615"/>
    <w:rsid w:val="00BF7B1B"/>
    <w:rsid w:val="00BF7C2F"/>
    <w:rsid w:val="00BF7C42"/>
    <w:rsid w:val="00BF7D3A"/>
    <w:rsid w:val="00BF7EC2"/>
    <w:rsid w:val="00C00256"/>
    <w:rsid w:val="00C0025F"/>
    <w:rsid w:val="00C00495"/>
    <w:rsid w:val="00C006DB"/>
    <w:rsid w:val="00C00B68"/>
    <w:rsid w:val="00C011CD"/>
    <w:rsid w:val="00C01A6D"/>
    <w:rsid w:val="00C01C74"/>
    <w:rsid w:val="00C01F91"/>
    <w:rsid w:val="00C01FA7"/>
    <w:rsid w:val="00C02007"/>
    <w:rsid w:val="00C02547"/>
    <w:rsid w:val="00C03180"/>
    <w:rsid w:val="00C031F2"/>
    <w:rsid w:val="00C036BE"/>
    <w:rsid w:val="00C038A1"/>
    <w:rsid w:val="00C038D2"/>
    <w:rsid w:val="00C03A1D"/>
    <w:rsid w:val="00C03AB9"/>
    <w:rsid w:val="00C03B35"/>
    <w:rsid w:val="00C03B43"/>
    <w:rsid w:val="00C03B99"/>
    <w:rsid w:val="00C03D18"/>
    <w:rsid w:val="00C03F4A"/>
    <w:rsid w:val="00C0406D"/>
    <w:rsid w:val="00C04212"/>
    <w:rsid w:val="00C0468F"/>
    <w:rsid w:val="00C046B3"/>
    <w:rsid w:val="00C04774"/>
    <w:rsid w:val="00C047A6"/>
    <w:rsid w:val="00C0489A"/>
    <w:rsid w:val="00C049A2"/>
    <w:rsid w:val="00C04F87"/>
    <w:rsid w:val="00C04FB6"/>
    <w:rsid w:val="00C0501F"/>
    <w:rsid w:val="00C05094"/>
    <w:rsid w:val="00C0530B"/>
    <w:rsid w:val="00C057C4"/>
    <w:rsid w:val="00C058BF"/>
    <w:rsid w:val="00C05C82"/>
    <w:rsid w:val="00C05EA2"/>
    <w:rsid w:val="00C05EA7"/>
    <w:rsid w:val="00C05EEC"/>
    <w:rsid w:val="00C05F43"/>
    <w:rsid w:val="00C061F0"/>
    <w:rsid w:val="00C06248"/>
    <w:rsid w:val="00C062BE"/>
    <w:rsid w:val="00C06512"/>
    <w:rsid w:val="00C06A74"/>
    <w:rsid w:val="00C06DBD"/>
    <w:rsid w:val="00C06E78"/>
    <w:rsid w:val="00C071BA"/>
    <w:rsid w:val="00C0725A"/>
    <w:rsid w:val="00C07A40"/>
    <w:rsid w:val="00C106C5"/>
    <w:rsid w:val="00C107D8"/>
    <w:rsid w:val="00C1088F"/>
    <w:rsid w:val="00C10922"/>
    <w:rsid w:val="00C10A20"/>
    <w:rsid w:val="00C10DAF"/>
    <w:rsid w:val="00C10F51"/>
    <w:rsid w:val="00C10F79"/>
    <w:rsid w:val="00C10FA7"/>
    <w:rsid w:val="00C112A0"/>
    <w:rsid w:val="00C11309"/>
    <w:rsid w:val="00C11324"/>
    <w:rsid w:val="00C113C7"/>
    <w:rsid w:val="00C11BA4"/>
    <w:rsid w:val="00C11D80"/>
    <w:rsid w:val="00C12001"/>
    <w:rsid w:val="00C12216"/>
    <w:rsid w:val="00C12231"/>
    <w:rsid w:val="00C122EE"/>
    <w:rsid w:val="00C12330"/>
    <w:rsid w:val="00C12949"/>
    <w:rsid w:val="00C129DD"/>
    <w:rsid w:val="00C12A4B"/>
    <w:rsid w:val="00C12AB1"/>
    <w:rsid w:val="00C12B35"/>
    <w:rsid w:val="00C12DCA"/>
    <w:rsid w:val="00C12DE3"/>
    <w:rsid w:val="00C12E12"/>
    <w:rsid w:val="00C1349C"/>
    <w:rsid w:val="00C13582"/>
    <w:rsid w:val="00C138BB"/>
    <w:rsid w:val="00C13CEE"/>
    <w:rsid w:val="00C13F91"/>
    <w:rsid w:val="00C14487"/>
    <w:rsid w:val="00C150E8"/>
    <w:rsid w:val="00C15632"/>
    <w:rsid w:val="00C15A2E"/>
    <w:rsid w:val="00C16A67"/>
    <w:rsid w:val="00C16C9F"/>
    <w:rsid w:val="00C16DF3"/>
    <w:rsid w:val="00C171A2"/>
    <w:rsid w:val="00C17643"/>
    <w:rsid w:val="00C17A09"/>
    <w:rsid w:val="00C17BCC"/>
    <w:rsid w:val="00C17CBF"/>
    <w:rsid w:val="00C20144"/>
    <w:rsid w:val="00C20288"/>
    <w:rsid w:val="00C2094B"/>
    <w:rsid w:val="00C20A7E"/>
    <w:rsid w:val="00C20D23"/>
    <w:rsid w:val="00C20F48"/>
    <w:rsid w:val="00C20F73"/>
    <w:rsid w:val="00C211B3"/>
    <w:rsid w:val="00C213B6"/>
    <w:rsid w:val="00C21470"/>
    <w:rsid w:val="00C214C4"/>
    <w:rsid w:val="00C214C6"/>
    <w:rsid w:val="00C214FC"/>
    <w:rsid w:val="00C21568"/>
    <w:rsid w:val="00C215F1"/>
    <w:rsid w:val="00C215FC"/>
    <w:rsid w:val="00C21615"/>
    <w:rsid w:val="00C21774"/>
    <w:rsid w:val="00C21A0F"/>
    <w:rsid w:val="00C21C79"/>
    <w:rsid w:val="00C21D3A"/>
    <w:rsid w:val="00C21DA6"/>
    <w:rsid w:val="00C22088"/>
    <w:rsid w:val="00C221A9"/>
    <w:rsid w:val="00C22269"/>
    <w:rsid w:val="00C22376"/>
    <w:rsid w:val="00C223AF"/>
    <w:rsid w:val="00C224A7"/>
    <w:rsid w:val="00C226B9"/>
    <w:rsid w:val="00C22993"/>
    <w:rsid w:val="00C22BC7"/>
    <w:rsid w:val="00C22D48"/>
    <w:rsid w:val="00C22D82"/>
    <w:rsid w:val="00C22DC4"/>
    <w:rsid w:val="00C234F0"/>
    <w:rsid w:val="00C2350C"/>
    <w:rsid w:val="00C23608"/>
    <w:rsid w:val="00C23A4E"/>
    <w:rsid w:val="00C23BAE"/>
    <w:rsid w:val="00C23CA4"/>
    <w:rsid w:val="00C23F46"/>
    <w:rsid w:val="00C24277"/>
    <w:rsid w:val="00C24284"/>
    <w:rsid w:val="00C24410"/>
    <w:rsid w:val="00C2453E"/>
    <w:rsid w:val="00C24809"/>
    <w:rsid w:val="00C24993"/>
    <w:rsid w:val="00C24C11"/>
    <w:rsid w:val="00C251C8"/>
    <w:rsid w:val="00C2529E"/>
    <w:rsid w:val="00C2555D"/>
    <w:rsid w:val="00C258CA"/>
    <w:rsid w:val="00C25AC8"/>
    <w:rsid w:val="00C25E03"/>
    <w:rsid w:val="00C25ECC"/>
    <w:rsid w:val="00C25F65"/>
    <w:rsid w:val="00C26378"/>
    <w:rsid w:val="00C26450"/>
    <w:rsid w:val="00C26D23"/>
    <w:rsid w:val="00C274D8"/>
    <w:rsid w:val="00C2752D"/>
    <w:rsid w:val="00C27564"/>
    <w:rsid w:val="00C27849"/>
    <w:rsid w:val="00C27852"/>
    <w:rsid w:val="00C278F3"/>
    <w:rsid w:val="00C27BB5"/>
    <w:rsid w:val="00C30164"/>
    <w:rsid w:val="00C30C9B"/>
    <w:rsid w:val="00C30D6F"/>
    <w:rsid w:val="00C30E23"/>
    <w:rsid w:val="00C30F6F"/>
    <w:rsid w:val="00C317D2"/>
    <w:rsid w:val="00C31BBE"/>
    <w:rsid w:val="00C320A5"/>
    <w:rsid w:val="00C320CC"/>
    <w:rsid w:val="00C3236E"/>
    <w:rsid w:val="00C323D2"/>
    <w:rsid w:val="00C324BA"/>
    <w:rsid w:val="00C324CD"/>
    <w:rsid w:val="00C329E8"/>
    <w:rsid w:val="00C32E49"/>
    <w:rsid w:val="00C32F7C"/>
    <w:rsid w:val="00C32FE8"/>
    <w:rsid w:val="00C33585"/>
    <w:rsid w:val="00C3364C"/>
    <w:rsid w:val="00C3476F"/>
    <w:rsid w:val="00C34785"/>
    <w:rsid w:val="00C34D06"/>
    <w:rsid w:val="00C34EF0"/>
    <w:rsid w:val="00C351C6"/>
    <w:rsid w:val="00C352E1"/>
    <w:rsid w:val="00C3570B"/>
    <w:rsid w:val="00C357BF"/>
    <w:rsid w:val="00C35869"/>
    <w:rsid w:val="00C35C7E"/>
    <w:rsid w:val="00C3622C"/>
    <w:rsid w:val="00C364F9"/>
    <w:rsid w:val="00C36511"/>
    <w:rsid w:val="00C36D3C"/>
    <w:rsid w:val="00C3716F"/>
    <w:rsid w:val="00C375A4"/>
    <w:rsid w:val="00C379EE"/>
    <w:rsid w:val="00C37B48"/>
    <w:rsid w:val="00C37E1B"/>
    <w:rsid w:val="00C40218"/>
    <w:rsid w:val="00C40248"/>
    <w:rsid w:val="00C404C9"/>
    <w:rsid w:val="00C405E9"/>
    <w:rsid w:val="00C40E4A"/>
    <w:rsid w:val="00C40F66"/>
    <w:rsid w:val="00C40FD2"/>
    <w:rsid w:val="00C40FD5"/>
    <w:rsid w:val="00C410CC"/>
    <w:rsid w:val="00C413BA"/>
    <w:rsid w:val="00C41775"/>
    <w:rsid w:val="00C41819"/>
    <w:rsid w:val="00C419BA"/>
    <w:rsid w:val="00C41FDD"/>
    <w:rsid w:val="00C42039"/>
    <w:rsid w:val="00C42135"/>
    <w:rsid w:val="00C42239"/>
    <w:rsid w:val="00C425EF"/>
    <w:rsid w:val="00C426D6"/>
    <w:rsid w:val="00C4289F"/>
    <w:rsid w:val="00C42EC0"/>
    <w:rsid w:val="00C42F14"/>
    <w:rsid w:val="00C4330F"/>
    <w:rsid w:val="00C43482"/>
    <w:rsid w:val="00C4367D"/>
    <w:rsid w:val="00C43BA5"/>
    <w:rsid w:val="00C43DD5"/>
    <w:rsid w:val="00C43DDC"/>
    <w:rsid w:val="00C43F23"/>
    <w:rsid w:val="00C44196"/>
    <w:rsid w:val="00C4433B"/>
    <w:rsid w:val="00C443A3"/>
    <w:rsid w:val="00C444FA"/>
    <w:rsid w:val="00C447B0"/>
    <w:rsid w:val="00C44B6E"/>
    <w:rsid w:val="00C44BF2"/>
    <w:rsid w:val="00C44C1F"/>
    <w:rsid w:val="00C44F50"/>
    <w:rsid w:val="00C450CE"/>
    <w:rsid w:val="00C45351"/>
    <w:rsid w:val="00C454E2"/>
    <w:rsid w:val="00C45784"/>
    <w:rsid w:val="00C45FE5"/>
    <w:rsid w:val="00C4620D"/>
    <w:rsid w:val="00C462E5"/>
    <w:rsid w:val="00C463E6"/>
    <w:rsid w:val="00C4642F"/>
    <w:rsid w:val="00C465F7"/>
    <w:rsid w:val="00C46796"/>
    <w:rsid w:val="00C467A0"/>
    <w:rsid w:val="00C46EFE"/>
    <w:rsid w:val="00C46F74"/>
    <w:rsid w:val="00C47221"/>
    <w:rsid w:val="00C47728"/>
    <w:rsid w:val="00C47A9C"/>
    <w:rsid w:val="00C47B14"/>
    <w:rsid w:val="00C47B22"/>
    <w:rsid w:val="00C47E84"/>
    <w:rsid w:val="00C507B7"/>
    <w:rsid w:val="00C508A7"/>
    <w:rsid w:val="00C508B5"/>
    <w:rsid w:val="00C50AC7"/>
    <w:rsid w:val="00C50D06"/>
    <w:rsid w:val="00C50ED9"/>
    <w:rsid w:val="00C50F9A"/>
    <w:rsid w:val="00C51AAB"/>
    <w:rsid w:val="00C51AAE"/>
    <w:rsid w:val="00C51AB6"/>
    <w:rsid w:val="00C51B97"/>
    <w:rsid w:val="00C51CE0"/>
    <w:rsid w:val="00C51FAF"/>
    <w:rsid w:val="00C52015"/>
    <w:rsid w:val="00C522DD"/>
    <w:rsid w:val="00C52329"/>
    <w:rsid w:val="00C524C4"/>
    <w:rsid w:val="00C5284C"/>
    <w:rsid w:val="00C5293E"/>
    <w:rsid w:val="00C53282"/>
    <w:rsid w:val="00C53356"/>
    <w:rsid w:val="00C535C6"/>
    <w:rsid w:val="00C53C58"/>
    <w:rsid w:val="00C53FAD"/>
    <w:rsid w:val="00C540DA"/>
    <w:rsid w:val="00C5418D"/>
    <w:rsid w:val="00C54AA2"/>
    <w:rsid w:val="00C55082"/>
    <w:rsid w:val="00C5562D"/>
    <w:rsid w:val="00C55A0A"/>
    <w:rsid w:val="00C55A2B"/>
    <w:rsid w:val="00C55AAF"/>
    <w:rsid w:val="00C55BF9"/>
    <w:rsid w:val="00C55EF3"/>
    <w:rsid w:val="00C55FEE"/>
    <w:rsid w:val="00C56199"/>
    <w:rsid w:val="00C563AF"/>
    <w:rsid w:val="00C563CA"/>
    <w:rsid w:val="00C563F7"/>
    <w:rsid w:val="00C568BA"/>
    <w:rsid w:val="00C56E74"/>
    <w:rsid w:val="00C57190"/>
    <w:rsid w:val="00C572B7"/>
    <w:rsid w:val="00C5731E"/>
    <w:rsid w:val="00C577A5"/>
    <w:rsid w:val="00C600C5"/>
    <w:rsid w:val="00C605C7"/>
    <w:rsid w:val="00C6069E"/>
    <w:rsid w:val="00C60A01"/>
    <w:rsid w:val="00C60E11"/>
    <w:rsid w:val="00C61002"/>
    <w:rsid w:val="00C612CE"/>
    <w:rsid w:val="00C6178C"/>
    <w:rsid w:val="00C61BE3"/>
    <w:rsid w:val="00C61D4A"/>
    <w:rsid w:val="00C61EB7"/>
    <w:rsid w:val="00C6218A"/>
    <w:rsid w:val="00C625E6"/>
    <w:rsid w:val="00C62996"/>
    <w:rsid w:val="00C62F97"/>
    <w:rsid w:val="00C62FCE"/>
    <w:rsid w:val="00C63685"/>
    <w:rsid w:val="00C6390E"/>
    <w:rsid w:val="00C639BD"/>
    <w:rsid w:val="00C63B15"/>
    <w:rsid w:val="00C63B1D"/>
    <w:rsid w:val="00C63B5D"/>
    <w:rsid w:val="00C63BF5"/>
    <w:rsid w:val="00C642CB"/>
    <w:rsid w:val="00C645D1"/>
    <w:rsid w:val="00C64616"/>
    <w:rsid w:val="00C64AA7"/>
    <w:rsid w:val="00C64D17"/>
    <w:rsid w:val="00C6561A"/>
    <w:rsid w:val="00C6572F"/>
    <w:rsid w:val="00C65816"/>
    <w:rsid w:val="00C65A92"/>
    <w:rsid w:val="00C65D3B"/>
    <w:rsid w:val="00C65DDB"/>
    <w:rsid w:val="00C65FE4"/>
    <w:rsid w:val="00C65FEF"/>
    <w:rsid w:val="00C661A3"/>
    <w:rsid w:val="00C661C4"/>
    <w:rsid w:val="00C6696F"/>
    <w:rsid w:val="00C66EB0"/>
    <w:rsid w:val="00C671F8"/>
    <w:rsid w:val="00C675C9"/>
    <w:rsid w:val="00C678B8"/>
    <w:rsid w:val="00C70079"/>
    <w:rsid w:val="00C701B0"/>
    <w:rsid w:val="00C705EB"/>
    <w:rsid w:val="00C7066C"/>
    <w:rsid w:val="00C706A6"/>
    <w:rsid w:val="00C70911"/>
    <w:rsid w:val="00C711E9"/>
    <w:rsid w:val="00C71280"/>
    <w:rsid w:val="00C714C5"/>
    <w:rsid w:val="00C714D6"/>
    <w:rsid w:val="00C71632"/>
    <w:rsid w:val="00C71966"/>
    <w:rsid w:val="00C71B65"/>
    <w:rsid w:val="00C724DA"/>
    <w:rsid w:val="00C7273E"/>
    <w:rsid w:val="00C72AC8"/>
    <w:rsid w:val="00C730A7"/>
    <w:rsid w:val="00C7323B"/>
    <w:rsid w:val="00C73852"/>
    <w:rsid w:val="00C73C0D"/>
    <w:rsid w:val="00C73E3A"/>
    <w:rsid w:val="00C73FAA"/>
    <w:rsid w:val="00C74249"/>
    <w:rsid w:val="00C748B3"/>
    <w:rsid w:val="00C74B19"/>
    <w:rsid w:val="00C74BE0"/>
    <w:rsid w:val="00C74FA7"/>
    <w:rsid w:val="00C7501D"/>
    <w:rsid w:val="00C7516A"/>
    <w:rsid w:val="00C75316"/>
    <w:rsid w:val="00C75F14"/>
    <w:rsid w:val="00C76065"/>
    <w:rsid w:val="00C761A8"/>
    <w:rsid w:val="00C761BA"/>
    <w:rsid w:val="00C7623E"/>
    <w:rsid w:val="00C762A1"/>
    <w:rsid w:val="00C76579"/>
    <w:rsid w:val="00C76698"/>
    <w:rsid w:val="00C76F8A"/>
    <w:rsid w:val="00C7752D"/>
    <w:rsid w:val="00C775B6"/>
    <w:rsid w:val="00C77943"/>
    <w:rsid w:val="00C77D04"/>
    <w:rsid w:val="00C8082B"/>
    <w:rsid w:val="00C8085F"/>
    <w:rsid w:val="00C80D1E"/>
    <w:rsid w:val="00C80DD6"/>
    <w:rsid w:val="00C80E2E"/>
    <w:rsid w:val="00C81297"/>
    <w:rsid w:val="00C81742"/>
    <w:rsid w:val="00C817F3"/>
    <w:rsid w:val="00C81AA2"/>
    <w:rsid w:val="00C81B50"/>
    <w:rsid w:val="00C81EBA"/>
    <w:rsid w:val="00C81F00"/>
    <w:rsid w:val="00C81FFB"/>
    <w:rsid w:val="00C8200D"/>
    <w:rsid w:val="00C82581"/>
    <w:rsid w:val="00C82592"/>
    <w:rsid w:val="00C82621"/>
    <w:rsid w:val="00C827EA"/>
    <w:rsid w:val="00C82861"/>
    <w:rsid w:val="00C82D61"/>
    <w:rsid w:val="00C82DFA"/>
    <w:rsid w:val="00C832F1"/>
    <w:rsid w:val="00C837AC"/>
    <w:rsid w:val="00C83CCF"/>
    <w:rsid w:val="00C8404F"/>
    <w:rsid w:val="00C8466D"/>
    <w:rsid w:val="00C84672"/>
    <w:rsid w:val="00C84922"/>
    <w:rsid w:val="00C84F7D"/>
    <w:rsid w:val="00C856E3"/>
    <w:rsid w:val="00C856EC"/>
    <w:rsid w:val="00C857AE"/>
    <w:rsid w:val="00C8593D"/>
    <w:rsid w:val="00C85D4C"/>
    <w:rsid w:val="00C86574"/>
    <w:rsid w:val="00C865B5"/>
    <w:rsid w:val="00C86867"/>
    <w:rsid w:val="00C86BB7"/>
    <w:rsid w:val="00C87042"/>
    <w:rsid w:val="00C87C79"/>
    <w:rsid w:val="00C87F5E"/>
    <w:rsid w:val="00C90317"/>
    <w:rsid w:val="00C904D2"/>
    <w:rsid w:val="00C9065B"/>
    <w:rsid w:val="00C90B55"/>
    <w:rsid w:val="00C90B5F"/>
    <w:rsid w:val="00C90DBF"/>
    <w:rsid w:val="00C90E59"/>
    <w:rsid w:val="00C9113B"/>
    <w:rsid w:val="00C913C9"/>
    <w:rsid w:val="00C915BA"/>
    <w:rsid w:val="00C917D9"/>
    <w:rsid w:val="00C91FAE"/>
    <w:rsid w:val="00C92174"/>
    <w:rsid w:val="00C92739"/>
    <w:rsid w:val="00C92971"/>
    <w:rsid w:val="00C92D93"/>
    <w:rsid w:val="00C932DC"/>
    <w:rsid w:val="00C933FB"/>
    <w:rsid w:val="00C934E6"/>
    <w:rsid w:val="00C937C8"/>
    <w:rsid w:val="00C93B79"/>
    <w:rsid w:val="00C93C13"/>
    <w:rsid w:val="00C940B9"/>
    <w:rsid w:val="00C9437C"/>
    <w:rsid w:val="00C945C9"/>
    <w:rsid w:val="00C94AC2"/>
    <w:rsid w:val="00C951CC"/>
    <w:rsid w:val="00C95323"/>
    <w:rsid w:val="00C954B7"/>
    <w:rsid w:val="00C955AC"/>
    <w:rsid w:val="00C9561D"/>
    <w:rsid w:val="00C9581D"/>
    <w:rsid w:val="00C95951"/>
    <w:rsid w:val="00C95DA2"/>
    <w:rsid w:val="00C95DEF"/>
    <w:rsid w:val="00C95F4A"/>
    <w:rsid w:val="00C9613E"/>
    <w:rsid w:val="00C9677B"/>
    <w:rsid w:val="00C96A20"/>
    <w:rsid w:val="00C97069"/>
    <w:rsid w:val="00C974E0"/>
    <w:rsid w:val="00C97536"/>
    <w:rsid w:val="00C976B1"/>
    <w:rsid w:val="00C97766"/>
    <w:rsid w:val="00C97988"/>
    <w:rsid w:val="00C97CF8"/>
    <w:rsid w:val="00C97EDF"/>
    <w:rsid w:val="00CA093C"/>
    <w:rsid w:val="00CA0CAE"/>
    <w:rsid w:val="00CA0CFC"/>
    <w:rsid w:val="00CA1042"/>
    <w:rsid w:val="00CA1082"/>
    <w:rsid w:val="00CA16D9"/>
    <w:rsid w:val="00CA189F"/>
    <w:rsid w:val="00CA1D54"/>
    <w:rsid w:val="00CA1EF1"/>
    <w:rsid w:val="00CA1EF5"/>
    <w:rsid w:val="00CA2A0A"/>
    <w:rsid w:val="00CA2A28"/>
    <w:rsid w:val="00CA2AD7"/>
    <w:rsid w:val="00CA2D12"/>
    <w:rsid w:val="00CA2FDD"/>
    <w:rsid w:val="00CA31D1"/>
    <w:rsid w:val="00CA3487"/>
    <w:rsid w:val="00CA3D60"/>
    <w:rsid w:val="00CA403D"/>
    <w:rsid w:val="00CA4136"/>
    <w:rsid w:val="00CA4179"/>
    <w:rsid w:val="00CA4466"/>
    <w:rsid w:val="00CA4550"/>
    <w:rsid w:val="00CA45EC"/>
    <w:rsid w:val="00CA464B"/>
    <w:rsid w:val="00CA4659"/>
    <w:rsid w:val="00CA48F2"/>
    <w:rsid w:val="00CA4D85"/>
    <w:rsid w:val="00CA4F12"/>
    <w:rsid w:val="00CA4FDC"/>
    <w:rsid w:val="00CA508A"/>
    <w:rsid w:val="00CA50A7"/>
    <w:rsid w:val="00CA50F7"/>
    <w:rsid w:val="00CA55D9"/>
    <w:rsid w:val="00CA5972"/>
    <w:rsid w:val="00CA5B21"/>
    <w:rsid w:val="00CA5F23"/>
    <w:rsid w:val="00CA62E8"/>
    <w:rsid w:val="00CA63A7"/>
    <w:rsid w:val="00CA63D5"/>
    <w:rsid w:val="00CA684E"/>
    <w:rsid w:val="00CA6B75"/>
    <w:rsid w:val="00CA6E6C"/>
    <w:rsid w:val="00CA6EEB"/>
    <w:rsid w:val="00CA6F4D"/>
    <w:rsid w:val="00CA7BCD"/>
    <w:rsid w:val="00CA7CD4"/>
    <w:rsid w:val="00CA7FE6"/>
    <w:rsid w:val="00CB0C5E"/>
    <w:rsid w:val="00CB0F57"/>
    <w:rsid w:val="00CB1424"/>
    <w:rsid w:val="00CB14CB"/>
    <w:rsid w:val="00CB1713"/>
    <w:rsid w:val="00CB18A8"/>
    <w:rsid w:val="00CB1910"/>
    <w:rsid w:val="00CB1B3A"/>
    <w:rsid w:val="00CB1F5B"/>
    <w:rsid w:val="00CB2020"/>
    <w:rsid w:val="00CB20A0"/>
    <w:rsid w:val="00CB21A1"/>
    <w:rsid w:val="00CB2450"/>
    <w:rsid w:val="00CB2690"/>
    <w:rsid w:val="00CB2943"/>
    <w:rsid w:val="00CB2A79"/>
    <w:rsid w:val="00CB2B26"/>
    <w:rsid w:val="00CB2E74"/>
    <w:rsid w:val="00CB32B0"/>
    <w:rsid w:val="00CB3C32"/>
    <w:rsid w:val="00CB3D1D"/>
    <w:rsid w:val="00CB3D5C"/>
    <w:rsid w:val="00CB3D74"/>
    <w:rsid w:val="00CB4285"/>
    <w:rsid w:val="00CB4552"/>
    <w:rsid w:val="00CB47F1"/>
    <w:rsid w:val="00CB4846"/>
    <w:rsid w:val="00CB4F05"/>
    <w:rsid w:val="00CB52C2"/>
    <w:rsid w:val="00CB5300"/>
    <w:rsid w:val="00CB5602"/>
    <w:rsid w:val="00CB582F"/>
    <w:rsid w:val="00CB58D0"/>
    <w:rsid w:val="00CB59AC"/>
    <w:rsid w:val="00CB5C2F"/>
    <w:rsid w:val="00CB5DD2"/>
    <w:rsid w:val="00CB655C"/>
    <w:rsid w:val="00CB66A6"/>
    <w:rsid w:val="00CB68DC"/>
    <w:rsid w:val="00CB6B78"/>
    <w:rsid w:val="00CB6E44"/>
    <w:rsid w:val="00CB716E"/>
    <w:rsid w:val="00CB72F6"/>
    <w:rsid w:val="00CB7394"/>
    <w:rsid w:val="00CB744C"/>
    <w:rsid w:val="00CB772B"/>
    <w:rsid w:val="00CB7DBF"/>
    <w:rsid w:val="00CC0312"/>
    <w:rsid w:val="00CC0754"/>
    <w:rsid w:val="00CC0896"/>
    <w:rsid w:val="00CC0CDC"/>
    <w:rsid w:val="00CC0E8B"/>
    <w:rsid w:val="00CC0F6C"/>
    <w:rsid w:val="00CC1176"/>
    <w:rsid w:val="00CC1CE4"/>
    <w:rsid w:val="00CC1EAF"/>
    <w:rsid w:val="00CC228B"/>
    <w:rsid w:val="00CC2354"/>
    <w:rsid w:val="00CC2C4D"/>
    <w:rsid w:val="00CC3114"/>
    <w:rsid w:val="00CC3366"/>
    <w:rsid w:val="00CC339C"/>
    <w:rsid w:val="00CC3871"/>
    <w:rsid w:val="00CC3A52"/>
    <w:rsid w:val="00CC3C03"/>
    <w:rsid w:val="00CC46DB"/>
    <w:rsid w:val="00CC46EC"/>
    <w:rsid w:val="00CC4863"/>
    <w:rsid w:val="00CC4D45"/>
    <w:rsid w:val="00CC53E0"/>
    <w:rsid w:val="00CC5645"/>
    <w:rsid w:val="00CC5704"/>
    <w:rsid w:val="00CC6289"/>
    <w:rsid w:val="00CC629D"/>
    <w:rsid w:val="00CC669F"/>
    <w:rsid w:val="00CC6E5D"/>
    <w:rsid w:val="00CC7086"/>
    <w:rsid w:val="00CC72B3"/>
    <w:rsid w:val="00CC7AD4"/>
    <w:rsid w:val="00CC7DBE"/>
    <w:rsid w:val="00CC7EF9"/>
    <w:rsid w:val="00CC7F15"/>
    <w:rsid w:val="00CD032E"/>
    <w:rsid w:val="00CD035C"/>
    <w:rsid w:val="00CD0741"/>
    <w:rsid w:val="00CD0EE5"/>
    <w:rsid w:val="00CD0F88"/>
    <w:rsid w:val="00CD1176"/>
    <w:rsid w:val="00CD143E"/>
    <w:rsid w:val="00CD144F"/>
    <w:rsid w:val="00CD1512"/>
    <w:rsid w:val="00CD154E"/>
    <w:rsid w:val="00CD18E3"/>
    <w:rsid w:val="00CD2046"/>
    <w:rsid w:val="00CD2091"/>
    <w:rsid w:val="00CD21FD"/>
    <w:rsid w:val="00CD2DC0"/>
    <w:rsid w:val="00CD31C4"/>
    <w:rsid w:val="00CD39F9"/>
    <w:rsid w:val="00CD3CDE"/>
    <w:rsid w:val="00CD3F34"/>
    <w:rsid w:val="00CD4257"/>
    <w:rsid w:val="00CD4864"/>
    <w:rsid w:val="00CD4ABD"/>
    <w:rsid w:val="00CD4BF3"/>
    <w:rsid w:val="00CD5B2D"/>
    <w:rsid w:val="00CD5F8E"/>
    <w:rsid w:val="00CD63EB"/>
    <w:rsid w:val="00CD64B7"/>
    <w:rsid w:val="00CD6A6B"/>
    <w:rsid w:val="00CD744C"/>
    <w:rsid w:val="00CD7547"/>
    <w:rsid w:val="00CD78DA"/>
    <w:rsid w:val="00CD7935"/>
    <w:rsid w:val="00CD7B30"/>
    <w:rsid w:val="00CE02FD"/>
    <w:rsid w:val="00CE03E6"/>
    <w:rsid w:val="00CE04B0"/>
    <w:rsid w:val="00CE061E"/>
    <w:rsid w:val="00CE0749"/>
    <w:rsid w:val="00CE0B76"/>
    <w:rsid w:val="00CE0C6A"/>
    <w:rsid w:val="00CE0E4A"/>
    <w:rsid w:val="00CE0FF2"/>
    <w:rsid w:val="00CE1004"/>
    <w:rsid w:val="00CE13C1"/>
    <w:rsid w:val="00CE14AD"/>
    <w:rsid w:val="00CE1A42"/>
    <w:rsid w:val="00CE2012"/>
    <w:rsid w:val="00CE240E"/>
    <w:rsid w:val="00CE2489"/>
    <w:rsid w:val="00CE25D0"/>
    <w:rsid w:val="00CE2777"/>
    <w:rsid w:val="00CE27F4"/>
    <w:rsid w:val="00CE2BF1"/>
    <w:rsid w:val="00CE2F7F"/>
    <w:rsid w:val="00CE37F0"/>
    <w:rsid w:val="00CE3849"/>
    <w:rsid w:val="00CE3A5A"/>
    <w:rsid w:val="00CE3AAA"/>
    <w:rsid w:val="00CE3C84"/>
    <w:rsid w:val="00CE41E6"/>
    <w:rsid w:val="00CE4384"/>
    <w:rsid w:val="00CE439F"/>
    <w:rsid w:val="00CE455C"/>
    <w:rsid w:val="00CE46ED"/>
    <w:rsid w:val="00CE483C"/>
    <w:rsid w:val="00CE4BCC"/>
    <w:rsid w:val="00CE53DA"/>
    <w:rsid w:val="00CE57DC"/>
    <w:rsid w:val="00CE5DCD"/>
    <w:rsid w:val="00CE5E05"/>
    <w:rsid w:val="00CE5ECB"/>
    <w:rsid w:val="00CE63DA"/>
    <w:rsid w:val="00CE6514"/>
    <w:rsid w:val="00CE67ED"/>
    <w:rsid w:val="00CE6929"/>
    <w:rsid w:val="00CE7604"/>
    <w:rsid w:val="00CE7726"/>
    <w:rsid w:val="00CF0149"/>
    <w:rsid w:val="00CF076B"/>
    <w:rsid w:val="00CF0792"/>
    <w:rsid w:val="00CF07ED"/>
    <w:rsid w:val="00CF0AC8"/>
    <w:rsid w:val="00CF0D5D"/>
    <w:rsid w:val="00CF1076"/>
    <w:rsid w:val="00CF10E1"/>
    <w:rsid w:val="00CF1BD0"/>
    <w:rsid w:val="00CF1CDA"/>
    <w:rsid w:val="00CF1F2D"/>
    <w:rsid w:val="00CF20C2"/>
    <w:rsid w:val="00CF329B"/>
    <w:rsid w:val="00CF3555"/>
    <w:rsid w:val="00CF393A"/>
    <w:rsid w:val="00CF3B26"/>
    <w:rsid w:val="00CF4171"/>
    <w:rsid w:val="00CF4226"/>
    <w:rsid w:val="00CF433D"/>
    <w:rsid w:val="00CF4720"/>
    <w:rsid w:val="00CF4C4F"/>
    <w:rsid w:val="00CF51AD"/>
    <w:rsid w:val="00CF551D"/>
    <w:rsid w:val="00CF5855"/>
    <w:rsid w:val="00CF59FF"/>
    <w:rsid w:val="00CF5ABC"/>
    <w:rsid w:val="00CF5CDC"/>
    <w:rsid w:val="00CF5E82"/>
    <w:rsid w:val="00CF617F"/>
    <w:rsid w:val="00CF6471"/>
    <w:rsid w:val="00CF64DF"/>
    <w:rsid w:val="00CF6640"/>
    <w:rsid w:val="00CF689B"/>
    <w:rsid w:val="00CF6C52"/>
    <w:rsid w:val="00CF73CA"/>
    <w:rsid w:val="00CF77EB"/>
    <w:rsid w:val="00CF7A37"/>
    <w:rsid w:val="00CF7B51"/>
    <w:rsid w:val="00CF7D39"/>
    <w:rsid w:val="00CF7EB3"/>
    <w:rsid w:val="00D0013E"/>
    <w:rsid w:val="00D00951"/>
    <w:rsid w:val="00D00963"/>
    <w:rsid w:val="00D00BCF"/>
    <w:rsid w:val="00D00F69"/>
    <w:rsid w:val="00D00FAD"/>
    <w:rsid w:val="00D0104A"/>
    <w:rsid w:val="00D01160"/>
    <w:rsid w:val="00D01358"/>
    <w:rsid w:val="00D0145B"/>
    <w:rsid w:val="00D01481"/>
    <w:rsid w:val="00D01829"/>
    <w:rsid w:val="00D01DF9"/>
    <w:rsid w:val="00D01EBC"/>
    <w:rsid w:val="00D01EED"/>
    <w:rsid w:val="00D01F24"/>
    <w:rsid w:val="00D022F0"/>
    <w:rsid w:val="00D024F8"/>
    <w:rsid w:val="00D02602"/>
    <w:rsid w:val="00D02808"/>
    <w:rsid w:val="00D0284E"/>
    <w:rsid w:val="00D02B34"/>
    <w:rsid w:val="00D02D85"/>
    <w:rsid w:val="00D02FF7"/>
    <w:rsid w:val="00D0311C"/>
    <w:rsid w:val="00D031DF"/>
    <w:rsid w:val="00D0324F"/>
    <w:rsid w:val="00D03A76"/>
    <w:rsid w:val="00D03A7F"/>
    <w:rsid w:val="00D03E00"/>
    <w:rsid w:val="00D0434C"/>
    <w:rsid w:val="00D0467E"/>
    <w:rsid w:val="00D046FB"/>
    <w:rsid w:val="00D04869"/>
    <w:rsid w:val="00D04D33"/>
    <w:rsid w:val="00D04D6F"/>
    <w:rsid w:val="00D04D9D"/>
    <w:rsid w:val="00D055A9"/>
    <w:rsid w:val="00D059B4"/>
    <w:rsid w:val="00D05BCC"/>
    <w:rsid w:val="00D06314"/>
    <w:rsid w:val="00D067EA"/>
    <w:rsid w:val="00D0682C"/>
    <w:rsid w:val="00D06C13"/>
    <w:rsid w:val="00D06E63"/>
    <w:rsid w:val="00D06F98"/>
    <w:rsid w:val="00D0756C"/>
    <w:rsid w:val="00D07853"/>
    <w:rsid w:val="00D07963"/>
    <w:rsid w:val="00D1063D"/>
    <w:rsid w:val="00D10805"/>
    <w:rsid w:val="00D10D43"/>
    <w:rsid w:val="00D10D5A"/>
    <w:rsid w:val="00D10ECC"/>
    <w:rsid w:val="00D115C1"/>
    <w:rsid w:val="00D11CB2"/>
    <w:rsid w:val="00D11D45"/>
    <w:rsid w:val="00D11F05"/>
    <w:rsid w:val="00D12937"/>
    <w:rsid w:val="00D129CB"/>
    <w:rsid w:val="00D13A47"/>
    <w:rsid w:val="00D13BB1"/>
    <w:rsid w:val="00D13D39"/>
    <w:rsid w:val="00D14004"/>
    <w:rsid w:val="00D141F0"/>
    <w:rsid w:val="00D14B8F"/>
    <w:rsid w:val="00D14C17"/>
    <w:rsid w:val="00D154A9"/>
    <w:rsid w:val="00D15682"/>
    <w:rsid w:val="00D159D4"/>
    <w:rsid w:val="00D15B38"/>
    <w:rsid w:val="00D15FD2"/>
    <w:rsid w:val="00D16150"/>
    <w:rsid w:val="00D16233"/>
    <w:rsid w:val="00D1638D"/>
    <w:rsid w:val="00D16600"/>
    <w:rsid w:val="00D16985"/>
    <w:rsid w:val="00D176CE"/>
    <w:rsid w:val="00D178EB"/>
    <w:rsid w:val="00D17980"/>
    <w:rsid w:val="00D17D73"/>
    <w:rsid w:val="00D20566"/>
    <w:rsid w:val="00D2068A"/>
    <w:rsid w:val="00D208F2"/>
    <w:rsid w:val="00D20987"/>
    <w:rsid w:val="00D20D07"/>
    <w:rsid w:val="00D2148C"/>
    <w:rsid w:val="00D216A3"/>
    <w:rsid w:val="00D216A4"/>
    <w:rsid w:val="00D216AE"/>
    <w:rsid w:val="00D216BC"/>
    <w:rsid w:val="00D218BA"/>
    <w:rsid w:val="00D21A49"/>
    <w:rsid w:val="00D21B19"/>
    <w:rsid w:val="00D224C5"/>
    <w:rsid w:val="00D22BDA"/>
    <w:rsid w:val="00D2355E"/>
    <w:rsid w:val="00D23851"/>
    <w:rsid w:val="00D23921"/>
    <w:rsid w:val="00D23EBA"/>
    <w:rsid w:val="00D23F26"/>
    <w:rsid w:val="00D240BB"/>
    <w:rsid w:val="00D2431F"/>
    <w:rsid w:val="00D243C0"/>
    <w:rsid w:val="00D244DF"/>
    <w:rsid w:val="00D24681"/>
    <w:rsid w:val="00D24F44"/>
    <w:rsid w:val="00D257A4"/>
    <w:rsid w:val="00D25DFB"/>
    <w:rsid w:val="00D260B4"/>
    <w:rsid w:val="00D26320"/>
    <w:rsid w:val="00D269ED"/>
    <w:rsid w:val="00D26B7A"/>
    <w:rsid w:val="00D26F8A"/>
    <w:rsid w:val="00D274BB"/>
    <w:rsid w:val="00D278E7"/>
    <w:rsid w:val="00D27B23"/>
    <w:rsid w:val="00D27B24"/>
    <w:rsid w:val="00D27D2A"/>
    <w:rsid w:val="00D3079D"/>
    <w:rsid w:val="00D30899"/>
    <w:rsid w:val="00D31416"/>
    <w:rsid w:val="00D317DA"/>
    <w:rsid w:val="00D31A60"/>
    <w:rsid w:val="00D31A9D"/>
    <w:rsid w:val="00D32149"/>
    <w:rsid w:val="00D3225B"/>
    <w:rsid w:val="00D326FE"/>
    <w:rsid w:val="00D32983"/>
    <w:rsid w:val="00D32A78"/>
    <w:rsid w:val="00D32AC2"/>
    <w:rsid w:val="00D32D5F"/>
    <w:rsid w:val="00D32FA9"/>
    <w:rsid w:val="00D330D5"/>
    <w:rsid w:val="00D335F9"/>
    <w:rsid w:val="00D33A10"/>
    <w:rsid w:val="00D341E1"/>
    <w:rsid w:val="00D343E4"/>
    <w:rsid w:val="00D34477"/>
    <w:rsid w:val="00D344B1"/>
    <w:rsid w:val="00D3456C"/>
    <w:rsid w:val="00D34CA4"/>
    <w:rsid w:val="00D34CE5"/>
    <w:rsid w:val="00D34CF7"/>
    <w:rsid w:val="00D34D01"/>
    <w:rsid w:val="00D35008"/>
    <w:rsid w:val="00D351AB"/>
    <w:rsid w:val="00D352A5"/>
    <w:rsid w:val="00D35A8C"/>
    <w:rsid w:val="00D35D5B"/>
    <w:rsid w:val="00D36199"/>
    <w:rsid w:val="00D367EA"/>
    <w:rsid w:val="00D36DE7"/>
    <w:rsid w:val="00D37172"/>
    <w:rsid w:val="00D376FA"/>
    <w:rsid w:val="00D37A29"/>
    <w:rsid w:val="00D37BD2"/>
    <w:rsid w:val="00D40092"/>
    <w:rsid w:val="00D40843"/>
    <w:rsid w:val="00D408B3"/>
    <w:rsid w:val="00D40C89"/>
    <w:rsid w:val="00D40D8B"/>
    <w:rsid w:val="00D41088"/>
    <w:rsid w:val="00D4157D"/>
    <w:rsid w:val="00D41647"/>
    <w:rsid w:val="00D41AA8"/>
    <w:rsid w:val="00D41DD1"/>
    <w:rsid w:val="00D42CEA"/>
    <w:rsid w:val="00D42F5A"/>
    <w:rsid w:val="00D4300C"/>
    <w:rsid w:val="00D43029"/>
    <w:rsid w:val="00D43597"/>
    <w:rsid w:val="00D439FD"/>
    <w:rsid w:val="00D43AEC"/>
    <w:rsid w:val="00D43BB5"/>
    <w:rsid w:val="00D43C62"/>
    <w:rsid w:val="00D43E9D"/>
    <w:rsid w:val="00D43ED2"/>
    <w:rsid w:val="00D44048"/>
    <w:rsid w:val="00D4417C"/>
    <w:rsid w:val="00D4447E"/>
    <w:rsid w:val="00D4452A"/>
    <w:rsid w:val="00D44A3A"/>
    <w:rsid w:val="00D45199"/>
    <w:rsid w:val="00D4533E"/>
    <w:rsid w:val="00D458BF"/>
    <w:rsid w:val="00D46802"/>
    <w:rsid w:val="00D46878"/>
    <w:rsid w:val="00D46920"/>
    <w:rsid w:val="00D46929"/>
    <w:rsid w:val="00D46C04"/>
    <w:rsid w:val="00D46D31"/>
    <w:rsid w:val="00D470D9"/>
    <w:rsid w:val="00D476E7"/>
    <w:rsid w:val="00D47A00"/>
    <w:rsid w:val="00D509D7"/>
    <w:rsid w:val="00D50E20"/>
    <w:rsid w:val="00D51177"/>
    <w:rsid w:val="00D5118E"/>
    <w:rsid w:val="00D512E4"/>
    <w:rsid w:val="00D51340"/>
    <w:rsid w:val="00D51744"/>
    <w:rsid w:val="00D51811"/>
    <w:rsid w:val="00D5194A"/>
    <w:rsid w:val="00D51E2B"/>
    <w:rsid w:val="00D5204C"/>
    <w:rsid w:val="00D5249D"/>
    <w:rsid w:val="00D52AF6"/>
    <w:rsid w:val="00D52D15"/>
    <w:rsid w:val="00D52D8E"/>
    <w:rsid w:val="00D53122"/>
    <w:rsid w:val="00D5393C"/>
    <w:rsid w:val="00D53A12"/>
    <w:rsid w:val="00D53EC5"/>
    <w:rsid w:val="00D546BC"/>
    <w:rsid w:val="00D54A72"/>
    <w:rsid w:val="00D54BF1"/>
    <w:rsid w:val="00D560EF"/>
    <w:rsid w:val="00D56380"/>
    <w:rsid w:val="00D56617"/>
    <w:rsid w:val="00D5670E"/>
    <w:rsid w:val="00D56A87"/>
    <w:rsid w:val="00D56F16"/>
    <w:rsid w:val="00D57182"/>
    <w:rsid w:val="00D57259"/>
    <w:rsid w:val="00D57637"/>
    <w:rsid w:val="00D57906"/>
    <w:rsid w:val="00D57928"/>
    <w:rsid w:val="00D57953"/>
    <w:rsid w:val="00D57C95"/>
    <w:rsid w:val="00D57F97"/>
    <w:rsid w:val="00D60328"/>
    <w:rsid w:val="00D606A4"/>
    <w:rsid w:val="00D60746"/>
    <w:rsid w:val="00D61360"/>
    <w:rsid w:val="00D61AAF"/>
    <w:rsid w:val="00D61EC2"/>
    <w:rsid w:val="00D6221F"/>
    <w:rsid w:val="00D62408"/>
    <w:rsid w:val="00D624D7"/>
    <w:rsid w:val="00D6285B"/>
    <w:rsid w:val="00D62A64"/>
    <w:rsid w:val="00D62B6A"/>
    <w:rsid w:val="00D62B77"/>
    <w:rsid w:val="00D62D4E"/>
    <w:rsid w:val="00D62D86"/>
    <w:rsid w:val="00D62DC6"/>
    <w:rsid w:val="00D62E7F"/>
    <w:rsid w:val="00D62EFA"/>
    <w:rsid w:val="00D631A1"/>
    <w:rsid w:val="00D63272"/>
    <w:rsid w:val="00D632AC"/>
    <w:rsid w:val="00D635BA"/>
    <w:rsid w:val="00D635FD"/>
    <w:rsid w:val="00D639D1"/>
    <w:rsid w:val="00D63A37"/>
    <w:rsid w:val="00D63B35"/>
    <w:rsid w:val="00D63BB3"/>
    <w:rsid w:val="00D63CB3"/>
    <w:rsid w:val="00D63D7E"/>
    <w:rsid w:val="00D642D1"/>
    <w:rsid w:val="00D6430D"/>
    <w:rsid w:val="00D643B5"/>
    <w:rsid w:val="00D644B5"/>
    <w:rsid w:val="00D644DF"/>
    <w:rsid w:val="00D64ED4"/>
    <w:rsid w:val="00D65010"/>
    <w:rsid w:val="00D652C5"/>
    <w:rsid w:val="00D65841"/>
    <w:rsid w:val="00D664E7"/>
    <w:rsid w:val="00D6697A"/>
    <w:rsid w:val="00D66A30"/>
    <w:rsid w:val="00D66A34"/>
    <w:rsid w:val="00D6701A"/>
    <w:rsid w:val="00D67191"/>
    <w:rsid w:val="00D67223"/>
    <w:rsid w:val="00D6748A"/>
    <w:rsid w:val="00D67732"/>
    <w:rsid w:val="00D67B40"/>
    <w:rsid w:val="00D70090"/>
    <w:rsid w:val="00D700F4"/>
    <w:rsid w:val="00D704DF"/>
    <w:rsid w:val="00D70943"/>
    <w:rsid w:val="00D70998"/>
    <w:rsid w:val="00D70B50"/>
    <w:rsid w:val="00D70EF4"/>
    <w:rsid w:val="00D71152"/>
    <w:rsid w:val="00D71550"/>
    <w:rsid w:val="00D7166C"/>
    <w:rsid w:val="00D71DFF"/>
    <w:rsid w:val="00D7201A"/>
    <w:rsid w:val="00D722C7"/>
    <w:rsid w:val="00D72369"/>
    <w:rsid w:val="00D724EE"/>
    <w:rsid w:val="00D727DB"/>
    <w:rsid w:val="00D7295C"/>
    <w:rsid w:val="00D72C5F"/>
    <w:rsid w:val="00D72F90"/>
    <w:rsid w:val="00D73589"/>
    <w:rsid w:val="00D736A8"/>
    <w:rsid w:val="00D73A75"/>
    <w:rsid w:val="00D73C29"/>
    <w:rsid w:val="00D7402B"/>
    <w:rsid w:val="00D7420A"/>
    <w:rsid w:val="00D742FA"/>
    <w:rsid w:val="00D74334"/>
    <w:rsid w:val="00D74439"/>
    <w:rsid w:val="00D74671"/>
    <w:rsid w:val="00D74AEE"/>
    <w:rsid w:val="00D74D1C"/>
    <w:rsid w:val="00D74E8F"/>
    <w:rsid w:val="00D7517D"/>
    <w:rsid w:val="00D7526B"/>
    <w:rsid w:val="00D754B9"/>
    <w:rsid w:val="00D7579B"/>
    <w:rsid w:val="00D75BEE"/>
    <w:rsid w:val="00D75ECB"/>
    <w:rsid w:val="00D75FB1"/>
    <w:rsid w:val="00D7602E"/>
    <w:rsid w:val="00D76086"/>
    <w:rsid w:val="00D760F2"/>
    <w:rsid w:val="00D7645F"/>
    <w:rsid w:val="00D76476"/>
    <w:rsid w:val="00D767B3"/>
    <w:rsid w:val="00D76B17"/>
    <w:rsid w:val="00D76D7D"/>
    <w:rsid w:val="00D772F0"/>
    <w:rsid w:val="00D774F9"/>
    <w:rsid w:val="00D775FA"/>
    <w:rsid w:val="00D80027"/>
    <w:rsid w:val="00D800E8"/>
    <w:rsid w:val="00D805AE"/>
    <w:rsid w:val="00D805E3"/>
    <w:rsid w:val="00D80847"/>
    <w:rsid w:val="00D80A89"/>
    <w:rsid w:val="00D80B12"/>
    <w:rsid w:val="00D80F82"/>
    <w:rsid w:val="00D8108A"/>
    <w:rsid w:val="00D81478"/>
    <w:rsid w:val="00D8148C"/>
    <w:rsid w:val="00D81DE0"/>
    <w:rsid w:val="00D81F7B"/>
    <w:rsid w:val="00D826CA"/>
    <w:rsid w:val="00D8270B"/>
    <w:rsid w:val="00D82754"/>
    <w:rsid w:val="00D8306E"/>
    <w:rsid w:val="00D8375A"/>
    <w:rsid w:val="00D83D50"/>
    <w:rsid w:val="00D841C1"/>
    <w:rsid w:val="00D84261"/>
    <w:rsid w:val="00D84317"/>
    <w:rsid w:val="00D8477B"/>
    <w:rsid w:val="00D84A57"/>
    <w:rsid w:val="00D84B6B"/>
    <w:rsid w:val="00D8515D"/>
    <w:rsid w:val="00D851C1"/>
    <w:rsid w:val="00D853B6"/>
    <w:rsid w:val="00D85862"/>
    <w:rsid w:val="00D85E94"/>
    <w:rsid w:val="00D860CB"/>
    <w:rsid w:val="00D86951"/>
    <w:rsid w:val="00D86AA4"/>
    <w:rsid w:val="00D86AFF"/>
    <w:rsid w:val="00D8701F"/>
    <w:rsid w:val="00D87524"/>
    <w:rsid w:val="00D87779"/>
    <w:rsid w:val="00D877AC"/>
    <w:rsid w:val="00D90002"/>
    <w:rsid w:val="00D90569"/>
    <w:rsid w:val="00D90675"/>
    <w:rsid w:val="00D90EAE"/>
    <w:rsid w:val="00D90EBA"/>
    <w:rsid w:val="00D910FA"/>
    <w:rsid w:val="00D91231"/>
    <w:rsid w:val="00D91705"/>
    <w:rsid w:val="00D91739"/>
    <w:rsid w:val="00D91805"/>
    <w:rsid w:val="00D91A24"/>
    <w:rsid w:val="00D91C0E"/>
    <w:rsid w:val="00D91CA8"/>
    <w:rsid w:val="00D91D60"/>
    <w:rsid w:val="00D92191"/>
    <w:rsid w:val="00D922FA"/>
    <w:rsid w:val="00D9232C"/>
    <w:rsid w:val="00D92ADB"/>
    <w:rsid w:val="00D92B16"/>
    <w:rsid w:val="00D92B4E"/>
    <w:rsid w:val="00D9353A"/>
    <w:rsid w:val="00D93CCF"/>
    <w:rsid w:val="00D93D53"/>
    <w:rsid w:val="00D93F29"/>
    <w:rsid w:val="00D94711"/>
    <w:rsid w:val="00D94807"/>
    <w:rsid w:val="00D94917"/>
    <w:rsid w:val="00D94D4E"/>
    <w:rsid w:val="00D94DE9"/>
    <w:rsid w:val="00D950C1"/>
    <w:rsid w:val="00D951C7"/>
    <w:rsid w:val="00D9524D"/>
    <w:rsid w:val="00D9529C"/>
    <w:rsid w:val="00D959EB"/>
    <w:rsid w:val="00D9620F"/>
    <w:rsid w:val="00D965D2"/>
    <w:rsid w:val="00D9693E"/>
    <w:rsid w:val="00D96A8A"/>
    <w:rsid w:val="00D96AF1"/>
    <w:rsid w:val="00D96C1D"/>
    <w:rsid w:val="00D96FA3"/>
    <w:rsid w:val="00D970C2"/>
    <w:rsid w:val="00D97118"/>
    <w:rsid w:val="00D9723B"/>
    <w:rsid w:val="00D9723F"/>
    <w:rsid w:val="00D97433"/>
    <w:rsid w:val="00D97452"/>
    <w:rsid w:val="00D974E6"/>
    <w:rsid w:val="00D97648"/>
    <w:rsid w:val="00D9768C"/>
    <w:rsid w:val="00D97A17"/>
    <w:rsid w:val="00D97BC1"/>
    <w:rsid w:val="00D97D75"/>
    <w:rsid w:val="00D97EA2"/>
    <w:rsid w:val="00DA0000"/>
    <w:rsid w:val="00DA02D6"/>
    <w:rsid w:val="00DA0354"/>
    <w:rsid w:val="00DA0364"/>
    <w:rsid w:val="00DA04C9"/>
    <w:rsid w:val="00DA0565"/>
    <w:rsid w:val="00DA0B22"/>
    <w:rsid w:val="00DA0CE0"/>
    <w:rsid w:val="00DA0D83"/>
    <w:rsid w:val="00DA1498"/>
    <w:rsid w:val="00DA14E6"/>
    <w:rsid w:val="00DA14FB"/>
    <w:rsid w:val="00DA154C"/>
    <w:rsid w:val="00DA17F1"/>
    <w:rsid w:val="00DA1AEC"/>
    <w:rsid w:val="00DA1B1E"/>
    <w:rsid w:val="00DA1B20"/>
    <w:rsid w:val="00DA1D9D"/>
    <w:rsid w:val="00DA1DAD"/>
    <w:rsid w:val="00DA1E25"/>
    <w:rsid w:val="00DA227D"/>
    <w:rsid w:val="00DA2419"/>
    <w:rsid w:val="00DA25DF"/>
    <w:rsid w:val="00DA28D3"/>
    <w:rsid w:val="00DA2DC6"/>
    <w:rsid w:val="00DA3051"/>
    <w:rsid w:val="00DA31D5"/>
    <w:rsid w:val="00DA3294"/>
    <w:rsid w:val="00DA3342"/>
    <w:rsid w:val="00DA3820"/>
    <w:rsid w:val="00DA3D74"/>
    <w:rsid w:val="00DA3F45"/>
    <w:rsid w:val="00DA4129"/>
    <w:rsid w:val="00DA4267"/>
    <w:rsid w:val="00DA433C"/>
    <w:rsid w:val="00DA48D7"/>
    <w:rsid w:val="00DA4D36"/>
    <w:rsid w:val="00DA4DC2"/>
    <w:rsid w:val="00DA5109"/>
    <w:rsid w:val="00DA510A"/>
    <w:rsid w:val="00DA5240"/>
    <w:rsid w:val="00DA55AF"/>
    <w:rsid w:val="00DA587C"/>
    <w:rsid w:val="00DA5A1C"/>
    <w:rsid w:val="00DA6028"/>
    <w:rsid w:val="00DA60BE"/>
    <w:rsid w:val="00DA6616"/>
    <w:rsid w:val="00DA666D"/>
    <w:rsid w:val="00DA6775"/>
    <w:rsid w:val="00DA6783"/>
    <w:rsid w:val="00DA6A03"/>
    <w:rsid w:val="00DA6B59"/>
    <w:rsid w:val="00DA6C96"/>
    <w:rsid w:val="00DA6D38"/>
    <w:rsid w:val="00DA709D"/>
    <w:rsid w:val="00DA7256"/>
    <w:rsid w:val="00DA760A"/>
    <w:rsid w:val="00DA77F6"/>
    <w:rsid w:val="00DA7A55"/>
    <w:rsid w:val="00DA7B42"/>
    <w:rsid w:val="00DB012C"/>
    <w:rsid w:val="00DB04D1"/>
    <w:rsid w:val="00DB0572"/>
    <w:rsid w:val="00DB09D6"/>
    <w:rsid w:val="00DB0C06"/>
    <w:rsid w:val="00DB111D"/>
    <w:rsid w:val="00DB1553"/>
    <w:rsid w:val="00DB17F7"/>
    <w:rsid w:val="00DB1B08"/>
    <w:rsid w:val="00DB1D9B"/>
    <w:rsid w:val="00DB1E0A"/>
    <w:rsid w:val="00DB20AF"/>
    <w:rsid w:val="00DB24E3"/>
    <w:rsid w:val="00DB2A00"/>
    <w:rsid w:val="00DB2A9A"/>
    <w:rsid w:val="00DB2B7D"/>
    <w:rsid w:val="00DB2B7F"/>
    <w:rsid w:val="00DB3292"/>
    <w:rsid w:val="00DB32B1"/>
    <w:rsid w:val="00DB33CF"/>
    <w:rsid w:val="00DB35C1"/>
    <w:rsid w:val="00DB373C"/>
    <w:rsid w:val="00DB38DD"/>
    <w:rsid w:val="00DB3C3A"/>
    <w:rsid w:val="00DB3C6D"/>
    <w:rsid w:val="00DB3C7E"/>
    <w:rsid w:val="00DB4528"/>
    <w:rsid w:val="00DB4D70"/>
    <w:rsid w:val="00DB4F29"/>
    <w:rsid w:val="00DB5040"/>
    <w:rsid w:val="00DB51EB"/>
    <w:rsid w:val="00DB5204"/>
    <w:rsid w:val="00DB5262"/>
    <w:rsid w:val="00DB5724"/>
    <w:rsid w:val="00DB58B9"/>
    <w:rsid w:val="00DB58FD"/>
    <w:rsid w:val="00DB5C03"/>
    <w:rsid w:val="00DB5C62"/>
    <w:rsid w:val="00DB6096"/>
    <w:rsid w:val="00DB61B7"/>
    <w:rsid w:val="00DB632B"/>
    <w:rsid w:val="00DB637D"/>
    <w:rsid w:val="00DB6697"/>
    <w:rsid w:val="00DB6933"/>
    <w:rsid w:val="00DB6D89"/>
    <w:rsid w:val="00DB6EF4"/>
    <w:rsid w:val="00DB734C"/>
    <w:rsid w:val="00DB7399"/>
    <w:rsid w:val="00DB7475"/>
    <w:rsid w:val="00DB76E7"/>
    <w:rsid w:val="00DB7AEA"/>
    <w:rsid w:val="00DB7F7E"/>
    <w:rsid w:val="00DC00B3"/>
    <w:rsid w:val="00DC033D"/>
    <w:rsid w:val="00DC03D8"/>
    <w:rsid w:val="00DC0942"/>
    <w:rsid w:val="00DC0A86"/>
    <w:rsid w:val="00DC0BCF"/>
    <w:rsid w:val="00DC0C6C"/>
    <w:rsid w:val="00DC0EDF"/>
    <w:rsid w:val="00DC160E"/>
    <w:rsid w:val="00DC182F"/>
    <w:rsid w:val="00DC184A"/>
    <w:rsid w:val="00DC1CBB"/>
    <w:rsid w:val="00DC2B7D"/>
    <w:rsid w:val="00DC337E"/>
    <w:rsid w:val="00DC34B9"/>
    <w:rsid w:val="00DC3AFE"/>
    <w:rsid w:val="00DC4A76"/>
    <w:rsid w:val="00DC4F3E"/>
    <w:rsid w:val="00DC54A5"/>
    <w:rsid w:val="00DC5861"/>
    <w:rsid w:val="00DC58DA"/>
    <w:rsid w:val="00DC59D0"/>
    <w:rsid w:val="00DC6112"/>
    <w:rsid w:val="00DC65D1"/>
    <w:rsid w:val="00DC6817"/>
    <w:rsid w:val="00DC685C"/>
    <w:rsid w:val="00DC6963"/>
    <w:rsid w:val="00DC6A43"/>
    <w:rsid w:val="00DC6DC7"/>
    <w:rsid w:val="00DC7062"/>
    <w:rsid w:val="00DC784A"/>
    <w:rsid w:val="00DD0178"/>
    <w:rsid w:val="00DD06D9"/>
    <w:rsid w:val="00DD0783"/>
    <w:rsid w:val="00DD0801"/>
    <w:rsid w:val="00DD0B81"/>
    <w:rsid w:val="00DD0CC0"/>
    <w:rsid w:val="00DD0F01"/>
    <w:rsid w:val="00DD0F49"/>
    <w:rsid w:val="00DD1276"/>
    <w:rsid w:val="00DD12CA"/>
    <w:rsid w:val="00DD12CF"/>
    <w:rsid w:val="00DD1379"/>
    <w:rsid w:val="00DD14C9"/>
    <w:rsid w:val="00DD1688"/>
    <w:rsid w:val="00DD184B"/>
    <w:rsid w:val="00DD1FA3"/>
    <w:rsid w:val="00DD293A"/>
    <w:rsid w:val="00DD2CAA"/>
    <w:rsid w:val="00DD2CAB"/>
    <w:rsid w:val="00DD2E4F"/>
    <w:rsid w:val="00DD2FEF"/>
    <w:rsid w:val="00DD3096"/>
    <w:rsid w:val="00DD3129"/>
    <w:rsid w:val="00DD31BA"/>
    <w:rsid w:val="00DD35FC"/>
    <w:rsid w:val="00DD3786"/>
    <w:rsid w:val="00DD3860"/>
    <w:rsid w:val="00DD3CFC"/>
    <w:rsid w:val="00DD4439"/>
    <w:rsid w:val="00DD4576"/>
    <w:rsid w:val="00DD4888"/>
    <w:rsid w:val="00DD511E"/>
    <w:rsid w:val="00DD52A2"/>
    <w:rsid w:val="00DD55BD"/>
    <w:rsid w:val="00DD5624"/>
    <w:rsid w:val="00DD5A3D"/>
    <w:rsid w:val="00DD5A46"/>
    <w:rsid w:val="00DD5B9C"/>
    <w:rsid w:val="00DD5CC2"/>
    <w:rsid w:val="00DD6043"/>
    <w:rsid w:val="00DD6107"/>
    <w:rsid w:val="00DD629C"/>
    <w:rsid w:val="00DD62B6"/>
    <w:rsid w:val="00DD6367"/>
    <w:rsid w:val="00DD63A0"/>
    <w:rsid w:val="00DD661B"/>
    <w:rsid w:val="00DD6669"/>
    <w:rsid w:val="00DD6686"/>
    <w:rsid w:val="00DD698C"/>
    <w:rsid w:val="00DD6A5A"/>
    <w:rsid w:val="00DD6BC3"/>
    <w:rsid w:val="00DD6C34"/>
    <w:rsid w:val="00DD7B6E"/>
    <w:rsid w:val="00DD7C2B"/>
    <w:rsid w:val="00DD7DAA"/>
    <w:rsid w:val="00DE0AC7"/>
    <w:rsid w:val="00DE0B65"/>
    <w:rsid w:val="00DE0E15"/>
    <w:rsid w:val="00DE0F2F"/>
    <w:rsid w:val="00DE13EC"/>
    <w:rsid w:val="00DE196E"/>
    <w:rsid w:val="00DE19DD"/>
    <w:rsid w:val="00DE1AAC"/>
    <w:rsid w:val="00DE1BAB"/>
    <w:rsid w:val="00DE1FCA"/>
    <w:rsid w:val="00DE2076"/>
    <w:rsid w:val="00DE24F9"/>
    <w:rsid w:val="00DE28B7"/>
    <w:rsid w:val="00DE2FC7"/>
    <w:rsid w:val="00DE3243"/>
    <w:rsid w:val="00DE34B7"/>
    <w:rsid w:val="00DE36CF"/>
    <w:rsid w:val="00DE3C08"/>
    <w:rsid w:val="00DE3E1A"/>
    <w:rsid w:val="00DE3F8B"/>
    <w:rsid w:val="00DE4015"/>
    <w:rsid w:val="00DE4386"/>
    <w:rsid w:val="00DE5118"/>
    <w:rsid w:val="00DE57B3"/>
    <w:rsid w:val="00DE5B37"/>
    <w:rsid w:val="00DE5EE9"/>
    <w:rsid w:val="00DE6162"/>
    <w:rsid w:val="00DE61E6"/>
    <w:rsid w:val="00DE63D9"/>
    <w:rsid w:val="00DE64A7"/>
    <w:rsid w:val="00DE672F"/>
    <w:rsid w:val="00DE687A"/>
    <w:rsid w:val="00DE68F6"/>
    <w:rsid w:val="00DE69D1"/>
    <w:rsid w:val="00DE6B77"/>
    <w:rsid w:val="00DE6BA0"/>
    <w:rsid w:val="00DE6C94"/>
    <w:rsid w:val="00DE6E19"/>
    <w:rsid w:val="00DE6F64"/>
    <w:rsid w:val="00DE754E"/>
    <w:rsid w:val="00DE783C"/>
    <w:rsid w:val="00DE7B0D"/>
    <w:rsid w:val="00DE7BBE"/>
    <w:rsid w:val="00DF012B"/>
    <w:rsid w:val="00DF0159"/>
    <w:rsid w:val="00DF01CF"/>
    <w:rsid w:val="00DF08FD"/>
    <w:rsid w:val="00DF0A2F"/>
    <w:rsid w:val="00DF0A46"/>
    <w:rsid w:val="00DF0DFD"/>
    <w:rsid w:val="00DF0F8E"/>
    <w:rsid w:val="00DF10C1"/>
    <w:rsid w:val="00DF11EC"/>
    <w:rsid w:val="00DF14E1"/>
    <w:rsid w:val="00DF171F"/>
    <w:rsid w:val="00DF1901"/>
    <w:rsid w:val="00DF1EF0"/>
    <w:rsid w:val="00DF1F84"/>
    <w:rsid w:val="00DF220A"/>
    <w:rsid w:val="00DF271F"/>
    <w:rsid w:val="00DF2A3B"/>
    <w:rsid w:val="00DF2F4E"/>
    <w:rsid w:val="00DF3107"/>
    <w:rsid w:val="00DF3394"/>
    <w:rsid w:val="00DF3400"/>
    <w:rsid w:val="00DF37B0"/>
    <w:rsid w:val="00DF4758"/>
    <w:rsid w:val="00DF48C7"/>
    <w:rsid w:val="00DF49BA"/>
    <w:rsid w:val="00DF4B0C"/>
    <w:rsid w:val="00DF4E70"/>
    <w:rsid w:val="00DF5338"/>
    <w:rsid w:val="00DF5416"/>
    <w:rsid w:val="00DF57A0"/>
    <w:rsid w:val="00DF597A"/>
    <w:rsid w:val="00DF59A0"/>
    <w:rsid w:val="00DF5DF9"/>
    <w:rsid w:val="00DF61F1"/>
    <w:rsid w:val="00DF65A8"/>
    <w:rsid w:val="00DF673E"/>
    <w:rsid w:val="00DF6842"/>
    <w:rsid w:val="00DF6CB3"/>
    <w:rsid w:val="00DF6D17"/>
    <w:rsid w:val="00DF7CE2"/>
    <w:rsid w:val="00E0067D"/>
    <w:rsid w:val="00E00818"/>
    <w:rsid w:val="00E00C2C"/>
    <w:rsid w:val="00E00F68"/>
    <w:rsid w:val="00E012A1"/>
    <w:rsid w:val="00E013A3"/>
    <w:rsid w:val="00E01401"/>
    <w:rsid w:val="00E01715"/>
    <w:rsid w:val="00E0198F"/>
    <w:rsid w:val="00E01D59"/>
    <w:rsid w:val="00E01E76"/>
    <w:rsid w:val="00E01EC9"/>
    <w:rsid w:val="00E02127"/>
    <w:rsid w:val="00E02920"/>
    <w:rsid w:val="00E02A0A"/>
    <w:rsid w:val="00E02B0A"/>
    <w:rsid w:val="00E02C6E"/>
    <w:rsid w:val="00E02F8A"/>
    <w:rsid w:val="00E03502"/>
    <w:rsid w:val="00E035F1"/>
    <w:rsid w:val="00E03922"/>
    <w:rsid w:val="00E03979"/>
    <w:rsid w:val="00E03B27"/>
    <w:rsid w:val="00E03C2F"/>
    <w:rsid w:val="00E041F4"/>
    <w:rsid w:val="00E0455B"/>
    <w:rsid w:val="00E04C91"/>
    <w:rsid w:val="00E04FE1"/>
    <w:rsid w:val="00E05079"/>
    <w:rsid w:val="00E05636"/>
    <w:rsid w:val="00E057C8"/>
    <w:rsid w:val="00E0627A"/>
    <w:rsid w:val="00E06891"/>
    <w:rsid w:val="00E06CA4"/>
    <w:rsid w:val="00E079AE"/>
    <w:rsid w:val="00E10295"/>
    <w:rsid w:val="00E1037D"/>
    <w:rsid w:val="00E10536"/>
    <w:rsid w:val="00E10645"/>
    <w:rsid w:val="00E10866"/>
    <w:rsid w:val="00E10A08"/>
    <w:rsid w:val="00E10A91"/>
    <w:rsid w:val="00E10AE7"/>
    <w:rsid w:val="00E10D7A"/>
    <w:rsid w:val="00E113C4"/>
    <w:rsid w:val="00E114BF"/>
    <w:rsid w:val="00E11501"/>
    <w:rsid w:val="00E115EF"/>
    <w:rsid w:val="00E11E8B"/>
    <w:rsid w:val="00E12139"/>
    <w:rsid w:val="00E12176"/>
    <w:rsid w:val="00E121A7"/>
    <w:rsid w:val="00E121F2"/>
    <w:rsid w:val="00E12218"/>
    <w:rsid w:val="00E122E9"/>
    <w:rsid w:val="00E124ED"/>
    <w:rsid w:val="00E12540"/>
    <w:rsid w:val="00E126CD"/>
    <w:rsid w:val="00E12943"/>
    <w:rsid w:val="00E1295E"/>
    <w:rsid w:val="00E12A1D"/>
    <w:rsid w:val="00E12BED"/>
    <w:rsid w:val="00E12EFD"/>
    <w:rsid w:val="00E130AD"/>
    <w:rsid w:val="00E133F9"/>
    <w:rsid w:val="00E13621"/>
    <w:rsid w:val="00E13B6A"/>
    <w:rsid w:val="00E13C01"/>
    <w:rsid w:val="00E13E9F"/>
    <w:rsid w:val="00E140AA"/>
    <w:rsid w:val="00E141C1"/>
    <w:rsid w:val="00E14244"/>
    <w:rsid w:val="00E14288"/>
    <w:rsid w:val="00E14A15"/>
    <w:rsid w:val="00E14FFF"/>
    <w:rsid w:val="00E153AB"/>
    <w:rsid w:val="00E1552B"/>
    <w:rsid w:val="00E155F0"/>
    <w:rsid w:val="00E15772"/>
    <w:rsid w:val="00E157D6"/>
    <w:rsid w:val="00E15893"/>
    <w:rsid w:val="00E15B78"/>
    <w:rsid w:val="00E15ED7"/>
    <w:rsid w:val="00E16094"/>
    <w:rsid w:val="00E1639C"/>
    <w:rsid w:val="00E167B5"/>
    <w:rsid w:val="00E167F4"/>
    <w:rsid w:val="00E169C5"/>
    <w:rsid w:val="00E16A90"/>
    <w:rsid w:val="00E16BF0"/>
    <w:rsid w:val="00E172AB"/>
    <w:rsid w:val="00E176E9"/>
    <w:rsid w:val="00E17B9B"/>
    <w:rsid w:val="00E17D68"/>
    <w:rsid w:val="00E17E35"/>
    <w:rsid w:val="00E20367"/>
    <w:rsid w:val="00E206F2"/>
    <w:rsid w:val="00E20981"/>
    <w:rsid w:val="00E209F1"/>
    <w:rsid w:val="00E20CBE"/>
    <w:rsid w:val="00E20DD8"/>
    <w:rsid w:val="00E20F95"/>
    <w:rsid w:val="00E212A3"/>
    <w:rsid w:val="00E212C4"/>
    <w:rsid w:val="00E21422"/>
    <w:rsid w:val="00E217D0"/>
    <w:rsid w:val="00E21DDA"/>
    <w:rsid w:val="00E2224B"/>
    <w:rsid w:val="00E22285"/>
    <w:rsid w:val="00E22381"/>
    <w:rsid w:val="00E22494"/>
    <w:rsid w:val="00E23415"/>
    <w:rsid w:val="00E238D2"/>
    <w:rsid w:val="00E2390C"/>
    <w:rsid w:val="00E23ABE"/>
    <w:rsid w:val="00E23C9B"/>
    <w:rsid w:val="00E245BC"/>
    <w:rsid w:val="00E24655"/>
    <w:rsid w:val="00E246FA"/>
    <w:rsid w:val="00E24729"/>
    <w:rsid w:val="00E24803"/>
    <w:rsid w:val="00E24A14"/>
    <w:rsid w:val="00E25159"/>
    <w:rsid w:val="00E25326"/>
    <w:rsid w:val="00E25BCD"/>
    <w:rsid w:val="00E25C4E"/>
    <w:rsid w:val="00E264B8"/>
    <w:rsid w:val="00E267B1"/>
    <w:rsid w:val="00E268B4"/>
    <w:rsid w:val="00E26946"/>
    <w:rsid w:val="00E26AE5"/>
    <w:rsid w:val="00E26BBD"/>
    <w:rsid w:val="00E2771C"/>
    <w:rsid w:val="00E27AF4"/>
    <w:rsid w:val="00E27F3C"/>
    <w:rsid w:val="00E30253"/>
    <w:rsid w:val="00E303AC"/>
    <w:rsid w:val="00E305CC"/>
    <w:rsid w:val="00E305CE"/>
    <w:rsid w:val="00E30A4A"/>
    <w:rsid w:val="00E30A8A"/>
    <w:rsid w:val="00E30D0C"/>
    <w:rsid w:val="00E30FF6"/>
    <w:rsid w:val="00E315D5"/>
    <w:rsid w:val="00E315EE"/>
    <w:rsid w:val="00E3178A"/>
    <w:rsid w:val="00E317CC"/>
    <w:rsid w:val="00E31B45"/>
    <w:rsid w:val="00E31BC0"/>
    <w:rsid w:val="00E31CFF"/>
    <w:rsid w:val="00E31D5F"/>
    <w:rsid w:val="00E31EDA"/>
    <w:rsid w:val="00E32EAC"/>
    <w:rsid w:val="00E32F01"/>
    <w:rsid w:val="00E33382"/>
    <w:rsid w:val="00E334CA"/>
    <w:rsid w:val="00E3381D"/>
    <w:rsid w:val="00E33CF2"/>
    <w:rsid w:val="00E33FCB"/>
    <w:rsid w:val="00E34A1B"/>
    <w:rsid w:val="00E34AAA"/>
    <w:rsid w:val="00E34ABB"/>
    <w:rsid w:val="00E34BD0"/>
    <w:rsid w:val="00E34D86"/>
    <w:rsid w:val="00E34D9E"/>
    <w:rsid w:val="00E34DD9"/>
    <w:rsid w:val="00E34ECE"/>
    <w:rsid w:val="00E34FE1"/>
    <w:rsid w:val="00E350F5"/>
    <w:rsid w:val="00E352B7"/>
    <w:rsid w:val="00E35516"/>
    <w:rsid w:val="00E35726"/>
    <w:rsid w:val="00E357C9"/>
    <w:rsid w:val="00E3580B"/>
    <w:rsid w:val="00E35849"/>
    <w:rsid w:val="00E35DB3"/>
    <w:rsid w:val="00E35DFD"/>
    <w:rsid w:val="00E36231"/>
    <w:rsid w:val="00E363BE"/>
    <w:rsid w:val="00E36652"/>
    <w:rsid w:val="00E36BBC"/>
    <w:rsid w:val="00E36D5E"/>
    <w:rsid w:val="00E36E6C"/>
    <w:rsid w:val="00E371F5"/>
    <w:rsid w:val="00E3729A"/>
    <w:rsid w:val="00E3755A"/>
    <w:rsid w:val="00E37618"/>
    <w:rsid w:val="00E37722"/>
    <w:rsid w:val="00E40626"/>
    <w:rsid w:val="00E4081F"/>
    <w:rsid w:val="00E40855"/>
    <w:rsid w:val="00E408EE"/>
    <w:rsid w:val="00E40B01"/>
    <w:rsid w:val="00E40C2E"/>
    <w:rsid w:val="00E4113B"/>
    <w:rsid w:val="00E4124D"/>
    <w:rsid w:val="00E41259"/>
    <w:rsid w:val="00E415DE"/>
    <w:rsid w:val="00E416DA"/>
    <w:rsid w:val="00E41BBE"/>
    <w:rsid w:val="00E41E0F"/>
    <w:rsid w:val="00E41F49"/>
    <w:rsid w:val="00E41FB1"/>
    <w:rsid w:val="00E420F7"/>
    <w:rsid w:val="00E42517"/>
    <w:rsid w:val="00E42C76"/>
    <w:rsid w:val="00E42D2E"/>
    <w:rsid w:val="00E43170"/>
    <w:rsid w:val="00E4328D"/>
    <w:rsid w:val="00E43AC0"/>
    <w:rsid w:val="00E43B15"/>
    <w:rsid w:val="00E43F1B"/>
    <w:rsid w:val="00E440E4"/>
    <w:rsid w:val="00E44152"/>
    <w:rsid w:val="00E441BF"/>
    <w:rsid w:val="00E442D3"/>
    <w:rsid w:val="00E4435E"/>
    <w:rsid w:val="00E44E50"/>
    <w:rsid w:val="00E45441"/>
    <w:rsid w:val="00E457B8"/>
    <w:rsid w:val="00E45A78"/>
    <w:rsid w:val="00E45AA3"/>
    <w:rsid w:val="00E45E3C"/>
    <w:rsid w:val="00E460A1"/>
    <w:rsid w:val="00E4673A"/>
    <w:rsid w:val="00E4673D"/>
    <w:rsid w:val="00E468D7"/>
    <w:rsid w:val="00E46A6E"/>
    <w:rsid w:val="00E46D8A"/>
    <w:rsid w:val="00E470CB"/>
    <w:rsid w:val="00E470E2"/>
    <w:rsid w:val="00E47803"/>
    <w:rsid w:val="00E47B12"/>
    <w:rsid w:val="00E47B41"/>
    <w:rsid w:val="00E47B92"/>
    <w:rsid w:val="00E5006D"/>
    <w:rsid w:val="00E5058F"/>
    <w:rsid w:val="00E50764"/>
    <w:rsid w:val="00E5098D"/>
    <w:rsid w:val="00E50C42"/>
    <w:rsid w:val="00E50F9C"/>
    <w:rsid w:val="00E51154"/>
    <w:rsid w:val="00E5119C"/>
    <w:rsid w:val="00E5148E"/>
    <w:rsid w:val="00E51646"/>
    <w:rsid w:val="00E51842"/>
    <w:rsid w:val="00E51847"/>
    <w:rsid w:val="00E519B0"/>
    <w:rsid w:val="00E51AB4"/>
    <w:rsid w:val="00E51FAA"/>
    <w:rsid w:val="00E52640"/>
    <w:rsid w:val="00E52886"/>
    <w:rsid w:val="00E52CB9"/>
    <w:rsid w:val="00E531AA"/>
    <w:rsid w:val="00E531B8"/>
    <w:rsid w:val="00E5419D"/>
    <w:rsid w:val="00E5455C"/>
    <w:rsid w:val="00E546A9"/>
    <w:rsid w:val="00E54709"/>
    <w:rsid w:val="00E547B5"/>
    <w:rsid w:val="00E54D30"/>
    <w:rsid w:val="00E5509A"/>
    <w:rsid w:val="00E5513E"/>
    <w:rsid w:val="00E5528E"/>
    <w:rsid w:val="00E55689"/>
    <w:rsid w:val="00E55789"/>
    <w:rsid w:val="00E55831"/>
    <w:rsid w:val="00E5593B"/>
    <w:rsid w:val="00E55D9B"/>
    <w:rsid w:val="00E55F72"/>
    <w:rsid w:val="00E5602E"/>
    <w:rsid w:val="00E56057"/>
    <w:rsid w:val="00E56068"/>
    <w:rsid w:val="00E563DD"/>
    <w:rsid w:val="00E56891"/>
    <w:rsid w:val="00E56F8D"/>
    <w:rsid w:val="00E573A1"/>
    <w:rsid w:val="00E57D0E"/>
    <w:rsid w:val="00E57FA8"/>
    <w:rsid w:val="00E60480"/>
    <w:rsid w:val="00E60739"/>
    <w:rsid w:val="00E60E53"/>
    <w:rsid w:val="00E613DA"/>
    <w:rsid w:val="00E614EE"/>
    <w:rsid w:val="00E6154B"/>
    <w:rsid w:val="00E61859"/>
    <w:rsid w:val="00E61AE5"/>
    <w:rsid w:val="00E61BD3"/>
    <w:rsid w:val="00E61C65"/>
    <w:rsid w:val="00E61C82"/>
    <w:rsid w:val="00E62073"/>
    <w:rsid w:val="00E6267E"/>
    <w:rsid w:val="00E62720"/>
    <w:rsid w:val="00E62755"/>
    <w:rsid w:val="00E6297E"/>
    <w:rsid w:val="00E62A0E"/>
    <w:rsid w:val="00E62ACB"/>
    <w:rsid w:val="00E630CE"/>
    <w:rsid w:val="00E6336C"/>
    <w:rsid w:val="00E6352A"/>
    <w:rsid w:val="00E63828"/>
    <w:rsid w:val="00E63AE3"/>
    <w:rsid w:val="00E63BE4"/>
    <w:rsid w:val="00E63C32"/>
    <w:rsid w:val="00E63E51"/>
    <w:rsid w:val="00E644A4"/>
    <w:rsid w:val="00E6486A"/>
    <w:rsid w:val="00E64947"/>
    <w:rsid w:val="00E64DBC"/>
    <w:rsid w:val="00E64E24"/>
    <w:rsid w:val="00E65130"/>
    <w:rsid w:val="00E65558"/>
    <w:rsid w:val="00E659DB"/>
    <w:rsid w:val="00E65A7A"/>
    <w:rsid w:val="00E66272"/>
    <w:rsid w:val="00E66451"/>
    <w:rsid w:val="00E66476"/>
    <w:rsid w:val="00E666DA"/>
    <w:rsid w:val="00E66A41"/>
    <w:rsid w:val="00E66BB0"/>
    <w:rsid w:val="00E66C7E"/>
    <w:rsid w:val="00E66E53"/>
    <w:rsid w:val="00E66EE5"/>
    <w:rsid w:val="00E66F69"/>
    <w:rsid w:val="00E674E3"/>
    <w:rsid w:val="00E67BD5"/>
    <w:rsid w:val="00E67EDB"/>
    <w:rsid w:val="00E67F5D"/>
    <w:rsid w:val="00E709A9"/>
    <w:rsid w:val="00E70CB0"/>
    <w:rsid w:val="00E70D0B"/>
    <w:rsid w:val="00E70F5D"/>
    <w:rsid w:val="00E70FF9"/>
    <w:rsid w:val="00E710BE"/>
    <w:rsid w:val="00E71156"/>
    <w:rsid w:val="00E7163E"/>
    <w:rsid w:val="00E72141"/>
    <w:rsid w:val="00E723FA"/>
    <w:rsid w:val="00E7249F"/>
    <w:rsid w:val="00E726AD"/>
    <w:rsid w:val="00E72769"/>
    <w:rsid w:val="00E72BF3"/>
    <w:rsid w:val="00E72E1A"/>
    <w:rsid w:val="00E733B8"/>
    <w:rsid w:val="00E735F4"/>
    <w:rsid w:val="00E73A6F"/>
    <w:rsid w:val="00E73BA5"/>
    <w:rsid w:val="00E73BD1"/>
    <w:rsid w:val="00E73EA4"/>
    <w:rsid w:val="00E73EF2"/>
    <w:rsid w:val="00E7440A"/>
    <w:rsid w:val="00E74ADF"/>
    <w:rsid w:val="00E750E0"/>
    <w:rsid w:val="00E75481"/>
    <w:rsid w:val="00E75D03"/>
    <w:rsid w:val="00E75D91"/>
    <w:rsid w:val="00E75E89"/>
    <w:rsid w:val="00E7616F"/>
    <w:rsid w:val="00E763D6"/>
    <w:rsid w:val="00E76491"/>
    <w:rsid w:val="00E764CF"/>
    <w:rsid w:val="00E765BD"/>
    <w:rsid w:val="00E76735"/>
    <w:rsid w:val="00E767C2"/>
    <w:rsid w:val="00E76800"/>
    <w:rsid w:val="00E76DBE"/>
    <w:rsid w:val="00E770B9"/>
    <w:rsid w:val="00E77444"/>
    <w:rsid w:val="00E776CA"/>
    <w:rsid w:val="00E776DB"/>
    <w:rsid w:val="00E800AA"/>
    <w:rsid w:val="00E8030E"/>
    <w:rsid w:val="00E804CF"/>
    <w:rsid w:val="00E8056A"/>
    <w:rsid w:val="00E805BB"/>
    <w:rsid w:val="00E807D9"/>
    <w:rsid w:val="00E8095B"/>
    <w:rsid w:val="00E80E43"/>
    <w:rsid w:val="00E81465"/>
    <w:rsid w:val="00E81FF5"/>
    <w:rsid w:val="00E82095"/>
    <w:rsid w:val="00E827A7"/>
    <w:rsid w:val="00E827ED"/>
    <w:rsid w:val="00E82F63"/>
    <w:rsid w:val="00E82FB4"/>
    <w:rsid w:val="00E83008"/>
    <w:rsid w:val="00E832EA"/>
    <w:rsid w:val="00E8344F"/>
    <w:rsid w:val="00E83839"/>
    <w:rsid w:val="00E8420B"/>
    <w:rsid w:val="00E843F4"/>
    <w:rsid w:val="00E84495"/>
    <w:rsid w:val="00E845DC"/>
    <w:rsid w:val="00E84650"/>
    <w:rsid w:val="00E846DB"/>
    <w:rsid w:val="00E849F8"/>
    <w:rsid w:val="00E84A4A"/>
    <w:rsid w:val="00E8550C"/>
    <w:rsid w:val="00E85662"/>
    <w:rsid w:val="00E85A36"/>
    <w:rsid w:val="00E85B45"/>
    <w:rsid w:val="00E85C07"/>
    <w:rsid w:val="00E85D26"/>
    <w:rsid w:val="00E85EB5"/>
    <w:rsid w:val="00E85F09"/>
    <w:rsid w:val="00E8627A"/>
    <w:rsid w:val="00E866A5"/>
    <w:rsid w:val="00E86E7A"/>
    <w:rsid w:val="00E87200"/>
    <w:rsid w:val="00E8741F"/>
    <w:rsid w:val="00E8767C"/>
    <w:rsid w:val="00E8775D"/>
    <w:rsid w:val="00E87DE9"/>
    <w:rsid w:val="00E87E98"/>
    <w:rsid w:val="00E87F40"/>
    <w:rsid w:val="00E87F9C"/>
    <w:rsid w:val="00E87FE1"/>
    <w:rsid w:val="00E90129"/>
    <w:rsid w:val="00E90204"/>
    <w:rsid w:val="00E902E7"/>
    <w:rsid w:val="00E90534"/>
    <w:rsid w:val="00E905D5"/>
    <w:rsid w:val="00E90738"/>
    <w:rsid w:val="00E908B6"/>
    <w:rsid w:val="00E90B34"/>
    <w:rsid w:val="00E90C46"/>
    <w:rsid w:val="00E90FCA"/>
    <w:rsid w:val="00E91399"/>
    <w:rsid w:val="00E91625"/>
    <w:rsid w:val="00E91A6A"/>
    <w:rsid w:val="00E91D05"/>
    <w:rsid w:val="00E91DF2"/>
    <w:rsid w:val="00E92035"/>
    <w:rsid w:val="00E92196"/>
    <w:rsid w:val="00E9266F"/>
    <w:rsid w:val="00E92818"/>
    <w:rsid w:val="00E93007"/>
    <w:rsid w:val="00E9340E"/>
    <w:rsid w:val="00E935C5"/>
    <w:rsid w:val="00E9368B"/>
    <w:rsid w:val="00E937C6"/>
    <w:rsid w:val="00E93C63"/>
    <w:rsid w:val="00E93D04"/>
    <w:rsid w:val="00E93D61"/>
    <w:rsid w:val="00E93E1C"/>
    <w:rsid w:val="00E94199"/>
    <w:rsid w:val="00E942E7"/>
    <w:rsid w:val="00E94490"/>
    <w:rsid w:val="00E944CD"/>
    <w:rsid w:val="00E9475D"/>
    <w:rsid w:val="00E94A77"/>
    <w:rsid w:val="00E9538B"/>
    <w:rsid w:val="00E95606"/>
    <w:rsid w:val="00E959F1"/>
    <w:rsid w:val="00E95FE7"/>
    <w:rsid w:val="00E96627"/>
    <w:rsid w:val="00E96675"/>
    <w:rsid w:val="00E96A01"/>
    <w:rsid w:val="00E96C8C"/>
    <w:rsid w:val="00E97556"/>
    <w:rsid w:val="00E97D1F"/>
    <w:rsid w:val="00E97FA4"/>
    <w:rsid w:val="00EA05A7"/>
    <w:rsid w:val="00EA07A9"/>
    <w:rsid w:val="00EA0F40"/>
    <w:rsid w:val="00EA1D88"/>
    <w:rsid w:val="00EA25FE"/>
    <w:rsid w:val="00EA260E"/>
    <w:rsid w:val="00EA2650"/>
    <w:rsid w:val="00EA284C"/>
    <w:rsid w:val="00EA291D"/>
    <w:rsid w:val="00EA31B4"/>
    <w:rsid w:val="00EA32C5"/>
    <w:rsid w:val="00EA37FA"/>
    <w:rsid w:val="00EA389C"/>
    <w:rsid w:val="00EA3DEC"/>
    <w:rsid w:val="00EA3EFB"/>
    <w:rsid w:val="00EA3F8D"/>
    <w:rsid w:val="00EA3FDB"/>
    <w:rsid w:val="00EA4616"/>
    <w:rsid w:val="00EA51CE"/>
    <w:rsid w:val="00EA5292"/>
    <w:rsid w:val="00EA529C"/>
    <w:rsid w:val="00EA53C4"/>
    <w:rsid w:val="00EA5414"/>
    <w:rsid w:val="00EA545F"/>
    <w:rsid w:val="00EA54DD"/>
    <w:rsid w:val="00EA55D4"/>
    <w:rsid w:val="00EA5849"/>
    <w:rsid w:val="00EA5B25"/>
    <w:rsid w:val="00EA5D81"/>
    <w:rsid w:val="00EA6191"/>
    <w:rsid w:val="00EA62DC"/>
    <w:rsid w:val="00EA6B08"/>
    <w:rsid w:val="00EA6E1A"/>
    <w:rsid w:val="00EA6F75"/>
    <w:rsid w:val="00EA71B6"/>
    <w:rsid w:val="00EA739C"/>
    <w:rsid w:val="00EA76E6"/>
    <w:rsid w:val="00EA7906"/>
    <w:rsid w:val="00EA7CE1"/>
    <w:rsid w:val="00EA7E44"/>
    <w:rsid w:val="00EA7F9D"/>
    <w:rsid w:val="00EB01B6"/>
    <w:rsid w:val="00EB02A8"/>
    <w:rsid w:val="00EB02BC"/>
    <w:rsid w:val="00EB081F"/>
    <w:rsid w:val="00EB08C4"/>
    <w:rsid w:val="00EB0958"/>
    <w:rsid w:val="00EB0A4D"/>
    <w:rsid w:val="00EB108E"/>
    <w:rsid w:val="00EB2255"/>
    <w:rsid w:val="00EB2274"/>
    <w:rsid w:val="00EB2657"/>
    <w:rsid w:val="00EB26CB"/>
    <w:rsid w:val="00EB2922"/>
    <w:rsid w:val="00EB2B74"/>
    <w:rsid w:val="00EB2FA7"/>
    <w:rsid w:val="00EB31E8"/>
    <w:rsid w:val="00EB34AD"/>
    <w:rsid w:val="00EB3685"/>
    <w:rsid w:val="00EB371B"/>
    <w:rsid w:val="00EB38A8"/>
    <w:rsid w:val="00EB38FD"/>
    <w:rsid w:val="00EB3B1A"/>
    <w:rsid w:val="00EB3C10"/>
    <w:rsid w:val="00EB3C1A"/>
    <w:rsid w:val="00EB40B5"/>
    <w:rsid w:val="00EB431E"/>
    <w:rsid w:val="00EB433C"/>
    <w:rsid w:val="00EB4462"/>
    <w:rsid w:val="00EB463C"/>
    <w:rsid w:val="00EB4A37"/>
    <w:rsid w:val="00EB51AC"/>
    <w:rsid w:val="00EB5212"/>
    <w:rsid w:val="00EB586F"/>
    <w:rsid w:val="00EB5B47"/>
    <w:rsid w:val="00EB5C56"/>
    <w:rsid w:val="00EB5F80"/>
    <w:rsid w:val="00EB6094"/>
    <w:rsid w:val="00EB60B3"/>
    <w:rsid w:val="00EB6314"/>
    <w:rsid w:val="00EB63B2"/>
    <w:rsid w:val="00EB6454"/>
    <w:rsid w:val="00EB647C"/>
    <w:rsid w:val="00EB64F6"/>
    <w:rsid w:val="00EB6717"/>
    <w:rsid w:val="00EB6907"/>
    <w:rsid w:val="00EB7306"/>
    <w:rsid w:val="00EB75D8"/>
    <w:rsid w:val="00EB7668"/>
    <w:rsid w:val="00EB79C1"/>
    <w:rsid w:val="00EB7A7D"/>
    <w:rsid w:val="00EB7D26"/>
    <w:rsid w:val="00EB7F8D"/>
    <w:rsid w:val="00EC08CA"/>
    <w:rsid w:val="00EC0932"/>
    <w:rsid w:val="00EC0B4B"/>
    <w:rsid w:val="00EC1167"/>
    <w:rsid w:val="00EC122C"/>
    <w:rsid w:val="00EC159E"/>
    <w:rsid w:val="00EC15E7"/>
    <w:rsid w:val="00EC1672"/>
    <w:rsid w:val="00EC1721"/>
    <w:rsid w:val="00EC1743"/>
    <w:rsid w:val="00EC1E01"/>
    <w:rsid w:val="00EC1F9B"/>
    <w:rsid w:val="00EC1FBF"/>
    <w:rsid w:val="00EC22EA"/>
    <w:rsid w:val="00EC2619"/>
    <w:rsid w:val="00EC2A5B"/>
    <w:rsid w:val="00EC2AD2"/>
    <w:rsid w:val="00EC2B2A"/>
    <w:rsid w:val="00EC2CCD"/>
    <w:rsid w:val="00EC2DB0"/>
    <w:rsid w:val="00EC2E25"/>
    <w:rsid w:val="00EC301F"/>
    <w:rsid w:val="00EC363A"/>
    <w:rsid w:val="00EC3958"/>
    <w:rsid w:val="00EC3A65"/>
    <w:rsid w:val="00EC3C90"/>
    <w:rsid w:val="00EC3E5A"/>
    <w:rsid w:val="00EC3F0D"/>
    <w:rsid w:val="00EC3F84"/>
    <w:rsid w:val="00EC4046"/>
    <w:rsid w:val="00EC4122"/>
    <w:rsid w:val="00EC461E"/>
    <w:rsid w:val="00EC4934"/>
    <w:rsid w:val="00EC4B5A"/>
    <w:rsid w:val="00EC4C60"/>
    <w:rsid w:val="00EC4F2C"/>
    <w:rsid w:val="00EC50D7"/>
    <w:rsid w:val="00EC5510"/>
    <w:rsid w:val="00EC553C"/>
    <w:rsid w:val="00EC58EC"/>
    <w:rsid w:val="00EC5FDE"/>
    <w:rsid w:val="00EC64BE"/>
    <w:rsid w:val="00EC6666"/>
    <w:rsid w:val="00EC698A"/>
    <w:rsid w:val="00EC6A61"/>
    <w:rsid w:val="00EC6BED"/>
    <w:rsid w:val="00EC6E72"/>
    <w:rsid w:val="00EC708B"/>
    <w:rsid w:val="00EC7102"/>
    <w:rsid w:val="00EC73BB"/>
    <w:rsid w:val="00EC76D1"/>
    <w:rsid w:val="00EC786F"/>
    <w:rsid w:val="00EC7CA9"/>
    <w:rsid w:val="00EC7E13"/>
    <w:rsid w:val="00ED04D5"/>
    <w:rsid w:val="00ED053F"/>
    <w:rsid w:val="00ED068B"/>
    <w:rsid w:val="00ED0778"/>
    <w:rsid w:val="00ED0860"/>
    <w:rsid w:val="00ED09C9"/>
    <w:rsid w:val="00ED0CE3"/>
    <w:rsid w:val="00ED0D47"/>
    <w:rsid w:val="00ED10FD"/>
    <w:rsid w:val="00ED1246"/>
    <w:rsid w:val="00ED12EB"/>
    <w:rsid w:val="00ED1935"/>
    <w:rsid w:val="00ED1AC5"/>
    <w:rsid w:val="00ED1B77"/>
    <w:rsid w:val="00ED1F6C"/>
    <w:rsid w:val="00ED2301"/>
    <w:rsid w:val="00ED268D"/>
    <w:rsid w:val="00ED2B92"/>
    <w:rsid w:val="00ED2E86"/>
    <w:rsid w:val="00ED3036"/>
    <w:rsid w:val="00ED32B5"/>
    <w:rsid w:val="00ED3593"/>
    <w:rsid w:val="00ED3AB1"/>
    <w:rsid w:val="00ED3C4F"/>
    <w:rsid w:val="00ED3C59"/>
    <w:rsid w:val="00ED3ECC"/>
    <w:rsid w:val="00ED4608"/>
    <w:rsid w:val="00ED47FA"/>
    <w:rsid w:val="00ED48DA"/>
    <w:rsid w:val="00ED4AC6"/>
    <w:rsid w:val="00ED4B7F"/>
    <w:rsid w:val="00ED5379"/>
    <w:rsid w:val="00ED561F"/>
    <w:rsid w:val="00ED5D94"/>
    <w:rsid w:val="00ED6016"/>
    <w:rsid w:val="00ED614B"/>
    <w:rsid w:val="00ED6706"/>
    <w:rsid w:val="00ED739D"/>
    <w:rsid w:val="00ED74AF"/>
    <w:rsid w:val="00ED798A"/>
    <w:rsid w:val="00ED7C0D"/>
    <w:rsid w:val="00ED7EC0"/>
    <w:rsid w:val="00ED7FD4"/>
    <w:rsid w:val="00EE02F2"/>
    <w:rsid w:val="00EE0448"/>
    <w:rsid w:val="00EE073A"/>
    <w:rsid w:val="00EE08D7"/>
    <w:rsid w:val="00EE0A7A"/>
    <w:rsid w:val="00EE0BF2"/>
    <w:rsid w:val="00EE0C21"/>
    <w:rsid w:val="00EE0D53"/>
    <w:rsid w:val="00EE0F96"/>
    <w:rsid w:val="00EE1286"/>
    <w:rsid w:val="00EE13E5"/>
    <w:rsid w:val="00EE1AC4"/>
    <w:rsid w:val="00EE1CCB"/>
    <w:rsid w:val="00EE1E92"/>
    <w:rsid w:val="00EE2384"/>
    <w:rsid w:val="00EE23E4"/>
    <w:rsid w:val="00EE2598"/>
    <w:rsid w:val="00EE3A98"/>
    <w:rsid w:val="00EE3DC7"/>
    <w:rsid w:val="00EE3EBB"/>
    <w:rsid w:val="00EE3F71"/>
    <w:rsid w:val="00EE404E"/>
    <w:rsid w:val="00EE4436"/>
    <w:rsid w:val="00EE44B2"/>
    <w:rsid w:val="00EE4EC8"/>
    <w:rsid w:val="00EE51FE"/>
    <w:rsid w:val="00EE5D8A"/>
    <w:rsid w:val="00EE603D"/>
    <w:rsid w:val="00EE60A3"/>
    <w:rsid w:val="00EE626F"/>
    <w:rsid w:val="00EE62B7"/>
    <w:rsid w:val="00EE636A"/>
    <w:rsid w:val="00EE6A06"/>
    <w:rsid w:val="00EE6F02"/>
    <w:rsid w:val="00EE7675"/>
    <w:rsid w:val="00EE773B"/>
    <w:rsid w:val="00EE7E51"/>
    <w:rsid w:val="00EE7ECE"/>
    <w:rsid w:val="00EF01CD"/>
    <w:rsid w:val="00EF0386"/>
    <w:rsid w:val="00EF03F1"/>
    <w:rsid w:val="00EF05D4"/>
    <w:rsid w:val="00EF0A98"/>
    <w:rsid w:val="00EF0ACC"/>
    <w:rsid w:val="00EF0C37"/>
    <w:rsid w:val="00EF0EAB"/>
    <w:rsid w:val="00EF1157"/>
    <w:rsid w:val="00EF11A2"/>
    <w:rsid w:val="00EF139E"/>
    <w:rsid w:val="00EF1499"/>
    <w:rsid w:val="00EF15C1"/>
    <w:rsid w:val="00EF1679"/>
    <w:rsid w:val="00EF1BDA"/>
    <w:rsid w:val="00EF1CC1"/>
    <w:rsid w:val="00EF1EB0"/>
    <w:rsid w:val="00EF1F28"/>
    <w:rsid w:val="00EF2008"/>
    <w:rsid w:val="00EF2171"/>
    <w:rsid w:val="00EF22C5"/>
    <w:rsid w:val="00EF25F2"/>
    <w:rsid w:val="00EF27C9"/>
    <w:rsid w:val="00EF2A0B"/>
    <w:rsid w:val="00EF2EF7"/>
    <w:rsid w:val="00EF2FCE"/>
    <w:rsid w:val="00EF365F"/>
    <w:rsid w:val="00EF39F9"/>
    <w:rsid w:val="00EF3C80"/>
    <w:rsid w:val="00EF445C"/>
    <w:rsid w:val="00EF44D0"/>
    <w:rsid w:val="00EF4552"/>
    <w:rsid w:val="00EF4864"/>
    <w:rsid w:val="00EF49B9"/>
    <w:rsid w:val="00EF4A09"/>
    <w:rsid w:val="00EF4B64"/>
    <w:rsid w:val="00EF4B9A"/>
    <w:rsid w:val="00EF5888"/>
    <w:rsid w:val="00EF5A1C"/>
    <w:rsid w:val="00EF5C18"/>
    <w:rsid w:val="00EF5EEA"/>
    <w:rsid w:val="00EF5EF6"/>
    <w:rsid w:val="00EF61F8"/>
    <w:rsid w:val="00EF6368"/>
    <w:rsid w:val="00EF68D0"/>
    <w:rsid w:val="00EF6B7C"/>
    <w:rsid w:val="00EF6D3E"/>
    <w:rsid w:val="00EF7388"/>
    <w:rsid w:val="00EF7820"/>
    <w:rsid w:val="00EF788F"/>
    <w:rsid w:val="00EF795F"/>
    <w:rsid w:val="00EF7C3F"/>
    <w:rsid w:val="00EF7CEA"/>
    <w:rsid w:val="00EF7EF5"/>
    <w:rsid w:val="00F00172"/>
    <w:rsid w:val="00F00340"/>
    <w:rsid w:val="00F00560"/>
    <w:rsid w:val="00F00D3C"/>
    <w:rsid w:val="00F010F0"/>
    <w:rsid w:val="00F015CC"/>
    <w:rsid w:val="00F015DF"/>
    <w:rsid w:val="00F01AB0"/>
    <w:rsid w:val="00F01D02"/>
    <w:rsid w:val="00F02061"/>
    <w:rsid w:val="00F02119"/>
    <w:rsid w:val="00F021B3"/>
    <w:rsid w:val="00F024FE"/>
    <w:rsid w:val="00F0255A"/>
    <w:rsid w:val="00F0260A"/>
    <w:rsid w:val="00F02AD5"/>
    <w:rsid w:val="00F02B2E"/>
    <w:rsid w:val="00F02E48"/>
    <w:rsid w:val="00F02F4A"/>
    <w:rsid w:val="00F030D6"/>
    <w:rsid w:val="00F03509"/>
    <w:rsid w:val="00F03659"/>
    <w:rsid w:val="00F03756"/>
    <w:rsid w:val="00F03778"/>
    <w:rsid w:val="00F03D68"/>
    <w:rsid w:val="00F03FCE"/>
    <w:rsid w:val="00F0430B"/>
    <w:rsid w:val="00F04458"/>
    <w:rsid w:val="00F04787"/>
    <w:rsid w:val="00F04931"/>
    <w:rsid w:val="00F04B27"/>
    <w:rsid w:val="00F04D82"/>
    <w:rsid w:val="00F05071"/>
    <w:rsid w:val="00F05087"/>
    <w:rsid w:val="00F050E8"/>
    <w:rsid w:val="00F05355"/>
    <w:rsid w:val="00F05849"/>
    <w:rsid w:val="00F05A62"/>
    <w:rsid w:val="00F05B3C"/>
    <w:rsid w:val="00F05BF5"/>
    <w:rsid w:val="00F05C0C"/>
    <w:rsid w:val="00F05F29"/>
    <w:rsid w:val="00F05FEC"/>
    <w:rsid w:val="00F061D8"/>
    <w:rsid w:val="00F06703"/>
    <w:rsid w:val="00F06AD5"/>
    <w:rsid w:val="00F06C7E"/>
    <w:rsid w:val="00F075BA"/>
    <w:rsid w:val="00F07634"/>
    <w:rsid w:val="00F07738"/>
    <w:rsid w:val="00F0779D"/>
    <w:rsid w:val="00F078A9"/>
    <w:rsid w:val="00F07902"/>
    <w:rsid w:val="00F079F3"/>
    <w:rsid w:val="00F07A48"/>
    <w:rsid w:val="00F07B65"/>
    <w:rsid w:val="00F07C5B"/>
    <w:rsid w:val="00F07CC4"/>
    <w:rsid w:val="00F07DA8"/>
    <w:rsid w:val="00F07DA9"/>
    <w:rsid w:val="00F1010B"/>
    <w:rsid w:val="00F10571"/>
    <w:rsid w:val="00F105D3"/>
    <w:rsid w:val="00F10881"/>
    <w:rsid w:val="00F1109B"/>
    <w:rsid w:val="00F11408"/>
    <w:rsid w:val="00F11502"/>
    <w:rsid w:val="00F1197D"/>
    <w:rsid w:val="00F12430"/>
    <w:rsid w:val="00F1259D"/>
    <w:rsid w:val="00F1280C"/>
    <w:rsid w:val="00F12C38"/>
    <w:rsid w:val="00F12CD5"/>
    <w:rsid w:val="00F12D19"/>
    <w:rsid w:val="00F12D3C"/>
    <w:rsid w:val="00F1310A"/>
    <w:rsid w:val="00F1368D"/>
    <w:rsid w:val="00F13792"/>
    <w:rsid w:val="00F13828"/>
    <w:rsid w:val="00F139C2"/>
    <w:rsid w:val="00F13B96"/>
    <w:rsid w:val="00F13D28"/>
    <w:rsid w:val="00F13DD2"/>
    <w:rsid w:val="00F141BE"/>
    <w:rsid w:val="00F14257"/>
    <w:rsid w:val="00F14452"/>
    <w:rsid w:val="00F14462"/>
    <w:rsid w:val="00F1454B"/>
    <w:rsid w:val="00F1493B"/>
    <w:rsid w:val="00F14ED3"/>
    <w:rsid w:val="00F15003"/>
    <w:rsid w:val="00F15274"/>
    <w:rsid w:val="00F153B2"/>
    <w:rsid w:val="00F161CE"/>
    <w:rsid w:val="00F16574"/>
    <w:rsid w:val="00F16777"/>
    <w:rsid w:val="00F167B7"/>
    <w:rsid w:val="00F167DA"/>
    <w:rsid w:val="00F16A69"/>
    <w:rsid w:val="00F171C9"/>
    <w:rsid w:val="00F1763A"/>
    <w:rsid w:val="00F17758"/>
    <w:rsid w:val="00F17AC5"/>
    <w:rsid w:val="00F17ADB"/>
    <w:rsid w:val="00F17DAA"/>
    <w:rsid w:val="00F17FA4"/>
    <w:rsid w:val="00F17FE9"/>
    <w:rsid w:val="00F20026"/>
    <w:rsid w:val="00F2008A"/>
    <w:rsid w:val="00F2020A"/>
    <w:rsid w:val="00F204F8"/>
    <w:rsid w:val="00F20604"/>
    <w:rsid w:val="00F2099B"/>
    <w:rsid w:val="00F2118C"/>
    <w:rsid w:val="00F212B0"/>
    <w:rsid w:val="00F213BB"/>
    <w:rsid w:val="00F215DF"/>
    <w:rsid w:val="00F21ABA"/>
    <w:rsid w:val="00F21B36"/>
    <w:rsid w:val="00F21C9B"/>
    <w:rsid w:val="00F2275D"/>
    <w:rsid w:val="00F22D46"/>
    <w:rsid w:val="00F22D88"/>
    <w:rsid w:val="00F22E32"/>
    <w:rsid w:val="00F22F1A"/>
    <w:rsid w:val="00F23175"/>
    <w:rsid w:val="00F232E1"/>
    <w:rsid w:val="00F2344C"/>
    <w:rsid w:val="00F234C7"/>
    <w:rsid w:val="00F24273"/>
    <w:rsid w:val="00F243F4"/>
    <w:rsid w:val="00F2485F"/>
    <w:rsid w:val="00F2488B"/>
    <w:rsid w:val="00F24A86"/>
    <w:rsid w:val="00F24AA2"/>
    <w:rsid w:val="00F24B90"/>
    <w:rsid w:val="00F24D78"/>
    <w:rsid w:val="00F25266"/>
    <w:rsid w:val="00F25326"/>
    <w:rsid w:val="00F2574F"/>
    <w:rsid w:val="00F2601F"/>
    <w:rsid w:val="00F26393"/>
    <w:rsid w:val="00F26603"/>
    <w:rsid w:val="00F26769"/>
    <w:rsid w:val="00F26B1C"/>
    <w:rsid w:val="00F26D3A"/>
    <w:rsid w:val="00F26DC9"/>
    <w:rsid w:val="00F27223"/>
    <w:rsid w:val="00F27400"/>
    <w:rsid w:val="00F27974"/>
    <w:rsid w:val="00F30885"/>
    <w:rsid w:val="00F30D1E"/>
    <w:rsid w:val="00F30E49"/>
    <w:rsid w:val="00F3114C"/>
    <w:rsid w:val="00F31304"/>
    <w:rsid w:val="00F315A5"/>
    <w:rsid w:val="00F318B2"/>
    <w:rsid w:val="00F31E52"/>
    <w:rsid w:val="00F31E5C"/>
    <w:rsid w:val="00F323B8"/>
    <w:rsid w:val="00F323E7"/>
    <w:rsid w:val="00F32421"/>
    <w:rsid w:val="00F3244F"/>
    <w:rsid w:val="00F325A2"/>
    <w:rsid w:val="00F32E2E"/>
    <w:rsid w:val="00F32F6C"/>
    <w:rsid w:val="00F334CE"/>
    <w:rsid w:val="00F33584"/>
    <w:rsid w:val="00F336F5"/>
    <w:rsid w:val="00F33AD4"/>
    <w:rsid w:val="00F33CC7"/>
    <w:rsid w:val="00F33E1F"/>
    <w:rsid w:val="00F3403A"/>
    <w:rsid w:val="00F349F3"/>
    <w:rsid w:val="00F34A36"/>
    <w:rsid w:val="00F34B36"/>
    <w:rsid w:val="00F34B78"/>
    <w:rsid w:val="00F34EA2"/>
    <w:rsid w:val="00F35181"/>
    <w:rsid w:val="00F356F6"/>
    <w:rsid w:val="00F35A4B"/>
    <w:rsid w:val="00F35AB5"/>
    <w:rsid w:val="00F35C1E"/>
    <w:rsid w:val="00F35E1B"/>
    <w:rsid w:val="00F35F2F"/>
    <w:rsid w:val="00F363ED"/>
    <w:rsid w:val="00F3643C"/>
    <w:rsid w:val="00F365E1"/>
    <w:rsid w:val="00F370E7"/>
    <w:rsid w:val="00F37144"/>
    <w:rsid w:val="00F3739E"/>
    <w:rsid w:val="00F3766F"/>
    <w:rsid w:val="00F376C5"/>
    <w:rsid w:val="00F377E4"/>
    <w:rsid w:val="00F400CC"/>
    <w:rsid w:val="00F400EB"/>
    <w:rsid w:val="00F40799"/>
    <w:rsid w:val="00F40D2C"/>
    <w:rsid w:val="00F40DDA"/>
    <w:rsid w:val="00F411B4"/>
    <w:rsid w:val="00F418A9"/>
    <w:rsid w:val="00F41A2F"/>
    <w:rsid w:val="00F41A4F"/>
    <w:rsid w:val="00F41FDF"/>
    <w:rsid w:val="00F420D8"/>
    <w:rsid w:val="00F42703"/>
    <w:rsid w:val="00F42BC0"/>
    <w:rsid w:val="00F42F83"/>
    <w:rsid w:val="00F42FB9"/>
    <w:rsid w:val="00F43138"/>
    <w:rsid w:val="00F4345C"/>
    <w:rsid w:val="00F43465"/>
    <w:rsid w:val="00F43794"/>
    <w:rsid w:val="00F43A25"/>
    <w:rsid w:val="00F43A31"/>
    <w:rsid w:val="00F43D1E"/>
    <w:rsid w:val="00F43F1F"/>
    <w:rsid w:val="00F445DB"/>
    <w:rsid w:val="00F449D9"/>
    <w:rsid w:val="00F44DFF"/>
    <w:rsid w:val="00F44F85"/>
    <w:rsid w:val="00F45162"/>
    <w:rsid w:val="00F454BE"/>
    <w:rsid w:val="00F454D6"/>
    <w:rsid w:val="00F459AD"/>
    <w:rsid w:val="00F45A6F"/>
    <w:rsid w:val="00F45A9B"/>
    <w:rsid w:val="00F461D3"/>
    <w:rsid w:val="00F46418"/>
    <w:rsid w:val="00F4651D"/>
    <w:rsid w:val="00F465FA"/>
    <w:rsid w:val="00F46888"/>
    <w:rsid w:val="00F468EE"/>
    <w:rsid w:val="00F46CBB"/>
    <w:rsid w:val="00F477E0"/>
    <w:rsid w:val="00F479F3"/>
    <w:rsid w:val="00F47A13"/>
    <w:rsid w:val="00F50684"/>
    <w:rsid w:val="00F510C8"/>
    <w:rsid w:val="00F5124B"/>
    <w:rsid w:val="00F5127A"/>
    <w:rsid w:val="00F51342"/>
    <w:rsid w:val="00F513DB"/>
    <w:rsid w:val="00F51407"/>
    <w:rsid w:val="00F516A3"/>
    <w:rsid w:val="00F5179F"/>
    <w:rsid w:val="00F51884"/>
    <w:rsid w:val="00F518D1"/>
    <w:rsid w:val="00F5197C"/>
    <w:rsid w:val="00F51B0E"/>
    <w:rsid w:val="00F51BEE"/>
    <w:rsid w:val="00F51CD4"/>
    <w:rsid w:val="00F51DD8"/>
    <w:rsid w:val="00F51E2B"/>
    <w:rsid w:val="00F52775"/>
    <w:rsid w:val="00F52CEC"/>
    <w:rsid w:val="00F52F56"/>
    <w:rsid w:val="00F538C3"/>
    <w:rsid w:val="00F539DE"/>
    <w:rsid w:val="00F53E86"/>
    <w:rsid w:val="00F53EC1"/>
    <w:rsid w:val="00F53F3F"/>
    <w:rsid w:val="00F5406D"/>
    <w:rsid w:val="00F54517"/>
    <w:rsid w:val="00F54552"/>
    <w:rsid w:val="00F54582"/>
    <w:rsid w:val="00F547A8"/>
    <w:rsid w:val="00F549EE"/>
    <w:rsid w:val="00F5544F"/>
    <w:rsid w:val="00F55485"/>
    <w:rsid w:val="00F55487"/>
    <w:rsid w:val="00F554C6"/>
    <w:rsid w:val="00F55A20"/>
    <w:rsid w:val="00F55F87"/>
    <w:rsid w:val="00F561E2"/>
    <w:rsid w:val="00F5623E"/>
    <w:rsid w:val="00F5640A"/>
    <w:rsid w:val="00F564D6"/>
    <w:rsid w:val="00F565BD"/>
    <w:rsid w:val="00F5689C"/>
    <w:rsid w:val="00F569ED"/>
    <w:rsid w:val="00F56DAD"/>
    <w:rsid w:val="00F570F8"/>
    <w:rsid w:val="00F5738E"/>
    <w:rsid w:val="00F576E0"/>
    <w:rsid w:val="00F57927"/>
    <w:rsid w:val="00F57F68"/>
    <w:rsid w:val="00F600A3"/>
    <w:rsid w:val="00F608CB"/>
    <w:rsid w:val="00F6097D"/>
    <w:rsid w:val="00F60AD5"/>
    <w:rsid w:val="00F60D49"/>
    <w:rsid w:val="00F6101D"/>
    <w:rsid w:val="00F612A1"/>
    <w:rsid w:val="00F612C2"/>
    <w:rsid w:val="00F6173D"/>
    <w:rsid w:val="00F61C44"/>
    <w:rsid w:val="00F61E8C"/>
    <w:rsid w:val="00F61FE4"/>
    <w:rsid w:val="00F6209B"/>
    <w:rsid w:val="00F62227"/>
    <w:rsid w:val="00F6235F"/>
    <w:rsid w:val="00F62438"/>
    <w:rsid w:val="00F62507"/>
    <w:rsid w:val="00F62641"/>
    <w:rsid w:val="00F6313F"/>
    <w:rsid w:val="00F6349F"/>
    <w:rsid w:val="00F63569"/>
    <w:rsid w:val="00F6366A"/>
    <w:rsid w:val="00F640AE"/>
    <w:rsid w:val="00F640F8"/>
    <w:rsid w:val="00F64682"/>
    <w:rsid w:val="00F648D8"/>
    <w:rsid w:val="00F64ADA"/>
    <w:rsid w:val="00F64BBC"/>
    <w:rsid w:val="00F64D9D"/>
    <w:rsid w:val="00F64F61"/>
    <w:rsid w:val="00F6508D"/>
    <w:rsid w:val="00F65090"/>
    <w:rsid w:val="00F6519F"/>
    <w:rsid w:val="00F653B4"/>
    <w:rsid w:val="00F65472"/>
    <w:rsid w:val="00F65615"/>
    <w:rsid w:val="00F657BA"/>
    <w:rsid w:val="00F6596B"/>
    <w:rsid w:val="00F65ED1"/>
    <w:rsid w:val="00F662B6"/>
    <w:rsid w:val="00F66805"/>
    <w:rsid w:val="00F66893"/>
    <w:rsid w:val="00F669E3"/>
    <w:rsid w:val="00F66A6D"/>
    <w:rsid w:val="00F66AFF"/>
    <w:rsid w:val="00F66DA6"/>
    <w:rsid w:val="00F671DB"/>
    <w:rsid w:val="00F6747F"/>
    <w:rsid w:val="00F67499"/>
    <w:rsid w:val="00F677DA"/>
    <w:rsid w:val="00F679E9"/>
    <w:rsid w:val="00F67A8E"/>
    <w:rsid w:val="00F67D77"/>
    <w:rsid w:val="00F67F0F"/>
    <w:rsid w:val="00F67FB2"/>
    <w:rsid w:val="00F700FF"/>
    <w:rsid w:val="00F704E3"/>
    <w:rsid w:val="00F707AD"/>
    <w:rsid w:val="00F70822"/>
    <w:rsid w:val="00F70ADF"/>
    <w:rsid w:val="00F70C5B"/>
    <w:rsid w:val="00F70C8B"/>
    <w:rsid w:val="00F70E97"/>
    <w:rsid w:val="00F70EDF"/>
    <w:rsid w:val="00F71198"/>
    <w:rsid w:val="00F71417"/>
    <w:rsid w:val="00F718B8"/>
    <w:rsid w:val="00F71AA8"/>
    <w:rsid w:val="00F71E8C"/>
    <w:rsid w:val="00F72022"/>
    <w:rsid w:val="00F72436"/>
    <w:rsid w:val="00F72468"/>
    <w:rsid w:val="00F72807"/>
    <w:rsid w:val="00F72B10"/>
    <w:rsid w:val="00F72F44"/>
    <w:rsid w:val="00F730A2"/>
    <w:rsid w:val="00F733C6"/>
    <w:rsid w:val="00F734FE"/>
    <w:rsid w:val="00F73947"/>
    <w:rsid w:val="00F73C98"/>
    <w:rsid w:val="00F73F01"/>
    <w:rsid w:val="00F74106"/>
    <w:rsid w:val="00F74598"/>
    <w:rsid w:val="00F745E7"/>
    <w:rsid w:val="00F7502E"/>
    <w:rsid w:val="00F751D6"/>
    <w:rsid w:val="00F752D4"/>
    <w:rsid w:val="00F752FC"/>
    <w:rsid w:val="00F755B7"/>
    <w:rsid w:val="00F759DE"/>
    <w:rsid w:val="00F76037"/>
    <w:rsid w:val="00F76691"/>
    <w:rsid w:val="00F767C0"/>
    <w:rsid w:val="00F76973"/>
    <w:rsid w:val="00F76C29"/>
    <w:rsid w:val="00F771FB"/>
    <w:rsid w:val="00F77371"/>
    <w:rsid w:val="00F77396"/>
    <w:rsid w:val="00F773DC"/>
    <w:rsid w:val="00F774C6"/>
    <w:rsid w:val="00F776FF"/>
    <w:rsid w:val="00F777B6"/>
    <w:rsid w:val="00F7780E"/>
    <w:rsid w:val="00F77C5A"/>
    <w:rsid w:val="00F77F93"/>
    <w:rsid w:val="00F804FA"/>
    <w:rsid w:val="00F8093D"/>
    <w:rsid w:val="00F809E4"/>
    <w:rsid w:val="00F80AE0"/>
    <w:rsid w:val="00F80FAA"/>
    <w:rsid w:val="00F80FD5"/>
    <w:rsid w:val="00F81103"/>
    <w:rsid w:val="00F81A55"/>
    <w:rsid w:val="00F81BB4"/>
    <w:rsid w:val="00F81D9B"/>
    <w:rsid w:val="00F820D0"/>
    <w:rsid w:val="00F82240"/>
    <w:rsid w:val="00F82466"/>
    <w:rsid w:val="00F825AD"/>
    <w:rsid w:val="00F82744"/>
    <w:rsid w:val="00F82829"/>
    <w:rsid w:val="00F82994"/>
    <w:rsid w:val="00F82C6B"/>
    <w:rsid w:val="00F82C8C"/>
    <w:rsid w:val="00F82D92"/>
    <w:rsid w:val="00F83601"/>
    <w:rsid w:val="00F8362E"/>
    <w:rsid w:val="00F8373A"/>
    <w:rsid w:val="00F8399D"/>
    <w:rsid w:val="00F83BBE"/>
    <w:rsid w:val="00F83C2A"/>
    <w:rsid w:val="00F83C38"/>
    <w:rsid w:val="00F83EAB"/>
    <w:rsid w:val="00F848F7"/>
    <w:rsid w:val="00F84D3C"/>
    <w:rsid w:val="00F84D53"/>
    <w:rsid w:val="00F85055"/>
    <w:rsid w:val="00F85068"/>
    <w:rsid w:val="00F8528C"/>
    <w:rsid w:val="00F8529E"/>
    <w:rsid w:val="00F85419"/>
    <w:rsid w:val="00F8548A"/>
    <w:rsid w:val="00F85671"/>
    <w:rsid w:val="00F857FA"/>
    <w:rsid w:val="00F8588C"/>
    <w:rsid w:val="00F858A5"/>
    <w:rsid w:val="00F85B2A"/>
    <w:rsid w:val="00F86063"/>
    <w:rsid w:val="00F86070"/>
    <w:rsid w:val="00F866E1"/>
    <w:rsid w:val="00F8678C"/>
    <w:rsid w:val="00F871CA"/>
    <w:rsid w:val="00F873C5"/>
    <w:rsid w:val="00F8798D"/>
    <w:rsid w:val="00F87A6B"/>
    <w:rsid w:val="00F87D07"/>
    <w:rsid w:val="00F87F1A"/>
    <w:rsid w:val="00F90775"/>
    <w:rsid w:val="00F908E6"/>
    <w:rsid w:val="00F90B32"/>
    <w:rsid w:val="00F90C49"/>
    <w:rsid w:val="00F90DD5"/>
    <w:rsid w:val="00F90F69"/>
    <w:rsid w:val="00F910B9"/>
    <w:rsid w:val="00F9139D"/>
    <w:rsid w:val="00F91857"/>
    <w:rsid w:val="00F919BB"/>
    <w:rsid w:val="00F91A85"/>
    <w:rsid w:val="00F91ACC"/>
    <w:rsid w:val="00F91BCD"/>
    <w:rsid w:val="00F91DD2"/>
    <w:rsid w:val="00F91F36"/>
    <w:rsid w:val="00F927B9"/>
    <w:rsid w:val="00F928C1"/>
    <w:rsid w:val="00F92C04"/>
    <w:rsid w:val="00F92DFD"/>
    <w:rsid w:val="00F93A93"/>
    <w:rsid w:val="00F93EF6"/>
    <w:rsid w:val="00F941D3"/>
    <w:rsid w:val="00F9445C"/>
    <w:rsid w:val="00F944D0"/>
    <w:rsid w:val="00F94529"/>
    <w:rsid w:val="00F946F3"/>
    <w:rsid w:val="00F94917"/>
    <w:rsid w:val="00F94F74"/>
    <w:rsid w:val="00F95302"/>
    <w:rsid w:val="00F9582A"/>
    <w:rsid w:val="00F958E2"/>
    <w:rsid w:val="00F9593F"/>
    <w:rsid w:val="00F95B09"/>
    <w:rsid w:val="00F95D60"/>
    <w:rsid w:val="00F95D8D"/>
    <w:rsid w:val="00F96056"/>
    <w:rsid w:val="00F96292"/>
    <w:rsid w:val="00F963AC"/>
    <w:rsid w:val="00F96401"/>
    <w:rsid w:val="00F96496"/>
    <w:rsid w:val="00F966F6"/>
    <w:rsid w:val="00F96DCC"/>
    <w:rsid w:val="00F97065"/>
    <w:rsid w:val="00F97306"/>
    <w:rsid w:val="00F974FB"/>
    <w:rsid w:val="00F9774C"/>
    <w:rsid w:val="00F977A9"/>
    <w:rsid w:val="00F97874"/>
    <w:rsid w:val="00F97AEF"/>
    <w:rsid w:val="00F97CB2"/>
    <w:rsid w:val="00F97D90"/>
    <w:rsid w:val="00F97FC4"/>
    <w:rsid w:val="00FA01CB"/>
    <w:rsid w:val="00FA02D4"/>
    <w:rsid w:val="00FA060D"/>
    <w:rsid w:val="00FA0909"/>
    <w:rsid w:val="00FA098B"/>
    <w:rsid w:val="00FA0D53"/>
    <w:rsid w:val="00FA105A"/>
    <w:rsid w:val="00FA135A"/>
    <w:rsid w:val="00FA1CA2"/>
    <w:rsid w:val="00FA1E57"/>
    <w:rsid w:val="00FA212E"/>
    <w:rsid w:val="00FA224C"/>
    <w:rsid w:val="00FA23DB"/>
    <w:rsid w:val="00FA2430"/>
    <w:rsid w:val="00FA246E"/>
    <w:rsid w:val="00FA25A3"/>
    <w:rsid w:val="00FA28B9"/>
    <w:rsid w:val="00FA2ED6"/>
    <w:rsid w:val="00FA2F5D"/>
    <w:rsid w:val="00FA3501"/>
    <w:rsid w:val="00FA35AC"/>
    <w:rsid w:val="00FA3766"/>
    <w:rsid w:val="00FA39D4"/>
    <w:rsid w:val="00FA3A7E"/>
    <w:rsid w:val="00FA3DEA"/>
    <w:rsid w:val="00FA4355"/>
    <w:rsid w:val="00FA48A1"/>
    <w:rsid w:val="00FA49F5"/>
    <w:rsid w:val="00FA4DAE"/>
    <w:rsid w:val="00FA5012"/>
    <w:rsid w:val="00FA5449"/>
    <w:rsid w:val="00FA54DB"/>
    <w:rsid w:val="00FA5C5A"/>
    <w:rsid w:val="00FA60DA"/>
    <w:rsid w:val="00FA6169"/>
    <w:rsid w:val="00FA63D4"/>
    <w:rsid w:val="00FA64E0"/>
    <w:rsid w:val="00FA6550"/>
    <w:rsid w:val="00FA6D7A"/>
    <w:rsid w:val="00FA6DE2"/>
    <w:rsid w:val="00FA6E37"/>
    <w:rsid w:val="00FA7328"/>
    <w:rsid w:val="00FA77B2"/>
    <w:rsid w:val="00FA7804"/>
    <w:rsid w:val="00FA7A26"/>
    <w:rsid w:val="00FA7C01"/>
    <w:rsid w:val="00FA7CD4"/>
    <w:rsid w:val="00FA7E14"/>
    <w:rsid w:val="00FB0046"/>
    <w:rsid w:val="00FB0177"/>
    <w:rsid w:val="00FB01DE"/>
    <w:rsid w:val="00FB0592"/>
    <w:rsid w:val="00FB0651"/>
    <w:rsid w:val="00FB0659"/>
    <w:rsid w:val="00FB0FCD"/>
    <w:rsid w:val="00FB160F"/>
    <w:rsid w:val="00FB187C"/>
    <w:rsid w:val="00FB1B51"/>
    <w:rsid w:val="00FB1B52"/>
    <w:rsid w:val="00FB1B74"/>
    <w:rsid w:val="00FB2702"/>
    <w:rsid w:val="00FB2B4E"/>
    <w:rsid w:val="00FB2C23"/>
    <w:rsid w:val="00FB3095"/>
    <w:rsid w:val="00FB3206"/>
    <w:rsid w:val="00FB326C"/>
    <w:rsid w:val="00FB3312"/>
    <w:rsid w:val="00FB3379"/>
    <w:rsid w:val="00FB38E6"/>
    <w:rsid w:val="00FB3A82"/>
    <w:rsid w:val="00FB3C2E"/>
    <w:rsid w:val="00FB45B9"/>
    <w:rsid w:val="00FB4743"/>
    <w:rsid w:val="00FB4959"/>
    <w:rsid w:val="00FB4998"/>
    <w:rsid w:val="00FB4ADD"/>
    <w:rsid w:val="00FB4D03"/>
    <w:rsid w:val="00FB53AF"/>
    <w:rsid w:val="00FB58D2"/>
    <w:rsid w:val="00FB5920"/>
    <w:rsid w:val="00FB5C34"/>
    <w:rsid w:val="00FB5E70"/>
    <w:rsid w:val="00FB601A"/>
    <w:rsid w:val="00FB6235"/>
    <w:rsid w:val="00FB6386"/>
    <w:rsid w:val="00FB6528"/>
    <w:rsid w:val="00FB66FC"/>
    <w:rsid w:val="00FB69A8"/>
    <w:rsid w:val="00FB6F44"/>
    <w:rsid w:val="00FB7371"/>
    <w:rsid w:val="00FB74BD"/>
    <w:rsid w:val="00FB74DD"/>
    <w:rsid w:val="00FB77B8"/>
    <w:rsid w:val="00FB79D2"/>
    <w:rsid w:val="00FB7E0C"/>
    <w:rsid w:val="00FB7E2D"/>
    <w:rsid w:val="00FC026D"/>
    <w:rsid w:val="00FC0389"/>
    <w:rsid w:val="00FC05E1"/>
    <w:rsid w:val="00FC09E3"/>
    <w:rsid w:val="00FC0A7F"/>
    <w:rsid w:val="00FC0B21"/>
    <w:rsid w:val="00FC0C83"/>
    <w:rsid w:val="00FC0F78"/>
    <w:rsid w:val="00FC0F95"/>
    <w:rsid w:val="00FC1ADD"/>
    <w:rsid w:val="00FC1E0F"/>
    <w:rsid w:val="00FC21E6"/>
    <w:rsid w:val="00FC264E"/>
    <w:rsid w:val="00FC2861"/>
    <w:rsid w:val="00FC29DB"/>
    <w:rsid w:val="00FC2A7B"/>
    <w:rsid w:val="00FC2BAC"/>
    <w:rsid w:val="00FC2C32"/>
    <w:rsid w:val="00FC3072"/>
    <w:rsid w:val="00FC3114"/>
    <w:rsid w:val="00FC34B2"/>
    <w:rsid w:val="00FC3788"/>
    <w:rsid w:val="00FC3B73"/>
    <w:rsid w:val="00FC428F"/>
    <w:rsid w:val="00FC4384"/>
    <w:rsid w:val="00FC4AA0"/>
    <w:rsid w:val="00FC4C32"/>
    <w:rsid w:val="00FC4DEB"/>
    <w:rsid w:val="00FC518B"/>
    <w:rsid w:val="00FC525E"/>
    <w:rsid w:val="00FC59EA"/>
    <w:rsid w:val="00FC5FA7"/>
    <w:rsid w:val="00FC6179"/>
    <w:rsid w:val="00FC6384"/>
    <w:rsid w:val="00FC675E"/>
    <w:rsid w:val="00FC6C20"/>
    <w:rsid w:val="00FC700B"/>
    <w:rsid w:val="00FC733F"/>
    <w:rsid w:val="00FC742C"/>
    <w:rsid w:val="00FC7543"/>
    <w:rsid w:val="00FC7694"/>
    <w:rsid w:val="00FC7720"/>
    <w:rsid w:val="00FC77C7"/>
    <w:rsid w:val="00FC7A3C"/>
    <w:rsid w:val="00FC7D92"/>
    <w:rsid w:val="00FC7EBF"/>
    <w:rsid w:val="00FD0137"/>
    <w:rsid w:val="00FD0346"/>
    <w:rsid w:val="00FD0746"/>
    <w:rsid w:val="00FD0891"/>
    <w:rsid w:val="00FD093A"/>
    <w:rsid w:val="00FD107C"/>
    <w:rsid w:val="00FD1229"/>
    <w:rsid w:val="00FD1409"/>
    <w:rsid w:val="00FD15CA"/>
    <w:rsid w:val="00FD191D"/>
    <w:rsid w:val="00FD19A3"/>
    <w:rsid w:val="00FD1A37"/>
    <w:rsid w:val="00FD1A8E"/>
    <w:rsid w:val="00FD1CAC"/>
    <w:rsid w:val="00FD1F11"/>
    <w:rsid w:val="00FD26D7"/>
    <w:rsid w:val="00FD29A3"/>
    <w:rsid w:val="00FD2A24"/>
    <w:rsid w:val="00FD2B7E"/>
    <w:rsid w:val="00FD2C5A"/>
    <w:rsid w:val="00FD2DCC"/>
    <w:rsid w:val="00FD30D3"/>
    <w:rsid w:val="00FD3238"/>
    <w:rsid w:val="00FD3697"/>
    <w:rsid w:val="00FD3833"/>
    <w:rsid w:val="00FD39A6"/>
    <w:rsid w:val="00FD3AB4"/>
    <w:rsid w:val="00FD3EC0"/>
    <w:rsid w:val="00FD3FDD"/>
    <w:rsid w:val="00FD403F"/>
    <w:rsid w:val="00FD4568"/>
    <w:rsid w:val="00FD4B20"/>
    <w:rsid w:val="00FD4C9C"/>
    <w:rsid w:val="00FD5055"/>
    <w:rsid w:val="00FD53E2"/>
    <w:rsid w:val="00FD54F3"/>
    <w:rsid w:val="00FD5539"/>
    <w:rsid w:val="00FD56A7"/>
    <w:rsid w:val="00FD56B3"/>
    <w:rsid w:val="00FD59F1"/>
    <w:rsid w:val="00FD5AEC"/>
    <w:rsid w:val="00FD5C85"/>
    <w:rsid w:val="00FD67A6"/>
    <w:rsid w:val="00FD6CDD"/>
    <w:rsid w:val="00FD6EDB"/>
    <w:rsid w:val="00FD745F"/>
    <w:rsid w:val="00FD7745"/>
    <w:rsid w:val="00FD7ACE"/>
    <w:rsid w:val="00FD7CBF"/>
    <w:rsid w:val="00FD7E14"/>
    <w:rsid w:val="00FD7E2E"/>
    <w:rsid w:val="00FE00A7"/>
    <w:rsid w:val="00FE01FB"/>
    <w:rsid w:val="00FE025B"/>
    <w:rsid w:val="00FE0517"/>
    <w:rsid w:val="00FE0651"/>
    <w:rsid w:val="00FE0851"/>
    <w:rsid w:val="00FE0C41"/>
    <w:rsid w:val="00FE0FE9"/>
    <w:rsid w:val="00FE1AE2"/>
    <w:rsid w:val="00FE1B1B"/>
    <w:rsid w:val="00FE1BC2"/>
    <w:rsid w:val="00FE1C59"/>
    <w:rsid w:val="00FE1E97"/>
    <w:rsid w:val="00FE1F02"/>
    <w:rsid w:val="00FE208D"/>
    <w:rsid w:val="00FE21E0"/>
    <w:rsid w:val="00FE2CF1"/>
    <w:rsid w:val="00FE2D5D"/>
    <w:rsid w:val="00FE2E54"/>
    <w:rsid w:val="00FE2FBD"/>
    <w:rsid w:val="00FE3DBF"/>
    <w:rsid w:val="00FE3EE6"/>
    <w:rsid w:val="00FE4601"/>
    <w:rsid w:val="00FE47F1"/>
    <w:rsid w:val="00FE4A52"/>
    <w:rsid w:val="00FE4B20"/>
    <w:rsid w:val="00FE50A4"/>
    <w:rsid w:val="00FE5382"/>
    <w:rsid w:val="00FE5774"/>
    <w:rsid w:val="00FE5BAA"/>
    <w:rsid w:val="00FE5F08"/>
    <w:rsid w:val="00FE5FB2"/>
    <w:rsid w:val="00FE62B3"/>
    <w:rsid w:val="00FE6327"/>
    <w:rsid w:val="00FE6B04"/>
    <w:rsid w:val="00FE6B0B"/>
    <w:rsid w:val="00FE6C6D"/>
    <w:rsid w:val="00FE6D90"/>
    <w:rsid w:val="00FE6E77"/>
    <w:rsid w:val="00FE73B9"/>
    <w:rsid w:val="00FE74A7"/>
    <w:rsid w:val="00FE7575"/>
    <w:rsid w:val="00FE7599"/>
    <w:rsid w:val="00FE7B89"/>
    <w:rsid w:val="00FF00AF"/>
    <w:rsid w:val="00FF025E"/>
    <w:rsid w:val="00FF09AD"/>
    <w:rsid w:val="00FF0EAD"/>
    <w:rsid w:val="00FF14FD"/>
    <w:rsid w:val="00FF151C"/>
    <w:rsid w:val="00FF1816"/>
    <w:rsid w:val="00FF1863"/>
    <w:rsid w:val="00FF1A7D"/>
    <w:rsid w:val="00FF1B53"/>
    <w:rsid w:val="00FF1B77"/>
    <w:rsid w:val="00FF208A"/>
    <w:rsid w:val="00FF256C"/>
    <w:rsid w:val="00FF2638"/>
    <w:rsid w:val="00FF27C9"/>
    <w:rsid w:val="00FF2B06"/>
    <w:rsid w:val="00FF2B79"/>
    <w:rsid w:val="00FF2D43"/>
    <w:rsid w:val="00FF2EE9"/>
    <w:rsid w:val="00FF37DB"/>
    <w:rsid w:val="00FF3925"/>
    <w:rsid w:val="00FF3D93"/>
    <w:rsid w:val="00FF3E42"/>
    <w:rsid w:val="00FF4461"/>
    <w:rsid w:val="00FF4747"/>
    <w:rsid w:val="00FF4D20"/>
    <w:rsid w:val="00FF503A"/>
    <w:rsid w:val="00FF50EA"/>
    <w:rsid w:val="00FF59FD"/>
    <w:rsid w:val="00FF5B09"/>
    <w:rsid w:val="00FF5F90"/>
    <w:rsid w:val="00FF5FB2"/>
    <w:rsid w:val="00FF6753"/>
    <w:rsid w:val="00FF680D"/>
    <w:rsid w:val="00FF6AB0"/>
    <w:rsid w:val="00FF6AC0"/>
    <w:rsid w:val="00FF6C14"/>
    <w:rsid w:val="00FF7939"/>
    <w:rsid w:val="00FF7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C6CB37"/>
  <w15:docId w15:val="{2746A363-9769-469A-B5AC-F83B0F36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13"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DA"/>
    <w:pPr>
      <w:spacing w:after="110" w:line="220" w:lineRule="exact"/>
    </w:pPr>
    <w:rPr>
      <w:rFonts w:ascii="Arial" w:hAnsi="Arial"/>
      <w:spacing w:val="-4"/>
      <w:sz w:val="18"/>
      <w:szCs w:val="24"/>
    </w:rPr>
  </w:style>
  <w:style w:type="paragraph" w:styleId="Heading1">
    <w:name w:val="heading 1"/>
    <w:aliases w:val="Titre I,Titre 1 Car Car,Titre 1 Car,Section Heading,Section Heading1,Section1,Section Heading2,Section2,Section Heading3,Section3,Section heading,Section Heading4,Section4,Section Heading5,Section5,Section Heading6,Section6,Section7"/>
    <w:basedOn w:val="Normal"/>
    <w:next w:val="Normal"/>
    <w:link w:val="Heading1Char"/>
    <w:uiPriority w:val="9"/>
    <w:qFormat/>
    <w:rsid w:val="00C60A01"/>
    <w:pPr>
      <w:keepNext/>
      <w:spacing w:before="240" w:after="60"/>
      <w:outlineLvl w:val="0"/>
    </w:pPr>
    <w:rPr>
      <w:b/>
      <w:caps/>
      <w:sz w:val="19"/>
    </w:rPr>
  </w:style>
  <w:style w:type="paragraph" w:styleId="Heading2">
    <w:name w:val="heading 2"/>
    <w:aliases w:val="Reset numbering,Major,Item heading,Reset numbering1,Major1,Item heading1,Reset numbering2,Major2,Item heading2,Reset numbering3,Major3,Item heading3,Reset numbering4,Major4,Reset numbering5,Major5,Item heading4,Reset numbering6,Major6,Major7"/>
    <w:basedOn w:val="Heading1"/>
    <w:next w:val="Normal"/>
    <w:link w:val="Heading2Char"/>
    <w:uiPriority w:val="9"/>
    <w:qFormat/>
    <w:rsid w:val="00BD7D81"/>
    <w:pPr>
      <w:tabs>
        <w:tab w:val="left" w:pos="0"/>
      </w:tabs>
      <w:spacing w:before="110"/>
      <w:outlineLvl w:val="1"/>
    </w:pPr>
    <w:rPr>
      <w:caps w:val="0"/>
      <w:sz w:val="18"/>
      <w:szCs w:val="16"/>
    </w:rPr>
  </w:style>
  <w:style w:type="paragraph" w:styleId="Heading3">
    <w:name w:val="heading 3"/>
    <w:aliases w:val="Level 1 - 1,Minor,Level 1 - 11,Minor1,Level 1 - 12,Minor2,Level 1 - 13,Minor3,Level 1 - 111,Minor11,Level 1 - 121,Minor21,Level 1 - 14,Minor4,Level 1 - 112,Minor12,Level 1 - 122,Minor22,Level 1 - 15,Minor5,Level 1 - 113,Minor13,Level 1 - 123"/>
    <w:basedOn w:val="Heading2"/>
    <w:next w:val="Normal"/>
    <w:link w:val="Heading3Char"/>
    <w:uiPriority w:val="9"/>
    <w:qFormat/>
    <w:rsid w:val="004F7BDC"/>
    <w:pPr>
      <w:spacing w:before="200"/>
      <w:outlineLvl w:val="2"/>
    </w:pPr>
    <w:rPr>
      <w:i/>
    </w:rPr>
  </w:style>
  <w:style w:type="paragraph" w:styleId="Heading4">
    <w:name w:val="heading 4"/>
    <w:aliases w:val="Level 2 - a Char,Sub-Minor Char,Level 2 - a1 Char,Sub-Minor1 Char,Level 2 - a2 Char,Sub-Minor2 Char,Level 2 - a3 Char,Sub-Minor3 Char,Sub-subheading Char,Level 2 - a4 Char,Sub-Minor4 Char,Level 2 - a5 Char,Sub-Minor5 Char"/>
    <w:basedOn w:val="Normal"/>
    <w:next w:val="Normal"/>
    <w:link w:val="Heading4Char2"/>
    <w:qFormat/>
    <w:rsid w:val="000C5572"/>
    <w:pPr>
      <w:keepNext/>
      <w:keepLines/>
      <w:spacing w:before="200" w:after="0"/>
      <w:outlineLvl w:val="3"/>
    </w:pPr>
    <w:rPr>
      <w:rFonts w:ascii="Gotham Rounded Book" w:hAnsi="Gotham Rounded Book"/>
      <w:i/>
      <w:color w:val="000000"/>
      <w:sz w:val="24"/>
      <w:szCs w:val="20"/>
    </w:rPr>
  </w:style>
  <w:style w:type="paragraph" w:styleId="Heading5">
    <w:name w:val="heading 5"/>
    <w:aliases w:val="Level 3 - i,Level 3 - i1,Level 3 - i2,Level 3 - i3,Level 3 - i4,Level 3 - i5,Level 3 - i6,Level 3 - i7,Level 3 - i8,Level 3 - i9,Level 3 - i11,Level 3 - i21,Level 3 - i31,Level 3 - i41,Level 3 - i51,Level 3 - i61,Level 3 - i71,Level 3 - i81"/>
    <w:basedOn w:val="Normal"/>
    <w:next w:val="Normal"/>
    <w:link w:val="Heading5Char"/>
    <w:qFormat/>
    <w:rsid w:val="000C5572"/>
    <w:pPr>
      <w:spacing w:before="200" w:after="0"/>
      <w:outlineLvl w:val="4"/>
    </w:pPr>
    <w:rPr>
      <w:bCs/>
      <w:iCs/>
      <w:szCs w:val="26"/>
    </w:rPr>
  </w:style>
  <w:style w:type="paragraph" w:styleId="Heading6">
    <w:name w:val="heading 6"/>
    <w:basedOn w:val="Normal"/>
    <w:next w:val="BodyText"/>
    <w:link w:val="Heading6Char"/>
    <w:uiPriority w:val="99"/>
    <w:qFormat/>
    <w:locked/>
    <w:rsid w:val="00721C93"/>
    <w:pPr>
      <w:tabs>
        <w:tab w:val="num" w:pos="3686"/>
        <w:tab w:val="left" w:pos="4394"/>
        <w:tab w:val="right" w:pos="8789"/>
      </w:tabs>
      <w:spacing w:before="100" w:after="100" w:line="260" w:lineRule="atLeast"/>
      <w:ind w:left="3686" w:hanging="709"/>
      <w:outlineLvl w:val="5"/>
    </w:pPr>
    <w:rPr>
      <w:rFonts w:eastAsia="Batang"/>
      <w:spacing w:val="0"/>
      <w:sz w:val="20"/>
      <w:szCs w:val="20"/>
      <w:lang w:eastAsia="ko-KR"/>
    </w:rPr>
  </w:style>
  <w:style w:type="paragraph" w:styleId="Heading7">
    <w:name w:val="heading 7"/>
    <w:basedOn w:val="Normal"/>
    <w:next w:val="BodyText"/>
    <w:link w:val="Heading7Char"/>
    <w:uiPriority w:val="99"/>
    <w:qFormat/>
    <w:locked/>
    <w:rsid w:val="00721C93"/>
    <w:pPr>
      <w:tabs>
        <w:tab w:val="num" w:pos="4394"/>
        <w:tab w:val="right" w:pos="8789"/>
      </w:tabs>
      <w:spacing w:before="100" w:after="100" w:line="260" w:lineRule="atLeast"/>
      <w:ind w:left="4394" w:hanging="708"/>
      <w:outlineLvl w:val="6"/>
    </w:pPr>
    <w:rPr>
      <w:rFonts w:eastAsia="Batang"/>
      <w:spacing w:val="0"/>
      <w:sz w:val="20"/>
      <w:szCs w:val="20"/>
      <w:lang w:eastAsia="ko-KR"/>
    </w:rPr>
  </w:style>
  <w:style w:type="paragraph" w:styleId="Heading8">
    <w:name w:val="heading 8"/>
    <w:basedOn w:val="Normal"/>
    <w:next w:val="Normal"/>
    <w:link w:val="Heading8Char"/>
    <w:uiPriority w:val="99"/>
    <w:qFormat/>
    <w:locked/>
    <w:rsid w:val="00721C93"/>
    <w:pPr>
      <w:spacing w:before="100" w:after="100" w:line="240" w:lineRule="auto"/>
      <w:outlineLvl w:val="7"/>
    </w:pPr>
    <w:rPr>
      <w:rFonts w:ascii="Times New Roman" w:eastAsia="SimSun" w:hAnsi="Times New Roman"/>
      <w:iCs/>
      <w:spacing w:val="0"/>
      <w:sz w:val="24"/>
      <w:lang w:eastAsia="zh-CN"/>
    </w:rPr>
  </w:style>
  <w:style w:type="paragraph" w:styleId="Heading9">
    <w:name w:val="heading 9"/>
    <w:basedOn w:val="Normal"/>
    <w:next w:val="Normal"/>
    <w:link w:val="Heading9Char"/>
    <w:uiPriority w:val="99"/>
    <w:qFormat/>
    <w:locked/>
    <w:rsid w:val="00721C93"/>
    <w:pPr>
      <w:spacing w:before="100" w:after="100" w:line="240" w:lineRule="auto"/>
      <w:outlineLvl w:val="8"/>
    </w:pPr>
    <w:rPr>
      <w:rFonts w:ascii="Times New Roman" w:eastAsia="SimSun" w:hAnsi="Times New Roman" w:cs="Arial"/>
      <w:spacing w:val="0"/>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I Char,Titre 1 Car Car Char,Titre 1 Car Char,Section Heading Char,Section Heading1 Char,Section1 Char,Section Heading2 Char,Section2 Char,Section Heading3 Char,Section3 Char,Section heading Char,Section Heading4 Char,Section4 Char"/>
    <w:basedOn w:val="DefaultParagraphFont"/>
    <w:link w:val="Heading1"/>
    <w:uiPriority w:val="9"/>
    <w:locked/>
    <w:rsid w:val="00C60A01"/>
    <w:rPr>
      <w:rFonts w:ascii="Arial" w:hAnsi="Arial"/>
      <w:b/>
      <w:caps/>
      <w:spacing w:val="-4"/>
      <w:sz w:val="24"/>
    </w:rPr>
  </w:style>
  <w:style w:type="character" w:customStyle="1" w:styleId="Heading2Char">
    <w:name w:val="Heading 2 Char"/>
    <w:aliases w:val="Reset numbering Char,Major Char,Item heading Char,Reset numbering1 Char,Major1 Char,Item heading1 Char,Reset numbering2 Char,Major2 Char,Item heading2 Char,Reset numbering3 Char,Major3 Char,Item heading3 Char,Reset numbering4 Char"/>
    <w:basedOn w:val="DefaultParagraphFont"/>
    <w:link w:val="Heading2"/>
    <w:uiPriority w:val="9"/>
    <w:locked/>
    <w:rsid w:val="00721C93"/>
    <w:rPr>
      <w:rFonts w:ascii="Arial" w:hAnsi="Arial"/>
      <w:b/>
      <w:spacing w:val="-4"/>
      <w:sz w:val="16"/>
    </w:rPr>
  </w:style>
  <w:style w:type="character" w:customStyle="1" w:styleId="Heading3Char">
    <w:name w:val="Heading 3 Char"/>
    <w:aliases w:val="Level 1 - 1 Char,Minor Char,Level 1 - 11 Char,Minor1 Char,Level 1 - 12 Char,Minor2 Char,Level 1 - 13 Char,Minor3 Char,Level 1 - 111 Char,Minor11 Char,Level 1 - 121 Char,Minor21 Char,Level 1 - 14 Char,Minor4 Char,Level 1 - 112 Char"/>
    <w:basedOn w:val="DefaultParagraphFont"/>
    <w:link w:val="Heading3"/>
    <w:uiPriority w:val="9"/>
    <w:locked/>
    <w:rsid w:val="00721C93"/>
    <w:rPr>
      <w:rFonts w:ascii="Arial" w:hAnsi="Arial"/>
      <w:b/>
      <w:i/>
      <w:spacing w:val="-4"/>
      <w:sz w:val="16"/>
    </w:rPr>
  </w:style>
  <w:style w:type="character" w:customStyle="1" w:styleId="Heading4Char">
    <w:name w:val="Heading 4 Char"/>
    <w:aliases w:val="Level 2 - a Char Char,Sub-Minor Char Char,Level 2 - a1 Char Char,Sub-Minor1 Char Char,Level 2 - a2 Char Char,Sub-Minor2 Char Char,Level 2 - a3 Char Char,Sub-Minor3 Char Char,Sub-subheading Char Char,Level 2 - a4 Char Char"/>
    <w:basedOn w:val="DefaultParagraphFont"/>
    <w:rsid w:val="007D173C"/>
    <w:rPr>
      <w:rFonts w:ascii="Calibri" w:hAnsi="Calibri"/>
      <w:b/>
      <w:spacing w:val="-4"/>
      <w:sz w:val="28"/>
    </w:rPr>
  </w:style>
  <w:style w:type="character" w:customStyle="1" w:styleId="Heading5Char">
    <w:name w:val="Heading 5 Char"/>
    <w:aliases w:val="Level 3 - i Char,Level 3 - i1 Char,Level 3 - i2 Char,Level 3 - i3 Char,Level 3 - i4 Char,Level 3 - i5 Char,Level 3 - i6 Char,Level 3 - i7 Char,Level 3 - i8 Char,Level 3 - i9 Char,Level 3 - i11 Char,Level 3 - i21 Char,Level 3 - i31 Char"/>
    <w:basedOn w:val="DefaultParagraphFont"/>
    <w:link w:val="Heading5"/>
    <w:locked/>
    <w:rsid w:val="00721C93"/>
    <w:rPr>
      <w:rFonts w:ascii="Arial" w:hAnsi="Arial"/>
      <w:spacing w:val="-4"/>
      <w:sz w:val="26"/>
    </w:rPr>
  </w:style>
  <w:style w:type="character" w:customStyle="1" w:styleId="Heading6Char">
    <w:name w:val="Heading 6 Char"/>
    <w:basedOn w:val="DefaultParagraphFont"/>
    <w:link w:val="Heading6"/>
    <w:uiPriority w:val="99"/>
    <w:locked/>
    <w:rsid w:val="00721C93"/>
    <w:rPr>
      <w:rFonts w:ascii="Arial" w:eastAsia="Batang" w:hAnsi="Arial"/>
      <w:lang w:eastAsia="ko-KR"/>
    </w:rPr>
  </w:style>
  <w:style w:type="character" w:customStyle="1" w:styleId="Heading7Char">
    <w:name w:val="Heading 7 Char"/>
    <w:basedOn w:val="DefaultParagraphFont"/>
    <w:link w:val="Heading7"/>
    <w:uiPriority w:val="99"/>
    <w:locked/>
    <w:rsid w:val="00721C93"/>
    <w:rPr>
      <w:rFonts w:ascii="Arial" w:eastAsia="Batang" w:hAnsi="Arial"/>
      <w:lang w:eastAsia="ko-KR"/>
    </w:rPr>
  </w:style>
  <w:style w:type="character" w:customStyle="1" w:styleId="Heading8Char">
    <w:name w:val="Heading 8 Char"/>
    <w:basedOn w:val="DefaultParagraphFont"/>
    <w:link w:val="Heading8"/>
    <w:uiPriority w:val="99"/>
    <w:locked/>
    <w:rsid w:val="00721C93"/>
    <w:rPr>
      <w:rFonts w:eastAsia="SimSun"/>
      <w:sz w:val="24"/>
      <w:lang w:eastAsia="zh-CN"/>
    </w:rPr>
  </w:style>
  <w:style w:type="character" w:customStyle="1" w:styleId="Heading9Char">
    <w:name w:val="Heading 9 Char"/>
    <w:basedOn w:val="DefaultParagraphFont"/>
    <w:link w:val="Heading9"/>
    <w:uiPriority w:val="99"/>
    <w:locked/>
    <w:rsid w:val="00721C93"/>
    <w:rPr>
      <w:rFonts w:eastAsia="SimSun"/>
      <w:sz w:val="22"/>
      <w:lang w:eastAsia="zh-CN"/>
    </w:rPr>
  </w:style>
  <w:style w:type="paragraph" w:styleId="Header">
    <w:name w:val="header"/>
    <w:basedOn w:val="Normal"/>
    <w:link w:val="HeaderChar"/>
    <w:uiPriority w:val="99"/>
    <w:rsid w:val="00667281"/>
    <w:pPr>
      <w:tabs>
        <w:tab w:val="center" w:pos="4153"/>
        <w:tab w:val="right" w:pos="8306"/>
      </w:tabs>
      <w:spacing w:after="0"/>
    </w:pPr>
    <w:rPr>
      <w:spacing w:val="0"/>
    </w:rPr>
  </w:style>
  <w:style w:type="character" w:customStyle="1" w:styleId="HeaderChar">
    <w:name w:val="Header Char"/>
    <w:basedOn w:val="DefaultParagraphFont"/>
    <w:link w:val="Header"/>
    <w:uiPriority w:val="99"/>
    <w:locked/>
    <w:rsid w:val="00667281"/>
    <w:rPr>
      <w:rFonts w:ascii="Arial" w:hAnsi="Arial"/>
      <w:sz w:val="24"/>
    </w:rPr>
  </w:style>
  <w:style w:type="character" w:customStyle="1" w:styleId="FooterChar">
    <w:name w:val="Footer Char"/>
    <w:link w:val="Footer"/>
    <w:uiPriority w:val="99"/>
    <w:locked/>
    <w:rsid w:val="00EC786F"/>
    <w:rPr>
      <w:rFonts w:ascii="Arial" w:hAnsi="Arial"/>
      <w:spacing w:val="-4"/>
      <w:sz w:val="16"/>
    </w:rPr>
  </w:style>
  <w:style w:type="paragraph" w:customStyle="1" w:styleId="Heading1NoSpace">
    <w:name w:val="Heading 1 NoSpace"/>
    <w:basedOn w:val="Heading1"/>
    <w:rsid w:val="00667281"/>
    <w:pPr>
      <w:spacing w:before="0"/>
    </w:pPr>
    <w:rPr>
      <w:bCs/>
      <w:szCs w:val="20"/>
    </w:rPr>
  </w:style>
  <w:style w:type="character" w:customStyle="1" w:styleId="Bold">
    <w:name w:val="Bold"/>
    <w:uiPriority w:val="99"/>
    <w:rsid w:val="006B394E"/>
    <w:rPr>
      <w:rFonts w:ascii="Gotham Rounded Bold" w:hAnsi="Gotham Rounded Bold"/>
    </w:rPr>
  </w:style>
  <w:style w:type="paragraph" w:styleId="Footer">
    <w:name w:val="footer"/>
    <w:basedOn w:val="Normal"/>
    <w:link w:val="FooterChar"/>
    <w:uiPriority w:val="99"/>
    <w:rsid w:val="00EC786F"/>
    <w:pPr>
      <w:tabs>
        <w:tab w:val="right" w:pos="8505"/>
      </w:tabs>
      <w:spacing w:after="0"/>
    </w:pPr>
    <w:rPr>
      <w:sz w:val="16"/>
      <w:szCs w:val="20"/>
    </w:rPr>
  </w:style>
  <w:style w:type="character" w:customStyle="1" w:styleId="FooterChar1">
    <w:name w:val="Footer Char1"/>
    <w:basedOn w:val="DefaultParagraphFont"/>
    <w:uiPriority w:val="99"/>
    <w:semiHidden/>
    <w:rsid w:val="00CA3403"/>
    <w:rPr>
      <w:rFonts w:ascii="Arial" w:hAnsi="Arial"/>
      <w:spacing w:val="-4"/>
      <w:sz w:val="18"/>
      <w:szCs w:val="24"/>
    </w:rPr>
  </w:style>
  <w:style w:type="character" w:customStyle="1" w:styleId="FooterChar12">
    <w:name w:val="Footer Char12"/>
    <w:uiPriority w:val="99"/>
    <w:semiHidden/>
    <w:rsid w:val="007D173C"/>
    <w:rPr>
      <w:rFonts w:ascii="Arial" w:hAnsi="Arial"/>
      <w:spacing w:val="-4"/>
      <w:sz w:val="24"/>
    </w:rPr>
  </w:style>
  <w:style w:type="paragraph" w:customStyle="1" w:styleId="Footnotes">
    <w:name w:val="Footnotes"/>
    <w:basedOn w:val="Normal"/>
    <w:qFormat/>
    <w:rsid w:val="00344A1B"/>
    <w:pPr>
      <w:spacing w:before="130" w:after="80" w:line="160" w:lineRule="exact"/>
      <w:ind w:left="113" w:hanging="113"/>
    </w:pPr>
    <w:rPr>
      <w:sz w:val="14"/>
      <w:szCs w:val="20"/>
    </w:rPr>
  </w:style>
  <w:style w:type="character" w:customStyle="1" w:styleId="TabletextChar">
    <w:name w:val="Tabletext Char"/>
    <w:link w:val="Tabletext"/>
    <w:locked/>
    <w:rsid w:val="00AB461D"/>
    <w:rPr>
      <w:rFonts w:ascii="Gotham Rounded Book" w:hAnsi="Gotham Rounded Book"/>
      <w:color w:val="000000"/>
      <w:sz w:val="16"/>
    </w:rPr>
  </w:style>
  <w:style w:type="paragraph" w:customStyle="1" w:styleId="TabletextBold">
    <w:name w:val="Tabletext Bold"/>
    <w:basedOn w:val="Tabletext"/>
    <w:link w:val="TabletextBoldCharChar"/>
    <w:rsid w:val="00440E85"/>
    <w:rPr>
      <w:rFonts w:ascii="Arial" w:hAnsi="Arial"/>
      <w:b/>
      <w:spacing w:val="-4"/>
    </w:rPr>
  </w:style>
  <w:style w:type="character" w:customStyle="1" w:styleId="Italics">
    <w:name w:val="Italics"/>
    <w:rsid w:val="00296D2C"/>
    <w:rPr>
      <w:i/>
    </w:rPr>
  </w:style>
  <w:style w:type="paragraph" w:customStyle="1" w:styleId="Tabletext">
    <w:name w:val="Tabletext"/>
    <w:basedOn w:val="Normal"/>
    <w:link w:val="TabletextChar"/>
    <w:rsid w:val="00AB461D"/>
    <w:pPr>
      <w:spacing w:before="40" w:after="20"/>
      <w:ind w:right="57"/>
    </w:pPr>
    <w:rPr>
      <w:rFonts w:ascii="Gotham Rounded Book" w:hAnsi="Gotham Rounded Book"/>
      <w:color w:val="000000"/>
      <w:spacing w:val="0"/>
      <w:sz w:val="16"/>
      <w:szCs w:val="20"/>
    </w:rPr>
  </w:style>
  <w:style w:type="character" w:customStyle="1" w:styleId="TabletextBoldCharChar">
    <w:name w:val="Tabletext Bold Char Char"/>
    <w:link w:val="TabletextBold"/>
    <w:locked/>
    <w:rsid w:val="00440E85"/>
    <w:rPr>
      <w:rFonts w:ascii="Arial" w:hAnsi="Arial"/>
      <w:b/>
      <w:color w:val="000000"/>
      <w:spacing w:val="-4"/>
      <w:sz w:val="16"/>
    </w:rPr>
  </w:style>
  <w:style w:type="character" w:styleId="PageNumber">
    <w:name w:val="page number"/>
    <w:basedOn w:val="DefaultParagraphFont"/>
    <w:rsid w:val="00296D2C"/>
    <w:rPr>
      <w:rFonts w:cs="Times New Roman"/>
    </w:rPr>
  </w:style>
  <w:style w:type="table" w:styleId="TableGrid">
    <w:name w:val="Table Grid"/>
    <w:basedOn w:val="TableNormal"/>
    <w:uiPriority w:val="39"/>
    <w:rsid w:val="00DC6817"/>
    <w:pPr>
      <w:spacing w:after="120" w:line="240" w:lineRule="exact"/>
    </w:pPr>
    <w:tblPr>
      <w:tblCellMar>
        <w:left w:w="0" w:type="dxa"/>
        <w:right w:w="0" w:type="dxa"/>
      </w:tblCellMar>
    </w:tblPr>
  </w:style>
  <w:style w:type="paragraph" w:customStyle="1" w:styleId="FootnotesNumberedList">
    <w:name w:val="Footnotes Numbered List"/>
    <w:basedOn w:val="FootnotesNoIndent"/>
    <w:qFormat/>
    <w:rsid w:val="00DC6817"/>
    <w:pPr>
      <w:tabs>
        <w:tab w:val="left" w:pos="170"/>
      </w:tabs>
      <w:ind w:left="170" w:hanging="170"/>
    </w:pPr>
  </w:style>
  <w:style w:type="paragraph" w:customStyle="1" w:styleId="NoSpace">
    <w:name w:val="NoSpace"/>
    <w:basedOn w:val="TabletextBold"/>
    <w:locked/>
    <w:rsid w:val="00032D79"/>
    <w:pPr>
      <w:spacing w:before="0" w:after="0" w:line="14" w:lineRule="exact"/>
    </w:pPr>
    <w:rPr>
      <w:rFonts w:ascii="Akzidenz Grotesk BE" w:hAnsi="Akzidenz Grotesk BE"/>
      <w:b w:val="0"/>
    </w:rPr>
  </w:style>
  <w:style w:type="paragraph" w:customStyle="1" w:styleId="Lists">
    <w:name w:val="Lists"/>
    <w:basedOn w:val="Normal"/>
    <w:rsid w:val="00DC6817"/>
    <w:pPr>
      <w:numPr>
        <w:numId w:val="8"/>
      </w:numPr>
      <w:spacing w:before="100"/>
    </w:pPr>
    <w:rPr>
      <w:spacing w:val="0"/>
    </w:rPr>
  </w:style>
  <w:style w:type="paragraph" w:customStyle="1" w:styleId="FootnotesNoIndent">
    <w:name w:val="Footnotes NoIndent"/>
    <w:basedOn w:val="Footnotes"/>
    <w:rsid w:val="00BB0D23"/>
    <w:pPr>
      <w:ind w:left="0" w:firstLine="0"/>
    </w:pPr>
  </w:style>
  <w:style w:type="paragraph" w:customStyle="1" w:styleId="TableFigures">
    <w:name w:val="TableFigures"/>
    <w:basedOn w:val="Tabletext"/>
    <w:uiPriority w:val="99"/>
    <w:rsid w:val="002A4A37"/>
    <w:pPr>
      <w:ind w:right="85"/>
      <w:jc w:val="right"/>
    </w:pPr>
  </w:style>
  <w:style w:type="paragraph" w:customStyle="1" w:styleId="TableFiguresBold">
    <w:name w:val="TableFigures Bold"/>
    <w:basedOn w:val="TableFigures"/>
    <w:rsid w:val="009A7CEF"/>
    <w:rPr>
      <w:b/>
      <w:bCs/>
    </w:rPr>
  </w:style>
  <w:style w:type="paragraph" w:customStyle="1" w:styleId="BodytextAfterTables">
    <w:name w:val="Bodytext After Tables"/>
    <w:basedOn w:val="Normal"/>
    <w:rsid w:val="008A1618"/>
    <w:pPr>
      <w:spacing w:before="200"/>
    </w:pPr>
    <w:rPr>
      <w:szCs w:val="20"/>
    </w:rPr>
  </w:style>
  <w:style w:type="paragraph" w:customStyle="1" w:styleId="PageSubTitle">
    <w:name w:val="PageSubTitle"/>
    <w:basedOn w:val="Normal"/>
    <w:rsid w:val="00667281"/>
    <w:rPr>
      <w:spacing w:val="0"/>
    </w:rPr>
  </w:style>
  <w:style w:type="character" w:styleId="PlaceholderText">
    <w:name w:val="Placeholder Text"/>
    <w:basedOn w:val="DefaultParagraphFont"/>
    <w:uiPriority w:val="99"/>
    <w:semiHidden/>
    <w:locked/>
    <w:rsid w:val="00691178"/>
    <w:rPr>
      <w:color w:val="808080"/>
    </w:rPr>
  </w:style>
  <w:style w:type="character" w:customStyle="1" w:styleId="Heading4Char2">
    <w:name w:val="Heading 4 Char2"/>
    <w:aliases w:val="Level 2 - a Char Char1,Sub-Minor Char Char1,Level 2 - a1 Char Char1,Sub-Minor1 Char Char1,Level 2 - a2 Char Char1,Sub-Minor2 Char Char1,Level 2 - a3 Char Char1,Sub-Minor3 Char Char1,Sub-subheading Char Char1,Level 2 - a4 Char Char1"/>
    <w:link w:val="Heading4"/>
    <w:locked/>
    <w:rsid w:val="000C5572"/>
    <w:rPr>
      <w:rFonts w:ascii="Gotham Rounded Book" w:hAnsi="Gotham Rounded Book"/>
      <w:i/>
      <w:color w:val="000000"/>
      <w:spacing w:val="-4"/>
      <w:sz w:val="24"/>
    </w:rPr>
  </w:style>
  <w:style w:type="paragraph" w:customStyle="1" w:styleId="TableFiguresBrackets">
    <w:name w:val="TableFigures Brackets"/>
    <w:basedOn w:val="TableFigures"/>
    <w:rsid w:val="00B8185C"/>
    <w:pPr>
      <w:ind w:right="34"/>
    </w:pPr>
  </w:style>
  <w:style w:type="paragraph" w:customStyle="1" w:styleId="TableFiguresBracketsBold">
    <w:name w:val="TableFigures Brackets Bold"/>
    <w:basedOn w:val="TableFiguresBold"/>
    <w:qFormat/>
    <w:rsid w:val="009A7CEF"/>
    <w:pPr>
      <w:ind w:right="23"/>
    </w:pPr>
  </w:style>
  <w:style w:type="paragraph" w:customStyle="1" w:styleId="TabletextIndent">
    <w:name w:val="Tabletext Indent"/>
    <w:basedOn w:val="Tabletext"/>
    <w:rsid w:val="00B50BF3"/>
    <w:pPr>
      <w:ind w:left="170"/>
    </w:pPr>
  </w:style>
  <w:style w:type="paragraph" w:styleId="ListBullet">
    <w:name w:val="List Bullet"/>
    <w:basedOn w:val="Normal"/>
    <w:qFormat/>
    <w:rsid w:val="00067F05"/>
    <w:pPr>
      <w:ind w:left="530" w:hanging="360"/>
    </w:pPr>
  </w:style>
  <w:style w:type="paragraph" w:styleId="ListBullet2">
    <w:name w:val="List Bullet 2"/>
    <w:basedOn w:val="Normal"/>
    <w:rsid w:val="00DC6817"/>
    <w:pPr>
      <w:numPr>
        <w:numId w:val="1"/>
      </w:numPr>
      <w:ind w:left="340" w:hanging="170"/>
    </w:pPr>
  </w:style>
  <w:style w:type="paragraph" w:customStyle="1" w:styleId="BodytextIndent">
    <w:name w:val="Bodytext Indent"/>
    <w:basedOn w:val="Normal"/>
    <w:uiPriority w:val="99"/>
    <w:rsid w:val="006F3501"/>
    <w:pPr>
      <w:ind w:left="284"/>
    </w:pPr>
  </w:style>
  <w:style w:type="paragraph" w:customStyle="1" w:styleId="TabletextBullets">
    <w:name w:val="Tabletext Bullets"/>
    <w:basedOn w:val="ListBullet"/>
    <w:rsid w:val="006F3501"/>
    <w:pPr>
      <w:spacing w:after="20"/>
    </w:pPr>
    <w:rPr>
      <w:szCs w:val="20"/>
    </w:rPr>
  </w:style>
  <w:style w:type="paragraph" w:customStyle="1" w:styleId="PageTitle">
    <w:name w:val="PageTitle"/>
    <w:basedOn w:val="Normal"/>
    <w:rsid w:val="00493319"/>
    <w:pPr>
      <w:spacing w:after="320" w:line="320" w:lineRule="exact"/>
    </w:pPr>
    <w:rPr>
      <w:b/>
      <w:spacing w:val="0"/>
      <w:sz w:val="28"/>
      <w:szCs w:val="36"/>
    </w:rPr>
  </w:style>
  <w:style w:type="paragraph" w:customStyle="1" w:styleId="Picture">
    <w:name w:val="Picture"/>
    <w:basedOn w:val="Normal"/>
    <w:rsid w:val="008034D8"/>
    <w:pPr>
      <w:spacing w:before="220" w:after="220" w:line="240" w:lineRule="auto"/>
    </w:pPr>
    <w:rPr>
      <w:spacing w:val="0"/>
    </w:rPr>
  </w:style>
  <w:style w:type="paragraph" w:customStyle="1" w:styleId="TableColHeads">
    <w:name w:val="TableColHeads"/>
    <w:basedOn w:val="Tabletext"/>
    <w:rsid w:val="00367A00"/>
    <w:pPr>
      <w:tabs>
        <w:tab w:val="left" w:pos="284"/>
      </w:tabs>
      <w:spacing w:before="0" w:after="0" w:line="160" w:lineRule="exact"/>
      <w:ind w:right="68"/>
      <w:jc w:val="right"/>
    </w:pPr>
    <w:rPr>
      <w:color w:val="auto"/>
      <w:sz w:val="14"/>
    </w:rPr>
  </w:style>
  <w:style w:type="paragraph" w:customStyle="1" w:styleId="TableColHeadsBold">
    <w:name w:val="TableColHeads Bold"/>
    <w:basedOn w:val="TableColHeads"/>
    <w:rsid w:val="00DC6817"/>
    <w:rPr>
      <w:b/>
      <w:bCs/>
    </w:rPr>
  </w:style>
  <w:style w:type="character" w:customStyle="1" w:styleId="Signoff">
    <w:name w:val="Signoff"/>
    <w:uiPriority w:val="99"/>
    <w:rsid w:val="00902318"/>
    <w:rPr>
      <w:b/>
      <w:color w:val="000000"/>
    </w:rPr>
  </w:style>
  <w:style w:type="character" w:customStyle="1" w:styleId="SignoffTitle">
    <w:name w:val="Sign off Title"/>
    <w:uiPriority w:val="99"/>
    <w:rsid w:val="0099685B"/>
    <w:rPr>
      <w:rFonts w:ascii="Myriad Pro Light" w:hAnsi="Myriad Pro Light"/>
      <w:b/>
      <w:color w:val="0099CC"/>
      <w:sz w:val="18"/>
    </w:rPr>
  </w:style>
  <w:style w:type="paragraph" w:customStyle="1" w:styleId="HeadingAsat31December">
    <w:name w:val="Heading_As at 31 December"/>
    <w:basedOn w:val="Normal"/>
    <w:uiPriority w:val="99"/>
    <w:rsid w:val="00A8362B"/>
    <w:pPr>
      <w:tabs>
        <w:tab w:val="left" w:pos="3666"/>
      </w:tabs>
      <w:spacing w:after="220"/>
    </w:pPr>
    <w:rPr>
      <w:color w:val="000000"/>
    </w:rPr>
  </w:style>
  <w:style w:type="paragraph" w:customStyle="1" w:styleId="Sectiontitle">
    <w:name w:val="Section title"/>
    <w:basedOn w:val="Normal"/>
    <w:uiPriority w:val="99"/>
    <w:rsid w:val="0099685B"/>
    <w:pPr>
      <w:spacing w:after="120" w:line="280" w:lineRule="exact"/>
    </w:pPr>
    <w:rPr>
      <w:b/>
      <w:caps/>
      <w:color w:val="000000"/>
      <w:position w:val="1"/>
      <w:sz w:val="24"/>
    </w:rPr>
  </w:style>
  <w:style w:type="paragraph" w:customStyle="1" w:styleId="TableColHeadsLeft">
    <w:name w:val="TableColHeads Left"/>
    <w:basedOn w:val="TableColHeads"/>
    <w:rsid w:val="00E563DD"/>
    <w:pPr>
      <w:spacing w:after="10"/>
      <w:jc w:val="left"/>
    </w:pPr>
    <w:rPr>
      <w:szCs w:val="22"/>
      <w:lang w:eastAsia="en-US"/>
    </w:rPr>
  </w:style>
  <w:style w:type="paragraph" w:customStyle="1" w:styleId="Notes">
    <w:name w:val="Notes"/>
    <w:basedOn w:val="TableFigures"/>
    <w:qFormat/>
    <w:rsid w:val="00FB5920"/>
    <w:pPr>
      <w:spacing w:before="18" w:after="36"/>
    </w:pPr>
    <w:rPr>
      <w:sz w:val="15"/>
      <w:szCs w:val="22"/>
      <w:lang w:eastAsia="en-US"/>
    </w:rPr>
  </w:style>
  <w:style w:type="paragraph" w:customStyle="1" w:styleId="TableColHeadsBoldSmaller">
    <w:name w:val="TableColHeads Bold Smaller"/>
    <w:basedOn w:val="TableColHeadsBold"/>
    <w:uiPriority w:val="99"/>
    <w:rsid w:val="005D2692"/>
    <w:pPr>
      <w:spacing w:line="140" w:lineRule="exact"/>
      <w:ind w:right="40"/>
    </w:pPr>
    <w:rPr>
      <w:spacing w:val="-4"/>
      <w:sz w:val="12"/>
    </w:rPr>
  </w:style>
  <w:style w:type="paragraph" w:customStyle="1" w:styleId="TableColHeadsSmaller">
    <w:name w:val="TableColHeads Smaller"/>
    <w:basedOn w:val="TableColHeadsBoldSmaller"/>
    <w:uiPriority w:val="99"/>
    <w:rsid w:val="00164E4D"/>
    <w:rPr>
      <w:b w:val="0"/>
    </w:rPr>
  </w:style>
  <w:style w:type="paragraph" w:customStyle="1" w:styleId="BodytextAftertables0">
    <w:name w:val="Bodytext After tables"/>
    <w:basedOn w:val="Normal"/>
    <w:uiPriority w:val="99"/>
    <w:rsid w:val="005F25AA"/>
    <w:pPr>
      <w:spacing w:before="100"/>
    </w:pPr>
  </w:style>
  <w:style w:type="paragraph" w:customStyle="1" w:styleId="HeaderSubheading">
    <w:name w:val="Header Sub heading"/>
    <w:basedOn w:val="Normal"/>
    <w:uiPriority w:val="99"/>
    <w:rsid w:val="00082F42"/>
    <w:pPr>
      <w:spacing w:before="80" w:after="120"/>
      <w:ind w:left="113"/>
    </w:pPr>
    <w:rPr>
      <w:rFonts w:ascii="FS Sinclair Medium" w:hAnsi="FS Sinclair Medium"/>
      <w:color w:val="0099CC"/>
      <w:sz w:val="16"/>
    </w:rPr>
  </w:style>
  <w:style w:type="paragraph" w:customStyle="1" w:styleId="Heading2SpaceBefore">
    <w:name w:val="Heading 2 Space Before"/>
    <w:basedOn w:val="Heading2"/>
    <w:uiPriority w:val="99"/>
    <w:rsid w:val="0067071D"/>
    <w:pPr>
      <w:tabs>
        <w:tab w:val="left" w:pos="340"/>
      </w:tabs>
      <w:spacing w:before="160" w:after="0"/>
    </w:pPr>
    <w:rPr>
      <w:color w:val="000000"/>
    </w:rPr>
  </w:style>
  <w:style w:type="paragraph" w:customStyle="1" w:styleId="BodytextNoSpaceAfter">
    <w:name w:val="Bodytext No Space After"/>
    <w:basedOn w:val="Normal"/>
    <w:uiPriority w:val="99"/>
    <w:rsid w:val="00DD3860"/>
    <w:pPr>
      <w:spacing w:after="0"/>
    </w:pPr>
  </w:style>
  <w:style w:type="paragraph" w:customStyle="1" w:styleId="Heading2SpaceAfter">
    <w:name w:val="Heading 2 Space After"/>
    <w:basedOn w:val="Heading2"/>
    <w:uiPriority w:val="99"/>
    <w:rsid w:val="00DE19DD"/>
    <w:pPr>
      <w:tabs>
        <w:tab w:val="left" w:pos="340"/>
      </w:tabs>
      <w:spacing w:before="120" w:after="80"/>
    </w:pPr>
    <w:rPr>
      <w:rFonts w:ascii="Myriad Pro Light" w:hAnsi="Myriad Pro Light"/>
      <w:color w:val="000000"/>
    </w:rPr>
  </w:style>
  <w:style w:type="character" w:styleId="Hyperlink">
    <w:name w:val="Hyperlink"/>
    <w:basedOn w:val="DefaultParagraphFont"/>
    <w:uiPriority w:val="99"/>
    <w:locked/>
    <w:rsid w:val="004218F9"/>
    <w:rPr>
      <w:rFonts w:cs="Times New Roman"/>
      <w:color w:val="0000FF"/>
      <w:u w:val="single"/>
    </w:rPr>
  </w:style>
  <w:style w:type="paragraph" w:customStyle="1" w:styleId="NoParagraphStyle">
    <w:name w:val="[No Paragraph Style]"/>
    <w:rsid w:val="004D73F3"/>
    <w:pPr>
      <w:autoSpaceDE w:val="0"/>
      <w:autoSpaceDN w:val="0"/>
      <w:adjustRightInd w:val="0"/>
      <w:spacing w:line="288" w:lineRule="auto"/>
      <w:textAlignment w:val="center"/>
    </w:pPr>
    <w:rPr>
      <w:rFonts w:ascii="Myriad Pro Light" w:hAnsi="Myriad Pro Light"/>
      <w:color w:val="000000"/>
      <w:sz w:val="24"/>
      <w:szCs w:val="24"/>
    </w:rPr>
  </w:style>
  <w:style w:type="paragraph" w:customStyle="1" w:styleId="StyleTableColHeadsBold6pt1">
    <w:name w:val="Style TableColHeads Bold + 6 pt1"/>
    <w:basedOn w:val="TableColHeadsBold"/>
    <w:uiPriority w:val="99"/>
    <w:rsid w:val="004A5572"/>
    <w:pPr>
      <w:spacing w:before="18" w:after="36" w:line="140" w:lineRule="exact"/>
    </w:pPr>
    <w:rPr>
      <w:rFonts w:ascii="Myriad Pro Light" w:hAnsi="Myriad Pro Light"/>
      <w:color w:val="0099CC"/>
      <w:sz w:val="12"/>
    </w:rPr>
  </w:style>
  <w:style w:type="paragraph" w:customStyle="1" w:styleId="StyleTableColHeadsBold6pt">
    <w:name w:val="Style TableColHeads Bold + 6 pt"/>
    <w:basedOn w:val="TableColHeadsBold"/>
    <w:uiPriority w:val="99"/>
    <w:rsid w:val="004A5572"/>
    <w:pPr>
      <w:spacing w:before="18" w:after="36" w:line="140" w:lineRule="exact"/>
    </w:pPr>
    <w:rPr>
      <w:rFonts w:ascii="Myriad Pro Light" w:hAnsi="Myriad Pro Light"/>
      <w:color w:val="0099CC"/>
      <w:spacing w:val="-3"/>
      <w:sz w:val="12"/>
    </w:rPr>
  </w:style>
  <w:style w:type="paragraph" w:customStyle="1" w:styleId="Heading2GenericStyles">
    <w:name w:val="Heading 2 (Generic Styles)"/>
    <w:basedOn w:val="Normal"/>
    <w:next w:val="Normal"/>
    <w:uiPriority w:val="99"/>
    <w:rsid w:val="00FB2702"/>
    <w:pPr>
      <w:suppressAutoHyphens/>
      <w:autoSpaceDE w:val="0"/>
      <w:autoSpaceDN w:val="0"/>
      <w:adjustRightInd w:val="0"/>
      <w:spacing w:after="50" w:line="220" w:lineRule="atLeast"/>
      <w:textAlignment w:val="center"/>
    </w:pPr>
    <w:rPr>
      <w:rFonts w:ascii="MyriadPro-Regular" w:hAnsi="MyriadPro-Regular" w:cs="MyriadPro-Regular"/>
      <w:color w:val="4BA6DE"/>
      <w:szCs w:val="18"/>
    </w:rPr>
  </w:style>
  <w:style w:type="character" w:customStyle="1" w:styleId="Superscript">
    <w:name w:val="Superscript"/>
    <w:qFormat/>
    <w:rsid w:val="004D73F3"/>
    <w:rPr>
      <w:vertAlign w:val="superscript"/>
    </w:rPr>
  </w:style>
  <w:style w:type="paragraph" w:customStyle="1" w:styleId="FootnotesGenericStyles">
    <w:name w:val="Footnotes (Generic Styles)"/>
    <w:basedOn w:val="Normal"/>
    <w:uiPriority w:val="99"/>
    <w:rsid w:val="00C16A67"/>
    <w:pPr>
      <w:tabs>
        <w:tab w:val="left" w:pos="227"/>
      </w:tabs>
      <w:suppressAutoHyphens/>
      <w:autoSpaceDE w:val="0"/>
      <w:autoSpaceDN w:val="0"/>
      <w:adjustRightInd w:val="0"/>
      <w:spacing w:after="80" w:line="160" w:lineRule="atLeast"/>
      <w:textAlignment w:val="center"/>
    </w:pPr>
    <w:rPr>
      <w:rFonts w:ascii="MyriadPro-Light" w:hAnsi="MyriadPro-Light" w:cs="MyriadPro-Light"/>
      <w:color w:val="000000"/>
      <w:sz w:val="14"/>
      <w:szCs w:val="14"/>
    </w:rPr>
  </w:style>
  <w:style w:type="paragraph" w:customStyle="1" w:styleId="TabletextBullets2">
    <w:name w:val="Tabletext Bullets 2"/>
    <w:basedOn w:val="TabletextBullets"/>
    <w:uiPriority w:val="99"/>
    <w:rsid w:val="0067071D"/>
    <w:pPr>
      <w:numPr>
        <w:numId w:val="9"/>
      </w:numPr>
    </w:pPr>
  </w:style>
  <w:style w:type="paragraph" w:styleId="BalloonText">
    <w:name w:val="Balloon Text"/>
    <w:basedOn w:val="Normal"/>
    <w:link w:val="BalloonTextChar"/>
    <w:uiPriority w:val="99"/>
    <w:locked/>
    <w:rsid w:val="0021358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locked/>
    <w:rsid w:val="00213581"/>
    <w:rPr>
      <w:rFonts w:ascii="Tahoma" w:hAnsi="Tahoma"/>
      <w:spacing w:val="-4"/>
      <w:sz w:val="16"/>
    </w:rPr>
  </w:style>
  <w:style w:type="paragraph" w:customStyle="1" w:styleId="Section">
    <w:name w:val="Section"/>
    <w:basedOn w:val="PageTitle"/>
    <w:uiPriority w:val="99"/>
    <w:rsid w:val="001B183F"/>
    <w:pPr>
      <w:spacing w:before="220" w:after="110"/>
    </w:pPr>
    <w:rPr>
      <w:sz w:val="24"/>
      <w:szCs w:val="24"/>
    </w:rPr>
  </w:style>
  <w:style w:type="paragraph" w:styleId="ListParagraph">
    <w:name w:val="List Paragraph"/>
    <w:basedOn w:val="Normal"/>
    <w:uiPriority w:val="34"/>
    <w:qFormat/>
    <w:rsid w:val="005557EF"/>
    <w:pPr>
      <w:spacing w:after="0" w:line="240" w:lineRule="auto"/>
      <w:ind w:left="720"/>
    </w:pPr>
    <w:rPr>
      <w:rFonts w:ascii="Calibri" w:hAnsi="Calibri"/>
      <w:spacing w:val="0"/>
      <w:sz w:val="22"/>
      <w:szCs w:val="22"/>
    </w:rPr>
  </w:style>
  <w:style w:type="paragraph" w:customStyle="1" w:styleId="Footnotesnumberedcondensed">
    <w:name w:val="Footnotes numbered condensed"/>
    <w:basedOn w:val="FootnotesNumberedList"/>
    <w:uiPriority w:val="99"/>
    <w:rsid w:val="00914673"/>
    <w:pPr>
      <w:numPr>
        <w:numId w:val="2"/>
      </w:numPr>
      <w:tabs>
        <w:tab w:val="clear" w:pos="170"/>
      </w:tabs>
      <w:spacing w:before="20" w:after="20"/>
    </w:pPr>
    <w:rPr>
      <w:spacing w:val="-6"/>
    </w:rPr>
  </w:style>
  <w:style w:type="paragraph" w:customStyle="1" w:styleId="Heading1lessspace">
    <w:name w:val="Heading 1 less space"/>
    <w:basedOn w:val="Heading1"/>
    <w:uiPriority w:val="99"/>
    <w:rsid w:val="00914673"/>
    <w:pPr>
      <w:spacing w:before="160"/>
    </w:pPr>
  </w:style>
  <w:style w:type="paragraph" w:customStyle="1" w:styleId="BodyTextlessleading">
    <w:name w:val="BodyText less leading"/>
    <w:basedOn w:val="BodytextAftertables0"/>
    <w:uiPriority w:val="99"/>
    <w:rsid w:val="00914673"/>
    <w:pPr>
      <w:spacing w:after="100" w:line="210" w:lineRule="exact"/>
    </w:pPr>
  </w:style>
  <w:style w:type="paragraph" w:customStyle="1" w:styleId="StyleHeading2Italic">
    <w:name w:val="Style Heading 2 + Italic"/>
    <w:basedOn w:val="Heading2"/>
    <w:uiPriority w:val="99"/>
    <w:rsid w:val="002E210D"/>
    <w:pPr>
      <w:numPr>
        <w:ilvl w:val="1"/>
        <w:numId w:val="11"/>
      </w:numPr>
      <w:tabs>
        <w:tab w:val="clear" w:pos="0"/>
      </w:tabs>
      <w:spacing w:before="100" w:after="100" w:line="240" w:lineRule="auto"/>
    </w:pPr>
    <w:rPr>
      <w:rFonts w:eastAsia="SimSun"/>
      <w:iCs/>
      <w:spacing w:val="0"/>
      <w:sz w:val="20"/>
      <w:szCs w:val="24"/>
      <w:lang w:eastAsia="zh-CN"/>
    </w:rPr>
  </w:style>
  <w:style w:type="character" w:styleId="FollowedHyperlink">
    <w:name w:val="FollowedHyperlink"/>
    <w:basedOn w:val="DefaultParagraphFont"/>
    <w:uiPriority w:val="99"/>
    <w:locked/>
    <w:rsid w:val="00721C93"/>
    <w:rPr>
      <w:rFonts w:cs="Times New Roman"/>
      <w:color w:val="800080"/>
      <w:u w:val="single"/>
    </w:rPr>
  </w:style>
  <w:style w:type="paragraph" w:styleId="BodyText">
    <w:name w:val="Body Text"/>
    <w:basedOn w:val="Normal"/>
    <w:link w:val="BodyTextChar"/>
    <w:uiPriority w:val="99"/>
    <w:locked/>
    <w:rsid w:val="00721C93"/>
    <w:pPr>
      <w:spacing w:after="0" w:line="240" w:lineRule="auto"/>
      <w:jc w:val="both"/>
    </w:pPr>
    <w:rPr>
      <w:spacing w:val="0"/>
      <w:sz w:val="21"/>
      <w:szCs w:val="20"/>
      <w:lang w:eastAsia="en-US"/>
    </w:rPr>
  </w:style>
  <w:style w:type="character" w:customStyle="1" w:styleId="BodyTextChar">
    <w:name w:val="Body Text Char"/>
    <w:basedOn w:val="DefaultParagraphFont"/>
    <w:link w:val="BodyText"/>
    <w:uiPriority w:val="99"/>
    <w:locked/>
    <w:rsid w:val="00721C93"/>
    <w:rPr>
      <w:rFonts w:ascii="Arial" w:hAnsi="Arial"/>
      <w:sz w:val="21"/>
      <w:lang w:eastAsia="en-US"/>
    </w:rPr>
  </w:style>
  <w:style w:type="paragraph" w:styleId="BodyText2">
    <w:name w:val="Body Text 2"/>
    <w:basedOn w:val="Normal"/>
    <w:link w:val="BodyText2Char"/>
    <w:uiPriority w:val="99"/>
    <w:locked/>
    <w:rsid w:val="00721C93"/>
    <w:pPr>
      <w:autoSpaceDE w:val="0"/>
      <w:autoSpaceDN w:val="0"/>
      <w:adjustRightInd w:val="0"/>
      <w:spacing w:after="0" w:line="240" w:lineRule="auto"/>
      <w:jc w:val="both"/>
    </w:pPr>
    <w:rPr>
      <w:rFonts w:cs="Arial"/>
      <w:color w:val="0000FF"/>
      <w:spacing w:val="0"/>
      <w:szCs w:val="17"/>
      <w:lang w:val="en-US" w:eastAsia="en-US"/>
    </w:rPr>
  </w:style>
  <w:style w:type="character" w:customStyle="1" w:styleId="BodyText2Char">
    <w:name w:val="Body Text 2 Char"/>
    <w:basedOn w:val="DefaultParagraphFont"/>
    <w:link w:val="BodyText2"/>
    <w:uiPriority w:val="99"/>
    <w:locked/>
    <w:rsid w:val="00721C93"/>
    <w:rPr>
      <w:rFonts w:ascii="Arial" w:hAnsi="Arial"/>
      <w:color w:val="0000FF"/>
      <w:sz w:val="17"/>
      <w:lang w:val="en-US" w:eastAsia="en-US"/>
    </w:rPr>
  </w:style>
  <w:style w:type="paragraph" w:styleId="BodyText3">
    <w:name w:val="Body Text 3"/>
    <w:basedOn w:val="Normal"/>
    <w:link w:val="BodyText3Char"/>
    <w:uiPriority w:val="99"/>
    <w:locked/>
    <w:rsid w:val="00721C93"/>
    <w:pPr>
      <w:autoSpaceDE w:val="0"/>
      <w:autoSpaceDN w:val="0"/>
      <w:adjustRightInd w:val="0"/>
      <w:spacing w:after="0" w:line="240" w:lineRule="auto"/>
      <w:jc w:val="both"/>
    </w:pPr>
    <w:rPr>
      <w:rFonts w:cs="Arial"/>
      <w:i/>
      <w:iCs/>
      <w:spacing w:val="0"/>
      <w:sz w:val="21"/>
      <w:szCs w:val="17"/>
      <w:lang w:val="en-US" w:eastAsia="en-US"/>
    </w:rPr>
  </w:style>
  <w:style w:type="character" w:customStyle="1" w:styleId="BodyText3Char">
    <w:name w:val="Body Text 3 Char"/>
    <w:basedOn w:val="DefaultParagraphFont"/>
    <w:link w:val="BodyText3"/>
    <w:uiPriority w:val="99"/>
    <w:locked/>
    <w:rsid w:val="00721C93"/>
    <w:rPr>
      <w:rFonts w:ascii="Arial" w:hAnsi="Arial"/>
      <w:i/>
      <w:sz w:val="17"/>
      <w:lang w:val="en-US" w:eastAsia="en-US"/>
    </w:rPr>
  </w:style>
  <w:style w:type="paragraph" w:customStyle="1" w:styleId="Nbody9pt">
    <w:name w:val="~N body 9pt"/>
    <w:basedOn w:val="Normal"/>
    <w:uiPriority w:val="99"/>
    <w:rsid w:val="00721C93"/>
    <w:pPr>
      <w:widowControl w:val="0"/>
      <w:spacing w:after="150" w:line="-300" w:lineRule="auto"/>
    </w:pPr>
    <w:rPr>
      <w:rFonts w:ascii="Helvetica 55 Roman" w:hAnsi="Helvetica 55 Roman"/>
      <w:spacing w:val="0"/>
      <w:szCs w:val="20"/>
      <w:lang w:eastAsia="en-US"/>
    </w:rPr>
  </w:style>
  <w:style w:type="paragraph" w:customStyle="1" w:styleId="Nheading">
    <w:name w:val="~N heading"/>
    <w:basedOn w:val="Normal"/>
    <w:uiPriority w:val="99"/>
    <w:rsid w:val="00721C93"/>
    <w:pPr>
      <w:widowControl w:val="0"/>
      <w:tabs>
        <w:tab w:val="right" w:pos="-284"/>
      </w:tabs>
      <w:spacing w:after="0" w:line="-300" w:lineRule="auto"/>
      <w:ind w:left="-567"/>
    </w:pPr>
    <w:rPr>
      <w:rFonts w:ascii="Helvetica 55 Roman" w:hAnsi="Helvetica 55 Roman"/>
      <w:b/>
      <w:spacing w:val="0"/>
      <w:sz w:val="20"/>
      <w:szCs w:val="20"/>
      <w:lang w:eastAsia="en-US"/>
    </w:rPr>
  </w:style>
  <w:style w:type="paragraph" w:customStyle="1" w:styleId="tabbelowrule">
    <w:name w:val="~tab/below rule"/>
    <w:next w:val="Normal"/>
    <w:uiPriority w:val="99"/>
    <w:rsid w:val="00721C93"/>
    <w:pPr>
      <w:widowControl w:val="0"/>
      <w:tabs>
        <w:tab w:val="left" w:pos="1560"/>
        <w:tab w:val="right" w:pos="6634"/>
        <w:tab w:val="decimal" w:pos="8193"/>
        <w:tab w:val="decimal" w:pos="9781"/>
      </w:tabs>
      <w:spacing w:after="50" w:line="-240" w:lineRule="auto"/>
    </w:pPr>
    <w:rPr>
      <w:rFonts w:ascii="Helvetica 55 Roman" w:hAnsi="Helvetica 55 Roman"/>
      <w:noProof/>
      <w:sz w:val="18"/>
      <w:lang w:eastAsia="en-US"/>
    </w:rPr>
  </w:style>
  <w:style w:type="paragraph" w:styleId="NormalWeb">
    <w:name w:val="Normal (Web)"/>
    <w:basedOn w:val="Normal"/>
    <w:uiPriority w:val="99"/>
    <w:locked/>
    <w:rsid w:val="00721C93"/>
    <w:pPr>
      <w:spacing w:after="240" w:line="240" w:lineRule="auto"/>
    </w:pPr>
    <w:rPr>
      <w:rFonts w:ascii="Times New Roman" w:hAnsi="Times New Roman"/>
      <w:spacing w:val="0"/>
      <w:sz w:val="19"/>
      <w:szCs w:val="19"/>
    </w:rPr>
  </w:style>
  <w:style w:type="character" w:styleId="CommentReference">
    <w:name w:val="annotation reference"/>
    <w:basedOn w:val="DefaultParagraphFont"/>
    <w:uiPriority w:val="99"/>
    <w:locked/>
    <w:rsid w:val="00721C93"/>
    <w:rPr>
      <w:rFonts w:cs="Times New Roman"/>
      <w:sz w:val="16"/>
    </w:rPr>
  </w:style>
  <w:style w:type="paragraph" w:styleId="CommentText">
    <w:name w:val="annotation text"/>
    <w:basedOn w:val="Normal"/>
    <w:link w:val="CommentTextChar"/>
    <w:uiPriority w:val="99"/>
    <w:locked/>
    <w:rsid w:val="00721C93"/>
    <w:pPr>
      <w:spacing w:after="0" w:line="240" w:lineRule="auto"/>
    </w:pPr>
    <w:rPr>
      <w:rFonts w:ascii="Times New Roman" w:hAnsi="Times New Roman"/>
      <w:spacing w:val="0"/>
      <w:sz w:val="20"/>
      <w:szCs w:val="20"/>
    </w:rPr>
  </w:style>
  <w:style w:type="character" w:customStyle="1" w:styleId="CommentTextChar">
    <w:name w:val="Comment Text Char"/>
    <w:basedOn w:val="DefaultParagraphFont"/>
    <w:link w:val="CommentText"/>
    <w:uiPriority w:val="99"/>
    <w:locked/>
    <w:rsid w:val="00721C93"/>
  </w:style>
  <w:style w:type="paragraph" w:styleId="CommentSubject">
    <w:name w:val="annotation subject"/>
    <w:basedOn w:val="CommentText"/>
    <w:next w:val="CommentText"/>
    <w:link w:val="CommentSubjectChar"/>
    <w:uiPriority w:val="99"/>
    <w:locked/>
    <w:rsid w:val="00721C93"/>
    <w:rPr>
      <w:b/>
      <w:bCs/>
    </w:rPr>
  </w:style>
  <w:style w:type="character" w:customStyle="1" w:styleId="CommentSubjectChar">
    <w:name w:val="Comment Subject Char"/>
    <w:basedOn w:val="CommentTextChar"/>
    <w:link w:val="CommentSubject"/>
    <w:uiPriority w:val="99"/>
    <w:locked/>
    <w:rsid w:val="00721C93"/>
    <w:rPr>
      <w:b/>
    </w:rPr>
  </w:style>
  <w:style w:type="paragraph" w:customStyle="1" w:styleId="TDEC">
    <w:name w:val="TDEC"/>
    <w:basedOn w:val="Normal"/>
    <w:uiPriority w:val="99"/>
    <w:rsid w:val="00721C93"/>
    <w:pPr>
      <w:spacing w:after="0" w:line="240" w:lineRule="auto"/>
      <w:jc w:val="right"/>
    </w:pPr>
    <w:rPr>
      <w:rFonts w:cs="Arial"/>
      <w:b/>
      <w:spacing w:val="0"/>
      <w:szCs w:val="18"/>
    </w:rPr>
  </w:style>
  <w:style w:type="character" w:styleId="Emphasis">
    <w:name w:val="Emphasis"/>
    <w:basedOn w:val="DefaultParagraphFont"/>
    <w:uiPriority w:val="99"/>
    <w:qFormat/>
    <w:locked/>
    <w:rsid w:val="00721C93"/>
    <w:rPr>
      <w:rFonts w:cs="Times New Roman"/>
      <w:i/>
    </w:rPr>
  </w:style>
  <w:style w:type="paragraph" w:customStyle="1" w:styleId="Alpha">
    <w:name w:val="Alpha"/>
    <w:basedOn w:val="Normal"/>
    <w:next w:val="BodyText"/>
    <w:uiPriority w:val="99"/>
    <w:rsid w:val="00721C93"/>
    <w:pPr>
      <w:tabs>
        <w:tab w:val="left" w:pos="709"/>
        <w:tab w:val="left" w:pos="1559"/>
        <w:tab w:val="left" w:pos="2268"/>
        <w:tab w:val="left" w:pos="2977"/>
        <w:tab w:val="left" w:pos="3686"/>
        <w:tab w:val="left" w:pos="4394"/>
        <w:tab w:val="right" w:pos="8789"/>
      </w:tabs>
      <w:spacing w:before="100" w:after="100" w:line="240" w:lineRule="auto"/>
      <w:ind w:left="709" w:hanging="709"/>
    </w:pPr>
    <w:rPr>
      <w:rFonts w:ascii="Times New Roman" w:hAnsi="Times New Roman"/>
      <w:spacing w:val="0"/>
      <w:sz w:val="24"/>
      <w:lang w:eastAsia="en-US"/>
    </w:rPr>
  </w:style>
  <w:style w:type="paragraph" w:customStyle="1" w:styleId="AlphaBrackets">
    <w:name w:val="AlphaBrackets"/>
    <w:basedOn w:val="BodyText"/>
    <w:next w:val="BodyText"/>
    <w:uiPriority w:val="99"/>
    <w:rsid w:val="00721C93"/>
    <w:pPr>
      <w:spacing w:before="100" w:after="100"/>
      <w:ind w:left="709" w:hanging="709"/>
    </w:pPr>
    <w:rPr>
      <w:sz w:val="20"/>
      <w:szCs w:val="24"/>
    </w:rPr>
  </w:style>
  <w:style w:type="paragraph" w:customStyle="1" w:styleId="Numeric">
    <w:name w:val="Numeric"/>
    <w:basedOn w:val="BodyText"/>
    <w:next w:val="BodyText"/>
    <w:uiPriority w:val="99"/>
    <w:rsid w:val="00721C93"/>
    <w:pPr>
      <w:tabs>
        <w:tab w:val="left" w:pos="709"/>
        <w:tab w:val="left" w:pos="1559"/>
        <w:tab w:val="left" w:pos="2268"/>
        <w:tab w:val="left" w:pos="2977"/>
        <w:tab w:val="left" w:pos="3686"/>
        <w:tab w:val="left" w:pos="4394"/>
        <w:tab w:val="right" w:pos="8789"/>
      </w:tabs>
      <w:spacing w:before="100" w:after="100"/>
      <w:ind w:left="709" w:hanging="709"/>
    </w:pPr>
    <w:rPr>
      <w:sz w:val="20"/>
      <w:szCs w:val="24"/>
    </w:rPr>
  </w:style>
  <w:style w:type="paragraph" w:customStyle="1" w:styleId="NumericBrackets">
    <w:name w:val="NumericBrackets"/>
    <w:basedOn w:val="BodyText"/>
    <w:next w:val="BodyText"/>
    <w:uiPriority w:val="99"/>
    <w:rsid w:val="00721C93"/>
    <w:pPr>
      <w:tabs>
        <w:tab w:val="left" w:pos="709"/>
        <w:tab w:val="left" w:pos="1559"/>
        <w:tab w:val="left" w:pos="2268"/>
        <w:tab w:val="left" w:pos="2977"/>
        <w:tab w:val="left" w:pos="3686"/>
        <w:tab w:val="left" w:pos="4394"/>
        <w:tab w:val="right" w:pos="8789"/>
      </w:tabs>
      <w:spacing w:before="100" w:after="100"/>
      <w:ind w:left="709" w:hanging="709"/>
    </w:pPr>
    <w:rPr>
      <w:sz w:val="20"/>
      <w:szCs w:val="24"/>
    </w:rPr>
  </w:style>
  <w:style w:type="paragraph" w:customStyle="1" w:styleId="ScheduleHeading1">
    <w:name w:val="Schedule Heading 1"/>
    <w:basedOn w:val="BodyText"/>
    <w:next w:val="BodyText"/>
    <w:uiPriority w:val="99"/>
    <w:rsid w:val="00721C93"/>
    <w:pPr>
      <w:keepNext/>
      <w:tabs>
        <w:tab w:val="num" w:pos="709"/>
      </w:tabs>
      <w:spacing w:before="200" w:after="100"/>
      <w:ind w:left="709" w:hanging="709"/>
    </w:pPr>
    <w:rPr>
      <w:rFonts w:eastAsia="SimSun"/>
      <w:b/>
      <w:caps/>
      <w:sz w:val="20"/>
      <w:szCs w:val="24"/>
      <w:lang w:eastAsia="zh-CN"/>
    </w:rPr>
  </w:style>
  <w:style w:type="paragraph" w:customStyle="1" w:styleId="ScheduleHeading2">
    <w:name w:val="Schedule Heading 2"/>
    <w:basedOn w:val="BodyText"/>
    <w:next w:val="BodyText"/>
    <w:uiPriority w:val="99"/>
    <w:rsid w:val="00721C93"/>
    <w:pPr>
      <w:keepNext/>
      <w:tabs>
        <w:tab w:val="num" w:pos="709"/>
      </w:tabs>
      <w:spacing w:before="100" w:after="100"/>
      <w:ind w:left="709" w:hanging="709"/>
    </w:pPr>
    <w:rPr>
      <w:rFonts w:eastAsia="SimSun"/>
      <w:b/>
      <w:sz w:val="20"/>
      <w:szCs w:val="24"/>
      <w:lang w:eastAsia="zh-CN"/>
    </w:rPr>
  </w:style>
  <w:style w:type="paragraph" w:customStyle="1" w:styleId="ScheduleHeading3">
    <w:name w:val="Schedule Heading 3"/>
    <w:basedOn w:val="BodyText"/>
    <w:next w:val="BodyText"/>
    <w:uiPriority w:val="99"/>
    <w:rsid w:val="00721C93"/>
    <w:pPr>
      <w:tabs>
        <w:tab w:val="num" w:pos="1559"/>
      </w:tabs>
      <w:spacing w:before="100" w:after="100"/>
      <w:ind w:left="1559" w:hanging="850"/>
    </w:pPr>
    <w:rPr>
      <w:rFonts w:eastAsia="SimSun"/>
      <w:sz w:val="20"/>
      <w:szCs w:val="24"/>
      <w:lang w:eastAsia="zh-CN"/>
    </w:rPr>
  </w:style>
  <w:style w:type="paragraph" w:customStyle="1" w:styleId="ScheduleHeading4">
    <w:name w:val="Schedule Heading 4"/>
    <w:basedOn w:val="BodyText"/>
    <w:next w:val="BodyText"/>
    <w:uiPriority w:val="99"/>
    <w:rsid w:val="00721C93"/>
    <w:pPr>
      <w:tabs>
        <w:tab w:val="num" w:pos="2268"/>
      </w:tabs>
      <w:spacing w:before="100" w:after="100"/>
      <w:ind w:left="2268" w:hanging="709"/>
    </w:pPr>
    <w:rPr>
      <w:rFonts w:eastAsia="SimSun"/>
      <w:sz w:val="20"/>
      <w:szCs w:val="24"/>
      <w:lang w:eastAsia="zh-CN"/>
    </w:rPr>
  </w:style>
  <w:style w:type="paragraph" w:customStyle="1" w:styleId="ScheduleHeading5">
    <w:name w:val="Schedule Heading 5"/>
    <w:basedOn w:val="BodyText"/>
    <w:next w:val="BodyText"/>
    <w:uiPriority w:val="99"/>
    <w:rsid w:val="00721C93"/>
    <w:pPr>
      <w:tabs>
        <w:tab w:val="num" w:pos="2977"/>
      </w:tabs>
      <w:spacing w:before="100" w:after="100"/>
      <w:ind w:left="2977" w:hanging="709"/>
    </w:pPr>
    <w:rPr>
      <w:rFonts w:eastAsia="SimSun"/>
      <w:sz w:val="20"/>
      <w:szCs w:val="24"/>
      <w:lang w:eastAsia="zh-CN"/>
    </w:rPr>
  </w:style>
  <w:style w:type="paragraph" w:styleId="BlockText">
    <w:name w:val="Block Text"/>
    <w:basedOn w:val="Normal"/>
    <w:uiPriority w:val="99"/>
    <w:locked/>
    <w:rsid w:val="00721C93"/>
    <w:pPr>
      <w:spacing w:after="120" w:line="240" w:lineRule="auto"/>
      <w:ind w:left="1440" w:right="1440"/>
    </w:pPr>
    <w:rPr>
      <w:rFonts w:ascii="Times New Roman" w:eastAsia="SimSun" w:hAnsi="Times New Roman"/>
      <w:spacing w:val="0"/>
      <w:sz w:val="24"/>
      <w:lang w:eastAsia="zh-CN"/>
    </w:rPr>
  </w:style>
  <w:style w:type="paragraph" w:customStyle="1" w:styleId="ScheduleHeading6">
    <w:name w:val="Schedule Heading 6"/>
    <w:basedOn w:val="BodyText"/>
    <w:next w:val="BodyText"/>
    <w:uiPriority w:val="99"/>
    <w:rsid w:val="00721C93"/>
    <w:pPr>
      <w:tabs>
        <w:tab w:val="num" w:pos="3686"/>
      </w:tabs>
      <w:spacing w:before="100" w:after="100"/>
      <w:ind w:left="3686" w:hanging="709"/>
    </w:pPr>
    <w:rPr>
      <w:rFonts w:eastAsia="SimSun"/>
      <w:sz w:val="20"/>
      <w:szCs w:val="24"/>
      <w:lang w:eastAsia="zh-CN"/>
    </w:rPr>
  </w:style>
  <w:style w:type="paragraph" w:customStyle="1" w:styleId="ScheduleHeading7">
    <w:name w:val="Schedule Heading 7"/>
    <w:basedOn w:val="BodyText"/>
    <w:next w:val="BodyText"/>
    <w:uiPriority w:val="99"/>
    <w:rsid w:val="00721C93"/>
    <w:pPr>
      <w:tabs>
        <w:tab w:val="num" w:pos="4394"/>
      </w:tabs>
      <w:spacing w:before="100" w:after="100"/>
      <w:ind w:left="4394" w:hanging="708"/>
    </w:pPr>
    <w:rPr>
      <w:rFonts w:eastAsia="SimSun"/>
      <w:sz w:val="20"/>
      <w:szCs w:val="24"/>
      <w:lang w:eastAsia="zh-CN"/>
    </w:rPr>
  </w:style>
  <w:style w:type="paragraph" w:styleId="FootnoteText">
    <w:name w:val="footnote text"/>
    <w:basedOn w:val="Normal"/>
    <w:next w:val="FootnoteTextContinue"/>
    <w:link w:val="FootnoteTextChar"/>
    <w:autoRedefine/>
    <w:uiPriority w:val="99"/>
    <w:locked/>
    <w:rsid w:val="00721C93"/>
    <w:pPr>
      <w:spacing w:after="0" w:line="240" w:lineRule="auto"/>
      <w:ind w:left="720"/>
    </w:pPr>
    <w:rPr>
      <w:rFonts w:ascii="Times New Roman" w:eastAsia="SimSun" w:hAnsi="Times New Roman"/>
      <w:spacing w:val="0"/>
      <w:sz w:val="20"/>
      <w:lang w:eastAsia="zh-CN"/>
    </w:rPr>
  </w:style>
  <w:style w:type="character" w:customStyle="1" w:styleId="FootnoteTextChar">
    <w:name w:val="Footnote Text Char"/>
    <w:basedOn w:val="DefaultParagraphFont"/>
    <w:link w:val="FootnoteText"/>
    <w:uiPriority w:val="99"/>
    <w:locked/>
    <w:rsid w:val="00721C93"/>
    <w:rPr>
      <w:rFonts w:eastAsia="SimSun"/>
      <w:sz w:val="24"/>
      <w:lang w:eastAsia="zh-CN"/>
    </w:rPr>
  </w:style>
  <w:style w:type="paragraph" w:customStyle="1" w:styleId="FootnoteTextContinue">
    <w:name w:val="Footnote Text Continue"/>
    <w:basedOn w:val="Normal"/>
    <w:autoRedefine/>
    <w:uiPriority w:val="99"/>
    <w:rsid w:val="00721C93"/>
    <w:pPr>
      <w:spacing w:after="0" w:line="240" w:lineRule="auto"/>
      <w:ind w:left="119"/>
    </w:pPr>
    <w:rPr>
      <w:rFonts w:ascii="Times New Roman" w:eastAsia="SimSun" w:hAnsi="Times New Roman"/>
      <w:spacing w:val="0"/>
      <w:sz w:val="20"/>
      <w:lang w:eastAsia="zh-CN"/>
    </w:rPr>
  </w:style>
  <w:style w:type="paragraph" w:styleId="Date">
    <w:name w:val="Date"/>
    <w:basedOn w:val="Normal"/>
    <w:next w:val="Normal"/>
    <w:link w:val="DateChar"/>
    <w:uiPriority w:val="99"/>
    <w:locked/>
    <w:rsid w:val="00721C93"/>
    <w:pPr>
      <w:spacing w:after="0" w:line="240" w:lineRule="auto"/>
    </w:pPr>
    <w:rPr>
      <w:rFonts w:ascii="Times New Roman" w:eastAsia="SimSun" w:hAnsi="Times New Roman"/>
      <w:spacing w:val="0"/>
      <w:sz w:val="24"/>
      <w:lang w:eastAsia="zh-CN"/>
    </w:rPr>
  </w:style>
  <w:style w:type="character" w:customStyle="1" w:styleId="DateChar">
    <w:name w:val="Date Char"/>
    <w:basedOn w:val="DefaultParagraphFont"/>
    <w:link w:val="Date"/>
    <w:uiPriority w:val="99"/>
    <w:locked/>
    <w:rsid w:val="00721C93"/>
    <w:rPr>
      <w:rFonts w:eastAsia="SimSun"/>
      <w:sz w:val="24"/>
      <w:lang w:eastAsia="zh-CN"/>
    </w:rPr>
  </w:style>
  <w:style w:type="paragraph" w:customStyle="1" w:styleId="StyleAsianTimesNewRomanComplexArial10ptBoldItalic">
    <w:name w:val="Style (Asian) Times New Roman (Complex) Arial 10 pt Bold Italic..."/>
    <w:basedOn w:val="Normal"/>
    <w:uiPriority w:val="99"/>
    <w:rsid w:val="00721C93"/>
    <w:pPr>
      <w:spacing w:after="200" w:line="240" w:lineRule="auto"/>
      <w:jc w:val="both"/>
    </w:pPr>
    <w:rPr>
      <w:rFonts w:ascii="Times New Roman" w:hAnsi="Times New Roman" w:cs="Arial"/>
      <w:b/>
      <w:bCs/>
      <w:i/>
      <w:iCs/>
      <w:spacing w:val="0"/>
      <w:sz w:val="24"/>
      <w:lang w:eastAsia="zh-CN"/>
    </w:rPr>
  </w:style>
  <w:style w:type="paragraph" w:customStyle="1" w:styleId="Level3">
    <w:name w:val="Level 3"/>
    <w:basedOn w:val="Normal"/>
    <w:next w:val="Normal"/>
    <w:uiPriority w:val="99"/>
    <w:rsid w:val="00721C93"/>
    <w:pPr>
      <w:spacing w:after="210" w:line="264" w:lineRule="auto"/>
      <w:jc w:val="both"/>
      <w:outlineLvl w:val="2"/>
    </w:pPr>
    <w:rPr>
      <w:rFonts w:ascii="Times New Roman" w:hAnsi="Times New Roman"/>
      <w:spacing w:val="0"/>
      <w:sz w:val="21"/>
      <w:lang w:eastAsia="en-US"/>
    </w:rPr>
  </w:style>
  <w:style w:type="paragraph" w:customStyle="1" w:styleId="Body">
    <w:name w:val="Body"/>
    <w:basedOn w:val="Normal"/>
    <w:rsid w:val="00721C93"/>
    <w:pPr>
      <w:spacing w:after="140" w:line="288" w:lineRule="auto"/>
      <w:ind w:left="425"/>
      <w:jc w:val="both"/>
    </w:pPr>
    <w:rPr>
      <w:rFonts w:ascii="Times New Roman" w:hAnsi="Times New Roman"/>
      <w:spacing w:val="0"/>
      <w:kern w:val="20"/>
      <w:sz w:val="24"/>
      <w:lang w:eastAsia="en-US"/>
    </w:rPr>
  </w:style>
  <w:style w:type="paragraph" w:customStyle="1" w:styleId="Alpha2aitalicnum">
    <w:name w:val="Alpha 2(a) italicnum"/>
    <w:basedOn w:val="Normal"/>
    <w:uiPriority w:val="99"/>
    <w:rsid w:val="00721C93"/>
    <w:pPr>
      <w:numPr>
        <w:numId w:val="13"/>
      </w:numPr>
      <w:spacing w:after="140" w:line="288" w:lineRule="auto"/>
      <w:jc w:val="both"/>
    </w:pPr>
    <w:rPr>
      <w:rFonts w:ascii="Times New Roman" w:hAnsi="Times New Roman"/>
      <w:spacing w:val="0"/>
      <w:kern w:val="20"/>
      <w:sz w:val="24"/>
      <w:lang w:eastAsia="en-US"/>
    </w:rPr>
  </w:style>
  <w:style w:type="paragraph" w:customStyle="1" w:styleId="Body2">
    <w:name w:val="Body 2"/>
    <w:basedOn w:val="Body"/>
    <w:uiPriority w:val="99"/>
    <w:rsid w:val="00721C93"/>
  </w:style>
  <w:style w:type="paragraph" w:customStyle="1" w:styleId="Alpha2-Abold">
    <w:name w:val="Alpha 2-(A) bold"/>
    <w:basedOn w:val="Normal"/>
    <w:next w:val="Body2"/>
    <w:uiPriority w:val="99"/>
    <w:rsid w:val="00721C93"/>
    <w:pPr>
      <w:keepNext/>
      <w:tabs>
        <w:tab w:val="num" w:pos="360"/>
      </w:tabs>
      <w:spacing w:before="120" w:after="140" w:line="288" w:lineRule="auto"/>
    </w:pPr>
    <w:rPr>
      <w:rFonts w:ascii="Times New Roman" w:hAnsi="Times New Roman"/>
      <w:b/>
      <w:spacing w:val="0"/>
      <w:kern w:val="20"/>
      <w:sz w:val="21"/>
      <w:lang w:eastAsia="en-US"/>
    </w:rPr>
  </w:style>
  <w:style w:type="paragraph" w:customStyle="1" w:styleId="Head-C">
    <w:name w:val="Head - C"/>
    <w:basedOn w:val="Normal"/>
    <w:next w:val="Body"/>
    <w:uiPriority w:val="99"/>
    <w:rsid w:val="00721C93"/>
    <w:pPr>
      <w:keepNext/>
      <w:pageBreakBefore/>
      <w:spacing w:before="295" w:after="180" w:line="288" w:lineRule="auto"/>
      <w:ind w:left="425"/>
      <w:jc w:val="center"/>
      <w:outlineLvl w:val="0"/>
    </w:pPr>
    <w:rPr>
      <w:rFonts w:ascii="Times New Roman" w:hAnsi="Times New Roman"/>
      <w:b/>
      <w:spacing w:val="0"/>
      <w:kern w:val="20"/>
      <w:sz w:val="22"/>
      <w:lang w:eastAsia="en-US"/>
    </w:rPr>
  </w:style>
  <w:style w:type="paragraph" w:customStyle="1" w:styleId="Level1">
    <w:name w:val="Level 1"/>
    <w:basedOn w:val="Normal"/>
    <w:uiPriority w:val="99"/>
    <w:rsid w:val="00721C93"/>
    <w:pPr>
      <w:tabs>
        <w:tab w:val="num" w:pos="360"/>
      </w:tabs>
      <w:spacing w:after="140" w:line="288" w:lineRule="auto"/>
      <w:jc w:val="both"/>
      <w:outlineLvl w:val="0"/>
    </w:pPr>
    <w:rPr>
      <w:rFonts w:ascii="Times New Roman" w:hAnsi="Times New Roman"/>
      <w:bCs/>
      <w:spacing w:val="0"/>
      <w:kern w:val="20"/>
      <w:sz w:val="24"/>
      <w:lang w:eastAsia="en-US"/>
    </w:rPr>
  </w:style>
  <w:style w:type="paragraph" w:customStyle="1" w:styleId="Level2">
    <w:name w:val="Level 2"/>
    <w:basedOn w:val="Normal"/>
    <w:uiPriority w:val="99"/>
    <w:rsid w:val="00721C93"/>
    <w:pPr>
      <w:tabs>
        <w:tab w:val="num" w:pos="360"/>
      </w:tabs>
      <w:spacing w:after="140" w:line="288" w:lineRule="auto"/>
      <w:jc w:val="both"/>
    </w:pPr>
    <w:rPr>
      <w:rFonts w:ascii="Times New Roman" w:hAnsi="Times New Roman"/>
      <w:spacing w:val="0"/>
      <w:kern w:val="20"/>
      <w:sz w:val="24"/>
      <w:szCs w:val="28"/>
      <w:lang w:eastAsia="en-US"/>
    </w:rPr>
  </w:style>
  <w:style w:type="paragraph" w:customStyle="1" w:styleId="Level4">
    <w:name w:val="Level 4"/>
    <w:basedOn w:val="Normal"/>
    <w:uiPriority w:val="99"/>
    <w:rsid w:val="00721C93"/>
    <w:pPr>
      <w:tabs>
        <w:tab w:val="num" w:pos="2126"/>
      </w:tabs>
      <w:spacing w:after="140" w:line="288" w:lineRule="auto"/>
      <w:ind w:left="2126" w:hanging="567"/>
      <w:jc w:val="both"/>
    </w:pPr>
    <w:rPr>
      <w:rFonts w:ascii="Times New Roman" w:hAnsi="Times New Roman"/>
      <w:spacing w:val="0"/>
      <w:kern w:val="20"/>
      <w:sz w:val="24"/>
      <w:lang w:eastAsia="en-US"/>
    </w:rPr>
  </w:style>
  <w:style w:type="paragraph" w:customStyle="1" w:styleId="Level5">
    <w:name w:val="Level 5"/>
    <w:basedOn w:val="Normal"/>
    <w:uiPriority w:val="99"/>
    <w:rsid w:val="00721C93"/>
    <w:pPr>
      <w:tabs>
        <w:tab w:val="num" w:pos="2693"/>
      </w:tabs>
      <w:spacing w:after="140" w:line="288" w:lineRule="auto"/>
      <w:ind w:left="2693" w:hanging="567"/>
      <w:jc w:val="both"/>
    </w:pPr>
    <w:rPr>
      <w:rFonts w:ascii="Times New Roman" w:hAnsi="Times New Roman"/>
      <w:spacing w:val="0"/>
      <w:kern w:val="20"/>
      <w:sz w:val="24"/>
      <w:lang w:eastAsia="en-US"/>
    </w:rPr>
  </w:style>
  <w:style w:type="paragraph" w:customStyle="1" w:styleId="Level6">
    <w:name w:val="Level 6"/>
    <w:basedOn w:val="Normal"/>
    <w:uiPriority w:val="99"/>
    <w:rsid w:val="00721C93"/>
    <w:pPr>
      <w:tabs>
        <w:tab w:val="num" w:pos="3260"/>
      </w:tabs>
      <w:spacing w:after="140" w:line="288" w:lineRule="auto"/>
      <w:ind w:left="3260" w:hanging="567"/>
      <w:jc w:val="both"/>
    </w:pPr>
    <w:rPr>
      <w:rFonts w:ascii="Times New Roman" w:hAnsi="Times New Roman"/>
      <w:spacing w:val="0"/>
      <w:kern w:val="20"/>
      <w:sz w:val="24"/>
      <w:lang w:eastAsia="en-US"/>
    </w:rPr>
  </w:style>
  <w:style w:type="character" w:customStyle="1" w:styleId="SubHeadChar">
    <w:name w:val="SubHead Char"/>
    <w:link w:val="SubHead"/>
    <w:uiPriority w:val="99"/>
    <w:locked/>
    <w:rsid w:val="00721C93"/>
    <w:rPr>
      <w:b/>
      <w:kern w:val="20"/>
      <w:sz w:val="21"/>
      <w:lang w:eastAsia="en-US"/>
    </w:rPr>
  </w:style>
  <w:style w:type="paragraph" w:customStyle="1" w:styleId="SubHead">
    <w:name w:val="SubHead"/>
    <w:basedOn w:val="Normal"/>
    <w:next w:val="Body"/>
    <w:link w:val="SubHeadChar"/>
    <w:uiPriority w:val="99"/>
    <w:rsid w:val="00721C93"/>
    <w:pPr>
      <w:keepNext/>
      <w:spacing w:before="175" w:after="35" w:line="288" w:lineRule="auto"/>
      <w:ind w:left="425"/>
      <w:jc w:val="both"/>
      <w:outlineLvl w:val="1"/>
    </w:pPr>
    <w:rPr>
      <w:rFonts w:ascii="Times New Roman" w:hAnsi="Times New Roman"/>
      <w:b/>
      <w:spacing w:val="0"/>
      <w:kern w:val="20"/>
      <w:sz w:val="21"/>
      <w:szCs w:val="20"/>
      <w:lang w:eastAsia="en-US"/>
    </w:rPr>
  </w:style>
  <w:style w:type="paragraph" w:customStyle="1" w:styleId="Coverdetails">
    <w:name w:val="Cover details"/>
    <w:uiPriority w:val="99"/>
    <w:semiHidden/>
    <w:rsid w:val="00721C93"/>
    <w:pPr>
      <w:numPr>
        <w:numId w:val="15"/>
      </w:numPr>
      <w:tabs>
        <w:tab w:val="clear" w:pos="992"/>
      </w:tabs>
      <w:spacing w:line="260" w:lineRule="atLeast"/>
      <w:ind w:left="0" w:firstLine="0"/>
    </w:pPr>
    <w:rPr>
      <w:rFonts w:ascii="Arial" w:hAnsi="Arial"/>
      <w:szCs w:val="24"/>
      <w:lang w:eastAsia="en-US"/>
    </w:rPr>
  </w:style>
  <w:style w:type="paragraph" w:customStyle="1" w:styleId="Subheading">
    <w:name w:val="Subheading"/>
    <w:basedOn w:val="Normal"/>
    <w:next w:val="Normal"/>
    <w:uiPriority w:val="99"/>
    <w:rsid w:val="00721C93"/>
    <w:pPr>
      <w:spacing w:after="0" w:line="240" w:lineRule="auto"/>
      <w:jc w:val="both"/>
    </w:pPr>
    <w:rPr>
      <w:rFonts w:ascii="Times New Roman" w:hAnsi="Times New Roman"/>
      <w:b/>
      <w:spacing w:val="0"/>
      <w:sz w:val="24"/>
      <w:lang w:eastAsia="en-US"/>
    </w:rPr>
  </w:style>
  <w:style w:type="paragraph" w:customStyle="1" w:styleId="Unnumberedheading4style">
    <w:name w:val="Unnumbered heading 4 style"/>
    <w:next w:val="Normal"/>
    <w:uiPriority w:val="99"/>
    <w:rsid w:val="00721C93"/>
    <w:pPr>
      <w:spacing w:after="260" w:line="260" w:lineRule="atLeast"/>
    </w:pPr>
    <w:rPr>
      <w:rFonts w:ascii="Arial" w:hAnsi="Arial"/>
      <w:b/>
      <w:bCs/>
      <w:szCs w:val="28"/>
      <w:lang w:eastAsia="en-US"/>
    </w:rPr>
  </w:style>
  <w:style w:type="paragraph" w:customStyle="1" w:styleId="Romanlist">
    <w:name w:val="Roman list"/>
    <w:basedOn w:val="Normal"/>
    <w:uiPriority w:val="99"/>
    <w:rsid w:val="00721C93"/>
    <w:pPr>
      <w:tabs>
        <w:tab w:val="num" w:pos="284"/>
      </w:tabs>
      <w:spacing w:after="0" w:line="240" w:lineRule="auto"/>
      <w:ind w:left="284" w:hanging="284"/>
      <w:jc w:val="both"/>
    </w:pPr>
    <w:rPr>
      <w:rFonts w:ascii="Times New Roman" w:hAnsi="Times New Roman"/>
      <w:spacing w:val="0"/>
      <w:sz w:val="24"/>
      <w:lang w:eastAsia="en-US"/>
    </w:rPr>
  </w:style>
  <w:style w:type="paragraph" w:customStyle="1" w:styleId="Alphalist">
    <w:name w:val="Alpha list"/>
    <w:basedOn w:val="Normal"/>
    <w:uiPriority w:val="99"/>
    <w:rsid w:val="00721C93"/>
    <w:pPr>
      <w:tabs>
        <w:tab w:val="num" w:pos="284"/>
      </w:tabs>
      <w:spacing w:after="0" w:line="240" w:lineRule="auto"/>
      <w:ind w:left="284" w:hanging="284"/>
      <w:jc w:val="both"/>
    </w:pPr>
    <w:rPr>
      <w:rFonts w:ascii="Times New Roman" w:hAnsi="Times New Roman"/>
      <w:spacing w:val="0"/>
      <w:sz w:val="24"/>
      <w:lang w:eastAsia="en-US"/>
    </w:rPr>
  </w:style>
  <w:style w:type="paragraph" w:customStyle="1" w:styleId="03LeftJustifiedUnnumberedHeading">
    <w:name w:val="03_Left Justified Unnumbered Heading"/>
    <w:basedOn w:val="Normal"/>
    <w:uiPriority w:val="99"/>
    <w:rsid w:val="00721C93"/>
    <w:pPr>
      <w:spacing w:after="0" w:line="240" w:lineRule="auto"/>
      <w:jc w:val="both"/>
    </w:pPr>
    <w:rPr>
      <w:rFonts w:ascii="Times New Roman" w:hAnsi="Times New Roman"/>
      <w:b/>
      <w:spacing w:val="0"/>
      <w:kern w:val="24"/>
      <w:sz w:val="22"/>
      <w:lang w:eastAsia="en-US"/>
    </w:rPr>
  </w:style>
  <w:style w:type="paragraph" w:customStyle="1" w:styleId="SIRtext">
    <w:name w:val="SIRtext"/>
    <w:basedOn w:val="Normal"/>
    <w:uiPriority w:val="99"/>
    <w:rsid w:val="00721C93"/>
    <w:pPr>
      <w:tabs>
        <w:tab w:val="left" w:pos="540"/>
      </w:tabs>
      <w:overflowPunct w:val="0"/>
      <w:autoSpaceDE w:val="0"/>
      <w:autoSpaceDN w:val="0"/>
      <w:adjustRightInd w:val="0"/>
      <w:spacing w:after="260" w:line="240" w:lineRule="auto"/>
      <w:ind w:left="540" w:hanging="540"/>
      <w:jc w:val="both"/>
      <w:textAlignment w:val="baseline"/>
    </w:pPr>
    <w:rPr>
      <w:rFonts w:ascii="Times New Roman" w:hAnsi="Times New Roman"/>
      <w:color w:val="000000"/>
      <w:spacing w:val="0"/>
      <w:sz w:val="22"/>
      <w:lang w:eastAsia="en-US"/>
    </w:rPr>
  </w:style>
  <w:style w:type="paragraph" w:customStyle="1" w:styleId="indent20">
    <w:name w:val="indent20"/>
    <w:basedOn w:val="Normal"/>
    <w:uiPriority w:val="99"/>
    <w:rsid w:val="00721C93"/>
    <w:pPr>
      <w:spacing w:before="100" w:beforeAutospacing="1" w:after="100" w:afterAutospacing="1" w:line="240" w:lineRule="auto"/>
      <w:ind w:left="1125" w:hanging="375"/>
    </w:pPr>
    <w:rPr>
      <w:rFonts w:ascii="Verdana" w:hAnsi="Verdana"/>
      <w:spacing w:val="0"/>
      <w:sz w:val="24"/>
    </w:rPr>
  </w:style>
  <w:style w:type="paragraph" w:customStyle="1" w:styleId="Outline1">
    <w:name w:val="Outline1"/>
    <w:basedOn w:val="Normal"/>
    <w:uiPriority w:val="99"/>
    <w:rsid w:val="00721C93"/>
    <w:pPr>
      <w:numPr>
        <w:numId w:val="14"/>
      </w:numPr>
      <w:spacing w:after="240" w:line="240" w:lineRule="auto"/>
      <w:jc w:val="both"/>
      <w:outlineLvl w:val="0"/>
    </w:pPr>
    <w:rPr>
      <w:rFonts w:ascii="Book Antiqua" w:hAnsi="Book Antiqua"/>
      <w:spacing w:val="0"/>
      <w:sz w:val="24"/>
      <w:szCs w:val="20"/>
      <w:lang w:val="en-CA" w:eastAsia="en-US"/>
    </w:rPr>
  </w:style>
  <w:style w:type="paragraph" w:customStyle="1" w:styleId="Outline2">
    <w:name w:val="Outline2"/>
    <w:basedOn w:val="Normal"/>
    <w:uiPriority w:val="99"/>
    <w:rsid w:val="00721C93"/>
    <w:pPr>
      <w:numPr>
        <w:ilvl w:val="1"/>
        <w:numId w:val="14"/>
      </w:numPr>
      <w:spacing w:after="240" w:line="240" w:lineRule="auto"/>
      <w:jc w:val="both"/>
      <w:outlineLvl w:val="1"/>
    </w:pPr>
    <w:rPr>
      <w:rFonts w:ascii="Book Antiqua" w:hAnsi="Book Antiqua"/>
      <w:spacing w:val="0"/>
      <w:sz w:val="24"/>
      <w:szCs w:val="20"/>
      <w:lang w:val="en-CA" w:eastAsia="en-US"/>
    </w:rPr>
  </w:style>
  <w:style w:type="paragraph" w:customStyle="1" w:styleId="Outline3">
    <w:name w:val="Outline3"/>
    <w:basedOn w:val="Normal"/>
    <w:uiPriority w:val="99"/>
    <w:rsid w:val="00721C93"/>
    <w:pPr>
      <w:numPr>
        <w:ilvl w:val="2"/>
        <w:numId w:val="14"/>
      </w:numPr>
      <w:spacing w:after="240" w:line="240" w:lineRule="auto"/>
      <w:jc w:val="both"/>
      <w:outlineLvl w:val="2"/>
    </w:pPr>
    <w:rPr>
      <w:rFonts w:ascii="Book Antiqua" w:hAnsi="Book Antiqua"/>
      <w:spacing w:val="0"/>
      <w:sz w:val="24"/>
      <w:szCs w:val="20"/>
      <w:lang w:val="en-CA" w:eastAsia="en-US"/>
    </w:rPr>
  </w:style>
  <w:style w:type="paragraph" w:customStyle="1" w:styleId="Outline4">
    <w:name w:val="Outline4"/>
    <w:basedOn w:val="Normal"/>
    <w:uiPriority w:val="99"/>
    <w:rsid w:val="00721C93"/>
    <w:pPr>
      <w:numPr>
        <w:numId w:val="16"/>
      </w:numPr>
      <w:tabs>
        <w:tab w:val="clear" w:pos="284"/>
      </w:tabs>
      <w:spacing w:after="240" w:line="240" w:lineRule="auto"/>
      <w:ind w:left="2880" w:hanging="720"/>
      <w:jc w:val="both"/>
      <w:outlineLvl w:val="3"/>
    </w:pPr>
    <w:rPr>
      <w:rFonts w:ascii="Book Antiqua" w:hAnsi="Book Antiqua"/>
      <w:spacing w:val="0"/>
      <w:sz w:val="24"/>
      <w:szCs w:val="20"/>
      <w:lang w:val="en-CA" w:eastAsia="en-US"/>
    </w:rPr>
  </w:style>
  <w:style w:type="paragraph" w:customStyle="1" w:styleId="Outline5">
    <w:name w:val="Outline5"/>
    <w:basedOn w:val="Normal"/>
    <w:uiPriority w:val="99"/>
    <w:rsid w:val="00721C93"/>
    <w:pPr>
      <w:numPr>
        <w:ilvl w:val="4"/>
        <w:numId w:val="14"/>
      </w:numPr>
      <w:spacing w:after="240" w:line="240" w:lineRule="auto"/>
      <w:jc w:val="both"/>
      <w:outlineLvl w:val="4"/>
    </w:pPr>
    <w:rPr>
      <w:rFonts w:ascii="Book Antiqua" w:hAnsi="Book Antiqua"/>
      <w:spacing w:val="0"/>
      <w:sz w:val="24"/>
      <w:szCs w:val="20"/>
      <w:lang w:val="en-CA" w:eastAsia="en-US"/>
    </w:rPr>
  </w:style>
  <w:style w:type="paragraph" w:customStyle="1" w:styleId="Outline6">
    <w:name w:val="Outline6"/>
    <w:basedOn w:val="Normal"/>
    <w:uiPriority w:val="99"/>
    <w:rsid w:val="00721C93"/>
    <w:pPr>
      <w:numPr>
        <w:ilvl w:val="5"/>
        <w:numId w:val="14"/>
      </w:numPr>
      <w:spacing w:after="240" w:line="240" w:lineRule="auto"/>
      <w:jc w:val="both"/>
      <w:outlineLvl w:val="5"/>
    </w:pPr>
    <w:rPr>
      <w:rFonts w:ascii="Book Antiqua" w:hAnsi="Book Antiqua"/>
      <w:spacing w:val="0"/>
      <w:sz w:val="24"/>
      <w:szCs w:val="20"/>
      <w:lang w:val="en-CA" w:eastAsia="en-US"/>
    </w:rPr>
  </w:style>
  <w:style w:type="paragraph" w:customStyle="1" w:styleId="Lnum1">
    <w:name w:val="Lnum1"/>
    <w:basedOn w:val="Normal"/>
    <w:uiPriority w:val="99"/>
    <w:rsid w:val="00721C93"/>
    <w:pPr>
      <w:numPr>
        <w:ilvl w:val="6"/>
        <w:numId w:val="14"/>
      </w:numPr>
      <w:spacing w:after="240" w:line="240" w:lineRule="auto"/>
    </w:pPr>
    <w:rPr>
      <w:rFonts w:ascii="Book Antiqua" w:hAnsi="Book Antiqua"/>
      <w:spacing w:val="0"/>
      <w:sz w:val="24"/>
      <w:szCs w:val="20"/>
      <w:lang w:val="en-CA" w:eastAsia="en-US"/>
    </w:rPr>
  </w:style>
  <w:style w:type="paragraph" w:customStyle="1" w:styleId="Lnum2">
    <w:name w:val="Lnum2"/>
    <w:basedOn w:val="Normal"/>
    <w:uiPriority w:val="99"/>
    <w:rsid w:val="00721C93"/>
    <w:pPr>
      <w:numPr>
        <w:ilvl w:val="7"/>
        <w:numId w:val="14"/>
      </w:numPr>
      <w:spacing w:after="240" w:line="240" w:lineRule="auto"/>
    </w:pPr>
    <w:rPr>
      <w:rFonts w:ascii="Book Antiqua" w:hAnsi="Book Antiqua"/>
      <w:spacing w:val="0"/>
      <w:sz w:val="24"/>
      <w:szCs w:val="20"/>
      <w:lang w:val="en-CA" w:eastAsia="en-US"/>
    </w:rPr>
  </w:style>
  <w:style w:type="paragraph" w:customStyle="1" w:styleId="Lnum3">
    <w:name w:val="Lnum3"/>
    <w:basedOn w:val="Normal"/>
    <w:uiPriority w:val="99"/>
    <w:rsid w:val="00721C93"/>
    <w:pPr>
      <w:numPr>
        <w:ilvl w:val="8"/>
        <w:numId w:val="14"/>
      </w:numPr>
      <w:spacing w:after="240" w:line="240" w:lineRule="auto"/>
    </w:pPr>
    <w:rPr>
      <w:rFonts w:ascii="Book Antiqua" w:hAnsi="Book Antiqua"/>
      <w:spacing w:val="0"/>
      <w:sz w:val="24"/>
      <w:szCs w:val="20"/>
      <w:lang w:val="en-CA" w:eastAsia="en-US"/>
    </w:rPr>
  </w:style>
  <w:style w:type="paragraph" w:customStyle="1" w:styleId="ns">
    <w:name w:val="ns"/>
    <w:basedOn w:val="Normal"/>
    <w:uiPriority w:val="99"/>
    <w:rsid w:val="00721C93"/>
    <w:pPr>
      <w:spacing w:after="0" w:line="240" w:lineRule="auto"/>
      <w:ind w:left="255"/>
    </w:pPr>
    <w:rPr>
      <w:rFonts w:cs="Arial"/>
      <w:spacing w:val="0"/>
      <w:szCs w:val="18"/>
      <w:lang w:val="en-US"/>
    </w:rPr>
  </w:style>
  <w:style w:type="paragraph" w:customStyle="1" w:styleId="Ms">
    <w:name w:val="Ms"/>
    <w:basedOn w:val="Normal"/>
    <w:uiPriority w:val="99"/>
    <w:rsid w:val="00721C93"/>
    <w:pPr>
      <w:spacing w:after="0" w:line="240" w:lineRule="auto"/>
    </w:pPr>
    <w:rPr>
      <w:spacing w:val="0"/>
      <w:lang w:val="fr-FR"/>
    </w:rPr>
  </w:style>
  <w:style w:type="paragraph" w:styleId="TOC1">
    <w:name w:val="toc 1"/>
    <w:basedOn w:val="BodyText"/>
    <w:next w:val="BodyText"/>
    <w:uiPriority w:val="99"/>
    <w:locked/>
    <w:rsid w:val="00721C93"/>
    <w:pPr>
      <w:tabs>
        <w:tab w:val="left" w:pos="1134"/>
        <w:tab w:val="right" w:leader="dot" w:pos="8789"/>
      </w:tabs>
      <w:spacing w:before="100" w:after="100"/>
      <w:ind w:left="1134" w:right="992" w:hanging="1134"/>
    </w:pPr>
    <w:rPr>
      <w:rFonts w:ascii="Arial (W1)" w:eastAsia="SimSun" w:hAnsi="Arial (W1)" w:cs="Times New (W1)"/>
      <w:sz w:val="20"/>
      <w:szCs w:val="24"/>
      <w:lang w:eastAsia="zh-CN"/>
    </w:rPr>
  </w:style>
  <w:style w:type="paragraph" w:styleId="ListNumber">
    <w:name w:val="List Number"/>
    <w:basedOn w:val="Normal"/>
    <w:uiPriority w:val="99"/>
    <w:locked/>
    <w:rsid w:val="00721C93"/>
    <w:pPr>
      <w:tabs>
        <w:tab w:val="num" w:pos="0"/>
      </w:tabs>
      <w:spacing w:after="0" w:line="240" w:lineRule="auto"/>
      <w:ind w:hanging="737"/>
      <w:jc w:val="both"/>
    </w:pPr>
    <w:rPr>
      <w:rFonts w:ascii="Times New Roman" w:hAnsi="Times New Roman"/>
      <w:spacing w:val="0"/>
      <w:sz w:val="24"/>
      <w:lang w:eastAsia="en-US"/>
    </w:rPr>
  </w:style>
  <w:style w:type="character" w:customStyle="1" w:styleId="fc64e048a0-d7cc-4b2d-b913-3251a0f71283-1">
    <w:name w:val="fc64e048a0-d7cc-4b2d-b913-3251a0f71283-1"/>
    <w:uiPriority w:val="99"/>
    <w:rsid w:val="00721C93"/>
  </w:style>
  <w:style w:type="character" w:customStyle="1" w:styleId="fcc30af3e9-bdfd-40b5-8401-2c811829542b-1">
    <w:name w:val="fcc30af3e9-bdfd-40b5-8401-2c811829542b-1"/>
    <w:uiPriority w:val="99"/>
    <w:rsid w:val="00721C93"/>
  </w:style>
  <w:style w:type="character" w:customStyle="1" w:styleId="fc2379a988-4dc5-4dc5-b5ff-65e157825979-1">
    <w:name w:val="fc2379a988-4dc5-4dc5-b5ff-65e157825979-1"/>
    <w:uiPriority w:val="99"/>
    <w:rsid w:val="00721C93"/>
  </w:style>
  <w:style w:type="character" w:customStyle="1" w:styleId="fcf781a5e6-bb59-4885-b6fa-ec26dd4a1ea0-1">
    <w:name w:val="fcf781a5e6-bb59-4885-b6fa-ec26dd4a1ea0-1"/>
    <w:uiPriority w:val="99"/>
    <w:rsid w:val="00721C93"/>
  </w:style>
  <w:style w:type="character" w:customStyle="1" w:styleId="fc054ce31f-d72e-4a8b-adb2-33837da2e204-1">
    <w:name w:val="fc054ce31f-d72e-4a8b-adb2-33837da2e204-1"/>
    <w:uiPriority w:val="99"/>
    <w:rsid w:val="00721C93"/>
  </w:style>
  <w:style w:type="paragraph" w:customStyle="1" w:styleId="c12">
    <w:name w:val="c12"/>
    <w:basedOn w:val="Normal"/>
    <w:uiPriority w:val="99"/>
    <w:rsid w:val="00721C93"/>
    <w:pPr>
      <w:spacing w:before="100" w:beforeAutospacing="1" w:after="100" w:afterAutospacing="1" w:line="240" w:lineRule="auto"/>
    </w:pPr>
    <w:rPr>
      <w:rFonts w:ascii="Times New Roman" w:hAnsi="Times New Roman"/>
      <w:spacing w:val="0"/>
      <w:sz w:val="24"/>
    </w:rPr>
  </w:style>
  <w:style w:type="character" w:customStyle="1" w:styleId="c11">
    <w:name w:val="c11"/>
    <w:uiPriority w:val="99"/>
    <w:rsid w:val="00721C93"/>
  </w:style>
  <w:style w:type="character" w:customStyle="1" w:styleId="Heading4Char1">
    <w:name w:val="Heading 4 Char1"/>
    <w:aliases w:val="Heading 4 Char Char,Level 2 - a Char Char2,Sub-Minor Char Char2,Level 2 - a1 Char Char2,Sub-Minor1 Char Char2,Level 2 - a2 Char Char2,Sub-Minor2 Char Char2,Level 2 - a3 Char Char2,Sub-Minor3 Char Char2,Sub-subheading Char Char2"/>
    <w:uiPriority w:val="99"/>
    <w:rsid w:val="00721C93"/>
    <w:rPr>
      <w:rFonts w:ascii="Arial" w:eastAsia="Batang" w:hAnsi="Arial"/>
      <w:lang w:eastAsia="ko-KR"/>
    </w:rPr>
  </w:style>
  <w:style w:type="character" w:customStyle="1" w:styleId="presstxt">
    <w:name w:val="presstxt"/>
    <w:uiPriority w:val="99"/>
    <w:rsid w:val="00721C93"/>
  </w:style>
  <w:style w:type="character" w:customStyle="1" w:styleId="left">
    <w:name w:val="left"/>
    <w:uiPriority w:val="99"/>
    <w:rsid w:val="00721C93"/>
  </w:style>
  <w:style w:type="character" w:styleId="Strong">
    <w:name w:val="Strong"/>
    <w:basedOn w:val="DefaultParagraphFont"/>
    <w:uiPriority w:val="22"/>
    <w:qFormat/>
    <w:locked/>
    <w:rsid w:val="00721C93"/>
    <w:rPr>
      <w:rFonts w:cs="Times New Roman"/>
      <w:b/>
    </w:rPr>
  </w:style>
  <w:style w:type="character" w:customStyle="1" w:styleId="ccbntxt">
    <w:name w:val="ccbntxt"/>
    <w:uiPriority w:val="99"/>
    <w:rsid w:val="00721C93"/>
  </w:style>
  <w:style w:type="table" w:customStyle="1" w:styleId="Style1">
    <w:name w:val="Style1"/>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Style2">
    <w:name w:val="Style2"/>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Style3">
    <w:name w:val="Style3"/>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Style4">
    <w:name w:val="Style4"/>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Style5">
    <w:name w:val="Style5"/>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Style6">
    <w:name w:val="Style6"/>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Pressrelease">
    <w:name w:val="Press release"/>
    <w:basedOn w:val="TableGrid"/>
    <w:uiPriority w:val="99"/>
    <w:rsid w:val="0072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styleId="PlainText">
    <w:name w:val="Plain Text"/>
    <w:basedOn w:val="Normal"/>
    <w:link w:val="PlainTextChar"/>
    <w:uiPriority w:val="99"/>
    <w:locked/>
    <w:rsid w:val="00721C93"/>
    <w:pPr>
      <w:spacing w:after="0" w:line="240" w:lineRule="auto"/>
    </w:pPr>
    <w:rPr>
      <w:rFonts w:ascii="Consolas" w:hAnsi="Consolas"/>
      <w:spacing w:val="0"/>
      <w:sz w:val="21"/>
      <w:szCs w:val="21"/>
      <w:lang w:eastAsia="en-US"/>
    </w:rPr>
  </w:style>
  <w:style w:type="character" w:customStyle="1" w:styleId="PlainTextChar">
    <w:name w:val="Plain Text Char"/>
    <w:basedOn w:val="DefaultParagraphFont"/>
    <w:link w:val="PlainText"/>
    <w:uiPriority w:val="99"/>
    <w:locked/>
    <w:rsid w:val="00721C93"/>
    <w:rPr>
      <w:rFonts w:ascii="Consolas" w:hAnsi="Consolas"/>
      <w:sz w:val="21"/>
      <w:lang w:eastAsia="en-US"/>
    </w:rPr>
  </w:style>
  <w:style w:type="paragraph" w:styleId="Title">
    <w:name w:val="Title"/>
    <w:basedOn w:val="Normal"/>
    <w:link w:val="TitleChar"/>
    <w:uiPriority w:val="99"/>
    <w:qFormat/>
    <w:locked/>
    <w:rsid w:val="00721C93"/>
    <w:pPr>
      <w:spacing w:after="0" w:line="240" w:lineRule="auto"/>
      <w:jc w:val="center"/>
    </w:pPr>
    <w:rPr>
      <w:rFonts w:cs="Arial"/>
      <w:b/>
      <w:bCs/>
      <w:spacing w:val="0"/>
      <w:sz w:val="21"/>
      <w:szCs w:val="21"/>
    </w:rPr>
  </w:style>
  <w:style w:type="character" w:customStyle="1" w:styleId="TitleChar">
    <w:name w:val="Title Char"/>
    <w:basedOn w:val="DefaultParagraphFont"/>
    <w:link w:val="Title"/>
    <w:uiPriority w:val="99"/>
    <w:locked/>
    <w:rsid w:val="00721C93"/>
    <w:rPr>
      <w:rFonts w:ascii="Arial" w:hAnsi="Arial"/>
      <w:b/>
      <w:sz w:val="21"/>
    </w:rPr>
  </w:style>
  <w:style w:type="paragraph" w:customStyle="1" w:styleId="01BodyCopy">
    <w:name w:val="01_Body Copy"/>
    <w:basedOn w:val="Normal"/>
    <w:uiPriority w:val="99"/>
    <w:rsid w:val="00721C93"/>
    <w:pPr>
      <w:widowControl w:val="0"/>
      <w:suppressAutoHyphens/>
      <w:autoSpaceDE w:val="0"/>
      <w:autoSpaceDN w:val="0"/>
      <w:adjustRightInd w:val="0"/>
      <w:spacing w:line="220" w:lineRule="atLeast"/>
      <w:textAlignment w:val="center"/>
    </w:pPr>
    <w:rPr>
      <w:rFonts w:ascii="FoundrySterling-Light" w:hAnsi="FoundrySterling-Light" w:cs="FoundrySterling-Light"/>
      <w:color w:val="000000"/>
      <w:spacing w:val="-3"/>
      <w:szCs w:val="18"/>
      <w:lang w:eastAsia="en-US"/>
    </w:rPr>
  </w:style>
  <w:style w:type="paragraph" w:customStyle="1" w:styleId="20TabletextLight7pt">
    <w:name w:val="20_Table text Light 7pt"/>
    <w:basedOn w:val="01BodyCopy"/>
    <w:uiPriority w:val="99"/>
    <w:rsid w:val="00721C93"/>
    <w:pPr>
      <w:spacing w:line="180" w:lineRule="atLeast"/>
    </w:pPr>
    <w:rPr>
      <w:spacing w:val="-2"/>
      <w:sz w:val="14"/>
      <w:szCs w:val="14"/>
    </w:rPr>
  </w:style>
  <w:style w:type="character" w:customStyle="1" w:styleId="04Demi">
    <w:name w:val="04_Demi"/>
    <w:uiPriority w:val="99"/>
    <w:rsid w:val="00721C93"/>
  </w:style>
  <w:style w:type="character" w:customStyle="1" w:styleId="apple-style-span">
    <w:name w:val="apple-style-span"/>
    <w:uiPriority w:val="99"/>
    <w:rsid w:val="00721C93"/>
  </w:style>
  <w:style w:type="paragraph" w:customStyle="1" w:styleId="StyleRight-087cm">
    <w:name w:val="Style Right:  -0.87 cm"/>
    <w:basedOn w:val="Normal"/>
    <w:uiPriority w:val="99"/>
    <w:rsid w:val="00E90534"/>
    <w:rPr>
      <w:szCs w:val="20"/>
    </w:rPr>
  </w:style>
  <w:style w:type="paragraph" w:customStyle="1" w:styleId="StyleRight-062cm">
    <w:name w:val="Style Right:  -0.62 cm"/>
    <w:basedOn w:val="Normal"/>
    <w:uiPriority w:val="99"/>
    <w:rsid w:val="00E90534"/>
    <w:rPr>
      <w:szCs w:val="20"/>
    </w:rPr>
  </w:style>
  <w:style w:type="paragraph" w:customStyle="1" w:styleId="Style8ptAfter0ptLinespacingsingle">
    <w:name w:val="Style 8 pt After:  0 pt Line spacing:  single"/>
    <w:basedOn w:val="Normal"/>
    <w:uiPriority w:val="99"/>
    <w:rsid w:val="00C61002"/>
    <w:pPr>
      <w:spacing w:before="10" w:after="10" w:line="240" w:lineRule="auto"/>
    </w:pPr>
    <w:rPr>
      <w:sz w:val="16"/>
      <w:szCs w:val="20"/>
    </w:rPr>
  </w:style>
  <w:style w:type="paragraph" w:customStyle="1" w:styleId="Style75ptAfter0ptLinespacingsingle">
    <w:name w:val="Style 7.5 pt After:  0 pt Line spacing:  single"/>
    <w:basedOn w:val="Normal"/>
    <w:uiPriority w:val="99"/>
    <w:rsid w:val="00B86B1A"/>
    <w:pPr>
      <w:spacing w:before="10" w:after="10" w:line="240" w:lineRule="auto"/>
    </w:pPr>
    <w:rPr>
      <w:sz w:val="15"/>
      <w:szCs w:val="20"/>
    </w:rPr>
  </w:style>
  <w:style w:type="paragraph" w:customStyle="1" w:styleId="StyleTableFiguresBoldLeft">
    <w:name w:val="Style TableFigures Bold Left"/>
    <w:basedOn w:val="TableFiguresBold"/>
    <w:uiPriority w:val="99"/>
    <w:rsid w:val="00F2118C"/>
    <w:pPr>
      <w:ind w:right="68"/>
      <w:jc w:val="left"/>
    </w:pPr>
  </w:style>
  <w:style w:type="paragraph" w:customStyle="1" w:styleId="Heading20">
    <w:name w:val="Heading 2 ."/>
    <w:basedOn w:val="Heading2SpaceBefore"/>
    <w:uiPriority w:val="99"/>
    <w:rsid w:val="00F2118C"/>
    <w:pPr>
      <w:spacing w:before="0"/>
    </w:pPr>
    <w:rPr>
      <w:bCs/>
      <w:szCs w:val="20"/>
    </w:rPr>
  </w:style>
  <w:style w:type="character" w:customStyle="1" w:styleId="FooterChar11">
    <w:name w:val="Footer Char11"/>
    <w:uiPriority w:val="99"/>
    <w:semiHidden/>
    <w:rsid w:val="00774542"/>
    <w:rPr>
      <w:rFonts w:ascii="Arial" w:hAnsi="Arial"/>
      <w:spacing w:val="-4"/>
      <w:sz w:val="24"/>
    </w:rPr>
  </w:style>
  <w:style w:type="numbering" w:customStyle="1" w:styleId="ListNumbers">
    <w:name w:val="List Numbers"/>
    <w:uiPriority w:val="99"/>
    <w:rsid w:val="00CA3403"/>
    <w:pPr>
      <w:numPr>
        <w:numId w:val="6"/>
      </w:numPr>
    </w:pPr>
  </w:style>
  <w:style w:type="numbering" w:customStyle="1" w:styleId="NumberedLists">
    <w:name w:val="Numbered Lists"/>
    <w:rsid w:val="00CA3403"/>
    <w:pPr>
      <w:numPr>
        <w:numId w:val="5"/>
      </w:numPr>
    </w:pPr>
  </w:style>
  <w:style w:type="numbering" w:customStyle="1" w:styleId="StyleBulleted">
    <w:name w:val="Style Bulleted"/>
    <w:rsid w:val="00CA3403"/>
    <w:pPr>
      <w:numPr>
        <w:numId w:val="17"/>
      </w:numPr>
    </w:pPr>
  </w:style>
  <w:style w:type="paragraph" w:customStyle="1" w:styleId="SSSSSS">
    <w:name w:val="SSSSSS"/>
    <w:basedOn w:val="TabletextBullets2"/>
    <w:qFormat/>
    <w:rsid w:val="0067071D"/>
    <w:pPr>
      <w:numPr>
        <w:numId w:val="18"/>
      </w:numPr>
    </w:pPr>
  </w:style>
  <w:style w:type="paragraph" w:customStyle="1" w:styleId="SSSSSSS2">
    <w:name w:val="SSSSSSS 2"/>
    <w:basedOn w:val="SSSSSS"/>
    <w:qFormat/>
    <w:rsid w:val="0067071D"/>
  </w:style>
  <w:style w:type="paragraph" w:customStyle="1" w:styleId="SSSSS3">
    <w:name w:val="SSSSS 3"/>
    <w:basedOn w:val="TabletextBullets2"/>
    <w:qFormat/>
    <w:rsid w:val="0067071D"/>
    <w:pPr>
      <w:numPr>
        <w:numId w:val="0"/>
      </w:numPr>
      <w:ind w:left="170"/>
    </w:pPr>
  </w:style>
  <w:style w:type="paragraph" w:customStyle="1" w:styleId="SSSS4">
    <w:name w:val="SSSS 4"/>
    <w:basedOn w:val="ListBullet"/>
    <w:qFormat/>
    <w:rsid w:val="0067071D"/>
    <w:pPr>
      <w:spacing w:after="40"/>
    </w:pPr>
    <w:rPr>
      <w:sz w:val="15"/>
      <w:szCs w:val="15"/>
    </w:rPr>
  </w:style>
  <w:style w:type="paragraph" w:customStyle="1" w:styleId="StyleHeading2ResetnumberingMajorItemheadingResetnumbering1">
    <w:name w:val="Style Heading 2Reset numberingMajorItem headingReset numbering1..."/>
    <w:basedOn w:val="Heading2"/>
    <w:rsid w:val="0067071D"/>
    <w:pPr>
      <w:spacing w:after="0"/>
      <w:ind w:right="-493"/>
    </w:pPr>
    <w:rPr>
      <w:bCs/>
      <w:szCs w:val="20"/>
    </w:rPr>
  </w:style>
  <w:style w:type="paragraph" w:customStyle="1" w:styleId="SSSSS6">
    <w:name w:val="SSSSS 6"/>
    <w:basedOn w:val="SSSS4"/>
    <w:qFormat/>
    <w:rsid w:val="00B64290"/>
    <w:pPr>
      <w:spacing w:before="140"/>
      <w:ind w:left="227" w:hanging="227"/>
    </w:pPr>
    <w:rPr>
      <w:sz w:val="18"/>
      <w:szCs w:val="18"/>
    </w:rPr>
  </w:style>
  <w:style w:type="paragraph" w:customStyle="1" w:styleId="sss10">
    <w:name w:val="sss 10"/>
    <w:basedOn w:val="ListParagraph"/>
    <w:qFormat/>
    <w:rsid w:val="00B64290"/>
    <w:pPr>
      <w:numPr>
        <w:numId w:val="10"/>
      </w:numPr>
      <w:ind w:left="170" w:hanging="170"/>
    </w:pPr>
    <w:rPr>
      <w:rFonts w:ascii="Arial" w:hAnsi="Arial" w:cs="Arial"/>
      <w:sz w:val="18"/>
      <w:szCs w:val="18"/>
    </w:rPr>
  </w:style>
  <w:style w:type="paragraph" w:customStyle="1" w:styleId="Style8ptAfter0ptNotExpandedbyCondensedbyLinespa">
    <w:name w:val="Style 8 pt After:  0 pt Not Expanded by / Condensed by  Line spa..."/>
    <w:basedOn w:val="Normal"/>
    <w:rsid w:val="00FD7745"/>
    <w:pPr>
      <w:spacing w:after="0" w:line="240" w:lineRule="auto"/>
      <w:ind w:firstLine="1701"/>
    </w:pPr>
    <w:rPr>
      <w:spacing w:val="0"/>
      <w:sz w:val="16"/>
      <w:szCs w:val="20"/>
    </w:rPr>
  </w:style>
  <w:style w:type="character" w:customStyle="1" w:styleId="NotesStyle">
    <w:name w:val="Notes Style"/>
    <w:basedOn w:val="DefaultParagraphFont"/>
    <w:rsid w:val="00CD4ABD"/>
    <w:rPr>
      <w:sz w:val="14"/>
    </w:rPr>
  </w:style>
  <w:style w:type="paragraph" w:customStyle="1" w:styleId="BULLETS">
    <w:name w:val="B U L L E T S"/>
    <w:basedOn w:val="ListBullet"/>
    <w:qFormat/>
    <w:rsid w:val="003C31FA"/>
    <w:pPr>
      <w:numPr>
        <w:numId w:val="7"/>
      </w:numPr>
      <w:tabs>
        <w:tab w:val="left" w:pos="170"/>
      </w:tabs>
      <w:spacing w:after="100" w:line="240" w:lineRule="exact"/>
    </w:pPr>
    <w:rPr>
      <w:szCs w:val="18"/>
    </w:rPr>
  </w:style>
  <w:style w:type="paragraph" w:customStyle="1" w:styleId="buLlets0">
    <w:name w:val="b uLlets"/>
    <w:basedOn w:val="SSSSSSS2"/>
    <w:qFormat/>
    <w:rsid w:val="003C31FA"/>
    <w:pPr>
      <w:numPr>
        <w:numId w:val="19"/>
      </w:numPr>
      <w:tabs>
        <w:tab w:val="clear" w:pos="720"/>
        <w:tab w:val="num" w:pos="170"/>
      </w:tabs>
      <w:ind w:left="170" w:hanging="170"/>
    </w:pPr>
    <w:rPr>
      <w:sz w:val="15"/>
      <w:szCs w:val="15"/>
    </w:rPr>
  </w:style>
  <w:style w:type="paragraph" w:customStyle="1" w:styleId="ListBulletlast">
    <w:name w:val="List Bullet (last)"/>
    <w:basedOn w:val="ListBullet"/>
    <w:uiPriority w:val="99"/>
    <w:rsid w:val="005238B6"/>
    <w:pPr>
      <w:numPr>
        <w:numId w:val="4"/>
      </w:numPr>
      <w:spacing w:after="100"/>
      <w:ind w:left="170" w:hanging="170"/>
    </w:pPr>
    <w:rPr>
      <w:szCs w:val="20"/>
    </w:rPr>
  </w:style>
  <w:style w:type="paragraph" w:customStyle="1" w:styleId="NormalCondensed">
    <w:name w:val="Normal Condensed"/>
    <w:basedOn w:val="Normal"/>
    <w:uiPriority w:val="99"/>
    <w:rsid w:val="00626C96"/>
    <w:pPr>
      <w:spacing w:after="120"/>
    </w:pPr>
    <w:rPr>
      <w:spacing w:val="-6"/>
    </w:rPr>
  </w:style>
  <w:style w:type="paragraph" w:customStyle="1" w:styleId="NormalSpaceBefore">
    <w:name w:val="Normal SpaceBefore"/>
    <w:basedOn w:val="Normal"/>
    <w:uiPriority w:val="99"/>
    <w:rsid w:val="005210DE"/>
    <w:pPr>
      <w:spacing w:before="120" w:after="120"/>
    </w:pPr>
  </w:style>
  <w:style w:type="paragraph" w:customStyle="1" w:styleId="TableColHeadsBoldCentered">
    <w:name w:val="TableColHeads Bold Centered"/>
    <w:basedOn w:val="TableColHeadsBold"/>
    <w:qFormat/>
    <w:rsid w:val="004F2479"/>
    <w:pPr>
      <w:spacing w:before="40" w:after="20" w:line="140" w:lineRule="exact"/>
      <w:jc w:val="center"/>
    </w:pPr>
    <w:rPr>
      <w:rFonts w:ascii="Futura ND" w:hAnsi="Futura ND"/>
      <w:b w:val="0"/>
      <w:color w:val="3480DE"/>
      <w:spacing w:val="-4"/>
      <w:sz w:val="12"/>
    </w:rPr>
  </w:style>
  <w:style w:type="paragraph" w:customStyle="1" w:styleId="TableColHeadsCentered">
    <w:name w:val="TableColHeads Centered"/>
    <w:basedOn w:val="TableColHeads"/>
    <w:qFormat/>
    <w:rsid w:val="004F2479"/>
    <w:pPr>
      <w:spacing w:before="40" w:after="20" w:line="140" w:lineRule="exact"/>
      <w:jc w:val="center"/>
    </w:pPr>
    <w:rPr>
      <w:rFonts w:ascii="Futura ND Book" w:hAnsi="Futura ND Book"/>
      <w:spacing w:val="-4"/>
      <w:sz w:val="12"/>
    </w:rPr>
  </w:style>
  <w:style w:type="paragraph" w:customStyle="1" w:styleId="TableHeading">
    <w:name w:val="Table Heading"/>
    <w:basedOn w:val="Heading2"/>
    <w:rsid w:val="004F2479"/>
    <w:pPr>
      <w:keepNext w:val="0"/>
      <w:tabs>
        <w:tab w:val="clear" w:pos="0"/>
        <w:tab w:val="left" w:pos="397"/>
      </w:tabs>
      <w:spacing w:before="0" w:after="0" w:line="260" w:lineRule="exact"/>
    </w:pPr>
    <w:rPr>
      <w:rFonts w:ascii="Futura ND Book" w:hAnsi="Futura ND Book"/>
      <w:b w:val="0"/>
      <w:color w:val="3480DE"/>
      <w:sz w:val="20"/>
      <w:szCs w:val="18"/>
    </w:rPr>
  </w:style>
  <w:style w:type="character" w:styleId="FootnoteReference">
    <w:name w:val="footnote reference"/>
    <w:basedOn w:val="DefaultParagraphFont"/>
    <w:uiPriority w:val="99"/>
    <w:semiHidden/>
    <w:unhideWhenUsed/>
    <w:locked/>
    <w:rsid w:val="00235CA8"/>
    <w:rPr>
      <w:vertAlign w:val="superscript"/>
    </w:rPr>
  </w:style>
  <w:style w:type="paragraph" w:customStyle="1" w:styleId="StyleFuturaND10ptBoldCustomColorRGB64116185After">
    <w:name w:val="Style Futura ND 10 pt Bold Custom Color(RGB(64116185)) After:..."/>
    <w:basedOn w:val="Normal"/>
    <w:rsid w:val="00A50746"/>
    <w:pPr>
      <w:spacing w:after="30" w:line="240" w:lineRule="atLeast"/>
    </w:pPr>
    <w:rPr>
      <w:rFonts w:ascii="Futura ND" w:hAnsi="Futura ND"/>
      <w:b/>
      <w:bCs/>
      <w:color w:val="3480DE"/>
      <w:sz w:val="20"/>
      <w:szCs w:val="20"/>
    </w:rPr>
  </w:style>
  <w:style w:type="paragraph" w:customStyle="1" w:styleId="StyleFuturaNDBook9ptBoldCustomColorRGB64116185Af">
    <w:name w:val="Style Futura ND Book 9 pt Bold Custom Color(RGB(64116185)) Af..."/>
    <w:basedOn w:val="Normal"/>
    <w:rsid w:val="00A50746"/>
    <w:pPr>
      <w:spacing w:after="0" w:line="210" w:lineRule="atLeast"/>
    </w:pPr>
    <w:rPr>
      <w:rFonts w:ascii="Futura ND Book" w:hAnsi="Futura ND Book"/>
      <w:b/>
      <w:bCs/>
      <w:color w:val="3480DE"/>
      <w:szCs w:val="20"/>
    </w:rPr>
  </w:style>
  <w:style w:type="table" w:customStyle="1" w:styleId="TableGrid1">
    <w:name w:val="Table Grid1"/>
    <w:basedOn w:val="TableNormal"/>
    <w:next w:val="TableGrid"/>
    <w:uiPriority w:val="59"/>
    <w:rsid w:val="003E7BBD"/>
    <w:pPr>
      <w:spacing w:after="120" w:line="240" w:lineRule="exact"/>
    </w:pPr>
    <w:tblPr>
      <w:tblCellMar>
        <w:left w:w="0" w:type="dxa"/>
        <w:right w:w="0" w:type="dxa"/>
      </w:tblCellMar>
    </w:tblPr>
    <w:tcPr>
      <w:vAlign w:val="bottom"/>
    </w:tcPr>
  </w:style>
  <w:style w:type="paragraph" w:customStyle="1" w:styleId="Footnotes-NoIndentGeneric-StylesFootnotes">
    <w:name w:val="Footnotes-NoIndent (Generic-Styles:Footnotes)"/>
    <w:basedOn w:val="Normal"/>
    <w:uiPriority w:val="99"/>
    <w:rsid w:val="003E7BBD"/>
    <w:pPr>
      <w:tabs>
        <w:tab w:val="left" w:pos="170"/>
      </w:tabs>
      <w:suppressAutoHyphens/>
      <w:autoSpaceDE w:val="0"/>
      <w:autoSpaceDN w:val="0"/>
      <w:adjustRightInd w:val="0"/>
      <w:spacing w:after="0" w:line="160" w:lineRule="atLeast"/>
      <w:textAlignment w:val="center"/>
    </w:pPr>
    <w:rPr>
      <w:rFonts w:ascii="Chronicle Text G1" w:hAnsi="Chronicle Text G1" w:cs="Chronicle Text G1"/>
      <w:color w:val="000000"/>
      <w:spacing w:val="-2"/>
      <w:sz w:val="14"/>
      <w:szCs w:val="14"/>
    </w:rPr>
  </w:style>
  <w:style w:type="paragraph" w:customStyle="1" w:styleId="StyleFuturaNDBook9ptBoldCustomColorRGB68114183Af">
    <w:name w:val="Style Futura ND Book 9 pt Bold Custom Color(RGB(68114183)) Af..."/>
    <w:basedOn w:val="Normal"/>
    <w:rsid w:val="003E7BBD"/>
    <w:pPr>
      <w:spacing w:after="113" w:line="210" w:lineRule="atLeast"/>
    </w:pPr>
    <w:rPr>
      <w:rFonts w:ascii="Futura ND Book" w:hAnsi="Futura ND Book"/>
      <w:b/>
      <w:bCs/>
      <w:color w:val="3480DE"/>
      <w:szCs w:val="20"/>
    </w:rPr>
  </w:style>
  <w:style w:type="paragraph" w:customStyle="1" w:styleId="StyleFuturaND6ptBoldCustomColorRGB68114183Right">
    <w:name w:val="Style Futura ND 6 pt Bold Custom Color(RGB(68114183)) Right ..."/>
    <w:basedOn w:val="Normal"/>
    <w:rsid w:val="003E7BBD"/>
    <w:pPr>
      <w:spacing w:after="0" w:line="140" w:lineRule="atLeast"/>
      <w:ind w:right="79"/>
      <w:jc w:val="right"/>
    </w:pPr>
    <w:rPr>
      <w:rFonts w:ascii="Futura ND" w:hAnsi="Futura ND"/>
      <w:b/>
      <w:bCs/>
      <w:color w:val="3480DE"/>
      <w:spacing w:val="-2"/>
      <w:sz w:val="12"/>
      <w:szCs w:val="20"/>
    </w:rPr>
  </w:style>
  <w:style w:type="paragraph" w:customStyle="1" w:styleId="StyleFuturaND10ptBoldCustomColorRGB56127255After">
    <w:name w:val="Style Futura ND 10 pt Bold Custom Color(RGB(56127255)) After:..."/>
    <w:basedOn w:val="Normal"/>
    <w:rsid w:val="003E7BBD"/>
    <w:pPr>
      <w:spacing w:after="30" w:line="240" w:lineRule="atLeast"/>
    </w:pPr>
    <w:rPr>
      <w:rFonts w:ascii="Futura ND" w:hAnsi="Futura ND"/>
      <w:b/>
      <w:bCs/>
      <w:color w:val="3480DE"/>
      <w:sz w:val="20"/>
      <w:szCs w:val="20"/>
    </w:rPr>
  </w:style>
  <w:style w:type="paragraph" w:customStyle="1" w:styleId="Style10ptBoldCustomColorRGB101255165After15pt">
    <w:name w:val="Style 10 pt Bold Custom Color(RGB(101255165)) After:  1.5 pt ..."/>
    <w:basedOn w:val="Normal"/>
    <w:rsid w:val="00440971"/>
    <w:pPr>
      <w:spacing w:after="30" w:line="240" w:lineRule="atLeast"/>
    </w:pPr>
    <w:rPr>
      <w:rFonts w:ascii="Chronicle Text G1" w:hAnsi="Chronicle Text G1"/>
      <w:b/>
      <w:bCs/>
      <w:color w:val="67C0B5"/>
      <w:sz w:val="20"/>
      <w:szCs w:val="20"/>
    </w:rPr>
  </w:style>
  <w:style w:type="paragraph" w:customStyle="1" w:styleId="StyleFuturaNDBook9ptBoldCustomColorRGB56127255Af2">
    <w:name w:val="Style Futura ND Book 9 pt Bold Custom Color(RGB(56127255)) Af...2"/>
    <w:basedOn w:val="Normal"/>
    <w:rsid w:val="00440971"/>
    <w:pPr>
      <w:spacing w:after="28" w:line="210" w:lineRule="atLeast"/>
    </w:pPr>
    <w:rPr>
      <w:rFonts w:ascii="Futura ND Book" w:hAnsi="Futura ND Book"/>
      <w:b/>
      <w:bCs/>
      <w:color w:val="3480DE"/>
      <w:szCs w:val="20"/>
    </w:rPr>
  </w:style>
  <w:style w:type="paragraph" w:customStyle="1" w:styleId="StyleFuturaNDBook9ptBoldCustomColorRGB56127255Af3">
    <w:name w:val="Style Futura ND Book 9 pt Bold Custom Color(RGB(56127255)) Af...3"/>
    <w:basedOn w:val="Normal"/>
    <w:rsid w:val="000A4F4D"/>
    <w:pPr>
      <w:spacing w:after="0" w:line="210" w:lineRule="atLeast"/>
    </w:pPr>
    <w:rPr>
      <w:rFonts w:ascii="Futura ND Book" w:hAnsi="Futura ND Book"/>
      <w:b/>
      <w:bCs/>
      <w:color w:val="3480DE"/>
      <w:szCs w:val="20"/>
    </w:rPr>
  </w:style>
  <w:style w:type="paragraph" w:customStyle="1" w:styleId="Heading-4Generic-Styles">
    <w:name w:val="Heading-4 (Generic-Styles)"/>
    <w:basedOn w:val="Normal"/>
    <w:uiPriority w:val="99"/>
    <w:rsid w:val="00C71B65"/>
    <w:pPr>
      <w:tabs>
        <w:tab w:val="left" w:pos="283"/>
      </w:tabs>
      <w:suppressAutoHyphens/>
      <w:autoSpaceDE w:val="0"/>
      <w:autoSpaceDN w:val="0"/>
      <w:adjustRightInd w:val="0"/>
      <w:spacing w:after="0" w:line="210" w:lineRule="atLeast"/>
      <w:textAlignment w:val="center"/>
    </w:pPr>
    <w:rPr>
      <w:rFonts w:ascii="Futura ND Book" w:hAnsi="Futura ND Book" w:cs="Futura ND Book"/>
      <w:b/>
      <w:bCs/>
      <w:color w:val="3480DE"/>
      <w:szCs w:val="18"/>
    </w:rPr>
  </w:style>
  <w:style w:type="character" w:customStyle="1" w:styleId="StyleChronicleTextG1BoldBoldCustomColorRGB56123255">
    <w:name w:val="Style Chronicle Text G1 Bold Bold Custom Color(RGB(56123255)) ..."/>
    <w:basedOn w:val="DefaultParagraphFont"/>
    <w:rsid w:val="00C71B65"/>
    <w:rPr>
      <w:rFonts w:ascii="Chronicle Text G1 Bold" w:hAnsi="Chronicle Text G1 Bold"/>
      <w:b/>
      <w:bCs/>
      <w:color w:val="3480DE"/>
      <w:spacing w:val="-3"/>
    </w:rPr>
  </w:style>
  <w:style w:type="character" w:customStyle="1" w:styleId="StyleFuturaND6ptBoldCustomColorRGB56123255Condens">
    <w:name w:val="Style Futura ND 6 pt Bold Custom Color(RGB(56123255)) Condens..."/>
    <w:basedOn w:val="DefaultParagraphFont"/>
    <w:rsid w:val="00C71B65"/>
    <w:rPr>
      <w:rFonts w:ascii="Futura ND" w:hAnsi="Futura ND"/>
      <w:b/>
      <w:bCs/>
      <w:color w:val="3480DE"/>
      <w:spacing w:val="-2"/>
      <w:sz w:val="12"/>
    </w:rPr>
  </w:style>
  <w:style w:type="paragraph" w:customStyle="1" w:styleId="StyleFuturaND6ptBoldCustomColorRGB56123255Right">
    <w:name w:val="Style Futura ND 6 pt Bold Custom Color(RGB(56123255)) Right: ..."/>
    <w:basedOn w:val="Normal"/>
    <w:rsid w:val="00C71B65"/>
    <w:pPr>
      <w:spacing w:after="0" w:line="140" w:lineRule="atLeast"/>
      <w:ind w:right="79"/>
    </w:pPr>
    <w:rPr>
      <w:rFonts w:ascii="Futura ND" w:hAnsi="Futura ND"/>
      <w:b/>
      <w:bCs/>
      <w:color w:val="3480DE"/>
      <w:spacing w:val="-2"/>
      <w:sz w:val="12"/>
      <w:szCs w:val="20"/>
    </w:rPr>
  </w:style>
  <w:style w:type="paragraph" w:customStyle="1" w:styleId="StyleFuturaND10ptBoldCustomColorRGB56123255After">
    <w:name w:val="Style Futura ND 10 pt Bold Custom Color(RGB(56123255)) After:..."/>
    <w:basedOn w:val="Normal"/>
    <w:rsid w:val="004A3717"/>
    <w:pPr>
      <w:spacing w:after="30" w:line="240" w:lineRule="atLeast"/>
    </w:pPr>
    <w:rPr>
      <w:rFonts w:ascii="Futura ND" w:hAnsi="Futura ND"/>
      <w:b/>
      <w:bCs/>
      <w:color w:val="3480DE"/>
      <w:sz w:val="20"/>
      <w:szCs w:val="20"/>
    </w:rPr>
  </w:style>
  <w:style w:type="paragraph" w:customStyle="1" w:styleId="StyleFuturaND6ptBoldCustomColorRGB56123255Right0">
    <w:name w:val="Style Futura ND 6 pt Bold Custom Color(RGB(56123255)) Right ..."/>
    <w:basedOn w:val="Normal"/>
    <w:rsid w:val="004A3717"/>
    <w:pPr>
      <w:spacing w:after="0" w:line="140" w:lineRule="atLeast"/>
      <w:ind w:right="79"/>
      <w:jc w:val="right"/>
    </w:pPr>
    <w:rPr>
      <w:rFonts w:ascii="Futura ND" w:hAnsi="Futura ND"/>
      <w:b/>
      <w:bCs/>
      <w:color w:val="3480DE"/>
      <w:spacing w:val="-2"/>
      <w:sz w:val="12"/>
      <w:szCs w:val="20"/>
    </w:rPr>
  </w:style>
  <w:style w:type="character" w:customStyle="1" w:styleId="as">
    <w:name w:val="as"/>
    <w:basedOn w:val="DefaultParagraphFont"/>
    <w:rsid w:val="0054466E"/>
  </w:style>
  <w:style w:type="paragraph" w:customStyle="1" w:styleId="TableColHeadsGeneric-StylesTables">
    <w:name w:val="TableColHeads (Generic-Styles:Tables)"/>
    <w:basedOn w:val="Normal"/>
    <w:uiPriority w:val="99"/>
    <w:rsid w:val="007C7FED"/>
    <w:pPr>
      <w:tabs>
        <w:tab w:val="left" w:pos="283"/>
      </w:tabs>
      <w:suppressAutoHyphens/>
      <w:autoSpaceDE w:val="0"/>
      <w:autoSpaceDN w:val="0"/>
      <w:adjustRightInd w:val="0"/>
      <w:spacing w:after="0" w:line="140" w:lineRule="atLeast"/>
      <w:ind w:right="79"/>
      <w:jc w:val="right"/>
      <w:textAlignment w:val="center"/>
    </w:pPr>
    <w:rPr>
      <w:rFonts w:ascii="Futura ND Book" w:hAnsi="Futura ND Book" w:cs="Futura ND Book"/>
      <w:color w:val="000000"/>
      <w:spacing w:val="-2"/>
      <w:sz w:val="12"/>
      <w:szCs w:val="12"/>
    </w:rPr>
  </w:style>
  <w:style w:type="paragraph" w:customStyle="1" w:styleId="Table-FiguresGeneric-StylesTables">
    <w:name w:val="Table-Figures (Generic-Styles:Tables)"/>
    <w:basedOn w:val="Normal"/>
    <w:uiPriority w:val="99"/>
    <w:rsid w:val="007C7FED"/>
    <w:pPr>
      <w:tabs>
        <w:tab w:val="left" w:pos="283"/>
      </w:tabs>
      <w:suppressAutoHyphens/>
      <w:autoSpaceDE w:val="0"/>
      <w:autoSpaceDN w:val="0"/>
      <w:adjustRightInd w:val="0"/>
      <w:spacing w:after="0" w:line="210" w:lineRule="atLeast"/>
      <w:ind w:right="79"/>
      <w:jc w:val="right"/>
      <w:textAlignment w:val="center"/>
    </w:pPr>
    <w:rPr>
      <w:rFonts w:ascii="Chronicle Text G1" w:hAnsi="Chronicle Text G1" w:cs="Chronicle Text G1"/>
      <w:color w:val="000000"/>
      <w:spacing w:val="-2"/>
      <w:sz w:val="17"/>
      <w:szCs w:val="17"/>
    </w:rPr>
  </w:style>
  <w:style w:type="paragraph" w:customStyle="1" w:styleId="Table-Figures-BoldGeneric-StylesTables">
    <w:name w:val="Table-Figures-Bold (Generic-Styles:Tables)"/>
    <w:basedOn w:val="Table-FiguresGeneric-StylesTables"/>
    <w:uiPriority w:val="99"/>
    <w:rsid w:val="007C7FED"/>
    <w:rPr>
      <w:rFonts w:ascii="Chronicle Text G1 Bold" w:hAnsi="Chronicle Text G1 Bold" w:cs="Chronicle Text G1 Bold"/>
      <w:b/>
      <w:bCs/>
    </w:rPr>
  </w:style>
  <w:style w:type="paragraph" w:customStyle="1" w:styleId="Table-Figures-BracketsGeneric-StylesTables">
    <w:name w:val="Table-Figures-Brackets (Generic-Styles:Tables)"/>
    <w:basedOn w:val="Table-FiguresGeneric-StylesTables"/>
    <w:uiPriority w:val="99"/>
    <w:rsid w:val="007C7FED"/>
    <w:pPr>
      <w:ind w:right="23"/>
    </w:pPr>
  </w:style>
  <w:style w:type="character" w:customStyle="1" w:styleId="IDNocharacterstyle">
    <w:name w:val="ID No character style"/>
    <w:rsid w:val="007C7FED"/>
  </w:style>
  <w:style w:type="paragraph" w:customStyle="1" w:styleId="TablesTabletext">
    <w:name w:val="Tables Tabletext"/>
    <w:basedOn w:val="Normal"/>
    <w:rsid w:val="007C7FED"/>
    <w:pPr>
      <w:spacing w:after="0" w:line="240" w:lineRule="auto"/>
    </w:pPr>
    <w:rPr>
      <w:rFonts w:ascii="Chronicle Text G1" w:eastAsiaTheme="majorEastAsia" w:hAnsi="Chronicle Text G1" w:cstheme="majorBidi"/>
      <w:spacing w:val="0"/>
      <w:sz w:val="16"/>
      <w:lang w:eastAsia="ja-JP"/>
    </w:rPr>
  </w:style>
  <w:style w:type="table" w:customStyle="1" w:styleId="IDBasicTable">
    <w:name w:val="ID Basic Table"/>
    <w:basedOn w:val="TableNormal"/>
    <w:rsid w:val="007C7FED"/>
    <w:rPr>
      <w:rFonts w:asciiTheme="minorHAnsi" w:eastAsiaTheme="minorEastAsia" w:hAnsiTheme="minorHAnsi" w:cstheme="minorBidi"/>
      <w:sz w:val="24"/>
      <w:szCs w:val="24"/>
      <w:lang w:eastAsia="ja-JP"/>
    </w:rPr>
    <w:tblPr>
      <w:tblCellMar>
        <w:left w:w="0" w:type="dxa"/>
        <w:right w:w="0" w:type="dxa"/>
      </w:tblCellMar>
    </w:tblPr>
  </w:style>
  <w:style w:type="paragraph" w:customStyle="1" w:styleId="TablesTabletextBold">
    <w:name w:val="Tables Tabletext Bold"/>
    <w:basedOn w:val="TablesTabletext"/>
    <w:rsid w:val="007C7FED"/>
    <w:rPr>
      <w:b/>
    </w:rPr>
  </w:style>
  <w:style w:type="paragraph" w:customStyle="1" w:styleId="PullOutsPullOutText">
    <w:name w:val="Pull Outs Pull Out Text"/>
    <w:basedOn w:val="Normal"/>
    <w:rsid w:val="00E93D04"/>
    <w:pPr>
      <w:spacing w:after="120" w:line="240" w:lineRule="auto"/>
    </w:pPr>
    <w:rPr>
      <w:rFonts w:ascii="Futura ND" w:eastAsiaTheme="majorEastAsia" w:hAnsi="Futura ND" w:cstheme="majorBidi"/>
      <w:b/>
      <w:spacing w:val="0"/>
      <w:sz w:val="20"/>
      <w:lang w:eastAsia="ja-JP"/>
    </w:rPr>
  </w:style>
  <w:style w:type="character" w:customStyle="1" w:styleId="ColourWhite">
    <w:name w:val="Colour White"/>
    <w:basedOn w:val="IDNocharacterstyle"/>
    <w:rsid w:val="00486402"/>
  </w:style>
  <w:style w:type="paragraph" w:customStyle="1" w:styleId="TablesTableFigures">
    <w:name w:val="Tables Table Figures"/>
    <w:basedOn w:val="TablesTabletext"/>
    <w:rsid w:val="006E546C"/>
    <w:pPr>
      <w:jc w:val="right"/>
    </w:pPr>
  </w:style>
  <w:style w:type="paragraph" w:styleId="Revision">
    <w:name w:val="Revision"/>
    <w:hidden/>
    <w:uiPriority w:val="99"/>
    <w:semiHidden/>
    <w:rsid w:val="00C92971"/>
    <w:rPr>
      <w:rFonts w:ascii="Arial" w:hAnsi="Arial"/>
      <w:spacing w:val="-4"/>
      <w:sz w:val="18"/>
      <w:szCs w:val="24"/>
    </w:rPr>
  </w:style>
  <w:style w:type="paragraph" w:customStyle="1" w:styleId="ListBulletLast0">
    <w:name w:val="List Bullet Last"/>
    <w:basedOn w:val="ListBullet"/>
    <w:rsid w:val="00C92971"/>
    <w:pPr>
      <w:spacing w:line="210" w:lineRule="exact"/>
      <w:ind w:left="170" w:hanging="170"/>
    </w:pPr>
    <w:rPr>
      <w:rFonts w:ascii="Chronicle Text G1" w:hAnsi="Chronicle Text G1"/>
      <w:sz w:val="17"/>
      <w:szCs w:val="20"/>
    </w:rPr>
  </w:style>
  <w:style w:type="table" w:customStyle="1" w:styleId="TableGridLight1">
    <w:name w:val="Table Grid Light1"/>
    <w:basedOn w:val="TableNormal"/>
    <w:uiPriority w:val="40"/>
    <w:rsid w:val="00594CC1"/>
    <w:rPr>
      <w:rFonts w:ascii="Cambria" w:eastAsia="MS Mincho" w:hAnsi="Cambria"/>
      <w:sz w:val="24"/>
      <w:szCs w:val="24"/>
      <w:lang w:eastAsia="en-US"/>
    </w:rPr>
    <w:tblPr>
      <w:tblCellMar>
        <w:left w:w="0" w:type="dxa"/>
        <w:right w:w="0" w:type="dxa"/>
      </w:tblCellMar>
    </w:tblPr>
  </w:style>
  <w:style w:type="paragraph" w:customStyle="1" w:styleId="tick">
    <w:name w:val="tick"/>
    <w:basedOn w:val="Normal"/>
    <w:qFormat/>
    <w:rsid w:val="00594CC1"/>
    <w:pPr>
      <w:suppressAutoHyphens/>
      <w:autoSpaceDE w:val="0"/>
      <w:autoSpaceDN w:val="0"/>
      <w:adjustRightInd w:val="0"/>
      <w:spacing w:after="0" w:line="210" w:lineRule="atLeast"/>
      <w:ind w:right="79"/>
      <w:jc w:val="center"/>
      <w:textAlignment w:val="center"/>
    </w:pPr>
    <w:rPr>
      <w:rFonts w:ascii="Courier New" w:hAnsi="Courier New" w:cs="Courier New"/>
      <w:color w:val="000000" w:themeColor="text1"/>
      <w:spacing w:val="-3"/>
      <w:sz w:val="17"/>
      <w:szCs w:val="17"/>
    </w:rPr>
  </w:style>
  <w:style w:type="paragraph" w:customStyle="1" w:styleId="Intro">
    <w:name w:val="Intro"/>
    <w:basedOn w:val="Heading2"/>
    <w:rsid w:val="00427EF6"/>
    <w:pPr>
      <w:tabs>
        <w:tab w:val="clear" w:pos="0"/>
        <w:tab w:val="left" w:pos="284"/>
      </w:tabs>
      <w:spacing w:before="0" w:after="240" w:line="240" w:lineRule="exact"/>
    </w:pPr>
    <w:rPr>
      <w:rFonts w:ascii="Futura ND" w:hAnsi="Futura ND"/>
      <w:b w:val="0"/>
      <w:color w:val="000000" w:themeColor="text1"/>
      <w:sz w:val="20"/>
      <w:szCs w:val="20"/>
    </w:rPr>
  </w:style>
  <w:style w:type="character" w:customStyle="1" w:styleId="apple-converted-space">
    <w:name w:val="apple-converted-space"/>
    <w:basedOn w:val="DefaultParagraphFont"/>
    <w:rsid w:val="00FB0592"/>
  </w:style>
  <w:style w:type="paragraph" w:customStyle="1" w:styleId="TablesTFigures">
    <w:name w:val="Tables T Figures"/>
    <w:basedOn w:val="Normal"/>
    <w:rsid w:val="00AB79A7"/>
    <w:pPr>
      <w:spacing w:after="0" w:line="210" w:lineRule="exact"/>
      <w:ind w:right="68"/>
      <w:jc w:val="right"/>
    </w:pPr>
    <w:rPr>
      <w:rFonts w:ascii="Chronicle Text G1" w:eastAsiaTheme="majorEastAsia" w:hAnsi="Chronicle Text G1" w:cstheme="majorBidi"/>
      <w:spacing w:val="0"/>
      <w:sz w:val="17"/>
      <w:szCs w:val="22"/>
    </w:rPr>
  </w:style>
  <w:style w:type="paragraph" w:customStyle="1" w:styleId="TablesTFigureBold">
    <w:name w:val="Tables T Figure Bold"/>
    <w:basedOn w:val="TablesTFigures"/>
    <w:rsid w:val="00AB79A7"/>
    <w:rPr>
      <w:rFonts w:ascii="Chronicle Text G1 Bold" w:hAnsi="Chronicle Text G1 Bold"/>
    </w:rPr>
  </w:style>
  <w:style w:type="paragraph" w:customStyle="1" w:styleId="TablesTFigureBrackets">
    <w:name w:val="Tables T Figure Brackets"/>
    <w:basedOn w:val="TablesTFigures"/>
    <w:rsid w:val="00AB79A7"/>
    <w:pPr>
      <w:ind w:right="0"/>
    </w:pPr>
  </w:style>
  <w:style w:type="paragraph" w:customStyle="1" w:styleId="TablesTFiguresBracketsBold">
    <w:name w:val="Tables T Figures Brackets Bold"/>
    <w:basedOn w:val="TablesTFigureBrackets"/>
    <w:rsid w:val="00280295"/>
    <w:rPr>
      <w:rFonts w:ascii="Chronicle Text G1 Bold" w:hAnsi="Chronicle Text G1 Bold"/>
    </w:rPr>
  </w:style>
  <w:style w:type="character" w:customStyle="1" w:styleId="P2727-BlueColours">
    <w:name w:val="P2727-Blue (Colours)"/>
    <w:uiPriority w:val="99"/>
    <w:rsid w:val="00E420F7"/>
    <w:rPr>
      <w:color w:val="4074B9"/>
    </w:rPr>
  </w:style>
  <w:style w:type="paragraph" w:customStyle="1" w:styleId="TablesTText">
    <w:name w:val="Tables T Text"/>
    <w:basedOn w:val="Normal"/>
    <w:rsid w:val="00E420F7"/>
    <w:pPr>
      <w:spacing w:after="0" w:line="210" w:lineRule="exact"/>
    </w:pPr>
    <w:rPr>
      <w:rFonts w:ascii="Chronicle Text G1" w:eastAsiaTheme="majorEastAsia" w:hAnsi="Chronicle Text G1" w:cstheme="majorBidi"/>
      <w:spacing w:val="0"/>
      <w:sz w:val="17"/>
      <w:szCs w:val="22"/>
    </w:rPr>
  </w:style>
  <w:style w:type="character" w:customStyle="1" w:styleId="normaltextrun">
    <w:name w:val="normaltextrun"/>
    <w:basedOn w:val="DefaultParagraphFont"/>
    <w:rsid w:val="00687F8D"/>
  </w:style>
  <w:style w:type="character" w:customStyle="1" w:styleId="eop">
    <w:name w:val="eop"/>
    <w:basedOn w:val="DefaultParagraphFont"/>
    <w:rsid w:val="00687F8D"/>
  </w:style>
  <w:style w:type="paragraph" w:customStyle="1" w:styleId="Heading2AfterTables">
    <w:name w:val="Heading 2 After Tables"/>
    <w:basedOn w:val="Heading2"/>
    <w:rsid w:val="005C31A7"/>
    <w:pPr>
      <w:tabs>
        <w:tab w:val="clear" w:pos="0"/>
        <w:tab w:val="left" w:pos="284"/>
      </w:tabs>
      <w:spacing w:before="160" w:after="0" w:line="240" w:lineRule="exact"/>
    </w:pPr>
    <w:rPr>
      <w:rFonts w:ascii="Futura ND" w:hAnsi="Futura ND"/>
      <w:b w:val="0"/>
      <w:color w:val="4074B9"/>
      <w:sz w:val="20"/>
      <w:szCs w:val="20"/>
    </w:rPr>
  </w:style>
  <w:style w:type="paragraph" w:customStyle="1" w:styleId="Heading1AfterTables">
    <w:name w:val="Heading 1 After Tables"/>
    <w:basedOn w:val="Heading1"/>
    <w:rsid w:val="005C31A7"/>
    <w:pPr>
      <w:tabs>
        <w:tab w:val="left" w:pos="397"/>
      </w:tabs>
      <w:spacing w:before="220" w:after="110" w:line="260" w:lineRule="exact"/>
    </w:pPr>
    <w:rPr>
      <w:rFonts w:ascii="Futura ND" w:hAnsi="Futura ND"/>
      <w:bCs/>
      <w:caps w:val="0"/>
      <w:color w:val="4074B9"/>
      <w:sz w:val="24"/>
      <w:szCs w:val="20"/>
    </w:rPr>
  </w:style>
  <w:style w:type="paragraph" w:customStyle="1" w:styleId="BodytextGeneric-Styles">
    <w:name w:val="Bodytext (Generic-Styles)"/>
    <w:basedOn w:val="Normal"/>
    <w:uiPriority w:val="99"/>
    <w:rsid w:val="005C31A7"/>
    <w:pPr>
      <w:suppressAutoHyphens/>
      <w:autoSpaceDE w:val="0"/>
      <w:autoSpaceDN w:val="0"/>
      <w:adjustRightInd w:val="0"/>
      <w:spacing w:after="120" w:line="210" w:lineRule="atLeast"/>
      <w:textAlignment w:val="center"/>
    </w:pPr>
    <w:rPr>
      <w:rFonts w:ascii="ChronicleTextG1-Roman" w:hAnsi="ChronicleTextG1-Roman" w:cs="ChronicleTextG1-Roman"/>
      <w:color w:val="191919"/>
      <w:spacing w:val="-2"/>
      <w:sz w:val="17"/>
      <w:szCs w:val="17"/>
    </w:rPr>
  </w:style>
  <w:style w:type="paragraph" w:customStyle="1" w:styleId="HeadingLarge">
    <w:name w:val="Heading Large"/>
    <w:basedOn w:val="Heading1"/>
    <w:qFormat/>
    <w:rsid w:val="005C31A7"/>
    <w:pPr>
      <w:tabs>
        <w:tab w:val="left" w:pos="397"/>
      </w:tabs>
      <w:spacing w:after="240" w:line="560" w:lineRule="exact"/>
    </w:pPr>
    <w:rPr>
      <w:rFonts w:ascii="Futura ND" w:hAnsi="Futura ND"/>
      <w:caps w:val="0"/>
      <w:color w:val="4074B9"/>
      <w:sz w:val="52"/>
      <w:szCs w:val="68"/>
    </w:rPr>
  </w:style>
  <w:style w:type="character" w:customStyle="1" w:styleId="superscript0">
    <w:name w:val="superscript"/>
    <w:uiPriority w:val="99"/>
    <w:rsid w:val="005C31A7"/>
    <w:rPr>
      <w:vertAlign w:val="superscript"/>
    </w:rPr>
  </w:style>
  <w:style w:type="paragraph" w:customStyle="1" w:styleId="Default">
    <w:name w:val="Default"/>
    <w:rsid w:val="0000505E"/>
    <w:pPr>
      <w:autoSpaceDE w:val="0"/>
      <w:autoSpaceDN w:val="0"/>
      <w:adjustRightInd w:val="0"/>
    </w:pPr>
    <w:rPr>
      <w:rFonts w:ascii="Futura ND Book" w:hAnsi="Futura ND Book" w:cs="Futura ND Book"/>
      <w:color w:val="000000"/>
      <w:sz w:val="24"/>
      <w:szCs w:val="24"/>
    </w:rPr>
  </w:style>
  <w:style w:type="character" w:customStyle="1" w:styleId="ba">
    <w:name w:val="ba"/>
    <w:basedOn w:val="DefaultParagraphFont"/>
    <w:rsid w:val="00DD7DAA"/>
  </w:style>
  <w:style w:type="character" w:customStyle="1" w:styleId="BodySingleChar">
    <w:name w:val="Body Single Char"/>
    <w:basedOn w:val="BodyTextChar"/>
    <w:link w:val="BodySingle"/>
    <w:uiPriority w:val="1"/>
    <w:locked/>
    <w:rsid w:val="0080453E"/>
    <w:rPr>
      <w:rFonts w:ascii="Georgia" w:eastAsiaTheme="majorEastAsia" w:hAnsi="Georgia"/>
      <w:sz w:val="18"/>
      <w:szCs w:val="28"/>
      <w:lang w:eastAsia="en-US"/>
    </w:rPr>
  </w:style>
  <w:style w:type="paragraph" w:customStyle="1" w:styleId="BodySingle">
    <w:name w:val="Body Single"/>
    <w:basedOn w:val="BodyText"/>
    <w:link w:val="BodySingleChar"/>
    <w:uiPriority w:val="1"/>
    <w:qFormat/>
    <w:rsid w:val="0080453E"/>
    <w:pPr>
      <w:jc w:val="left"/>
    </w:pPr>
    <w:rPr>
      <w:rFonts w:ascii="Georgia" w:eastAsiaTheme="majorEastAsia" w:hAnsi="Georgia"/>
      <w:sz w:val="18"/>
      <w:szCs w:val="28"/>
    </w:rPr>
  </w:style>
  <w:style w:type="paragraph" w:customStyle="1" w:styleId="SignatureBefore">
    <w:name w:val="SignatureBefore"/>
    <w:basedOn w:val="BodySingle"/>
    <w:uiPriority w:val="99"/>
    <w:qFormat/>
    <w:rsid w:val="0080453E"/>
    <w:pPr>
      <w:spacing w:before="960"/>
    </w:pPr>
  </w:style>
  <w:style w:type="paragraph" w:customStyle="1" w:styleId="Heading1First">
    <w:name w:val="Heading 1 First"/>
    <w:basedOn w:val="Heading1"/>
    <w:qFormat/>
    <w:rsid w:val="0080453E"/>
    <w:pPr>
      <w:keepLines/>
      <w:spacing w:before="0" w:after="120" w:line="240" w:lineRule="auto"/>
    </w:pPr>
    <w:rPr>
      <w:rFonts w:ascii="Georgia" w:eastAsiaTheme="majorEastAsia" w:hAnsi="Georgia"/>
      <w:caps w:val="0"/>
      <w:spacing w:val="0"/>
      <w:sz w:val="28"/>
      <w:szCs w:val="28"/>
      <w:lang w:eastAsia="en-US"/>
    </w:rPr>
  </w:style>
  <w:style w:type="paragraph" w:customStyle="1" w:styleId="ReportTitle">
    <w:name w:val="Report Title"/>
    <w:basedOn w:val="Heading1First"/>
    <w:qFormat/>
    <w:rsid w:val="0080453E"/>
    <w:pPr>
      <w:spacing w:after="360"/>
    </w:pPr>
    <w:rPr>
      <w:i/>
      <w:sz w:val="32"/>
    </w:rPr>
  </w:style>
  <w:style w:type="paragraph" w:styleId="ListNumber4">
    <w:name w:val="List Number 4"/>
    <w:basedOn w:val="Normal"/>
    <w:uiPriority w:val="13"/>
    <w:unhideWhenUsed/>
    <w:locked/>
    <w:rsid w:val="0080453E"/>
    <w:pPr>
      <w:tabs>
        <w:tab w:val="num" w:pos="2268"/>
      </w:tabs>
      <w:spacing w:after="240" w:line="240" w:lineRule="atLeast"/>
      <w:ind w:left="2268" w:hanging="567"/>
      <w:contextualSpacing/>
    </w:pPr>
    <w:rPr>
      <w:rFonts w:ascii="Georgia" w:hAnsi="Georgia"/>
      <w:spacing w:val="0"/>
      <w:sz w:val="20"/>
      <w:szCs w:val="20"/>
      <w:lang w:eastAsia="en-US"/>
    </w:rPr>
  </w:style>
  <w:style w:type="paragraph" w:customStyle="1" w:styleId="NormalAfterTables">
    <w:name w:val="Normal After Tables"/>
    <w:basedOn w:val="Normal"/>
    <w:rsid w:val="009E2B32"/>
    <w:pPr>
      <w:spacing w:before="110" w:line="210" w:lineRule="exact"/>
    </w:pPr>
    <w:rPr>
      <w:rFonts w:ascii="Chronicle Text G1" w:hAnsi="Chronicle Text G1"/>
      <w:sz w:val="17"/>
      <w:szCs w:val="20"/>
    </w:rPr>
  </w:style>
  <w:style w:type="paragraph" w:customStyle="1" w:styleId="TablesTColHead">
    <w:name w:val="Tables T ColHead"/>
    <w:basedOn w:val="Normal"/>
    <w:rsid w:val="00990CA3"/>
    <w:pPr>
      <w:spacing w:before="10" w:after="10" w:line="140" w:lineRule="exact"/>
      <w:ind w:right="57"/>
      <w:jc w:val="right"/>
    </w:pPr>
    <w:rPr>
      <w:rFonts w:ascii="Futura ND Book" w:eastAsiaTheme="majorEastAsia" w:hAnsi="Futura ND Book" w:cstheme="majorBidi"/>
      <w:spacing w:val="0"/>
      <w:sz w:val="12"/>
      <w:szCs w:val="22"/>
    </w:rPr>
  </w:style>
  <w:style w:type="paragraph" w:styleId="NoSpacing">
    <w:name w:val="No Spacing"/>
    <w:uiPriority w:val="1"/>
    <w:qFormat/>
    <w:rsid w:val="00081C17"/>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66334D"/>
    <w:pPr>
      <w:spacing w:after="120" w:line="240" w:lineRule="exact"/>
    </w:pPr>
    <w:tblPr>
      <w:tblCellMar>
        <w:left w:w="0" w:type="dxa"/>
        <w:right w:w="0" w:type="dxa"/>
      </w:tblCellMar>
    </w:tblPr>
    <w:tcPr>
      <w:vAlign w:val="bottom"/>
    </w:tcPr>
  </w:style>
  <w:style w:type="paragraph" w:customStyle="1" w:styleId="FooterRight">
    <w:name w:val="Footer Right"/>
    <w:basedOn w:val="Footer"/>
    <w:qFormat/>
    <w:rsid w:val="0066334D"/>
    <w:pPr>
      <w:tabs>
        <w:tab w:val="clear" w:pos="8505"/>
        <w:tab w:val="left" w:pos="510"/>
        <w:tab w:val="right" w:pos="10065"/>
        <w:tab w:val="right" w:pos="10490"/>
      </w:tabs>
      <w:spacing w:before="120" w:line="140" w:lineRule="exact"/>
      <w:ind w:left="-284" w:right="-567"/>
      <w:jc w:val="right"/>
    </w:pPr>
    <w:rPr>
      <w:rFonts w:ascii="Futura ND" w:eastAsia="Calibri" w:hAnsi="Futura ND" w:cs="Arial"/>
      <w:b/>
      <w:noProof/>
      <w:color w:val="4074B9"/>
      <w:sz w:val="14"/>
      <w:szCs w:val="24"/>
      <w:lang w:eastAsia="en-US"/>
    </w:rPr>
  </w:style>
  <w:style w:type="paragraph" w:customStyle="1" w:styleId="Heading3NoSpace">
    <w:name w:val="Heading 3 NoSpace"/>
    <w:basedOn w:val="Heading3"/>
    <w:rsid w:val="0066334D"/>
    <w:pPr>
      <w:tabs>
        <w:tab w:val="left" w:pos="284"/>
      </w:tabs>
      <w:spacing w:before="0" w:after="40" w:line="240" w:lineRule="exact"/>
    </w:pPr>
    <w:rPr>
      <w:rFonts w:ascii="Futura ND Book" w:hAnsi="Futura ND Book"/>
      <w:b w:val="0"/>
      <w:i w:val="0"/>
      <w:color w:val="4074B9"/>
      <w:szCs w:val="20"/>
    </w:rPr>
  </w:style>
  <w:style w:type="paragraph" w:customStyle="1" w:styleId="Tabletext-Italic-Black">
    <w:name w:val="Tabletext-Italic-Black"/>
    <w:basedOn w:val="Tabletext"/>
    <w:qFormat/>
    <w:rsid w:val="0066334D"/>
    <w:pPr>
      <w:spacing w:before="110" w:after="0" w:line="190" w:lineRule="exact"/>
    </w:pPr>
    <w:rPr>
      <w:rFonts w:ascii="Chronicle Text G1" w:eastAsia="Calibri" w:hAnsi="Chronicle Text G1" w:cs="Arial"/>
      <w:i/>
      <w:color w:val="auto"/>
      <w:spacing w:val="-4"/>
      <w:sz w:val="17"/>
      <w:szCs w:val="22"/>
      <w:lang w:eastAsia="en-US"/>
    </w:rPr>
  </w:style>
  <w:style w:type="paragraph" w:customStyle="1" w:styleId="TableColHeadsLeftBold">
    <w:name w:val="TableColHeads Left Bold"/>
    <w:basedOn w:val="TableColHeadsLeft"/>
    <w:qFormat/>
    <w:rsid w:val="0066334D"/>
    <w:pPr>
      <w:keepNext/>
      <w:spacing w:after="0" w:line="140" w:lineRule="exact"/>
    </w:pPr>
    <w:rPr>
      <w:rFonts w:ascii="Futura ND" w:eastAsia="Calibri" w:hAnsi="Futura ND" w:cs="Arial"/>
      <w:b/>
      <w:color w:val="4074B9"/>
      <w:spacing w:val="-4"/>
      <w:sz w:val="12"/>
    </w:rPr>
  </w:style>
  <w:style w:type="paragraph" w:customStyle="1" w:styleId="Tabletext-Italic">
    <w:name w:val="Tabletext-Italic"/>
    <w:basedOn w:val="Tabletext"/>
    <w:qFormat/>
    <w:rsid w:val="0066334D"/>
    <w:pPr>
      <w:spacing w:before="60" w:line="190" w:lineRule="exact"/>
    </w:pPr>
    <w:rPr>
      <w:rFonts w:ascii="Chronicle Text G1" w:eastAsia="Calibri" w:hAnsi="Chronicle Text G1" w:cs="Arial"/>
      <w:i/>
      <w:spacing w:val="-4"/>
      <w:sz w:val="17"/>
      <w:szCs w:val="22"/>
      <w:lang w:eastAsia="en-US"/>
    </w:rPr>
  </w:style>
  <w:style w:type="paragraph" w:customStyle="1" w:styleId="TabletextBulletsLast">
    <w:name w:val="Tabletext Bullets Last"/>
    <w:basedOn w:val="TabletextBullets"/>
    <w:qFormat/>
    <w:rsid w:val="0066334D"/>
    <w:pPr>
      <w:tabs>
        <w:tab w:val="left" w:pos="170"/>
      </w:tabs>
      <w:spacing w:after="110" w:line="210" w:lineRule="exact"/>
      <w:ind w:left="360"/>
    </w:pPr>
    <w:rPr>
      <w:rFonts w:ascii="Chronicle Text G1" w:hAnsi="Chronicle Text G1"/>
      <w:sz w:val="17"/>
    </w:rPr>
  </w:style>
  <w:style w:type="numbering" w:customStyle="1" w:styleId="NumberedFootnotes">
    <w:name w:val="Numbered Footnotes"/>
    <w:basedOn w:val="NoList"/>
    <w:rsid w:val="0066334D"/>
    <w:pPr>
      <w:numPr>
        <w:numId w:val="20"/>
      </w:numPr>
    </w:pPr>
  </w:style>
  <w:style w:type="paragraph" w:customStyle="1" w:styleId="HeadingsAuditors">
    <w:name w:val="Headings Auditors"/>
    <w:basedOn w:val="TableColHeadsLeftBold"/>
    <w:qFormat/>
    <w:rsid w:val="0066334D"/>
    <w:pPr>
      <w:spacing w:line="200" w:lineRule="exact"/>
    </w:pPr>
    <w:rPr>
      <w:sz w:val="17"/>
      <w:szCs w:val="17"/>
    </w:rPr>
  </w:style>
  <w:style w:type="table" w:customStyle="1" w:styleId="TableGrid11">
    <w:name w:val="Table Grid11"/>
    <w:basedOn w:val="TableNormal"/>
    <w:next w:val="TableGrid"/>
    <w:uiPriority w:val="59"/>
    <w:rsid w:val="0066334D"/>
    <w:pPr>
      <w:spacing w:after="120" w:line="240" w:lineRule="exact"/>
    </w:pPr>
    <w:tblPr>
      <w:tblCellMar>
        <w:left w:w="0" w:type="dxa"/>
        <w:right w:w="0" w:type="dxa"/>
      </w:tblCellMar>
    </w:tblPr>
    <w:tcPr>
      <w:vAlign w:val="bottom"/>
    </w:tcPr>
  </w:style>
  <w:style w:type="paragraph" w:customStyle="1" w:styleId="FootnotesLast">
    <w:name w:val="Footnotes Last"/>
    <w:basedOn w:val="Footnotes"/>
    <w:rsid w:val="0066334D"/>
    <w:pPr>
      <w:tabs>
        <w:tab w:val="left" w:pos="170"/>
      </w:tabs>
      <w:spacing w:before="56" w:after="120"/>
      <w:ind w:left="170" w:hanging="170"/>
      <w:contextualSpacing/>
    </w:pPr>
    <w:rPr>
      <w:rFonts w:ascii="Chronicle Text G1" w:hAnsi="Chronicle Text G1"/>
      <w:spacing w:val="-2"/>
    </w:rPr>
  </w:style>
  <w:style w:type="paragraph" w:customStyle="1" w:styleId="TableListBullet">
    <w:name w:val="Table List Bullet"/>
    <w:basedOn w:val="ListBullet"/>
    <w:qFormat/>
    <w:rsid w:val="0066334D"/>
    <w:pPr>
      <w:tabs>
        <w:tab w:val="num" w:pos="284"/>
        <w:tab w:val="left" w:pos="720"/>
      </w:tabs>
      <w:spacing w:before="60" w:after="60" w:line="240" w:lineRule="auto"/>
      <w:ind w:left="1077" w:hanging="284"/>
    </w:pPr>
    <w:rPr>
      <w:rFonts w:ascii="Georgia" w:eastAsia="Yu Mincho" w:hAnsi="Georgia"/>
      <w:spacing w:val="0"/>
      <w:szCs w:val="20"/>
      <w:lang w:eastAsia="en-US"/>
    </w:rPr>
  </w:style>
  <w:style w:type="paragraph" w:customStyle="1" w:styleId="Heading4NoSpaceBefore">
    <w:name w:val="Heading 4 NoSpace Before"/>
    <w:basedOn w:val="Heading4"/>
    <w:rsid w:val="0066334D"/>
    <w:pPr>
      <w:spacing w:before="40" w:line="210" w:lineRule="exact"/>
    </w:pPr>
    <w:rPr>
      <w:rFonts w:ascii="Futura ND Book" w:hAnsi="Futura ND Book"/>
      <w:i w:val="0"/>
      <w:iCs/>
      <w:color w:val="3C3C3B"/>
      <w:sz w:val="18"/>
    </w:rPr>
  </w:style>
  <w:style w:type="paragraph" w:customStyle="1" w:styleId="Heading3AfterTables">
    <w:name w:val="Heading 3 AfterTables"/>
    <w:basedOn w:val="Heading3"/>
    <w:rsid w:val="0066334D"/>
    <w:pPr>
      <w:keepNext w:val="0"/>
      <w:tabs>
        <w:tab w:val="clear" w:pos="0"/>
      </w:tabs>
      <w:spacing w:before="120" w:after="0" w:line="240" w:lineRule="exact"/>
    </w:pPr>
    <w:rPr>
      <w:rFonts w:ascii="Futura ND Book" w:hAnsi="Futura ND Book"/>
      <w:b w:val="0"/>
      <w:i w:val="0"/>
      <w:color w:val="4074B9"/>
      <w:szCs w:val="18"/>
    </w:rPr>
  </w:style>
  <w:style w:type="paragraph" w:customStyle="1" w:styleId="TabletextBulletsItalic">
    <w:name w:val="Tabletext Bullets Italic"/>
    <w:basedOn w:val="TabletextBullets"/>
    <w:rsid w:val="0066334D"/>
    <w:pPr>
      <w:tabs>
        <w:tab w:val="left" w:pos="170"/>
      </w:tabs>
      <w:spacing w:line="210" w:lineRule="exact"/>
      <w:ind w:left="360"/>
    </w:pPr>
    <w:rPr>
      <w:rFonts w:ascii="Chronicle Text G1" w:hAnsi="Chronicle Text G1"/>
      <w:i/>
      <w:iCs/>
      <w:sz w:val="17"/>
    </w:rPr>
  </w:style>
  <w:style w:type="character" w:customStyle="1" w:styleId="Blue">
    <w:name w:val="Blue"/>
    <w:basedOn w:val="DefaultParagraphFont"/>
    <w:uiPriority w:val="1"/>
    <w:qFormat/>
    <w:rsid w:val="0066334D"/>
    <w:rPr>
      <w:color w:val="4074B9"/>
    </w:rPr>
  </w:style>
  <w:style w:type="paragraph" w:customStyle="1" w:styleId="Tabletext-Italic-Blue">
    <w:name w:val="Tabletext-Italic-Blue"/>
    <w:basedOn w:val="Tabletext"/>
    <w:qFormat/>
    <w:rsid w:val="0066334D"/>
    <w:pPr>
      <w:spacing w:before="20" w:line="190" w:lineRule="exact"/>
    </w:pPr>
    <w:rPr>
      <w:rFonts w:ascii="Chronicle Text G1" w:eastAsia="Calibri" w:hAnsi="Chronicle Text G1" w:cs="Arial"/>
      <w:i/>
      <w:color w:val="4074B9"/>
      <w:spacing w:val="-4"/>
      <w:sz w:val="17"/>
      <w:szCs w:val="22"/>
      <w:lang w:eastAsia="en-US"/>
    </w:rPr>
  </w:style>
  <w:style w:type="character" w:customStyle="1" w:styleId="Italic">
    <w:name w:val="Italic"/>
    <w:basedOn w:val="DefaultParagraphFont"/>
    <w:qFormat/>
    <w:rsid w:val="0066334D"/>
    <w:rPr>
      <w:i/>
    </w:rPr>
  </w:style>
  <w:style w:type="character" w:customStyle="1" w:styleId="Pagetitlecontinued-light">
    <w:name w:val="Page title continued-light"/>
    <w:basedOn w:val="DefaultParagraphFont"/>
    <w:uiPriority w:val="1"/>
    <w:qFormat/>
    <w:rsid w:val="0066334D"/>
    <w:rPr>
      <w:rFonts w:ascii="Futura ND Book" w:hAnsi="Futura ND Book"/>
      <w:b w:val="0"/>
      <w:i w:val="0"/>
      <w:color w:val="4074B9"/>
      <w:sz w:val="22"/>
      <w:szCs w:val="22"/>
    </w:rPr>
  </w:style>
  <w:style w:type="character" w:customStyle="1" w:styleId="continued">
    <w:name w:val="continued"/>
    <w:basedOn w:val="DefaultParagraphFont"/>
    <w:qFormat/>
    <w:rsid w:val="0066334D"/>
    <w:rPr>
      <w:rFonts w:ascii="Futura ND Light" w:hAnsi="Futura ND Light"/>
    </w:rPr>
  </w:style>
  <w:style w:type="character" w:customStyle="1" w:styleId="Stylecontinued">
    <w:name w:val="Style continued"/>
    <w:basedOn w:val="continued"/>
    <w:rsid w:val="0066334D"/>
    <w:rPr>
      <w:rFonts w:ascii="Futura ND Light" w:hAnsi="Futura ND Light"/>
      <w:color w:val="3480DE"/>
      <w:sz w:val="12"/>
    </w:rPr>
  </w:style>
  <w:style w:type="paragraph" w:customStyle="1" w:styleId="EMPTYCELL">
    <w:name w:val="EMPTY CELL"/>
    <w:basedOn w:val="Tabletext"/>
    <w:qFormat/>
    <w:rsid w:val="0066334D"/>
    <w:pPr>
      <w:spacing w:before="0" w:after="0" w:line="100" w:lineRule="exact"/>
      <w:ind w:right="0"/>
    </w:pPr>
    <w:rPr>
      <w:rFonts w:ascii="Chronicle Text G1" w:eastAsia="Calibri" w:hAnsi="Chronicle Text G1" w:cs="Arial"/>
      <w:spacing w:val="-4"/>
      <w:sz w:val="8"/>
      <w:szCs w:val="22"/>
      <w:lang w:eastAsia="en-US"/>
    </w:rPr>
  </w:style>
  <w:style w:type="paragraph" w:customStyle="1" w:styleId="TabletextTight">
    <w:name w:val="Tabletext Tight"/>
    <w:basedOn w:val="Tabletext"/>
    <w:rsid w:val="0066334D"/>
    <w:pPr>
      <w:spacing w:before="20" w:line="190" w:lineRule="exact"/>
    </w:pPr>
    <w:rPr>
      <w:rFonts w:ascii="Chronicle Text G1" w:eastAsia="Calibri" w:hAnsi="Chronicle Text G1" w:cs="Arial"/>
      <w:spacing w:val="-4"/>
      <w:sz w:val="17"/>
      <w:szCs w:val="22"/>
      <w:lang w:eastAsia="en-US"/>
    </w:rPr>
  </w:style>
  <w:style w:type="paragraph" w:customStyle="1" w:styleId="Tabletext-Italic-BlackTight">
    <w:name w:val="Tabletext-Italic-Black Tight"/>
    <w:basedOn w:val="Tabletext-Italic-Black"/>
    <w:rsid w:val="0066334D"/>
    <w:pPr>
      <w:spacing w:before="0"/>
    </w:pPr>
    <w:rPr>
      <w:iCs/>
    </w:rPr>
  </w:style>
  <w:style w:type="paragraph" w:customStyle="1" w:styleId="TabletextTightIndent">
    <w:name w:val="Tabletext Tight Indent"/>
    <w:basedOn w:val="TabletextTight"/>
    <w:rsid w:val="0066334D"/>
    <w:pPr>
      <w:ind w:left="170"/>
    </w:pPr>
  </w:style>
  <w:style w:type="paragraph" w:customStyle="1" w:styleId="TabletextBoldItalic">
    <w:name w:val="Tabletext Bold Italic"/>
    <w:basedOn w:val="TabletextBold"/>
    <w:rsid w:val="0066334D"/>
    <w:pPr>
      <w:spacing w:before="20" w:line="190" w:lineRule="exact"/>
    </w:pPr>
    <w:rPr>
      <w:rFonts w:ascii="Chronicle Text G1 Bold" w:eastAsia="Calibri" w:hAnsi="Chronicle Text G1 Bold" w:cs="Arial"/>
      <w:b w:val="0"/>
      <w:i/>
      <w:iCs/>
      <w:sz w:val="17"/>
      <w:szCs w:val="22"/>
      <w:lang w:eastAsia="en-US"/>
    </w:rPr>
  </w:style>
  <w:style w:type="paragraph" w:customStyle="1" w:styleId="TableColHeadsBoldSuperscript">
    <w:name w:val="TableColHeads Bold Superscript"/>
    <w:basedOn w:val="TableColHeadsBold"/>
    <w:qFormat/>
    <w:rsid w:val="0066334D"/>
    <w:pPr>
      <w:keepNext/>
      <w:spacing w:line="140" w:lineRule="exact"/>
      <w:ind w:right="17"/>
    </w:pPr>
    <w:rPr>
      <w:rFonts w:ascii="Futura ND" w:eastAsia="Calibri" w:hAnsi="Futura ND" w:cs="Arial"/>
      <w:b w:val="0"/>
      <w:color w:val="4074B9"/>
      <w:spacing w:val="-4"/>
      <w:sz w:val="12"/>
      <w:szCs w:val="22"/>
      <w:lang w:eastAsia="en-US"/>
    </w:rPr>
  </w:style>
  <w:style w:type="paragraph" w:customStyle="1" w:styleId="TableColHeadsSuperscript">
    <w:name w:val="TableColHeads Superscript"/>
    <w:basedOn w:val="TableColHeads"/>
    <w:qFormat/>
    <w:rsid w:val="0066334D"/>
    <w:pPr>
      <w:spacing w:line="140" w:lineRule="exact"/>
      <w:ind w:right="34"/>
    </w:pPr>
    <w:rPr>
      <w:rFonts w:ascii="Futura ND Book" w:eastAsia="Calibri" w:hAnsi="Futura ND Book" w:cs="Arial"/>
      <w:spacing w:val="-4"/>
      <w:sz w:val="12"/>
      <w:szCs w:val="22"/>
      <w:lang w:eastAsia="en-US"/>
    </w:rPr>
  </w:style>
  <w:style w:type="character" w:customStyle="1" w:styleId="Italic9">
    <w:name w:val="Italic 9"/>
    <w:basedOn w:val="DefaultParagraphFont"/>
    <w:uiPriority w:val="1"/>
    <w:qFormat/>
    <w:rsid w:val="0066334D"/>
    <w:rPr>
      <w:i/>
      <w:sz w:val="18"/>
    </w:rPr>
  </w:style>
  <w:style w:type="character" w:customStyle="1" w:styleId="Condensed3">
    <w:name w:val="Condensed .3"/>
    <w:basedOn w:val="DefaultParagraphFont"/>
    <w:uiPriority w:val="1"/>
    <w:qFormat/>
    <w:rsid w:val="0066334D"/>
    <w:rPr>
      <w:spacing w:val="-6"/>
    </w:rPr>
  </w:style>
  <w:style w:type="paragraph" w:customStyle="1" w:styleId="Heading4blue">
    <w:name w:val="Heading 4 blue"/>
    <w:basedOn w:val="Heading4"/>
    <w:qFormat/>
    <w:rsid w:val="0066334D"/>
    <w:pPr>
      <w:spacing w:before="160" w:line="210" w:lineRule="exact"/>
    </w:pPr>
    <w:rPr>
      <w:rFonts w:ascii="Futura ND Book" w:hAnsi="Futura ND Book"/>
      <w:bCs/>
      <w:i w:val="0"/>
      <w:iCs/>
      <w:color w:val="4074B9"/>
      <w:sz w:val="18"/>
      <w:szCs w:val="24"/>
    </w:rPr>
  </w:style>
  <w:style w:type="paragraph" w:customStyle="1" w:styleId="Heading4bluenospacebefore">
    <w:name w:val="Heading 4 blue no space before"/>
    <w:basedOn w:val="Heading4blue"/>
    <w:qFormat/>
    <w:rsid w:val="0066334D"/>
    <w:pPr>
      <w:spacing w:before="0"/>
      <w:outlineLvl w:val="9"/>
    </w:pPr>
  </w:style>
  <w:style w:type="paragraph" w:customStyle="1" w:styleId="Subheader">
    <w:name w:val="Subheader"/>
    <w:basedOn w:val="RunningHeader"/>
    <w:qFormat/>
    <w:rsid w:val="0066334D"/>
    <w:rPr>
      <w:color w:val="3C3C3B"/>
      <w:sz w:val="14"/>
    </w:rPr>
  </w:style>
  <w:style w:type="paragraph" w:customStyle="1" w:styleId="RunningHeader">
    <w:name w:val="Running Header"/>
    <w:basedOn w:val="Normal"/>
    <w:rsid w:val="0066334D"/>
    <w:pPr>
      <w:spacing w:after="0" w:line="240" w:lineRule="exact"/>
    </w:pPr>
    <w:rPr>
      <w:rFonts w:ascii="Futura ND" w:eastAsia="Yu Gothic Light" w:hAnsi="Futura ND"/>
      <w:b/>
      <w:color w:val="4175BA"/>
      <w:spacing w:val="0"/>
      <w:szCs w:val="22"/>
    </w:rPr>
  </w:style>
  <w:style w:type="paragraph" w:customStyle="1" w:styleId="TablesTHeading1">
    <w:name w:val="Tables T Heading 1"/>
    <w:basedOn w:val="Normal"/>
    <w:rsid w:val="0066334D"/>
    <w:pPr>
      <w:pBdr>
        <w:bottom w:val="single" w:sz="2" w:space="3" w:color="4175BA"/>
      </w:pBdr>
      <w:spacing w:after="57" w:line="160" w:lineRule="exact"/>
    </w:pPr>
    <w:rPr>
      <w:rFonts w:ascii="Futura ND Book" w:eastAsia="Yu Gothic Light" w:hAnsi="Futura ND Book"/>
      <w:color w:val="4175BA"/>
      <w:spacing w:val="0"/>
      <w:sz w:val="16"/>
      <w:szCs w:val="22"/>
    </w:rPr>
  </w:style>
  <w:style w:type="paragraph" w:customStyle="1" w:styleId="TablesTColHeadsBold">
    <w:name w:val="Tables T ColHeads Bold"/>
    <w:basedOn w:val="TablesTColHead"/>
    <w:rsid w:val="0066334D"/>
    <w:rPr>
      <w:rFonts w:ascii="Futura ND" w:hAnsi="Futura ND"/>
      <w:b/>
      <w:color w:val="4175BA"/>
    </w:rPr>
  </w:style>
  <w:style w:type="paragraph" w:customStyle="1" w:styleId="TablesTColHeadsLeft">
    <w:name w:val="Tables T ColHeads Left"/>
    <w:basedOn w:val="TablesTColHead"/>
    <w:rsid w:val="0066334D"/>
    <w:pPr>
      <w:jc w:val="left"/>
    </w:pPr>
  </w:style>
  <w:style w:type="paragraph" w:customStyle="1" w:styleId="PageTitle0">
    <w:name w:val="Page Title"/>
    <w:basedOn w:val="Normal"/>
    <w:rsid w:val="0066334D"/>
    <w:pPr>
      <w:spacing w:after="284" w:line="640" w:lineRule="exact"/>
      <w:jc w:val="center"/>
    </w:pPr>
    <w:rPr>
      <w:rFonts w:ascii="Futura ND" w:eastAsia="Yu Gothic Light" w:hAnsi="Futura ND"/>
      <w:b/>
      <w:color w:val="4175BA"/>
      <w:spacing w:val="0"/>
      <w:sz w:val="52"/>
      <w:szCs w:val="22"/>
    </w:rPr>
  </w:style>
  <w:style w:type="paragraph" w:customStyle="1" w:styleId="RunningFooters">
    <w:name w:val="Running Footers"/>
    <w:basedOn w:val="Normal"/>
    <w:rsid w:val="0066334D"/>
    <w:pPr>
      <w:tabs>
        <w:tab w:val="left" w:pos="227"/>
      </w:tabs>
      <w:spacing w:after="120" w:line="210" w:lineRule="exact"/>
    </w:pPr>
    <w:rPr>
      <w:rFonts w:ascii="Futura ND" w:eastAsia="Yu Gothic Light" w:hAnsi="Futura ND"/>
      <w:b/>
      <w:color w:val="4175BA"/>
      <w:spacing w:val="0"/>
      <w:sz w:val="14"/>
      <w:szCs w:val="22"/>
    </w:rPr>
  </w:style>
  <w:style w:type="paragraph" w:customStyle="1" w:styleId="TablesTHeading2">
    <w:name w:val="Tables T Heading 2"/>
    <w:basedOn w:val="Normal"/>
    <w:rsid w:val="0066334D"/>
    <w:pPr>
      <w:spacing w:after="120" w:line="210" w:lineRule="exact"/>
    </w:pPr>
    <w:rPr>
      <w:rFonts w:ascii="Futura ND" w:eastAsia="Yu Gothic Light" w:hAnsi="Futura ND"/>
      <w:b/>
      <w:color w:val="3C75BA"/>
      <w:spacing w:val="0"/>
      <w:szCs w:val="22"/>
    </w:rPr>
  </w:style>
  <w:style w:type="paragraph" w:customStyle="1" w:styleId="TablesTColHeadsCentre">
    <w:name w:val="Tables T ColHeads Centre"/>
    <w:basedOn w:val="TablesTColHead"/>
    <w:rsid w:val="0066334D"/>
    <w:pPr>
      <w:jc w:val="center"/>
    </w:pPr>
  </w:style>
  <w:style w:type="paragraph" w:customStyle="1" w:styleId="TablesTColHeadsCentreBold">
    <w:name w:val="Tables T ColHeads Centre Bold"/>
    <w:basedOn w:val="TablesTColHeadsBold"/>
    <w:rsid w:val="0066334D"/>
    <w:pPr>
      <w:jc w:val="center"/>
    </w:pPr>
    <w:rPr>
      <w:b w:val="0"/>
    </w:rPr>
  </w:style>
  <w:style w:type="paragraph" w:customStyle="1" w:styleId="TablesTColHeadsLeftBold">
    <w:name w:val="Tables T ColHeads Left Bold"/>
    <w:basedOn w:val="TablesTColHeadsLeft"/>
    <w:rsid w:val="0066334D"/>
    <w:rPr>
      <w:rFonts w:ascii="Futura ND" w:hAnsi="Futura ND"/>
      <w:b/>
      <w:color w:val="4175BA"/>
    </w:rPr>
  </w:style>
  <w:style w:type="paragraph" w:customStyle="1" w:styleId="TablesTTextBold">
    <w:name w:val="Tables T Text Bold"/>
    <w:basedOn w:val="TablesTText"/>
    <w:rsid w:val="0066334D"/>
    <w:pPr>
      <w:spacing w:before="20" w:after="20"/>
    </w:pPr>
    <w:rPr>
      <w:rFonts w:ascii="Chronicle Text G1 Bold" w:hAnsi="Chronicle Text G1 Bold"/>
    </w:rPr>
  </w:style>
  <w:style w:type="paragraph" w:customStyle="1" w:styleId="TablesTTextIndent">
    <w:name w:val="Tables T Text Indent"/>
    <w:basedOn w:val="TablesTText"/>
    <w:rsid w:val="0066334D"/>
    <w:pPr>
      <w:tabs>
        <w:tab w:val="left" w:pos="170"/>
      </w:tabs>
      <w:spacing w:before="20" w:after="30"/>
    </w:pPr>
  </w:style>
  <w:style w:type="paragraph" w:customStyle="1" w:styleId="TablesTTextBullets">
    <w:name w:val="Tables T Text Bullets"/>
    <w:basedOn w:val="TablesTText"/>
    <w:rsid w:val="0066334D"/>
    <w:pPr>
      <w:numPr>
        <w:numId w:val="21"/>
      </w:numPr>
      <w:spacing w:before="20" w:after="20"/>
      <w:ind w:left="170" w:hanging="170"/>
    </w:pPr>
  </w:style>
  <w:style w:type="paragraph" w:customStyle="1" w:styleId="TablesTFiguresCentred">
    <w:name w:val="Tables T Figures Centred"/>
    <w:basedOn w:val="TablesTFigures"/>
    <w:rsid w:val="0066334D"/>
    <w:pPr>
      <w:spacing w:before="20" w:after="20"/>
      <w:jc w:val="center"/>
    </w:pPr>
  </w:style>
  <w:style w:type="character" w:customStyle="1" w:styleId="Bullet">
    <w:name w:val="Bullet"/>
    <w:basedOn w:val="DefaultParagraphFont"/>
    <w:rsid w:val="0066334D"/>
    <w:rPr>
      <w:sz w:val="16"/>
    </w:rPr>
  </w:style>
  <w:style w:type="character" w:customStyle="1" w:styleId="Light">
    <w:name w:val="Light"/>
    <w:basedOn w:val="DefaultParagraphFont"/>
    <w:rsid w:val="0066334D"/>
    <w:rPr>
      <w:rFonts w:ascii="Futura ND" w:eastAsia="Yu Gothic Light" w:hAnsi="Futura ND" w:cs="Times New Roman"/>
    </w:rPr>
  </w:style>
  <w:style w:type="table" w:customStyle="1" w:styleId="IDNotablestyle">
    <w:name w:val="ID No table style"/>
    <w:rsid w:val="0066334D"/>
    <w:pPr>
      <w:spacing w:after="160" w:line="259" w:lineRule="auto"/>
    </w:pPr>
    <w:rPr>
      <w:rFonts w:ascii="Calibri" w:eastAsia="Yu Mincho" w:hAnsi="Calibri" w:cs="Arial"/>
      <w:sz w:val="22"/>
      <w:szCs w:val="22"/>
    </w:rPr>
    <w:tblPr>
      <w:tblCellMar>
        <w:top w:w="0" w:type="dxa"/>
        <w:left w:w="0" w:type="dxa"/>
        <w:bottom w:w="0" w:type="dxa"/>
        <w:right w:w="0" w:type="dxa"/>
      </w:tblCellMar>
    </w:tblPr>
  </w:style>
  <w:style w:type="table" w:customStyle="1" w:styleId="IDBasicTable1">
    <w:name w:val="ID Basic Table1"/>
    <w:basedOn w:val="IDNotablestyle"/>
    <w:rsid w:val="0066334D"/>
    <w:tblPr/>
  </w:style>
  <w:style w:type="paragraph" w:customStyle="1" w:styleId="Normalaftertable">
    <w:name w:val="Normal after table"/>
    <w:basedOn w:val="Normal"/>
    <w:qFormat/>
    <w:rsid w:val="0066334D"/>
    <w:pPr>
      <w:spacing w:before="85" w:after="120" w:line="210" w:lineRule="exact"/>
    </w:pPr>
    <w:rPr>
      <w:rFonts w:ascii="Chronicle Text G1" w:eastAsia="Yu Mincho" w:hAnsi="Chronicle Text G1" w:cs="Arial"/>
      <w:spacing w:val="0"/>
      <w:sz w:val="17"/>
      <w:szCs w:val="22"/>
    </w:rPr>
  </w:style>
  <w:style w:type="paragraph" w:customStyle="1" w:styleId="RunningFooterRight">
    <w:name w:val="Running Footer Right"/>
    <w:basedOn w:val="RunningFooters"/>
    <w:qFormat/>
    <w:rsid w:val="0066334D"/>
    <w:pPr>
      <w:jc w:val="right"/>
    </w:pPr>
  </w:style>
  <w:style w:type="paragraph" w:customStyle="1" w:styleId="Heading2spaceBefore0">
    <w:name w:val="Heading 2 spaceBefore"/>
    <w:basedOn w:val="Heading2"/>
    <w:qFormat/>
    <w:rsid w:val="0066334D"/>
    <w:pPr>
      <w:keepLines/>
      <w:tabs>
        <w:tab w:val="clear" w:pos="0"/>
      </w:tabs>
      <w:spacing w:before="120" w:after="40" w:line="240" w:lineRule="exact"/>
    </w:pPr>
    <w:rPr>
      <w:rFonts w:ascii="Futura ND" w:eastAsia="Yu Gothic Light" w:hAnsi="Futura ND"/>
      <w:color w:val="4175BA"/>
      <w:spacing w:val="0"/>
      <w:szCs w:val="26"/>
    </w:rPr>
  </w:style>
  <w:style w:type="paragraph" w:customStyle="1" w:styleId="Footnotesbiggerindent">
    <w:name w:val="Footnotes bigger indent"/>
    <w:basedOn w:val="Footnotes"/>
    <w:qFormat/>
    <w:rsid w:val="0066334D"/>
    <w:pPr>
      <w:tabs>
        <w:tab w:val="left" w:pos="284"/>
      </w:tabs>
      <w:spacing w:before="40" w:after="85"/>
      <w:ind w:left="284" w:hanging="284"/>
      <w:contextualSpacing/>
    </w:pPr>
    <w:rPr>
      <w:rFonts w:ascii="Chronicle Text G1" w:eastAsia="Yu Mincho" w:hAnsi="Chronicle Text G1" w:cs="Arial"/>
      <w:spacing w:val="0"/>
      <w:szCs w:val="22"/>
    </w:rPr>
  </w:style>
  <w:style w:type="paragraph" w:customStyle="1" w:styleId="Condensed">
    <w:name w:val="Condensed"/>
    <w:basedOn w:val="TablesTText"/>
    <w:qFormat/>
    <w:rsid w:val="0066334D"/>
    <w:pPr>
      <w:spacing w:before="20" w:after="20"/>
    </w:pPr>
    <w:rPr>
      <w:spacing w:val="-4"/>
    </w:rPr>
  </w:style>
  <w:style w:type="paragraph" w:customStyle="1" w:styleId="TableTColHeadsBoldNoIndent">
    <w:name w:val="Table T ColHeads Bold No Indent"/>
    <w:basedOn w:val="TablesTColHeadsBold"/>
    <w:qFormat/>
    <w:rsid w:val="0066334D"/>
    <w:pPr>
      <w:ind w:right="11"/>
    </w:pPr>
  </w:style>
  <w:style w:type="paragraph" w:customStyle="1" w:styleId="TablesTTextCondensed">
    <w:name w:val="Tables T Text Condensed"/>
    <w:basedOn w:val="TablesTText"/>
    <w:qFormat/>
    <w:rsid w:val="0066334D"/>
    <w:pPr>
      <w:spacing w:before="20" w:after="20"/>
    </w:pPr>
    <w:rPr>
      <w:spacing w:val="-4"/>
    </w:rPr>
  </w:style>
  <w:style w:type="paragraph" w:customStyle="1" w:styleId="TablesTColHeadNoIndent">
    <w:name w:val="Tables T ColHead No Indent"/>
    <w:basedOn w:val="TablesTColHead"/>
    <w:qFormat/>
    <w:rsid w:val="0066334D"/>
    <w:pPr>
      <w:ind w:right="0"/>
    </w:pPr>
  </w:style>
  <w:style w:type="character" w:customStyle="1" w:styleId="Mention1">
    <w:name w:val="Mention1"/>
    <w:basedOn w:val="DefaultParagraphFont"/>
    <w:uiPriority w:val="99"/>
    <w:unhideWhenUsed/>
    <w:rsid w:val="0066334D"/>
    <w:rPr>
      <w:color w:val="2B579A"/>
      <w:shd w:val="clear" w:color="auto" w:fill="E6E6E6"/>
    </w:rPr>
  </w:style>
  <w:style w:type="character" w:customStyle="1" w:styleId="Mention2">
    <w:name w:val="Mention2"/>
    <w:basedOn w:val="DefaultParagraphFont"/>
    <w:uiPriority w:val="99"/>
    <w:unhideWhenUsed/>
    <w:rsid w:val="0066334D"/>
    <w:rPr>
      <w:color w:val="2B579A"/>
      <w:shd w:val="clear" w:color="auto" w:fill="E6E6E6"/>
    </w:rPr>
  </w:style>
  <w:style w:type="paragraph" w:customStyle="1" w:styleId="Footnotesnoindent0">
    <w:name w:val="Footnotes no indent"/>
    <w:basedOn w:val="Footnotes"/>
    <w:qFormat/>
    <w:rsid w:val="0066334D"/>
    <w:pPr>
      <w:tabs>
        <w:tab w:val="left" w:pos="170"/>
      </w:tabs>
      <w:spacing w:before="40" w:after="85"/>
      <w:ind w:left="0" w:firstLine="0"/>
      <w:contextualSpacing/>
    </w:pPr>
    <w:rPr>
      <w:rFonts w:ascii="Chronicle Text G1" w:eastAsia="Yu Mincho" w:hAnsi="Chronicle Text G1" w:cs="Arial"/>
      <w:spacing w:val="0"/>
      <w:szCs w:val="22"/>
    </w:rPr>
  </w:style>
  <w:style w:type="paragraph" w:customStyle="1" w:styleId="TablesTColHeadNoindent-Obefore">
    <w:name w:val="Tables T ColHead No indent-O before"/>
    <w:basedOn w:val="TablesTColHeadNoIndent"/>
    <w:qFormat/>
    <w:rsid w:val="0066334D"/>
    <w:pPr>
      <w:spacing w:before="0"/>
    </w:pPr>
  </w:style>
  <w:style w:type="paragraph" w:customStyle="1" w:styleId="Heading1spacebefore">
    <w:name w:val="Heading 1 space before"/>
    <w:basedOn w:val="Heading1"/>
    <w:qFormat/>
    <w:rsid w:val="0066334D"/>
    <w:pPr>
      <w:keepLines/>
      <w:spacing w:after="97" w:line="260" w:lineRule="exact"/>
    </w:pPr>
    <w:rPr>
      <w:rFonts w:ascii="Futura ND" w:eastAsia="Yu Gothic Light" w:hAnsi="Futura ND"/>
      <w:caps w:val="0"/>
      <w:color w:val="4175BA"/>
      <w:spacing w:val="0"/>
      <w:sz w:val="20"/>
      <w:szCs w:val="32"/>
    </w:rPr>
  </w:style>
  <w:style w:type="paragraph" w:customStyle="1" w:styleId="TablesTtabletextBulletslast">
    <w:name w:val="Tables T tabletext Bullets last"/>
    <w:basedOn w:val="Normal"/>
    <w:rsid w:val="0066334D"/>
    <w:pPr>
      <w:spacing w:after="113" w:line="276" w:lineRule="auto"/>
    </w:pPr>
    <w:rPr>
      <w:rFonts w:ascii="Chronicle Text G1" w:eastAsia="Yu Gothic Light" w:hAnsi="Chronicle Text G1"/>
      <w:spacing w:val="0"/>
      <w:sz w:val="16"/>
      <w:szCs w:val="22"/>
    </w:rPr>
  </w:style>
  <w:style w:type="paragraph" w:customStyle="1" w:styleId="Footnote-Numbered-ContGeneric-StylesFootnotes">
    <w:name w:val="Footnote-Numbered-Cont (Generic-Styles:Footnotes)"/>
    <w:basedOn w:val="Normal"/>
    <w:uiPriority w:val="99"/>
    <w:rsid w:val="0066334D"/>
    <w:pPr>
      <w:tabs>
        <w:tab w:val="left" w:pos="283"/>
      </w:tabs>
      <w:suppressAutoHyphens/>
      <w:autoSpaceDE w:val="0"/>
      <w:autoSpaceDN w:val="0"/>
      <w:adjustRightInd w:val="0"/>
      <w:spacing w:after="0" w:line="160" w:lineRule="atLeast"/>
      <w:ind w:left="170" w:hanging="170"/>
      <w:textAlignment w:val="center"/>
    </w:pPr>
    <w:rPr>
      <w:rFonts w:ascii="ChronicleTextG1-Roman" w:hAnsi="ChronicleTextG1-Roman" w:cs="ChronicleTextG1-Roman"/>
      <w:color w:val="191919"/>
      <w:spacing w:val="-1"/>
      <w:sz w:val="14"/>
      <w:szCs w:val="14"/>
    </w:rPr>
  </w:style>
  <w:style w:type="paragraph" w:customStyle="1" w:styleId="S-Heading-ruleStatistics">
    <w:name w:val="S-Heading-rule (Statistics)"/>
    <w:basedOn w:val="Normal"/>
    <w:next w:val="BodytextGeneric-Styles"/>
    <w:uiPriority w:val="99"/>
    <w:rsid w:val="0066334D"/>
    <w:pPr>
      <w:keepLines/>
      <w:pBdr>
        <w:top w:val="single" w:sz="4" w:space="11" w:color="191919"/>
      </w:pBdr>
      <w:suppressAutoHyphens/>
      <w:autoSpaceDE w:val="0"/>
      <w:autoSpaceDN w:val="0"/>
      <w:adjustRightInd w:val="0"/>
      <w:spacing w:before="170" w:after="142" w:line="240" w:lineRule="atLeast"/>
      <w:textAlignment w:val="center"/>
    </w:pPr>
    <w:rPr>
      <w:rFonts w:ascii="FuturaNDBook" w:hAnsi="FuturaNDBook" w:cs="FuturaNDBook"/>
      <w:color w:val="477FFF"/>
      <w:spacing w:val="-2"/>
      <w:sz w:val="20"/>
      <w:szCs w:val="20"/>
    </w:rPr>
  </w:style>
  <w:style w:type="paragraph" w:customStyle="1" w:styleId="S-FigureStatistics">
    <w:name w:val="S-Figure (Statistics)"/>
    <w:basedOn w:val="NoParagraphStyle"/>
    <w:uiPriority w:val="99"/>
    <w:rsid w:val="0066334D"/>
    <w:pPr>
      <w:keepLines/>
      <w:suppressAutoHyphens/>
      <w:spacing w:after="80" w:line="400" w:lineRule="atLeast"/>
    </w:pPr>
    <w:rPr>
      <w:rFonts w:ascii="Futura ND" w:hAnsi="Futura ND" w:cs="FuturaND-Bold"/>
      <w:b/>
      <w:bCs/>
      <w:color w:val="4EB7AC"/>
      <w:spacing w:val="-10"/>
      <w:sz w:val="48"/>
      <w:szCs w:val="48"/>
    </w:rPr>
  </w:style>
  <w:style w:type="paragraph" w:customStyle="1" w:styleId="S-DescriptionStatistics">
    <w:name w:val="S-Description (Statistics)"/>
    <w:basedOn w:val="BodytextGeneric-Styles"/>
    <w:uiPriority w:val="99"/>
    <w:rsid w:val="0066334D"/>
    <w:pPr>
      <w:spacing w:after="113"/>
    </w:pPr>
  </w:style>
  <w:style w:type="paragraph" w:customStyle="1" w:styleId="Heading-1Generic-Styles">
    <w:name w:val="Heading-1 (Generic-Styles)"/>
    <w:basedOn w:val="BodytextGeneric-Styles"/>
    <w:uiPriority w:val="99"/>
    <w:rsid w:val="0066334D"/>
    <w:pPr>
      <w:keepLines/>
      <w:spacing w:after="40" w:line="260" w:lineRule="atLeast"/>
    </w:pPr>
    <w:rPr>
      <w:rFonts w:ascii="FuturaND-Bold" w:hAnsi="FuturaND-Bold" w:cs="FuturaND-Bold"/>
      <w:b/>
      <w:bCs/>
      <w:color w:val="477FFF"/>
      <w:spacing w:val="-4"/>
      <w:sz w:val="20"/>
      <w:szCs w:val="20"/>
    </w:rPr>
  </w:style>
  <w:style w:type="paragraph" w:customStyle="1" w:styleId="Bullet-List-1Generic-StylesLists">
    <w:name w:val="Bullet-List-1 (Generic-Styles:Lists)"/>
    <w:basedOn w:val="BodytextGeneric-Styles"/>
    <w:uiPriority w:val="99"/>
    <w:rsid w:val="0066334D"/>
    <w:pPr>
      <w:tabs>
        <w:tab w:val="left" w:pos="170"/>
      </w:tabs>
      <w:spacing w:after="60"/>
      <w:ind w:left="170" w:hanging="170"/>
    </w:pPr>
  </w:style>
  <w:style w:type="character" w:customStyle="1" w:styleId="Highlight-text">
    <w:name w:val="Highlight-text"/>
    <w:uiPriority w:val="99"/>
    <w:rsid w:val="0066334D"/>
    <w:rPr>
      <w:u w:val="thick" w:color="FFFF00"/>
    </w:rPr>
  </w:style>
  <w:style w:type="paragraph" w:customStyle="1" w:styleId="T-Heading-1Tables">
    <w:name w:val="T-Heading-1 (Tables)"/>
    <w:basedOn w:val="Normal"/>
    <w:next w:val="T-Heading-2Tables"/>
    <w:uiPriority w:val="99"/>
    <w:rsid w:val="0066334D"/>
    <w:pPr>
      <w:pBdr>
        <w:bottom w:val="single" w:sz="2" w:space="2" w:color="auto"/>
      </w:pBdr>
      <w:tabs>
        <w:tab w:val="left" w:pos="170"/>
      </w:tabs>
      <w:suppressAutoHyphens/>
      <w:autoSpaceDE w:val="0"/>
      <w:autoSpaceDN w:val="0"/>
      <w:adjustRightInd w:val="0"/>
      <w:spacing w:after="120" w:line="160" w:lineRule="atLeast"/>
      <w:textAlignment w:val="center"/>
    </w:pPr>
    <w:rPr>
      <w:rFonts w:ascii="FuturaNDBook" w:hAnsi="FuturaNDBook" w:cs="FuturaNDBook"/>
      <w:color w:val="477FFF"/>
      <w:spacing w:val="-2"/>
      <w:sz w:val="16"/>
      <w:szCs w:val="16"/>
    </w:rPr>
  </w:style>
  <w:style w:type="paragraph" w:customStyle="1" w:styleId="T-Heading-2Tables">
    <w:name w:val="T-Heading-2 (Tables)"/>
    <w:basedOn w:val="BodytextGeneric-Styles"/>
    <w:next w:val="BodytextGeneric-Styles"/>
    <w:uiPriority w:val="99"/>
    <w:rsid w:val="0066334D"/>
    <w:pPr>
      <w:keepNext/>
      <w:keepLines/>
      <w:spacing w:line="240" w:lineRule="atLeast"/>
    </w:pPr>
    <w:rPr>
      <w:rFonts w:ascii="FuturaND-Bold" w:hAnsi="FuturaND-Bold" w:cs="FuturaND-Bold"/>
      <w:b/>
      <w:bCs/>
      <w:color w:val="477FFF"/>
      <w:spacing w:val="-4"/>
      <w:sz w:val="18"/>
      <w:szCs w:val="18"/>
    </w:rPr>
  </w:style>
  <w:style w:type="paragraph" w:customStyle="1" w:styleId="Footnote-asterisk-1lastGeneric-StylesFootnotes">
    <w:name w:val="Footnote-asterisk-1 last (Generic-Styles:Footnotes)"/>
    <w:basedOn w:val="Normal"/>
    <w:uiPriority w:val="99"/>
    <w:rsid w:val="0066334D"/>
    <w:pPr>
      <w:tabs>
        <w:tab w:val="left" w:pos="283"/>
      </w:tabs>
      <w:suppressAutoHyphens/>
      <w:autoSpaceDE w:val="0"/>
      <w:autoSpaceDN w:val="0"/>
      <w:adjustRightInd w:val="0"/>
      <w:spacing w:after="120" w:line="160" w:lineRule="atLeast"/>
      <w:ind w:left="170" w:hanging="170"/>
      <w:textAlignment w:val="center"/>
    </w:pPr>
    <w:rPr>
      <w:rFonts w:ascii="ChronicleTextG1-Roman" w:hAnsi="ChronicleTextG1-Roman" w:cs="ChronicleTextG1-Roman"/>
      <w:color w:val="191919"/>
      <w:spacing w:val="-1"/>
      <w:sz w:val="14"/>
      <w:szCs w:val="14"/>
    </w:rPr>
  </w:style>
  <w:style w:type="paragraph" w:customStyle="1" w:styleId="Footnote-Numbered-RestartGeneric-StylesFootnotes">
    <w:name w:val="Footnote-Numbered-Restart (Generic-Styles:Footnotes)"/>
    <w:basedOn w:val="Normal"/>
    <w:next w:val="Footnote-Numbered-ContGeneric-StylesFootnotes"/>
    <w:uiPriority w:val="99"/>
    <w:rsid w:val="0066334D"/>
    <w:pPr>
      <w:tabs>
        <w:tab w:val="left" w:pos="283"/>
      </w:tabs>
      <w:suppressAutoHyphens/>
      <w:autoSpaceDE w:val="0"/>
      <w:autoSpaceDN w:val="0"/>
      <w:adjustRightInd w:val="0"/>
      <w:spacing w:after="0" w:line="160" w:lineRule="atLeast"/>
      <w:ind w:left="170" w:hanging="170"/>
      <w:textAlignment w:val="center"/>
    </w:pPr>
    <w:rPr>
      <w:rFonts w:ascii="ChronicleTextG1-Roman" w:hAnsi="ChronicleTextG1-Roman" w:cs="ChronicleTextG1-Roman"/>
      <w:color w:val="191919"/>
      <w:spacing w:val="-1"/>
      <w:sz w:val="14"/>
      <w:szCs w:val="14"/>
    </w:rPr>
  </w:style>
  <w:style w:type="paragraph" w:customStyle="1" w:styleId="Footnote-Numbered-LastGeneric-StylesFootnotes">
    <w:name w:val="Footnote-Numbered-Last (Generic-Styles:Footnotes)"/>
    <w:basedOn w:val="Footnote-Numbered-RestartGeneric-StylesFootnotes"/>
    <w:next w:val="Footnote-Numbered-ContGeneric-StylesFootnotes"/>
    <w:uiPriority w:val="99"/>
    <w:rsid w:val="0066334D"/>
    <w:pPr>
      <w:spacing w:after="120"/>
    </w:pPr>
  </w:style>
  <w:style w:type="paragraph" w:customStyle="1" w:styleId="T-ColHeadTables">
    <w:name w:val="T-ColHead (Tables)"/>
    <w:basedOn w:val="BodytextGeneric-Styles"/>
    <w:uiPriority w:val="99"/>
    <w:rsid w:val="0066334D"/>
    <w:pPr>
      <w:spacing w:after="0" w:line="140" w:lineRule="atLeast"/>
      <w:ind w:right="79"/>
      <w:jc w:val="right"/>
    </w:pPr>
    <w:rPr>
      <w:rFonts w:ascii="FuturaNDBook" w:hAnsi="FuturaNDBook" w:cs="FuturaNDBook"/>
      <w:spacing w:val="-1"/>
      <w:sz w:val="12"/>
      <w:szCs w:val="12"/>
    </w:rPr>
  </w:style>
  <w:style w:type="paragraph" w:customStyle="1" w:styleId="T-ColHeads-LeftTables">
    <w:name w:val="T-ColHeads-Left (Tables)"/>
    <w:basedOn w:val="T-ColHeadTables"/>
    <w:uiPriority w:val="99"/>
    <w:rsid w:val="0066334D"/>
    <w:pPr>
      <w:jc w:val="left"/>
    </w:pPr>
  </w:style>
  <w:style w:type="paragraph" w:customStyle="1" w:styleId="T-ColHeads-BoldTables">
    <w:name w:val="T-ColHeads-Bold (Tables)"/>
    <w:basedOn w:val="T-ColHeadTables"/>
    <w:uiPriority w:val="99"/>
    <w:rsid w:val="0066334D"/>
    <w:rPr>
      <w:rFonts w:ascii="FuturaND-Bold" w:hAnsi="FuturaND-Bold" w:cs="FuturaND-Bold"/>
      <w:b/>
      <w:bCs/>
      <w:color w:val="477FFF"/>
    </w:rPr>
  </w:style>
  <w:style w:type="paragraph" w:customStyle="1" w:styleId="T-TextTables">
    <w:name w:val="T-Text (Tables)"/>
    <w:basedOn w:val="BodytextGeneric-Styles"/>
    <w:uiPriority w:val="99"/>
    <w:rsid w:val="0066334D"/>
    <w:pPr>
      <w:spacing w:after="0"/>
      <w:ind w:right="79"/>
    </w:pPr>
  </w:style>
  <w:style w:type="paragraph" w:customStyle="1" w:styleId="T-Text-BoldTables">
    <w:name w:val="T-Text-Bold (Tables)"/>
    <w:basedOn w:val="T-TextTables"/>
    <w:uiPriority w:val="99"/>
    <w:rsid w:val="0066334D"/>
    <w:rPr>
      <w:rFonts w:ascii="ChronicleTextG1-Bold" w:hAnsi="ChronicleTextG1-Bold" w:cs="ChronicleTextG1-Bold"/>
      <w:b/>
      <w:bCs/>
    </w:rPr>
  </w:style>
  <w:style w:type="paragraph" w:customStyle="1" w:styleId="T-FiguresTables">
    <w:name w:val="T-Figures (Tables)"/>
    <w:basedOn w:val="T-TextTables"/>
    <w:uiPriority w:val="99"/>
    <w:rsid w:val="0066334D"/>
    <w:pPr>
      <w:jc w:val="right"/>
    </w:pPr>
  </w:style>
  <w:style w:type="paragraph" w:customStyle="1" w:styleId="Introduction">
    <w:name w:val="Introduction"/>
    <w:basedOn w:val="Normal"/>
    <w:qFormat/>
    <w:rsid w:val="0066334D"/>
    <w:pPr>
      <w:spacing w:line="280" w:lineRule="exact"/>
    </w:pPr>
    <w:rPr>
      <w:rFonts w:ascii="Futura ND Book" w:hAnsi="Futura ND Book"/>
      <w:sz w:val="22"/>
      <w:szCs w:val="22"/>
    </w:rPr>
  </w:style>
  <w:style w:type="paragraph" w:customStyle="1" w:styleId="T-Figure-BoldTables">
    <w:name w:val="T-Figure-Bold (Tables)"/>
    <w:basedOn w:val="T-FiguresTables"/>
    <w:uiPriority w:val="99"/>
    <w:rsid w:val="0066334D"/>
    <w:rPr>
      <w:rFonts w:ascii="ChronicleTextG1-Bold" w:hAnsi="ChronicleTextG1-Bold" w:cs="ChronicleTextG1-Bold"/>
      <w:b/>
      <w:bCs/>
    </w:rPr>
  </w:style>
  <w:style w:type="paragraph" w:customStyle="1" w:styleId="T-Figure-BracketsTables">
    <w:name w:val="T-Figure-Brackets (Tables)"/>
    <w:basedOn w:val="T-FiguresTables"/>
    <w:uiPriority w:val="99"/>
    <w:rsid w:val="0066334D"/>
    <w:pPr>
      <w:ind w:right="23"/>
    </w:pPr>
  </w:style>
  <w:style w:type="paragraph" w:customStyle="1" w:styleId="Heading1beforetableGeneric-Styles">
    <w:name w:val="Heading 1 before table (Generic-Styles)"/>
    <w:basedOn w:val="Heading-1Generic-Styles"/>
    <w:uiPriority w:val="99"/>
    <w:rsid w:val="0066334D"/>
    <w:pPr>
      <w:spacing w:after="113"/>
    </w:pPr>
  </w:style>
  <w:style w:type="paragraph" w:customStyle="1" w:styleId="T-ColHead-ss-1Tables">
    <w:name w:val="T-ColHead -ss-1 (Tables)"/>
    <w:basedOn w:val="Normal"/>
    <w:uiPriority w:val="99"/>
    <w:rsid w:val="0066334D"/>
    <w:pPr>
      <w:suppressAutoHyphens/>
      <w:autoSpaceDE w:val="0"/>
      <w:autoSpaceDN w:val="0"/>
      <w:adjustRightInd w:val="0"/>
      <w:spacing w:after="0" w:line="140" w:lineRule="atLeast"/>
      <w:ind w:left="23" w:right="34"/>
      <w:jc w:val="right"/>
      <w:textAlignment w:val="center"/>
    </w:pPr>
    <w:rPr>
      <w:rFonts w:ascii="FuturaNDBook" w:hAnsi="FuturaNDBook" w:cs="FuturaNDBook"/>
      <w:color w:val="191919"/>
      <w:spacing w:val="-5"/>
      <w:sz w:val="12"/>
      <w:szCs w:val="12"/>
    </w:rPr>
  </w:style>
  <w:style w:type="character" w:customStyle="1" w:styleId="No-Break">
    <w:name w:val="No-Break"/>
    <w:uiPriority w:val="99"/>
    <w:rsid w:val="0066334D"/>
  </w:style>
  <w:style w:type="paragraph" w:customStyle="1" w:styleId="Heading-2beforetableGeneric-Styles">
    <w:name w:val="Heading-2 before table (Generic-Styles)"/>
    <w:basedOn w:val="Normal"/>
    <w:uiPriority w:val="99"/>
    <w:rsid w:val="0066334D"/>
    <w:pPr>
      <w:suppressAutoHyphens/>
      <w:autoSpaceDE w:val="0"/>
      <w:autoSpaceDN w:val="0"/>
      <w:adjustRightInd w:val="0"/>
      <w:spacing w:after="113" w:line="240" w:lineRule="atLeast"/>
      <w:textAlignment w:val="center"/>
    </w:pPr>
    <w:rPr>
      <w:rFonts w:ascii="FuturaND-Bold" w:hAnsi="FuturaND-Bold" w:cs="FuturaND-Bold"/>
      <w:b/>
      <w:bCs/>
      <w:color w:val="477FFF"/>
      <w:szCs w:val="18"/>
    </w:rPr>
  </w:style>
  <w:style w:type="paragraph" w:customStyle="1" w:styleId="T-Col-Head-ss-boldTables">
    <w:name w:val="T-Col-Head-ss-bold (Tables)"/>
    <w:basedOn w:val="T-ColHeads-BoldTables"/>
    <w:uiPriority w:val="99"/>
    <w:rsid w:val="0066334D"/>
    <w:pPr>
      <w:ind w:right="0"/>
    </w:pPr>
  </w:style>
  <w:style w:type="character" w:customStyle="1" w:styleId="725000BlueColours">
    <w:name w:val="72 50 0 0 Blue (Colours)"/>
    <w:uiPriority w:val="99"/>
    <w:rsid w:val="0066334D"/>
    <w:rPr>
      <w:color w:val="477FFF"/>
    </w:rPr>
  </w:style>
  <w:style w:type="character" w:customStyle="1" w:styleId="BulletBulletstyles">
    <w:name w:val="Bullet (Bullet styles)"/>
    <w:uiPriority w:val="99"/>
    <w:rsid w:val="0066334D"/>
    <w:rPr>
      <w:color w:val="477FFF"/>
      <w:spacing w:val="-3"/>
      <w:sz w:val="17"/>
      <w:szCs w:val="17"/>
    </w:rPr>
  </w:style>
  <w:style w:type="paragraph" w:customStyle="1" w:styleId="Heading-2Generic-Styles">
    <w:name w:val="Heading-2 (Generic-Styles)"/>
    <w:basedOn w:val="BodytextGeneric-Styles"/>
    <w:next w:val="BodytextGeneric-Styles"/>
    <w:uiPriority w:val="99"/>
    <w:rsid w:val="0066334D"/>
    <w:pPr>
      <w:spacing w:after="40" w:line="240" w:lineRule="atLeast"/>
    </w:pPr>
    <w:rPr>
      <w:rFonts w:ascii="FuturaND-Bold" w:hAnsi="FuturaND-Bold" w:cs="FuturaND-Bold"/>
      <w:b/>
      <w:bCs/>
      <w:color w:val="477FFF"/>
      <w:spacing w:val="-4"/>
      <w:sz w:val="18"/>
      <w:szCs w:val="18"/>
    </w:rPr>
  </w:style>
  <w:style w:type="paragraph" w:customStyle="1" w:styleId="FootnoteGeneric-StylesFootnotes">
    <w:name w:val="Footnote (Generic-Styles:Footnotes)"/>
    <w:basedOn w:val="BodytextGeneric-Styles"/>
    <w:uiPriority w:val="99"/>
    <w:rsid w:val="0066334D"/>
    <w:pPr>
      <w:tabs>
        <w:tab w:val="left" w:pos="283"/>
      </w:tabs>
      <w:spacing w:after="0" w:line="160" w:lineRule="atLeast"/>
      <w:ind w:left="170" w:hanging="170"/>
    </w:pPr>
    <w:rPr>
      <w:spacing w:val="-1"/>
      <w:sz w:val="14"/>
      <w:szCs w:val="14"/>
    </w:rPr>
  </w:style>
  <w:style w:type="paragraph" w:customStyle="1" w:styleId="Heading-3Generic-Styles">
    <w:name w:val="Heading-3 (Generic-Styles)"/>
    <w:basedOn w:val="BodytextGeneric-Styles"/>
    <w:next w:val="BodytextGeneric-Styles"/>
    <w:uiPriority w:val="99"/>
    <w:rsid w:val="0066334D"/>
    <w:pPr>
      <w:spacing w:after="40" w:line="220" w:lineRule="atLeast"/>
    </w:pPr>
    <w:rPr>
      <w:rFonts w:ascii="FuturaNDBook" w:hAnsi="FuturaNDBook" w:cs="FuturaNDBook"/>
      <w:color w:val="477FFF"/>
      <w:sz w:val="18"/>
      <w:szCs w:val="18"/>
    </w:rPr>
  </w:style>
  <w:style w:type="paragraph" w:customStyle="1" w:styleId="Bullet-List-1-LastGeneric-StylesLists">
    <w:name w:val="Bullet-List-1-Last (Generic-Styles:Lists)"/>
    <w:basedOn w:val="Bullet-List-1Generic-StylesLists"/>
    <w:uiPriority w:val="99"/>
    <w:rsid w:val="0066334D"/>
    <w:pPr>
      <w:spacing w:after="120"/>
    </w:pPr>
  </w:style>
  <w:style w:type="paragraph" w:customStyle="1" w:styleId="T-Figures-Brackets-BoldTables">
    <w:name w:val="T-Figures-Brackets-Bold (Tables)"/>
    <w:basedOn w:val="T-Figure-BracketsTables"/>
    <w:uiPriority w:val="99"/>
    <w:rsid w:val="0066334D"/>
    <w:rPr>
      <w:rFonts w:ascii="ChronicleTextG1-Bold" w:hAnsi="ChronicleTextG1-Bold" w:cs="ChronicleTextG1-Bold"/>
      <w:b/>
      <w:bCs/>
    </w:rPr>
  </w:style>
  <w:style w:type="paragraph" w:customStyle="1" w:styleId="T-Text-IndentTables">
    <w:name w:val="T-Text-Indent (Tables)"/>
    <w:basedOn w:val="T-TextTables"/>
    <w:uiPriority w:val="99"/>
    <w:rsid w:val="0066334D"/>
    <w:pPr>
      <w:spacing w:after="85"/>
      <w:ind w:left="170"/>
    </w:pPr>
  </w:style>
  <w:style w:type="paragraph" w:customStyle="1" w:styleId="Footnote-NoIndent-LastGeneric-StylesFootnotes">
    <w:name w:val="Footnote-NoIndent-Last (Generic-Styles:Footnotes)"/>
    <w:basedOn w:val="FootnoteGeneric-StylesFootnotes"/>
    <w:uiPriority w:val="99"/>
    <w:rsid w:val="0066334D"/>
    <w:pPr>
      <w:spacing w:after="120"/>
      <w:ind w:left="0" w:firstLine="0"/>
    </w:pPr>
  </w:style>
  <w:style w:type="paragraph" w:customStyle="1" w:styleId="Footnote-Numbered-Restart-LastGeneric-StylesFootnotes">
    <w:name w:val="Footnote-Numbered-Restart-Last (Generic-Styles:Footnotes)"/>
    <w:basedOn w:val="Footnote-Numbered-RestartGeneric-StylesFootnotes"/>
    <w:uiPriority w:val="99"/>
    <w:rsid w:val="0066334D"/>
    <w:pPr>
      <w:spacing w:after="120"/>
    </w:pPr>
  </w:style>
  <w:style w:type="paragraph" w:customStyle="1" w:styleId="Pa34">
    <w:name w:val="Pa34"/>
    <w:basedOn w:val="Default"/>
    <w:next w:val="Default"/>
    <w:uiPriority w:val="99"/>
    <w:rsid w:val="0066334D"/>
    <w:pPr>
      <w:spacing w:line="241" w:lineRule="atLeast"/>
    </w:pPr>
    <w:rPr>
      <w:rFonts w:ascii="Chronicle Text G1" w:eastAsia="Calibri" w:hAnsi="Chronicle Text G1" w:cs="Arial"/>
      <w:color w:val="auto"/>
      <w:lang w:eastAsia="en-US"/>
    </w:rPr>
  </w:style>
  <w:style w:type="character" w:customStyle="1" w:styleId="A2">
    <w:name w:val="A2"/>
    <w:uiPriority w:val="99"/>
    <w:rsid w:val="0066334D"/>
    <w:rPr>
      <w:rFonts w:cs="Chronicle Text G1"/>
      <w:color w:val="000000"/>
      <w:sz w:val="19"/>
      <w:szCs w:val="19"/>
    </w:rPr>
  </w:style>
  <w:style w:type="paragraph" w:customStyle="1" w:styleId="GenericStylesIntroduction">
    <w:name w:val="Generic Styles Introduction"/>
    <w:basedOn w:val="Normal"/>
    <w:rsid w:val="0066334D"/>
    <w:pPr>
      <w:spacing w:after="170" w:line="259" w:lineRule="auto"/>
    </w:pPr>
    <w:rPr>
      <w:rFonts w:ascii="Futura ND" w:eastAsia="Yu Gothic Light" w:hAnsi="Futura ND"/>
      <w:spacing w:val="0"/>
      <w:sz w:val="24"/>
      <w:szCs w:val="22"/>
    </w:rPr>
  </w:style>
  <w:style w:type="numbering" w:customStyle="1" w:styleId="BulletedList2">
    <w:name w:val="Bulleted List2"/>
    <w:basedOn w:val="NoList"/>
    <w:locked/>
    <w:rsid w:val="000C2809"/>
    <w:pPr>
      <w:numPr>
        <w:numId w:val="1"/>
      </w:numPr>
    </w:pPr>
  </w:style>
  <w:style w:type="table" w:customStyle="1" w:styleId="TableGrid3">
    <w:name w:val="Table Grid3"/>
    <w:basedOn w:val="TableNormal"/>
    <w:next w:val="TableGrid"/>
    <w:uiPriority w:val="59"/>
    <w:rsid w:val="000C2809"/>
    <w:pPr>
      <w:spacing w:after="120" w:line="240" w:lineRule="exact"/>
    </w:pPr>
    <w:tblPr>
      <w:tblCellMar>
        <w:left w:w="0" w:type="dxa"/>
        <w:right w:w="0" w:type="dxa"/>
      </w:tblCellMar>
    </w:tblPr>
    <w:tcPr>
      <w:vAlign w:val="bottom"/>
    </w:tcPr>
  </w:style>
  <w:style w:type="numbering" w:customStyle="1" w:styleId="NumberedList2">
    <w:name w:val="Numbered List2"/>
    <w:basedOn w:val="NoList"/>
    <w:locked/>
    <w:rsid w:val="000C2809"/>
    <w:pPr>
      <w:numPr>
        <w:numId w:val="2"/>
      </w:numPr>
    </w:pPr>
  </w:style>
  <w:style w:type="numbering" w:customStyle="1" w:styleId="NumberedLists2">
    <w:name w:val="Numbered Lists2"/>
    <w:basedOn w:val="NoList"/>
    <w:locked/>
    <w:rsid w:val="000C2809"/>
    <w:pPr>
      <w:numPr>
        <w:numId w:val="3"/>
      </w:numPr>
    </w:pPr>
  </w:style>
  <w:style w:type="numbering" w:customStyle="1" w:styleId="ListNumbers2">
    <w:name w:val="List Numbers2"/>
    <w:uiPriority w:val="99"/>
    <w:locked/>
    <w:rsid w:val="000C2809"/>
    <w:pPr>
      <w:numPr>
        <w:numId w:val="4"/>
      </w:numPr>
    </w:pPr>
  </w:style>
  <w:style w:type="numbering" w:customStyle="1" w:styleId="NumberedFootnotes1">
    <w:name w:val="Numbered Footnotes1"/>
    <w:basedOn w:val="NoList"/>
    <w:rsid w:val="000C2809"/>
    <w:pPr>
      <w:numPr>
        <w:numId w:val="7"/>
      </w:numPr>
    </w:pPr>
  </w:style>
  <w:style w:type="table" w:customStyle="1" w:styleId="TableGrid12">
    <w:name w:val="Table Grid12"/>
    <w:basedOn w:val="TableNormal"/>
    <w:next w:val="TableGrid"/>
    <w:uiPriority w:val="59"/>
    <w:rsid w:val="000C2809"/>
    <w:pPr>
      <w:spacing w:after="120" w:line="240" w:lineRule="exact"/>
    </w:pPr>
    <w:tblPr>
      <w:tblCellMar>
        <w:left w:w="0" w:type="dxa"/>
        <w:right w:w="0" w:type="dxa"/>
      </w:tblCellMar>
    </w:tblPr>
    <w:tcPr>
      <w:vAlign w:val="bottom"/>
    </w:tcPr>
  </w:style>
  <w:style w:type="table" w:customStyle="1" w:styleId="IDNotablestyle1">
    <w:name w:val="ID No table style1"/>
    <w:rsid w:val="000C2809"/>
    <w:pPr>
      <w:spacing w:after="160" w:line="259" w:lineRule="auto"/>
    </w:pPr>
    <w:rPr>
      <w:rFonts w:ascii="Calibri" w:eastAsia="Yu Mincho" w:hAnsi="Calibri" w:cs="Arial"/>
      <w:sz w:val="22"/>
      <w:szCs w:val="22"/>
    </w:rPr>
    <w:tblPr>
      <w:tblCellMar>
        <w:top w:w="0" w:type="dxa"/>
        <w:left w:w="0" w:type="dxa"/>
        <w:bottom w:w="0" w:type="dxa"/>
        <w:right w:w="0" w:type="dxa"/>
      </w:tblCellMar>
    </w:tblPr>
  </w:style>
  <w:style w:type="table" w:customStyle="1" w:styleId="IDBasicTable2">
    <w:name w:val="ID Basic Table2"/>
    <w:basedOn w:val="IDNotablestyle"/>
    <w:rsid w:val="000C2809"/>
    <w:tblPr/>
  </w:style>
  <w:style w:type="table" w:customStyle="1" w:styleId="TableGrid21">
    <w:name w:val="Table Grid21"/>
    <w:basedOn w:val="TableNormal"/>
    <w:next w:val="TableGrid"/>
    <w:uiPriority w:val="59"/>
    <w:rsid w:val="000C2809"/>
    <w:pPr>
      <w:spacing w:after="120" w:line="240" w:lineRule="exact"/>
    </w:pPr>
    <w:tblPr>
      <w:tblCellMar>
        <w:left w:w="0" w:type="dxa"/>
        <w:right w:w="0" w:type="dxa"/>
      </w:tblCellMar>
    </w:tblPr>
    <w:tcPr>
      <w:vAlign w:val="bottom"/>
    </w:tcPr>
  </w:style>
  <w:style w:type="character" w:customStyle="1" w:styleId="TextChar">
    <w:name w:val="Text Char"/>
    <w:basedOn w:val="DefaultParagraphFont"/>
    <w:link w:val="Text"/>
    <w:locked/>
    <w:rsid w:val="00214860"/>
    <w:rPr>
      <w:rFonts w:ascii="Arial" w:hAnsi="Arial" w:cs="Arial"/>
      <w:sz w:val="17"/>
      <w:szCs w:val="17"/>
    </w:rPr>
  </w:style>
  <w:style w:type="paragraph" w:customStyle="1" w:styleId="Text">
    <w:name w:val="Text"/>
    <w:basedOn w:val="Normal"/>
    <w:link w:val="TextChar"/>
    <w:qFormat/>
    <w:rsid w:val="00214860"/>
    <w:pPr>
      <w:spacing w:after="240" w:line="240" w:lineRule="atLeast"/>
    </w:pPr>
    <w:rPr>
      <w:rFonts w:cs="Arial"/>
      <w:spacing w:val="0"/>
      <w:sz w:val="17"/>
      <w:szCs w:val="17"/>
    </w:rPr>
  </w:style>
  <w:style w:type="character" w:customStyle="1" w:styleId="UnresolvedMention1">
    <w:name w:val="Unresolved Mention1"/>
    <w:basedOn w:val="DefaultParagraphFont"/>
    <w:uiPriority w:val="99"/>
    <w:semiHidden/>
    <w:unhideWhenUsed/>
    <w:rsid w:val="00B67106"/>
    <w:rPr>
      <w:color w:val="605E5C"/>
      <w:shd w:val="clear" w:color="auto" w:fill="E1DFDD"/>
    </w:rPr>
  </w:style>
  <w:style w:type="paragraph" w:customStyle="1" w:styleId="GenericStylesBodytext">
    <w:name w:val="Generic Styles Bodytext"/>
    <w:basedOn w:val="Normal"/>
    <w:rsid w:val="00C214FC"/>
    <w:pPr>
      <w:spacing w:after="120" w:line="259" w:lineRule="auto"/>
    </w:pPr>
    <w:rPr>
      <w:rFonts w:ascii="Chronicle Text G1" w:eastAsiaTheme="majorEastAsia" w:hAnsi="Chronicle Text G1" w:cstheme="majorBidi"/>
      <w:spacing w:val="0"/>
      <w:sz w:val="16"/>
      <w:szCs w:val="22"/>
    </w:rPr>
  </w:style>
  <w:style w:type="character" w:customStyle="1" w:styleId="Colours725000Blue">
    <w:name w:val="Colours 72 50 0 0 Blue"/>
    <w:basedOn w:val="IDNocharacterstyle"/>
    <w:rsid w:val="00C214FC"/>
  </w:style>
  <w:style w:type="character" w:customStyle="1" w:styleId="Colours620350Green">
    <w:name w:val="Colours 62 0 35 0 Green"/>
    <w:basedOn w:val="IDNocharacterstyle"/>
    <w:rsid w:val="00C214FC"/>
  </w:style>
  <w:style w:type="character" w:customStyle="1" w:styleId="Colours630110Lightblue">
    <w:name w:val="Colours 63 0 11 0 Light blue"/>
    <w:basedOn w:val="IDNocharacterstyle"/>
    <w:rsid w:val="00C214FC"/>
  </w:style>
  <w:style w:type="character" w:customStyle="1" w:styleId="ColoursNeongreen">
    <w:name w:val="Colours Neon green"/>
    <w:basedOn w:val="IDNocharacterstyle"/>
    <w:rsid w:val="00C214FC"/>
  </w:style>
  <w:style w:type="character" w:customStyle="1" w:styleId="Colours630110Lightbluecopy">
    <w:name w:val="Colours 63 0 11 0 Light blue copy"/>
    <w:basedOn w:val="IDNocharacterstyle"/>
    <w:rsid w:val="00C214FC"/>
  </w:style>
  <w:style w:type="character" w:customStyle="1" w:styleId="Colours0471000Orange">
    <w:name w:val="Colours 0 47 100 0 Orange"/>
    <w:basedOn w:val="IDNocharacterstyle"/>
    <w:rsid w:val="00C214FC"/>
  </w:style>
  <w:style w:type="character" w:customStyle="1" w:styleId="Colours076740Red">
    <w:name w:val="Colours 0 76 74 0 Red"/>
    <w:basedOn w:val="IDNocharacterstyle"/>
    <w:rsid w:val="00C214FC"/>
  </w:style>
  <w:style w:type="paragraph" w:customStyle="1" w:styleId="Heading-1ruleabove">
    <w:name w:val="Heading-1 rule above"/>
    <w:basedOn w:val="Heading1"/>
    <w:qFormat/>
    <w:rsid w:val="00C214FC"/>
    <w:pPr>
      <w:pBdr>
        <w:top w:val="single" w:sz="24" w:space="2" w:color="4074B9"/>
      </w:pBdr>
      <w:tabs>
        <w:tab w:val="left" w:pos="397"/>
      </w:tabs>
      <w:spacing w:before="110" w:after="110" w:line="260" w:lineRule="exact"/>
    </w:pPr>
    <w:rPr>
      <w:rFonts w:ascii="Futura ND" w:hAnsi="Futura ND"/>
      <w:caps w:val="0"/>
      <w:color w:val="4074B9"/>
      <w:sz w:val="20"/>
    </w:rPr>
  </w:style>
  <w:style w:type="character" w:customStyle="1" w:styleId="BulletChar">
    <w:name w:val="Bullet Char"/>
    <w:basedOn w:val="DefaultParagraphFont"/>
    <w:rsid w:val="00034C83"/>
    <w:rPr>
      <w:rFonts w:ascii="Arial" w:eastAsiaTheme="minorHAnsi" w:hAnsi="Arial" w:cs="Arial"/>
      <w:sz w:val="17"/>
      <w:szCs w:val="17"/>
    </w:rPr>
  </w:style>
  <w:style w:type="paragraph" w:customStyle="1" w:styleId="Heading">
    <w:name w:val="Heading"/>
    <w:basedOn w:val="Text"/>
    <w:link w:val="HeadingChar"/>
    <w:qFormat/>
    <w:rsid w:val="00034C83"/>
    <w:pPr>
      <w:keepNext/>
      <w:spacing w:before="240" w:after="0" w:line="300" w:lineRule="exact"/>
      <w:outlineLvl w:val="0"/>
    </w:pPr>
    <w:rPr>
      <w:rFonts w:eastAsiaTheme="minorHAnsi"/>
      <w:b/>
      <w:bCs/>
      <w:sz w:val="24"/>
      <w:szCs w:val="36"/>
    </w:rPr>
  </w:style>
  <w:style w:type="character" w:customStyle="1" w:styleId="HeadingChar">
    <w:name w:val="Heading Char"/>
    <w:basedOn w:val="TextChar"/>
    <w:link w:val="Heading"/>
    <w:rsid w:val="00034C83"/>
    <w:rPr>
      <w:rFonts w:ascii="Arial" w:eastAsiaTheme="minorHAnsi" w:hAnsi="Arial" w:cs="Arial"/>
      <w:b/>
      <w:bCs/>
      <w:sz w:val="24"/>
      <w:szCs w:val="36"/>
    </w:rPr>
  </w:style>
  <w:style w:type="paragraph" w:customStyle="1" w:styleId="TableText0">
    <w:name w:val="TableText"/>
    <w:basedOn w:val="Text"/>
    <w:qFormat/>
    <w:rsid w:val="00034C83"/>
    <w:pPr>
      <w:spacing w:before="40" w:after="40" w:line="240" w:lineRule="auto"/>
    </w:pPr>
    <w:rPr>
      <w:rFonts w:eastAsiaTheme="minorHAnsi"/>
    </w:rPr>
  </w:style>
  <w:style w:type="character" w:customStyle="1" w:styleId="CommentTextCharPHPDOCX">
    <w:name w:val="Comment Text Char PHPDOCX"/>
    <w:basedOn w:val="DefaultParagraphFont"/>
    <w:uiPriority w:val="99"/>
    <w:semiHidden/>
    <w:unhideWhenUsed/>
    <w:rsid w:val="00034C83"/>
    <w:rPr>
      <w:sz w:val="20"/>
      <w:szCs w:val="20"/>
    </w:rPr>
  </w:style>
  <w:style w:type="paragraph" w:customStyle="1" w:styleId="SubtitlePHPDOCX">
    <w:name w:val="Subtitle PHPDOCX"/>
    <w:basedOn w:val="Normal"/>
    <w:next w:val="Normal"/>
    <w:uiPriority w:val="11"/>
    <w:semiHidden/>
    <w:unhideWhenUsed/>
    <w:qFormat/>
    <w:rsid w:val="00034C83"/>
    <w:pPr>
      <w:numPr>
        <w:ilvl w:val="1"/>
      </w:numPr>
      <w:spacing w:before="40" w:after="40" w:line="259" w:lineRule="auto"/>
    </w:pPr>
    <w:rPr>
      <w:rFonts w:asciiTheme="majorHAnsi" w:eastAsiaTheme="majorEastAsia" w:hAnsiTheme="majorHAnsi" w:cstheme="majorBidi"/>
      <w:i/>
      <w:iCs/>
      <w:color w:val="3D7FE0" w:themeColor="accent1"/>
      <w:spacing w:val="15"/>
      <w:sz w:val="24"/>
    </w:rPr>
  </w:style>
  <w:style w:type="character" w:customStyle="1" w:styleId="footnoteReferencePHPDOCX">
    <w:name w:val="footnote Reference PHPDOCX"/>
    <w:basedOn w:val="DefaultParagraphFont"/>
    <w:uiPriority w:val="99"/>
    <w:semiHidden/>
    <w:unhideWhenUsed/>
    <w:rsid w:val="00034C83"/>
    <w:rPr>
      <w:vertAlign w:val="superscript"/>
    </w:rPr>
  </w:style>
  <w:style w:type="character" w:customStyle="1" w:styleId="endnoteTextCarPHPDOCX">
    <w:name w:val="endnote Text Car PHPDOCX"/>
    <w:basedOn w:val="DefaultParagraphFont"/>
    <w:uiPriority w:val="99"/>
    <w:semiHidden/>
    <w:rsid w:val="00034C83"/>
    <w:rPr>
      <w:sz w:val="20"/>
      <w:szCs w:val="20"/>
    </w:rPr>
  </w:style>
  <w:style w:type="paragraph" w:customStyle="1" w:styleId="TableMainHeader">
    <w:name w:val="TableMainHeader"/>
    <w:basedOn w:val="TableText0"/>
    <w:qFormat/>
    <w:rsid w:val="00034C83"/>
    <w:pPr>
      <w:keepNext/>
    </w:pPr>
    <w:rPr>
      <w:b/>
      <w:color w:val="D04A02"/>
    </w:rPr>
  </w:style>
  <w:style w:type="paragraph" w:customStyle="1" w:styleId="Single">
    <w:name w:val="Single"/>
    <w:basedOn w:val="Text"/>
    <w:link w:val="SingleChar"/>
    <w:qFormat/>
    <w:rsid w:val="00034C83"/>
    <w:pPr>
      <w:spacing w:before="40" w:after="0"/>
    </w:pPr>
    <w:rPr>
      <w:rFonts w:eastAsiaTheme="minorHAnsi"/>
    </w:rPr>
  </w:style>
  <w:style w:type="character" w:customStyle="1" w:styleId="SingleChar">
    <w:name w:val="Single Char"/>
    <w:basedOn w:val="TextChar"/>
    <w:link w:val="Single"/>
    <w:rsid w:val="00034C83"/>
    <w:rPr>
      <w:rFonts w:ascii="Arial" w:eastAsiaTheme="minorHAnsi" w:hAnsi="Arial" w:cs="Arial"/>
      <w:sz w:val="17"/>
      <w:szCs w:val="17"/>
    </w:rPr>
  </w:style>
  <w:style w:type="paragraph" w:customStyle="1" w:styleId="SubHeading0">
    <w:name w:val="SubHeading"/>
    <w:basedOn w:val="Heading"/>
    <w:link w:val="SubHeadingChar"/>
    <w:qFormat/>
    <w:rsid w:val="00034C83"/>
    <w:pPr>
      <w:spacing w:after="40" w:line="240" w:lineRule="auto"/>
      <w:outlineLvl w:val="2"/>
    </w:pPr>
    <w:rPr>
      <w:color w:val="D04A02"/>
      <w:szCs w:val="28"/>
    </w:rPr>
  </w:style>
  <w:style w:type="character" w:customStyle="1" w:styleId="SubHeadingChar">
    <w:name w:val="SubHeading Char"/>
    <w:basedOn w:val="HeadingChar"/>
    <w:link w:val="SubHeading0"/>
    <w:rsid w:val="00034C83"/>
    <w:rPr>
      <w:rFonts w:ascii="Arial" w:eastAsiaTheme="minorHAnsi" w:hAnsi="Arial" w:cs="Arial"/>
      <w:b/>
      <w:bCs/>
      <w:color w:val="D04A02"/>
      <w:sz w:val="24"/>
      <w:szCs w:val="28"/>
    </w:rPr>
  </w:style>
  <w:style w:type="paragraph" w:customStyle="1" w:styleId="MainHeading">
    <w:name w:val="MainHeading"/>
    <w:basedOn w:val="Heading"/>
    <w:next w:val="Heading"/>
    <w:link w:val="MainHeadingChar"/>
    <w:qFormat/>
    <w:rsid w:val="00034C83"/>
    <w:pPr>
      <w:spacing w:after="180" w:line="276" w:lineRule="auto"/>
      <w:contextualSpacing/>
    </w:pPr>
    <w:rPr>
      <w:rFonts w:ascii="Georgia" w:hAnsi="Georgia"/>
      <w:b w:val="0"/>
      <w:color w:val="D04A02"/>
      <w:sz w:val="40"/>
      <w:szCs w:val="40"/>
    </w:rPr>
  </w:style>
  <w:style w:type="character" w:customStyle="1" w:styleId="MainHeadingChar">
    <w:name w:val="MainHeading Char"/>
    <w:basedOn w:val="HeadingChar"/>
    <w:link w:val="MainHeading"/>
    <w:rsid w:val="00034C83"/>
    <w:rPr>
      <w:rFonts w:ascii="Georgia" w:eastAsiaTheme="minorHAnsi" w:hAnsi="Georgia" w:cs="Arial"/>
      <w:b w:val="0"/>
      <w:bCs/>
      <w:color w:val="D04A02"/>
      <w:sz w:val="40"/>
      <w:szCs w:val="40"/>
    </w:rPr>
  </w:style>
  <w:style w:type="paragraph" w:customStyle="1" w:styleId="NEWSTYLE">
    <w:name w:val="NEW STYLE"/>
    <w:basedOn w:val="Tabletext-Italic-BlackTight"/>
    <w:qFormat/>
    <w:rsid w:val="00034C83"/>
    <w:rPr>
      <w:rFonts w:eastAsia="Times New Roman" w:cs="Times New Roman"/>
      <w:color w:val="4074B9"/>
      <w:szCs w:val="20"/>
      <w:lang w:eastAsia="en-GB"/>
    </w:rPr>
  </w:style>
  <w:style w:type="paragraph" w:customStyle="1" w:styleId="Level20">
    <w:name w:val="Level2"/>
    <w:basedOn w:val="Normal"/>
    <w:rsid w:val="00034C83"/>
    <w:pPr>
      <w:framePr w:wrap="around" w:vAnchor="text" w:hAnchor="text" w:y="1"/>
      <w:spacing w:before="40" w:after="240" w:line="240" w:lineRule="atLeast"/>
    </w:pPr>
    <w:rPr>
      <w:rFonts w:eastAsiaTheme="minorHAnsi" w:cs="Arial"/>
      <w:spacing w:val="0"/>
      <w:sz w:val="17"/>
      <w:szCs w:val="17"/>
    </w:rPr>
  </w:style>
  <w:style w:type="paragraph" w:customStyle="1" w:styleId="Tabletext-Blue">
    <w:name w:val="Tabletext-Blue"/>
    <w:basedOn w:val="Normal"/>
    <w:qFormat/>
    <w:rsid w:val="00034C83"/>
    <w:pPr>
      <w:spacing w:before="20" w:after="20" w:line="190" w:lineRule="exact"/>
      <w:ind w:right="57"/>
    </w:pPr>
    <w:rPr>
      <w:rFonts w:ascii="Chronicle Text G1" w:eastAsia="Chronicle Text G1" w:hAnsi="Chronicle Text G1" w:cs="Chronicle Text G1"/>
      <w:color w:val="3C75BA"/>
      <w:spacing w:val="0"/>
      <w:sz w:val="17"/>
      <w:szCs w:val="17"/>
    </w:rPr>
  </w:style>
  <w:style w:type="paragraph" w:customStyle="1" w:styleId="Normalaftertabletighter">
    <w:name w:val="Normal after table tighter"/>
    <w:basedOn w:val="Normalaftertable"/>
    <w:rsid w:val="00034C83"/>
    <w:rPr>
      <w:rFonts w:eastAsiaTheme="minorEastAsia" w:cstheme="minorBidi"/>
      <w:spacing w:val="-2"/>
    </w:rPr>
  </w:style>
  <w:style w:type="paragraph" w:customStyle="1" w:styleId="ParagraphStyle1">
    <w:name w:val="Paragraph Style 1"/>
    <w:basedOn w:val="Normal"/>
    <w:rsid w:val="00034C83"/>
    <w:pPr>
      <w:spacing w:after="0" w:line="259" w:lineRule="auto"/>
    </w:pPr>
    <w:rPr>
      <w:rFonts w:ascii="Futura ND" w:eastAsiaTheme="majorEastAsia" w:hAnsi="Futura ND" w:cstheme="majorBidi"/>
      <w:b/>
      <w:spacing w:val="0"/>
      <w:sz w:val="28"/>
      <w:szCs w:val="22"/>
    </w:rPr>
  </w:style>
  <w:style w:type="paragraph" w:customStyle="1" w:styleId="GenericStylesBodytextSmall">
    <w:name w:val="Generic Styles Bodytext Small"/>
    <w:basedOn w:val="Normal"/>
    <w:rsid w:val="00034C83"/>
    <w:pPr>
      <w:spacing w:after="120" w:line="259" w:lineRule="auto"/>
    </w:pPr>
    <w:rPr>
      <w:rFonts w:ascii="Chronicle Text G1" w:eastAsiaTheme="majorEastAsia" w:hAnsi="Chronicle Text G1" w:cstheme="majorBidi"/>
      <w:spacing w:val="0"/>
      <w:sz w:val="16"/>
      <w:szCs w:val="22"/>
    </w:rPr>
  </w:style>
  <w:style w:type="paragraph" w:customStyle="1" w:styleId="GenericStylesHeading1">
    <w:name w:val="Generic Styles Heading 1"/>
    <w:basedOn w:val="GenericStylesBodytext"/>
    <w:rsid w:val="00034C83"/>
    <w:pPr>
      <w:spacing w:after="40"/>
    </w:pPr>
    <w:rPr>
      <w:rFonts w:ascii="Futura ND" w:hAnsi="Futura ND"/>
      <w:b/>
      <w:sz w:val="20"/>
    </w:rPr>
  </w:style>
  <w:style w:type="paragraph" w:customStyle="1" w:styleId="GenericStylesHeading2">
    <w:name w:val="Generic Styles Heading 2"/>
    <w:basedOn w:val="GenericStylesBodytext"/>
    <w:rsid w:val="00034C83"/>
    <w:pPr>
      <w:spacing w:after="40"/>
    </w:pPr>
    <w:rPr>
      <w:rFonts w:ascii="Futura ND" w:hAnsi="Futura ND"/>
      <w:b/>
      <w:sz w:val="18"/>
    </w:rPr>
  </w:style>
  <w:style w:type="paragraph" w:customStyle="1" w:styleId="GenericStylesSignoffName">
    <w:name w:val="Generic Styles Signoff Name"/>
    <w:basedOn w:val="GenericStylesBodytext"/>
    <w:rsid w:val="00034C83"/>
    <w:pPr>
      <w:spacing w:before="170" w:after="0"/>
    </w:pPr>
    <w:rPr>
      <w:rFonts w:ascii="Futura ND" w:hAnsi="Futura ND"/>
      <w:b/>
      <w:sz w:val="18"/>
    </w:rPr>
  </w:style>
  <w:style w:type="paragraph" w:customStyle="1" w:styleId="GenericStylesSignoffJobtitle">
    <w:name w:val="Generic Styles Signoff Jobtitle"/>
    <w:basedOn w:val="GenericStylesBodytext"/>
    <w:rsid w:val="00034C83"/>
    <w:pPr>
      <w:spacing w:after="0"/>
    </w:pPr>
    <w:rPr>
      <w:rFonts w:ascii="Futura ND" w:hAnsi="Futura ND"/>
    </w:rPr>
  </w:style>
  <w:style w:type="paragraph" w:customStyle="1" w:styleId="GenericStylesListsBulletList1">
    <w:name w:val="Generic Styles Lists Bullet List 1"/>
    <w:basedOn w:val="GenericStylesBodytext"/>
    <w:rsid w:val="00034C83"/>
    <w:pPr>
      <w:numPr>
        <w:numId w:val="24"/>
      </w:numPr>
      <w:spacing w:after="60"/>
    </w:pPr>
  </w:style>
  <w:style w:type="paragraph" w:customStyle="1" w:styleId="GenericStylesListsBulletList1Last">
    <w:name w:val="Generic Styles Lists Bullet List 1 Last"/>
    <w:basedOn w:val="GenericStylesListsBulletList1"/>
    <w:rsid w:val="00034C83"/>
    <w:pPr>
      <w:spacing w:after="120"/>
    </w:pPr>
  </w:style>
  <w:style w:type="paragraph" w:customStyle="1" w:styleId="HeadersandFootersPageTitle">
    <w:name w:val="Headers and Footers Page Title"/>
    <w:basedOn w:val="GenericStylesBodytext"/>
    <w:rsid w:val="00034C83"/>
    <w:pPr>
      <w:spacing w:after="283"/>
    </w:pPr>
    <w:rPr>
      <w:rFonts w:ascii="Futura ND" w:hAnsi="Futura ND"/>
      <w:b/>
      <w:sz w:val="52"/>
    </w:rPr>
  </w:style>
  <w:style w:type="paragraph" w:customStyle="1" w:styleId="HeadersandFootersRunningHeader">
    <w:name w:val="Headers and Footers Running Header"/>
    <w:basedOn w:val="GenericStylesBodytext"/>
    <w:rsid w:val="00034C83"/>
    <w:pPr>
      <w:spacing w:after="850"/>
    </w:pPr>
    <w:rPr>
      <w:rFonts w:ascii="Futura ND" w:hAnsi="Futura ND"/>
      <w:b/>
      <w:sz w:val="18"/>
    </w:rPr>
  </w:style>
  <w:style w:type="character" w:customStyle="1" w:styleId="Highlighttext">
    <w:name w:val="Highlight text"/>
    <w:basedOn w:val="IDNocharacterstyle"/>
    <w:rsid w:val="00034C83"/>
  </w:style>
  <w:style w:type="character" w:customStyle="1" w:styleId="ColoursWhite">
    <w:name w:val="Colours White"/>
    <w:basedOn w:val="IDNocharacterstyle"/>
    <w:rsid w:val="00034C83"/>
  </w:style>
  <w:style w:type="paragraph" w:customStyle="1" w:styleId="IDNoparagraphstyle">
    <w:name w:val="ID No paragraph style"/>
    <w:rsid w:val="00034C83"/>
    <w:pPr>
      <w:spacing w:line="259" w:lineRule="auto"/>
    </w:pPr>
    <w:rPr>
      <w:rFonts w:ascii="Futura ND" w:eastAsiaTheme="majorEastAsia" w:hAnsi="Futura ND" w:cstheme="majorBidi"/>
      <w:sz w:val="24"/>
      <w:szCs w:val="22"/>
    </w:rPr>
  </w:style>
  <w:style w:type="paragraph" w:customStyle="1" w:styleId="IDNormalParagraphStyle">
    <w:name w:val="ID NormalParagraphStyle"/>
    <w:basedOn w:val="IDNoparagraphstyle"/>
    <w:rsid w:val="00034C83"/>
    <w:pPr>
      <w:spacing w:after="120"/>
    </w:pPr>
    <w:rPr>
      <w:rFonts w:ascii="Chronicle Text G1" w:hAnsi="Chronicle Text G1"/>
      <w:sz w:val="16"/>
    </w:rPr>
  </w:style>
  <w:style w:type="paragraph" w:customStyle="1" w:styleId="GenericStylesBodytextSA">
    <w:name w:val="Generic Styles Bodytext SA"/>
    <w:basedOn w:val="IDNormalParagraphStyle"/>
    <w:rsid w:val="00034C83"/>
    <w:pPr>
      <w:spacing w:after="170"/>
    </w:pPr>
  </w:style>
  <w:style w:type="paragraph" w:customStyle="1" w:styleId="GenericStylesBodytextCentred">
    <w:name w:val="Generic Styles Bodytext Centred"/>
    <w:basedOn w:val="GenericStylesBodytext"/>
    <w:rsid w:val="00034C83"/>
    <w:pPr>
      <w:jc w:val="center"/>
    </w:pPr>
  </w:style>
  <w:style w:type="paragraph" w:customStyle="1" w:styleId="GenericStylesHeading">
    <w:name w:val="Generic Styles Heading"/>
    <w:basedOn w:val="GenericStylesBodytext"/>
    <w:rsid w:val="00034C83"/>
    <w:pPr>
      <w:spacing w:before="227" w:after="40"/>
    </w:pPr>
    <w:rPr>
      <w:rFonts w:ascii="Futura ND" w:hAnsi="Futura ND"/>
      <w:b/>
      <w:sz w:val="26"/>
    </w:rPr>
  </w:style>
  <w:style w:type="paragraph" w:customStyle="1" w:styleId="GenericStylesHeadingbeforetable">
    <w:name w:val="Generic Styles Heading before table"/>
    <w:basedOn w:val="GenericStylesHeading"/>
    <w:rsid w:val="00034C83"/>
    <w:pPr>
      <w:spacing w:after="170"/>
    </w:pPr>
  </w:style>
  <w:style w:type="paragraph" w:customStyle="1" w:styleId="GenericStylesHeadingCentred">
    <w:name w:val="Generic Styles Heading Centred"/>
    <w:basedOn w:val="GenericStylesHeading"/>
    <w:rsid w:val="00034C83"/>
    <w:pPr>
      <w:spacing w:after="113"/>
      <w:jc w:val="center"/>
    </w:pPr>
    <w:rPr>
      <w:sz w:val="24"/>
    </w:rPr>
  </w:style>
  <w:style w:type="paragraph" w:customStyle="1" w:styleId="GenericStylesHeading1beforetable">
    <w:name w:val="Generic Styles Heading 1 before table"/>
    <w:basedOn w:val="GenericStylesHeading1"/>
    <w:rsid w:val="00034C83"/>
    <w:pPr>
      <w:spacing w:after="113"/>
    </w:pPr>
  </w:style>
  <w:style w:type="paragraph" w:customStyle="1" w:styleId="GenericStylesHeading1Centred">
    <w:name w:val="Generic Styles Heading 1 Centred"/>
    <w:basedOn w:val="GenericStylesHeading1"/>
    <w:rsid w:val="00034C83"/>
    <w:pPr>
      <w:spacing w:after="57"/>
      <w:jc w:val="center"/>
    </w:pPr>
  </w:style>
  <w:style w:type="paragraph" w:customStyle="1" w:styleId="GenericStylesHeading2beforetable">
    <w:name w:val="Generic Styles Heading 2 before table"/>
    <w:basedOn w:val="GenericStylesHeading2"/>
    <w:rsid w:val="00034C83"/>
    <w:pPr>
      <w:spacing w:after="113"/>
    </w:pPr>
  </w:style>
  <w:style w:type="paragraph" w:customStyle="1" w:styleId="GenericStylesHeading2Centred">
    <w:name w:val="Generic Styles Heading 2 Centred"/>
    <w:basedOn w:val="IDNoparagraphstyle"/>
    <w:rsid w:val="00034C83"/>
    <w:pPr>
      <w:spacing w:after="40"/>
      <w:jc w:val="center"/>
    </w:pPr>
    <w:rPr>
      <w:b/>
      <w:sz w:val="18"/>
    </w:rPr>
  </w:style>
  <w:style w:type="paragraph" w:customStyle="1" w:styleId="GenericStylesHeading3">
    <w:name w:val="Generic Styles Heading 3"/>
    <w:basedOn w:val="GenericStylesBodytext"/>
    <w:rsid w:val="00034C83"/>
    <w:pPr>
      <w:spacing w:after="40"/>
    </w:pPr>
    <w:rPr>
      <w:rFonts w:ascii="Futura ND" w:hAnsi="Futura ND"/>
      <w:sz w:val="18"/>
    </w:rPr>
  </w:style>
  <w:style w:type="paragraph" w:customStyle="1" w:styleId="GenericStylesHeading3Centred">
    <w:name w:val="Generic Styles Heading 3 Centred"/>
    <w:basedOn w:val="GenericStylesHeading3"/>
    <w:rsid w:val="00034C83"/>
    <w:pPr>
      <w:jc w:val="center"/>
    </w:pPr>
  </w:style>
  <w:style w:type="paragraph" w:customStyle="1" w:styleId="GenericStylesHeading4">
    <w:name w:val="Generic Styles Heading 4"/>
    <w:basedOn w:val="GenericStylesBodytext"/>
    <w:rsid w:val="00034C83"/>
    <w:pPr>
      <w:spacing w:after="0"/>
    </w:pPr>
    <w:rPr>
      <w:rFonts w:ascii="Futura ND" w:hAnsi="Futura ND"/>
      <w:sz w:val="18"/>
    </w:rPr>
  </w:style>
  <w:style w:type="paragraph" w:customStyle="1" w:styleId="GenericStylesHeading5">
    <w:name w:val="Generic Styles Heading 5"/>
    <w:basedOn w:val="GenericStylesBodytext"/>
    <w:rsid w:val="00034C83"/>
    <w:pPr>
      <w:spacing w:after="0"/>
    </w:pPr>
    <w:rPr>
      <w:rFonts w:ascii="Futura ND" w:hAnsi="Futura ND"/>
    </w:rPr>
  </w:style>
  <w:style w:type="paragraph" w:customStyle="1" w:styleId="GenericStylesKey">
    <w:name w:val="Generic Styles Key"/>
    <w:basedOn w:val="GenericStylesBodytext"/>
    <w:rsid w:val="00034C83"/>
    <w:pPr>
      <w:spacing w:after="0"/>
    </w:pPr>
    <w:rPr>
      <w:rFonts w:ascii="Futura ND" w:hAnsi="Futura ND"/>
    </w:rPr>
  </w:style>
  <w:style w:type="paragraph" w:customStyle="1" w:styleId="GenericStylesPageReference">
    <w:name w:val="Generic Styles Page Reference"/>
    <w:basedOn w:val="GenericStylesBodytext"/>
    <w:rsid w:val="00034C83"/>
    <w:rPr>
      <w:rFonts w:ascii="Futura ND" w:hAnsi="Futura ND"/>
      <w:b/>
      <w:sz w:val="14"/>
    </w:rPr>
  </w:style>
  <w:style w:type="paragraph" w:customStyle="1" w:styleId="GenericStylesBodytextAfterTables">
    <w:name w:val="Generic Styles Bodytext After Tables"/>
    <w:basedOn w:val="GenericStylesBodytext"/>
    <w:rsid w:val="00034C83"/>
    <w:pPr>
      <w:spacing w:before="85"/>
    </w:pPr>
  </w:style>
  <w:style w:type="paragraph" w:customStyle="1" w:styleId="GenericStylesListsBulletList2">
    <w:name w:val="Generic Styles Lists Bullet List 2"/>
    <w:basedOn w:val="GenericStylesListsBulletList1"/>
    <w:rsid w:val="00034C83"/>
  </w:style>
  <w:style w:type="paragraph" w:customStyle="1" w:styleId="GenericStylesListsBulletList2Last">
    <w:name w:val="Generic Styles Lists Bullet List 2 Last"/>
    <w:basedOn w:val="GenericStylesListsBulletList2"/>
    <w:rsid w:val="00034C83"/>
    <w:pPr>
      <w:spacing w:after="120"/>
    </w:pPr>
  </w:style>
  <w:style w:type="paragraph" w:customStyle="1" w:styleId="GenericStylesLists1List1Restart">
    <w:name w:val="Generic Styles Lists 1 List 1 Restart"/>
    <w:basedOn w:val="GenericStylesListsBulletList1"/>
    <w:rsid w:val="00034C83"/>
  </w:style>
  <w:style w:type="paragraph" w:customStyle="1" w:styleId="GenericStylesLists2List1Cont">
    <w:name w:val="Generic Styles Lists 2 List 1 Cont"/>
    <w:basedOn w:val="GenericStylesLists1List1Restart"/>
    <w:rsid w:val="00034C83"/>
  </w:style>
  <w:style w:type="paragraph" w:customStyle="1" w:styleId="GenericStylesLists3List1Last">
    <w:name w:val="Generic Styles Lists 3 List 1 Last"/>
    <w:basedOn w:val="GenericStylesLists1List1Restart"/>
    <w:rsid w:val="00034C83"/>
    <w:pPr>
      <w:spacing w:after="120"/>
    </w:pPr>
  </w:style>
  <w:style w:type="paragraph" w:customStyle="1" w:styleId="GenericStylesLists3List1Lastcondensed">
    <w:name w:val="Generic Styles Lists 3 List 1 Last condensed"/>
    <w:basedOn w:val="GenericStylesLists1List1Restart"/>
    <w:rsid w:val="00034C83"/>
    <w:pPr>
      <w:spacing w:after="120"/>
    </w:pPr>
  </w:style>
  <w:style w:type="paragraph" w:customStyle="1" w:styleId="GenericStylesListsBodytextIndent3">
    <w:name w:val="Generic Styles Lists Bodytext Indent 3"/>
    <w:basedOn w:val="GenericStylesBodytext"/>
    <w:rsid w:val="00034C83"/>
  </w:style>
  <w:style w:type="paragraph" w:customStyle="1" w:styleId="GenericStylesListsaList2Restart">
    <w:name w:val="Generic Styles Lists a List 2 Restart"/>
    <w:basedOn w:val="GenericStylesLists1List1Restart"/>
    <w:rsid w:val="00034C83"/>
  </w:style>
  <w:style w:type="paragraph" w:customStyle="1" w:styleId="GenericStylesListsbList2Cont">
    <w:name w:val="Generic Styles Lists b List 2 Cont"/>
    <w:basedOn w:val="GenericStylesListsaList2Restart"/>
    <w:rsid w:val="00034C83"/>
  </w:style>
  <w:style w:type="paragraph" w:customStyle="1" w:styleId="GenericStylesListscList2Last">
    <w:name w:val="Generic Styles Lists c List 2 Last"/>
    <w:basedOn w:val="GenericStylesListsaList2Restart"/>
    <w:rsid w:val="00034C83"/>
    <w:pPr>
      <w:spacing w:after="120"/>
    </w:pPr>
  </w:style>
  <w:style w:type="paragraph" w:customStyle="1" w:styleId="GenericStylesListsBodytextIndent6">
    <w:name w:val="Generic Styles Lists Bodytext Indent 6"/>
    <w:basedOn w:val="GenericStylesBodytext"/>
    <w:rsid w:val="00034C83"/>
  </w:style>
  <w:style w:type="paragraph" w:customStyle="1" w:styleId="GenericStylesListsiiiList3Restart">
    <w:name w:val="Generic Styles Lists iii List 3 Restart"/>
    <w:basedOn w:val="GenericStylesListsaList2Restart"/>
    <w:rsid w:val="00034C83"/>
  </w:style>
  <w:style w:type="paragraph" w:customStyle="1" w:styleId="GenericStylesListsiiiList3Cont">
    <w:name w:val="Generic Styles Lists iii List 3 Cont"/>
    <w:basedOn w:val="GenericStylesListsiiiList3Restart"/>
    <w:rsid w:val="00034C83"/>
  </w:style>
  <w:style w:type="paragraph" w:customStyle="1" w:styleId="GenericStylesListsiiiList3Last">
    <w:name w:val="Generic Styles Lists iii List 3 Last"/>
    <w:basedOn w:val="GenericStylesListsiiiList3Restart"/>
    <w:rsid w:val="00034C83"/>
    <w:pPr>
      <w:spacing w:after="120"/>
    </w:pPr>
  </w:style>
  <w:style w:type="paragraph" w:customStyle="1" w:styleId="GenericStylesListsBodytextIndent9">
    <w:name w:val="Generic Styles Lists Bodytext Indent 9"/>
    <w:basedOn w:val="GenericStylesBodytext"/>
    <w:rsid w:val="00034C83"/>
  </w:style>
  <w:style w:type="paragraph" w:customStyle="1" w:styleId="GenericStylesListsBulletedList1white">
    <w:name w:val="Generic Styles Lists Bulleted List 1 white"/>
    <w:basedOn w:val="GenericStylesBodytext"/>
    <w:rsid w:val="00034C83"/>
    <w:pPr>
      <w:spacing w:after="60"/>
    </w:pPr>
  </w:style>
  <w:style w:type="paragraph" w:customStyle="1" w:styleId="GenericStylesListsBulletedList1Lastwhite">
    <w:name w:val="Generic Styles Lists Bulleted List 1 Last white"/>
    <w:basedOn w:val="GenericStylesListsBulletList1"/>
    <w:rsid w:val="00034C83"/>
    <w:pPr>
      <w:spacing w:after="120"/>
    </w:pPr>
  </w:style>
  <w:style w:type="paragraph" w:customStyle="1" w:styleId="GenericStylesFootnotesFootnote">
    <w:name w:val="Generic Styles Footnotes Footnote"/>
    <w:basedOn w:val="GenericStylesBodytext"/>
    <w:rsid w:val="00034C83"/>
    <w:rPr>
      <w:sz w:val="14"/>
    </w:rPr>
  </w:style>
  <w:style w:type="paragraph" w:customStyle="1" w:styleId="GenericStylesFootnotesFootnoteasterisk1">
    <w:name w:val="Generic Styles Footnotes Footnote asterisk 1"/>
    <w:basedOn w:val="GenericStylesFootnotesFootnote"/>
    <w:rsid w:val="00034C83"/>
  </w:style>
  <w:style w:type="paragraph" w:customStyle="1" w:styleId="GenericStylesFootnotesFootnoteasterisk2">
    <w:name w:val="Generic Styles Footnotes Footnote asterisk 2"/>
    <w:basedOn w:val="GenericStylesFootnotesFootnote"/>
    <w:rsid w:val="00034C83"/>
  </w:style>
  <w:style w:type="paragraph" w:customStyle="1" w:styleId="GenericStylesFootnotesFootnoteNoIndent">
    <w:name w:val="Generic Styles Footnotes Footnote NoIndent"/>
    <w:basedOn w:val="GenericStylesFootnotesFootnote"/>
    <w:rsid w:val="00034C83"/>
  </w:style>
  <w:style w:type="paragraph" w:customStyle="1" w:styleId="GenericStylesFootnotesFootnoteNumbered">
    <w:name w:val="Generic Styles Footnotes Footnote Numbered"/>
    <w:basedOn w:val="GenericStylesFootnotesFootnote"/>
    <w:rsid w:val="00034C83"/>
  </w:style>
  <w:style w:type="paragraph" w:customStyle="1" w:styleId="GenericStylesFootnotesFootnotesBulletIndent6mm">
    <w:name w:val="Generic Styles Footnotes Footnotes Bullet Indent 6mm"/>
    <w:basedOn w:val="GenericStylesListsBulletList1"/>
    <w:rsid w:val="00034C83"/>
    <w:pPr>
      <w:spacing w:after="0"/>
    </w:pPr>
    <w:rPr>
      <w:sz w:val="14"/>
    </w:rPr>
  </w:style>
  <w:style w:type="paragraph" w:customStyle="1" w:styleId="HeadersandFootersRunningFooters">
    <w:name w:val="Headers and Footers Running Footers"/>
    <w:basedOn w:val="GenericStylesBodytext"/>
    <w:rsid w:val="00034C83"/>
    <w:rPr>
      <w:rFonts w:ascii="Futura ND" w:hAnsi="Futura ND"/>
      <w:b/>
      <w:sz w:val="14"/>
    </w:rPr>
  </w:style>
  <w:style w:type="paragraph" w:customStyle="1" w:styleId="HeadersandFootersTabs">
    <w:name w:val="Headers and Footers Tabs"/>
    <w:basedOn w:val="GenericStylesBodytext"/>
    <w:rsid w:val="00034C83"/>
    <w:pPr>
      <w:spacing w:after="0"/>
    </w:pPr>
    <w:rPr>
      <w:rFonts w:ascii="Futura ND" w:hAnsi="Futura ND"/>
      <w:b/>
    </w:rPr>
  </w:style>
  <w:style w:type="paragraph" w:customStyle="1" w:styleId="PullOutsPullOutBoxHeadingorange">
    <w:name w:val="Pull Outs Pull Out Box Heading orange"/>
    <w:basedOn w:val="IDNoparagraphstyle"/>
    <w:rsid w:val="00034C83"/>
    <w:pPr>
      <w:spacing w:before="40" w:after="560"/>
    </w:pPr>
    <w:rPr>
      <w:b/>
    </w:rPr>
  </w:style>
  <w:style w:type="paragraph" w:customStyle="1" w:styleId="PullOutsPullOutBoxHeading2linesorange">
    <w:name w:val="Pull Outs Pull Out Box Heading 2lines orange"/>
    <w:basedOn w:val="IDNoparagraphstyle"/>
    <w:rsid w:val="00034C83"/>
    <w:pPr>
      <w:spacing w:before="40" w:after="480"/>
    </w:pPr>
    <w:rPr>
      <w:b/>
    </w:rPr>
  </w:style>
  <w:style w:type="paragraph" w:customStyle="1" w:styleId="PullOutsPullOutBoxHeadinggreen">
    <w:name w:val="Pull Outs Pull Out Box Heading green"/>
    <w:basedOn w:val="IDNoparagraphstyle"/>
    <w:rsid w:val="00034C83"/>
    <w:pPr>
      <w:spacing w:before="40" w:after="560"/>
    </w:pPr>
    <w:rPr>
      <w:b/>
    </w:rPr>
  </w:style>
  <w:style w:type="paragraph" w:customStyle="1" w:styleId="PullOutsPullOutSubtitle">
    <w:name w:val="Pull Outs Pull Out Subtitle"/>
    <w:basedOn w:val="IDNoparagraphstyle"/>
    <w:rsid w:val="00034C83"/>
    <w:pPr>
      <w:spacing w:after="60"/>
    </w:pPr>
    <w:rPr>
      <w:b/>
      <w:sz w:val="18"/>
    </w:rPr>
  </w:style>
  <w:style w:type="paragraph" w:customStyle="1" w:styleId="PullOutsPullOutName">
    <w:name w:val="Pull Outs Pull Out Name"/>
    <w:basedOn w:val="IDNormalParagraphStyle"/>
    <w:rsid w:val="00034C83"/>
    <w:rPr>
      <w:sz w:val="20"/>
    </w:rPr>
  </w:style>
  <w:style w:type="paragraph" w:customStyle="1" w:styleId="PullOutsPullOutBoxTitle">
    <w:name w:val="Pull Outs Pull Out Box Title"/>
    <w:basedOn w:val="IDNormalParagraphStyle"/>
    <w:rsid w:val="00034C83"/>
    <w:pPr>
      <w:spacing w:after="113"/>
    </w:pPr>
    <w:rPr>
      <w:rFonts w:ascii="Futura ND" w:hAnsi="Futura ND"/>
      <w:b/>
      <w:sz w:val="24"/>
    </w:rPr>
  </w:style>
  <w:style w:type="paragraph" w:customStyle="1" w:styleId="StatisticsSFigure">
    <w:name w:val="Statistics S Figure"/>
    <w:basedOn w:val="IDNoparagraphstyle"/>
    <w:rsid w:val="00034C83"/>
    <w:pPr>
      <w:spacing w:after="80"/>
    </w:pPr>
    <w:rPr>
      <w:b/>
      <w:sz w:val="48"/>
    </w:rPr>
  </w:style>
  <w:style w:type="paragraph" w:customStyle="1" w:styleId="StatisticsSFigureMedium">
    <w:name w:val="Statistics S Figure Medium"/>
    <w:basedOn w:val="IDNoparagraphstyle"/>
    <w:rsid w:val="00034C83"/>
    <w:pPr>
      <w:spacing w:after="80"/>
    </w:pPr>
    <w:rPr>
      <w:b/>
      <w:sz w:val="40"/>
    </w:rPr>
  </w:style>
  <w:style w:type="paragraph" w:customStyle="1" w:styleId="StatisticsSFigureSmall">
    <w:name w:val="Statistics S Figure Small"/>
    <w:basedOn w:val="StatisticsSFigure"/>
    <w:rsid w:val="00034C83"/>
    <w:rPr>
      <w:sz w:val="18"/>
    </w:rPr>
  </w:style>
  <w:style w:type="paragraph" w:customStyle="1" w:styleId="StatisticsSDescription">
    <w:name w:val="Statistics S Description"/>
    <w:basedOn w:val="GenericStylesBodytext"/>
    <w:rsid w:val="00034C83"/>
    <w:pPr>
      <w:spacing w:after="113"/>
    </w:pPr>
  </w:style>
  <w:style w:type="paragraph" w:customStyle="1" w:styleId="StatisticsSHeadingrule">
    <w:name w:val="Statistics S Heading rule"/>
    <w:basedOn w:val="IDNormalParagraphStyle"/>
    <w:rsid w:val="00034C83"/>
    <w:pPr>
      <w:spacing w:before="170" w:after="142"/>
    </w:pPr>
    <w:rPr>
      <w:rFonts w:ascii="Futura ND" w:hAnsi="Futura ND"/>
      <w:sz w:val="20"/>
    </w:rPr>
  </w:style>
  <w:style w:type="paragraph" w:customStyle="1" w:styleId="StatisticsSHeadingruleblue">
    <w:name w:val="Statistics S Heading rule blue"/>
    <w:basedOn w:val="StatisticsSHeadingrule"/>
    <w:rsid w:val="00034C83"/>
  </w:style>
  <w:style w:type="paragraph" w:customStyle="1" w:styleId="StatisticsSHeadingnorule">
    <w:name w:val="Statistics S Heading no rule"/>
    <w:basedOn w:val="IDNormalParagraphStyle"/>
    <w:rsid w:val="00034C83"/>
    <w:pPr>
      <w:spacing w:before="170" w:after="142"/>
    </w:pPr>
    <w:rPr>
      <w:rFonts w:ascii="Futura ND" w:hAnsi="Futura ND"/>
      <w:sz w:val="20"/>
    </w:rPr>
  </w:style>
  <w:style w:type="paragraph" w:customStyle="1" w:styleId="TablesTColHeadss1">
    <w:name w:val="Tables T ColHead ss 1"/>
    <w:basedOn w:val="TablesTColHeadss2"/>
    <w:rsid w:val="00034C83"/>
  </w:style>
  <w:style w:type="paragraph" w:customStyle="1" w:styleId="TablesTColHeadss2">
    <w:name w:val="Tables T ColHead ss 2"/>
    <w:basedOn w:val="GenericStylesBodytext"/>
    <w:rsid w:val="00034C83"/>
    <w:pPr>
      <w:spacing w:after="0"/>
      <w:jc w:val="right"/>
    </w:pPr>
    <w:rPr>
      <w:rFonts w:ascii="Futura ND" w:hAnsi="Futura ND"/>
      <w:sz w:val="12"/>
    </w:rPr>
  </w:style>
  <w:style w:type="paragraph" w:customStyle="1" w:styleId="TablesTColHeadssbold">
    <w:name w:val="Tables T Col Head ss bold"/>
    <w:basedOn w:val="TablesTColHeadsBold"/>
    <w:rsid w:val="00034C83"/>
    <w:pPr>
      <w:spacing w:before="0" w:after="0" w:line="259" w:lineRule="auto"/>
      <w:ind w:right="0"/>
    </w:pPr>
    <w:rPr>
      <w:color w:val="auto"/>
    </w:rPr>
  </w:style>
  <w:style w:type="paragraph" w:customStyle="1" w:styleId="TablesTColHeadsBoldCentre">
    <w:name w:val="Tables T Col Heads Bold Centre"/>
    <w:basedOn w:val="TablesTColHeadsBold"/>
    <w:rsid w:val="00034C83"/>
    <w:pPr>
      <w:spacing w:before="0" w:after="0" w:line="259" w:lineRule="auto"/>
      <w:ind w:right="0"/>
      <w:jc w:val="center"/>
    </w:pPr>
    <w:rPr>
      <w:color w:val="auto"/>
    </w:rPr>
  </w:style>
  <w:style w:type="character" w:customStyle="1" w:styleId="Subscript">
    <w:name w:val="Subscript"/>
    <w:basedOn w:val="Superscript"/>
    <w:rsid w:val="00034C83"/>
    <w:rPr>
      <w:vertAlign w:val="superscript"/>
    </w:rPr>
  </w:style>
  <w:style w:type="character" w:customStyle="1" w:styleId="NoBreak">
    <w:name w:val="No Break"/>
    <w:basedOn w:val="IDNocharacterstyle"/>
    <w:rsid w:val="00034C83"/>
  </w:style>
  <w:style w:type="character" w:customStyle="1" w:styleId="Underline">
    <w:name w:val="Underline"/>
    <w:basedOn w:val="IDNocharacterstyle"/>
    <w:rsid w:val="00034C83"/>
  </w:style>
  <w:style w:type="character" w:customStyle="1" w:styleId="FinancialsRunnersubhead">
    <w:name w:val="Financials Runner subhead"/>
    <w:basedOn w:val="ColoursBlack90"/>
    <w:rsid w:val="00034C83"/>
    <w:rPr>
      <w:sz w:val="14"/>
    </w:rPr>
  </w:style>
  <w:style w:type="character" w:customStyle="1" w:styleId="UPPERCASE">
    <w:name w:val="UPPERCASE"/>
    <w:basedOn w:val="IDNocharacterstyle"/>
    <w:rsid w:val="00034C83"/>
    <w:rPr>
      <w:caps/>
    </w:rPr>
  </w:style>
  <w:style w:type="character" w:customStyle="1" w:styleId="ColoursBlack90">
    <w:name w:val="Colours Black 90"/>
    <w:basedOn w:val="IDNocharacterstyle"/>
    <w:rsid w:val="00034C83"/>
  </w:style>
  <w:style w:type="character" w:customStyle="1" w:styleId="ColoursWhitebold">
    <w:name w:val="Colours White bold"/>
    <w:basedOn w:val="ColoursWhite"/>
    <w:rsid w:val="00034C83"/>
    <w:rPr>
      <w:rFonts w:ascii="Futura ND" w:eastAsiaTheme="majorEastAsia" w:hAnsi="Futura ND" w:cstheme="majorBidi"/>
      <w:b/>
    </w:rPr>
  </w:style>
  <w:style w:type="character" w:customStyle="1" w:styleId="ColoursWhiteregular">
    <w:name w:val="Colours White regular"/>
    <w:basedOn w:val="WeightsLight"/>
    <w:rsid w:val="00034C83"/>
    <w:rPr>
      <w:rFonts w:ascii="Futura ND" w:eastAsiaTheme="majorEastAsia" w:hAnsi="Futura ND" w:cstheme="majorBidi"/>
    </w:rPr>
  </w:style>
  <w:style w:type="character" w:customStyle="1" w:styleId="ColoursOrange">
    <w:name w:val="Colours Orange"/>
    <w:basedOn w:val="IDNocharacterstyle"/>
    <w:rsid w:val="00034C83"/>
  </w:style>
  <w:style w:type="character" w:customStyle="1" w:styleId="WeightsNDRegular">
    <w:name w:val="Weights ND Regular"/>
    <w:basedOn w:val="WeightsLight"/>
    <w:rsid w:val="00034C83"/>
    <w:rPr>
      <w:rFonts w:ascii="Futura ND" w:eastAsiaTheme="majorEastAsia" w:hAnsi="Futura ND" w:cstheme="majorBidi"/>
    </w:rPr>
  </w:style>
  <w:style w:type="character" w:customStyle="1" w:styleId="WeightsNDBold">
    <w:name w:val="Weights ND Bold"/>
    <w:basedOn w:val="WeightsBold"/>
    <w:rsid w:val="00034C83"/>
    <w:rPr>
      <w:b/>
    </w:rPr>
  </w:style>
  <w:style w:type="character" w:customStyle="1" w:styleId="WeightsLight">
    <w:name w:val="Weights Light"/>
    <w:basedOn w:val="IDNocharacterstyle"/>
    <w:rsid w:val="00034C83"/>
    <w:rPr>
      <w:rFonts w:ascii="Futura ND" w:eastAsiaTheme="majorEastAsia" w:hAnsi="Futura ND" w:cstheme="majorBidi"/>
    </w:rPr>
  </w:style>
  <w:style w:type="character" w:customStyle="1" w:styleId="WeightsBold">
    <w:name w:val="Weights Bold"/>
    <w:basedOn w:val="IDNocharacterstyle"/>
    <w:rsid w:val="00034C83"/>
    <w:rPr>
      <w:b/>
    </w:rPr>
  </w:style>
  <w:style w:type="character" w:customStyle="1" w:styleId="WeightsItalic">
    <w:name w:val="Weights Italic"/>
    <w:basedOn w:val="IDNocharacterstyle"/>
    <w:rsid w:val="00034C83"/>
    <w:rPr>
      <w:i/>
    </w:rPr>
  </w:style>
  <w:style w:type="character" w:customStyle="1" w:styleId="WeightsItalicbold">
    <w:name w:val="Weights Italic bold"/>
    <w:basedOn w:val="IDNocharacterstyle"/>
    <w:rsid w:val="00034C83"/>
    <w:rPr>
      <w:b/>
      <w:i/>
    </w:rPr>
  </w:style>
  <w:style w:type="character" w:customStyle="1" w:styleId="WeightsWhitebold">
    <w:name w:val="Weights White bold"/>
    <w:basedOn w:val="ColoursWhite"/>
    <w:rsid w:val="00034C83"/>
    <w:rPr>
      <w:rFonts w:ascii="Futura ND" w:eastAsiaTheme="majorEastAsia" w:hAnsi="Futura ND" w:cstheme="majorBidi"/>
      <w:b/>
    </w:rPr>
  </w:style>
  <w:style w:type="character" w:customStyle="1" w:styleId="WeightsWhiteregular">
    <w:name w:val="Weights White regular"/>
    <w:basedOn w:val="WeightsLight"/>
    <w:rsid w:val="00034C83"/>
    <w:rPr>
      <w:rFonts w:ascii="Futura ND" w:eastAsiaTheme="majorEastAsia" w:hAnsi="Futura ND" w:cstheme="majorBidi"/>
    </w:rPr>
  </w:style>
  <w:style w:type="character" w:customStyle="1" w:styleId="TabsSRtint40">
    <w:name w:val="Tabs SR tint 40"/>
    <w:basedOn w:val="IDNocharacterstyle"/>
    <w:rsid w:val="00034C83"/>
  </w:style>
  <w:style w:type="character" w:customStyle="1" w:styleId="TabsGOVtint40">
    <w:name w:val="Tabs GOV tint 40"/>
    <w:basedOn w:val="IDNocharacterstyle"/>
    <w:rsid w:val="00034C83"/>
  </w:style>
  <w:style w:type="character" w:customStyle="1" w:styleId="TabsFINtint40">
    <w:name w:val="Tabs FIN tint 40"/>
    <w:basedOn w:val="IDNocharacterstyle"/>
    <w:rsid w:val="00034C83"/>
  </w:style>
  <w:style w:type="character" w:customStyle="1" w:styleId="ColouredsubandsuperscriptsSuperscriptblue">
    <w:name w:val="Coloured sub and superscripts Superscript blue"/>
    <w:basedOn w:val="Colours725000Blue"/>
    <w:rsid w:val="00034C83"/>
  </w:style>
  <w:style w:type="character" w:customStyle="1" w:styleId="ColouredsubandsuperscriptsSuperscript0471000">
    <w:name w:val="Coloured sub and superscripts Superscript 0 47 100 0"/>
    <w:basedOn w:val="Superscript"/>
    <w:rsid w:val="00034C83"/>
    <w:rPr>
      <w:vertAlign w:val="superscript"/>
    </w:rPr>
  </w:style>
  <w:style w:type="character" w:customStyle="1" w:styleId="ColouredsubandsuperscriptsSubscript0471000">
    <w:name w:val="Coloured sub and superscripts Subscript 0 47 100 0"/>
    <w:basedOn w:val="Subscript"/>
    <w:rsid w:val="00034C83"/>
    <w:rPr>
      <w:vertAlign w:val="superscript"/>
    </w:rPr>
  </w:style>
  <w:style w:type="character" w:customStyle="1" w:styleId="BulletstylesBullet">
    <w:name w:val="Bullet styles Bullet"/>
    <w:basedOn w:val="IDNocharacterstyle"/>
    <w:rsid w:val="00034C83"/>
    <w:rPr>
      <w:sz w:val="16"/>
    </w:rPr>
  </w:style>
  <w:style w:type="character" w:customStyle="1" w:styleId="BulletstylesBulletcondensed">
    <w:name w:val="Bullet styles Bullet condensed"/>
    <w:basedOn w:val="IDNocharacterstyle"/>
    <w:rsid w:val="00034C83"/>
  </w:style>
  <w:style w:type="character" w:customStyle="1" w:styleId="BulletstylesBulletcondensed10">
    <w:name w:val="Bullet styles Bullet condensed 10"/>
    <w:basedOn w:val="IDNocharacterstyle"/>
    <w:rsid w:val="00034C83"/>
  </w:style>
  <w:style w:type="character" w:customStyle="1" w:styleId="BulletstylesBulletwhite">
    <w:name w:val="Bullet styles Bullet white"/>
    <w:basedOn w:val="IDNocharacterstyle"/>
    <w:rsid w:val="00034C83"/>
    <w:rPr>
      <w:sz w:val="16"/>
    </w:rPr>
  </w:style>
  <w:style w:type="character" w:customStyle="1" w:styleId="UnresolvedMention2">
    <w:name w:val="Unresolved Mention2"/>
    <w:basedOn w:val="DefaultParagraphFont"/>
    <w:uiPriority w:val="99"/>
    <w:semiHidden/>
    <w:unhideWhenUsed/>
    <w:rsid w:val="00034C83"/>
    <w:rPr>
      <w:color w:val="605E5C"/>
      <w:shd w:val="clear" w:color="auto" w:fill="E1DFDD"/>
    </w:rPr>
  </w:style>
  <w:style w:type="paragraph" w:customStyle="1" w:styleId="TableParagraph">
    <w:name w:val="Table Paragraph"/>
    <w:basedOn w:val="Normal"/>
    <w:uiPriority w:val="1"/>
    <w:qFormat/>
    <w:rsid w:val="002A1256"/>
    <w:pPr>
      <w:widowControl w:val="0"/>
      <w:autoSpaceDE w:val="0"/>
      <w:autoSpaceDN w:val="0"/>
      <w:spacing w:after="0" w:line="240" w:lineRule="auto"/>
      <w:jc w:val="right"/>
    </w:pPr>
    <w:rPr>
      <w:rFonts w:ascii="Arial Black" w:eastAsia="Arial Black" w:hAnsi="Arial Black" w:cs="Arial Black"/>
      <w:spacing w:val="0"/>
      <w:sz w:val="22"/>
      <w:szCs w:val="22"/>
      <w:lang w:val="en-US" w:eastAsia="en-US"/>
    </w:rPr>
  </w:style>
  <w:style w:type="paragraph" w:customStyle="1" w:styleId="11GeneralFootnotes">
    <w:name w:val="11_General_Footnotes"/>
    <w:basedOn w:val="NoParagraphStyle"/>
    <w:uiPriority w:val="99"/>
    <w:rsid w:val="00263AE1"/>
    <w:pPr>
      <w:widowControl w:val="0"/>
      <w:tabs>
        <w:tab w:val="left" w:pos="170"/>
        <w:tab w:val="left" w:pos="340"/>
      </w:tabs>
      <w:suppressAutoHyphens/>
      <w:spacing w:after="57" w:line="185" w:lineRule="atLeast"/>
      <w:ind w:left="170" w:hanging="170"/>
    </w:pPr>
    <w:rPr>
      <w:rFonts w:ascii="IBM Plex Sans Light" w:eastAsiaTheme="minorEastAsia" w:hAnsi="IBM Plex Sans Light" w:cs="IBM Plex Sans Light"/>
      <w:spacing w:val="-5"/>
      <w:sz w:val="16"/>
      <w:szCs w:val="16"/>
      <w14:ligatures w14:val="standardContextual"/>
    </w:rPr>
  </w:style>
  <w:style w:type="paragraph" w:customStyle="1" w:styleId="04FinancialsBodyCopy">
    <w:name w:val="04_Financials_Body_Copy"/>
    <w:basedOn w:val="NoParagraphStyle"/>
    <w:uiPriority w:val="99"/>
    <w:rsid w:val="00263AE1"/>
    <w:pPr>
      <w:widowControl w:val="0"/>
      <w:suppressAutoHyphens/>
      <w:spacing w:line="200" w:lineRule="atLeast"/>
    </w:pPr>
    <w:rPr>
      <w:rFonts w:ascii="IBM Plex Sans Light" w:eastAsiaTheme="minorEastAsia" w:hAnsi="IBM Plex Sans Light" w:cs="IBM Plex Sans Light"/>
      <w:spacing w:val="-5"/>
      <w:sz w:val="17"/>
      <w:szCs w:val="17"/>
      <w14:ligatures w14:val="standardContextual"/>
    </w:rPr>
  </w:style>
  <w:style w:type="character" w:customStyle="1" w:styleId="BoldBlue">
    <w:name w:val="Bold Blue"/>
    <w:uiPriority w:val="99"/>
    <w:rsid w:val="00AD5E21"/>
    <w:rPr>
      <w:b/>
      <w:bCs/>
      <w:color w:val="002DFF"/>
    </w:rPr>
  </w:style>
  <w:style w:type="paragraph" w:customStyle="1" w:styleId="00FolioHeadingPagefurniture">
    <w:name w:val="00_Folio_Heading (Page furniture)"/>
    <w:basedOn w:val="NoParagraphStyle"/>
    <w:uiPriority w:val="99"/>
    <w:rsid w:val="00AE1E5C"/>
    <w:pPr>
      <w:widowControl w:val="0"/>
      <w:suppressAutoHyphens/>
      <w:spacing w:line="150" w:lineRule="atLeast"/>
    </w:pPr>
    <w:rPr>
      <w:rFonts w:ascii="IBM Plex Sans" w:eastAsiaTheme="minorEastAsia" w:hAnsi="IBM Plex Sans" w:cs="IBM Plex Sans"/>
      <w:b/>
      <w:bCs/>
      <w:spacing w:val="-4"/>
      <w:sz w:val="13"/>
      <w:szCs w:val="13"/>
    </w:rPr>
  </w:style>
  <w:style w:type="paragraph" w:customStyle="1" w:styleId="02PageHeading">
    <w:name w:val="02_Page_Heading"/>
    <w:basedOn w:val="NoParagraphStyle"/>
    <w:uiPriority w:val="99"/>
    <w:rsid w:val="00AE1E5C"/>
    <w:pPr>
      <w:widowControl w:val="0"/>
      <w:suppressAutoHyphens/>
      <w:spacing w:line="210" w:lineRule="atLeast"/>
    </w:pPr>
    <w:rPr>
      <w:rFonts w:ascii="IBM Plex Sans" w:eastAsiaTheme="minorEastAsia" w:hAnsi="IBM Plex Sans" w:cs="IBM Plex Sans"/>
      <w:b/>
      <w:bCs/>
      <w:spacing w:val="-5"/>
      <w:sz w:val="18"/>
      <w:szCs w:val="18"/>
    </w:rPr>
  </w:style>
  <w:style w:type="paragraph" w:customStyle="1" w:styleId="00FolioNumberCurrentPagefurniture">
    <w:name w:val="00_Folio_Number_Current (Page furniture)"/>
    <w:basedOn w:val="NoParagraphStyle"/>
    <w:uiPriority w:val="99"/>
    <w:rsid w:val="00AE1E5C"/>
    <w:pPr>
      <w:widowControl w:val="0"/>
      <w:tabs>
        <w:tab w:val="left" w:pos="283"/>
      </w:tabs>
      <w:suppressAutoHyphens/>
      <w:spacing w:line="150" w:lineRule="atLeast"/>
      <w:jc w:val="right"/>
    </w:pPr>
    <w:rPr>
      <w:rFonts w:ascii="IBM Plex Sans" w:eastAsiaTheme="minorEastAsia" w:hAnsi="IBM Plex Sans" w:cs="IBM Plex Sans"/>
      <w:b/>
      <w:bCs/>
      <w:color w:val="1B3E92"/>
      <w:sz w:val="13"/>
      <w:szCs w:val="13"/>
    </w:rPr>
  </w:style>
  <w:style w:type="paragraph" w:customStyle="1" w:styleId="03MainHeading">
    <w:name w:val="03_Main Heading"/>
    <w:basedOn w:val="NoParagraphStyle"/>
    <w:uiPriority w:val="99"/>
    <w:rsid w:val="00AE1E5C"/>
    <w:pPr>
      <w:widowControl w:val="0"/>
      <w:suppressAutoHyphens/>
      <w:spacing w:after="170" w:line="440" w:lineRule="atLeast"/>
    </w:pPr>
    <w:rPr>
      <w:rFonts w:ascii="IBM Plex Sans" w:eastAsiaTheme="minorEastAsia" w:hAnsi="IBM Plex Sans" w:cs="IBM Plex Sans"/>
      <w:b/>
      <w:bCs/>
      <w:spacing w:val="-4"/>
      <w:sz w:val="40"/>
      <w:szCs w:val="40"/>
    </w:rPr>
  </w:style>
  <w:style w:type="paragraph" w:customStyle="1" w:styleId="03Standfirst15pt">
    <w:name w:val="03_Standfirst 15pt"/>
    <w:basedOn w:val="NoParagraphStyle"/>
    <w:uiPriority w:val="99"/>
    <w:rsid w:val="00AE1E5C"/>
    <w:pPr>
      <w:widowControl w:val="0"/>
      <w:tabs>
        <w:tab w:val="left" w:pos="227"/>
      </w:tabs>
      <w:suppressAutoHyphens/>
      <w:spacing w:line="340" w:lineRule="atLeast"/>
    </w:pPr>
    <w:rPr>
      <w:rFonts w:ascii="IBM Plex Sans Light" w:eastAsiaTheme="minorEastAsia" w:hAnsi="IBM Plex Sans Light" w:cs="IBM Plex Sans Light"/>
      <w:spacing w:val="-3"/>
      <w:sz w:val="30"/>
      <w:szCs w:val="30"/>
    </w:rPr>
  </w:style>
  <w:style w:type="paragraph" w:customStyle="1" w:styleId="04BodyCopyFronttext9105">
    <w:name w:val="04_Body_Copy (Front text 9/10.5)"/>
    <w:basedOn w:val="NoParagraphStyle"/>
    <w:rsid w:val="00AE1E5C"/>
    <w:pPr>
      <w:widowControl w:val="0"/>
      <w:tabs>
        <w:tab w:val="left" w:pos="227"/>
      </w:tabs>
      <w:suppressAutoHyphens/>
      <w:spacing w:line="210" w:lineRule="atLeast"/>
    </w:pPr>
    <w:rPr>
      <w:rFonts w:ascii="IBM Plex Sans Light" w:eastAsiaTheme="minorEastAsia" w:hAnsi="IBM Plex Sans Light" w:cs="IBM Plex Sans Light"/>
      <w:spacing w:val="-5"/>
      <w:sz w:val="18"/>
      <w:szCs w:val="18"/>
    </w:rPr>
  </w:style>
  <w:style w:type="paragraph" w:customStyle="1" w:styleId="06SubHeading1Fronttext9105">
    <w:name w:val="06_Sub_Heading_1 (Front text 9/10.5)"/>
    <w:basedOn w:val="NoParagraphStyle"/>
    <w:uiPriority w:val="99"/>
    <w:rsid w:val="00AE1E5C"/>
    <w:pPr>
      <w:widowControl w:val="0"/>
      <w:tabs>
        <w:tab w:val="left" w:pos="227"/>
      </w:tabs>
      <w:suppressAutoHyphens/>
      <w:spacing w:after="113" w:line="210" w:lineRule="atLeast"/>
    </w:pPr>
    <w:rPr>
      <w:rFonts w:ascii="IBM Plex Sans" w:eastAsiaTheme="minorEastAsia" w:hAnsi="IBM Plex Sans" w:cs="IBM Plex Sans"/>
      <w:b/>
      <w:bCs/>
      <w:caps/>
      <w:color w:val="1B3E92"/>
      <w:spacing w:val="-5"/>
      <w:sz w:val="18"/>
      <w:szCs w:val="18"/>
    </w:rPr>
  </w:style>
  <w:style w:type="paragraph" w:customStyle="1" w:styleId="06SubHeading2Fronttext9105">
    <w:name w:val="06_Sub_Heading_2 (Front text 9/10.5)"/>
    <w:basedOn w:val="NoParagraphStyle"/>
    <w:uiPriority w:val="99"/>
    <w:rsid w:val="00AE1E5C"/>
    <w:pPr>
      <w:widowControl w:val="0"/>
      <w:tabs>
        <w:tab w:val="left" w:pos="227"/>
      </w:tabs>
      <w:suppressAutoHyphens/>
      <w:spacing w:line="210" w:lineRule="atLeast"/>
    </w:pPr>
    <w:rPr>
      <w:rFonts w:ascii="IBM Plex Sans" w:eastAsiaTheme="minorEastAsia" w:hAnsi="IBM Plex Sans" w:cs="IBM Plex Sans"/>
      <w:b/>
      <w:bCs/>
      <w:color w:val="00B3D1"/>
      <w:spacing w:val="-5"/>
      <w:sz w:val="18"/>
      <w:szCs w:val="18"/>
    </w:rPr>
  </w:style>
  <w:style w:type="paragraph" w:customStyle="1" w:styleId="07BulletsLevel1Fronttext9105">
    <w:name w:val="07_Bullets_Level_1 (Front text 9/10.5)"/>
    <w:basedOn w:val="NoParagraphStyle"/>
    <w:uiPriority w:val="99"/>
    <w:rsid w:val="00AE1E5C"/>
    <w:pPr>
      <w:widowControl w:val="0"/>
      <w:suppressAutoHyphens/>
      <w:spacing w:before="57" w:line="210" w:lineRule="atLeast"/>
      <w:ind w:left="227" w:hanging="227"/>
    </w:pPr>
    <w:rPr>
      <w:rFonts w:ascii="IBM Plex Sans Light" w:eastAsiaTheme="minorEastAsia" w:hAnsi="IBM Plex Sans Light" w:cs="IBM Plex Sans Light"/>
      <w:spacing w:val="-5"/>
      <w:sz w:val="18"/>
      <w:szCs w:val="18"/>
    </w:rPr>
  </w:style>
  <w:style w:type="paragraph" w:customStyle="1" w:styleId="12TBLeftColHeaderTableBack">
    <w:name w:val="12_TB_Left_Col_Header (Table_Back)"/>
    <w:basedOn w:val="NoParagraphStyle"/>
    <w:uiPriority w:val="99"/>
    <w:rsid w:val="00AE1E5C"/>
    <w:pPr>
      <w:widowControl w:val="0"/>
      <w:suppressAutoHyphens/>
      <w:spacing w:line="140" w:lineRule="atLeast"/>
    </w:pPr>
    <w:rPr>
      <w:rFonts w:ascii="IBM Plex Sans" w:eastAsiaTheme="minorEastAsia" w:hAnsi="IBM Plex Sans" w:cs="IBM Plex Sans"/>
      <w:b/>
      <w:bCs/>
      <w:color w:val="1B3E92"/>
      <w:spacing w:val="-3"/>
      <w:sz w:val="14"/>
      <w:szCs w:val="14"/>
    </w:rPr>
  </w:style>
  <w:style w:type="paragraph" w:customStyle="1" w:styleId="04FinancialsBodyCopyFinacialstext8510">
    <w:name w:val="04_Financials_Body_Copy (Finacials text 8.5/10)"/>
    <w:basedOn w:val="NoParagraphStyle"/>
    <w:uiPriority w:val="99"/>
    <w:rsid w:val="00AE1E5C"/>
    <w:pPr>
      <w:widowControl w:val="0"/>
      <w:suppressAutoHyphens/>
      <w:spacing w:line="200" w:lineRule="atLeast"/>
    </w:pPr>
    <w:rPr>
      <w:rFonts w:ascii="IBM Plex Sans Light" w:eastAsiaTheme="minorEastAsia" w:hAnsi="IBM Plex Sans Light" w:cs="IBM Plex Sans Light"/>
      <w:spacing w:val="-5"/>
      <w:sz w:val="17"/>
      <w:szCs w:val="17"/>
    </w:rPr>
  </w:style>
  <w:style w:type="paragraph" w:customStyle="1" w:styleId="06SubHeading3Fronttext9105">
    <w:name w:val="06_Sub_Heading_3 (Front text 9/10.5)"/>
    <w:basedOn w:val="NoParagraphStyle"/>
    <w:uiPriority w:val="99"/>
    <w:rsid w:val="00AE1E5C"/>
    <w:pPr>
      <w:widowControl w:val="0"/>
      <w:tabs>
        <w:tab w:val="left" w:pos="227"/>
      </w:tabs>
      <w:suppressAutoHyphens/>
      <w:spacing w:line="210" w:lineRule="atLeast"/>
    </w:pPr>
    <w:rPr>
      <w:rFonts w:ascii="IBM Plex Sans" w:eastAsiaTheme="minorEastAsia" w:hAnsi="IBM Plex Sans" w:cs="IBM Plex Sans"/>
      <w:b/>
      <w:bCs/>
      <w:spacing w:val="-5"/>
      <w:sz w:val="18"/>
      <w:szCs w:val="18"/>
    </w:rPr>
  </w:style>
  <w:style w:type="paragraph" w:customStyle="1" w:styleId="06FinsSubHeading2Fronttext9105">
    <w:name w:val="06_Fins_Sub_Heading_2 (Front text 9/10.5)"/>
    <w:basedOn w:val="NoParagraphStyle"/>
    <w:uiPriority w:val="99"/>
    <w:rsid w:val="00AE1E5C"/>
    <w:pPr>
      <w:widowControl w:val="0"/>
      <w:tabs>
        <w:tab w:val="left" w:pos="227"/>
      </w:tabs>
      <w:suppressAutoHyphens/>
      <w:spacing w:line="210" w:lineRule="atLeast"/>
    </w:pPr>
    <w:rPr>
      <w:rFonts w:ascii="IBM Plex Sans" w:eastAsiaTheme="minorEastAsia" w:hAnsi="IBM Plex Sans" w:cs="IBM Plex Sans"/>
      <w:b/>
      <w:bCs/>
      <w:color w:val="1B3E92"/>
      <w:spacing w:val="-5"/>
      <w:sz w:val="18"/>
      <w:szCs w:val="18"/>
    </w:rPr>
  </w:style>
  <w:style w:type="paragraph" w:customStyle="1" w:styleId="BasicParagraph">
    <w:name w:val="[Basic Paragraph]"/>
    <w:basedOn w:val="NoParagraphStyle"/>
    <w:uiPriority w:val="99"/>
    <w:rsid w:val="00AE1E5C"/>
    <w:pPr>
      <w:widowControl w:val="0"/>
    </w:pPr>
    <w:rPr>
      <w:rFonts w:ascii="MinionPro-Regular" w:eastAsiaTheme="minorEastAsia" w:hAnsi="MinionPro-Regular" w:cs="MinionPro-Regular"/>
    </w:rPr>
  </w:style>
  <w:style w:type="paragraph" w:customStyle="1" w:styleId="11GeneralFootnotesSMALL">
    <w:name w:val="11_General_Footnotes_SMALL"/>
    <w:basedOn w:val="NoParagraphStyle"/>
    <w:uiPriority w:val="99"/>
    <w:rsid w:val="00AE1E5C"/>
    <w:pPr>
      <w:widowControl w:val="0"/>
      <w:tabs>
        <w:tab w:val="left" w:pos="170"/>
        <w:tab w:val="left" w:pos="340"/>
      </w:tabs>
      <w:suppressAutoHyphens/>
      <w:spacing w:line="150" w:lineRule="atLeast"/>
    </w:pPr>
    <w:rPr>
      <w:rFonts w:ascii="IBM Plex Sans Light" w:eastAsiaTheme="minorEastAsia" w:hAnsi="IBM Plex Sans Light" w:cs="IBM Plex Sans Light"/>
      <w:spacing w:val="-4"/>
      <w:sz w:val="14"/>
      <w:szCs w:val="14"/>
    </w:rPr>
  </w:style>
  <w:style w:type="paragraph" w:customStyle="1" w:styleId="12TBRightColHeaderTableBack">
    <w:name w:val="12_TB_Right_Col_Header (Table_Back)"/>
    <w:basedOn w:val="NoParagraphStyle"/>
    <w:uiPriority w:val="99"/>
    <w:rsid w:val="00AE1E5C"/>
    <w:pPr>
      <w:widowControl w:val="0"/>
      <w:suppressAutoHyphens/>
      <w:spacing w:line="140" w:lineRule="atLeast"/>
      <w:ind w:right="85"/>
      <w:jc w:val="right"/>
    </w:pPr>
    <w:rPr>
      <w:rFonts w:ascii="IBM Plex Sans Light" w:eastAsiaTheme="minorEastAsia" w:hAnsi="IBM Plex Sans Light" w:cs="IBM Plex Sans Light"/>
      <w:spacing w:val="-3"/>
      <w:sz w:val="14"/>
      <w:szCs w:val="14"/>
    </w:rPr>
  </w:style>
  <w:style w:type="paragraph" w:customStyle="1" w:styleId="13TBleftCopyTableBack">
    <w:name w:val="13_TB_left_Copy (Table_Back)"/>
    <w:basedOn w:val="NoParagraphStyle"/>
    <w:uiPriority w:val="99"/>
    <w:rsid w:val="00AE1E5C"/>
    <w:pPr>
      <w:widowControl w:val="0"/>
      <w:suppressAutoHyphens/>
      <w:spacing w:line="200" w:lineRule="atLeast"/>
      <w:ind w:left="170" w:hanging="170"/>
    </w:pPr>
    <w:rPr>
      <w:rFonts w:ascii="IBM Plex Sans Light" w:eastAsiaTheme="minorEastAsia" w:hAnsi="IBM Plex Sans Light" w:cs="IBM Plex Sans Light"/>
      <w:spacing w:val="-5"/>
      <w:sz w:val="17"/>
      <w:szCs w:val="17"/>
    </w:rPr>
  </w:style>
  <w:style w:type="paragraph" w:customStyle="1" w:styleId="13TBRightCopy158mmTableBack">
    <w:name w:val="13_TB_Right_Copy_15.8mm (Table_Back)"/>
    <w:basedOn w:val="NoParagraphStyle"/>
    <w:uiPriority w:val="99"/>
    <w:rsid w:val="00AE1E5C"/>
    <w:pPr>
      <w:widowControl w:val="0"/>
      <w:tabs>
        <w:tab w:val="left" w:pos="813"/>
      </w:tabs>
      <w:suppressAutoHyphens/>
      <w:spacing w:line="200" w:lineRule="atLeast"/>
    </w:pPr>
    <w:rPr>
      <w:rFonts w:ascii="IBM Plex Sans Light" w:eastAsiaTheme="minorEastAsia" w:hAnsi="IBM Plex Sans Light" w:cs="IBM Plex Sans Light"/>
      <w:spacing w:val="-5"/>
      <w:sz w:val="17"/>
      <w:szCs w:val="17"/>
    </w:rPr>
  </w:style>
  <w:style w:type="paragraph" w:customStyle="1" w:styleId="13TBRightCopyIndentTableBack">
    <w:name w:val="13_TB_Right_Copy_Indent (Table_Back)"/>
    <w:basedOn w:val="NoParagraphStyle"/>
    <w:uiPriority w:val="99"/>
    <w:rsid w:val="00AE1E5C"/>
    <w:pPr>
      <w:widowControl w:val="0"/>
      <w:suppressAutoHyphens/>
      <w:spacing w:line="200" w:lineRule="atLeast"/>
      <w:ind w:right="85"/>
      <w:jc w:val="right"/>
    </w:pPr>
    <w:rPr>
      <w:rFonts w:ascii="IBM Plex Sans Light" w:eastAsiaTheme="minorEastAsia" w:hAnsi="IBM Plex Sans Light" w:cs="IBM Plex Sans Light"/>
      <w:spacing w:val="-5"/>
      <w:sz w:val="17"/>
      <w:szCs w:val="17"/>
    </w:rPr>
  </w:style>
  <w:style w:type="paragraph" w:customStyle="1" w:styleId="13TBRightCopyNotesTableBack">
    <w:name w:val="13_TB_Right_Copy_Notes (Table_Back)"/>
    <w:basedOn w:val="NoParagraphStyle"/>
    <w:uiPriority w:val="99"/>
    <w:rsid w:val="00AE1E5C"/>
    <w:pPr>
      <w:widowControl w:val="0"/>
      <w:suppressAutoHyphens/>
      <w:spacing w:line="150" w:lineRule="atLeast"/>
      <w:ind w:right="85"/>
      <w:jc w:val="right"/>
    </w:pPr>
    <w:rPr>
      <w:rFonts w:ascii="IBM Plex Sans Light" w:eastAsiaTheme="minorEastAsia" w:hAnsi="IBM Plex Sans Light" w:cs="IBM Plex Sans Light"/>
      <w:spacing w:val="-4"/>
      <w:sz w:val="14"/>
      <w:szCs w:val="14"/>
    </w:rPr>
  </w:style>
  <w:style w:type="paragraph" w:customStyle="1" w:styleId="13TBRightCopy12mmTableBack">
    <w:name w:val="13_TB_Right_Copy_12mm (Table_Back)"/>
    <w:basedOn w:val="NoParagraphStyle"/>
    <w:uiPriority w:val="99"/>
    <w:rsid w:val="00AE1E5C"/>
    <w:pPr>
      <w:widowControl w:val="0"/>
      <w:tabs>
        <w:tab w:val="left" w:pos="595"/>
      </w:tabs>
      <w:suppressAutoHyphens/>
      <w:spacing w:line="200" w:lineRule="atLeast"/>
    </w:pPr>
    <w:rPr>
      <w:rFonts w:ascii="IBM Plex Sans Light" w:eastAsiaTheme="minorEastAsia" w:hAnsi="IBM Plex Sans Light" w:cs="IBM Plex Sans Light"/>
      <w:spacing w:val="-5"/>
      <w:sz w:val="17"/>
      <w:szCs w:val="17"/>
    </w:rPr>
  </w:style>
  <w:style w:type="paragraph" w:customStyle="1" w:styleId="08Pullout26pt">
    <w:name w:val="08_Pullout_26pt"/>
    <w:basedOn w:val="NoParagraphStyle"/>
    <w:uiPriority w:val="99"/>
    <w:rsid w:val="00AE1E5C"/>
    <w:pPr>
      <w:widowControl w:val="0"/>
      <w:tabs>
        <w:tab w:val="left" w:pos="227"/>
      </w:tabs>
      <w:suppressAutoHyphens/>
      <w:spacing w:after="85" w:line="560" w:lineRule="atLeast"/>
    </w:pPr>
    <w:rPr>
      <w:rFonts w:ascii="IBM Plex Sans Medium" w:eastAsiaTheme="minorEastAsia" w:hAnsi="IBM Plex Sans Medium" w:cs="IBM Plex Sans Medium"/>
      <w:color w:val="00B3D1"/>
      <w:spacing w:val="-16"/>
      <w:sz w:val="52"/>
      <w:szCs w:val="52"/>
    </w:rPr>
  </w:style>
  <w:style w:type="paragraph" w:customStyle="1" w:styleId="06GovSubHeading4Fronttext9105">
    <w:name w:val="06_Gov_Sub_Heading_4 (Front text 9/10.5)"/>
    <w:basedOn w:val="NoParagraphStyle"/>
    <w:uiPriority w:val="99"/>
    <w:rsid w:val="00AE1E5C"/>
    <w:pPr>
      <w:widowControl w:val="0"/>
      <w:tabs>
        <w:tab w:val="left" w:pos="227"/>
      </w:tabs>
      <w:suppressAutoHyphens/>
      <w:spacing w:line="210" w:lineRule="atLeast"/>
    </w:pPr>
    <w:rPr>
      <w:rFonts w:ascii="IBM Plex Sans" w:eastAsiaTheme="minorEastAsia" w:hAnsi="IBM Plex Sans" w:cs="IBM Plex Sans"/>
      <w:color w:val="522583"/>
      <w:spacing w:val="-5"/>
      <w:sz w:val="18"/>
      <w:szCs w:val="18"/>
    </w:rPr>
  </w:style>
  <w:style w:type="character" w:customStyle="1" w:styleId="BrightBlueColours">
    <w:name w:val="Bright Blue (Colours)"/>
    <w:uiPriority w:val="99"/>
    <w:rsid w:val="00AE1E5C"/>
    <w:rPr>
      <w:color w:val="00B3D1"/>
    </w:rPr>
  </w:style>
  <w:style w:type="character" w:customStyle="1" w:styleId="Black">
    <w:name w:val="Black"/>
    <w:uiPriority w:val="99"/>
    <w:rsid w:val="00AE1E5C"/>
    <w:rPr>
      <w:color w:val="000000"/>
    </w:rPr>
  </w:style>
  <w:style w:type="character" w:customStyle="1" w:styleId="WhiteColours">
    <w:name w:val="White (Colours)"/>
    <w:uiPriority w:val="99"/>
    <w:rsid w:val="00AE1E5C"/>
    <w:rPr>
      <w:outline/>
    </w:rPr>
  </w:style>
  <w:style w:type="character" w:customStyle="1" w:styleId="DarkBlueColours">
    <w:name w:val="Dark Blue (Colours)"/>
    <w:uiPriority w:val="99"/>
    <w:rsid w:val="00AE1E5C"/>
    <w:rPr>
      <w:color w:val="1B3E92"/>
    </w:rPr>
  </w:style>
  <w:style w:type="character" w:customStyle="1" w:styleId="BoldWhite">
    <w:name w:val="Bold White"/>
    <w:uiPriority w:val="99"/>
    <w:rsid w:val="00AE1E5C"/>
    <w:rPr>
      <w:rFonts w:ascii="IBM Plex Sans" w:hAnsi="IBM Plex Sans"/>
      <w:b/>
      <w:outline/>
    </w:rPr>
  </w:style>
  <w:style w:type="character" w:customStyle="1" w:styleId="BoldBrightBlue">
    <w:name w:val="Bold Bright Blue"/>
    <w:uiPriority w:val="99"/>
    <w:rsid w:val="00AE1E5C"/>
    <w:rPr>
      <w:rFonts w:ascii="IBM Plex Sans" w:hAnsi="IBM Plex Sans"/>
      <w:b/>
      <w:color w:val="00B3D1"/>
    </w:rPr>
  </w:style>
  <w:style w:type="character" w:customStyle="1" w:styleId="Nonprint">
    <w:name w:val="•Nonprint•"/>
    <w:uiPriority w:val="99"/>
    <w:rsid w:val="00AE1E5C"/>
    <w:rPr>
      <w:color w:val="E5007D"/>
    </w:rPr>
  </w:style>
  <w:style w:type="numbering" w:customStyle="1" w:styleId="BulletedList">
    <w:name w:val="Bulleted List"/>
    <w:basedOn w:val="NoList"/>
    <w:locked/>
    <w:rsid w:val="006B43AF"/>
  </w:style>
  <w:style w:type="paragraph" w:customStyle="1" w:styleId="06StratSubHeading2Fronttext9105">
    <w:name w:val="06_Strat_Sub_Heading_2 (Front text 9/10.5)"/>
    <w:basedOn w:val="NoParagraphStyle"/>
    <w:uiPriority w:val="99"/>
    <w:rsid w:val="006B43AF"/>
    <w:pPr>
      <w:tabs>
        <w:tab w:val="left" w:pos="227"/>
      </w:tabs>
      <w:suppressAutoHyphens/>
      <w:spacing w:line="210" w:lineRule="atLeast"/>
    </w:pPr>
    <w:rPr>
      <w:rFonts w:ascii="IBM Plex Sans (OTF) Bold" w:hAnsi="IBM Plex Sans (OTF) Bold" w:cs="IBM Plex Sans (OTF) Bold"/>
      <w:b/>
      <w:bCs/>
      <w:color w:val="00B3D1"/>
      <w:spacing w:val="-5"/>
      <w:sz w:val="18"/>
      <w:szCs w:val="18"/>
    </w:rPr>
  </w:style>
  <w:style w:type="numbering" w:customStyle="1" w:styleId="LFO1">
    <w:name w:val="LFO1"/>
    <w:basedOn w:val="NoList"/>
    <w:rsid w:val="00DE34B7"/>
    <w:pPr>
      <w:numPr>
        <w:numId w:val="41"/>
      </w:numPr>
    </w:pPr>
  </w:style>
  <w:style w:type="character" w:customStyle="1" w:styleId="BoldWeights">
    <w:name w:val="Bold (Weights)"/>
    <w:uiPriority w:val="99"/>
    <w:rsid w:val="00DE34B7"/>
    <w:rPr>
      <w:rFonts w:ascii="IBM Plex Sans" w:hAnsi="IBM Plex Sans" w:cs="IBM Plex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595">
      <w:bodyDiv w:val="1"/>
      <w:marLeft w:val="0"/>
      <w:marRight w:val="0"/>
      <w:marTop w:val="0"/>
      <w:marBottom w:val="0"/>
      <w:divBdr>
        <w:top w:val="none" w:sz="0" w:space="0" w:color="auto"/>
        <w:left w:val="none" w:sz="0" w:space="0" w:color="auto"/>
        <w:bottom w:val="none" w:sz="0" w:space="0" w:color="auto"/>
        <w:right w:val="none" w:sz="0" w:space="0" w:color="auto"/>
      </w:divBdr>
    </w:div>
    <w:div w:id="23141791">
      <w:bodyDiv w:val="1"/>
      <w:marLeft w:val="0"/>
      <w:marRight w:val="0"/>
      <w:marTop w:val="0"/>
      <w:marBottom w:val="0"/>
      <w:divBdr>
        <w:top w:val="none" w:sz="0" w:space="0" w:color="auto"/>
        <w:left w:val="none" w:sz="0" w:space="0" w:color="auto"/>
        <w:bottom w:val="none" w:sz="0" w:space="0" w:color="auto"/>
        <w:right w:val="none" w:sz="0" w:space="0" w:color="auto"/>
      </w:divBdr>
    </w:div>
    <w:div w:id="28068545">
      <w:bodyDiv w:val="1"/>
      <w:marLeft w:val="0"/>
      <w:marRight w:val="0"/>
      <w:marTop w:val="0"/>
      <w:marBottom w:val="0"/>
      <w:divBdr>
        <w:top w:val="none" w:sz="0" w:space="0" w:color="auto"/>
        <w:left w:val="none" w:sz="0" w:space="0" w:color="auto"/>
        <w:bottom w:val="none" w:sz="0" w:space="0" w:color="auto"/>
        <w:right w:val="none" w:sz="0" w:space="0" w:color="auto"/>
      </w:divBdr>
    </w:div>
    <w:div w:id="72632513">
      <w:bodyDiv w:val="1"/>
      <w:marLeft w:val="0"/>
      <w:marRight w:val="0"/>
      <w:marTop w:val="0"/>
      <w:marBottom w:val="0"/>
      <w:divBdr>
        <w:top w:val="none" w:sz="0" w:space="0" w:color="auto"/>
        <w:left w:val="none" w:sz="0" w:space="0" w:color="auto"/>
        <w:bottom w:val="none" w:sz="0" w:space="0" w:color="auto"/>
        <w:right w:val="none" w:sz="0" w:space="0" w:color="auto"/>
      </w:divBdr>
    </w:div>
    <w:div w:id="80369756">
      <w:bodyDiv w:val="1"/>
      <w:marLeft w:val="0"/>
      <w:marRight w:val="0"/>
      <w:marTop w:val="0"/>
      <w:marBottom w:val="0"/>
      <w:divBdr>
        <w:top w:val="none" w:sz="0" w:space="0" w:color="auto"/>
        <w:left w:val="none" w:sz="0" w:space="0" w:color="auto"/>
        <w:bottom w:val="none" w:sz="0" w:space="0" w:color="auto"/>
        <w:right w:val="none" w:sz="0" w:space="0" w:color="auto"/>
      </w:divBdr>
    </w:div>
    <w:div w:id="99878410">
      <w:bodyDiv w:val="1"/>
      <w:marLeft w:val="0"/>
      <w:marRight w:val="0"/>
      <w:marTop w:val="0"/>
      <w:marBottom w:val="0"/>
      <w:divBdr>
        <w:top w:val="none" w:sz="0" w:space="0" w:color="auto"/>
        <w:left w:val="none" w:sz="0" w:space="0" w:color="auto"/>
        <w:bottom w:val="none" w:sz="0" w:space="0" w:color="auto"/>
        <w:right w:val="none" w:sz="0" w:space="0" w:color="auto"/>
      </w:divBdr>
    </w:div>
    <w:div w:id="151213746">
      <w:bodyDiv w:val="1"/>
      <w:marLeft w:val="0"/>
      <w:marRight w:val="0"/>
      <w:marTop w:val="0"/>
      <w:marBottom w:val="0"/>
      <w:divBdr>
        <w:top w:val="none" w:sz="0" w:space="0" w:color="auto"/>
        <w:left w:val="none" w:sz="0" w:space="0" w:color="auto"/>
        <w:bottom w:val="none" w:sz="0" w:space="0" w:color="auto"/>
        <w:right w:val="none" w:sz="0" w:space="0" w:color="auto"/>
      </w:divBdr>
    </w:div>
    <w:div w:id="158084591">
      <w:bodyDiv w:val="1"/>
      <w:marLeft w:val="0"/>
      <w:marRight w:val="0"/>
      <w:marTop w:val="0"/>
      <w:marBottom w:val="0"/>
      <w:divBdr>
        <w:top w:val="none" w:sz="0" w:space="0" w:color="auto"/>
        <w:left w:val="none" w:sz="0" w:space="0" w:color="auto"/>
        <w:bottom w:val="none" w:sz="0" w:space="0" w:color="auto"/>
        <w:right w:val="none" w:sz="0" w:space="0" w:color="auto"/>
      </w:divBdr>
    </w:div>
    <w:div w:id="208153162">
      <w:bodyDiv w:val="1"/>
      <w:marLeft w:val="0"/>
      <w:marRight w:val="0"/>
      <w:marTop w:val="0"/>
      <w:marBottom w:val="0"/>
      <w:divBdr>
        <w:top w:val="none" w:sz="0" w:space="0" w:color="auto"/>
        <w:left w:val="none" w:sz="0" w:space="0" w:color="auto"/>
        <w:bottom w:val="none" w:sz="0" w:space="0" w:color="auto"/>
        <w:right w:val="none" w:sz="0" w:space="0" w:color="auto"/>
      </w:divBdr>
    </w:div>
    <w:div w:id="212041487">
      <w:bodyDiv w:val="1"/>
      <w:marLeft w:val="0"/>
      <w:marRight w:val="0"/>
      <w:marTop w:val="0"/>
      <w:marBottom w:val="0"/>
      <w:divBdr>
        <w:top w:val="none" w:sz="0" w:space="0" w:color="auto"/>
        <w:left w:val="none" w:sz="0" w:space="0" w:color="auto"/>
        <w:bottom w:val="none" w:sz="0" w:space="0" w:color="auto"/>
        <w:right w:val="none" w:sz="0" w:space="0" w:color="auto"/>
      </w:divBdr>
    </w:div>
    <w:div w:id="240915335">
      <w:bodyDiv w:val="1"/>
      <w:marLeft w:val="0"/>
      <w:marRight w:val="0"/>
      <w:marTop w:val="0"/>
      <w:marBottom w:val="0"/>
      <w:divBdr>
        <w:top w:val="none" w:sz="0" w:space="0" w:color="auto"/>
        <w:left w:val="none" w:sz="0" w:space="0" w:color="auto"/>
        <w:bottom w:val="none" w:sz="0" w:space="0" w:color="auto"/>
        <w:right w:val="none" w:sz="0" w:space="0" w:color="auto"/>
      </w:divBdr>
    </w:div>
    <w:div w:id="247231360">
      <w:bodyDiv w:val="1"/>
      <w:marLeft w:val="0"/>
      <w:marRight w:val="0"/>
      <w:marTop w:val="0"/>
      <w:marBottom w:val="0"/>
      <w:divBdr>
        <w:top w:val="none" w:sz="0" w:space="0" w:color="auto"/>
        <w:left w:val="none" w:sz="0" w:space="0" w:color="auto"/>
        <w:bottom w:val="none" w:sz="0" w:space="0" w:color="auto"/>
        <w:right w:val="none" w:sz="0" w:space="0" w:color="auto"/>
      </w:divBdr>
    </w:div>
    <w:div w:id="254097237">
      <w:bodyDiv w:val="1"/>
      <w:marLeft w:val="0"/>
      <w:marRight w:val="0"/>
      <w:marTop w:val="0"/>
      <w:marBottom w:val="0"/>
      <w:divBdr>
        <w:top w:val="none" w:sz="0" w:space="0" w:color="auto"/>
        <w:left w:val="none" w:sz="0" w:space="0" w:color="auto"/>
        <w:bottom w:val="none" w:sz="0" w:space="0" w:color="auto"/>
        <w:right w:val="none" w:sz="0" w:space="0" w:color="auto"/>
      </w:divBdr>
    </w:div>
    <w:div w:id="280459617">
      <w:bodyDiv w:val="1"/>
      <w:marLeft w:val="0"/>
      <w:marRight w:val="0"/>
      <w:marTop w:val="0"/>
      <w:marBottom w:val="0"/>
      <w:divBdr>
        <w:top w:val="none" w:sz="0" w:space="0" w:color="auto"/>
        <w:left w:val="none" w:sz="0" w:space="0" w:color="auto"/>
        <w:bottom w:val="none" w:sz="0" w:space="0" w:color="auto"/>
        <w:right w:val="none" w:sz="0" w:space="0" w:color="auto"/>
      </w:divBdr>
    </w:div>
    <w:div w:id="319045627">
      <w:bodyDiv w:val="1"/>
      <w:marLeft w:val="0"/>
      <w:marRight w:val="0"/>
      <w:marTop w:val="0"/>
      <w:marBottom w:val="0"/>
      <w:divBdr>
        <w:top w:val="none" w:sz="0" w:space="0" w:color="auto"/>
        <w:left w:val="none" w:sz="0" w:space="0" w:color="auto"/>
        <w:bottom w:val="none" w:sz="0" w:space="0" w:color="auto"/>
        <w:right w:val="none" w:sz="0" w:space="0" w:color="auto"/>
      </w:divBdr>
    </w:div>
    <w:div w:id="320433207">
      <w:bodyDiv w:val="1"/>
      <w:marLeft w:val="0"/>
      <w:marRight w:val="0"/>
      <w:marTop w:val="0"/>
      <w:marBottom w:val="0"/>
      <w:divBdr>
        <w:top w:val="none" w:sz="0" w:space="0" w:color="auto"/>
        <w:left w:val="none" w:sz="0" w:space="0" w:color="auto"/>
        <w:bottom w:val="none" w:sz="0" w:space="0" w:color="auto"/>
        <w:right w:val="none" w:sz="0" w:space="0" w:color="auto"/>
      </w:divBdr>
    </w:div>
    <w:div w:id="324866204">
      <w:bodyDiv w:val="1"/>
      <w:marLeft w:val="0"/>
      <w:marRight w:val="0"/>
      <w:marTop w:val="0"/>
      <w:marBottom w:val="0"/>
      <w:divBdr>
        <w:top w:val="none" w:sz="0" w:space="0" w:color="auto"/>
        <w:left w:val="none" w:sz="0" w:space="0" w:color="auto"/>
        <w:bottom w:val="none" w:sz="0" w:space="0" w:color="auto"/>
        <w:right w:val="none" w:sz="0" w:space="0" w:color="auto"/>
      </w:divBdr>
    </w:div>
    <w:div w:id="359933547">
      <w:bodyDiv w:val="1"/>
      <w:marLeft w:val="0"/>
      <w:marRight w:val="0"/>
      <w:marTop w:val="0"/>
      <w:marBottom w:val="0"/>
      <w:divBdr>
        <w:top w:val="none" w:sz="0" w:space="0" w:color="auto"/>
        <w:left w:val="none" w:sz="0" w:space="0" w:color="auto"/>
        <w:bottom w:val="none" w:sz="0" w:space="0" w:color="auto"/>
        <w:right w:val="none" w:sz="0" w:space="0" w:color="auto"/>
      </w:divBdr>
    </w:div>
    <w:div w:id="398943765">
      <w:bodyDiv w:val="1"/>
      <w:marLeft w:val="0"/>
      <w:marRight w:val="0"/>
      <w:marTop w:val="0"/>
      <w:marBottom w:val="0"/>
      <w:divBdr>
        <w:top w:val="none" w:sz="0" w:space="0" w:color="auto"/>
        <w:left w:val="none" w:sz="0" w:space="0" w:color="auto"/>
        <w:bottom w:val="none" w:sz="0" w:space="0" w:color="auto"/>
        <w:right w:val="none" w:sz="0" w:space="0" w:color="auto"/>
      </w:divBdr>
    </w:div>
    <w:div w:id="406416559">
      <w:bodyDiv w:val="1"/>
      <w:marLeft w:val="0"/>
      <w:marRight w:val="0"/>
      <w:marTop w:val="0"/>
      <w:marBottom w:val="0"/>
      <w:divBdr>
        <w:top w:val="none" w:sz="0" w:space="0" w:color="auto"/>
        <w:left w:val="none" w:sz="0" w:space="0" w:color="auto"/>
        <w:bottom w:val="none" w:sz="0" w:space="0" w:color="auto"/>
        <w:right w:val="none" w:sz="0" w:space="0" w:color="auto"/>
      </w:divBdr>
    </w:div>
    <w:div w:id="447117998">
      <w:bodyDiv w:val="1"/>
      <w:marLeft w:val="0"/>
      <w:marRight w:val="0"/>
      <w:marTop w:val="0"/>
      <w:marBottom w:val="0"/>
      <w:divBdr>
        <w:top w:val="none" w:sz="0" w:space="0" w:color="auto"/>
        <w:left w:val="none" w:sz="0" w:space="0" w:color="auto"/>
        <w:bottom w:val="none" w:sz="0" w:space="0" w:color="auto"/>
        <w:right w:val="none" w:sz="0" w:space="0" w:color="auto"/>
      </w:divBdr>
    </w:div>
    <w:div w:id="469984414">
      <w:bodyDiv w:val="1"/>
      <w:marLeft w:val="0"/>
      <w:marRight w:val="0"/>
      <w:marTop w:val="0"/>
      <w:marBottom w:val="0"/>
      <w:divBdr>
        <w:top w:val="none" w:sz="0" w:space="0" w:color="auto"/>
        <w:left w:val="none" w:sz="0" w:space="0" w:color="auto"/>
        <w:bottom w:val="none" w:sz="0" w:space="0" w:color="auto"/>
        <w:right w:val="none" w:sz="0" w:space="0" w:color="auto"/>
      </w:divBdr>
    </w:div>
    <w:div w:id="470706844">
      <w:bodyDiv w:val="1"/>
      <w:marLeft w:val="0"/>
      <w:marRight w:val="0"/>
      <w:marTop w:val="0"/>
      <w:marBottom w:val="0"/>
      <w:divBdr>
        <w:top w:val="none" w:sz="0" w:space="0" w:color="auto"/>
        <w:left w:val="none" w:sz="0" w:space="0" w:color="auto"/>
        <w:bottom w:val="none" w:sz="0" w:space="0" w:color="auto"/>
        <w:right w:val="none" w:sz="0" w:space="0" w:color="auto"/>
      </w:divBdr>
    </w:div>
    <w:div w:id="495997027">
      <w:bodyDiv w:val="1"/>
      <w:marLeft w:val="0"/>
      <w:marRight w:val="0"/>
      <w:marTop w:val="0"/>
      <w:marBottom w:val="0"/>
      <w:divBdr>
        <w:top w:val="none" w:sz="0" w:space="0" w:color="auto"/>
        <w:left w:val="none" w:sz="0" w:space="0" w:color="auto"/>
        <w:bottom w:val="none" w:sz="0" w:space="0" w:color="auto"/>
        <w:right w:val="none" w:sz="0" w:space="0" w:color="auto"/>
      </w:divBdr>
    </w:div>
    <w:div w:id="514880449">
      <w:bodyDiv w:val="1"/>
      <w:marLeft w:val="0"/>
      <w:marRight w:val="0"/>
      <w:marTop w:val="0"/>
      <w:marBottom w:val="0"/>
      <w:divBdr>
        <w:top w:val="none" w:sz="0" w:space="0" w:color="auto"/>
        <w:left w:val="none" w:sz="0" w:space="0" w:color="auto"/>
        <w:bottom w:val="none" w:sz="0" w:space="0" w:color="auto"/>
        <w:right w:val="none" w:sz="0" w:space="0" w:color="auto"/>
      </w:divBdr>
    </w:div>
    <w:div w:id="529224483">
      <w:bodyDiv w:val="1"/>
      <w:marLeft w:val="0"/>
      <w:marRight w:val="0"/>
      <w:marTop w:val="0"/>
      <w:marBottom w:val="0"/>
      <w:divBdr>
        <w:top w:val="none" w:sz="0" w:space="0" w:color="auto"/>
        <w:left w:val="none" w:sz="0" w:space="0" w:color="auto"/>
        <w:bottom w:val="none" w:sz="0" w:space="0" w:color="auto"/>
        <w:right w:val="none" w:sz="0" w:space="0" w:color="auto"/>
      </w:divBdr>
    </w:div>
    <w:div w:id="557789892">
      <w:bodyDiv w:val="1"/>
      <w:marLeft w:val="0"/>
      <w:marRight w:val="0"/>
      <w:marTop w:val="0"/>
      <w:marBottom w:val="0"/>
      <w:divBdr>
        <w:top w:val="none" w:sz="0" w:space="0" w:color="auto"/>
        <w:left w:val="none" w:sz="0" w:space="0" w:color="auto"/>
        <w:bottom w:val="none" w:sz="0" w:space="0" w:color="auto"/>
        <w:right w:val="none" w:sz="0" w:space="0" w:color="auto"/>
      </w:divBdr>
    </w:div>
    <w:div w:id="568883686">
      <w:bodyDiv w:val="1"/>
      <w:marLeft w:val="0"/>
      <w:marRight w:val="0"/>
      <w:marTop w:val="0"/>
      <w:marBottom w:val="0"/>
      <w:divBdr>
        <w:top w:val="none" w:sz="0" w:space="0" w:color="auto"/>
        <w:left w:val="none" w:sz="0" w:space="0" w:color="auto"/>
        <w:bottom w:val="none" w:sz="0" w:space="0" w:color="auto"/>
        <w:right w:val="none" w:sz="0" w:space="0" w:color="auto"/>
      </w:divBdr>
    </w:div>
    <w:div w:id="615907721">
      <w:bodyDiv w:val="1"/>
      <w:marLeft w:val="0"/>
      <w:marRight w:val="0"/>
      <w:marTop w:val="0"/>
      <w:marBottom w:val="0"/>
      <w:divBdr>
        <w:top w:val="none" w:sz="0" w:space="0" w:color="auto"/>
        <w:left w:val="none" w:sz="0" w:space="0" w:color="auto"/>
        <w:bottom w:val="none" w:sz="0" w:space="0" w:color="auto"/>
        <w:right w:val="none" w:sz="0" w:space="0" w:color="auto"/>
      </w:divBdr>
    </w:div>
    <w:div w:id="637691416">
      <w:bodyDiv w:val="1"/>
      <w:marLeft w:val="0"/>
      <w:marRight w:val="0"/>
      <w:marTop w:val="0"/>
      <w:marBottom w:val="0"/>
      <w:divBdr>
        <w:top w:val="none" w:sz="0" w:space="0" w:color="auto"/>
        <w:left w:val="none" w:sz="0" w:space="0" w:color="auto"/>
        <w:bottom w:val="none" w:sz="0" w:space="0" w:color="auto"/>
        <w:right w:val="none" w:sz="0" w:space="0" w:color="auto"/>
      </w:divBdr>
    </w:div>
    <w:div w:id="643971800">
      <w:bodyDiv w:val="1"/>
      <w:marLeft w:val="0"/>
      <w:marRight w:val="0"/>
      <w:marTop w:val="0"/>
      <w:marBottom w:val="0"/>
      <w:divBdr>
        <w:top w:val="none" w:sz="0" w:space="0" w:color="auto"/>
        <w:left w:val="none" w:sz="0" w:space="0" w:color="auto"/>
        <w:bottom w:val="none" w:sz="0" w:space="0" w:color="auto"/>
        <w:right w:val="none" w:sz="0" w:space="0" w:color="auto"/>
      </w:divBdr>
    </w:div>
    <w:div w:id="650910851">
      <w:bodyDiv w:val="1"/>
      <w:marLeft w:val="0"/>
      <w:marRight w:val="0"/>
      <w:marTop w:val="0"/>
      <w:marBottom w:val="0"/>
      <w:divBdr>
        <w:top w:val="none" w:sz="0" w:space="0" w:color="auto"/>
        <w:left w:val="none" w:sz="0" w:space="0" w:color="auto"/>
        <w:bottom w:val="none" w:sz="0" w:space="0" w:color="auto"/>
        <w:right w:val="none" w:sz="0" w:space="0" w:color="auto"/>
      </w:divBdr>
    </w:div>
    <w:div w:id="670258676">
      <w:bodyDiv w:val="1"/>
      <w:marLeft w:val="0"/>
      <w:marRight w:val="0"/>
      <w:marTop w:val="0"/>
      <w:marBottom w:val="0"/>
      <w:divBdr>
        <w:top w:val="none" w:sz="0" w:space="0" w:color="auto"/>
        <w:left w:val="none" w:sz="0" w:space="0" w:color="auto"/>
        <w:bottom w:val="none" w:sz="0" w:space="0" w:color="auto"/>
        <w:right w:val="none" w:sz="0" w:space="0" w:color="auto"/>
      </w:divBdr>
    </w:div>
    <w:div w:id="796024668">
      <w:marLeft w:val="0"/>
      <w:marRight w:val="0"/>
      <w:marTop w:val="0"/>
      <w:marBottom w:val="0"/>
      <w:divBdr>
        <w:top w:val="none" w:sz="0" w:space="0" w:color="auto"/>
        <w:left w:val="none" w:sz="0" w:space="0" w:color="auto"/>
        <w:bottom w:val="none" w:sz="0" w:space="0" w:color="auto"/>
        <w:right w:val="none" w:sz="0" w:space="0" w:color="auto"/>
      </w:divBdr>
    </w:div>
    <w:div w:id="796024669">
      <w:marLeft w:val="0"/>
      <w:marRight w:val="0"/>
      <w:marTop w:val="0"/>
      <w:marBottom w:val="0"/>
      <w:divBdr>
        <w:top w:val="none" w:sz="0" w:space="0" w:color="auto"/>
        <w:left w:val="none" w:sz="0" w:space="0" w:color="auto"/>
        <w:bottom w:val="none" w:sz="0" w:space="0" w:color="auto"/>
        <w:right w:val="none" w:sz="0" w:space="0" w:color="auto"/>
      </w:divBdr>
    </w:div>
    <w:div w:id="796024670">
      <w:marLeft w:val="0"/>
      <w:marRight w:val="0"/>
      <w:marTop w:val="0"/>
      <w:marBottom w:val="0"/>
      <w:divBdr>
        <w:top w:val="none" w:sz="0" w:space="0" w:color="auto"/>
        <w:left w:val="none" w:sz="0" w:space="0" w:color="auto"/>
        <w:bottom w:val="none" w:sz="0" w:space="0" w:color="auto"/>
        <w:right w:val="none" w:sz="0" w:space="0" w:color="auto"/>
      </w:divBdr>
    </w:div>
    <w:div w:id="796024671">
      <w:marLeft w:val="0"/>
      <w:marRight w:val="0"/>
      <w:marTop w:val="0"/>
      <w:marBottom w:val="0"/>
      <w:divBdr>
        <w:top w:val="none" w:sz="0" w:space="0" w:color="auto"/>
        <w:left w:val="none" w:sz="0" w:space="0" w:color="auto"/>
        <w:bottom w:val="none" w:sz="0" w:space="0" w:color="auto"/>
        <w:right w:val="none" w:sz="0" w:space="0" w:color="auto"/>
      </w:divBdr>
    </w:div>
    <w:div w:id="796024672">
      <w:marLeft w:val="0"/>
      <w:marRight w:val="0"/>
      <w:marTop w:val="0"/>
      <w:marBottom w:val="0"/>
      <w:divBdr>
        <w:top w:val="none" w:sz="0" w:space="0" w:color="auto"/>
        <w:left w:val="none" w:sz="0" w:space="0" w:color="auto"/>
        <w:bottom w:val="none" w:sz="0" w:space="0" w:color="auto"/>
        <w:right w:val="none" w:sz="0" w:space="0" w:color="auto"/>
      </w:divBdr>
    </w:div>
    <w:div w:id="796024673">
      <w:marLeft w:val="0"/>
      <w:marRight w:val="0"/>
      <w:marTop w:val="0"/>
      <w:marBottom w:val="0"/>
      <w:divBdr>
        <w:top w:val="none" w:sz="0" w:space="0" w:color="auto"/>
        <w:left w:val="none" w:sz="0" w:space="0" w:color="auto"/>
        <w:bottom w:val="none" w:sz="0" w:space="0" w:color="auto"/>
        <w:right w:val="none" w:sz="0" w:space="0" w:color="auto"/>
      </w:divBdr>
    </w:div>
    <w:div w:id="815487125">
      <w:bodyDiv w:val="1"/>
      <w:marLeft w:val="0"/>
      <w:marRight w:val="0"/>
      <w:marTop w:val="0"/>
      <w:marBottom w:val="0"/>
      <w:divBdr>
        <w:top w:val="none" w:sz="0" w:space="0" w:color="auto"/>
        <w:left w:val="none" w:sz="0" w:space="0" w:color="auto"/>
        <w:bottom w:val="none" w:sz="0" w:space="0" w:color="auto"/>
        <w:right w:val="none" w:sz="0" w:space="0" w:color="auto"/>
      </w:divBdr>
    </w:div>
    <w:div w:id="821968918">
      <w:bodyDiv w:val="1"/>
      <w:marLeft w:val="0"/>
      <w:marRight w:val="0"/>
      <w:marTop w:val="0"/>
      <w:marBottom w:val="0"/>
      <w:divBdr>
        <w:top w:val="none" w:sz="0" w:space="0" w:color="auto"/>
        <w:left w:val="none" w:sz="0" w:space="0" w:color="auto"/>
        <w:bottom w:val="none" w:sz="0" w:space="0" w:color="auto"/>
        <w:right w:val="none" w:sz="0" w:space="0" w:color="auto"/>
      </w:divBdr>
    </w:div>
    <w:div w:id="824587649">
      <w:bodyDiv w:val="1"/>
      <w:marLeft w:val="0"/>
      <w:marRight w:val="0"/>
      <w:marTop w:val="0"/>
      <w:marBottom w:val="0"/>
      <w:divBdr>
        <w:top w:val="none" w:sz="0" w:space="0" w:color="auto"/>
        <w:left w:val="none" w:sz="0" w:space="0" w:color="auto"/>
        <w:bottom w:val="none" w:sz="0" w:space="0" w:color="auto"/>
        <w:right w:val="none" w:sz="0" w:space="0" w:color="auto"/>
      </w:divBdr>
    </w:div>
    <w:div w:id="828638831">
      <w:bodyDiv w:val="1"/>
      <w:marLeft w:val="0"/>
      <w:marRight w:val="0"/>
      <w:marTop w:val="0"/>
      <w:marBottom w:val="0"/>
      <w:divBdr>
        <w:top w:val="none" w:sz="0" w:space="0" w:color="auto"/>
        <w:left w:val="none" w:sz="0" w:space="0" w:color="auto"/>
        <w:bottom w:val="none" w:sz="0" w:space="0" w:color="auto"/>
        <w:right w:val="none" w:sz="0" w:space="0" w:color="auto"/>
      </w:divBdr>
    </w:div>
    <w:div w:id="829909748">
      <w:bodyDiv w:val="1"/>
      <w:marLeft w:val="0"/>
      <w:marRight w:val="0"/>
      <w:marTop w:val="0"/>
      <w:marBottom w:val="0"/>
      <w:divBdr>
        <w:top w:val="none" w:sz="0" w:space="0" w:color="auto"/>
        <w:left w:val="none" w:sz="0" w:space="0" w:color="auto"/>
        <w:bottom w:val="none" w:sz="0" w:space="0" w:color="auto"/>
        <w:right w:val="none" w:sz="0" w:space="0" w:color="auto"/>
      </w:divBdr>
    </w:div>
    <w:div w:id="832918634">
      <w:bodyDiv w:val="1"/>
      <w:marLeft w:val="0"/>
      <w:marRight w:val="0"/>
      <w:marTop w:val="0"/>
      <w:marBottom w:val="0"/>
      <w:divBdr>
        <w:top w:val="none" w:sz="0" w:space="0" w:color="auto"/>
        <w:left w:val="none" w:sz="0" w:space="0" w:color="auto"/>
        <w:bottom w:val="none" w:sz="0" w:space="0" w:color="auto"/>
        <w:right w:val="none" w:sz="0" w:space="0" w:color="auto"/>
      </w:divBdr>
    </w:div>
    <w:div w:id="836572746">
      <w:bodyDiv w:val="1"/>
      <w:marLeft w:val="0"/>
      <w:marRight w:val="0"/>
      <w:marTop w:val="0"/>
      <w:marBottom w:val="0"/>
      <w:divBdr>
        <w:top w:val="none" w:sz="0" w:space="0" w:color="auto"/>
        <w:left w:val="none" w:sz="0" w:space="0" w:color="auto"/>
        <w:bottom w:val="none" w:sz="0" w:space="0" w:color="auto"/>
        <w:right w:val="none" w:sz="0" w:space="0" w:color="auto"/>
      </w:divBdr>
    </w:div>
    <w:div w:id="862328513">
      <w:bodyDiv w:val="1"/>
      <w:marLeft w:val="0"/>
      <w:marRight w:val="0"/>
      <w:marTop w:val="0"/>
      <w:marBottom w:val="0"/>
      <w:divBdr>
        <w:top w:val="none" w:sz="0" w:space="0" w:color="auto"/>
        <w:left w:val="none" w:sz="0" w:space="0" w:color="auto"/>
        <w:bottom w:val="none" w:sz="0" w:space="0" w:color="auto"/>
        <w:right w:val="none" w:sz="0" w:space="0" w:color="auto"/>
      </w:divBdr>
    </w:div>
    <w:div w:id="862783870">
      <w:bodyDiv w:val="1"/>
      <w:marLeft w:val="0"/>
      <w:marRight w:val="0"/>
      <w:marTop w:val="0"/>
      <w:marBottom w:val="0"/>
      <w:divBdr>
        <w:top w:val="none" w:sz="0" w:space="0" w:color="auto"/>
        <w:left w:val="none" w:sz="0" w:space="0" w:color="auto"/>
        <w:bottom w:val="none" w:sz="0" w:space="0" w:color="auto"/>
        <w:right w:val="none" w:sz="0" w:space="0" w:color="auto"/>
      </w:divBdr>
    </w:div>
    <w:div w:id="864756008">
      <w:bodyDiv w:val="1"/>
      <w:marLeft w:val="0"/>
      <w:marRight w:val="0"/>
      <w:marTop w:val="0"/>
      <w:marBottom w:val="0"/>
      <w:divBdr>
        <w:top w:val="none" w:sz="0" w:space="0" w:color="auto"/>
        <w:left w:val="none" w:sz="0" w:space="0" w:color="auto"/>
        <w:bottom w:val="none" w:sz="0" w:space="0" w:color="auto"/>
        <w:right w:val="none" w:sz="0" w:space="0" w:color="auto"/>
      </w:divBdr>
    </w:div>
    <w:div w:id="885919963">
      <w:bodyDiv w:val="1"/>
      <w:marLeft w:val="0"/>
      <w:marRight w:val="0"/>
      <w:marTop w:val="0"/>
      <w:marBottom w:val="0"/>
      <w:divBdr>
        <w:top w:val="none" w:sz="0" w:space="0" w:color="auto"/>
        <w:left w:val="none" w:sz="0" w:space="0" w:color="auto"/>
        <w:bottom w:val="none" w:sz="0" w:space="0" w:color="auto"/>
        <w:right w:val="none" w:sz="0" w:space="0" w:color="auto"/>
      </w:divBdr>
    </w:div>
    <w:div w:id="889459853">
      <w:bodyDiv w:val="1"/>
      <w:marLeft w:val="0"/>
      <w:marRight w:val="0"/>
      <w:marTop w:val="0"/>
      <w:marBottom w:val="0"/>
      <w:divBdr>
        <w:top w:val="none" w:sz="0" w:space="0" w:color="auto"/>
        <w:left w:val="none" w:sz="0" w:space="0" w:color="auto"/>
        <w:bottom w:val="none" w:sz="0" w:space="0" w:color="auto"/>
        <w:right w:val="none" w:sz="0" w:space="0" w:color="auto"/>
      </w:divBdr>
    </w:div>
    <w:div w:id="958796919">
      <w:bodyDiv w:val="1"/>
      <w:marLeft w:val="0"/>
      <w:marRight w:val="0"/>
      <w:marTop w:val="0"/>
      <w:marBottom w:val="0"/>
      <w:divBdr>
        <w:top w:val="none" w:sz="0" w:space="0" w:color="auto"/>
        <w:left w:val="none" w:sz="0" w:space="0" w:color="auto"/>
        <w:bottom w:val="none" w:sz="0" w:space="0" w:color="auto"/>
        <w:right w:val="none" w:sz="0" w:space="0" w:color="auto"/>
      </w:divBdr>
    </w:div>
    <w:div w:id="985092365">
      <w:bodyDiv w:val="1"/>
      <w:marLeft w:val="0"/>
      <w:marRight w:val="0"/>
      <w:marTop w:val="0"/>
      <w:marBottom w:val="0"/>
      <w:divBdr>
        <w:top w:val="none" w:sz="0" w:space="0" w:color="auto"/>
        <w:left w:val="none" w:sz="0" w:space="0" w:color="auto"/>
        <w:bottom w:val="none" w:sz="0" w:space="0" w:color="auto"/>
        <w:right w:val="none" w:sz="0" w:space="0" w:color="auto"/>
      </w:divBdr>
    </w:div>
    <w:div w:id="1004750299">
      <w:bodyDiv w:val="1"/>
      <w:marLeft w:val="0"/>
      <w:marRight w:val="0"/>
      <w:marTop w:val="0"/>
      <w:marBottom w:val="0"/>
      <w:divBdr>
        <w:top w:val="none" w:sz="0" w:space="0" w:color="auto"/>
        <w:left w:val="none" w:sz="0" w:space="0" w:color="auto"/>
        <w:bottom w:val="none" w:sz="0" w:space="0" w:color="auto"/>
        <w:right w:val="none" w:sz="0" w:space="0" w:color="auto"/>
      </w:divBdr>
    </w:div>
    <w:div w:id="1022321714">
      <w:bodyDiv w:val="1"/>
      <w:marLeft w:val="0"/>
      <w:marRight w:val="0"/>
      <w:marTop w:val="0"/>
      <w:marBottom w:val="0"/>
      <w:divBdr>
        <w:top w:val="none" w:sz="0" w:space="0" w:color="auto"/>
        <w:left w:val="none" w:sz="0" w:space="0" w:color="auto"/>
        <w:bottom w:val="none" w:sz="0" w:space="0" w:color="auto"/>
        <w:right w:val="none" w:sz="0" w:space="0" w:color="auto"/>
      </w:divBdr>
    </w:div>
    <w:div w:id="1032457547">
      <w:bodyDiv w:val="1"/>
      <w:marLeft w:val="0"/>
      <w:marRight w:val="0"/>
      <w:marTop w:val="0"/>
      <w:marBottom w:val="0"/>
      <w:divBdr>
        <w:top w:val="none" w:sz="0" w:space="0" w:color="auto"/>
        <w:left w:val="none" w:sz="0" w:space="0" w:color="auto"/>
        <w:bottom w:val="none" w:sz="0" w:space="0" w:color="auto"/>
        <w:right w:val="none" w:sz="0" w:space="0" w:color="auto"/>
      </w:divBdr>
    </w:div>
    <w:div w:id="1037005973">
      <w:bodyDiv w:val="1"/>
      <w:marLeft w:val="0"/>
      <w:marRight w:val="0"/>
      <w:marTop w:val="0"/>
      <w:marBottom w:val="0"/>
      <w:divBdr>
        <w:top w:val="none" w:sz="0" w:space="0" w:color="auto"/>
        <w:left w:val="none" w:sz="0" w:space="0" w:color="auto"/>
        <w:bottom w:val="none" w:sz="0" w:space="0" w:color="auto"/>
        <w:right w:val="none" w:sz="0" w:space="0" w:color="auto"/>
      </w:divBdr>
    </w:div>
    <w:div w:id="1094087172">
      <w:bodyDiv w:val="1"/>
      <w:marLeft w:val="0"/>
      <w:marRight w:val="0"/>
      <w:marTop w:val="0"/>
      <w:marBottom w:val="0"/>
      <w:divBdr>
        <w:top w:val="none" w:sz="0" w:space="0" w:color="auto"/>
        <w:left w:val="none" w:sz="0" w:space="0" w:color="auto"/>
        <w:bottom w:val="none" w:sz="0" w:space="0" w:color="auto"/>
        <w:right w:val="none" w:sz="0" w:space="0" w:color="auto"/>
      </w:divBdr>
    </w:div>
    <w:div w:id="1094667262">
      <w:bodyDiv w:val="1"/>
      <w:marLeft w:val="0"/>
      <w:marRight w:val="0"/>
      <w:marTop w:val="0"/>
      <w:marBottom w:val="0"/>
      <w:divBdr>
        <w:top w:val="none" w:sz="0" w:space="0" w:color="auto"/>
        <w:left w:val="none" w:sz="0" w:space="0" w:color="auto"/>
        <w:bottom w:val="none" w:sz="0" w:space="0" w:color="auto"/>
        <w:right w:val="none" w:sz="0" w:space="0" w:color="auto"/>
      </w:divBdr>
    </w:div>
    <w:div w:id="1104574093">
      <w:bodyDiv w:val="1"/>
      <w:marLeft w:val="0"/>
      <w:marRight w:val="0"/>
      <w:marTop w:val="0"/>
      <w:marBottom w:val="0"/>
      <w:divBdr>
        <w:top w:val="none" w:sz="0" w:space="0" w:color="auto"/>
        <w:left w:val="none" w:sz="0" w:space="0" w:color="auto"/>
        <w:bottom w:val="none" w:sz="0" w:space="0" w:color="auto"/>
        <w:right w:val="none" w:sz="0" w:space="0" w:color="auto"/>
      </w:divBdr>
    </w:div>
    <w:div w:id="1165240732">
      <w:bodyDiv w:val="1"/>
      <w:marLeft w:val="0"/>
      <w:marRight w:val="0"/>
      <w:marTop w:val="0"/>
      <w:marBottom w:val="0"/>
      <w:divBdr>
        <w:top w:val="none" w:sz="0" w:space="0" w:color="auto"/>
        <w:left w:val="none" w:sz="0" w:space="0" w:color="auto"/>
        <w:bottom w:val="none" w:sz="0" w:space="0" w:color="auto"/>
        <w:right w:val="none" w:sz="0" w:space="0" w:color="auto"/>
      </w:divBdr>
    </w:div>
    <w:div w:id="1182013118">
      <w:bodyDiv w:val="1"/>
      <w:marLeft w:val="0"/>
      <w:marRight w:val="0"/>
      <w:marTop w:val="0"/>
      <w:marBottom w:val="0"/>
      <w:divBdr>
        <w:top w:val="none" w:sz="0" w:space="0" w:color="auto"/>
        <w:left w:val="none" w:sz="0" w:space="0" w:color="auto"/>
        <w:bottom w:val="none" w:sz="0" w:space="0" w:color="auto"/>
        <w:right w:val="none" w:sz="0" w:space="0" w:color="auto"/>
      </w:divBdr>
    </w:div>
    <w:div w:id="1235437440">
      <w:bodyDiv w:val="1"/>
      <w:marLeft w:val="0"/>
      <w:marRight w:val="0"/>
      <w:marTop w:val="0"/>
      <w:marBottom w:val="0"/>
      <w:divBdr>
        <w:top w:val="none" w:sz="0" w:space="0" w:color="auto"/>
        <w:left w:val="none" w:sz="0" w:space="0" w:color="auto"/>
        <w:bottom w:val="none" w:sz="0" w:space="0" w:color="auto"/>
        <w:right w:val="none" w:sz="0" w:space="0" w:color="auto"/>
      </w:divBdr>
    </w:div>
    <w:div w:id="1257058326">
      <w:bodyDiv w:val="1"/>
      <w:marLeft w:val="0"/>
      <w:marRight w:val="0"/>
      <w:marTop w:val="0"/>
      <w:marBottom w:val="0"/>
      <w:divBdr>
        <w:top w:val="none" w:sz="0" w:space="0" w:color="auto"/>
        <w:left w:val="none" w:sz="0" w:space="0" w:color="auto"/>
        <w:bottom w:val="none" w:sz="0" w:space="0" w:color="auto"/>
        <w:right w:val="none" w:sz="0" w:space="0" w:color="auto"/>
      </w:divBdr>
    </w:div>
    <w:div w:id="1297106643">
      <w:bodyDiv w:val="1"/>
      <w:marLeft w:val="0"/>
      <w:marRight w:val="0"/>
      <w:marTop w:val="0"/>
      <w:marBottom w:val="0"/>
      <w:divBdr>
        <w:top w:val="none" w:sz="0" w:space="0" w:color="auto"/>
        <w:left w:val="none" w:sz="0" w:space="0" w:color="auto"/>
        <w:bottom w:val="none" w:sz="0" w:space="0" w:color="auto"/>
        <w:right w:val="none" w:sz="0" w:space="0" w:color="auto"/>
      </w:divBdr>
    </w:div>
    <w:div w:id="1324894056">
      <w:bodyDiv w:val="1"/>
      <w:marLeft w:val="0"/>
      <w:marRight w:val="0"/>
      <w:marTop w:val="0"/>
      <w:marBottom w:val="0"/>
      <w:divBdr>
        <w:top w:val="none" w:sz="0" w:space="0" w:color="auto"/>
        <w:left w:val="none" w:sz="0" w:space="0" w:color="auto"/>
        <w:bottom w:val="none" w:sz="0" w:space="0" w:color="auto"/>
        <w:right w:val="none" w:sz="0" w:space="0" w:color="auto"/>
      </w:divBdr>
    </w:div>
    <w:div w:id="1351689102">
      <w:bodyDiv w:val="1"/>
      <w:marLeft w:val="0"/>
      <w:marRight w:val="0"/>
      <w:marTop w:val="0"/>
      <w:marBottom w:val="0"/>
      <w:divBdr>
        <w:top w:val="none" w:sz="0" w:space="0" w:color="auto"/>
        <w:left w:val="none" w:sz="0" w:space="0" w:color="auto"/>
        <w:bottom w:val="none" w:sz="0" w:space="0" w:color="auto"/>
        <w:right w:val="none" w:sz="0" w:space="0" w:color="auto"/>
      </w:divBdr>
    </w:div>
    <w:div w:id="1362168552">
      <w:bodyDiv w:val="1"/>
      <w:marLeft w:val="0"/>
      <w:marRight w:val="0"/>
      <w:marTop w:val="0"/>
      <w:marBottom w:val="0"/>
      <w:divBdr>
        <w:top w:val="none" w:sz="0" w:space="0" w:color="auto"/>
        <w:left w:val="none" w:sz="0" w:space="0" w:color="auto"/>
        <w:bottom w:val="none" w:sz="0" w:space="0" w:color="auto"/>
        <w:right w:val="none" w:sz="0" w:space="0" w:color="auto"/>
      </w:divBdr>
    </w:div>
    <w:div w:id="1376852110">
      <w:bodyDiv w:val="1"/>
      <w:marLeft w:val="0"/>
      <w:marRight w:val="0"/>
      <w:marTop w:val="0"/>
      <w:marBottom w:val="0"/>
      <w:divBdr>
        <w:top w:val="none" w:sz="0" w:space="0" w:color="auto"/>
        <w:left w:val="none" w:sz="0" w:space="0" w:color="auto"/>
        <w:bottom w:val="none" w:sz="0" w:space="0" w:color="auto"/>
        <w:right w:val="none" w:sz="0" w:space="0" w:color="auto"/>
      </w:divBdr>
    </w:div>
    <w:div w:id="1384871314">
      <w:bodyDiv w:val="1"/>
      <w:marLeft w:val="0"/>
      <w:marRight w:val="0"/>
      <w:marTop w:val="0"/>
      <w:marBottom w:val="0"/>
      <w:divBdr>
        <w:top w:val="none" w:sz="0" w:space="0" w:color="auto"/>
        <w:left w:val="none" w:sz="0" w:space="0" w:color="auto"/>
        <w:bottom w:val="none" w:sz="0" w:space="0" w:color="auto"/>
        <w:right w:val="none" w:sz="0" w:space="0" w:color="auto"/>
      </w:divBdr>
    </w:div>
    <w:div w:id="1385594555">
      <w:bodyDiv w:val="1"/>
      <w:marLeft w:val="0"/>
      <w:marRight w:val="0"/>
      <w:marTop w:val="0"/>
      <w:marBottom w:val="0"/>
      <w:divBdr>
        <w:top w:val="none" w:sz="0" w:space="0" w:color="auto"/>
        <w:left w:val="none" w:sz="0" w:space="0" w:color="auto"/>
        <w:bottom w:val="none" w:sz="0" w:space="0" w:color="auto"/>
        <w:right w:val="none" w:sz="0" w:space="0" w:color="auto"/>
      </w:divBdr>
    </w:div>
    <w:div w:id="1392384531">
      <w:bodyDiv w:val="1"/>
      <w:marLeft w:val="0"/>
      <w:marRight w:val="0"/>
      <w:marTop w:val="0"/>
      <w:marBottom w:val="0"/>
      <w:divBdr>
        <w:top w:val="none" w:sz="0" w:space="0" w:color="auto"/>
        <w:left w:val="none" w:sz="0" w:space="0" w:color="auto"/>
        <w:bottom w:val="none" w:sz="0" w:space="0" w:color="auto"/>
        <w:right w:val="none" w:sz="0" w:space="0" w:color="auto"/>
      </w:divBdr>
    </w:div>
    <w:div w:id="1403259044">
      <w:bodyDiv w:val="1"/>
      <w:marLeft w:val="0"/>
      <w:marRight w:val="0"/>
      <w:marTop w:val="0"/>
      <w:marBottom w:val="0"/>
      <w:divBdr>
        <w:top w:val="none" w:sz="0" w:space="0" w:color="auto"/>
        <w:left w:val="none" w:sz="0" w:space="0" w:color="auto"/>
        <w:bottom w:val="none" w:sz="0" w:space="0" w:color="auto"/>
        <w:right w:val="none" w:sz="0" w:space="0" w:color="auto"/>
      </w:divBdr>
    </w:div>
    <w:div w:id="1418861311">
      <w:bodyDiv w:val="1"/>
      <w:marLeft w:val="0"/>
      <w:marRight w:val="0"/>
      <w:marTop w:val="0"/>
      <w:marBottom w:val="0"/>
      <w:divBdr>
        <w:top w:val="none" w:sz="0" w:space="0" w:color="auto"/>
        <w:left w:val="none" w:sz="0" w:space="0" w:color="auto"/>
        <w:bottom w:val="none" w:sz="0" w:space="0" w:color="auto"/>
        <w:right w:val="none" w:sz="0" w:space="0" w:color="auto"/>
      </w:divBdr>
    </w:div>
    <w:div w:id="1436048924">
      <w:bodyDiv w:val="1"/>
      <w:marLeft w:val="0"/>
      <w:marRight w:val="0"/>
      <w:marTop w:val="0"/>
      <w:marBottom w:val="0"/>
      <w:divBdr>
        <w:top w:val="none" w:sz="0" w:space="0" w:color="auto"/>
        <w:left w:val="none" w:sz="0" w:space="0" w:color="auto"/>
        <w:bottom w:val="none" w:sz="0" w:space="0" w:color="auto"/>
        <w:right w:val="none" w:sz="0" w:space="0" w:color="auto"/>
      </w:divBdr>
    </w:div>
    <w:div w:id="1457798293">
      <w:bodyDiv w:val="1"/>
      <w:marLeft w:val="0"/>
      <w:marRight w:val="0"/>
      <w:marTop w:val="0"/>
      <w:marBottom w:val="0"/>
      <w:divBdr>
        <w:top w:val="none" w:sz="0" w:space="0" w:color="auto"/>
        <w:left w:val="none" w:sz="0" w:space="0" w:color="auto"/>
        <w:bottom w:val="none" w:sz="0" w:space="0" w:color="auto"/>
        <w:right w:val="none" w:sz="0" w:space="0" w:color="auto"/>
      </w:divBdr>
    </w:div>
    <w:div w:id="1478766336">
      <w:bodyDiv w:val="1"/>
      <w:marLeft w:val="0"/>
      <w:marRight w:val="0"/>
      <w:marTop w:val="0"/>
      <w:marBottom w:val="0"/>
      <w:divBdr>
        <w:top w:val="none" w:sz="0" w:space="0" w:color="auto"/>
        <w:left w:val="none" w:sz="0" w:space="0" w:color="auto"/>
        <w:bottom w:val="none" w:sz="0" w:space="0" w:color="auto"/>
        <w:right w:val="none" w:sz="0" w:space="0" w:color="auto"/>
      </w:divBdr>
    </w:div>
    <w:div w:id="1482187751">
      <w:bodyDiv w:val="1"/>
      <w:marLeft w:val="0"/>
      <w:marRight w:val="0"/>
      <w:marTop w:val="0"/>
      <w:marBottom w:val="0"/>
      <w:divBdr>
        <w:top w:val="none" w:sz="0" w:space="0" w:color="auto"/>
        <w:left w:val="none" w:sz="0" w:space="0" w:color="auto"/>
        <w:bottom w:val="none" w:sz="0" w:space="0" w:color="auto"/>
        <w:right w:val="none" w:sz="0" w:space="0" w:color="auto"/>
      </w:divBdr>
    </w:div>
    <w:div w:id="1513110096">
      <w:bodyDiv w:val="1"/>
      <w:marLeft w:val="0"/>
      <w:marRight w:val="0"/>
      <w:marTop w:val="0"/>
      <w:marBottom w:val="0"/>
      <w:divBdr>
        <w:top w:val="none" w:sz="0" w:space="0" w:color="auto"/>
        <w:left w:val="none" w:sz="0" w:space="0" w:color="auto"/>
        <w:bottom w:val="none" w:sz="0" w:space="0" w:color="auto"/>
        <w:right w:val="none" w:sz="0" w:space="0" w:color="auto"/>
      </w:divBdr>
    </w:div>
    <w:div w:id="1547597154">
      <w:bodyDiv w:val="1"/>
      <w:marLeft w:val="0"/>
      <w:marRight w:val="0"/>
      <w:marTop w:val="0"/>
      <w:marBottom w:val="0"/>
      <w:divBdr>
        <w:top w:val="none" w:sz="0" w:space="0" w:color="auto"/>
        <w:left w:val="none" w:sz="0" w:space="0" w:color="auto"/>
        <w:bottom w:val="none" w:sz="0" w:space="0" w:color="auto"/>
        <w:right w:val="none" w:sz="0" w:space="0" w:color="auto"/>
      </w:divBdr>
    </w:div>
    <w:div w:id="1573737075">
      <w:bodyDiv w:val="1"/>
      <w:marLeft w:val="0"/>
      <w:marRight w:val="0"/>
      <w:marTop w:val="0"/>
      <w:marBottom w:val="0"/>
      <w:divBdr>
        <w:top w:val="none" w:sz="0" w:space="0" w:color="auto"/>
        <w:left w:val="none" w:sz="0" w:space="0" w:color="auto"/>
        <w:bottom w:val="none" w:sz="0" w:space="0" w:color="auto"/>
        <w:right w:val="none" w:sz="0" w:space="0" w:color="auto"/>
      </w:divBdr>
    </w:div>
    <w:div w:id="1581208055">
      <w:bodyDiv w:val="1"/>
      <w:marLeft w:val="0"/>
      <w:marRight w:val="0"/>
      <w:marTop w:val="0"/>
      <w:marBottom w:val="0"/>
      <w:divBdr>
        <w:top w:val="none" w:sz="0" w:space="0" w:color="auto"/>
        <w:left w:val="none" w:sz="0" w:space="0" w:color="auto"/>
        <w:bottom w:val="none" w:sz="0" w:space="0" w:color="auto"/>
        <w:right w:val="none" w:sz="0" w:space="0" w:color="auto"/>
      </w:divBdr>
    </w:div>
    <w:div w:id="1624383813">
      <w:bodyDiv w:val="1"/>
      <w:marLeft w:val="0"/>
      <w:marRight w:val="0"/>
      <w:marTop w:val="0"/>
      <w:marBottom w:val="0"/>
      <w:divBdr>
        <w:top w:val="none" w:sz="0" w:space="0" w:color="auto"/>
        <w:left w:val="none" w:sz="0" w:space="0" w:color="auto"/>
        <w:bottom w:val="none" w:sz="0" w:space="0" w:color="auto"/>
        <w:right w:val="none" w:sz="0" w:space="0" w:color="auto"/>
      </w:divBdr>
    </w:div>
    <w:div w:id="1624993658">
      <w:bodyDiv w:val="1"/>
      <w:marLeft w:val="0"/>
      <w:marRight w:val="0"/>
      <w:marTop w:val="0"/>
      <w:marBottom w:val="0"/>
      <w:divBdr>
        <w:top w:val="none" w:sz="0" w:space="0" w:color="auto"/>
        <w:left w:val="none" w:sz="0" w:space="0" w:color="auto"/>
        <w:bottom w:val="none" w:sz="0" w:space="0" w:color="auto"/>
        <w:right w:val="none" w:sz="0" w:space="0" w:color="auto"/>
      </w:divBdr>
    </w:div>
    <w:div w:id="1651254946">
      <w:bodyDiv w:val="1"/>
      <w:marLeft w:val="0"/>
      <w:marRight w:val="0"/>
      <w:marTop w:val="0"/>
      <w:marBottom w:val="0"/>
      <w:divBdr>
        <w:top w:val="none" w:sz="0" w:space="0" w:color="auto"/>
        <w:left w:val="none" w:sz="0" w:space="0" w:color="auto"/>
        <w:bottom w:val="none" w:sz="0" w:space="0" w:color="auto"/>
        <w:right w:val="none" w:sz="0" w:space="0" w:color="auto"/>
      </w:divBdr>
    </w:div>
    <w:div w:id="1670257552">
      <w:bodyDiv w:val="1"/>
      <w:marLeft w:val="0"/>
      <w:marRight w:val="0"/>
      <w:marTop w:val="0"/>
      <w:marBottom w:val="0"/>
      <w:divBdr>
        <w:top w:val="none" w:sz="0" w:space="0" w:color="auto"/>
        <w:left w:val="none" w:sz="0" w:space="0" w:color="auto"/>
        <w:bottom w:val="none" w:sz="0" w:space="0" w:color="auto"/>
        <w:right w:val="none" w:sz="0" w:space="0" w:color="auto"/>
      </w:divBdr>
    </w:div>
    <w:div w:id="1684822632">
      <w:bodyDiv w:val="1"/>
      <w:marLeft w:val="0"/>
      <w:marRight w:val="0"/>
      <w:marTop w:val="0"/>
      <w:marBottom w:val="0"/>
      <w:divBdr>
        <w:top w:val="none" w:sz="0" w:space="0" w:color="auto"/>
        <w:left w:val="none" w:sz="0" w:space="0" w:color="auto"/>
        <w:bottom w:val="none" w:sz="0" w:space="0" w:color="auto"/>
        <w:right w:val="none" w:sz="0" w:space="0" w:color="auto"/>
      </w:divBdr>
    </w:div>
    <w:div w:id="1699617925">
      <w:bodyDiv w:val="1"/>
      <w:marLeft w:val="0"/>
      <w:marRight w:val="0"/>
      <w:marTop w:val="0"/>
      <w:marBottom w:val="0"/>
      <w:divBdr>
        <w:top w:val="none" w:sz="0" w:space="0" w:color="auto"/>
        <w:left w:val="none" w:sz="0" w:space="0" w:color="auto"/>
        <w:bottom w:val="none" w:sz="0" w:space="0" w:color="auto"/>
        <w:right w:val="none" w:sz="0" w:space="0" w:color="auto"/>
      </w:divBdr>
    </w:div>
    <w:div w:id="1702705430">
      <w:bodyDiv w:val="1"/>
      <w:marLeft w:val="0"/>
      <w:marRight w:val="0"/>
      <w:marTop w:val="0"/>
      <w:marBottom w:val="0"/>
      <w:divBdr>
        <w:top w:val="none" w:sz="0" w:space="0" w:color="auto"/>
        <w:left w:val="none" w:sz="0" w:space="0" w:color="auto"/>
        <w:bottom w:val="none" w:sz="0" w:space="0" w:color="auto"/>
        <w:right w:val="none" w:sz="0" w:space="0" w:color="auto"/>
      </w:divBdr>
    </w:div>
    <w:div w:id="1703901748">
      <w:bodyDiv w:val="1"/>
      <w:marLeft w:val="0"/>
      <w:marRight w:val="0"/>
      <w:marTop w:val="0"/>
      <w:marBottom w:val="0"/>
      <w:divBdr>
        <w:top w:val="none" w:sz="0" w:space="0" w:color="auto"/>
        <w:left w:val="none" w:sz="0" w:space="0" w:color="auto"/>
        <w:bottom w:val="none" w:sz="0" w:space="0" w:color="auto"/>
        <w:right w:val="none" w:sz="0" w:space="0" w:color="auto"/>
      </w:divBdr>
    </w:div>
    <w:div w:id="1726831504">
      <w:bodyDiv w:val="1"/>
      <w:marLeft w:val="0"/>
      <w:marRight w:val="0"/>
      <w:marTop w:val="0"/>
      <w:marBottom w:val="0"/>
      <w:divBdr>
        <w:top w:val="none" w:sz="0" w:space="0" w:color="auto"/>
        <w:left w:val="none" w:sz="0" w:space="0" w:color="auto"/>
        <w:bottom w:val="none" w:sz="0" w:space="0" w:color="auto"/>
        <w:right w:val="none" w:sz="0" w:space="0" w:color="auto"/>
      </w:divBdr>
    </w:div>
    <w:div w:id="1755784627">
      <w:bodyDiv w:val="1"/>
      <w:marLeft w:val="0"/>
      <w:marRight w:val="0"/>
      <w:marTop w:val="0"/>
      <w:marBottom w:val="0"/>
      <w:divBdr>
        <w:top w:val="none" w:sz="0" w:space="0" w:color="auto"/>
        <w:left w:val="none" w:sz="0" w:space="0" w:color="auto"/>
        <w:bottom w:val="none" w:sz="0" w:space="0" w:color="auto"/>
        <w:right w:val="none" w:sz="0" w:space="0" w:color="auto"/>
      </w:divBdr>
    </w:div>
    <w:div w:id="1763719286">
      <w:bodyDiv w:val="1"/>
      <w:marLeft w:val="0"/>
      <w:marRight w:val="0"/>
      <w:marTop w:val="0"/>
      <w:marBottom w:val="0"/>
      <w:divBdr>
        <w:top w:val="none" w:sz="0" w:space="0" w:color="auto"/>
        <w:left w:val="none" w:sz="0" w:space="0" w:color="auto"/>
        <w:bottom w:val="none" w:sz="0" w:space="0" w:color="auto"/>
        <w:right w:val="none" w:sz="0" w:space="0" w:color="auto"/>
      </w:divBdr>
    </w:div>
    <w:div w:id="1770003019">
      <w:bodyDiv w:val="1"/>
      <w:marLeft w:val="0"/>
      <w:marRight w:val="0"/>
      <w:marTop w:val="0"/>
      <w:marBottom w:val="0"/>
      <w:divBdr>
        <w:top w:val="none" w:sz="0" w:space="0" w:color="auto"/>
        <w:left w:val="none" w:sz="0" w:space="0" w:color="auto"/>
        <w:bottom w:val="none" w:sz="0" w:space="0" w:color="auto"/>
        <w:right w:val="none" w:sz="0" w:space="0" w:color="auto"/>
      </w:divBdr>
    </w:div>
    <w:div w:id="1813982450">
      <w:bodyDiv w:val="1"/>
      <w:marLeft w:val="0"/>
      <w:marRight w:val="0"/>
      <w:marTop w:val="0"/>
      <w:marBottom w:val="0"/>
      <w:divBdr>
        <w:top w:val="none" w:sz="0" w:space="0" w:color="auto"/>
        <w:left w:val="none" w:sz="0" w:space="0" w:color="auto"/>
        <w:bottom w:val="none" w:sz="0" w:space="0" w:color="auto"/>
        <w:right w:val="none" w:sz="0" w:space="0" w:color="auto"/>
      </w:divBdr>
    </w:div>
    <w:div w:id="1827044541">
      <w:bodyDiv w:val="1"/>
      <w:marLeft w:val="0"/>
      <w:marRight w:val="0"/>
      <w:marTop w:val="0"/>
      <w:marBottom w:val="0"/>
      <w:divBdr>
        <w:top w:val="none" w:sz="0" w:space="0" w:color="auto"/>
        <w:left w:val="none" w:sz="0" w:space="0" w:color="auto"/>
        <w:bottom w:val="none" w:sz="0" w:space="0" w:color="auto"/>
        <w:right w:val="none" w:sz="0" w:space="0" w:color="auto"/>
      </w:divBdr>
    </w:div>
    <w:div w:id="1832017030">
      <w:bodyDiv w:val="1"/>
      <w:marLeft w:val="0"/>
      <w:marRight w:val="0"/>
      <w:marTop w:val="0"/>
      <w:marBottom w:val="0"/>
      <w:divBdr>
        <w:top w:val="none" w:sz="0" w:space="0" w:color="auto"/>
        <w:left w:val="none" w:sz="0" w:space="0" w:color="auto"/>
        <w:bottom w:val="none" w:sz="0" w:space="0" w:color="auto"/>
        <w:right w:val="none" w:sz="0" w:space="0" w:color="auto"/>
      </w:divBdr>
    </w:div>
    <w:div w:id="1836064533">
      <w:bodyDiv w:val="1"/>
      <w:marLeft w:val="0"/>
      <w:marRight w:val="0"/>
      <w:marTop w:val="0"/>
      <w:marBottom w:val="0"/>
      <w:divBdr>
        <w:top w:val="none" w:sz="0" w:space="0" w:color="auto"/>
        <w:left w:val="none" w:sz="0" w:space="0" w:color="auto"/>
        <w:bottom w:val="none" w:sz="0" w:space="0" w:color="auto"/>
        <w:right w:val="none" w:sz="0" w:space="0" w:color="auto"/>
      </w:divBdr>
    </w:div>
    <w:div w:id="1864856133">
      <w:bodyDiv w:val="1"/>
      <w:marLeft w:val="0"/>
      <w:marRight w:val="0"/>
      <w:marTop w:val="0"/>
      <w:marBottom w:val="0"/>
      <w:divBdr>
        <w:top w:val="none" w:sz="0" w:space="0" w:color="auto"/>
        <w:left w:val="none" w:sz="0" w:space="0" w:color="auto"/>
        <w:bottom w:val="none" w:sz="0" w:space="0" w:color="auto"/>
        <w:right w:val="none" w:sz="0" w:space="0" w:color="auto"/>
      </w:divBdr>
    </w:div>
    <w:div w:id="1891379805">
      <w:bodyDiv w:val="1"/>
      <w:marLeft w:val="0"/>
      <w:marRight w:val="0"/>
      <w:marTop w:val="0"/>
      <w:marBottom w:val="0"/>
      <w:divBdr>
        <w:top w:val="none" w:sz="0" w:space="0" w:color="auto"/>
        <w:left w:val="none" w:sz="0" w:space="0" w:color="auto"/>
        <w:bottom w:val="none" w:sz="0" w:space="0" w:color="auto"/>
        <w:right w:val="none" w:sz="0" w:space="0" w:color="auto"/>
      </w:divBdr>
    </w:div>
    <w:div w:id="1968505824">
      <w:bodyDiv w:val="1"/>
      <w:marLeft w:val="0"/>
      <w:marRight w:val="0"/>
      <w:marTop w:val="0"/>
      <w:marBottom w:val="0"/>
      <w:divBdr>
        <w:top w:val="none" w:sz="0" w:space="0" w:color="auto"/>
        <w:left w:val="none" w:sz="0" w:space="0" w:color="auto"/>
        <w:bottom w:val="none" w:sz="0" w:space="0" w:color="auto"/>
        <w:right w:val="none" w:sz="0" w:space="0" w:color="auto"/>
      </w:divBdr>
    </w:div>
    <w:div w:id="1977484326">
      <w:bodyDiv w:val="1"/>
      <w:marLeft w:val="0"/>
      <w:marRight w:val="0"/>
      <w:marTop w:val="0"/>
      <w:marBottom w:val="0"/>
      <w:divBdr>
        <w:top w:val="none" w:sz="0" w:space="0" w:color="auto"/>
        <w:left w:val="none" w:sz="0" w:space="0" w:color="auto"/>
        <w:bottom w:val="none" w:sz="0" w:space="0" w:color="auto"/>
        <w:right w:val="none" w:sz="0" w:space="0" w:color="auto"/>
      </w:divBdr>
    </w:div>
    <w:div w:id="1984775286">
      <w:bodyDiv w:val="1"/>
      <w:marLeft w:val="0"/>
      <w:marRight w:val="0"/>
      <w:marTop w:val="0"/>
      <w:marBottom w:val="0"/>
      <w:divBdr>
        <w:top w:val="none" w:sz="0" w:space="0" w:color="auto"/>
        <w:left w:val="none" w:sz="0" w:space="0" w:color="auto"/>
        <w:bottom w:val="none" w:sz="0" w:space="0" w:color="auto"/>
        <w:right w:val="none" w:sz="0" w:space="0" w:color="auto"/>
      </w:divBdr>
    </w:div>
    <w:div w:id="1988195685">
      <w:bodyDiv w:val="1"/>
      <w:marLeft w:val="0"/>
      <w:marRight w:val="0"/>
      <w:marTop w:val="0"/>
      <w:marBottom w:val="0"/>
      <w:divBdr>
        <w:top w:val="none" w:sz="0" w:space="0" w:color="auto"/>
        <w:left w:val="none" w:sz="0" w:space="0" w:color="auto"/>
        <w:bottom w:val="none" w:sz="0" w:space="0" w:color="auto"/>
        <w:right w:val="none" w:sz="0" w:space="0" w:color="auto"/>
      </w:divBdr>
    </w:div>
    <w:div w:id="1994408362">
      <w:bodyDiv w:val="1"/>
      <w:marLeft w:val="0"/>
      <w:marRight w:val="0"/>
      <w:marTop w:val="0"/>
      <w:marBottom w:val="0"/>
      <w:divBdr>
        <w:top w:val="none" w:sz="0" w:space="0" w:color="auto"/>
        <w:left w:val="none" w:sz="0" w:space="0" w:color="auto"/>
        <w:bottom w:val="none" w:sz="0" w:space="0" w:color="auto"/>
        <w:right w:val="none" w:sz="0" w:space="0" w:color="auto"/>
      </w:divBdr>
    </w:div>
    <w:div w:id="2027440409">
      <w:bodyDiv w:val="1"/>
      <w:marLeft w:val="0"/>
      <w:marRight w:val="0"/>
      <w:marTop w:val="0"/>
      <w:marBottom w:val="0"/>
      <w:divBdr>
        <w:top w:val="none" w:sz="0" w:space="0" w:color="auto"/>
        <w:left w:val="none" w:sz="0" w:space="0" w:color="auto"/>
        <w:bottom w:val="none" w:sz="0" w:space="0" w:color="auto"/>
        <w:right w:val="none" w:sz="0" w:space="0" w:color="auto"/>
      </w:divBdr>
    </w:div>
    <w:div w:id="2029869225">
      <w:bodyDiv w:val="1"/>
      <w:marLeft w:val="0"/>
      <w:marRight w:val="0"/>
      <w:marTop w:val="0"/>
      <w:marBottom w:val="0"/>
      <w:divBdr>
        <w:top w:val="none" w:sz="0" w:space="0" w:color="auto"/>
        <w:left w:val="none" w:sz="0" w:space="0" w:color="auto"/>
        <w:bottom w:val="none" w:sz="0" w:space="0" w:color="auto"/>
        <w:right w:val="none" w:sz="0" w:space="0" w:color="auto"/>
      </w:divBdr>
    </w:div>
    <w:div w:id="2035424421">
      <w:bodyDiv w:val="1"/>
      <w:marLeft w:val="0"/>
      <w:marRight w:val="0"/>
      <w:marTop w:val="0"/>
      <w:marBottom w:val="0"/>
      <w:divBdr>
        <w:top w:val="none" w:sz="0" w:space="0" w:color="auto"/>
        <w:left w:val="none" w:sz="0" w:space="0" w:color="auto"/>
        <w:bottom w:val="none" w:sz="0" w:space="0" w:color="auto"/>
        <w:right w:val="none" w:sz="0" w:space="0" w:color="auto"/>
      </w:divBdr>
    </w:div>
    <w:div w:id="2038385990">
      <w:bodyDiv w:val="1"/>
      <w:marLeft w:val="0"/>
      <w:marRight w:val="0"/>
      <w:marTop w:val="0"/>
      <w:marBottom w:val="0"/>
      <w:divBdr>
        <w:top w:val="none" w:sz="0" w:space="0" w:color="auto"/>
        <w:left w:val="none" w:sz="0" w:space="0" w:color="auto"/>
        <w:bottom w:val="none" w:sz="0" w:space="0" w:color="auto"/>
        <w:right w:val="none" w:sz="0" w:space="0" w:color="auto"/>
      </w:divBdr>
    </w:div>
    <w:div w:id="2066634785">
      <w:bodyDiv w:val="1"/>
      <w:marLeft w:val="0"/>
      <w:marRight w:val="0"/>
      <w:marTop w:val="0"/>
      <w:marBottom w:val="0"/>
      <w:divBdr>
        <w:top w:val="none" w:sz="0" w:space="0" w:color="auto"/>
        <w:left w:val="none" w:sz="0" w:space="0" w:color="auto"/>
        <w:bottom w:val="none" w:sz="0" w:space="0" w:color="auto"/>
        <w:right w:val="none" w:sz="0" w:space="0" w:color="auto"/>
      </w:divBdr>
    </w:div>
    <w:div w:id="2067604353">
      <w:bodyDiv w:val="1"/>
      <w:marLeft w:val="0"/>
      <w:marRight w:val="0"/>
      <w:marTop w:val="0"/>
      <w:marBottom w:val="0"/>
      <w:divBdr>
        <w:top w:val="none" w:sz="0" w:space="0" w:color="auto"/>
        <w:left w:val="none" w:sz="0" w:space="0" w:color="auto"/>
        <w:bottom w:val="none" w:sz="0" w:space="0" w:color="auto"/>
        <w:right w:val="none" w:sz="0" w:space="0" w:color="auto"/>
      </w:divBdr>
    </w:div>
    <w:div w:id="208425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hammerson.com%2Finvestors%2Freports-results-presentations&amp;data=04%7C01%7CCatrin.Sharp%40hammerson.com%7Ca8ef032d9e274070a57408d95598709b%7C22f66ba69d6948fb9f4e2f3259a62519%7C1%7C0%7C637634935469893159%7CUnknown%7CTWFpbGZsb3d8eyJWIjoiMC4wLjAwMDAiLCJQIjoiV2luMzIiLCJBTiI6Ik1haWwiLCJXVCI6Mn0%3D%7C1000&amp;sdata=xzz%2BF53VOmeqc36lDgae3M6RODXGzuT7Gqt0q1cZiX8%3D&amp;reserved=0" TargetMode="External"/><Relationship Id="rId13" Type="http://schemas.openxmlformats.org/officeDocument/2006/relationships/image" Target="media/image2.png"/><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mmerson@mhpgrou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talie.gunson@hammerson.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josh.warren@hammerson.com" TargetMode="External"/><Relationship Id="rId14" Type="http://schemas.openxmlformats.org/officeDocument/2006/relationships/footer" Target="footer1.xml"/></Relationships>
</file>

<file path=word/theme/theme1.xml><?xml version="1.0" encoding="utf-8"?>
<a:theme xmlns:a="http://schemas.openxmlformats.org/drawingml/2006/main" name="Theme1">
  <a:themeElements>
    <a:clrScheme name="Hammerson">
      <a:dk1>
        <a:sysClr val="windowText" lastClr="000000"/>
      </a:dk1>
      <a:lt1>
        <a:sysClr val="window" lastClr="FFFFFF"/>
      </a:lt1>
      <a:dk2>
        <a:srgbClr val="DBD9D6"/>
      </a:dk2>
      <a:lt2>
        <a:srgbClr val="FFFFFF"/>
      </a:lt2>
      <a:accent1>
        <a:srgbClr val="3D7FE0"/>
      </a:accent1>
      <a:accent2>
        <a:srgbClr val="33D9C3"/>
      </a:accent2>
      <a:accent3>
        <a:srgbClr val="FF5B35"/>
      </a:accent3>
      <a:accent4>
        <a:srgbClr val="DBD9D6"/>
      </a:accent4>
      <a:accent5>
        <a:srgbClr val="595959"/>
      </a:accent5>
      <a:accent6>
        <a:srgbClr val="FFFFFF"/>
      </a:accent6>
      <a:hlink>
        <a:srgbClr val="000000"/>
      </a:hlink>
      <a:folHlink>
        <a:srgbClr val="3D7FE0"/>
      </a:folHlink>
    </a:clrScheme>
    <a:fontScheme name="Hammerson">
      <a:majorFont>
        <a:latin typeface="Futura ND"/>
        <a:ea typeface=""/>
        <a:cs typeface=""/>
      </a:majorFont>
      <a:minorFont>
        <a:latin typeface="Futura ND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Hammerson Document" ma:contentTypeID="0x010100EAA8204F0E1BD945B186AA76C5B89C7200A4C2ADC136BAA84A83CD7A95110CD42D" ma:contentTypeVersion="28" ma:contentTypeDescription="Create a new document." ma:contentTypeScope="" ma:versionID="06ac186508c3d119204cc655ffc4dec4">
  <xsd:schema xmlns:xsd="http://www.w3.org/2001/XMLSchema" xmlns:xs="http://www.w3.org/2001/XMLSchema" xmlns:p="http://schemas.microsoft.com/office/2006/metadata/properties" xmlns:ns2="145e18ff-c0b1-4aab-8301-11e6ea5fef6c" xmlns:ns3="a2210a29-2a07-4a86-a2ab-6da3bed71e5c" targetNamespace="http://schemas.microsoft.com/office/2006/metadata/properties" ma:root="true" ma:fieldsID="7c29ea24dcad92a77875bea2ec83c3e1" ns2:_="" ns3:_="">
    <xsd:import namespace="145e18ff-c0b1-4aab-8301-11e6ea5fef6c"/>
    <xsd:import namespace="a2210a29-2a07-4a86-a2ab-6da3bed71e5c"/>
    <xsd:element name="properties">
      <xsd:complexType>
        <xsd:sequence>
          <xsd:element name="documentManagement">
            <xsd:complexType>
              <xsd:all>
                <xsd:element ref="ns2:TaxCatchAll" minOccurs="0"/>
                <xsd:element ref="ns2:TaxCatchAllLabel" minOccurs="0"/>
                <xsd:element ref="ns2:Territory" minOccurs="0"/>
                <xsd:element ref="ns2:PWSOwner" minOccurs="0"/>
                <xsd:element ref="ns2:UnitStatus" minOccurs="0"/>
                <xsd:element ref="ns2:LeaseStartDate" minOccurs="0"/>
                <xsd:element ref="ns2:LeaseRenewalDate" minOccurs="0"/>
                <xsd:element ref="ns2:ItemStatus" minOccurs="0"/>
                <xsd:element ref="ns2:i5dd39617813416490115ad94e5c1292" minOccurs="0"/>
                <xsd:element ref="ns2:a48295431db349deb788540e549ef42b" minOccurs="0"/>
                <xsd:element ref="ns2:c53cdee65dab465cab62ea74b7f3d680" minOccurs="0"/>
                <xsd:element ref="ns2:n14a117fd079414aaf5fd38546f8785f" minOccurs="0"/>
                <xsd:element ref="ns2:i523fdbaec1f421e91b627b60dfc61d1" minOccurs="0"/>
                <xsd:element ref="ns2:a82a1bdf458c4598bf9e73c75683dbb3" minOccurs="0"/>
                <xsd:element ref="ns2:maf257984922454f99af61153493e1c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e18ff-c0b1-4aab-8301-11e6ea5fef6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21ef72-4159-480f-892a-7ccfadfc512f}" ma:internalName="TaxCatchAll" ma:showField="CatchAllData" ma:web="a2210a29-2a07-4a86-a2ab-6da3bed71e5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a21ef72-4159-480f-892a-7ccfadfc512f}" ma:internalName="TaxCatchAllLabel" ma:readOnly="true" ma:showField="CatchAllDataLabel" ma:web="a2210a29-2a07-4a86-a2ab-6da3bed71e5c">
      <xsd:complexType>
        <xsd:complexContent>
          <xsd:extension base="dms:MultiChoiceLookup">
            <xsd:sequence>
              <xsd:element name="Value" type="dms:Lookup" maxOccurs="unbounded" minOccurs="0" nillable="true"/>
            </xsd:sequence>
          </xsd:extension>
        </xsd:complexContent>
      </xsd:complexType>
    </xsd:element>
    <xsd:element name="Territory" ma:index="10" nillable="true" ma:displayName="Territory" ma:internalName="Territory">
      <xsd:simpleType>
        <xsd:restriction base="dms:Choice">
          <xsd:enumeration value="France"/>
          <xsd:enumeration value="Ireland"/>
          <xsd:enumeration value="United Kingdom"/>
        </xsd:restriction>
      </xsd:simpleType>
    </xsd:element>
    <xsd:element name="PWSOwner" ma:index="11" nillable="true" ma:displayName="PWS Owner" ma:internalName="PWS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tStatus" ma:index="12" nillable="true" ma:displayName="Unit Status" ma:internalName="UnitStatus">
      <xsd:simpleType>
        <xsd:restriction base="dms:Choice">
          <xsd:enumeration value="Awaiting Lease"/>
          <xsd:enumeration value="Disposed"/>
          <xsd:enumeration value="Let"/>
          <xsd:enumeration value="Let Inclusive"/>
          <xsd:enumeration value="Vancant (Available)"/>
          <xsd:enumeration value="Vacant (Pre Let)"/>
          <xsd:enumeration value="Vacant (Unavailable)"/>
        </xsd:restriction>
      </xsd:simpleType>
    </xsd:element>
    <xsd:element name="LeaseStartDate" ma:index="13" nillable="true" ma:displayName="Lease Start Date" ma:internalName="LeaseStartDate">
      <xsd:simpleType>
        <xsd:restriction base="dms:DateTime"/>
      </xsd:simpleType>
    </xsd:element>
    <xsd:element name="LeaseRenewalDate" ma:index="14" nillable="true" ma:displayName="Lease Renewal Date" ma:internalName="LeaseRenewalDate">
      <xsd:simpleType>
        <xsd:restriction base="dms:DateTime"/>
      </xsd:simpleType>
    </xsd:element>
    <xsd:element name="ItemStatus" ma:index="16" nillable="true" ma:displayName="Status" ma:internalName="ItemStatus">
      <xsd:simpleType>
        <xsd:restriction base="dms:Choice">
          <xsd:enumeration value="Marked for Archive"/>
          <xsd:enumeration value="Marked for Deletion"/>
          <xsd:enumeration value="Currently Active"/>
        </xsd:restriction>
      </xsd:simpleType>
    </xsd:element>
    <xsd:element name="i5dd39617813416490115ad94e5c1292" ma:index="17" nillable="true" ma:taxonomy="true" ma:internalName="i5dd39617813416490115ad94e5c1292" ma:taxonomyFieldName="PropertyUnit" ma:displayName="Property Unit" ma:fieldId="{25dd3961-7813-4164-9011-5ad94e5c1292}" ma:sspId="ac306ab6-669b-4ffa-ba25-5cb32b3c7252" ma:termSetId="57e41760-d696-4e63-885b-80774cb6ddf9" ma:anchorId="00000000-0000-0000-0000-000000000000" ma:open="false" ma:isKeyword="false">
      <xsd:complexType>
        <xsd:sequence>
          <xsd:element ref="pc:Terms" minOccurs="0" maxOccurs="1"/>
        </xsd:sequence>
      </xsd:complexType>
    </xsd:element>
    <xsd:element name="a48295431db349deb788540e549ef42b" ma:index="19" nillable="true" ma:taxonomy="true" ma:internalName="a48295431db349deb788540e549ef42b" ma:taxonomyFieldName="ItemDepartment" ma:displayName="Department" ma:fieldId="{a4829543-1db3-49de-b788-540e549ef42b}" ma:sspId="ac306ab6-669b-4ffa-ba25-5cb32b3c7252" ma:termSetId="d508f2aa-aab2-4ab0-87d0-9db315ffaf49" ma:anchorId="00000000-0000-0000-0000-000000000000" ma:open="false" ma:isKeyword="false">
      <xsd:complexType>
        <xsd:sequence>
          <xsd:element ref="pc:Terms" minOccurs="0" maxOccurs="1"/>
        </xsd:sequence>
      </xsd:complexType>
    </xsd:element>
    <xsd:element name="c53cdee65dab465cab62ea74b7f3d680" ma:index="21" nillable="true" ma:taxonomy="true" ma:internalName="c53cdee65dab465cab62ea74b7f3d680" ma:taxonomyFieldName="ItemProject" ma:displayName="Project" ma:fieldId="{c53cdee6-5dab-465c-ab62-ea74b7f3d680}" ma:sspId="ac306ab6-669b-4ffa-ba25-5cb32b3c7252" ma:termSetId="b56a2266-1f66-41d9-99c5-e4af29c60c20" ma:anchorId="00000000-0000-0000-0000-000000000000" ma:open="false" ma:isKeyword="false">
      <xsd:complexType>
        <xsd:sequence>
          <xsd:element ref="pc:Terms" minOccurs="0" maxOccurs="1"/>
        </xsd:sequence>
      </xsd:complexType>
    </xsd:element>
    <xsd:element name="n14a117fd079414aaf5fd38546f8785f" ma:index="23" nillable="true" ma:taxonomy="true" ma:internalName="n14a117fd079414aaf5fd38546f8785f" ma:taxonomyFieldName="ItemCompany" ma:displayName="Company" ma:fieldId="{714a117f-d079-414a-af5f-d38546f8785f}" ma:sspId="ac306ab6-669b-4ffa-ba25-5cb32b3c7252" ma:termSetId="46187533-8d14-470a-932f-218c98a0ca53" ma:anchorId="00000000-0000-0000-0000-000000000000" ma:open="false" ma:isKeyword="false">
      <xsd:complexType>
        <xsd:sequence>
          <xsd:element ref="pc:Terms" minOccurs="0" maxOccurs="1"/>
        </xsd:sequence>
      </xsd:complexType>
    </xsd:element>
    <xsd:element name="i523fdbaec1f421e91b627b60dfc61d1" ma:index="25" nillable="true" ma:taxonomy="true" ma:internalName="i523fdbaec1f421e91b627b60dfc61d1" ma:taxonomyFieldName="ItemPeriod" ma:displayName="Period" ma:fieldId="{2523fdba-ec1f-421e-91b6-27b60dfc61d1}" ma:sspId="ac306ab6-669b-4ffa-ba25-5cb32b3c7252" ma:termSetId="107aefd8-c93f-4f9a-937b-9f0c8cc00445" ma:anchorId="00000000-0000-0000-0000-000000000000" ma:open="false" ma:isKeyword="false">
      <xsd:complexType>
        <xsd:sequence>
          <xsd:element ref="pc:Terms" minOccurs="0" maxOccurs="1"/>
        </xsd:sequence>
      </xsd:complexType>
    </xsd:element>
    <xsd:element name="a82a1bdf458c4598bf9e73c75683dbb3" ma:index="27" nillable="true" ma:taxonomy="true" ma:internalName="a82a1bdf458c4598bf9e73c75683dbb3" ma:taxonomyFieldName="ItemType" ma:displayName="Type" ma:fieldId="{a82a1bdf-458c-4598-bf9e-73c75683dbb3}" ma:sspId="ac306ab6-669b-4ffa-ba25-5cb32b3c7252" ma:termSetId="1cfec390-e21d-411d-9979-a75691dcb78c" ma:anchorId="00000000-0000-0000-0000-000000000000" ma:open="false" ma:isKeyword="false">
      <xsd:complexType>
        <xsd:sequence>
          <xsd:element ref="pc:Terms" minOccurs="0" maxOccurs="1"/>
        </xsd:sequence>
      </xsd:complexType>
    </xsd:element>
    <xsd:element name="maf257984922454f99af61153493e1c2" ma:index="29" nillable="true" ma:taxonomy="true" ma:internalName="maf257984922454f99af61153493e1c2" ma:taxonomyFieldName="ItemSubject" ma:displayName="Subject" ma:fieldId="{6af25798-4922-454f-99af-61153493e1c2}" ma:sspId="ac306ab6-669b-4ffa-ba25-5cb32b3c7252" ma:termSetId="46da3ce3-4c84-4c99-be5a-854d8e1634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210a29-2a07-4a86-a2ab-6da3bed71e5c"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306ab6-669b-4ffa-ba25-5cb32b3c7252" ContentTypeId="0x010100EAA8204F0E1BD945B186AA76C5B89C7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53cdee65dab465cab62ea74b7f3d680 xmlns="145e18ff-c0b1-4aab-8301-11e6ea5fef6c">
      <Terms xmlns="http://schemas.microsoft.com/office/infopath/2007/PartnerControls"/>
    </c53cdee65dab465cab62ea74b7f3d680>
    <n14a117fd079414aaf5fd38546f8785f xmlns="145e18ff-c0b1-4aab-8301-11e6ea5fef6c">
      <Terms xmlns="http://schemas.microsoft.com/office/infopath/2007/PartnerControls"/>
    </n14a117fd079414aaf5fd38546f8785f>
    <Territory xmlns="145e18ff-c0b1-4aab-8301-11e6ea5fef6c" xsi:nil="true"/>
    <PWSOwner xmlns="145e18ff-c0b1-4aab-8301-11e6ea5fef6c">
      <UserInfo>
        <DisplayName/>
        <AccountId xsi:nil="true"/>
        <AccountType/>
      </UserInfo>
    </PWSOwner>
    <LeaseStartDate xmlns="145e18ff-c0b1-4aab-8301-11e6ea5fef6c" xsi:nil="true"/>
    <i5dd39617813416490115ad94e5c1292 xmlns="145e18ff-c0b1-4aab-8301-11e6ea5fef6c">
      <Terms xmlns="http://schemas.microsoft.com/office/infopath/2007/PartnerControls"/>
    </i5dd39617813416490115ad94e5c1292>
    <a48295431db349deb788540e549ef42b xmlns="145e18ff-c0b1-4aab-8301-11e6ea5fef6c">
      <Terms xmlns="http://schemas.microsoft.com/office/infopath/2007/PartnerControls"/>
    </a48295431db349deb788540e549ef42b>
    <TaxCatchAll xmlns="145e18ff-c0b1-4aab-8301-11e6ea5fef6c" xsi:nil="true"/>
    <LeaseRenewalDate xmlns="145e18ff-c0b1-4aab-8301-11e6ea5fef6c" xsi:nil="true"/>
    <i523fdbaec1f421e91b627b60dfc61d1 xmlns="145e18ff-c0b1-4aab-8301-11e6ea5fef6c">
      <Terms xmlns="http://schemas.microsoft.com/office/infopath/2007/PartnerControls"/>
    </i523fdbaec1f421e91b627b60dfc61d1>
    <maf257984922454f99af61153493e1c2 xmlns="145e18ff-c0b1-4aab-8301-11e6ea5fef6c">
      <Terms xmlns="http://schemas.microsoft.com/office/infopath/2007/PartnerControls"/>
    </maf257984922454f99af61153493e1c2>
    <UnitStatus xmlns="145e18ff-c0b1-4aab-8301-11e6ea5fef6c" xsi:nil="true"/>
    <ItemStatus xmlns="145e18ff-c0b1-4aab-8301-11e6ea5fef6c" xsi:nil="true"/>
    <a82a1bdf458c4598bf9e73c75683dbb3 xmlns="145e18ff-c0b1-4aab-8301-11e6ea5fef6c">
      <Terms xmlns="http://schemas.microsoft.com/office/infopath/2007/PartnerControls"/>
    </a82a1bdf458c4598bf9e73c75683dbb3>
    <_dlc_DocId xmlns="a2210a29-2a07-4a86-a2ab-6da3bed71e5c">Z2PZ4ZFARNUF-800626057-129330</_dlc_DocId>
    <_dlc_DocIdUrl xmlns="a2210a29-2a07-4a86-a2ab-6da3bed71e5c">
      <Url>https://hammersonplc.sharepoint.com/sites/companysecretariat/_layouts/15/DocIdRedir.aspx?ID=Z2PZ4ZFARNUF-800626057-129330</Url>
      <Description>Z2PZ4ZFARNUF-800626057-129330</Description>
    </_dlc_DocIdUrl>
  </documentManagement>
</p:properties>
</file>

<file path=customXml/itemProps1.xml><?xml version="1.0" encoding="utf-8"?>
<ds:datastoreItem xmlns:ds="http://schemas.openxmlformats.org/officeDocument/2006/customXml" ds:itemID="{934B33B0-3EB6-404A-8D44-24D36ED0A44C}">
  <ds:schemaRefs>
    <ds:schemaRef ds:uri="http://schemas.openxmlformats.org/officeDocument/2006/bibliography"/>
  </ds:schemaRefs>
</ds:datastoreItem>
</file>

<file path=customXml/itemProps2.xml><?xml version="1.0" encoding="utf-8"?>
<ds:datastoreItem xmlns:ds="http://schemas.openxmlformats.org/officeDocument/2006/customXml" ds:itemID="{BF0AE1A9-5348-4E97-A7C4-B0EF679AA19B}"/>
</file>

<file path=customXml/itemProps3.xml><?xml version="1.0" encoding="utf-8"?>
<ds:datastoreItem xmlns:ds="http://schemas.openxmlformats.org/officeDocument/2006/customXml" ds:itemID="{D105D01F-AF7D-40E1-ACE6-B63EAEF40C35}"/>
</file>

<file path=customXml/itemProps4.xml><?xml version="1.0" encoding="utf-8"?>
<ds:datastoreItem xmlns:ds="http://schemas.openxmlformats.org/officeDocument/2006/customXml" ds:itemID="{6B2CA166-5619-49DA-A004-24068BE4808B}"/>
</file>

<file path=customXml/itemProps5.xml><?xml version="1.0" encoding="utf-8"?>
<ds:datastoreItem xmlns:ds="http://schemas.openxmlformats.org/officeDocument/2006/customXml" ds:itemID="{FCDD612B-235A-4CB0-8666-3F254502AAE2}"/>
</file>

<file path=customXml/itemProps6.xml><?xml version="1.0" encoding="utf-8"?>
<ds:datastoreItem xmlns:ds="http://schemas.openxmlformats.org/officeDocument/2006/customXml" ds:itemID="{9BE5FC28-DCDE-4D5B-878E-C0AE38E77DB5}"/>
</file>

<file path=docProps/app.xml><?xml version="1.0" encoding="utf-8"?>
<Properties xmlns="http://schemas.openxmlformats.org/officeDocument/2006/extended-properties" xmlns:vt="http://schemas.openxmlformats.org/officeDocument/2006/docPropsVTypes">
  <Template>Normal</Template>
  <TotalTime>34</TotalTime>
  <Pages>61</Pages>
  <Words>33327</Words>
  <Characters>174305</Characters>
  <Application>Microsoft Office Word</Application>
  <DocSecurity>0</DocSecurity>
  <Lines>6972</Lines>
  <Paragraphs>3053</Paragraphs>
  <ScaleCrop>false</ScaleCrop>
  <HeadingPairs>
    <vt:vector size="2" baseType="variant">
      <vt:variant>
        <vt:lpstr>Title</vt:lpstr>
      </vt:variant>
      <vt:variant>
        <vt:i4>1</vt:i4>
      </vt:variant>
    </vt:vector>
  </HeadingPairs>
  <TitlesOfParts>
    <vt:vector size="1" baseType="lpstr">
      <vt:lpstr>The figures in this proposal are estimates and not quotations</vt:lpstr>
    </vt:vector>
  </TitlesOfParts>
  <Company>Black Sun Plc</Company>
  <LinksUpToDate>false</LinksUpToDate>
  <CharactersWithSpaces>204579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figures in this proposal are estimates and not quotations</dc:title>
  <dc:subject/>
  <dc:creator>DC</dc:creator>
  <cp:keywords/>
  <dc:description/>
  <cp:lastModifiedBy>HARRIS, Danielle</cp:lastModifiedBy>
  <cp:revision>16</cp:revision>
  <cp:lastPrinted>2024-02-28T20:26:00Z</cp:lastPrinted>
  <dcterms:created xsi:type="dcterms:W3CDTF">2024-02-28T20:21:00Z</dcterms:created>
  <dcterms:modified xsi:type="dcterms:W3CDTF">2024-02-28T21:46:00Z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Num">
    <vt:lpwstr>AP/1931218v6/AB</vt:lpwstr>
  </property>
  <property fmtid="{D5CDD505-2E9C-101B-9397-08002B2CF9AE}" pid="3" name="_NewReviewCycle">
    <vt:lpwstr/>
  </property>
  <property fmtid="{D5CDD505-2E9C-101B-9397-08002B2CF9AE}" pid="4" name="ContentTypeId">
    <vt:lpwstr>0x010100EAA8204F0E1BD945B186AA76C5B89C7200A4C2ADC136BAA84A83CD7A95110CD42D</vt:lpwstr>
  </property>
  <property fmtid="{D5CDD505-2E9C-101B-9397-08002B2CF9AE}" pid="5" name="_dlc_DocIdItemGuid">
    <vt:lpwstr>53c721c5-abe3-4b35-969e-9d5247a4d6fb</vt:lpwstr>
  </property>
  <property fmtid="{D5CDD505-2E9C-101B-9397-08002B2CF9AE}" pid="6" name="ItemType">
    <vt:lpwstr/>
  </property>
  <property fmtid="{D5CDD505-2E9C-101B-9397-08002B2CF9AE}" pid="7" name="MediaServiceImageTags">
    <vt:lpwstr/>
  </property>
  <property fmtid="{D5CDD505-2E9C-101B-9397-08002B2CF9AE}" pid="8" name="ItemDepartment">
    <vt:lpwstr/>
  </property>
  <property fmtid="{D5CDD505-2E9C-101B-9397-08002B2CF9AE}" pid="9" name="ItemPeriod">
    <vt:lpwstr/>
  </property>
  <property fmtid="{D5CDD505-2E9C-101B-9397-08002B2CF9AE}" pid="10" name="PropertyUnit">
    <vt:lpwstr/>
  </property>
  <property fmtid="{D5CDD505-2E9C-101B-9397-08002B2CF9AE}" pid="11" name="ItemProject">
    <vt:lpwstr/>
  </property>
  <property fmtid="{D5CDD505-2E9C-101B-9397-08002B2CF9AE}" pid="12" name="ItemCompany">
    <vt:lpwstr/>
  </property>
  <property fmtid="{D5CDD505-2E9C-101B-9397-08002B2CF9AE}" pid="13" name="ItemSubject">
    <vt:lpwstr/>
  </property>
  <property fmtid="{D5CDD505-2E9C-101B-9397-08002B2CF9AE}" pid="14" name="lcf76f155ced4ddcb4097134ff3c332f">
    <vt:lpwstr/>
  </property>
</Properties>
</file>