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0308" w14:textId="0A1DBA4A" w:rsidR="008567E3" w:rsidRPr="00D94D40" w:rsidRDefault="008567E3" w:rsidP="008567E3">
      <w:pPr>
        <w:spacing w:after="0" w:line="240" w:lineRule="auto"/>
        <w:jc w:val="both"/>
        <w:outlineLvl w:val="1"/>
        <w:rPr>
          <w:rFonts w:ascii="Arial" w:eastAsia="Times New Roman" w:hAnsi="Arial" w:cs="Arial"/>
          <w:b/>
        </w:rPr>
      </w:pPr>
      <w:r w:rsidRPr="00D94D40">
        <w:rPr>
          <w:rFonts w:ascii="Arial" w:eastAsia="Times New Roman" w:hAnsi="Arial" w:cs="Arial"/>
          <w:b/>
        </w:rPr>
        <w:t>RELX PLC</w:t>
      </w:r>
      <w:r w:rsidRPr="00D94D40">
        <w:rPr>
          <w:rFonts w:ascii="Arial" w:eastAsia="Times New Roman" w:hAnsi="Arial" w:cs="Arial"/>
          <w:b/>
        </w:rPr>
        <w:tab/>
      </w:r>
      <w:r w:rsidRPr="00D94D40">
        <w:rPr>
          <w:rFonts w:ascii="Arial" w:eastAsia="Times New Roman" w:hAnsi="Arial" w:cs="Arial"/>
          <w:b/>
        </w:rPr>
        <w:tab/>
      </w:r>
      <w:r w:rsidRPr="00D94D40">
        <w:rPr>
          <w:rFonts w:ascii="Arial" w:eastAsia="Times New Roman" w:hAnsi="Arial" w:cs="Arial"/>
          <w:b/>
        </w:rPr>
        <w:tab/>
      </w:r>
      <w:r w:rsidRPr="00D94D40">
        <w:rPr>
          <w:rFonts w:ascii="Arial" w:eastAsia="Times New Roman" w:hAnsi="Arial" w:cs="Arial"/>
          <w:b/>
        </w:rPr>
        <w:tab/>
      </w:r>
      <w:r w:rsidRPr="00D94D40">
        <w:rPr>
          <w:rFonts w:ascii="Arial" w:eastAsia="Times New Roman" w:hAnsi="Arial" w:cs="Arial"/>
          <w:b/>
        </w:rPr>
        <w:tab/>
        <w:t xml:space="preserve">                     Company Number: </w:t>
      </w:r>
      <w:r w:rsidR="00107879">
        <w:rPr>
          <w:rFonts w:ascii="Arial" w:eastAsia="Times New Roman" w:hAnsi="Arial" w:cs="Arial"/>
          <w:b/>
        </w:rPr>
        <w:t>000</w:t>
      </w:r>
      <w:r w:rsidRPr="00D94D40">
        <w:rPr>
          <w:rFonts w:ascii="Arial" w:eastAsia="Times New Roman" w:hAnsi="Arial" w:cs="Arial"/>
          <w:b/>
        </w:rPr>
        <w:t>77536</w:t>
      </w:r>
    </w:p>
    <w:p w14:paraId="72BABCDA" w14:textId="77777777" w:rsidR="008567E3" w:rsidRPr="00D94D40" w:rsidRDefault="008567E3" w:rsidP="00A06020">
      <w:pPr>
        <w:spacing w:after="0" w:line="240" w:lineRule="auto"/>
        <w:jc w:val="both"/>
        <w:rPr>
          <w:rFonts w:ascii="Arial" w:eastAsia="Times New Roman" w:hAnsi="Arial" w:cs="Arial"/>
        </w:rPr>
      </w:pPr>
    </w:p>
    <w:p w14:paraId="14784E62" w14:textId="77777777" w:rsidR="0010520E" w:rsidRPr="00D94D40" w:rsidRDefault="0010520E" w:rsidP="0010520E">
      <w:pPr>
        <w:spacing w:after="0" w:line="240" w:lineRule="auto"/>
        <w:jc w:val="right"/>
        <w:rPr>
          <w:rFonts w:ascii="Arial" w:eastAsia="Times New Roman" w:hAnsi="Arial" w:cs="Arial"/>
        </w:rPr>
      </w:pPr>
    </w:p>
    <w:p w14:paraId="1A749DB9" w14:textId="4F9002A3" w:rsidR="00CF2071" w:rsidRPr="00D94D40" w:rsidRDefault="00CF2071" w:rsidP="00CF2071">
      <w:pPr>
        <w:spacing w:after="0" w:line="240" w:lineRule="auto"/>
        <w:jc w:val="center"/>
        <w:rPr>
          <w:rFonts w:ascii="Arial" w:eastAsia="Times New Roman" w:hAnsi="Arial" w:cs="Arial"/>
          <w:b/>
          <w:u w:val="single"/>
        </w:rPr>
      </w:pPr>
      <w:r w:rsidRPr="00D94D40">
        <w:rPr>
          <w:rFonts w:ascii="Arial" w:eastAsia="Times New Roman" w:hAnsi="Arial" w:cs="Arial"/>
          <w:b/>
          <w:u w:val="single"/>
        </w:rPr>
        <w:t>Non-</w:t>
      </w:r>
      <w:r w:rsidR="00D94D40">
        <w:rPr>
          <w:rFonts w:ascii="Arial" w:eastAsia="Times New Roman" w:hAnsi="Arial" w:cs="Arial"/>
          <w:b/>
          <w:u w:val="single"/>
        </w:rPr>
        <w:t>R</w:t>
      </w:r>
      <w:r w:rsidRPr="00D94D40">
        <w:rPr>
          <w:rFonts w:ascii="Arial" w:eastAsia="Times New Roman" w:hAnsi="Arial" w:cs="Arial"/>
          <w:b/>
          <w:u w:val="single"/>
        </w:rPr>
        <w:t xml:space="preserve">outine </w:t>
      </w:r>
      <w:r w:rsidR="00D94D40">
        <w:rPr>
          <w:rFonts w:ascii="Arial" w:eastAsia="Times New Roman" w:hAnsi="Arial" w:cs="Arial"/>
          <w:b/>
          <w:u w:val="single"/>
        </w:rPr>
        <w:t>R</w:t>
      </w:r>
      <w:r w:rsidRPr="00D94D40">
        <w:rPr>
          <w:rFonts w:ascii="Arial" w:eastAsia="Times New Roman" w:hAnsi="Arial" w:cs="Arial"/>
          <w:b/>
          <w:u w:val="single"/>
        </w:rPr>
        <w:t>esolutions</w:t>
      </w:r>
    </w:p>
    <w:p w14:paraId="1BA1DA5C" w14:textId="63D60FDD" w:rsidR="00984347" w:rsidRPr="00D94D40" w:rsidRDefault="00984347" w:rsidP="0010520E">
      <w:pPr>
        <w:spacing w:after="0" w:line="240" w:lineRule="auto"/>
        <w:jc w:val="both"/>
        <w:rPr>
          <w:rFonts w:ascii="Arial" w:eastAsia="Times New Roman" w:hAnsi="Arial" w:cs="Arial"/>
          <w:b/>
          <w:u w:val="single"/>
        </w:rPr>
      </w:pPr>
    </w:p>
    <w:p w14:paraId="262B7D7C" w14:textId="77777777" w:rsidR="0010520E" w:rsidRPr="00D94D40" w:rsidRDefault="0010520E" w:rsidP="0010520E">
      <w:pPr>
        <w:spacing w:after="0" w:line="240" w:lineRule="auto"/>
        <w:jc w:val="both"/>
        <w:rPr>
          <w:rFonts w:ascii="Arial" w:eastAsia="Times New Roman" w:hAnsi="Arial" w:cs="Arial"/>
          <w:b/>
          <w:u w:val="single"/>
        </w:rPr>
      </w:pPr>
    </w:p>
    <w:p w14:paraId="0BC872B5" w14:textId="6483CB5C" w:rsidR="00CF2071" w:rsidRPr="00D94D40" w:rsidRDefault="00CF2071" w:rsidP="00E82FE2">
      <w:pPr>
        <w:spacing w:after="0" w:line="240" w:lineRule="auto"/>
        <w:rPr>
          <w:rFonts w:ascii="Arial" w:eastAsia="Times New Roman" w:hAnsi="Arial" w:cs="Arial"/>
        </w:rPr>
      </w:pPr>
      <w:r w:rsidRPr="00D94D40">
        <w:rPr>
          <w:rFonts w:ascii="Arial" w:eastAsia="Times New Roman" w:hAnsi="Arial" w:cs="Arial"/>
        </w:rPr>
        <w:t>Pursuant to listing rule 9.6.2, the following non-routine resolutions were passed at the RELX PLC 202</w:t>
      </w:r>
      <w:r w:rsidR="008D44E8">
        <w:rPr>
          <w:rFonts w:ascii="Arial" w:eastAsia="Times New Roman" w:hAnsi="Arial" w:cs="Arial"/>
        </w:rPr>
        <w:t>6</w:t>
      </w:r>
      <w:r w:rsidRPr="00D94D40">
        <w:rPr>
          <w:rFonts w:ascii="Arial" w:eastAsia="Times New Roman" w:hAnsi="Arial" w:cs="Arial"/>
        </w:rPr>
        <w:t xml:space="preserve"> Annual General Meeting, duly convened and held on Thursday</w:t>
      </w:r>
      <w:r w:rsidR="00D94D40" w:rsidRPr="00D94D40">
        <w:rPr>
          <w:rFonts w:ascii="Arial" w:eastAsia="Times New Roman" w:hAnsi="Arial" w:cs="Arial"/>
        </w:rPr>
        <w:t>,</w:t>
      </w:r>
      <w:r w:rsidRPr="00D94D40">
        <w:rPr>
          <w:rFonts w:ascii="Arial" w:eastAsia="Times New Roman" w:hAnsi="Arial" w:cs="Arial"/>
        </w:rPr>
        <w:t xml:space="preserve"> </w:t>
      </w:r>
      <w:r w:rsidR="008D44E8">
        <w:rPr>
          <w:rFonts w:ascii="Arial" w:eastAsia="Times New Roman" w:hAnsi="Arial" w:cs="Arial"/>
        </w:rPr>
        <w:t>23</w:t>
      </w:r>
      <w:r w:rsidR="00D94D40" w:rsidRPr="00D94D40">
        <w:rPr>
          <w:rFonts w:ascii="Arial" w:eastAsia="Times New Roman" w:hAnsi="Arial" w:cs="Arial"/>
        </w:rPr>
        <w:t xml:space="preserve"> </w:t>
      </w:r>
      <w:r w:rsidRPr="00D94D40">
        <w:rPr>
          <w:rFonts w:ascii="Arial" w:eastAsia="Times New Roman" w:hAnsi="Arial" w:cs="Arial"/>
        </w:rPr>
        <w:t>April 202</w:t>
      </w:r>
      <w:r w:rsidR="008D44E8">
        <w:rPr>
          <w:rFonts w:ascii="Arial" w:eastAsia="Times New Roman" w:hAnsi="Arial" w:cs="Arial"/>
        </w:rPr>
        <w:t>6</w:t>
      </w:r>
      <w:r w:rsidRPr="00D94D40">
        <w:rPr>
          <w:rFonts w:ascii="Arial" w:eastAsia="Times New Roman" w:hAnsi="Arial" w:cs="Arial"/>
        </w:rPr>
        <w:t>:</w:t>
      </w:r>
    </w:p>
    <w:p w14:paraId="37B13E00" w14:textId="25A45C8B" w:rsidR="00CF2071" w:rsidRPr="00D94D40" w:rsidRDefault="00CF2071" w:rsidP="00E82FE2">
      <w:pPr>
        <w:spacing w:after="0" w:line="240" w:lineRule="auto"/>
        <w:rPr>
          <w:rFonts w:ascii="Arial" w:eastAsia="Times New Roman" w:hAnsi="Arial" w:cs="Arial"/>
        </w:rPr>
      </w:pPr>
    </w:p>
    <w:p w14:paraId="34E7C2BD" w14:textId="77777777" w:rsidR="00DB427B" w:rsidRPr="00E25D0E" w:rsidRDefault="00DB427B" w:rsidP="00DB427B">
      <w:pPr>
        <w:ind w:left="-397" w:firstLine="397"/>
        <w:rPr>
          <w:rFonts w:ascii="Arial" w:hAnsi="Arial" w:cs="Arial"/>
          <w:b/>
          <w:u w:val="single"/>
        </w:rPr>
      </w:pPr>
      <w:r w:rsidRPr="00E25D0E">
        <w:rPr>
          <w:rFonts w:ascii="Arial" w:hAnsi="Arial" w:cs="Arial"/>
          <w:b/>
          <w:u w:val="single"/>
        </w:rPr>
        <w:t>RESOLUTION 1</w:t>
      </w:r>
      <w:r>
        <w:rPr>
          <w:rFonts w:ascii="Arial" w:hAnsi="Arial" w:cs="Arial"/>
          <w:b/>
          <w:u w:val="single"/>
        </w:rPr>
        <w:t>7</w:t>
      </w:r>
      <w:r w:rsidRPr="00E25D0E">
        <w:rPr>
          <w:rFonts w:ascii="Arial" w:hAnsi="Arial" w:cs="Arial"/>
          <w:b/>
          <w:u w:val="single"/>
        </w:rPr>
        <w:t xml:space="preserve"> – AUTHORITY TO ALLOT SHARES</w:t>
      </w:r>
    </w:p>
    <w:p w14:paraId="18744B32" w14:textId="77777777" w:rsidR="00457C57" w:rsidRDefault="004821FA" w:rsidP="00DB427B">
      <w:pPr>
        <w:pStyle w:val="FWNL2"/>
        <w:numPr>
          <w:ilvl w:val="0"/>
          <w:numId w:val="0"/>
        </w:numPr>
        <w:spacing w:after="120" w:line="276" w:lineRule="auto"/>
        <w:ind w:left="-426" w:firstLine="397"/>
        <w:jc w:val="left"/>
        <w:rPr>
          <w:rFonts w:ascii="Arial" w:hAnsi="Arial" w:cs="Arial"/>
          <w:sz w:val="22"/>
          <w:szCs w:val="22"/>
        </w:rPr>
      </w:pPr>
      <w:r w:rsidRPr="004821FA">
        <w:rPr>
          <w:rFonts w:ascii="Arial" w:hAnsi="Arial" w:cs="Arial"/>
          <w:sz w:val="22"/>
          <w:szCs w:val="22"/>
        </w:rPr>
        <w:t>It was resolved as an ordinary resolution that:</w:t>
      </w:r>
    </w:p>
    <w:p w14:paraId="140EA709" w14:textId="77777777" w:rsidR="00DB427B" w:rsidRPr="00D54072" w:rsidRDefault="00DB427B" w:rsidP="00DB427B">
      <w:pPr>
        <w:pStyle w:val="BodyText"/>
        <w:widowControl w:val="0"/>
        <w:numPr>
          <w:ilvl w:val="1"/>
          <w:numId w:val="31"/>
        </w:numPr>
        <w:tabs>
          <w:tab w:val="left" w:pos="681"/>
        </w:tabs>
        <w:spacing w:after="120" w:line="276" w:lineRule="auto"/>
        <w:ind w:right="271" w:hanging="283"/>
        <w:rPr>
          <w:rFonts w:ascii="Arial" w:hAnsi="Arial" w:cs="Arial"/>
          <w:b w:val="0"/>
          <w:bCs/>
          <w:sz w:val="22"/>
          <w:szCs w:val="22"/>
          <w:u w:val="none"/>
        </w:rPr>
      </w:pP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Pr>
          <w:rFonts w:ascii="Arial" w:hAnsi="Arial" w:cs="Arial"/>
          <w:b w:val="0"/>
          <w:bCs/>
          <w:color w:val="231F20"/>
          <w:spacing w:val="-1"/>
          <w:sz w:val="22"/>
          <w:szCs w:val="22"/>
          <w:u w:val="none"/>
        </w:rPr>
        <w:t>Directors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are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generally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unconditionally</w:t>
      </w:r>
      <w:r w:rsidRPr="00D54072">
        <w:rPr>
          <w:rFonts w:ascii="Arial" w:hAnsi="Arial" w:cs="Arial"/>
          <w:b w:val="0"/>
          <w:bCs/>
          <w:color w:val="231F20"/>
          <w:spacing w:val="30"/>
          <w:sz w:val="22"/>
          <w:szCs w:val="22"/>
          <w:u w:val="none"/>
        </w:rPr>
        <w:t xml:space="preserve"> </w:t>
      </w:r>
      <w:r w:rsidRPr="00D54072">
        <w:rPr>
          <w:rFonts w:ascii="Arial" w:hAnsi="Arial" w:cs="Arial"/>
          <w:b w:val="0"/>
          <w:bCs/>
          <w:color w:val="231F20"/>
          <w:spacing w:val="-1"/>
          <w:sz w:val="22"/>
          <w:szCs w:val="22"/>
          <w:u w:val="none"/>
        </w:rPr>
        <w:t>authorised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pursuant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551</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Companies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Act</w:t>
      </w:r>
      <w:r w:rsidRPr="00D54072">
        <w:rPr>
          <w:rFonts w:ascii="Arial" w:hAnsi="Arial" w:cs="Arial"/>
          <w:b w:val="0"/>
          <w:bCs/>
          <w:color w:val="231F20"/>
          <w:spacing w:val="47"/>
          <w:sz w:val="22"/>
          <w:szCs w:val="22"/>
          <w:u w:val="none"/>
        </w:rPr>
        <w:t xml:space="preserve"> </w:t>
      </w:r>
      <w:r w:rsidRPr="00D54072">
        <w:rPr>
          <w:rFonts w:ascii="Arial" w:hAnsi="Arial" w:cs="Arial"/>
          <w:b w:val="0"/>
          <w:bCs/>
          <w:color w:val="231F20"/>
          <w:spacing w:val="1"/>
          <w:sz w:val="22"/>
          <w:szCs w:val="22"/>
          <w:u w:val="none"/>
        </w:rPr>
        <w:t>2006</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Act)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3"/>
          <w:sz w:val="22"/>
          <w:szCs w:val="22"/>
          <w:u w:val="none"/>
        </w:rPr>
        <w:t>to:</w:t>
      </w:r>
    </w:p>
    <w:p w14:paraId="112AB50D" w14:textId="77777777" w:rsidR="00DB427B" w:rsidRPr="00D54072" w:rsidRDefault="00DB427B" w:rsidP="00DB427B">
      <w:pPr>
        <w:pStyle w:val="BodyText"/>
        <w:widowControl w:val="0"/>
        <w:numPr>
          <w:ilvl w:val="2"/>
          <w:numId w:val="31"/>
        </w:numPr>
        <w:tabs>
          <w:tab w:val="left" w:pos="965"/>
        </w:tabs>
        <w:spacing w:after="120" w:line="276" w:lineRule="auto"/>
        <w:ind w:right="404"/>
        <w:rPr>
          <w:rFonts w:ascii="Arial" w:hAnsi="Arial" w:cs="Arial"/>
          <w:b w:val="0"/>
          <w:bCs/>
          <w:sz w:val="22"/>
          <w:szCs w:val="22"/>
          <w:u w:val="none"/>
        </w:rPr>
      </w:pPr>
      <w:r w:rsidRPr="00D54072">
        <w:rPr>
          <w:rFonts w:ascii="Arial" w:hAnsi="Arial" w:cs="Arial"/>
          <w:b w:val="0"/>
          <w:bCs/>
          <w:color w:val="231F20"/>
          <w:spacing w:val="-2"/>
          <w:sz w:val="22"/>
          <w:szCs w:val="22"/>
          <w:u w:val="none"/>
        </w:rPr>
        <w:t>allot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Company,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grant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23"/>
          <w:sz w:val="22"/>
          <w:szCs w:val="22"/>
          <w:u w:val="none"/>
        </w:rPr>
        <w:t xml:space="preserve"> </w:t>
      </w:r>
      <w:r w:rsidRPr="00D54072">
        <w:rPr>
          <w:rFonts w:ascii="Arial" w:hAnsi="Arial" w:cs="Arial"/>
          <w:b w:val="0"/>
          <w:bCs/>
          <w:color w:val="231F20"/>
          <w:spacing w:val="-1"/>
          <w:sz w:val="22"/>
          <w:szCs w:val="22"/>
          <w:u w:val="none"/>
        </w:rPr>
        <w:t>subscribe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for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convert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security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into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23"/>
          <w:sz w:val="22"/>
          <w:szCs w:val="22"/>
          <w:u w:val="none"/>
        </w:rPr>
        <w:t xml:space="preserve"> </w:t>
      </w:r>
      <w:r w:rsidRPr="00D54072">
        <w:rPr>
          <w:rFonts w:ascii="Arial" w:hAnsi="Arial" w:cs="Arial"/>
          <w:b w:val="0"/>
          <w:bCs/>
          <w:color w:val="231F20"/>
          <w:spacing w:val="-1"/>
          <w:sz w:val="22"/>
          <w:szCs w:val="22"/>
          <w:u w:val="none"/>
        </w:rPr>
        <w:t>in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Company:</w:t>
      </w:r>
    </w:p>
    <w:p w14:paraId="2E7070B7" w14:textId="77777777" w:rsidR="00DB427B" w:rsidRDefault="00DB427B" w:rsidP="00DB427B">
      <w:pPr>
        <w:pStyle w:val="BodyText"/>
        <w:widowControl w:val="0"/>
        <w:numPr>
          <w:ilvl w:val="3"/>
          <w:numId w:val="31"/>
        </w:numPr>
        <w:tabs>
          <w:tab w:val="left" w:pos="1248"/>
        </w:tabs>
        <w:spacing w:after="120" w:line="276" w:lineRule="auto"/>
        <w:ind w:right="121" w:hanging="283"/>
        <w:rPr>
          <w:rFonts w:ascii="Arial" w:hAnsi="Arial" w:cs="Arial"/>
          <w:b w:val="0"/>
          <w:bCs/>
          <w:sz w:val="22"/>
          <w:szCs w:val="22"/>
          <w:u w:val="none"/>
        </w:rPr>
      </w:pPr>
      <w:r w:rsidRPr="00D54072">
        <w:rPr>
          <w:rFonts w:ascii="Arial" w:hAnsi="Arial" w:cs="Arial"/>
          <w:b w:val="0"/>
          <w:bCs/>
          <w:color w:val="231F20"/>
          <w:spacing w:val="-2"/>
          <w:sz w:val="22"/>
          <w:szCs w:val="22"/>
          <w:u w:val="none"/>
        </w:rPr>
        <w:t>up</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3"/>
          <w:sz w:val="22"/>
          <w:szCs w:val="22"/>
          <w:u w:val="none"/>
        </w:rPr>
        <w:t>to</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2"/>
          <w:sz w:val="22"/>
          <w:szCs w:val="22"/>
          <w:u w:val="none"/>
        </w:rPr>
        <w:t>an</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3"/>
          <w:sz w:val="22"/>
          <w:szCs w:val="22"/>
          <w:u w:val="none"/>
        </w:rPr>
        <w:t>aggregate</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3"/>
          <w:sz w:val="22"/>
          <w:szCs w:val="22"/>
          <w:u w:val="none"/>
        </w:rPr>
        <w:t>nominal</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3"/>
          <w:sz w:val="22"/>
          <w:szCs w:val="22"/>
          <w:u w:val="none"/>
        </w:rPr>
        <w:t>amount</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2"/>
          <w:sz w:val="22"/>
          <w:szCs w:val="22"/>
          <w:u w:val="none"/>
        </w:rPr>
        <w:t>of</w:t>
      </w:r>
      <w:r w:rsidRPr="00D54072">
        <w:rPr>
          <w:rFonts w:ascii="Arial" w:hAnsi="Arial" w:cs="Arial"/>
          <w:b w:val="0"/>
          <w:bCs/>
          <w:color w:val="231F20"/>
          <w:spacing w:val="-21"/>
          <w:sz w:val="22"/>
          <w:szCs w:val="22"/>
          <w:u w:val="none"/>
        </w:rPr>
        <w:t xml:space="preserve"> </w:t>
      </w:r>
      <w:r w:rsidRPr="00506CF9">
        <w:rPr>
          <w:rFonts w:ascii="Arial" w:hAnsi="Arial" w:cs="Arial"/>
          <w:b w:val="0"/>
          <w:bCs/>
          <w:color w:val="231F20"/>
          <w:spacing w:val="-2"/>
          <w:sz w:val="22"/>
          <w:szCs w:val="22"/>
          <w:u w:val="none"/>
        </w:rPr>
        <w:t>£87.3 million</w:t>
      </w:r>
      <w:r w:rsidRPr="00D54072">
        <w:rPr>
          <w:rFonts w:ascii="Arial" w:hAnsi="Arial" w:cs="Arial"/>
          <w:b w:val="0"/>
          <w:bCs/>
          <w:color w:val="231F20"/>
          <w:spacing w:val="-4"/>
          <w:sz w:val="22"/>
          <w:szCs w:val="22"/>
          <w:u w:val="none"/>
        </w:rPr>
        <w:t>;</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3"/>
          <w:sz w:val="22"/>
          <w:szCs w:val="22"/>
          <w:u w:val="none"/>
        </w:rPr>
        <w:t>and</w:t>
      </w:r>
    </w:p>
    <w:p w14:paraId="2AA0F0C7" w14:textId="77777777" w:rsidR="00DB427B" w:rsidRPr="00C5074D" w:rsidRDefault="00DB427B" w:rsidP="00DB427B">
      <w:pPr>
        <w:pStyle w:val="BodyText"/>
        <w:widowControl w:val="0"/>
        <w:numPr>
          <w:ilvl w:val="3"/>
          <w:numId w:val="31"/>
        </w:numPr>
        <w:tabs>
          <w:tab w:val="left" w:pos="1248"/>
        </w:tabs>
        <w:spacing w:after="120" w:line="276" w:lineRule="auto"/>
        <w:ind w:right="121" w:hanging="283"/>
        <w:rPr>
          <w:rFonts w:ascii="Arial" w:hAnsi="Arial" w:cs="Arial"/>
          <w:b w:val="0"/>
          <w:bCs/>
          <w:sz w:val="22"/>
          <w:szCs w:val="22"/>
          <w:u w:val="none"/>
        </w:rPr>
      </w:pPr>
      <w:r w:rsidRPr="00C5074D">
        <w:rPr>
          <w:rFonts w:ascii="Arial" w:hAnsi="Arial" w:cs="Arial"/>
          <w:b w:val="0"/>
          <w:bCs/>
          <w:color w:val="231F20"/>
          <w:spacing w:val="-2"/>
          <w:sz w:val="22"/>
          <w:szCs w:val="22"/>
          <w:u w:val="none"/>
        </w:rPr>
        <w:t xml:space="preserve">comprising equity securities (as defined in the Act) up to an aggregate nominal amount of £174.7 million; (including within such limit the nominal value of any shares allotted or in respect of which rights are granted under paragraph (A) above) in connection with an offer:   </w:t>
      </w:r>
    </w:p>
    <w:p w14:paraId="7B41C307" w14:textId="77777777" w:rsidR="00DB427B" w:rsidRPr="00D54072" w:rsidRDefault="00DB427B" w:rsidP="00DB427B">
      <w:pPr>
        <w:pStyle w:val="BodyText"/>
        <w:widowControl w:val="0"/>
        <w:numPr>
          <w:ilvl w:val="4"/>
          <w:numId w:val="31"/>
        </w:numPr>
        <w:tabs>
          <w:tab w:val="left" w:pos="1531"/>
        </w:tabs>
        <w:spacing w:after="120" w:line="276" w:lineRule="auto"/>
        <w:ind w:right="178" w:hanging="283"/>
        <w:jc w:val="both"/>
        <w:rPr>
          <w:rFonts w:ascii="Arial" w:hAnsi="Arial" w:cs="Arial"/>
          <w:b w:val="0"/>
          <w:bCs/>
          <w:sz w:val="22"/>
          <w:szCs w:val="22"/>
          <w:u w:val="none"/>
        </w:rPr>
      </w:pP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holders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ordinary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proportion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(as</w:t>
      </w:r>
      <w:r>
        <w:rPr>
          <w:rFonts w:ascii="Arial" w:hAnsi="Arial" w:cs="Arial"/>
          <w:b w:val="0"/>
          <w:bCs/>
          <w:color w:val="231F20"/>
          <w:spacing w:val="29"/>
          <w:sz w:val="22"/>
          <w:szCs w:val="22"/>
          <w:u w:val="none"/>
        </w:rPr>
        <w:t xml:space="preserve"> </w:t>
      </w:r>
      <w:r w:rsidRPr="00D54072">
        <w:rPr>
          <w:rFonts w:ascii="Arial" w:hAnsi="Arial" w:cs="Arial"/>
          <w:b w:val="0"/>
          <w:bCs/>
          <w:color w:val="231F20"/>
          <w:spacing w:val="-1"/>
          <w:sz w:val="22"/>
          <w:szCs w:val="22"/>
          <w:u w:val="none"/>
        </w:rPr>
        <w:t>nearly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may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practicable)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their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existing</w:t>
      </w:r>
      <w:r w:rsidRPr="00D54072">
        <w:rPr>
          <w:rFonts w:ascii="Arial" w:hAnsi="Arial" w:cs="Arial"/>
          <w:b w:val="0"/>
          <w:bCs/>
          <w:color w:val="231F20"/>
          <w:spacing w:val="23"/>
          <w:sz w:val="22"/>
          <w:szCs w:val="22"/>
          <w:u w:val="none"/>
        </w:rPr>
        <w:t xml:space="preserve"> </w:t>
      </w:r>
      <w:r w:rsidRPr="00D54072">
        <w:rPr>
          <w:rFonts w:ascii="Arial" w:hAnsi="Arial" w:cs="Arial"/>
          <w:b w:val="0"/>
          <w:bCs/>
          <w:color w:val="231F20"/>
          <w:spacing w:val="-2"/>
          <w:sz w:val="22"/>
          <w:szCs w:val="22"/>
          <w:u w:val="none"/>
        </w:rPr>
        <w:t>holdings;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p>
    <w:p w14:paraId="24E3E159" w14:textId="77777777" w:rsidR="00DB427B" w:rsidRPr="00D54072" w:rsidRDefault="00DB427B" w:rsidP="00DB427B">
      <w:pPr>
        <w:pStyle w:val="BodyText"/>
        <w:widowControl w:val="0"/>
        <w:numPr>
          <w:ilvl w:val="4"/>
          <w:numId w:val="31"/>
        </w:numPr>
        <w:tabs>
          <w:tab w:val="left" w:pos="1531"/>
        </w:tabs>
        <w:spacing w:after="120" w:line="276" w:lineRule="auto"/>
        <w:ind w:right="340" w:hanging="283"/>
        <w:rPr>
          <w:rFonts w:ascii="Arial" w:hAnsi="Arial" w:cs="Arial"/>
          <w:b w:val="0"/>
          <w:bCs/>
          <w:sz w:val="22"/>
          <w:szCs w:val="22"/>
          <w:u w:val="none"/>
        </w:rPr>
      </w:pP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people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who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are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holders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other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equity</w:t>
      </w:r>
      <w:r w:rsidRPr="00D54072">
        <w:rPr>
          <w:rFonts w:ascii="Arial" w:hAnsi="Arial" w:cs="Arial"/>
          <w:b w:val="0"/>
          <w:bCs/>
          <w:color w:val="231F20"/>
          <w:spacing w:val="21"/>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required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25"/>
          <w:sz w:val="22"/>
          <w:szCs w:val="22"/>
          <w:u w:val="none"/>
        </w:rPr>
        <w:t xml:space="preserve"> </w:t>
      </w:r>
      <w:r w:rsidRPr="00D54072">
        <w:rPr>
          <w:rFonts w:ascii="Arial" w:hAnsi="Arial" w:cs="Arial"/>
          <w:b w:val="0"/>
          <w:bCs/>
          <w:color w:val="231F20"/>
          <w:spacing w:val="-1"/>
          <w:sz w:val="22"/>
          <w:szCs w:val="22"/>
          <w:u w:val="none"/>
        </w:rPr>
        <w:t>those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6"/>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Pr>
          <w:rFonts w:ascii="Arial" w:hAnsi="Arial" w:cs="Arial"/>
          <w:b w:val="0"/>
          <w:bCs/>
          <w:color w:val="231F20"/>
          <w:spacing w:val="-1"/>
          <w:sz w:val="22"/>
          <w:szCs w:val="22"/>
          <w:u w:val="none"/>
        </w:rPr>
        <w:t>Directors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consider</w:t>
      </w:r>
      <w:r w:rsidRPr="00D54072">
        <w:rPr>
          <w:rFonts w:ascii="Arial" w:hAnsi="Arial" w:cs="Arial"/>
          <w:b w:val="0"/>
          <w:bCs/>
          <w:color w:val="231F20"/>
          <w:spacing w:val="27"/>
          <w:sz w:val="22"/>
          <w:szCs w:val="22"/>
          <w:u w:val="none"/>
        </w:rPr>
        <w:t xml:space="preserve"> </w:t>
      </w:r>
      <w:r w:rsidRPr="00D54072">
        <w:rPr>
          <w:rFonts w:ascii="Arial" w:hAnsi="Arial" w:cs="Arial"/>
          <w:b w:val="0"/>
          <w:bCs/>
          <w:color w:val="231F20"/>
          <w:spacing w:val="-1"/>
          <w:sz w:val="22"/>
          <w:szCs w:val="22"/>
          <w:u w:val="none"/>
        </w:rPr>
        <w:t>it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necessary,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permitted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33"/>
          <w:sz w:val="22"/>
          <w:szCs w:val="22"/>
          <w:u w:val="none"/>
        </w:rPr>
        <w:t xml:space="preserve"> </w:t>
      </w:r>
      <w:r w:rsidRPr="00D54072">
        <w:rPr>
          <w:rFonts w:ascii="Arial" w:hAnsi="Arial" w:cs="Arial"/>
          <w:b w:val="0"/>
          <w:bCs/>
          <w:color w:val="231F20"/>
          <w:spacing w:val="-1"/>
          <w:sz w:val="22"/>
          <w:szCs w:val="22"/>
          <w:u w:val="none"/>
        </w:rPr>
        <w:t>those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p>
    <w:p w14:paraId="5548EC45" w14:textId="77777777" w:rsidR="00DB427B" w:rsidRPr="00F53DBE" w:rsidRDefault="00DB427B" w:rsidP="00DB427B">
      <w:pPr>
        <w:pStyle w:val="BodyText"/>
        <w:widowControl w:val="0"/>
        <w:tabs>
          <w:tab w:val="left" w:pos="964"/>
        </w:tabs>
        <w:spacing w:after="120" w:line="276" w:lineRule="auto"/>
        <w:ind w:left="720" w:right="137"/>
        <w:rPr>
          <w:rFonts w:ascii="Arial" w:hAnsi="Arial" w:cs="Arial"/>
          <w:b w:val="0"/>
          <w:bCs/>
          <w:sz w:val="22"/>
          <w:szCs w:val="22"/>
          <w:u w:val="none"/>
        </w:rPr>
      </w:pPr>
      <w:r w:rsidRPr="008C008D">
        <w:rPr>
          <w:rFonts w:ascii="Arial" w:hAnsi="Arial" w:cs="Arial"/>
          <w:b w:val="0"/>
          <w:bCs/>
          <w:color w:val="231F20"/>
          <w:spacing w:val="-1"/>
          <w:sz w:val="22"/>
          <w:szCs w:val="22"/>
          <w:u w:val="none"/>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for a period expiring (unless previously renewed, varied or revoked by the Company in general meeting) at the end of the next annual general meeting of the Company after the date on which this resolution is passed (or, if earlier, at the close of business on 23 July 2027); and</w:t>
      </w:r>
    </w:p>
    <w:p w14:paraId="699D0435" w14:textId="77777777" w:rsidR="00DB427B" w:rsidRPr="005E7A28" w:rsidRDefault="00DB427B" w:rsidP="00DB427B">
      <w:pPr>
        <w:pStyle w:val="BodyText"/>
        <w:widowControl w:val="0"/>
        <w:numPr>
          <w:ilvl w:val="2"/>
          <w:numId w:val="31"/>
        </w:numPr>
        <w:tabs>
          <w:tab w:val="left" w:pos="964"/>
        </w:tabs>
        <w:spacing w:after="120" w:line="276" w:lineRule="auto"/>
        <w:ind w:right="137"/>
        <w:rPr>
          <w:rFonts w:ascii="Arial" w:hAnsi="Arial" w:cs="Arial"/>
          <w:b w:val="0"/>
          <w:bCs/>
          <w:sz w:val="22"/>
          <w:szCs w:val="22"/>
          <w:u w:val="none"/>
        </w:rPr>
      </w:pPr>
      <w:r w:rsidRPr="005E7A28">
        <w:rPr>
          <w:rFonts w:ascii="Arial" w:hAnsi="Arial" w:cs="Arial"/>
          <w:b w:val="0"/>
          <w:bCs/>
          <w:sz w:val="22"/>
          <w:szCs w:val="22"/>
          <w:u w:val="none"/>
        </w:rPr>
        <w:t xml:space="preserve">make an offer or agreement, before this authority expires, which would or might require shares to be allotted, or rights to subscribe for or convert any security into shares to be granted, after expiry of this authority and the </w:t>
      </w:r>
      <w:r>
        <w:rPr>
          <w:rFonts w:ascii="Arial" w:hAnsi="Arial" w:cs="Arial"/>
          <w:b w:val="0"/>
          <w:bCs/>
          <w:sz w:val="22"/>
          <w:szCs w:val="22"/>
          <w:u w:val="none"/>
        </w:rPr>
        <w:t>Directors</w:t>
      </w:r>
      <w:r w:rsidRPr="005E7A28">
        <w:rPr>
          <w:rFonts w:ascii="Arial" w:hAnsi="Arial" w:cs="Arial"/>
          <w:b w:val="0"/>
          <w:bCs/>
          <w:sz w:val="22"/>
          <w:szCs w:val="22"/>
          <w:u w:val="none"/>
        </w:rPr>
        <w:t xml:space="preserve"> may allot shares and grant rights in pursuance of that offer or agreement as if this authority had not expired;</w:t>
      </w:r>
    </w:p>
    <w:p w14:paraId="47B749BC" w14:textId="77777777" w:rsidR="00DB427B" w:rsidRPr="00D54072" w:rsidRDefault="00DB427B" w:rsidP="00DB427B">
      <w:pPr>
        <w:pStyle w:val="BodyText"/>
        <w:widowControl w:val="0"/>
        <w:numPr>
          <w:ilvl w:val="1"/>
          <w:numId w:val="31"/>
        </w:numPr>
        <w:tabs>
          <w:tab w:val="left" w:pos="680"/>
        </w:tabs>
        <w:spacing w:after="120" w:line="276" w:lineRule="auto"/>
        <w:ind w:left="679" w:right="379" w:hanging="283"/>
        <w:rPr>
          <w:rFonts w:ascii="Arial" w:hAnsi="Arial" w:cs="Arial"/>
          <w:b w:val="0"/>
          <w:bCs/>
          <w:sz w:val="22"/>
          <w:szCs w:val="22"/>
          <w:u w:val="none"/>
        </w:rPr>
      </w:pPr>
      <w:r w:rsidRPr="00D54072">
        <w:rPr>
          <w:rFonts w:ascii="Arial" w:hAnsi="Arial" w:cs="Arial"/>
          <w:b w:val="0"/>
          <w:bCs/>
          <w:color w:val="231F20"/>
          <w:spacing w:val="-1"/>
          <w:sz w:val="22"/>
          <w:szCs w:val="22"/>
          <w:u w:val="none"/>
        </w:rPr>
        <w:t>subject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paragraph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3"/>
          <w:sz w:val="22"/>
          <w:szCs w:val="22"/>
          <w:u w:val="none"/>
        </w:rPr>
        <w:t>(c)</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below</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all</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existing</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authorities</w:t>
      </w:r>
      <w:r w:rsidRPr="00D54072">
        <w:rPr>
          <w:rFonts w:ascii="Arial" w:hAnsi="Arial" w:cs="Arial"/>
          <w:b w:val="0"/>
          <w:bCs/>
          <w:color w:val="231F20"/>
          <w:spacing w:val="25"/>
          <w:sz w:val="22"/>
          <w:szCs w:val="22"/>
          <w:u w:val="none"/>
        </w:rPr>
        <w:t xml:space="preserve"> </w:t>
      </w:r>
      <w:r w:rsidRPr="00D54072">
        <w:rPr>
          <w:rFonts w:ascii="Arial" w:hAnsi="Arial" w:cs="Arial"/>
          <w:b w:val="0"/>
          <w:bCs/>
          <w:color w:val="231F20"/>
          <w:spacing w:val="-1"/>
          <w:sz w:val="22"/>
          <w:szCs w:val="22"/>
          <w:u w:val="none"/>
        </w:rPr>
        <w:t>given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Pr>
          <w:rFonts w:ascii="Arial" w:hAnsi="Arial" w:cs="Arial"/>
          <w:b w:val="0"/>
          <w:bCs/>
          <w:color w:val="231F20"/>
          <w:spacing w:val="-1"/>
          <w:sz w:val="22"/>
          <w:szCs w:val="22"/>
          <w:u w:val="none"/>
        </w:rPr>
        <w:t>Directors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pursuant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551</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Act</w:t>
      </w:r>
      <w:r w:rsidRPr="00D54072">
        <w:rPr>
          <w:rFonts w:ascii="Arial" w:hAnsi="Arial" w:cs="Arial"/>
          <w:b w:val="0"/>
          <w:bCs/>
          <w:color w:val="231F20"/>
          <w:spacing w:val="37"/>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allot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grant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subscribe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for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31"/>
          <w:sz w:val="22"/>
          <w:szCs w:val="22"/>
          <w:u w:val="none"/>
        </w:rPr>
        <w:t xml:space="preserve"> </w:t>
      </w:r>
      <w:r w:rsidRPr="00D54072">
        <w:rPr>
          <w:rFonts w:ascii="Arial" w:hAnsi="Arial" w:cs="Arial"/>
          <w:b w:val="0"/>
          <w:bCs/>
          <w:color w:val="231F20"/>
          <w:spacing w:val="-1"/>
          <w:sz w:val="22"/>
          <w:szCs w:val="22"/>
          <w:u w:val="none"/>
        </w:rPr>
        <w:t>convert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security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into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way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ordinary</w:t>
      </w:r>
      <w:r w:rsidRPr="00D54072">
        <w:rPr>
          <w:rFonts w:ascii="Arial" w:hAnsi="Arial" w:cs="Arial"/>
          <w:b w:val="0"/>
          <w:bCs/>
          <w:color w:val="231F20"/>
          <w:spacing w:val="33"/>
          <w:sz w:val="22"/>
          <w:szCs w:val="22"/>
          <w:u w:val="none"/>
        </w:rPr>
        <w:t xml:space="preserve"> </w:t>
      </w:r>
      <w:r w:rsidRPr="00D54072">
        <w:rPr>
          <w:rFonts w:ascii="Arial" w:hAnsi="Arial" w:cs="Arial"/>
          <w:b w:val="0"/>
          <w:bCs/>
          <w:color w:val="231F20"/>
          <w:spacing w:val="-2"/>
          <w:sz w:val="22"/>
          <w:szCs w:val="22"/>
          <w:u w:val="none"/>
        </w:rPr>
        <w:t>resolution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Company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passed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on</w:t>
      </w:r>
      <w:r w:rsidRPr="00D54072">
        <w:rPr>
          <w:rFonts w:ascii="Arial" w:hAnsi="Arial" w:cs="Arial"/>
          <w:b w:val="0"/>
          <w:bCs/>
          <w:color w:val="231F20"/>
          <w:spacing w:val="-18"/>
          <w:sz w:val="22"/>
          <w:szCs w:val="22"/>
          <w:u w:val="none"/>
        </w:rPr>
        <w:t xml:space="preserve"> </w:t>
      </w:r>
      <w:r w:rsidRPr="006C2A22">
        <w:rPr>
          <w:rFonts w:ascii="Arial" w:hAnsi="Arial" w:cs="Arial"/>
          <w:b w:val="0"/>
          <w:bCs/>
          <w:color w:val="231F20"/>
          <w:sz w:val="22"/>
          <w:szCs w:val="22"/>
          <w:u w:val="none"/>
        </w:rPr>
        <w:t>24 April 2025</w:t>
      </w:r>
      <w:r>
        <w:rPr>
          <w:rFonts w:ascii="Arial" w:hAnsi="Arial" w:cs="Arial"/>
          <w:b w:val="0"/>
          <w:bCs/>
          <w:color w:val="231F20"/>
          <w:sz w:val="22"/>
          <w:szCs w:val="22"/>
          <w:u w:val="none"/>
        </w:rPr>
        <w:t xml:space="preserve"> </w:t>
      </w:r>
      <w:r w:rsidRPr="00D54072">
        <w:rPr>
          <w:rFonts w:ascii="Arial" w:hAnsi="Arial" w:cs="Arial"/>
          <w:b w:val="0"/>
          <w:bCs/>
          <w:color w:val="231F20"/>
          <w:spacing w:val="-1"/>
          <w:sz w:val="22"/>
          <w:szCs w:val="22"/>
          <w:u w:val="none"/>
        </w:rPr>
        <w:t>are</w:t>
      </w:r>
      <w:r>
        <w:rPr>
          <w:rFonts w:ascii="Arial" w:hAnsi="Arial" w:cs="Arial"/>
          <w:b w:val="0"/>
          <w:bCs/>
          <w:color w:val="231F20"/>
          <w:spacing w:val="-1"/>
          <w:sz w:val="22"/>
          <w:szCs w:val="22"/>
          <w:u w:val="none"/>
        </w:rPr>
        <w:t xml:space="preserve"> </w:t>
      </w:r>
      <w:r w:rsidRPr="00D54072">
        <w:rPr>
          <w:rFonts w:ascii="Arial" w:hAnsi="Arial" w:cs="Arial"/>
          <w:b w:val="0"/>
          <w:bCs/>
          <w:color w:val="231F20"/>
          <w:spacing w:val="-2"/>
          <w:sz w:val="22"/>
          <w:szCs w:val="22"/>
          <w:u w:val="none"/>
        </w:rPr>
        <w:t>revoked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resolution;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p>
    <w:p w14:paraId="5D947B06" w14:textId="77777777" w:rsidR="00DB427B" w:rsidRPr="00781198" w:rsidRDefault="00DB427B" w:rsidP="00DB427B">
      <w:pPr>
        <w:pStyle w:val="BodyText"/>
        <w:widowControl w:val="0"/>
        <w:numPr>
          <w:ilvl w:val="1"/>
          <w:numId w:val="31"/>
        </w:numPr>
        <w:tabs>
          <w:tab w:val="left" w:pos="680"/>
        </w:tabs>
        <w:spacing w:after="120" w:line="276" w:lineRule="auto"/>
        <w:ind w:left="679" w:right="329" w:hanging="283"/>
        <w:rPr>
          <w:rFonts w:ascii="Arial" w:hAnsi="Arial" w:cs="Arial"/>
          <w:b w:val="0"/>
          <w:bCs/>
          <w:sz w:val="22"/>
          <w:szCs w:val="22"/>
          <w:u w:val="none"/>
        </w:rPr>
      </w:pPr>
      <w:r w:rsidRPr="00D54072">
        <w:rPr>
          <w:rFonts w:ascii="Arial" w:hAnsi="Arial" w:cs="Arial"/>
          <w:b w:val="0"/>
          <w:bCs/>
          <w:color w:val="231F20"/>
          <w:spacing w:val="-1"/>
          <w:sz w:val="22"/>
          <w:szCs w:val="22"/>
          <w:u w:val="none"/>
        </w:rPr>
        <w:t>paragraph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3"/>
          <w:sz w:val="22"/>
          <w:szCs w:val="22"/>
          <w:u w:val="none"/>
        </w:rPr>
        <w:t>(b)</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above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shall</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without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prejudice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Pr>
          <w:rFonts w:ascii="Arial" w:hAnsi="Arial" w:cs="Arial"/>
          <w:b w:val="0"/>
          <w:bCs/>
          <w:color w:val="231F20"/>
          <w:spacing w:val="45"/>
          <w:sz w:val="22"/>
          <w:szCs w:val="22"/>
          <w:u w:val="none"/>
        </w:rPr>
        <w:t xml:space="preserve"> </w:t>
      </w:r>
      <w:r w:rsidRPr="00D54072">
        <w:rPr>
          <w:rFonts w:ascii="Arial" w:hAnsi="Arial" w:cs="Arial"/>
          <w:b w:val="0"/>
          <w:bCs/>
          <w:color w:val="231F20"/>
          <w:spacing w:val="-2"/>
          <w:sz w:val="22"/>
          <w:szCs w:val="22"/>
          <w:u w:val="none"/>
        </w:rPr>
        <w:t>continuing</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authority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Pr>
          <w:rFonts w:ascii="Arial" w:hAnsi="Arial" w:cs="Arial"/>
          <w:b w:val="0"/>
          <w:bCs/>
          <w:color w:val="231F20"/>
          <w:spacing w:val="-1"/>
          <w:sz w:val="22"/>
          <w:szCs w:val="22"/>
          <w:u w:val="none"/>
        </w:rPr>
        <w:t>Directors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allot</w:t>
      </w:r>
      <w:r w:rsidRPr="00D54072">
        <w:rPr>
          <w:rFonts w:ascii="Arial" w:hAnsi="Arial" w:cs="Arial"/>
          <w:b w:val="0"/>
          <w:bCs/>
          <w:color w:val="231F20"/>
          <w:spacing w:val="-18"/>
          <w:sz w:val="22"/>
          <w:szCs w:val="22"/>
          <w:u w:val="none"/>
        </w:rPr>
        <w:t xml:space="preserve"> </w:t>
      </w:r>
      <w:proofErr w:type="gramStart"/>
      <w:r w:rsidRPr="00D54072">
        <w:rPr>
          <w:rFonts w:ascii="Arial" w:hAnsi="Arial" w:cs="Arial"/>
          <w:b w:val="0"/>
          <w:bCs/>
          <w:color w:val="231F20"/>
          <w:spacing w:val="-1"/>
          <w:sz w:val="22"/>
          <w:szCs w:val="22"/>
          <w:u w:val="none"/>
        </w:rPr>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proofErr w:type="gramEnd"/>
      <w:r w:rsidRPr="00D54072">
        <w:rPr>
          <w:rFonts w:ascii="Arial" w:hAnsi="Arial" w:cs="Arial"/>
          <w:b w:val="0"/>
          <w:bCs/>
          <w:color w:val="231F20"/>
          <w:spacing w:val="35"/>
          <w:sz w:val="22"/>
          <w:szCs w:val="22"/>
          <w:u w:val="none"/>
        </w:rPr>
        <w:t xml:space="preserve"> </w:t>
      </w:r>
      <w:r w:rsidRPr="00D54072">
        <w:rPr>
          <w:rFonts w:ascii="Arial" w:hAnsi="Arial" w:cs="Arial"/>
          <w:b w:val="0"/>
          <w:bCs/>
          <w:color w:val="231F20"/>
          <w:spacing w:val="-1"/>
          <w:sz w:val="22"/>
          <w:szCs w:val="22"/>
          <w:u w:val="none"/>
        </w:rPr>
        <w:t>grant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subscribe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for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convert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security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into</w:t>
      </w:r>
      <w:r w:rsidRPr="00D54072">
        <w:rPr>
          <w:rFonts w:ascii="Arial" w:hAnsi="Arial" w:cs="Arial"/>
          <w:b w:val="0"/>
          <w:bCs/>
          <w:color w:val="231F20"/>
          <w:spacing w:val="31"/>
          <w:sz w:val="22"/>
          <w:szCs w:val="22"/>
          <w:u w:val="none"/>
        </w:rPr>
        <w:t xml:space="preserve"> </w:t>
      </w:r>
      <w:r w:rsidRPr="00D54072">
        <w:rPr>
          <w:rFonts w:ascii="Arial" w:hAnsi="Arial" w:cs="Arial"/>
          <w:b w:val="0"/>
          <w:bCs/>
          <w:color w:val="231F20"/>
          <w:spacing w:val="-1"/>
          <w:sz w:val="22"/>
          <w:szCs w:val="22"/>
          <w:u w:val="none"/>
        </w:rPr>
        <w:lastRenderedPageBreak/>
        <w:t>shares,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pursuant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offer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agreement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made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43"/>
          <w:sz w:val="22"/>
          <w:szCs w:val="22"/>
          <w:u w:val="none"/>
        </w:rPr>
        <w:t xml:space="preserve"> </w:t>
      </w:r>
      <w:r w:rsidRPr="00D54072">
        <w:rPr>
          <w:rFonts w:ascii="Arial" w:hAnsi="Arial" w:cs="Arial"/>
          <w:b w:val="0"/>
          <w:bCs/>
          <w:color w:val="231F20"/>
          <w:spacing w:val="-2"/>
          <w:sz w:val="22"/>
          <w:szCs w:val="22"/>
          <w:u w:val="none"/>
        </w:rPr>
        <w:t>Company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before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expiry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authority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pursuant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55"/>
          <w:sz w:val="22"/>
          <w:szCs w:val="22"/>
          <w:u w:val="none"/>
        </w:rPr>
        <w:t xml:space="preserve"> </w:t>
      </w:r>
      <w:r w:rsidRPr="00D54072">
        <w:rPr>
          <w:rFonts w:ascii="Arial" w:hAnsi="Arial" w:cs="Arial"/>
          <w:b w:val="0"/>
          <w:bCs/>
          <w:color w:val="231F20"/>
          <w:spacing w:val="-1"/>
          <w:sz w:val="22"/>
          <w:szCs w:val="22"/>
          <w:u w:val="none"/>
        </w:rPr>
        <w:t>which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such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offer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agreement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was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made.</w:t>
      </w:r>
    </w:p>
    <w:p w14:paraId="24408B32" w14:textId="77777777" w:rsidR="00DB427B" w:rsidRPr="006D0A57" w:rsidRDefault="00DB427B" w:rsidP="00DB427B">
      <w:pPr>
        <w:pStyle w:val="BodyText"/>
        <w:widowControl w:val="0"/>
        <w:tabs>
          <w:tab w:val="left" w:pos="680"/>
        </w:tabs>
        <w:spacing w:after="120"/>
        <w:ind w:left="679" w:right="329"/>
        <w:rPr>
          <w:rFonts w:ascii="Arial" w:hAnsi="Arial" w:cs="Arial"/>
          <w:b w:val="0"/>
          <w:bCs/>
          <w:sz w:val="22"/>
          <w:szCs w:val="22"/>
          <w:u w:val="none"/>
        </w:rPr>
      </w:pPr>
    </w:p>
    <w:p w14:paraId="5B28B3DC" w14:textId="77777777" w:rsidR="00DB427B" w:rsidRPr="00A9779A" w:rsidRDefault="00DB427B" w:rsidP="00DB427B">
      <w:pPr>
        <w:pStyle w:val="BodyText"/>
        <w:widowControl w:val="0"/>
        <w:tabs>
          <w:tab w:val="left" w:pos="680"/>
          <w:tab w:val="left" w:pos="2610"/>
        </w:tabs>
        <w:spacing w:after="120" w:line="276" w:lineRule="auto"/>
        <w:ind w:right="329"/>
        <w:rPr>
          <w:rFonts w:ascii="Arial" w:hAnsi="Arial" w:cs="Arial"/>
          <w:sz w:val="22"/>
          <w:szCs w:val="22"/>
        </w:rPr>
      </w:pPr>
      <w:r w:rsidRPr="00781198">
        <w:rPr>
          <w:rFonts w:ascii="Arial" w:hAnsi="Arial" w:cs="Arial"/>
          <w:sz w:val="22"/>
          <w:szCs w:val="22"/>
        </w:rPr>
        <w:t>RESOLUTION 18 – DISAPPLICATION OF PRE-EMPTION RIGHTS</w:t>
      </w:r>
    </w:p>
    <w:p w14:paraId="12BDD0FC" w14:textId="6C87BFFE" w:rsidR="00701ADA" w:rsidRDefault="00701ADA" w:rsidP="00DB427B">
      <w:pPr>
        <w:pStyle w:val="BodyText"/>
        <w:widowControl w:val="0"/>
        <w:tabs>
          <w:tab w:val="left" w:pos="674"/>
        </w:tabs>
        <w:spacing w:after="120" w:line="276" w:lineRule="auto"/>
        <w:ind w:right="23"/>
        <w:rPr>
          <w:rFonts w:ascii="Arial" w:hAnsi="Arial" w:cs="Arial"/>
          <w:b w:val="0"/>
          <w:sz w:val="22"/>
          <w:szCs w:val="22"/>
          <w:u w:val="none"/>
        </w:rPr>
      </w:pPr>
      <w:r w:rsidRPr="00701ADA">
        <w:rPr>
          <w:rFonts w:ascii="Arial" w:hAnsi="Arial" w:cs="Arial"/>
          <w:b w:val="0"/>
          <w:sz w:val="22"/>
          <w:szCs w:val="22"/>
          <w:u w:val="none"/>
        </w:rPr>
        <w:t>It was resolved as a special resolutio</w:t>
      </w:r>
      <w:r w:rsidR="00416335">
        <w:rPr>
          <w:rFonts w:ascii="Arial" w:hAnsi="Arial" w:cs="Arial"/>
          <w:b w:val="0"/>
          <w:sz w:val="22"/>
          <w:szCs w:val="22"/>
          <w:u w:val="none"/>
        </w:rPr>
        <w:t>n</w:t>
      </w:r>
      <w:r w:rsidRPr="00701ADA">
        <w:rPr>
          <w:rFonts w:ascii="Arial" w:hAnsi="Arial" w:cs="Arial"/>
          <w:b w:val="0"/>
          <w:sz w:val="22"/>
          <w:szCs w:val="22"/>
          <w:u w:val="none"/>
        </w:rPr>
        <w:t>:</w:t>
      </w:r>
    </w:p>
    <w:p w14:paraId="77601AEF" w14:textId="5E1CD254" w:rsidR="00DB427B" w:rsidRPr="00F13258" w:rsidRDefault="00DB427B" w:rsidP="00DB427B">
      <w:pPr>
        <w:pStyle w:val="BodyText"/>
        <w:widowControl w:val="0"/>
        <w:tabs>
          <w:tab w:val="left" w:pos="674"/>
        </w:tabs>
        <w:spacing w:after="120" w:line="276" w:lineRule="auto"/>
        <w:ind w:right="23"/>
        <w:rPr>
          <w:rFonts w:ascii="Arial" w:hAnsi="Arial" w:cs="Arial"/>
          <w:b w:val="0"/>
          <w:bCs/>
          <w:sz w:val="22"/>
          <w:szCs w:val="22"/>
          <w:u w:val="none"/>
        </w:rPr>
      </w:pPr>
      <w:r w:rsidRPr="00F13258">
        <w:rPr>
          <w:rFonts w:ascii="Arial" w:hAnsi="Arial" w:cs="Arial"/>
          <w:b w:val="0"/>
          <w:bCs/>
          <w:color w:val="231F20"/>
          <w:spacing w:val="-1"/>
          <w:sz w:val="22"/>
          <w:szCs w:val="22"/>
          <w:u w:val="none"/>
        </w:rPr>
        <w:t>That, subject to the passing of resolution 17 in the Notice and in place of all existing powers, the Directors are empowered pursuant to Section 570 and Section 573 of the Act to allot equity securities (as defined in the Act) for cash pursuant to the authority conferred by resolution 17 in this Notice, as if Section 561(1) of the Act did not apply to the allotment. This power:</w:t>
      </w:r>
    </w:p>
    <w:p w14:paraId="3CF64786" w14:textId="77777777" w:rsidR="00DB427B" w:rsidRDefault="00DB427B" w:rsidP="00DB427B">
      <w:pPr>
        <w:pStyle w:val="ListParagraph"/>
        <w:numPr>
          <w:ilvl w:val="1"/>
          <w:numId w:val="32"/>
        </w:numPr>
        <w:spacing w:after="0" w:line="240" w:lineRule="auto"/>
        <w:rPr>
          <w:rFonts w:ascii="Arial" w:eastAsia="Times New Roman" w:hAnsi="Arial" w:cs="Arial"/>
          <w:bCs/>
          <w:color w:val="231F20"/>
          <w:spacing w:val="-1"/>
        </w:rPr>
      </w:pPr>
      <w:r w:rsidRPr="000B1F01">
        <w:rPr>
          <w:rFonts w:ascii="Arial" w:eastAsia="Times New Roman" w:hAnsi="Arial" w:cs="Arial"/>
          <w:bCs/>
          <w:color w:val="231F20"/>
          <w:spacing w:val="-1"/>
        </w:rPr>
        <w:t>expires (unless previously renewed, varied or revoked by the Company in general meeting) at the end of the next annual general meeting of the Company after the date on which this resolution is passed, (or, if earlier, at the close of business on 23 July 2027), but the Company may make an offer or agreement which would or might require equity securities to be allotted after expiry of this power and the Directors may allot equity securities in pursuance of that offer or agreement as if this power had not expired;</w:t>
      </w:r>
    </w:p>
    <w:p w14:paraId="4F22AD88" w14:textId="77777777" w:rsidR="00DB427B" w:rsidRPr="000B1F01" w:rsidRDefault="00DB427B" w:rsidP="00DB427B">
      <w:pPr>
        <w:pStyle w:val="ListParagraph"/>
        <w:ind w:left="680"/>
        <w:rPr>
          <w:rFonts w:ascii="Arial" w:eastAsia="Times New Roman" w:hAnsi="Arial" w:cs="Arial"/>
          <w:bCs/>
          <w:color w:val="231F20"/>
          <w:spacing w:val="-1"/>
        </w:rPr>
      </w:pPr>
    </w:p>
    <w:p w14:paraId="006809AF" w14:textId="77777777" w:rsidR="00DB427B" w:rsidRPr="00D54072" w:rsidRDefault="00DB427B" w:rsidP="00DB427B">
      <w:pPr>
        <w:pStyle w:val="BodyText"/>
        <w:widowControl w:val="0"/>
        <w:numPr>
          <w:ilvl w:val="1"/>
          <w:numId w:val="32"/>
        </w:numPr>
        <w:tabs>
          <w:tab w:val="left" w:pos="674"/>
        </w:tabs>
        <w:spacing w:after="120" w:line="276" w:lineRule="auto"/>
        <w:ind w:right="385"/>
        <w:rPr>
          <w:rFonts w:ascii="Arial" w:hAnsi="Arial" w:cs="Arial"/>
          <w:b w:val="0"/>
          <w:bCs/>
          <w:sz w:val="22"/>
          <w:szCs w:val="22"/>
          <w:u w:val="none"/>
        </w:rPr>
      </w:pPr>
      <w:r w:rsidRPr="00D54072">
        <w:rPr>
          <w:rFonts w:ascii="Arial" w:hAnsi="Arial" w:cs="Arial"/>
          <w:b w:val="0"/>
          <w:bCs/>
          <w:color w:val="231F20"/>
          <w:spacing w:val="-2"/>
          <w:sz w:val="22"/>
          <w:szCs w:val="22"/>
          <w:u w:val="none"/>
        </w:rPr>
        <w:t>shall</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limited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allotment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equity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in</w:t>
      </w:r>
      <w:r w:rsidRPr="00D54072">
        <w:rPr>
          <w:rFonts w:ascii="Arial" w:hAnsi="Arial" w:cs="Arial"/>
          <w:b w:val="0"/>
          <w:bCs/>
          <w:color w:val="231F20"/>
          <w:spacing w:val="43"/>
          <w:sz w:val="22"/>
          <w:szCs w:val="22"/>
          <w:u w:val="none"/>
        </w:rPr>
        <w:t xml:space="preserve"> </w:t>
      </w:r>
      <w:r w:rsidRPr="00D54072">
        <w:rPr>
          <w:rFonts w:ascii="Arial" w:hAnsi="Arial" w:cs="Arial"/>
          <w:b w:val="0"/>
          <w:bCs/>
          <w:color w:val="231F20"/>
          <w:spacing w:val="-2"/>
          <w:sz w:val="22"/>
          <w:szCs w:val="22"/>
          <w:u w:val="none"/>
        </w:rPr>
        <w:t>connection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with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offer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equity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3"/>
          <w:sz w:val="22"/>
          <w:szCs w:val="22"/>
          <w:u w:val="none"/>
        </w:rPr>
        <w:t>to:</w:t>
      </w:r>
    </w:p>
    <w:p w14:paraId="324838CB" w14:textId="77777777" w:rsidR="00DB427B" w:rsidRPr="00D54072" w:rsidRDefault="00DB427B" w:rsidP="00DB427B">
      <w:pPr>
        <w:pStyle w:val="BodyText"/>
        <w:widowControl w:val="0"/>
        <w:numPr>
          <w:ilvl w:val="2"/>
          <w:numId w:val="32"/>
        </w:numPr>
        <w:tabs>
          <w:tab w:val="left" w:pos="958"/>
        </w:tabs>
        <w:spacing w:after="120" w:line="276" w:lineRule="auto"/>
        <w:ind w:left="957" w:right="174"/>
        <w:rPr>
          <w:rFonts w:ascii="Arial" w:hAnsi="Arial" w:cs="Arial"/>
          <w:b w:val="0"/>
          <w:bCs/>
          <w:sz w:val="22"/>
          <w:szCs w:val="22"/>
          <w:u w:val="none"/>
        </w:rPr>
      </w:pP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ordinary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shareholders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proportion</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nearly</w:t>
      </w:r>
      <w:r w:rsidRPr="00D54072">
        <w:rPr>
          <w:rFonts w:ascii="Arial" w:hAnsi="Arial" w:cs="Arial"/>
          <w:b w:val="0"/>
          <w:bCs/>
          <w:color w:val="231F20"/>
          <w:spacing w:val="49"/>
          <w:sz w:val="22"/>
          <w:szCs w:val="22"/>
          <w:u w:val="none"/>
        </w:rPr>
        <w:t xml:space="preserve"> </w:t>
      </w:r>
      <w:r w:rsidRPr="00D54072">
        <w:rPr>
          <w:rFonts w:ascii="Arial" w:hAnsi="Arial" w:cs="Arial"/>
          <w:b w:val="0"/>
          <w:bCs/>
          <w:color w:val="231F20"/>
          <w:spacing w:val="-1"/>
          <w:sz w:val="22"/>
          <w:szCs w:val="22"/>
          <w:u w:val="none"/>
        </w:rPr>
        <w:t>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may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practicable)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their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existing</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holdings;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p>
    <w:p w14:paraId="17B7A2C2" w14:textId="77777777" w:rsidR="00DB427B" w:rsidRPr="00D54072" w:rsidRDefault="00DB427B" w:rsidP="00DB427B">
      <w:pPr>
        <w:pStyle w:val="BodyText"/>
        <w:widowControl w:val="0"/>
        <w:numPr>
          <w:ilvl w:val="2"/>
          <w:numId w:val="32"/>
        </w:numPr>
        <w:tabs>
          <w:tab w:val="left" w:pos="958"/>
        </w:tabs>
        <w:spacing w:after="120" w:line="276" w:lineRule="auto"/>
        <w:ind w:left="957" w:right="428"/>
        <w:rPr>
          <w:rFonts w:ascii="Arial" w:hAnsi="Arial" w:cs="Arial"/>
          <w:b w:val="0"/>
          <w:bCs/>
          <w:sz w:val="22"/>
          <w:szCs w:val="22"/>
          <w:u w:val="none"/>
        </w:rPr>
      </w:pPr>
      <w:r w:rsidRPr="00D54072">
        <w:rPr>
          <w:rFonts w:ascii="Arial" w:hAnsi="Arial" w:cs="Arial"/>
          <w:b w:val="0"/>
          <w:bCs/>
          <w:color w:val="231F20"/>
          <w:spacing w:val="-1"/>
          <w:sz w:val="22"/>
          <w:szCs w:val="22"/>
          <w:u w:val="none"/>
        </w:rPr>
        <w:t>people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who</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hold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other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equity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this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is</w:t>
      </w:r>
      <w:r w:rsidRPr="00D54072">
        <w:rPr>
          <w:rFonts w:ascii="Arial" w:hAnsi="Arial" w:cs="Arial"/>
          <w:b w:val="0"/>
          <w:bCs/>
          <w:color w:val="231F20"/>
          <w:spacing w:val="33"/>
          <w:sz w:val="22"/>
          <w:szCs w:val="22"/>
          <w:u w:val="none"/>
        </w:rPr>
        <w:t xml:space="preserve"> </w:t>
      </w:r>
      <w:r w:rsidRPr="00D54072">
        <w:rPr>
          <w:rFonts w:ascii="Arial" w:hAnsi="Arial" w:cs="Arial"/>
          <w:b w:val="0"/>
          <w:bCs/>
          <w:color w:val="231F20"/>
          <w:spacing w:val="-1"/>
          <w:sz w:val="22"/>
          <w:szCs w:val="22"/>
          <w:u w:val="none"/>
        </w:rPr>
        <w:t>required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those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6"/>
          <w:sz w:val="22"/>
          <w:szCs w:val="22"/>
          <w:u w:val="none"/>
        </w:rPr>
        <w:t>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21"/>
          <w:sz w:val="22"/>
          <w:szCs w:val="22"/>
          <w:u w:val="none"/>
        </w:rPr>
        <w:t xml:space="preserve"> </w:t>
      </w:r>
      <w:r>
        <w:rPr>
          <w:rFonts w:ascii="Arial" w:hAnsi="Arial" w:cs="Arial"/>
          <w:b w:val="0"/>
          <w:bCs/>
          <w:color w:val="231F20"/>
          <w:spacing w:val="-1"/>
          <w:sz w:val="22"/>
          <w:szCs w:val="22"/>
          <w:u w:val="none"/>
        </w:rPr>
        <w:t>Directors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consider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it</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necessary,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permitted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by</w:t>
      </w:r>
      <w:r w:rsidRPr="00D54072">
        <w:rPr>
          <w:rFonts w:ascii="Arial" w:hAnsi="Arial" w:cs="Arial"/>
          <w:b w:val="0"/>
          <w:bCs/>
          <w:color w:val="231F20"/>
          <w:spacing w:val="41"/>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rights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those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securities,</w:t>
      </w:r>
    </w:p>
    <w:p w14:paraId="7AEBBAA0" w14:textId="77777777" w:rsidR="00DB427B" w:rsidRDefault="00DB427B" w:rsidP="00DB427B">
      <w:pPr>
        <w:pStyle w:val="BodyText"/>
        <w:widowControl w:val="0"/>
        <w:tabs>
          <w:tab w:val="left" w:pos="674"/>
        </w:tabs>
        <w:spacing w:after="120" w:line="276" w:lineRule="auto"/>
        <w:ind w:left="673" w:right="131"/>
        <w:rPr>
          <w:rFonts w:ascii="Arial" w:hAnsi="Arial" w:cs="Arial"/>
          <w:b w:val="0"/>
          <w:bCs/>
          <w:color w:val="231F20"/>
          <w:spacing w:val="-1"/>
          <w:sz w:val="22"/>
          <w:szCs w:val="22"/>
          <w:u w:val="none"/>
        </w:rPr>
      </w:pPr>
      <w:r w:rsidRPr="00C8584D">
        <w:rPr>
          <w:rFonts w:ascii="Arial" w:hAnsi="Arial" w:cs="Arial"/>
          <w:b w:val="0"/>
          <w:bCs/>
          <w:color w:val="231F20"/>
          <w:spacing w:val="-1"/>
          <w:sz w:val="22"/>
          <w:szCs w:val="22"/>
          <w:u w:val="none"/>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r>
        <w:rPr>
          <w:rFonts w:ascii="Arial" w:hAnsi="Arial" w:cs="Arial"/>
          <w:b w:val="0"/>
          <w:bCs/>
          <w:color w:val="231F20"/>
          <w:spacing w:val="-1"/>
          <w:sz w:val="22"/>
          <w:szCs w:val="22"/>
          <w:u w:val="none"/>
        </w:rPr>
        <w:t xml:space="preserve"> </w:t>
      </w:r>
    </w:p>
    <w:p w14:paraId="40637746" w14:textId="77777777" w:rsidR="00DB427B" w:rsidRPr="00BB6EC5" w:rsidRDefault="00DB427B" w:rsidP="00DB427B">
      <w:pPr>
        <w:pStyle w:val="BodyText"/>
        <w:widowControl w:val="0"/>
        <w:numPr>
          <w:ilvl w:val="1"/>
          <w:numId w:val="32"/>
        </w:numPr>
        <w:tabs>
          <w:tab w:val="left" w:pos="674"/>
        </w:tabs>
        <w:spacing w:after="120" w:line="276" w:lineRule="auto"/>
        <w:ind w:right="131"/>
        <w:rPr>
          <w:rFonts w:ascii="Arial" w:hAnsi="Arial" w:cs="Arial"/>
          <w:b w:val="0"/>
          <w:bCs/>
          <w:color w:val="231F20"/>
          <w:spacing w:val="-1"/>
          <w:sz w:val="22"/>
          <w:szCs w:val="22"/>
          <w:u w:val="none"/>
        </w:rPr>
      </w:pPr>
      <w:r w:rsidRPr="00064DAF">
        <w:rPr>
          <w:rFonts w:ascii="Arial" w:hAnsi="Arial" w:cs="Arial"/>
          <w:b w:val="0"/>
          <w:bCs/>
          <w:color w:val="231F20"/>
          <w:spacing w:val="-1"/>
          <w:sz w:val="22"/>
          <w:szCs w:val="22"/>
          <w:u w:val="none"/>
        </w:rPr>
        <w:t>in the case of the authority granted under resolution 17(a) (i)(A), shall be limited to the allotment (otherwise than pursuant to paragraph (b)) of equity securities for cash up to an aggregate nominal amount of £13.1 million.</w:t>
      </w:r>
      <w:r w:rsidRPr="00BB6EC5">
        <w:rPr>
          <w:rFonts w:ascii="Arial" w:hAnsi="Arial" w:cs="Arial"/>
          <w:b w:val="0"/>
          <w:bCs/>
          <w:color w:val="231F20"/>
          <w:spacing w:val="-1"/>
          <w:sz w:val="22"/>
          <w:szCs w:val="22"/>
          <w:u w:val="none"/>
        </w:rPr>
        <w:t xml:space="preserve">in the case of the authority granted under </w:t>
      </w:r>
      <w:r>
        <w:rPr>
          <w:rFonts w:ascii="Arial" w:hAnsi="Arial" w:cs="Arial"/>
          <w:b w:val="0"/>
          <w:bCs/>
          <w:color w:val="231F20"/>
          <w:spacing w:val="-1"/>
          <w:sz w:val="22"/>
          <w:szCs w:val="22"/>
          <w:u w:val="none"/>
        </w:rPr>
        <w:t>r</w:t>
      </w:r>
      <w:r w:rsidRPr="00BB6EC5">
        <w:rPr>
          <w:rFonts w:ascii="Arial" w:hAnsi="Arial" w:cs="Arial"/>
          <w:b w:val="0"/>
          <w:bCs/>
          <w:color w:val="231F20"/>
          <w:spacing w:val="-1"/>
          <w:sz w:val="22"/>
          <w:szCs w:val="22"/>
          <w:u w:val="none"/>
        </w:rPr>
        <w:t>esolution 17(a) (i)(A), shall be limited to the allotment (otherwise than pursuant to paragraph (b)) of equity securities for cash up to an aggregate nominal amount of £13.1 million.</w:t>
      </w:r>
    </w:p>
    <w:p w14:paraId="42E388AE" w14:textId="77777777" w:rsidR="00DB427B" w:rsidRDefault="00DB427B" w:rsidP="00DB427B">
      <w:pPr>
        <w:autoSpaceDE w:val="0"/>
        <w:autoSpaceDN w:val="0"/>
        <w:adjustRightInd w:val="0"/>
        <w:spacing w:after="120"/>
        <w:rPr>
          <w:rFonts w:ascii="Arial" w:hAnsi="Arial" w:cs="Arial"/>
          <w:bCs/>
          <w:color w:val="231F20"/>
          <w:spacing w:val="-1"/>
        </w:rPr>
      </w:pPr>
      <w:r w:rsidRPr="00781198">
        <w:rPr>
          <w:rFonts w:ascii="Arial" w:hAnsi="Arial" w:cs="Arial"/>
          <w:bCs/>
          <w:color w:val="231F20"/>
          <w:spacing w:val="-1"/>
        </w:rPr>
        <w:t>This power applies in relation to a sale of shares which is an allotment of equity securities by virtue of Section 560(3) of the Act as if in the first paragraph of this resolution the words ‘pursuant to the authority conferred by resolution 17 in this Notice’ were omitted.</w:t>
      </w:r>
    </w:p>
    <w:p w14:paraId="2DFF434B" w14:textId="77777777" w:rsidR="00DB427B" w:rsidRPr="00A9779A" w:rsidRDefault="00DB427B" w:rsidP="00DB427B">
      <w:pPr>
        <w:keepNext/>
        <w:keepLines/>
        <w:spacing w:after="120"/>
        <w:rPr>
          <w:rFonts w:ascii="Arial" w:hAnsi="Arial" w:cs="Arial"/>
          <w:b/>
          <w:u w:val="single"/>
        </w:rPr>
      </w:pPr>
      <w:r w:rsidRPr="006D0A57">
        <w:rPr>
          <w:rFonts w:ascii="Arial" w:hAnsi="Arial" w:cs="Arial"/>
          <w:b/>
          <w:u w:val="single"/>
        </w:rPr>
        <w:t>RESOLUTION 19 – ADDITIONAL DISAPPLICATION OF PRE-EMPTION RIGHTS</w:t>
      </w:r>
    </w:p>
    <w:p w14:paraId="21A6A84D" w14:textId="77777777" w:rsidR="00847615" w:rsidRDefault="00847615" w:rsidP="00847615">
      <w:pPr>
        <w:pStyle w:val="BodyText"/>
        <w:widowControl w:val="0"/>
        <w:tabs>
          <w:tab w:val="left" w:pos="674"/>
        </w:tabs>
        <w:spacing w:after="120" w:line="276" w:lineRule="auto"/>
        <w:ind w:right="23"/>
        <w:rPr>
          <w:rFonts w:ascii="Arial" w:hAnsi="Arial" w:cs="Arial"/>
          <w:b w:val="0"/>
          <w:sz w:val="22"/>
          <w:szCs w:val="22"/>
          <w:u w:val="none"/>
        </w:rPr>
      </w:pPr>
      <w:r w:rsidRPr="00701ADA">
        <w:rPr>
          <w:rFonts w:ascii="Arial" w:hAnsi="Arial" w:cs="Arial"/>
          <w:b w:val="0"/>
          <w:sz w:val="22"/>
          <w:szCs w:val="22"/>
          <w:u w:val="none"/>
        </w:rPr>
        <w:t>It was resolved as a special resolutio</w:t>
      </w:r>
      <w:r>
        <w:rPr>
          <w:rFonts w:ascii="Arial" w:hAnsi="Arial" w:cs="Arial"/>
          <w:b w:val="0"/>
          <w:sz w:val="22"/>
          <w:szCs w:val="22"/>
          <w:u w:val="none"/>
        </w:rPr>
        <w:t>n</w:t>
      </w:r>
      <w:r w:rsidRPr="00701ADA">
        <w:rPr>
          <w:rFonts w:ascii="Arial" w:hAnsi="Arial" w:cs="Arial"/>
          <w:b w:val="0"/>
          <w:sz w:val="22"/>
          <w:szCs w:val="22"/>
          <w:u w:val="none"/>
        </w:rPr>
        <w:t>:</w:t>
      </w:r>
    </w:p>
    <w:p w14:paraId="139BE4FF" w14:textId="77777777" w:rsidR="00DB427B" w:rsidRDefault="00DB427B" w:rsidP="00DB427B">
      <w:pPr>
        <w:pStyle w:val="BodyText"/>
        <w:widowControl w:val="0"/>
        <w:tabs>
          <w:tab w:val="left" w:pos="391"/>
        </w:tabs>
        <w:spacing w:after="120" w:line="276" w:lineRule="auto"/>
        <w:rPr>
          <w:rFonts w:ascii="Arial" w:hAnsi="Arial" w:cs="Arial"/>
          <w:b w:val="0"/>
          <w:bCs/>
          <w:color w:val="231F20"/>
          <w:spacing w:val="-1"/>
          <w:sz w:val="22"/>
          <w:szCs w:val="22"/>
          <w:u w:val="none"/>
        </w:rPr>
      </w:pPr>
      <w:r w:rsidRPr="00E547A3">
        <w:rPr>
          <w:rFonts w:ascii="Arial" w:hAnsi="Arial" w:cs="Arial"/>
          <w:b w:val="0"/>
          <w:bCs/>
          <w:color w:val="231F20"/>
          <w:spacing w:val="-1"/>
          <w:sz w:val="22"/>
          <w:szCs w:val="22"/>
          <w:u w:val="none"/>
        </w:rPr>
        <w:t>That, subject to the passing of resolution 17 in the Notice</w:t>
      </w:r>
      <w:r>
        <w:rPr>
          <w:rFonts w:ascii="Arial" w:hAnsi="Arial" w:cs="Arial"/>
          <w:b w:val="0"/>
          <w:sz w:val="22"/>
          <w:szCs w:val="22"/>
          <w:u w:val="none"/>
        </w:rPr>
        <w:t xml:space="preserve"> </w:t>
      </w:r>
      <w:r w:rsidRPr="00E547A3">
        <w:rPr>
          <w:rFonts w:ascii="Arial" w:hAnsi="Arial" w:cs="Arial"/>
          <w:b w:val="0"/>
          <w:bCs/>
          <w:color w:val="231F20"/>
          <w:spacing w:val="-1"/>
          <w:sz w:val="22"/>
          <w:szCs w:val="22"/>
          <w:u w:val="none"/>
        </w:rPr>
        <w:t>of AGM, and in addition to any power given to them pursuant to resolution 18 in the Notice, the Directors are empowered pursuant to Section 570 and Section 573 of the Act to allot</w:t>
      </w:r>
      <w:r>
        <w:rPr>
          <w:rFonts w:ascii="Arial" w:hAnsi="Arial" w:cs="Arial"/>
          <w:b w:val="0"/>
          <w:bCs/>
          <w:color w:val="231F20"/>
          <w:spacing w:val="-1"/>
          <w:sz w:val="22"/>
          <w:szCs w:val="22"/>
          <w:u w:val="none"/>
        </w:rPr>
        <w:t xml:space="preserve"> </w:t>
      </w:r>
      <w:r w:rsidRPr="00E547A3">
        <w:rPr>
          <w:rFonts w:ascii="Arial" w:hAnsi="Arial" w:cs="Arial"/>
          <w:b w:val="0"/>
          <w:bCs/>
          <w:color w:val="231F20"/>
          <w:spacing w:val="-1"/>
          <w:sz w:val="22"/>
          <w:szCs w:val="22"/>
          <w:u w:val="none"/>
        </w:rPr>
        <w:t xml:space="preserve">equity securities (as defined in the </w:t>
      </w:r>
      <w:r w:rsidRPr="00E547A3">
        <w:rPr>
          <w:rFonts w:ascii="Arial" w:hAnsi="Arial" w:cs="Arial"/>
          <w:b w:val="0"/>
          <w:bCs/>
          <w:color w:val="231F20"/>
          <w:spacing w:val="-1"/>
          <w:sz w:val="22"/>
          <w:szCs w:val="22"/>
          <w:u w:val="none"/>
        </w:rPr>
        <w:lastRenderedPageBreak/>
        <w:t>Act) for cash, pursuant to the authority conferred by resolution 17 in this Notice, as if Section 561(1) of the Act did not apply to the allotment. This power:</w:t>
      </w:r>
      <w:r>
        <w:rPr>
          <w:rFonts w:ascii="Arial" w:hAnsi="Arial" w:cs="Arial"/>
          <w:b w:val="0"/>
          <w:bCs/>
          <w:color w:val="231F20"/>
          <w:spacing w:val="-1"/>
          <w:sz w:val="22"/>
          <w:szCs w:val="22"/>
          <w:u w:val="none"/>
        </w:rPr>
        <w:t xml:space="preserve"> </w:t>
      </w:r>
    </w:p>
    <w:p w14:paraId="5EACCCCC" w14:textId="77777777" w:rsidR="00DB427B" w:rsidRDefault="00DB427B" w:rsidP="00DB427B">
      <w:pPr>
        <w:pStyle w:val="ListParagraph"/>
        <w:numPr>
          <w:ilvl w:val="1"/>
          <w:numId w:val="34"/>
        </w:numPr>
        <w:spacing w:after="0" w:line="240" w:lineRule="auto"/>
        <w:rPr>
          <w:rFonts w:ascii="Arial" w:eastAsia="Times New Roman" w:hAnsi="Arial" w:cs="Arial"/>
          <w:bCs/>
          <w:color w:val="231F20"/>
          <w:spacing w:val="-1"/>
        </w:rPr>
      </w:pPr>
      <w:r w:rsidRPr="007C5B42">
        <w:rPr>
          <w:rFonts w:ascii="Arial" w:eastAsia="Times New Roman" w:hAnsi="Arial" w:cs="Arial"/>
          <w:bCs/>
          <w:color w:val="231F20"/>
          <w:spacing w:val="-1"/>
        </w:rPr>
        <w:t>expires (unless previously renewed, varied or revoked by the Company in general meeting) at the end of the next annual general meeting of the Company after the date on which this resolution is passed (or, if earlier, at the close of business on 23 July 2027),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263996DC" w14:textId="77777777" w:rsidR="00DB427B" w:rsidRPr="007C5B42" w:rsidRDefault="00DB427B" w:rsidP="00DB427B">
      <w:pPr>
        <w:pStyle w:val="ListParagraph"/>
        <w:ind w:left="680"/>
        <w:rPr>
          <w:rFonts w:ascii="Arial" w:eastAsia="Times New Roman" w:hAnsi="Arial" w:cs="Arial"/>
          <w:bCs/>
          <w:color w:val="231F20"/>
          <w:spacing w:val="-1"/>
        </w:rPr>
      </w:pPr>
    </w:p>
    <w:p w14:paraId="0A5D4D38" w14:textId="77777777" w:rsidR="00DB427B" w:rsidRPr="00C20E6D" w:rsidRDefault="00DB427B" w:rsidP="00DB427B">
      <w:pPr>
        <w:pStyle w:val="ListParagraph"/>
        <w:numPr>
          <w:ilvl w:val="1"/>
          <w:numId w:val="34"/>
        </w:numPr>
        <w:spacing w:after="0" w:line="240" w:lineRule="auto"/>
        <w:rPr>
          <w:rFonts w:ascii="Arial" w:eastAsia="Times New Roman" w:hAnsi="Arial" w:cs="Arial"/>
          <w:bCs/>
          <w:color w:val="231F20"/>
          <w:spacing w:val="-1"/>
        </w:rPr>
      </w:pPr>
      <w:r w:rsidRPr="00C20E6D">
        <w:rPr>
          <w:rFonts w:ascii="Arial" w:eastAsia="Times New Roman" w:hAnsi="Arial" w:cs="Arial"/>
          <w:bCs/>
          <w:color w:val="231F20"/>
          <w:spacing w:val="-1"/>
        </w:rPr>
        <w:t>in the case of the authority granted under resolution 17(a) (i)(A) shall be limited to the allotment of equity securities for cash up to an aggregate nominal amount of</w:t>
      </w:r>
      <w:r>
        <w:rPr>
          <w:rFonts w:ascii="Arial" w:eastAsia="Times New Roman" w:hAnsi="Arial" w:cs="Arial"/>
          <w:bCs/>
          <w:color w:val="231F20"/>
          <w:spacing w:val="-1"/>
        </w:rPr>
        <w:t xml:space="preserve"> </w:t>
      </w:r>
      <w:r w:rsidRPr="00C20E6D">
        <w:rPr>
          <w:rFonts w:ascii="Arial" w:hAnsi="Arial" w:cs="Arial"/>
          <w:bCs/>
          <w:color w:val="231F20"/>
          <w:spacing w:val="-1"/>
        </w:rPr>
        <w:t xml:space="preserve">£13.1 million, provided that the allotment is for the purposes of financing (or refinancing, if the power is used within six months of the original transaction) a transaction which the Directors </w:t>
      </w:r>
      <w:r>
        <w:rPr>
          <w:rFonts w:ascii="Arial" w:hAnsi="Arial" w:cs="Arial"/>
          <w:bCs/>
          <w:color w:val="231F20"/>
          <w:spacing w:val="-1"/>
        </w:rPr>
        <w:t>d</w:t>
      </w:r>
      <w:r w:rsidRPr="00C20E6D">
        <w:rPr>
          <w:rFonts w:ascii="Arial" w:hAnsi="Arial" w:cs="Arial"/>
          <w:bCs/>
          <w:color w:val="231F20"/>
          <w:spacing w:val="-1"/>
        </w:rPr>
        <w:t>etermine to be an acquisition or specified capital investment of a kind contemplated by</w:t>
      </w:r>
    </w:p>
    <w:p w14:paraId="386801E9" w14:textId="77777777" w:rsidR="00DB427B" w:rsidRDefault="00DB427B" w:rsidP="00DB427B">
      <w:pPr>
        <w:pStyle w:val="ListParagraph"/>
        <w:ind w:left="680"/>
        <w:rPr>
          <w:rFonts w:ascii="Arial" w:eastAsia="Times New Roman" w:hAnsi="Arial" w:cs="Arial"/>
          <w:bCs/>
          <w:color w:val="231F20"/>
          <w:spacing w:val="-1"/>
        </w:rPr>
      </w:pPr>
      <w:r w:rsidRPr="00C20E6D">
        <w:rPr>
          <w:rFonts w:ascii="Arial" w:eastAsia="Times New Roman" w:hAnsi="Arial" w:cs="Arial"/>
          <w:bCs/>
          <w:color w:val="231F20"/>
          <w:spacing w:val="-1"/>
        </w:rPr>
        <w:t>the Statement of Principles on Disapplying Pre-emption Rights published by the Pre-emption Group in 2015.</w:t>
      </w:r>
    </w:p>
    <w:p w14:paraId="091E13B3" w14:textId="77777777" w:rsidR="00DB427B" w:rsidRPr="00C20E6D" w:rsidRDefault="00DB427B" w:rsidP="00DB427B">
      <w:pPr>
        <w:pStyle w:val="ListParagraph"/>
        <w:ind w:left="680"/>
        <w:rPr>
          <w:rFonts w:ascii="Arial" w:eastAsia="Times New Roman" w:hAnsi="Arial" w:cs="Arial"/>
          <w:bCs/>
          <w:color w:val="231F20"/>
          <w:spacing w:val="-1"/>
        </w:rPr>
      </w:pPr>
    </w:p>
    <w:p w14:paraId="61E67B83" w14:textId="77777777" w:rsidR="00DB427B" w:rsidRDefault="00DB427B" w:rsidP="00DB427B">
      <w:pPr>
        <w:pStyle w:val="FWNL2"/>
        <w:numPr>
          <w:ilvl w:val="0"/>
          <w:numId w:val="0"/>
        </w:numPr>
        <w:spacing w:after="120" w:line="276" w:lineRule="auto"/>
        <w:jc w:val="left"/>
        <w:rPr>
          <w:rFonts w:ascii="Arial" w:hAnsi="Arial" w:cs="Arial"/>
          <w:bCs/>
          <w:color w:val="231F20"/>
          <w:spacing w:val="-1"/>
          <w:sz w:val="22"/>
          <w:szCs w:val="22"/>
        </w:rPr>
      </w:pPr>
      <w:r w:rsidRPr="006D0A57">
        <w:rPr>
          <w:rFonts w:ascii="Arial" w:hAnsi="Arial" w:cs="Arial"/>
          <w:bCs/>
          <w:color w:val="231F20"/>
          <w:spacing w:val="-1"/>
          <w:sz w:val="22"/>
          <w:szCs w:val="22"/>
        </w:rPr>
        <w:t>This power applies in relation to a sale of shares which is an allotment of equity securities by virtue of Section 560(3) of the Act as if in the first paragraph of this resolution the words ‘pursuant to the authority conferred by resolution 17 in this Notice’ were omitted.</w:t>
      </w:r>
    </w:p>
    <w:p w14:paraId="621D4759" w14:textId="77777777" w:rsidR="00DB427B" w:rsidRPr="006D0A57" w:rsidRDefault="00DB427B" w:rsidP="00DB427B">
      <w:pPr>
        <w:pStyle w:val="FWNL2"/>
        <w:numPr>
          <w:ilvl w:val="0"/>
          <w:numId w:val="0"/>
        </w:numPr>
        <w:spacing w:after="120"/>
        <w:jc w:val="left"/>
        <w:rPr>
          <w:rFonts w:ascii="Arial" w:hAnsi="Arial" w:cs="Arial"/>
          <w:bCs/>
          <w:color w:val="231F20"/>
          <w:spacing w:val="-1"/>
          <w:sz w:val="22"/>
          <w:szCs w:val="22"/>
        </w:rPr>
      </w:pPr>
    </w:p>
    <w:p w14:paraId="18471DB7" w14:textId="77777777" w:rsidR="00DB427B" w:rsidRPr="00D54072" w:rsidRDefault="00DB427B" w:rsidP="00DB427B">
      <w:pPr>
        <w:pStyle w:val="FWNL2"/>
        <w:numPr>
          <w:ilvl w:val="0"/>
          <w:numId w:val="0"/>
        </w:numPr>
        <w:spacing w:after="120" w:line="276" w:lineRule="auto"/>
        <w:jc w:val="left"/>
        <w:rPr>
          <w:rFonts w:ascii="Arial" w:hAnsi="Arial" w:cs="Arial"/>
          <w:sz w:val="22"/>
          <w:szCs w:val="22"/>
        </w:rPr>
      </w:pPr>
      <w:r w:rsidRPr="00D54072">
        <w:rPr>
          <w:rFonts w:ascii="Arial" w:hAnsi="Arial" w:cs="Arial"/>
          <w:b/>
          <w:sz w:val="22"/>
          <w:szCs w:val="22"/>
          <w:u w:val="single"/>
        </w:rPr>
        <w:t xml:space="preserve">RESOLUTION </w:t>
      </w:r>
      <w:r>
        <w:rPr>
          <w:rFonts w:ascii="Arial" w:hAnsi="Arial" w:cs="Arial"/>
          <w:b/>
          <w:sz w:val="22"/>
          <w:szCs w:val="22"/>
          <w:u w:val="single"/>
        </w:rPr>
        <w:t>20</w:t>
      </w:r>
      <w:r w:rsidRPr="00D54072">
        <w:rPr>
          <w:rFonts w:ascii="Arial" w:hAnsi="Arial" w:cs="Arial"/>
          <w:b/>
          <w:sz w:val="22"/>
          <w:szCs w:val="22"/>
          <w:u w:val="single"/>
        </w:rPr>
        <w:t xml:space="preserve"> - AUTHORITY TO PURCHASE OWN SHARES</w:t>
      </w:r>
    </w:p>
    <w:p w14:paraId="50D9FD59" w14:textId="77777777" w:rsidR="00847615" w:rsidRDefault="00847615" w:rsidP="00847615">
      <w:pPr>
        <w:pStyle w:val="BodyText"/>
        <w:widowControl w:val="0"/>
        <w:tabs>
          <w:tab w:val="left" w:pos="674"/>
        </w:tabs>
        <w:spacing w:after="120" w:line="276" w:lineRule="auto"/>
        <w:ind w:right="23"/>
        <w:rPr>
          <w:rFonts w:ascii="Arial" w:hAnsi="Arial" w:cs="Arial"/>
          <w:b w:val="0"/>
          <w:sz w:val="22"/>
          <w:szCs w:val="22"/>
          <w:u w:val="none"/>
        </w:rPr>
      </w:pPr>
      <w:r w:rsidRPr="00701ADA">
        <w:rPr>
          <w:rFonts w:ascii="Arial" w:hAnsi="Arial" w:cs="Arial"/>
          <w:b w:val="0"/>
          <w:sz w:val="22"/>
          <w:szCs w:val="22"/>
          <w:u w:val="none"/>
        </w:rPr>
        <w:t>It was resolved as a special resolutio</w:t>
      </w:r>
      <w:r>
        <w:rPr>
          <w:rFonts w:ascii="Arial" w:hAnsi="Arial" w:cs="Arial"/>
          <w:b w:val="0"/>
          <w:sz w:val="22"/>
          <w:szCs w:val="22"/>
          <w:u w:val="none"/>
        </w:rPr>
        <w:t>n</w:t>
      </w:r>
      <w:r w:rsidRPr="00701ADA">
        <w:rPr>
          <w:rFonts w:ascii="Arial" w:hAnsi="Arial" w:cs="Arial"/>
          <w:b w:val="0"/>
          <w:sz w:val="22"/>
          <w:szCs w:val="22"/>
          <w:u w:val="none"/>
        </w:rPr>
        <w:t>:</w:t>
      </w:r>
    </w:p>
    <w:p w14:paraId="239FEE05" w14:textId="77777777" w:rsidR="00DB427B" w:rsidRDefault="00DB427B" w:rsidP="00DB427B">
      <w:pPr>
        <w:pStyle w:val="BodyText"/>
        <w:widowControl w:val="0"/>
        <w:tabs>
          <w:tab w:val="left" w:pos="674"/>
        </w:tabs>
        <w:spacing w:after="120" w:line="276" w:lineRule="auto"/>
        <w:ind w:right="592"/>
        <w:rPr>
          <w:rFonts w:ascii="Arial" w:hAnsi="Arial" w:cs="Arial"/>
          <w:b w:val="0"/>
          <w:bCs/>
          <w:color w:val="231F20"/>
          <w:spacing w:val="-1"/>
          <w:sz w:val="22"/>
          <w:szCs w:val="22"/>
          <w:u w:val="none"/>
        </w:rPr>
      </w:pPr>
      <w:r w:rsidRPr="00EE1F93">
        <w:rPr>
          <w:rFonts w:ascii="Arial" w:hAnsi="Arial" w:cs="Arial"/>
          <w:b w:val="0"/>
          <w:bCs/>
          <w:color w:val="231F20"/>
          <w:spacing w:val="-1"/>
          <w:sz w:val="22"/>
          <w:szCs w:val="22"/>
          <w:u w:val="none"/>
        </w:rPr>
        <w:t xml:space="preserve">That the Company is generally and unconditionally authorised to make market purchases </w:t>
      </w:r>
      <w:r>
        <w:rPr>
          <w:rFonts w:ascii="Arial" w:hAnsi="Arial" w:cs="Arial"/>
          <w:b w:val="0"/>
          <w:bCs/>
          <w:color w:val="231F20"/>
          <w:spacing w:val="-1"/>
          <w:sz w:val="22"/>
          <w:szCs w:val="22"/>
          <w:u w:val="none"/>
        </w:rPr>
        <w:t>(</w:t>
      </w:r>
      <w:r w:rsidRPr="00EE1F93">
        <w:rPr>
          <w:rFonts w:ascii="Arial" w:hAnsi="Arial" w:cs="Arial"/>
          <w:b w:val="0"/>
          <w:bCs/>
          <w:color w:val="231F20"/>
          <w:spacing w:val="-1"/>
          <w:sz w:val="22"/>
          <w:szCs w:val="22"/>
          <w:u w:val="none"/>
        </w:rPr>
        <w:t xml:space="preserve">within the meaning of Section 693(4) of the Act) of its ordinary shares of 1451/116p nominal </w:t>
      </w:r>
      <w:r>
        <w:rPr>
          <w:rFonts w:ascii="Arial" w:hAnsi="Arial" w:cs="Arial"/>
          <w:b w:val="0"/>
          <w:bCs/>
          <w:color w:val="231F20"/>
          <w:spacing w:val="-1"/>
          <w:sz w:val="22"/>
          <w:szCs w:val="22"/>
          <w:u w:val="none"/>
        </w:rPr>
        <w:t>v</w:t>
      </w:r>
      <w:r w:rsidRPr="00EE1F93">
        <w:rPr>
          <w:rFonts w:ascii="Arial" w:hAnsi="Arial" w:cs="Arial"/>
          <w:b w:val="0"/>
          <w:bCs/>
          <w:color w:val="231F20"/>
          <w:spacing w:val="-1"/>
          <w:sz w:val="22"/>
          <w:szCs w:val="22"/>
          <w:u w:val="none"/>
        </w:rPr>
        <w:t>alue each in the capital of the Company, such authority to apply until the conclusion of the next annual general meeting of the Company (or, if earlier, until the close of business on</w:t>
      </w:r>
      <w:r>
        <w:rPr>
          <w:rFonts w:ascii="Arial" w:hAnsi="Arial" w:cs="Arial"/>
          <w:b w:val="0"/>
          <w:bCs/>
          <w:color w:val="231F20"/>
          <w:spacing w:val="-1"/>
          <w:sz w:val="22"/>
          <w:szCs w:val="22"/>
          <w:u w:val="none"/>
        </w:rPr>
        <w:t xml:space="preserve"> </w:t>
      </w:r>
      <w:r w:rsidRPr="00EE1F93">
        <w:rPr>
          <w:rFonts w:ascii="Arial" w:hAnsi="Arial" w:cs="Arial"/>
          <w:b w:val="0"/>
          <w:bCs/>
          <w:color w:val="231F20"/>
          <w:spacing w:val="-1"/>
          <w:sz w:val="22"/>
          <w:szCs w:val="22"/>
          <w:u w:val="none"/>
        </w:rPr>
        <w:t>23 July 2027) except in relation to the purchase of ordinary shares the contract for which was concluded before such date and which is executed wholly or partly after such date, unless such authority is renewed prior to such time provided that this authority shall be limited so that:</w:t>
      </w:r>
    </w:p>
    <w:p w14:paraId="497AF116" w14:textId="77777777" w:rsidR="00DB427B" w:rsidRDefault="00DB427B" w:rsidP="00DB427B">
      <w:pPr>
        <w:pStyle w:val="ListParagraph"/>
        <w:numPr>
          <w:ilvl w:val="0"/>
          <w:numId w:val="33"/>
        </w:numPr>
        <w:spacing w:after="0" w:line="240" w:lineRule="auto"/>
        <w:rPr>
          <w:rFonts w:ascii="Arial" w:eastAsia="Times New Roman" w:hAnsi="Arial" w:cs="Arial"/>
          <w:bCs/>
          <w:color w:val="231F20"/>
          <w:spacing w:val="-1"/>
        </w:rPr>
      </w:pPr>
      <w:r w:rsidRPr="00590298">
        <w:rPr>
          <w:rFonts w:ascii="Arial" w:eastAsia="Times New Roman" w:hAnsi="Arial" w:cs="Arial"/>
          <w:bCs/>
          <w:color w:val="231F20"/>
          <w:spacing w:val="-1"/>
        </w:rPr>
        <w:t xml:space="preserve">the maximum aggregate number of ordinary shares hereby authorised to be purchased is 182.8 </w:t>
      </w:r>
      <w:proofErr w:type="gramStart"/>
      <w:r w:rsidRPr="00590298">
        <w:rPr>
          <w:rFonts w:ascii="Arial" w:eastAsia="Times New Roman" w:hAnsi="Arial" w:cs="Arial"/>
          <w:bCs/>
          <w:color w:val="231F20"/>
          <w:spacing w:val="-1"/>
        </w:rPr>
        <w:t>million;</w:t>
      </w:r>
      <w:proofErr w:type="gramEnd"/>
    </w:p>
    <w:p w14:paraId="0C7FA679" w14:textId="77777777" w:rsidR="00DB427B" w:rsidRPr="00590298" w:rsidRDefault="00DB427B" w:rsidP="00DB427B">
      <w:pPr>
        <w:pStyle w:val="ListParagraph"/>
        <w:ind w:left="674"/>
        <w:rPr>
          <w:rFonts w:ascii="Arial" w:eastAsia="Times New Roman" w:hAnsi="Arial" w:cs="Arial"/>
          <w:bCs/>
          <w:color w:val="231F20"/>
          <w:spacing w:val="-1"/>
        </w:rPr>
      </w:pPr>
    </w:p>
    <w:p w14:paraId="18221C64" w14:textId="77777777" w:rsidR="00DB427B" w:rsidRPr="00D54072" w:rsidRDefault="00DB427B" w:rsidP="00DB427B">
      <w:pPr>
        <w:pStyle w:val="BodyText"/>
        <w:widowControl w:val="0"/>
        <w:numPr>
          <w:ilvl w:val="0"/>
          <w:numId w:val="33"/>
        </w:numPr>
        <w:tabs>
          <w:tab w:val="left" w:pos="674"/>
        </w:tabs>
        <w:spacing w:after="120" w:line="276" w:lineRule="auto"/>
        <w:ind w:right="349"/>
        <w:rPr>
          <w:rFonts w:ascii="Arial" w:hAnsi="Arial" w:cs="Arial"/>
          <w:b w:val="0"/>
          <w:bCs/>
          <w:sz w:val="22"/>
          <w:szCs w:val="22"/>
          <w:u w:val="none"/>
        </w:rPr>
      </w:pP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minimum</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price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(exclusive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expenses)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which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may</w:t>
      </w:r>
      <w:r w:rsidRPr="00D54072">
        <w:rPr>
          <w:rFonts w:ascii="Arial" w:hAnsi="Arial" w:cs="Arial"/>
          <w:b w:val="0"/>
          <w:bCs/>
          <w:color w:val="231F20"/>
          <w:spacing w:val="33"/>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paid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for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each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ordinary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share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z w:val="22"/>
          <w:szCs w:val="22"/>
          <w:u w:val="none"/>
        </w:rPr>
        <w:t>its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nominal</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value;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and</w:t>
      </w:r>
    </w:p>
    <w:p w14:paraId="6FA7F726" w14:textId="77777777" w:rsidR="00DB427B" w:rsidRPr="00D54072" w:rsidRDefault="00DB427B" w:rsidP="00DB427B">
      <w:pPr>
        <w:pStyle w:val="BodyText"/>
        <w:widowControl w:val="0"/>
        <w:numPr>
          <w:ilvl w:val="0"/>
          <w:numId w:val="33"/>
        </w:numPr>
        <w:tabs>
          <w:tab w:val="left" w:pos="674"/>
        </w:tabs>
        <w:spacing w:after="120" w:line="276" w:lineRule="auto"/>
        <w:ind w:right="440"/>
        <w:rPr>
          <w:rFonts w:ascii="Arial" w:hAnsi="Arial" w:cs="Arial"/>
          <w:b w:val="0"/>
          <w:bCs/>
          <w:sz w:val="22"/>
          <w:szCs w:val="22"/>
          <w:u w:val="none"/>
        </w:rPr>
      </w:pP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maximum</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price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(exclusive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of</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expenses)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which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may</w:t>
      </w:r>
      <w:r w:rsidRPr="00D54072">
        <w:rPr>
          <w:rFonts w:ascii="Arial" w:hAnsi="Arial" w:cs="Arial"/>
          <w:b w:val="0"/>
          <w:bCs/>
          <w:color w:val="231F20"/>
          <w:spacing w:val="41"/>
          <w:sz w:val="22"/>
          <w:szCs w:val="22"/>
          <w:u w:val="none"/>
        </w:rPr>
        <w:t xml:space="preserve"> </w:t>
      </w:r>
      <w:r w:rsidRPr="00D54072">
        <w:rPr>
          <w:rFonts w:ascii="Arial" w:hAnsi="Arial" w:cs="Arial"/>
          <w:b w:val="0"/>
          <w:bCs/>
          <w:color w:val="231F20"/>
          <w:spacing w:val="-1"/>
          <w:sz w:val="22"/>
          <w:szCs w:val="22"/>
          <w:u w:val="none"/>
        </w:rPr>
        <w:t>be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paid</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for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each</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ordinary</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share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is</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1"/>
          <w:sz w:val="22"/>
          <w:szCs w:val="22"/>
          <w:u w:val="none"/>
        </w:rPr>
        <w:t>the</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2"/>
          <w:sz w:val="22"/>
          <w:szCs w:val="22"/>
          <w:u w:val="none"/>
        </w:rPr>
        <w:t>higher</w:t>
      </w:r>
      <w:r w:rsidRPr="00D54072">
        <w:rPr>
          <w:rFonts w:ascii="Arial" w:hAnsi="Arial" w:cs="Arial"/>
          <w:b w:val="0"/>
          <w:bCs/>
          <w:color w:val="231F20"/>
          <w:spacing w:val="-18"/>
          <w:sz w:val="22"/>
          <w:szCs w:val="22"/>
          <w:u w:val="none"/>
        </w:rPr>
        <w:t xml:space="preserve"> </w:t>
      </w:r>
      <w:r w:rsidRPr="00D54072">
        <w:rPr>
          <w:rFonts w:ascii="Arial" w:hAnsi="Arial" w:cs="Arial"/>
          <w:b w:val="0"/>
          <w:bCs/>
          <w:color w:val="231F20"/>
          <w:spacing w:val="-4"/>
          <w:sz w:val="22"/>
          <w:szCs w:val="22"/>
          <w:u w:val="none"/>
        </w:rPr>
        <w:t>of:</w:t>
      </w:r>
    </w:p>
    <w:p w14:paraId="19C1704E" w14:textId="77777777" w:rsidR="00DB427B" w:rsidRDefault="00DB427B" w:rsidP="00DB427B">
      <w:pPr>
        <w:pStyle w:val="ListParagraph"/>
        <w:numPr>
          <w:ilvl w:val="1"/>
          <w:numId w:val="33"/>
        </w:numPr>
        <w:spacing w:after="0" w:line="240" w:lineRule="auto"/>
        <w:rPr>
          <w:rFonts w:ascii="Arial" w:eastAsia="Times New Roman" w:hAnsi="Arial" w:cs="Arial"/>
          <w:bCs/>
          <w:color w:val="231F20"/>
          <w:spacing w:val="-1"/>
        </w:rPr>
      </w:pPr>
      <w:r w:rsidRPr="001073F8">
        <w:rPr>
          <w:rFonts w:ascii="Arial" w:eastAsia="Times New Roman" w:hAnsi="Arial" w:cs="Arial"/>
          <w:bCs/>
          <w:color w:val="231F20"/>
          <w:spacing w:val="-1"/>
        </w:rPr>
        <w:t>an amount equal to 105% of the average of the middle market quotations for an ordinary share of the Company, as derived from the London Stock Exchange Daily Official List, for the five business days immediately preceding the day on which the ordinary share is contracted to be purchased; and</w:t>
      </w:r>
    </w:p>
    <w:p w14:paraId="2CFE31C9" w14:textId="77777777" w:rsidR="00DB427B" w:rsidRDefault="00DB427B" w:rsidP="00DB427B">
      <w:pPr>
        <w:pStyle w:val="ListParagraph"/>
        <w:ind w:left="957"/>
        <w:rPr>
          <w:rFonts w:ascii="Arial" w:eastAsia="Times New Roman" w:hAnsi="Arial" w:cs="Arial"/>
          <w:bCs/>
          <w:color w:val="231F20"/>
          <w:spacing w:val="-1"/>
        </w:rPr>
      </w:pPr>
    </w:p>
    <w:p w14:paraId="2EC8B081" w14:textId="77777777" w:rsidR="00DB427B" w:rsidRPr="00F139F4" w:rsidRDefault="00DB427B" w:rsidP="00DB427B">
      <w:pPr>
        <w:pStyle w:val="ListParagraph"/>
        <w:numPr>
          <w:ilvl w:val="1"/>
          <w:numId w:val="33"/>
        </w:numPr>
        <w:spacing w:after="0" w:line="240" w:lineRule="auto"/>
        <w:rPr>
          <w:rFonts w:ascii="Arial" w:eastAsia="Times New Roman" w:hAnsi="Arial" w:cs="Arial"/>
          <w:bCs/>
          <w:color w:val="231F20"/>
          <w:spacing w:val="-1"/>
        </w:rPr>
      </w:pPr>
      <w:r w:rsidRPr="00F139F4">
        <w:rPr>
          <w:rFonts w:ascii="Arial" w:hAnsi="Arial" w:cs="Arial"/>
          <w:bCs/>
          <w:color w:val="231F20"/>
          <w:spacing w:val="-1"/>
        </w:rPr>
        <w:lastRenderedPageBreak/>
        <w:t>an amount equal to the higher of the price of the last independent trade of an ordinary share and the current highest independent bid for an ordinary share on the trading venue where the purchase is carried out.</w:t>
      </w:r>
    </w:p>
    <w:p w14:paraId="64281F73" w14:textId="77777777" w:rsidR="00DB427B" w:rsidRPr="00D54072" w:rsidRDefault="00DB427B" w:rsidP="00DB427B">
      <w:pPr>
        <w:pStyle w:val="BodyText"/>
        <w:widowControl w:val="0"/>
        <w:tabs>
          <w:tab w:val="left" w:pos="958"/>
        </w:tabs>
        <w:spacing w:after="120"/>
        <w:ind w:left="957" w:right="384"/>
        <w:rPr>
          <w:rFonts w:ascii="Arial" w:hAnsi="Arial" w:cs="Arial"/>
          <w:b w:val="0"/>
          <w:bCs/>
          <w:sz w:val="22"/>
          <w:szCs w:val="22"/>
          <w:u w:val="none"/>
        </w:rPr>
      </w:pPr>
    </w:p>
    <w:p w14:paraId="724B6FC4" w14:textId="77777777" w:rsidR="00DB427B" w:rsidRPr="00D54072" w:rsidRDefault="00DB427B" w:rsidP="00DB427B">
      <w:pPr>
        <w:pStyle w:val="Heading4"/>
        <w:keepLines/>
        <w:spacing w:after="120" w:line="276" w:lineRule="auto"/>
        <w:rPr>
          <w:rFonts w:ascii="Arial" w:hAnsi="Arial" w:cs="Arial"/>
          <w:sz w:val="22"/>
          <w:szCs w:val="22"/>
        </w:rPr>
      </w:pPr>
      <w:r w:rsidRPr="00D54072">
        <w:rPr>
          <w:rFonts w:ascii="Arial" w:hAnsi="Arial" w:cs="Arial"/>
          <w:sz w:val="22"/>
          <w:szCs w:val="22"/>
        </w:rPr>
        <w:t xml:space="preserve">RESOLUTION </w:t>
      </w:r>
      <w:r>
        <w:rPr>
          <w:rFonts w:ascii="Arial" w:hAnsi="Arial" w:cs="Arial"/>
          <w:sz w:val="22"/>
          <w:szCs w:val="22"/>
        </w:rPr>
        <w:t>21</w:t>
      </w:r>
      <w:r w:rsidRPr="00D54072">
        <w:rPr>
          <w:rFonts w:ascii="Arial" w:hAnsi="Arial" w:cs="Arial"/>
          <w:sz w:val="22"/>
          <w:szCs w:val="22"/>
        </w:rPr>
        <w:t xml:space="preserve"> - NOTICE PERIOD FOR GENERAL MEETINGS</w:t>
      </w:r>
    </w:p>
    <w:p w14:paraId="1FED5751" w14:textId="77777777" w:rsidR="00847190" w:rsidRDefault="00847190" w:rsidP="00847190">
      <w:pPr>
        <w:pStyle w:val="BodyText"/>
        <w:widowControl w:val="0"/>
        <w:tabs>
          <w:tab w:val="left" w:pos="674"/>
        </w:tabs>
        <w:spacing w:after="120" w:line="276" w:lineRule="auto"/>
        <w:ind w:right="23"/>
        <w:rPr>
          <w:rFonts w:ascii="Arial" w:hAnsi="Arial" w:cs="Arial"/>
          <w:b w:val="0"/>
          <w:sz w:val="22"/>
          <w:szCs w:val="22"/>
          <w:u w:val="none"/>
        </w:rPr>
      </w:pPr>
      <w:r w:rsidRPr="00701ADA">
        <w:rPr>
          <w:rFonts w:ascii="Arial" w:hAnsi="Arial" w:cs="Arial"/>
          <w:b w:val="0"/>
          <w:sz w:val="22"/>
          <w:szCs w:val="22"/>
          <w:u w:val="none"/>
        </w:rPr>
        <w:t>It was resolved as a special resolutio</w:t>
      </w:r>
      <w:r>
        <w:rPr>
          <w:rFonts w:ascii="Arial" w:hAnsi="Arial" w:cs="Arial"/>
          <w:b w:val="0"/>
          <w:sz w:val="22"/>
          <w:szCs w:val="22"/>
          <w:u w:val="none"/>
        </w:rPr>
        <w:t>n</w:t>
      </w:r>
      <w:r w:rsidRPr="00701ADA">
        <w:rPr>
          <w:rFonts w:ascii="Arial" w:hAnsi="Arial" w:cs="Arial"/>
          <w:b w:val="0"/>
          <w:sz w:val="22"/>
          <w:szCs w:val="22"/>
          <w:u w:val="none"/>
        </w:rPr>
        <w:t>:</w:t>
      </w:r>
    </w:p>
    <w:p w14:paraId="02499739" w14:textId="77777777" w:rsidR="00DB427B" w:rsidRPr="00B10972" w:rsidRDefault="00DB427B" w:rsidP="00DB427B">
      <w:pPr>
        <w:pStyle w:val="BodyText2"/>
        <w:spacing w:after="120" w:line="276" w:lineRule="auto"/>
        <w:rPr>
          <w:rFonts w:ascii="Arial" w:hAnsi="Arial" w:cs="Arial"/>
          <w:sz w:val="22"/>
          <w:szCs w:val="22"/>
        </w:rPr>
      </w:pPr>
      <w:r w:rsidRPr="00D54072">
        <w:rPr>
          <w:rFonts w:ascii="Arial" w:eastAsia="Calibri" w:hAnsi="Arial" w:cs="Arial"/>
          <w:sz w:val="22"/>
          <w:szCs w:val="22"/>
        </w:rPr>
        <w:t xml:space="preserve">That a general meeting of the Company, other than an annual general meeting, may be called on </w:t>
      </w:r>
      <w:r w:rsidRPr="00B10972">
        <w:rPr>
          <w:rFonts w:ascii="Arial" w:hAnsi="Arial" w:cs="Arial"/>
          <w:sz w:val="22"/>
          <w:szCs w:val="22"/>
        </w:rPr>
        <w:t>not less than 14 clear days’ notice.</w:t>
      </w:r>
    </w:p>
    <w:p w14:paraId="025B2A8B" w14:textId="026C827B" w:rsidR="009400E0" w:rsidRPr="00D94D40" w:rsidRDefault="009400E0" w:rsidP="00DB427B">
      <w:pPr>
        <w:ind w:left="-397" w:firstLine="397"/>
        <w:rPr>
          <w:rFonts w:ascii="Arial" w:hAnsi="Arial" w:cs="Arial"/>
          <w:b/>
          <w:u w:val="single"/>
        </w:rPr>
      </w:pPr>
    </w:p>
    <w:sectPr w:rsidR="009400E0" w:rsidRPr="00D94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FEA4" w14:textId="77777777" w:rsidR="00BE332C" w:rsidRDefault="00BE332C">
      <w:pPr>
        <w:spacing w:after="0" w:line="240" w:lineRule="auto"/>
      </w:pPr>
      <w:r>
        <w:separator/>
      </w:r>
    </w:p>
  </w:endnote>
  <w:endnote w:type="continuationSeparator" w:id="0">
    <w:p w14:paraId="2399D0E1" w14:textId="77777777" w:rsidR="00BE332C" w:rsidRDefault="00BE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T">
    <w:panose1 w:val="020B0504020201020104"/>
    <w:charset w:val="00"/>
    <w:family w:val="swiss"/>
    <w:pitch w:val="variable"/>
    <w:sig w:usb0="A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41EC" w14:textId="77777777" w:rsidR="00BE332C" w:rsidRDefault="00BE332C">
      <w:pPr>
        <w:spacing w:after="0" w:line="240" w:lineRule="auto"/>
      </w:pPr>
      <w:r>
        <w:separator/>
      </w:r>
    </w:p>
  </w:footnote>
  <w:footnote w:type="continuationSeparator" w:id="0">
    <w:p w14:paraId="5931DD30" w14:textId="77777777" w:rsidR="00BE332C" w:rsidRDefault="00BE3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F2"/>
    <w:multiLevelType w:val="hybridMultilevel"/>
    <w:tmpl w:val="E4B46E2C"/>
    <w:lvl w:ilvl="0" w:tplc="E6ECA0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45378"/>
    <w:multiLevelType w:val="hybridMultilevel"/>
    <w:tmpl w:val="FE7EEE0C"/>
    <w:lvl w:ilvl="0" w:tplc="04407FEC">
      <w:start w:val="1"/>
      <w:numFmt w:val="lowerLetter"/>
      <w:lvlText w:val="(%1)"/>
      <w:lvlJc w:val="left"/>
      <w:pPr>
        <w:ind w:left="785" w:hanging="72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2" w15:restartNumberingAfterBreak="0">
    <w:nsid w:val="0BBE1B69"/>
    <w:multiLevelType w:val="hybridMultilevel"/>
    <w:tmpl w:val="240E89BA"/>
    <w:lvl w:ilvl="0" w:tplc="F564B1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F564B1C4">
      <w:start w:val="1"/>
      <w:numFmt w:val="low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0879F3"/>
    <w:multiLevelType w:val="hybridMultilevel"/>
    <w:tmpl w:val="CD7ED614"/>
    <w:lvl w:ilvl="0" w:tplc="F97A725A">
      <w:start w:val="1"/>
      <w:numFmt w:val="lowerRoman"/>
      <w:lvlText w:val="(%1)"/>
      <w:lvlJc w:val="left"/>
      <w:pPr>
        <w:ind w:left="720" w:hanging="360"/>
      </w:pPr>
      <w:rPr>
        <w:rFonts w:hint="default"/>
      </w:rPr>
    </w:lvl>
    <w:lvl w:ilvl="1" w:tplc="8CF04BD4">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3183C"/>
    <w:multiLevelType w:val="hybridMultilevel"/>
    <w:tmpl w:val="EDC40358"/>
    <w:lvl w:ilvl="0" w:tplc="C4AC9D5E">
      <w:start w:val="1"/>
      <w:numFmt w:val="decimal"/>
      <w:lvlText w:val="%1."/>
      <w:lvlJc w:val="left"/>
      <w:pPr>
        <w:ind w:left="397" w:hanging="284"/>
      </w:pPr>
      <w:rPr>
        <w:rFonts w:ascii="DIN OT" w:eastAsia="DIN OT" w:hAnsi="DIN OT" w:hint="default"/>
        <w:b/>
        <w:bCs/>
        <w:color w:val="231F20"/>
        <w:spacing w:val="-7"/>
        <w:sz w:val="17"/>
        <w:szCs w:val="17"/>
      </w:rPr>
    </w:lvl>
    <w:lvl w:ilvl="1" w:tplc="C2140558">
      <w:start w:val="1"/>
      <w:numFmt w:val="lowerLetter"/>
      <w:lvlText w:val="(%2)"/>
      <w:lvlJc w:val="left"/>
      <w:pPr>
        <w:ind w:left="680" w:hanging="284"/>
      </w:pPr>
      <w:rPr>
        <w:rFonts w:ascii="DIN OT" w:eastAsia="DIN OT" w:hAnsi="DIN OT" w:hint="default"/>
        <w:color w:val="231F20"/>
        <w:spacing w:val="-4"/>
        <w:sz w:val="17"/>
        <w:szCs w:val="17"/>
      </w:rPr>
    </w:lvl>
    <w:lvl w:ilvl="2" w:tplc="7F1A84A8">
      <w:start w:val="1"/>
      <w:numFmt w:val="lowerRoman"/>
      <w:lvlText w:val="(%3)"/>
      <w:lvlJc w:val="left"/>
      <w:pPr>
        <w:ind w:left="964" w:hanging="284"/>
      </w:pPr>
      <w:rPr>
        <w:rFonts w:ascii="DIN OT" w:eastAsia="DIN OT" w:hAnsi="DIN OT" w:hint="default"/>
        <w:color w:val="231F20"/>
        <w:spacing w:val="-4"/>
        <w:sz w:val="17"/>
        <w:szCs w:val="17"/>
      </w:rPr>
    </w:lvl>
    <w:lvl w:ilvl="3" w:tplc="C8F61FF8">
      <w:start w:val="1"/>
      <w:numFmt w:val="upperLetter"/>
      <w:lvlText w:val="(%4)"/>
      <w:lvlJc w:val="left"/>
      <w:pPr>
        <w:ind w:left="1247" w:hanging="284"/>
      </w:pPr>
      <w:rPr>
        <w:rFonts w:ascii="DIN OT" w:eastAsia="DIN OT" w:hAnsi="DIN OT" w:hint="default"/>
        <w:color w:val="231F20"/>
        <w:spacing w:val="1"/>
        <w:sz w:val="17"/>
        <w:szCs w:val="17"/>
      </w:rPr>
    </w:lvl>
    <w:lvl w:ilvl="4" w:tplc="F79835C8">
      <w:start w:val="1"/>
      <w:numFmt w:val="lowerRoman"/>
      <w:lvlText w:val="(%5)"/>
      <w:lvlJc w:val="left"/>
      <w:pPr>
        <w:ind w:left="1530" w:hanging="284"/>
      </w:pPr>
      <w:rPr>
        <w:rFonts w:ascii="DIN OT" w:eastAsia="DIN OT" w:hAnsi="DIN OT" w:hint="default"/>
        <w:color w:val="231F20"/>
        <w:spacing w:val="-4"/>
        <w:sz w:val="17"/>
        <w:szCs w:val="17"/>
      </w:rPr>
    </w:lvl>
    <w:lvl w:ilvl="5" w:tplc="C526B6E6">
      <w:start w:val="1"/>
      <w:numFmt w:val="bullet"/>
      <w:lvlText w:val="•"/>
      <w:lvlJc w:val="left"/>
      <w:pPr>
        <w:ind w:left="964" w:hanging="284"/>
      </w:pPr>
      <w:rPr>
        <w:rFonts w:hint="default"/>
      </w:rPr>
    </w:lvl>
    <w:lvl w:ilvl="6" w:tplc="1F3CA3C4">
      <w:start w:val="1"/>
      <w:numFmt w:val="bullet"/>
      <w:lvlText w:val="•"/>
      <w:lvlJc w:val="left"/>
      <w:pPr>
        <w:ind w:left="1247" w:hanging="284"/>
      </w:pPr>
      <w:rPr>
        <w:rFonts w:hint="default"/>
      </w:rPr>
    </w:lvl>
    <w:lvl w:ilvl="7" w:tplc="FE98B3BC">
      <w:start w:val="1"/>
      <w:numFmt w:val="bullet"/>
      <w:lvlText w:val="•"/>
      <w:lvlJc w:val="left"/>
      <w:pPr>
        <w:ind w:left="1530" w:hanging="284"/>
      </w:pPr>
      <w:rPr>
        <w:rFonts w:hint="default"/>
      </w:rPr>
    </w:lvl>
    <w:lvl w:ilvl="8" w:tplc="D1203FEC">
      <w:start w:val="1"/>
      <w:numFmt w:val="bullet"/>
      <w:lvlText w:val="•"/>
      <w:lvlJc w:val="left"/>
      <w:pPr>
        <w:ind w:left="907" w:hanging="284"/>
      </w:pPr>
      <w:rPr>
        <w:rFonts w:hint="default"/>
      </w:rPr>
    </w:lvl>
  </w:abstractNum>
  <w:abstractNum w:abstractNumId="5" w15:restartNumberingAfterBreak="0">
    <w:nsid w:val="27B4694D"/>
    <w:multiLevelType w:val="hybridMultilevel"/>
    <w:tmpl w:val="7CF0A2F2"/>
    <w:lvl w:ilvl="0" w:tplc="A4A03610">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8592F"/>
    <w:multiLevelType w:val="hybridMultilevel"/>
    <w:tmpl w:val="C68223D6"/>
    <w:lvl w:ilvl="0" w:tplc="08E45B56">
      <w:start w:val="1"/>
      <w:numFmt w:val="upperLetter"/>
      <w:lvlText w:val="(%1)"/>
      <w:lvlJc w:val="left"/>
      <w:pPr>
        <w:ind w:left="1080" w:hanging="360"/>
      </w:pPr>
      <w:rPr>
        <w:rFonts w:hint="default"/>
      </w:rPr>
    </w:lvl>
    <w:lvl w:ilvl="1" w:tplc="08E45B56">
      <w:start w:val="1"/>
      <w:numFmt w:val="upp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712324"/>
    <w:multiLevelType w:val="hybridMultilevel"/>
    <w:tmpl w:val="87D0D4B2"/>
    <w:lvl w:ilvl="0" w:tplc="C7268054">
      <w:start w:val="35"/>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425BD7"/>
    <w:multiLevelType w:val="hybridMultilevel"/>
    <w:tmpl w:val="CD7ED614"/>
    <w:lvl w:ilvl="0" w:tplc="F97A725A">
      <w:start w:val="1"/>
      <w:numFmt w:val="lowerRoman"/>
      <w:lvlText w:val="(%1)"/>
      <w:lvlJc w:val="left"/>
      <w:pPr>
        <w:ind w:left="720" w:hanging="360"/>
      </w:pPr>
      <w:rPr>
        <w:rFonts w:hint="default"/>
      </w:rPr>
    </w:lvl>
    <w:lvl w:ilvl="1" w:tplc="8CF04BD4">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65AE1"/>
    <w:multiLevelType w:val="multilevel"/>
    <w:tmpl w:val="5EAA3DB4"/>
    <w:lvl w:ilvl="0">
      <w:start w:val="1"/>
      <w:numFmt w:val="decimal"/>
      <w:lvlRestart w:val="0"/>
      <w:pStyle w:val="FWNL1"/>
      <w:lvlText w:val="%1."/>
      <w:lvlJc w:val="left"/>
      <w:pPr>
        <w:tabs>
          <w:tab w:val="num" w:pos="720"/>
        </w:tabs>
        <w:ind w:left="0" w:firstLine="0"/>
      </w:pPr>
      <w:rPr>
        <w:rFonts w:ascii="Times New Roman" w:hAnsi="Times New Roman"/>
        <w:b w:val="0"/>
        <w:i w:val="0"/>
        <w:caps w:val="0"/>
        <w:color w:val="auto"/>
        <w:u w:val="none"/>
      </w:rPr>
    </w:lvl>
    <w:lvl w:ilvl="1">
      <w:start w:val="1"/>
      <w:numFmt w:val="lowerLetter"/>
      <w:pStyle w:val="FWNL2"/>
      <w:lvlText w:val="(%2)"/>
      <w:lvlJc w:val="left"/>
      <w:pPr>
        <w:tabs>
          <w:tab w:val="num" w:pos="862"/>
        </w:tabs>
        <w:ind w:left="862" w:hanging="720"/>
      </w:pPr>
      <w:rPr>
        <w:rFonts w:ascii="Arial" w:hAnsi="Arial" w:cs="Arial" w:hint="default"/>
        <w:b w:val="0"/>
        <w:i w:val="0"/>
        <w:caps w:val="0"/>
        <w:color w:val="auto"/>
        <w:u w:val="none"/>
      </w:rPr>
    </w:lvl>
    <w:lvl w:ilvl="2">
      <w:start w:val="1"/>
      <w:numFmt w:val="lowerRoman"/>
      <w:pStyle w:val="FWNL3"/>
      <w:lvlText w:val="(%3)"/>
      <w:lvlJc w:val="right"/>
      <w:pPr>
        <w:tabs>
          <w:tab w:val="num" w:pos="1440"/>
        </w:tabs>
        <w:ind w:left="1440" w:hanging="216"/>
      </w:pPr>
      <w:rPr>
        <w:rFonts w:ascii="Arial" w:hAnsi="Arial" w:cs="Arial"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0" w15:restartNumberingAfterBreak="0">
    <w:nsid w:val="3A8E26FB"/>
    <w:multiLevelType w:val="hybridMultilevel"/>
    <w:tmpl w:val="6CF2FE1C"/>
    <w:lvl w:ilvl="0" w:tplc="F564B1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075EF"/>
    <w:multiLevelType w:val="hybridMultilevel"/>
    <w:tmpl w:val="EE9A4AD0"/>
    <w:lvl w:ilvl="0" w:tplc="F564B1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F564B1C4">
      <w:start w:val="1"/>
      <w:numFmt w:val="lowerLetter"/>
      <w:lvlText w:val="(%3)"/>
      <w:lvlJc w:val="left"/>
      <w:pPr>
        <w:ind w:left="1800" w:hanging="180"/>
      </w:pPr>
      <w:rPr>
        <w:rFonts w:hint="default"/>
      </w:rPr>
    </w:lvl>
    <w:lvl w:ilvl="3" w:tplc="912CBBC2">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F97A8F"/>
    <w:multiLevelType w:val="hybridMultilevel"/>
    <w:tmpl w:val="248C71CC"/>
    <w:lvl w:ilvl="0" w:tplc="F564B1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3D2DF7"/>
    <w:multiLevelType w:val="hybridMultilevel"/>
    <w:tmpl w:val="02302514"/>
    <w:lvl w:ilvl="0" w:tplc="D9FAFAD0">
      <w:start w:val="1"/>
      <w:numFmt w:val="lowerLetter"/>
      <w:lvlText w:val="(%1)"/>
      <w:lvlJc w:val="left"/>
      <w:pPr>
        <w:ind w:left="674" w:hanging="284"/>
      </w:pPr>
      <w:rPr>
        <w:rFonts w:ascii="Arial" w:eastAsia="Times New Roman" w:hAnsi="Arial" w:cs="Arial"/>
        <w:color w:val="231F20"/>
        <w:spacing w:val="-4"/>
        <w:sz w:val="17"/>
        <w:szCs w:val="17"/>
      </w:rPr>
    </w:lvl>
    <w:lvl w:ilvl="1" w:tplc="37FC1F26">
      <w:start w:val="1"/>
      <w:numFmt w:val="lowerRoman"/>
      <w:lvlText w:val="(%2)"/>
      <w:lvlJc w:val="left"/>
      <w:pPr>
        <w:ind w:left="957" w:hanging="284"/>
      </w:pPr>
      <w:rPr>
        <w:rFonts w:ascii="DIN OT" w:eastAsia="DIN OT" w:hAnsi="DIN OT" w:hint="default"/>
        <w:color w:val="231F20"/>
        <w:spacing w:val="-4"/>
        <w:sz w:val="17"/>
        <w:szCs w:val="17"/>
      </w:rPr>
    </w:lvl>
    <w:lvl w:ilvl="2" w:tplc="57A03048">
      <w:start w:val="1"/>
      <w:numFmt w:val="bullet"/>
      <w:lvlText w:val="•"/>
      <w:lvlJc w:val="left"/>
      <w:pPr>
        <w:ind w:left="1411" w:hanging="284"/>
      </w:pPr>
      <w:rPr>
        <w:rFonts w:hint="default"/>
      </w:rPr>
    </w:lvl>
    <w:lvl w:ilvl="3" w:tplc="BC628068">
      <w:start w:val="1"/>
      <w:numFmt w:val="bullet"/>
      <w:lvlText w:val="•"/>
      <w:lvlJc w:val="left"/>
      <w:pPr>
        <w:ind w:left="1864" w:hanging="284"/>
      </w:pPr>
      <w:rPr>
        <w:rFonts w:hint="default"/>
      </w:rPr>
    </w:lvl>
    <w:lvl w:ilvl="4" w:tplc="84F41CB8">
      <w:start w:val="1"/>
      <w:numFmt w:val="bullet"/>
      <w:lvlText w:val="•"/>
      <w:lvlJc w:val="left"/>
      <w:pPr>
        <w:ind w:left="2318" w:hanging="284"/>
      </w:pPr>
      <w:rPr>
        <w:rFonts w:hint="default"/>
      </w:rPr>
    </w:lvl>
    <w:lvl w:ilvl="5" w:tplc="2F7ADB5C">
      <w:start w:val="1"/>
      <w:numFmt w:val="bullet"/>
      <w:lvlText w:val="•"/>
      <w:lvlJc w:val="left"/>
      <w:pPr>
        <w:ind w:left="2771" w:hanging="284"/>
      </w:pPr>
      <w:rPr>
        <w:rFonts w:hint="default"/>
      </w:rPr>
    </w:lvl>
    <w:lvl w:ilvl="6" w:tplc="F1AE57C6">
      <w:start w:val="1"/>
      <w:numFmt w:val="bullet"/>
      <w:lvlText w:val="•"/>
      <w:lvlJc w:val="left"/>
      <w:pPr>
        <w:ind w:left="3225" w:hanging="284"/>
      </w:pPr>
      <w:rPr>
        <w:rFonts w:hint="default"/>
      </w:rPr>
    </w:lvl>
    <w:lvl w:ilvl="7" w:tplc="AC76A078">
      <w:start w:val="1"/>
      <w:numFmt w:val="bullet"/>
      <w:lvlText w:val="•"/>
      <w:lvlJc w:val="left"/>
      <w:pPr>
        <w:ind w:left="3679" w:hanging="284"/>
      </w:pPr>
      <w:rPr>
        <w:rFonts w:hint="default"/>
      </w:rPr>
    </w:lvl>
    <w:lvl w:ilvl="8" w:tplc="9806A234">
      <w:start w:val="1"/>
      <w:numFmt w:val="bullet"/>
      <w:lvlText w:val="•"/>
      <w:lvlJc w:val="left"/>
      <w:pPr>
        <w:ind w:left="4132" w:hanging="284"/>
      </w:pPr>
      <w:rPr>
        <w:rFonts w:hint="default"/>
      </w:rPr>
    </w:lvl>
  </w:abstractNum>
  <w:abstractNum w:abstractNumId="14" w15:restartNumberingAfterBreak="0">
    <w:nsid w:val="44966053"/>
    <w:multiLevelType w:val="hybridMultilevel"/>
    <w:tmpl w:val="32DECD44"/>
    <w:lvl w:ilvl="0" w:tplc="DFD822B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7E33B2"/>
    <w:multiLevelType w:val="hybridMultilevel"/>
    <w:tmpl w:val="FBF6C530"/>
    <w:lvl w:ilvl="0" w:tplc="F97A725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5846D3"/>
    <w:multiLevelType w:val="hybridMultilevel"/>
    <w:tmpl w:val="AFE8080A"/>
    <w:lvl w:ilvl="0" w:tplc="F97A72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E3538"/>
    <w:multiLevelType w:val="hybridMultilevel"/>
    <w:tmpl w:val="C646E84A"/>
    <w:lvl w:ilvl="0" w:tplc="F97A72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A161C"/>
    <w:multiLevelType w:val="hybridMultilevel"/>
    <w:tmpl w:val="D046833C"/>
    <w:lvl w:ilvl="0" w:tplc="F564B1C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F1EFE"/>
    <w:multiLevelType w:val="hybridMultilevel"/>
    <w:tmpl w:val="3676D538"/>
    <w:lvl w:ilvl="0" w:tplc="F564B1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AF7E59"/>
    <w:multiLevelType w:val="hybridMultilevel"/>
    <w:tmpl w:val="BB2AAD80"/>
    <w:lvl w:ilvl="0" w:tplc="9A5A01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CF29D7"/>
    <w:multiLevelType w:val="hybridMultilevel"/>
    <w:tmpl w:val="EE9A4AD0"/>
    <w:lvl w:ilvl="0" w:tplc="F564B1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F564B1C4">
      <w:start w:val="1"/>
      <w:numFmt w:val="lowerLetter"/>
      <w:lvlText w:val="(%3)"/>
      <w:lvlJc w:val="left"/>
      <w:pPr>
        <w:ind w:left="1800" w:hanging="180"/>
      </w:pPr>
      <w:rPr>
        <w:rFonts w:hint="default"/>
      </w:rPr>
    </w:lvl>
    <w:lvl w:ilvl="3" w:tplc="912CBBC2">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373207"/>
    <w:multiLevelType w:val="hybridMultilevel"/>
    <w:tmpl w:val="013CAA0A"/>
    <w:lvl w:ilvl="0" w:tplc="F83003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40579"/>
    <w:multiLevelType w:val="hybridMultilevel"/>
    <w:tmpl w:val="0D4A37AC"/>
    <w:lvl w:ilvl="0" w:tplc="DFD822B6">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01A4E"/>
    <w:multiLevelType w:val="hybridMultilevel"/>
    <w:tmpl w:val="E39EE8C2"/>
    <w:lvl w:ilvl="0" w:tplc="FFFFFFFF">
      <w:start w:val="1"/>
      <w:numFmt w:val="decimal"/>
      <w:lvlText w:val="%1."/>
      <w:lvlJc w:val="left"/>
      <w:pPr>
        <w:ind w:left="397" w:hanging="284"/>
      </w:pPr>
      <w:rPr>
        <w:rFonts w:ascii="DIN OT" w:eastAsia="DIN OT" w:hAnsi="DIN OT" w:hint="default"/>
        <w:b/>
        <w:bCs/>
        <w:color w:val="231F20"/>
        <w:spacing w:val="-7"/>
        <w:sz w:val="17"/>
        <w:szCs w:val="17"/>
      </w:rPr>
    </w:lvl>
    <w:lvl w:ilvl="1" w:tplc="FF76DBFE">
      <w:start w:val="1"/>
      <w:numFmt w:val="lowerLetter"/>
      <w:lvlText w:val="(%2)"/>
      <w:lvlJc w:val="left"/>
      <w:pPr>
        <w:ind w:left="680" w:hanging="284"/>
      </w:pPr>
      <w:rPr>
        <w:rFonts w:ascii="Arial" w:eastAsia="Times New Roman" w:hAnsi="Arial" w:cs="Arial"/>
        <w:color w:val="231F20"/>
        <w:spacing w:val="-4"/>
        <w:sz w:val="17"/>
        <w:szCs w:val="17"/>
      </w:rPr>
    </w:lvl>
    <w:lvl w:ilvl="2" w:tplc="FFFFFFFF">
      <w:start w:val="1"/>
      <w:numFmt w:val="lowerRoman"/>
      <w:lvlText w:val="(%3)"/>
      <w:lvlJc w:val="left"/>
      <w:pPr>
        <w:ind w:left="964" w:hanging="284"/>
      </w:pPr>
      <w:rPr>
        <w:rFonts w:ascii="DIN OT" w:eastAsia="DIN OT" w:hAnsi="DIN OT" w:hint="default"/>
        <w:color w:val="231F20"/>
        <w:spacing w:val="-4"/>
        <w:sz w:val="17"/>
        <w:szCs w:val="17"/>
      </w:rPr>
    </w:lvl>
    <w:lvl w:ilvl="3" w:tplc="FFFFFFFF">
      <w:start w:val="1"/>
      <w:numFmt w:val="upperLetter"/>
      <w:lvlText w:val="(%4)"/>
      <w:lvlJc w:val="left"/>
      <w:pPr>
        <w:ind w:left="1247" w:hanging="284"/>
      </w:pPr>
      <w:rPr>
        <w:rFonts w:ascii="DIN OT" w:eastAsia="DIN OT" w:hAnsi="DIN OT" w:hint="default"/>
        <w:color w:val="231F20"/>
        <w:spacing w:val="1"/>
        <w:sz w:val="17"/>
        <w:szCs w:val="17"/>
      </w:rPr>
    </w:lvl>
    <w:lvl w:ilvl="4" w:tplc="FFFFFFFF">
      <w:start w:val="1"/>
      <w:numFmt w:val="lowerRoman"/>
      <w:lvlText w:val="(%5)"/>
      <w:lvlJc w:val="left"/>
      <w:pPr>
        <w:ind w:left="1530" w:hanging="284"/>
      </w:pPr>
      <w:rPr>
        <w:rFonts w:ascii="DIN OT" w:eastAsia="DIN OT" w:hAnsi="DIN OT" w:hint="default"/>
        <w:color w:val="231F20"/>
        <w:spacing w:val="-4"/>
        <w:sz w:val="17"/>
        <w:szCs w:val="17"/>
      </w:rPr>
    </w:lvl>
    <w:lvl w:ilvl="5" w:tplc="FFFFFFFF">
      <w:start w:val="1"/>
      <w:numFmt w:val="bullet"/>
      <w:lvlText w:val="•"/>
      <w:lvlJc w:val="left"/>
      <w:pPr>
        <w:ind w:left="964" w:hanging="284"/>
      </w:pPr>
      <w:rPr>
        <w:rFonts w:hint="default"/>
      </w:rPr>
    </w:lvl>
    <w:lvl w:ilvl="6" w:tplc="FFFFFFFF">
      <w:start w:val="1"/>
      <w:numFmt w:val="bullet"/>
      <w:lvlText w:val="•"/>
      <w:lvlJc w:val="left"/>
      <w:pPr>
        <w:ind w:left="1247" w:hanging="284"/>
      </w:pPr>
      <w:rPr>
        <w:rFonts w:hint="default"/>
      </w:rPr>
    </w:lvl>
    <w:lvl w:ilvl="7" w:tplc="FFFFFFFF">
      <w:start w:val="1"/>
      <w:numFmt w:val="bullet"/>
      <w:lvlText w:val="•"/>
      <w:lvlJc w:val="left"/>
      <w:pPr>
        <w:ind w:left="1530" w:hanging="284"/>
      </w:pPr>
      <w:rPr>
        <w:rFonts w:hint="default"/>
      </w:rPr>
    </w:lvl>
    <w:lvl w:ilvl="8" w:tplc="FFFFFFFF">
      <w:start w:val="1"/>
      <w:numFmt w:val="bullet"/>
      <w:lvlText w:val="•"/>
      <w:lvlJc w:val="left"/>
      <w:pPr>
        <w:ind w:left="907" w:hanging="284"/>
      </w:pPr>
      <w:rPr>
        <w:rFonts w:hint="default"/>
      </w:rPr>
    </w:lvl>
  </w:abstractNum>
  <w:abstractNum w:abstractNumId="25" w15:restartNumberingAfterBreak="0">
    <w:nsid w:val="64D220A0"/>
    <w:multiLevelType w:val="hybridMultilevel"/>
    <w:tmpl w:val="4F98F318"/>
    <w:lvl w:ilvl="0" w:tplc="F97A725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7F3627"/>
    <w:multiLevelType w:val="hybridMultilevel"/>
    <w:tmpl w:val="7348021A"/>
    <w:lvl w:ilvl="0" w:tplc="F97A725A">
      <w:start w:val="1"/>
      <w:numFmt w:val="lowerRoman"/>
      <w:lvlText w:val="(%1)"/>
      <w:lvlJc w:val="left"/>
      <w:pPr>
        <w:ind w:left="1440" w:hanging="360"/>
      </w:pPr>
      <w:rPr>
        <w:rFonts w:hint="default"/>
      </w:rPr>
    </w:lvl>
    <w:lvl w:ilvl="1" w:tplc="8CF04BD4">
      <w:start w:val="1"/>
      <w:numFmt w:val="upperLetter"/>
      <w:lvlText w:val="(%2)"/>
      <w:lvlJc w:val="left"/>
      <w:pPr>
        <w:ind w:left="2520" w:hanging="720"/>
      </w:pPr>
      <w:rPr>
        <w:rFonts w:hint="default"/>
      </w:rPr>
    </w:lvl>
    <w:lvl w:ilvl="2" w:tplc="0382F8D2">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B415B65"/>
    <w:multiLevelType w:val="hybridMultilevel"/>
    <w:tmpl w:val="B568DE30"/>
    <w:lvl w:ilvl="0" w:tplc="FFFFFFFF">
      <w:start w:val="1"/>
      <w:numFmt w:val="decimal"/>
      <w:lvlText w:val="%1."/>
      <w:lvlJc w:val="left"/>
      <w:pPr>
        <w:ind w:left="397" w:hanging="284"/>
      </w:pPr>
      <w:rPr>
        <w:rFonts w:ascii="DIN OT" w:eastAsia="DIN OT" w:hAnsi="DIN OT" w:hint="default"/>
        <w:b/>
        <w:bCs/>
        <w:color w:val="231F20"/>
        <w:spacing w:val="-7"/>
        <w:sz w:val="17"/>
        <w:szCs w:val="17"/>
      </w:rPr>
    </w:lvl>
    <w:lvl w:ilvl="1" w:tplc="FFFFFFFF">
      <w:start w:val="1"/>
      <w:numFmt w:val="lowerLetter"/>
      <w:lvlText w:val="(%2)"/>
      <w:lvlJc w:val="left"/>
      <w:pPr>
        <w:ind w:left="680" w:hanging="284"/>
      </w:pPr>
      <w:rPr>
        <w:rFonts w:ascii="DIN OT" w:eastAsia="DIN OT" w:hAnsi="DIN OT" w:hint="default"/>
        <w:color w:val="231F20"/>
        <w:spacing w:val="-4"/>
        <w:sz w:val="17"/>
        <w:szCs w:val="17"/>
      </w:rPr>
    </w:lvl>
    <w:lvl w:ilvl="2" w:tplc="FFFFFFFF">
      <w:start w:val="1"/>
      <w:numFmt w:val="lowerRoman"/>
      <w:lvlText w:val="(%3)"/>
      <w:lvlJc w:val="left"/>
      <w:pPr>
        <w:ind w:left="964" w:hanging="284"/>
      </w:pPr>
      <w:rPr>
        <w:rFonts w:ascii="DIN OT" w:eastAsia="DIN OT" w:hAnsi="DIN OT" w:hint="default"/>
        <w:color w:val="231F20"/>
        <w:spacing w:val="-4"/>
        <w:sz w:val="17"/>
        <w:szCs w:val="17"/>
      </w:rPr>
    </w:lvl>
    <w:lvl w:ilvl="3" w:tplc="FFFFFFFF">
      <w:start w:val="1"/>
      <w:numFmt w:val="upperLetter"/>
      <w:lvlText w:val="(%4)"/>
      <w:lvlJc w:val="left"/>
      <w:pPr>
        <w:ind w:left="1247" w:hanging="284"/>
      </w:pPr>
      <w:rPr>
        <w:rFonts w:ascii="DIN OT" w:eastAsia="DIN OT" w:hAnsi="DIN OT" w:hint="default"/>
        <w:color w:val="231F20"/>
        <w:spacing w:val="1"/>
        <w:sz w:val="17"/>
        <w:szCs w:val="17"/>
      </w:rPr>
    </w:lvl>
    <w:lvl w:ilvl="4" w:tplc="FFFFFFFF">
      <w:start w:val="1"/>
      <w:numFmt w:val="lowerRoman"/>
      <w:lvlText w:val="(%5)"/>
      <w:lvlJc w:val="left"/>
      <w:pPr>
        <w:ind w:left="1530" w:hanging="284"/>
      </w:pPr>
      <w:rPr>
        <w:rFonts w:ascii="DIN OT" w:eastAsia="DIN OT" w:hAnsi="DIN OT" w:hint="default"/>
        <w:color w:val="231F20"/>
        <w:spacing w:val="-4"/>
        <w:sz w:val="17"/>
        <w:szCs w:val="17"/>
      </w:rPr>
    </w:lvl>
    <w:lvl w:ilvl="5" w:tplc="FFFFFFFF">
      <w:start w:val="1"/>
      <w:numFmt w:val="bullet"/>
      <w:lvlText w:val="•"/>
      <w:lvlJc w:val="left"/>
      <w:pPr>
        <w:ind w:left="964" w:hanging="284"/>
      </w:pPr>
      <w:rPr>
        <w:rFonts w:hint="default"/>
      </w:rPr>
    </w:lvl>
    <w:lvl w:ilvl="6" w:tplc="FFFFFFFF">
      <w:start w:val="1"/>
      <w:numFmt w:val="bullet"/>
      <w:lvlText w:val="•"/>
      <w:lvlJc w:val="left"/>
      <w:pPr>
        <w:ind w:left="1247" w:hanging="284"/>
      </w:pPr>
      <w:rPr>
        <w:rFonts w:hint="default"/>
      </w:rPr>
    </w:lvl>
    <w:lvl w:ilvl="7" w:tplc="FFFFFFFF">
      <w:start w:val="1"/>
      <w:numFmt w:val="bullet"/>
      <w:lvlText w:val="•"/>
      <w:lvlJc w:val="left"/>
      <w:pPr>
        <w:ind w:left="1530" w:hanging="284"/>
      </w:pPr>
      <w:rPr>
        <w:rFonts w:hint="default"/>
      </w:rPr>
    </w:lvl>
    <w:lvl w:ilvl="8" w:tplc="FFFFFFFF">
      <w:start w:val="1"/>
      <w:numFmt w:val="bullet"/>
      <w:lvlText w:val="•"/>
      <w:lvlJc w:val="left"/>
      <w:pPr>
        <w:ind w:left="907" w:hanging="284"/>
      </w:pPr>
      <w:rPr>
        <w:rFonts w:hint="default"/>
      </w:rPr>
    </w:lvl>
  </w:abstractNum>
  <w:abstractNum w:abstractNumId="28" w15:restartNumberingAfterBreak="0">
    <w:nsid w:val="6D9421A5"/>
    <w:multiLevelType w:val="hybridMultilevel"/>
    <w:tmpl w:val="FF0AA962"/>
    <w:lvl w:ilvl="0" w:tplc="F564B1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8B0A7C"/>
    <w:multiLevelType w:val="hybridMultilevel"/>
    <w:tmpl w:val="55620982"/>
    <w:lvl w:ilvl="0" w:tplc="7DACA8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8C3900"/>
    <w:multiLevelType w:val="hybridMultilevel"/>
    <w:tmpl w:val="C2D04A0A"/>
    <w:lvl w:ilvl="0" w:tplc="F97A725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9C07A7B"/>
    <w:multiLevelType w:val="hybridMultilevel"/>
    <w:tmpl w:val="EB1E8F9C"/>
    <w:lvl w:ilvl="0" w:tplc="CB5067F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17D7C"/>
    <w:multiLevelType w:val="hybridMultilevel"/>
    <w:tmpl w:val="D7BA9D4E"/>
    <w:lvl w:ilvl="0" w:tplc="CDA49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73BAB"/>
    <w:multiLevelType w:val="hybridMultilevel"/>
    <w:tmpl w:val="AE92CCE4"/>
    <w:lvl w:ilvl="0" w:tplc="F97A72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955981">
    <w:abstractNumId w:val="18"/>
  </w:num>
  <w:num w:numId="2" w16cid:durableId="1956868069">
    <w:abstractNumId w:val="19"/>
  </w:num>
  <w:num w:numId="3" w16cid:durableId="1513834391">
    <w:abstractNumId w:val="30"/>
  </w:num>
  <w:num w:numId="4" w16cid:durableId="742408617">
    <w:abstractNumId w:val="32"/>
  </w:num>
  <w:num w:numId="5" w16cid:durableId="449671862">
    <w:abstractNumId w:val="15"/>
  </w:num>
  <w:num w:numId="6" w16cid:durableId="451945428">
    <w:abstractNumId w:val="22"/>
  </w:num>
  <w:num w:numId="7" w16cid:durableId="1057096551">
    <w:abstractNumId w:val="1"/>
  </w:num>
  <w:num w:numId="8" w16cid:durableId="1514490965">
    <w:abstractNumId w:val="31"/>
  </w:num>
  <w:num w:numId="9" w16cid:durableId="365521449">
    <w:abstractNumId w:val="23"/>
  </w:num>
  <w:num w:numId="10" w16cid:durableId="1835799163">
    <w:abstractNumId w:val="5"/>
  </w:num>
  <w:num w:numId="11" w16cid:durableId="206065309">
    <w:abstractNumId w:val="29"/>
  </w:num>
  <w:num w:numId="12" w16cid:durableId="710541758">
    <w:abstractNumId w:val="33"/>
  </w:num>
  <w:num w:numId="13" w16cid:durableId="100271475">
    <w:abstractNumId w:val="16"/>
  </w:num>
  <w:num w:numId="14" w16cid:durableId="979194680">
    <w:abstractNumId w:val="17"/>
  </w:num>
  <w:num w:numId="15" w16cid:durableId="648361968">
    <w:abstractNumId w:val="0"/>
  </w:num>
  <w:num w:numId="16" w16cid:durableId="148789574">
    <w:abstractNumId w:val="10"/>
  </w:num>
  <w:num w:numId="17" w16cid:durableId="713846930">
    <w:abstractNumId w:val="12"/>
  </w:num>
  <w:num w:numId="18" w16cid:durableId="396438625">
    <w:abstractNumId w:val="7"/>
  </w:num>
  <w:num w:numId="19" w16cid:durableId="1774400012">
    <w:abstractNumId w:val="14"/>
  </w:num>
  <w:num w:numId="20" w16cid:durableId="793714749">
    <w:abstractNumId w:val="25"/>
  </w:num>
  <w:num w:numId="21" w16cid:durableId="741172164">
    <w:abstractNumId w:val="28"/>
  </w:num>
  <w:num w:numId="22" w16cid:durableId="1083986607">
    <w:abstractNumId w:val="9"/>
  </w:num>
  <w:num w:numId="23" w16cid:durableId="373039067">
    <w:abstractNumId w:val="3"/>
  </w:num>
  <w:num w:numId="24" w16cid:durableId="1830511906">
    <w:abstractNumId w:val="6"/>
  </w:num>
  <w:num w:numId="25" w16cid:durableId="1730150614">
    <w:abstractNumId w:val="26"/>
  </w:num>
  <w:num w:numId="26" w16cid:durableId="579489212">
    <w:abstractNumId w:val="21"/>
  </w:num>
  <w:num w:numId="27" w16cid:durableId="1772552697">
    <w:abstractNumId w:val="20"/>
  </w:num>
  <w:num w:numId="28" w16cid:durableId="1170175217">
    <w:abstractNumId w:val="11"/>
  </w:num>
  <w:num w:numId="29" w16cid:durableId="896819930">
    <w:abstractNumId w:val="2"/>
  </w:num>
  <w:num w:numId="30" w16cid:durableId="501169548">
    <w:abstractNumId w:val="8"/>
  </w:num>
  <w:num w:numId="31" w16cid:durableId="730275182">
    <w:abstractNumId w:val="4"/>
  </w:num>
  <w:num w:numId="32" w16cid:durableId="23790433">
    <w:abstractNumId w:val="27"/>
  </w:num>
  <w:num w:numId="33" w16cid:durableId="307244970">
    <w:abstractNumId w:val="13"/>
  </w:num>
  <w:num w:numId="34" w16cid:durableId="172563758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47"/>
    <w:rsid w:val="00016433"/>
    <w:rsid w:val="000642C7"/>
    <w:rsid w:val="00083196"/>
    <w:rsid w:val="00096D6A"/>
    <w:rsid w:val="000A494A"/>
    <w:rsid w:val="000B5353"/>
    <w:rsid w:val="000D2F82"/>
    <w:rsid w:val="000D3419"/>
    <w:rsid w:val="0010520E"/>
    <w:rsid w:val="00107879"/>
    <w:rsid w:val="001119EA"/>
    <w:rsid w:val="00123CB3"/>
    <w:rsid w:val="001404C2"/>
    <w:rsid w:val="00142898"/>
    <w:rsid w:val="0016147E"/>
    <w:rsid w:val="00190715"/>
    <w:rsid w:val="00191278"/>
    <w:rsid w:val="001A00DB"/>
    <w:rsid w:val="001B5E28"/>
    <w:rsid w:val="001E2AF4"/>
    <w:rsid w:val="001F65A3"/>
    <w:rsid w:val="00215C35"/>
    <w:rsid w:val="00224E7C"/>
    <w:rsid w:val="00246455"/>
    <w:rsid w:val="002B56C6"/>
    <w:rsid w:val="002C38B2"/>
    <w:rsid w:val="002C47C3"/>
    <w:rsid w:val="002C4D6B"/>
    <w:rsid w:val="002C77B7"/>
    <w:rsid w:val="002F3B46"/>
    <w:rsid w:val="00302137"/>
    <w:rsid w:val="0035090D"/>
    <w:rsid w:val="00356DE9"/>
    <w:rsid w:val="003C75CD"/>
    <w:rsid w:val="003D45B9"/>
    <w:rsid w:val="003E4E10"/>
    <w:rsid w:val="003E5F37"/>
    <w:rsid w:val="00416335"/>
    <w:rsid w:val="0042566C"/>
    <w:rsid w:val="004560AA"/>
    <w:rsid w:val="00456E7F"/>
    <w:rsid w:val="0045751D"/>
    <w:rsid w:val="00457C57"/>
    <w:rsid w:val="004604E8"/>
    <w:rsid w:val="004610E0"/>
    <w:rsid w:val="004821FA"/>
    <w:rsid w:val="0049382C"/>
    <w:rsid w:val="004B0DAD"/>
    <w:rsid w:val="004C2630"/>
    <w:rsid w:val="004D2D84"/>
    <w:rsid w:val="00515163"/>
    <w:rsid w:val="005214A8"/>
    <w:rsid w:val="00530B49"/>
    <w:rsid w:val="005350F8"/>
    <w:rsid w:val="00581CDF"/>
    <w:rsid w:val="0058296F"/>
    <w:rsid w:val="00585A5A"/>
    <w:rsid w:val="005D1EC6"/>
    <w:rsid w:val="005F7A80"/>
    <w:rsid w:val="006165AC"/>
    <w:rsid w:val="0062787E"/>
    <w:rsid w:val="006340BB"/>
    <w:rsid w:val="0063781F"/>
    <w:rsid w:val="006379EE"/>
    <w:rsid w:val="00644AC0"/>
    <w:rsid w:val="00647FA1"/>
    <w:rsid w:val="0065736F"/>
    <w:rsid w:val="0066480F"/>
    <w:rsid w:val="006721F8"/>
    <w:rsid w:val="00676CE8"/>
    <w:rsid w:val="006D700B"/>
    <w:rsid w:val="00701ADA"/>
    <w:rsid w:val="00711B2C"/>
    <w:rsid w:val="007501D7"/>
    <w:rsid w:val="00752465"/>
    <w:rsid w:val="007627E9"/>
    <w:rsid w:val="007827E9"/>
    <w:rsid w:val="00783ED0"/>
    <w:rsid w:val="007972B8"/>
    <w:rsid w:val="007A1054"/>
    <w:rsid w:val="007A14B0"/>
    <w:rsid w:val="007A6A97"/>
    <w:rsid w:val="007C547D"/>
    <w:rsid w:val="007D4AC8"/>
    <w:rsid w:val="007E1EB4"/>
    <w:rsid w:val="00802112"/>
    <w:rsid w:val="008075DD"/>
    <w:rsid w:val="00847190"/>
    <w:rsid w:val="00847615"/>
    <w:rsid w:val="008567E3"/>
    <w:rsid w:val="008A526E"/>
    <w:rsid w:val="008C7F11"/>
    <w:rsid w:val="008D2791"/>
    <w:rsid w:val="008D44E8"/>
    <w:rsid w:val="008F5164"/>
    <w:rsid w:val="00914F6A"/>
    <w:rsid w:val="00916819"/>
    <w:rsid w:val="00921D38"/>
    <w:rsid w:val="009400E0"/>
    <w:rsid w:val="00956F95"/>
    <w:rsid w:val="00972A15"/>
    <w:rsid w:val="00974E69"/>
    <w:rsid w:val="00984347"/>
    <w:rsid w:val="00984579"/>
    <w:rsid w:val="00985620"/>
    <w:rsid w:val="009C5ED5"/>
    <w:rsid w:val="009D5224"/>
    <w:rsid w:val="009D6294"/>
    <w:rsid w:val="009E20A5"/>
    <w:rsid w:val="009E4C92"/>
    <w:rsid w:val="00A06020"/>
    <w:rsid w:val="00A159F5"/>
    <w:rsid w:val="00A26748"/>
    <w:rsid w:val="00A573D8"/>
    <w:rsid w:val="00A63D5B"/>
    <w:rsid w:val="00A751D6"/>
    <w:rsid w:val="00A84682"/>
    <w:rsid w:val="00A94C8E"/>
    <w:rsid w:val="00AC4465"/>
    <w:rsid w:val="00AD2ECC"/>
    <w:rsid w:val="00AD666D"/>
    <w:rsid w:val="00AD7A5C"/>
    <w:rsid w:val="00AF3538"/>
    <w:rsid w:val="00AF70AE"/>
    <w:rsid w:val="00B0486D"/>
    <w:rsid w:val="00B15075"/>
    <w:rsid w:val="00B42CFA"/>
    <w:rsid w:val="00B815DA"/>
    <w:rsid w:val="00B83D83"/>
    <w:rsid w:val="00B920D4"/>
    <w:rsid w:val="00BA5AEB"/>
    <w:rsid w:val="00BB5463"/>
    <w:rsid w:val="00BC1A84"/>
    <w:rsid w:val="00BD1C91"/>
    <w:rsid w:val="00BE1AFC"/>
    <w:rsid w:val="00BE332C"/>
    <w:rsid w:val="00BF14A3"/>
    <w:rsid w:val="00BF1992"/>
    <w:rsid w:val="00C1183A"/>
    <w:rsid w:val="00C12FB8"/>
    <w:rsid w:val="00C2335A"/>
    <w:rsid w:val="00C300B5"/>
    <w:rsid w:val="00C42F3B"/>
    <w:rsid w:val="00C862A0"/>
    <w:rsid w:val="00CA44E5"/>
    <w:rsid w:val="00CB07DF"/>
    <w:rsid w:val="00CD043F"/>
    <w:rsid w:val="00CE0413"/>
    <w:rsid w:val="00CE0BB2"/>
    <w:rsid w:val="00CE7922"/>
    <w:rsid w:val="00CF1E3A"/>
    <w:rsid w:val="00CF2071"/>
    <w:rsid w:val="00CF637D"/>
    <w:rsid w:val="00D01618"/>
    <w:rsid w:val="00D11D1B"/>
    <w:rsid w:val="00D12078"/>
    <w:rsid w:val="00D30670"/>
    <w:rsid w:val="00D370EB"/>
    <w:rsid w:val="00D47577"/>
    <w:rsid w:val="00D53075"/>
    <w:rsid w:val="00D5496D"/>
    <w:rsid w:val="00D94D40"/>
    <w:rsid w:val="00DB0DB3"/>
    <w:rsid w:val="00DB427B"/>
    <w:rsid w:val="00DB7E17"/>
    <w:rsid w:val="00DC5D97"/>
    <w:rsid w:val="00E23171"/>
    <w:rsid w:val="00E32942"/>
    <w:rsid w:val="00E330D4"/>
    <w:rsid w:val="00E34158"/>
    <w:rsid w:val="00E373D7"/>
    <w:rsid w:val="00E507BA"/>
    <w:rsid w:val="00E6020A"/>
    <w:rsid w:val="00E61778"/>
    <w:rsid w:val="00E740EB"/>
    <w:rsid w:val="00E82FE2"/>
    <w:rsid w:val="00E863D7"/>
    <w:rsid w:val="00EC5870"/>
    <w:rsid w:val="00ED33FB"/>
    <w:rsid w:val="00EE1560"/>
    <w:rsid w:val="00F10807"/>
    <w:rsid w:val="00F108A2"/>
    <w:rsid w:val="00F226FD"/>
    <w:rsid w:val="00F34E89"/>
    <w:rsid w:val="00F854C2"/>
    <w:rsid w:val="00F95A97"/>
    <w:rsid w:val="00FA2AB7"/>
    <w:rsid w:val="00FB0FCC"/>
    <w:rsid w:val="00FC41D8"/>
    <w:rsid w:val="00FC4729"/>
    <w:rsid w:val="00FC4970"/>
    <w:rsid w:val="00FD3842"/>
    <w:rsid w:val="00FD4CBC"/>
    <w:rsid w:val="00FF1A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0D14E"/>
  <w15:docId w15:val="{8C084890-C8B6-4798-8EB4-C6F0E1F2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D94D40"/>
    <w:pPr>
      <w:keepNext/>
      <w:spacing w:after="0" w:line="240" w:lineRule="auto"/>
      <w:outlineLvl w:val="3"/>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347"/>
    <w:rPr>
      <w:rFonts w:ascii="Tahoma" w:hAnsi="Tahoma" w:cs="Tahoma"/>
      <w:sz w:val="16"/>
      <w:szCs w:val="16"/>
    </w:rPr>
  </w:style>
  <w:style w:type="paragraph" w:styleId="ListParagraph">
    <w:name w:val="List Paragraph"/>
    <w:basedOn w:val="Normal"/>
    <w:uiPriority w:val="1"/>
    <w:qFormat/>
    <w:rsid w:val="00585A5A"/>
    <w:pPr>
      <w:ind w:left="720"/>
      <w:contextualSpacing/>
    </w:pPr>
  </w:style>
  <w:style w:type="paragraph" w:styleId="Header">
    <w:name w:val="header"/>
    <w:basedOn w:val="Normal"/>
    <w:link w:val="HeaderChar"/>
    <w:uiPriority w:val="99"/>
    <w:unhideWhenUsed/>
    <w:rsid w:val="0010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20E"/>
  </w:style>
  <w:style w:type="paragraph" w:styleId="Footer">
    <w:name w:val="footer"/>
    <w:basedOn w:val="Normal"/>
    <w:link w:val="FooterChar"/>
    <w:uiPriority w:val="99"/>
    <w:unhideWhenUsed/>
    <w:rsid w:val="0010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20E"/>
  </w:style>
  <w:style w:type="paragraph" w:styleId="Revision">
    <w:name w:val="Revision"/>
    <w:hidden/>
    <w:uiPriority w:val="99"/>
    <w:semiHidden/>
    <w:rsid w:val="00D94D40"/>
    <w:pPr>
      <w:spacing w:after="0" w:line="240" w:lineRule="auto"/>
    </w:pPr>
  </w:style>
  <w:style w:type="character" w:customStyle="1" w:styleId="Heading4Char">
    <w:name w:val="Heading 4 Char"/>
    <w:basedOn w:val="DefaultParagraphFont"/>
    <w:link w:val="Heading4"/>
    <w:rsid w:val="00D94D40"/>
    <w:rPr>
      <w:rFonts w:ascii="Times New Roman" w:eastAsia="Times New Roman" w:hAnsi="Times New Roman" w:cs="Times New Roman"/>
      <w:b/>
      <w:sz w:val="20"/>
      <w:szCs w:val="20"/>
      <w:u w:val="single"/>
    </w:rPr>
  </w:style>
  <w:style w:type="paragraph" w:customStyle="1" w:styleId="FWNL1">
    <w:name w:val="FWN_L1"/>
    <w:basedOn w:val="Normal"/>
    <w:rsid w:val="00D94D40"/>
    <w:pPr>
      <w:numPr>
        <w:numId w:val="22"/>
      </w:numPr>
      <w:spacing w:after="240" w:line="240" w:lineRule="auto"/>
      <w:jc w:val="both"/>
    </w:pPr>
    <w:rPr>
      <w:rFonts w:ascii="Times New Roman" w:eastAsia="Times New Roman" w:hAnsi="Times New Roman" w:cs="Times New Roman"/>
      <w:sz w:val="24"/>
      <w:szCs w:val="20"/>
    </w:rPr>
  </w:style>
  <w:style w:type="paragraph" w:customStyle="1" w:styleId="FWNL2">
    <w:name w:val="FWN_L2"/>
    <w:basedOn w:val="FWNL1"/>
    <w:rsid w:val="00D94D40"/>
    <w:pPr>
      <w:numPr>
        <w:ilvl w:val="1"/>
      </w:numPr>
    </w:pPr>
  </w:style>
  <w:style w:type="paragraph" w:customStyle="1" w:styleId="FWNL3">
    <w:name w:val="FWN_L3"/>
    <w:basedOn w:val="FWNL2"/>
    <w:rsid w:val="00D94D40"/>
    <w:pPr>
      <w:numPr>
        <w:ilvl w:val="2"/>
      </w:numPr>
    </w:pPr>
  </w:style>
  <w:style w:type="paragraph" w:customStyle="1" w:styleId="FWNL4">
    <w:name w:val="FWN_L4"/>
    <w:basedOn w:val="FWNL3"/>
    <w:rsid w:val="00D94D40"/>
    <w:pPr>
      <w:numPr>
        <w:ilvl w:val="3"/>
      </w:numPr>
      <w:tabs>
        <w:tab w:val="clear" w:pos="2160"/>
        <w:tab w:val="num" w:pos="4140"/>
      </w:tabs>
      <w:ind w:left="4140" w:hanging="360"/>
    </w:pPr>
  </w:style>
  <w:style w:type="paragraph" w:customStyle="1" w:styleId="FWNL5">
    <w:name w:val="FWN_L5"/>
    <w:basedOn w:val="FWNL4"/>
    <w:rsid w:val="00D94D40"/>
    <w:pPr>
      <w:numPr>
        <w:ilvl w:val="4"/>
      </w:numPr>
      <w:tabs>
        <w:tab w:val="clear" w:pos="2880"/>
        <w:tab w:val="num" w:pos="4860"/>
      </w:tabs>
      <w:ind w:left="4860" w:hanging="360"/>
    </w:pPr>
  </w:style>
  <w:style w:type="paragraph" w:customStyle="1" w:styleId="FWNL6">
    <w:name w:val="FWN_L6"/>
    <w:basedOn w:val="FWNL5"/>
    <w:rsid w:val="00D94D40"/>
    <w:pPr>
      <w:numPr>
        <w:ilvl w:val="5"/>
      </w:numPr>
      <w:tabs>
        <w:tab w:val="clear" w:pos="3600"/>
        <w:tab w:val="num" w:pos="5580"/>
      </w:tabs>
      <w:ind w:left="5580" w:hanging="180"/>
    </w:pPr>
  </w:style>
  <w:style w:type="paragraph" w:customStyle="1" w:styleId="FWNL7">
    <w:name w:val="FWN_L7"/>
    <w:basedOn w:val="FWNL6"/>
    <w:rsid w:val="00D94D40"/>
    <w:pPr>
      <w:numPr>
        <w:ilvl w:val="6"/>
      </w:numPr>
      <w:tabs>
        <w:tab w:val="clear" w:pos="4320"/>
        <w:tab w:val="num" w:pos="6300"/>
      </w:tabs>
      <w:ind w:left="6300" w:hanging="360"/>
    </w:pPr>
  </w:style>
  <w:style w:type="character" w:styleId="CommentReference">
    <w:name w:val="annotation reference"/>
    <w:basedOn w:val="DefaultParagraphFont"/>
    <w:uiPriority w:val="99"/>
    <w:semiHidden/>
    <w:unhideWhenUsed/>
    <w:rsid w:val="002C38B2"/>
    <w:rPr>
      <w:sz w:val="16"/>
      <w:szCs w:val="16"/>
    </w:rPr>
  </w:style>
  <w:style w:type="paragraph" w:styleId="CommentText">
    <w:name w:val="annotation text"/>
    <w:basedOn w:val="Normal"/>
    <w:link w:val="CommentTextChar"/>
    <w:uiPriority w:val="99"/>
    <w:unhideWhenUsed/>
    <w:rsid w:val="002C38B2"/>
    <w:pPr>
      <w:spacing w:line="240" w:lineRule="auto"/>
    </w:pPr>
    <w:rPr>
      <w:sz w:val="20"/>
      <w:szCs w:val="20"/>
    </w:rPr>
  </w:style>
  <w:style w:type="character" w:customStyle="1" w:styleId="CommentTextChar">
    <w:name w:val="Comment Text Char"/>
    <w:basedOn w:val="DefaultParagraphFont"/>
    <w:link w:val="CommentText"/>
    <w:uiPriority w:val="99"/>
    <w:rsid w:val="002C38B2"/>
    <w:rPr>
      <w:sz w:val="20"/>
      <w:szCs w:val="20"/>
    </w:rPr>
  </w:style>
  <w:style w:type="paragraph" w:styleId="CommentSubject">
    <w:name w:val="annotation subject"/>
    <w:basedOn w:val="CommentText"/>
    <w:next w:val="CommentText"/>
    <w:link w:val="CommentSubjectChar"/>
    <w:uiPriority w:val="99"/>
    <w:semiHidden/>
    <w:unhideWhenUsed/>
    <w:rsid w:val="002C38B2"/>
    <w:rPr>
      <w:b/>
      <w:bCs/>
    </w:rPr>
  </w:style>
  <w:style w:type="character" w:customStyle="1" w:styleId="CommentSubjectChar">
    <w:name w:val="Comment Subject Char"/>
    <w:basedOn w:val="CommentTextChar"/>
    <w:link w:val="CommentSubject"/>
    <w:uiPriority w:val="99"/>
    <w:semiHidden/>
    <w:rsid w:val="002C38B2"/>
    <w:rPr>
      <w:b/>
      <w:bCs/>
      <w:sz w:val="20"/>
      <w:szCs w:val="20"/>
    </w:rPr>
  </w:style>
  <w:style w:type="character" w:styleId="Hyperlink">
    <w:name w:val="Hyperlink"/>
    <w:basedOn w:val="DefaultParagraphFont"/>
    <w:uiPriority w:val="99"/>
    <w:unhideWhenUsed/>
    <w:rsid w:val="00BF1992"/>
    <w:rPr>
      <w:color w:val="0000FF" w:themeColor="hyperlink"/>
      <w:u w:val="single"/>
    </w:rPr>
  </w:style>
  <w:style w:type="character" w:styleId="UnresolvedMention">
    <w:name w:val="Unresolved Mention"/>
    <w:basedOn w:val="DefaultParagraphFont"/>
    <w:uiPriority w:val="99"/>
    <w:semiHidden/>
    <w:unhideWhenUsed/>
    <w:rsid w:val="00BF1992"/>
    <w:rPr>
      <w:color w:val="605E5C"/>
      <w:shd w:val="clear" w:color="auto" w:fill="E1DFDD"/>
    </w:rPr>
  </w:style>
  <w:style w:type="paragraph" w:styleId="BodyText">
    <w:name w:val="Body Text"/>
    <w:basedOn w:val="Normal"/>
    <w:link w:val="BodyTextChar"/>
    <w:semiHidden/>
    <w:rsid w:val="00DB427B"/>
    <w:pPr>
      <w:spacing w:after="0" w:line="240" w:lineRule="auto"/>
    </w:pPr>
    <w:rPr>
      <w:rFonts w:ascii="Times New Roman" w:eastAsia="Times New Roman" w:hAnsi="Times New Roman" w:cs="Times New Roman"/>
      <w:b/>
      <w:sz w:val="20"/>
      <w:szCs w:val="20"/>
      <w:u w:val="single"/>
    </w:rPr>
  </w:style>
  <w:style w:type="character" w:customStyle="1" w:styleId="BodyTextChar">
    <w:name w:val="Body Text Char"/>
    <w:basedOn w:val="DefaultParagraphFont"/>
    <w:link w:val="BodyText"/>
    <w:semiHidden/>
    <w:rsid w:val="00DB427B"/>
    <w:rPr>
      <w:rFonts w:ascii="Times New Roman" w:eastAsia="Times New Roman" w:hAnsi="Times New Roman" w:cs="Times New Roman"/>
      <w:b/>
      <w:sz w:val="20"/>
      <w:szCs w:val="20"/>
      <w:u w:val="single"/>
    </w:rPr>
  </w:style>
  <w:style w:type="paragraph" w:styleId="BodyText2">
    <w:name w:val="Body Text 2"/>
    <w:basedOn w:val="Normal"/>
    <w:link w:val="BodyText2Char"/>
    <w:semiHidden/>
    <w:rsid w:val="00DB427B"/>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DB42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BF56F13186BF41B3BE38F0111253E1" ma:contentTypeVersion="15" ma:contentTypeDescription="Create a new document." ma:contentTypeScope="" ma:versionID="844bd32d48218e8ff5444028b1e6271f">
  <xsd:schema xmlns:xsd="http://www.w3.org/2001/XMLSchema" xmlns:xs="http://www.w3.org/2001/XMLSchema" xmlns:p="http://schemas.microsoft.com/office/2006/metadata/properties" xmlns:ns1="http://schemas.microsoft.com/sharepoint/v3" xmlns:ns2="2dee1928-e90f-4e72-a1fb-0cdd402ef7fe" xmlns:ns3="c352c094-9485-4296-9455-a9295578a11e" targetNamespace="http://schemas.microsoft.com/office/2006/metadata/properties" ma:root="true" ma:fieldsID="c7d2392a6b32575eacd9f3d6c8e3197f" ns1:_="" ns2:_="" ns3:_="">
    <xsd:import namespace="http://schemas.microsoft.com/sharepoint/v3"/>
    <xsd:import namespace="2dee1928-e90f-4e72-a1fb-0cdd402ef7fe"/>
    <xsd:import namespace="c352c094-9485-4296-9455-a9295578a1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ee1928-e90f-4e72-a1fb-0cdd402ef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3a929c1-7f1a-4615-8727-05546229ccfa}" ma:internalName="TaxCatchAll" ma:showField="CatchAllData" ma:web="2dee1928-e90f-4e72-a1fb-0cdd402ef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2c094-9485-4296-9455-a9295578a1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52c094-9485-4296-9455-a9295578a11e">
      <Terms xmlns="http://schemas.microsoft.com/office/infopath/2007/PartnerControls"/>
    </lcf76f155ced4ddcb4097134ff3c332f>
    <TaxCatchAll xmlns="2dee1928-e90f-4e72-a1fb-0cdd402ef7fe" xsi:nil="true"/>
    <_dlc_DocId xmlns="2dee1928-e90f-4e72-a1fb-0cdd402ef7fe">TNME3MZR7UAA-2112375194-226061</_dlc_DocId>
    <_dlc_DocIdUrl xmlns="2dee1928-e90f-4e72-a1fb-0cdd402ef7fe">
      <Url>https://reedelsevier.sharepoint.com/sites/rehlondatp021/_layouts/15/DocIdRedir.aspx?ID=TNME3MZR7UAA-2112375194-226061</Url>
      <Description>TNME3MZR7UAA-2112375194-226061</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9739D-0CE6-4658-B0F8-7B00E39E8DD1}">
  <ds:schemaRefs>
    <ds:schemaRef ds:uri="http://schemas.openxmlformats.org/officeDocument/2006/bibliography"/>
  </ds:schemaRefs>
</ds:datastoreItem>
</file>

<file path=customXml/itemProps2.xml><?xml version="1.0" encoding="utf-8"?>
<ds:datastoreItem xmlns:ds="http://schemas.openxmlformats.org/officeDocument/2006/customXml" ds:itemID="{C94D1451-65D7-4CAB-99C2-E773C87A83BD}">
  <ds:schemaRefs>
    <ds:schemaRef ds:uri="http://schemas.microsoft.com/sharepoint/events"/>
  </ds:schemaRefs>
</ds:datastoreItem>
</file>

<file path=customXml/itemProps3.xml><?xml version="1.0" encoding="utf-8"?>
<ds:datastoreItem xmlns:ds="http://schemas.openxmlformats.org/officeDocument/2006/customXml" ds:itemID="{63184972-4059-452B-A063-BB8E83BFD78C}"/>
</file>

<file path=customXml/itemProps4.xml><?xml version="1.0" encoding="utf-8"?>
<ds:datastoreItem xmlns:ds="http://schemas.openxmlformats.org/officeDocument/2006/customXml" ds:itemID="{C9B877D6-E6E4-411C-8BF0-2FB60F223969}">
  <ds:schemaRefs>
    <ds:schemaRef ds:uri="http://schemas.microsoft.com/office/2006/metadata/properties"/>
    <ds:schemaRef ds:uri="http://schemas.microsoft.com/office/infopath/2007/PartnerControls"/>
    <ds:schemaRef ds:uri="c352c094-9485-4296-9455-a9295578a11e"/>
    <ds:schemaRef ds:uri="2dee1928-e90f-4e72-a1fb-0cdd402ef7fe"/>
    <ds:schemaRef ds:uri="http://schemas.microsoft.com/sharepoint/v3"/>
  </ds:schemaRefs>
</ds:datastoreItem>
</file>

<file path=customXml/itemProps5.xml><?xml version="1.0" encoding="utf-8"?>
<ds:datastoreItem xmlns:ds="http://schemas.openxmlformats.org/officeDocument/2006/customXml" ds:itemID="{BE605C0E-2B8C-403F-9FED-FBE28917C669}">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100</TotalTime>
  <Pages>4</Pages>
  <Words>1487</Words>
  <Characters>7438</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Watson</dc:creator>
  <cp:lastModifiedBy>Merali, Nimah (REHQ-LON)</cp:lastModifiedBy>
  <cp:revision>69</cp:revision>
  <cp:lastPrinted>2019-04-26T13:02:00Z</cp:lastPrinted>
  <dcterms:created xsi:type="dcterms:W3CDTF">2024-04-25T11:57:00Z</dcterms:created>
  <dcterms:modified xsi:type="dcterms:W3CDTF">2026-04-24T15:51:00Z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iteId">
    <vt:lpwstr>9274ee3f-9425-4109-a27f-9fb15c10675d</vt:lpwstr>
  </property>
  <property fmtid="{D5CDD505-2E9C-101B-9397-08002B2CF9AE}" pid="4" name="MSIP_Label_549ac42a-3eb4-4074-b885-aea26bd6241e_Owner">
    <vt:lpwstr>HIBINOH@corp.regn.net</vt:lpwstr>
  </property>
  <property fmtid="{D5CDD505-2E9C-101B-9397-08002B2CF9AE}" pid="5" name="MSIP_Label_549ac42a-3eb4-4074-b885-aea26bd6241e_SetDate">
    <vt:lpwstr>2021-03-18T11:59:00.9471293Z</vt:lpwstr>
  </property>
  <property fmtid="{D5CDD505-2E9C-101B-9397-08002B2CF9AE}" pid="6" name="MSIP_Label_549ac42a-3eb4-4074-b885-aea26bd6241e_Name">
    <vt:lpwstr>General Business</vt:lpwstr>
  </property>
  <property fmtid="{D5CDD505-2E9C-101B-9397-08002B2CF9AE}" pid="7" name="MSIP_Label_549ac42a-3eb4-4074-b885-aea26bd6241e_Application">
    <vt:lpwstr>Microsoft Azure Information Protection</vt:lpwstr>
  </property>
  <property fmtid="{D5CDD505-2E9C-101B-9397-08002B2CF9AE}" pid="8" name="MSIP_Label_549ac42a-3eb4-4074-b885-aea26bd6241e_ActionId">
    <vt:lpwstr>1fbd490d-9156-48c7-a551-821200a9562f</vt:lpwstr>
  </property>
  <property fmtid="{D5CDD505-2E9C-101B-9397-08002B2CF9AE}" pid="9" name="MSIP_Label_549ac42a-3eb4-4074-b885-aea26bd6241e_Extended_MSFT_Method">
    <vt:lpwstr>Automatic</vt:lpwstr>
  </property>
  <property fmtid="{D5CDD505-2E9C-101B-9397-08002B2CF9AE}" pid="10" name="Sensitivity">
    <vt:lpwstr>General Business</vt:lpwstr>
  </property>
  <property fmtid="{D5CDD505-2E9C-101B-9397-08002B2CF9AE}" pid="11" name="ContentTypeId">
    <vt:lpwstr>0x0101008BBF56F13186BF41B3BE38F0111253E1</vt:lpwstr>
  </property>
  <property fmtid="{D5CDD505-2E9C-101B-9397-08002B2CF9AE}" pid="12" name="_dlc_DocIdItemGuid">
    <vt:lpwstr>de4ea98b-0765-4522-aa91-db029ce25f04</vt:lpwstr>
  </property>
  <property fmtid="{D5CDD505-2E9C-101B-9397-08002B2CF9AE}" pid="13" name="MediaServiceImageTags">
    <vt:lpwstr/>
  </property>
</Properties>
</file>