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E1748" w14:textId="14C3DCDC" w:rsidR="006747A6" w:rsidRPr="006747A6" w:rsidRDefault="006747A6" w:rsidP="006747A6">
      <w:pPr>
        <w:pStyle w:val="Body"/>
        <w:spacing w:after="120" w:line="240" w:lineRule="auto"/>
        <w:jc w:val="center"/>
        <w:rPr>
          <w:rFonts w:cs="Arial"/>
          <w:b/>
          <w:bCs/>
        </w:rPr>
      </w:pPr>
      <w:r w:rsidRPr="006747A6">
        <w:rPr>
          <w:rFonts w:cs="Arial"/>
          <w:b/>
          <w:bCs/>
        </w:rPr>
        <w:t>CARCLO PLC</w:t>
      </w:r>
    </w:p>
    <w:p w14:paraId="5C7FE18C" w14:textId="77777777" w:rsidR="006747A6" w:rsidRPr="006747A6" w:rsidRDefault="006747A6" w:rsidP="006747A6">
      <w:pPr>
        <w:pStyle w:val="Body"/>
        <w:spacing w:after="120" w:line="240" w:lineRule="auto"/>
        <w:jc w:val="center"/>
        <w:rPr>
          <w:rFonts w:cs="Arial"/>
          <w:b/>
          <w:bCs/>
        </w:rPr>
      </w:pPr>
      <w:r w:rsidRPr="006747A6">
        <w:rPr>
          <w:rFonts w:cs="Arial"/>
          <w:b/>
          <w:bCs/>
        </w:rPr>
        <w:t>Company No:</w:t>
      </w:r>
    </w:p>
    <w:p w14:paraId="30FCA123" w14:textId="77777777" w:rsidR="006747A6" w:rsidRPr="006747A6" w:rsidRDefault="006747A6" w:rsidP="006747A6">
      <w:pPr>
        <w:pStyle w:val="Body"/>
        <w:spacing w:after="120" w:line="240" w:lineRule="auto"/>
        <w:jc w:val="center"/>
        <w:rPr>
          <w:rFonts w:cs="Arial"/>
          <w:b/>
          <w:bCs/>
        </w:rPr>
      </w:pPr>
      <w:r w:rsidRPr="006747A6">
        <w:rPr>
          <w:rFonts w:cs="Arial"/>
          <w:b/>
          <w:bCs/>
        </w:rPr>
        <w:t>196249</w:t>
      </w:r>
    </w:p>
    <w:p w14:paraId="66BE770E" w14:textId="77777777" w:rsidR="006747A6" w:rsidRPr="006747A6" w:rsidRDefault="006747A6" w:rsidP="001E03E8">
      <w:pPr>
        <w:pStyle w:val="Body"/>
        <w:spacing w:after="120" w:line="240" w:lineRule="auto"/>
        <w:jc w:val="center"/>
        <w:rPr>
          <w:rFonts w:cs="Arial"/>
          <w:b/>
          <w:bCs/>
        </w:rPr>
      </w:pPr>
    </w:p>
    <w:p w14:paraId="33EA4EE5" w14:textId="4A95103E" w:rsidR="006747A6" w:rsidRPr="006747A6" w:rsidRDefault="006747A6" w:rsidP="001E03E8">
      <w:pPr>
        <w:pStyle w:val="Body"/>
        <w:spacing w:after="120" w:line="240" w:lineRule="auto"/>
        <w:rPr>
          <w:rFonts w:cs="Arial"/>
          <w:bCs/>
        </w:rPr>
      </w:pPr>
      <w:bookmarkStart w:id="0" w:name="_DV_M4"/>
      <w:bookmarkStart w:id="1" w:name="_DV_M8"/>
      <w:bookmarkStart w:id="2" w:name="_DV_M9"/>
      <w:bookmarkEnd w:id="0"/>
      <w:bookmarkEnd w:id="1"/>
      <w:bookmarkEnd w:id="2"/>
      <w:r w:rsidRPr="006747A6">
        <w:rPr>
          <w:rFonts w:cs="Arial"/>
          <w:bCs/>
        </w:rPr>
        <w:t xml:space="preserve">At the Annual General Meeting (AGM) of the members of Carclo plc (“the Company”) held at </w:t>
      </w:r>
      <w:proofErr w:type="spellStart"/>
      <w:r w:rsidRPr="006747A6">
        <w:rPr>
          <w:rFonts w:cs="Arial"/>
          <w:bCs/>
        </w:rPr>
        <w:t>Addleshaw</w:t>
      </w:r>
      <w:proofErr w:type="spellEnd"/>
      <w:r w:rsidRPr="006747A6">
        <w:rPr>
          <w:rFonts w:cs="Arial"/>
          <w:bCs/>
        </w:rPr>
        <w:t xml:space="preserve"> Goddard LLP, Milton Gate, 60 Chiswell Street, London EC1Y 4AG on Thursday </w:t>
      </w:r>
      <w:r w:rsidR="00A030D6">
        <w:rPr>
          <w:rFonts w:cs="Arial"/>
          <w:bCs/>
        </w:rPr>
        <w:t>31 August 2023</w:t>
      </w:r>
      <w:r w:rsidRPr="006747A6">
        <w:rPr>
          <w:rFonts w:cs="Arial"/>
          <w:bCs/>
        </w:rPr>
        <w:t xml:space="preserve"> at 11.30 am the following Resolutions were passed, of which Resolution 1</w:t>
      </w:r>
      <w:r w:rsidR="00A030D6">
        <w:rPr>
          <w:rFonts w:cs="Arial"/>
          <w:bCs/>
        </w:rPr>
        <w:t>0</w:t>
      </w:r>
      <w:r w:rsidRPr="006747A6">
        <w:rPr>
          <w:rFonts w:cs="Arial"/>
          <w:bCs/>
        </w:rPr>
        <w:t xml:space="preserve"> was passed as an Ordinary Resolution and Resolutions 1</w:t>
      </w:r>
      <w:r w:rsidR="00A030D6">
        <w:rPr>
          <w:rFonts w:cs="Arial"/>
          <w:bCs/>
        </w:rPr>
        <w:t>1</w:t>
      </w:r>
      <w:r w:rsidRPr="006747A6">
        <w:rPr>
          <w:rFonts w:cs="Arial"/>
          <w:bCs/>
        </w:rPr>
        <w:t xml:space="preserve"> </w:t>
      </w:r>
      <w:r w:rsidR="00B73AB5">
        <w:rPr>
          <w:rFonts w:cs="Arial"/>
          <w:bCs/>
        </w:rPr>
        <w:t>to</w:t>
      </w:r>
      <w:r w:rsidRPr="006747A6">
        <w:rPr>
          <w:rFonts w:cs="Arial"/>
          <w:bCs/>
        </w:rPr>
        <w:t xml:space="preserve"> 1</w:t>
      </w:r>
      <w:r w:rsidR="00A030D6">
        <w:rPr>
          <w:rFonts w:cs="Arial"/>
          <w:bCs/>
        </w:rPr>
        <w:t>3</w:t>
      </w:r>
      <w:r w:rsidRPr="006747A6">
        <w:rPr>
          <w:rFonts w:cs="Arial"/>
          <w:bCs/>
        </w:rPr>
        <w:t xml:space="preserve"> as Special Resolutions.</w:t>
      </w:r>
    </w:p>
    <w:p w14:paraId="6DA1D1F0" w14:textId="3D263F6E" w:rsidR="00A9204E" w:rsidRPr="006747A6" w:rsidRDefault="00A9204E" w:rsidP="001E03E8">
      <w:pPr>
        <w:spacing w:after="120"/>
        <w:rPr>
          <w:rFonts w:ascii="Arial" w:hAnsi="Arial" w:cs="Arial"/>
          <w:sz w:val="20"/>
          <w:szCs w:val="20"/>
        </w:rPr>
      </w:pPr>
    </w:p>
    <w:p w14:paraId="1F1BEA5D" w14:textId="5566C1BD" w:rsidR="006747A6" w:rsidRDefault="006747A6" w:rsidP="001E03E8">
      <w:pPr>
        <w:spacing w:after="120"/>
        <w:rPr>
          <w:rFonts w:ascii="Arial" w:hAnsi="Arial" w:cs="Arial"/>
          <w:b/>
          <w:bCs/>
          <w:sz w:val="20"/>
          <w:szCs w:val="20"/>
        </w:rPr>
      </w:pPr>
      <w:r w:rsidRPr="006747A6">
        <w:rPr>
          <w:rFonts w:ascii="Arial" w:hAnsi="Arial" w:cs="Arial"/>
          <w:b/>
          <w:bCs/>
          <w:sz w:val="20"/>
          <w:szCs w:val="20"/>
        </w:rPr>
        <w:t>ORDINARY RESOLUTION</w:t>
      </w:r>
    </w:p>
    <w:p w14:paraId="1F10A6FF" w14:textId="5CE35209" w:rsidR="006747A6" w:rsidRDefault="006747A6" w:rsidP="001E03E8">
      <w:pPr>
        <w:spacing w:after="120"/>
        <w:rPr>
          <w:rFonts w:ascii="Arial" w:hAnsi="Arial" w:cs="Arial"/>
          <w:b/>
          <w:bCs/>
          <w:sz w:val="20"/>
          <w:szCs w:val="20"/>
        </w:rPr>
      </w:pPr>
    </w:p>
    <w:p w14:paraId="7EAC3D00" w14:textId="459CB960" w:rsidR="00E52A43" w:rsidRPr="00E52A43" w:rsidRDefault="006747A6" w:rsidP="001E03E8">
      <w:pPr>
        <w:spacing w:after="120"/>
        <w:ind w:left="720" w:hanging="720"/>
        <w:jc w:val="both"/>
        <w:rPr>
          <w:rFonts w:ascii="Arial" w:hAnsi="Arial" w:cs="Arial"/>
          <w:sz w:val="20"/>
          <w:szCs w:val="20"/>
        </w:rPr>
      </w:pPr>
      <w:r>
        <w:rPr>
          <w:rFonts w:ascii="Arial" w:hAnsi="Arial" w:cs="Arial"/>
          <w:sz w:val="20"/>
          <w:szCs w:val="20"/>
        </w:rPr>
        <w:t>1</w:t>
      </w:r>
      <w:r w:rsidR="00A030D6">
        <w:rPr>
          <w:rFonts w:ascii="Arial" w:hAnsi="Arial" w:cs="Arial"/>
          <w:sz w:val="20"/>
          <w:szCs w:val="20"/>
        </w:rPr>
        <w:t>0</w:t>
      </w:r>
      <w:r>
        <w:rPr>
          <w:rFonts w:ascii="Arial" w:hAnsi="Arial" w:cs="Arial"/>
          <w:sz w:val="20"/>
          <w:szCs w:val="20"/>
        </w:rPr>
        <w:tab/>
        <w:t>That the directors are generally and unconditionally authorised pursuant to section 551 of the Companies Act 2006 to exercise all the powers of the Company to allot shares in the Company and to grant rights to subscribe for or to convert any security into such shares (</w:t>
      </w:r>
      <w:r>
        <w:rPr>
          <w:rFonts w:ascii="Arial" w:hAnsi="Arial" w:cs="Arial"/>
          <w:b/>
          <w:bCs/>
          <w:sz w:val="20"/>
          <w:szCs w:val="20"/>
        </w:rPr>
        <w:t>Allotment Rights</w:t>
      </w:r>
      <w:r>
        <w:rPr>
          <w:rFonts w:ascii="Arial" w:hAnsi="Arial" w:cs="Arial"/>
          <w:sz w:val="20"/>
          <w:szCs w:val="20"/>
        </w:rPr>
        <w:t>), but so that:</w:t>
      </w:r>
    </w:p>
    <w:p w14:paraId="2E69781F" w14:textId="30DBB7AB" w:rsidR="006747A6" w:rsidRDefault="006747A6" w:rsidP="001E03E8">
      <w:pPr>
        <w:spacing w:after="120"/>
        <w:jc w:val="both"/>
        <w:rPr>
          <w:rFonts w:ascii="Arial" w:hAnsi="Arial" w:cs="Arial"/>
          <w:sz w:val="20"/>
          <w:szCs w:val="20"/>
        </w:rPr>
      </w:pPr>
      <w:r>
        <w:rPr>
          <w:rFonts w:ascii="Arial" w:hAnsi="Arial" w:cs="Arial"/>
          <w:sz w:val="20"/>
          <w:szCs w:val="20"/>
        </w:rPr>
        <w:tab/>
      </w:r>
    </w:p>
    <w:p w14:paraId="1EEBEF2E" w14:textId="5D71F42B" w:rsidR="006747A6" w:rsidRDefault="006747A6" w:rsidP="001E03E8">
      <w:pPr>
        <w:pStyle w:val="ListParagraph"/>
        <w:numPr>
          <w:ilvl w:val="0"/>
          <w:numId w:val="25"/>
        </w:numPr>
        <w:spacing w:before="0" w:after="120"/>
        <w:jc w:val="both"/>
        <w:rPr>
          <w:rFonts w:ascii="Arial" w:hAnsi="Arial" w:cs="Arial"/>
          <w:sz w:val="20"/>
          <w:szCs w:val="20"/>
        </w:rPr>
      </w:pPr>
      <w:r>
        <w:rPr>
          <w:rFonts w:ascii="Arial" w:hAnsi="Arial" w:cs="Arial"/>
          <w:sz w:val="20"/>
          <w:szCs w:val="20"/>
        </w:rPr>
        <w:t xml:space="preserve">the maximum </w:t>
      </w:r>
      <w:proofErr w:type="gramStart"/>
      <w:r>
        <w:rPr>
          <w:rFonts w:ascii="Arial" w:hAnsi="Arial" w:cs="Arial"/>
          <w:sz w:val="20"/>
          <w:szCs w:val="20"/>
        </w:rPr>
        <w:t>amount</w:t>
      </w:r>
      <w:proofErr w:type="gramEnd"/>
      <w:r>
        <w:rPr>
          <w:rFonts w:ascii="Arial" w:hAnsi="Arial" w:cs="Arial"/>
          <w:sz w:val="20"/>
          <w:szCs w:val="20"/>
        </w:rPr>
        <w:t xml:space="preserve"> of shares that may be allotted or made the subject of Allotment Rights under this authority are shares with an aggregate nominal value of £1,211,417;</w:t>
      </w:r>
    </w:p>
    <w:p w14:paraId="726ED999" w14:textId="58B6E30E" w:rsidR="00E52A43" w:rsidRDefault="00E52A43" w:rsidP="001E03E8">
      <w:pPr>
        <w:pStyle w:val="ListParagraph"/>
        <w:spacing w:before="0" w:after="120"/>
        <w:ind w:left="1080" w:firstLine="0"/>
        <w:jc w:val="both"/>
        <w:rPr>
          <w:rFonts w:ascii="Arial" w:hAnsi="Arial" w:cs="Arial"/>
          <w:sz w:val="20"/>
          <w:szCs w:val="20"/>
        </w:rPr>
      </w:pPr>
    </w:p>
    <w:p w14:paraId="7C373F46" w14:textId="2FD03B83" w:rsidR="006747A6" w:rsidRDefault="006747A6" w:rsidP="001E03E8">
      <w:pPr>
        <w:pStyle w:val="ListParagraph"/>
        <w:numPr>
          <w:ilvl w:val="0"/>
          <w:numId w:val="25"/>
        </w:numPr>
        <w:spacing w:before="0" w:after="120"/>
        <w:jc w:val="both"/>
        <w:rPr>
          <w:rFonts w:ascii="Arial" w:hAnsi="Arial" w:cs="Arial"/>
          <w:sz w:val="20"/>
          <w:szCs w:val="20"/>
        </w:rPr>
      </w:pPr>
      <w:r>
        <w:rPr>
          <w:rFonts w:ascii="Arial" w:hAnsi="Arial" w:cs="Arial"/>
          <w:sz w:val="20"/>
          <w:szCs w:val="20"/>
        </w:rPr>
        <w:t>this authority shall expire at the close of business on 30 September 202</w:t>
      </w:r>
      <w:r w:rsidR="00A030D6">
        <w:rPr>
          <w:rFonts w:ascii="Arial" w:hAnsi="Arial" w:cs="Arial"/>
          <w:sz w:val="20"/>
          <w:szCs w:val="20"/>
        </w:rPr>
        <w:t>4</w:t>
      </w:r>
      <w:r>
        <w:rPr>
          <w:rFonts w:ascii="Arial" w:hAnsi="Arial" w:cs="Arial"/>
          <w:sz w:val="20"/>
          <w:szCs w:val="20"/>
        </w:rPr>
        <w:t xml:space="preserve"> or, if earlier, on the conclusion of the Company’s annual general meeting to be held in </w:t>
      </w:r>
      <w:proofErr w:type="gramStart"/>
      <w:r>
        <w:rPr>
          <w:rFonts w:ascii="Arial" w:hAnsi="Arial" w:cs="Arial"/>
          <w:sz w:val="20"/>
          <w:szCs w:val="20"/>
        </w:rPr>
        <w:t>202</w:t>
      </w:r>
      <w:r w:rsidR="00A030D6">
        <w:rPr>
          <w:rFonts w:ascii="Arial" w:hAnsi="Arial" w:cs="Arial"/>
          <w:sz w:val="20"/>
          <w:szCs w:val="20"/>
        </w:rPr>
        <w:t>4</w:t>
      </w:r>
      <w:r>
        <w:rPr>
          <w:rFonts w:ascii="Arial" w:hAnsi="Arial" w:cs="Arial"/>
          <w:sz w:val="20"/>
          <w:szCs w:val="20"/>
        </w:rPr>
        <w:t>;</w:t>
      </w:r>
      <w:proofErr w:type="gramEnd"/>
    </w:p>
    <w:p w14:paraId="5E5C3C1D" w14:textId="77777777" w:rsidR="00E52A43" w:rsidRPr="00E52A43" w:rsidRDefault="00E52A43" w:rsidP="001E03E8">
      <w:pPr>
        <w:spacing w:after="120"/>
        <w:jc w:val="both"/>
        <w:rPr>
          <w:rFonts w:ascii="Arial" w:hAnsi="Arial" w:cs="Arial"/>
          <w:sz w:val="20"/>
          <w:szCs w:val="20"/>
        </w:rPr>
      </w:pPr>
    </w:p>
    <w:p w14:paraId="04684AC4" w14:textId="73CE9785" w:rsidR="006747A6" w:rsidRDefault="006747A6" w:rsidP="001E03E8">
      <w:pPr>
        <w:pStyle w:val="ListParagraph"/>
        <w:numPr>
          <w:ilvl w:val="0"/>
          <w:numId w:val="25"/>
        </w:numPr>
        <w:spacing w:before="0" w:after="120"/>
        <w:jc w:val="both"/>
        <w:rPr>
          <w:rFonts w:ascii="Arial" w:hAnsi="Arial" w:cs="Arial"/>
          <w:sz w:val="20"/>
          <w:szCs w:val="20"/>
        </w:rPr>
      </w:pPr>
      <w:r>
        <w:rPr>
          <w:rFonts w:ascii="Arial" w:hAnsi="Arial" w:cs="Arial"/>
          <w:sz w:val="20"/>
          <w:szCs w:val="20"/>
        </w:rPr>
        <w:t>the Company may make any offer or agreement before such expiry which would or might require shares to be allotted or Allotment Rights to be granted after such expiry and the directors may allot shares or grant Allotment Rights under any such offer or agreement as if the authority had not expired; an</w:t>
      </w:r>
      <w:r w:rsidR="00E52A43">
        <w:rPr>
          <w:rFonts w:ascii="Arial" w:hAnsi="Arial" w:cs="Arial"/>
          <w:sz w:val="20"/>
          <w:szCs w:val="20"/>
        </w:rPr>
        <w:t>d</w:t>
      </w:r>
    </w:p>
    <w:p w14:paraId="1A0C3EF5" w14:textId="77777777" w:rsidR="00E52A43" w:rsidRPr="00E52A43" w:rsidRDefault="00E52A43" w:rsidP="001E03E8">
      <w:pPr>
        <w:spacing w:after="120"/>
        <w:jc w:val="both"/>
        <w:rPr>
          <w:rFonts w:ascii="Arial" w:hAnsi="Arial" w:cs="Arial"/>
          <w:sz w:val="20"/>
          <w:szCs w:val="20"/>
        </w:rPr>
      </w:pPr>
    </w:p>
    <w:p w14:paraId="792B45F5" w14:textId="520CA101" w:rsidR="006747A6" w:rsidRPr="006747A6" w:rsidRDefault="006747A6" w:rsidP="001E03E8">
      <w:pPr>
        <w:pStyle w:val="ListParagraph"/>
        <w:numPr>
          <w:ilvl w:val="0"/>
          <w:numId w:val="25"/>
        </w:numPr>
        <w:spacing w:before="0" w:after="120"/>
        <w:jc w:val="both"/>
        <w:rPr>
          <w:rFonts w:ascii="Arial" w:hAnsi="Arial" w:cs="Arial"/>
          <w:sz w:val="20"/>
          <w:szCs w:val="20"/>
        </w:rPr>
      </w:pPr>
      <w:r>
        <w:rPr>
          <w:rFonts w:ascii="Arial" w:hAnsi="Arial" w:cs="Arial"/>
          <w:sz w:val="20"/>
          <w:szCs w:val="20"/>
        </w:rPr>
        <w:t>all authorities vested in the directors on the date of the notice of this meeting to allot shares or to grant Allotment Rights that remain unexercised at the commencement of this meeting are revoked.</w:t>
      </w:r>
    </w:p>
    <w:p w14:paraId="70716D40" w14:textId="4A7919E6" w:rsidR="006747A6" w:rsidRPr="006747A6" w:rsidRDefault="006747A6" w:rsidP="001E03E8">
      <w:pPr>
        <w:spacing w:after="120"/>
        <w:jc w:val="both"/>
        <w:rPr>
          <w:rFonts w:ascii="Arial" w:hAnsi="Arial" w:cs="Arial"/>
          <w:b/>
          <w:bCs/>
          <w:sz w:val="20"/>
          <w:szCs w:val="20"/>
        </w:rPr>
      </w:pPr>
    </w:p>
    <w:p w14:paraId="5E902160" w14:textId="507FAB7B" w:rsidR="006747A6" w:rsidRPr="006747A6" w:rsidRDefault="006747A6" w:rsidP="001E03E8">
      <w:pPr>
        <w:spacing w:after="120"/>
        <w:jc w:val="both"/>
        <w:rPr>
          <w:rFonts w:ascii="Arial" w:hAnsi="Arial" w:cs="Arial"/>
          <w:b/>
          <w:bCs/>
          <w:sz w:val="20"/>
          <w:szCs w:val="20"/>
        </w:rPr>
      </w:pPr>
      <w:r w:rsidRPr="006747A6">
        <w:rPr>
          <w:rFonts w:ascii="Arial" w:hAnsi="Arial" w:cs="Arial"/>
          <w:b/>
          <w:bCs/>
          <w:sz w:val="20"/>
          <w:szCs w:val="20"/>
        </w:rPr>
        <w:t>SPECIAL RESOLUTIONS</w:t>
      </w:r>
    </w:p>
    <w:p w14:paraId="4CE27695" w14:textId="26EC175C" w:rsidR="006747A6" w:rsidRPr="006747A6" w:rsidRDefault="006747A6" w:rsidP="001E03E8">
      <w:pPr>
        <w:spacing w:after="120"/>
        <w:jc w:val="both"/>
        <w:rPr>
          <w:rFonts w:ascii="Arial" w:hAnsi="Arial" w:cs="Arial"/>
          <w:b/>
          <w:bCs/>
          <w:sz w:val="20"/>
          <w:szCs w:val="20"/>
        </w:rPr>
      </w:pPr>
    </w:p>
    <w:p w14:paraId="4A48E71C" w14:textId="0567DC70" w:rsidR="006747A6" w:rsidRDefault="004F7D08" w:rsidP="001E03E8">
      <w:pPr>
        <w:spacing w:after="120"/>
        <w:ind w:left="720" w:hanging="720"/>
        <w:jc w:val="both"/>
        <w:rPr>
          <w:rFonts w:ascii="Arial" w:hAnsi="Arial" w:cs="Arial"/>
          <w:sz w:val="20"/>
          <w:szCs w:val="20"/>
        </w:rPr>
      </w:pPr>
      <w:r>
        <w:rPr>
          <w:rFonts w:ascii="Arial" w:hAnsi="Arial" w:cs="Arial"/>
          <w:sz w:val="20"/>
          <w:szCs w:val="20"/>
        </w:rPr>
        <w:t>1</w:t>
      </w:r>
      <w:r w:rsidR="00A030D6">
        <w:rPr>
          <w:rFonts w:ascii="Arial" w:hAnsi="Arial" w:cs="Arial"/>
          <w:sz w:val="20"/>
          <w:szCs w:val="20"/>
        </w:rPr>
        <w:t>1</w:t>
      </w:r>
      <w:r>
        <w:rPr>
          <w:rFonts w:ascii="Arial" w:hAnsi="Arial" w:cs="Arial"/>
          <w:sz w:val="20"/>
          <w:szCs w:val="20"/>
        </w:rPr>
        <w:tab/>
        <w:t>That, subject to the passing of resolution 1</w:t>
      </w:r>
      <w:r w:rsidR="00A030D6">
        <w:rPr>
          <w:rFonts w:ascii="Arial" w:hAnsi="Arial" w:cs="Arial"/>
          <w:sz w:val="20"/>
          <w:szCs w:val="20"/>
        </w:rPr>
        <w:t>0</w:t>
      </w:r>
      <w:r>
        <w:rPr>
          <w:rFonts w:ascii="Arial" w:hAnsi="Arial" w:cs="Arial"/>
          <w:sz w:val="20"/>
          <w:szCs w:val="20"/>
        </w:rPr>
        <w:t xml:space="preserve"> in the notice of </w:t>
      </w:r>
      <w:r w:rsidR="000B2961">
        <w:rPr>
          <w:rFonts w:ascii="Arial" w:hAnsi="Arial" w:cs="Arial"/>
          <w:sz w:val="20"/>
          <w:szCs w:val="20"/>
        </w:rPr>
        <w:t xml:space="preserve">this </w:t>
      </w:r>
      <w:r>
        <w:rPr>
          <w:rFonts w:ascii="Arial" w:hAnsi="Arial" w:cs="Arial"/>
          <w:sz w:val="20"/>
          <w:szCs w:val="20"/>
        </w:rPr>
        <w:t>meeting, the directors are empowered pursuant to sections 570 and 573 of the Companies Act 2006 to allot equity securities (as defined in section 560 of that Act) for cash, pursuant to the authority conferred on them by resolution 1</w:t>
      </w:r>
      <w:r w:rsidR="00A030D6">
        <w:rPr>
          <w:rFonts w:ascii="Arial" w:hAnsi="Arial" w:cs="Arial"/>
          <w:sz w:val="20"/>
          <w:szCs w:val="20"/>
        </w:rPr>
        <w:t>0</w:t>
      </w:r>
      <w:r>
        <w:rPr>
          <w:rFonts w:ascii="Arial" w:hAnsi="Arial" w:cs="Arial"/>
          <w:sz w:val="20"/>
          <w:szCs w:val="20"/>
        </w:rPr>
        <w:t xml:space="preserve"> in the notice of this meeting or by way of a sale of treasury shares as if section 561 of that Act did not apply to any such allotment, providing that this power is limited to:</w:t>
      </w:r>
    </w:p>
    <w:p w14:paraId="7F840B12" w14:textId="07A99D4A" w:rsidR="0035530E" w:rsidRDefault="0035530E" w:rsidP="001E03E8">
      <w:pPr>
        <w:spacing w:after="120"/>
        <w:ind w:left="720" w:hanging="720"/>
        <w:jc w:val="both"/>
        <w:rPr>
          <w:rFonts w:ascii="Arial" w:hAnsi="Arial" w:cs="Arial"/>
          <w:sz w:val="20"/>
          <w:szCs w:val="20"/>
        </w:rPr>
      </w:pPr>
    </w:p>
    <w:p w14:paraId="1628CB9A" w14:textId="52A62094" w:rsidR="0035530E" w:rsidRDefault="0035530E" w:rsidP="0025683C">
      <w:pPr>
        <w:pStyle w:val="ListParagraph"/>
        <w:numPr>
          <w:ilvl w:val="0"/>
          <w:numId w:val="27"/>
        </w:numPr>
        <w:spacing w:before="0" w:after="120"/>
        <w:ind w:right="4"/>
        <w:jc w:val="both"/>
        <w:rPr>
          <w:rFonts w:ascii="Arial" w:hAnsi="Arial" w:cs="Arial"/>
          <w:sz w:val="20"/>
          <w:szCs w:val="20"/>
        </w:rPr>
      </w:pPr>
      <w:r w:rsidRPr="0035530E">
        <w:rPr>
          <w:rFonts w:ascii="Arial" w:hAnsi="Arial" w:cs="Arial"/>
          <w:sz w:val="20"/>
          <w:szCs w:val="20"/>
        </w:rPr>
        <w:t xml:space="preserve">the allotment of equity securities in connection with any rights issue or open offer (each as referred to in the Financial Conduct Authority’s listing rules) or any other pre-emptive offer that is open for acceptance for a period determined by the directors to the holders of ordinary shares on the register on any fixed record date in proportion to their holdings of ordinary shares (and, if applicable, to the holders of any other class of equity security in accordance with the rights attached to such class), subject in each case to such exclusions or other arrangements as the directors may deem necessary or appropriate in relation to fractions of such securities, the use of more than one currency for making payments in respect of such offer, any such shares or </w:t>
      </w:r>
      <w:r w:rsidRPr="0035530E">
        <w:rPr>
          <w:rFonts w:ascii="Arial" w:hAnsi="Arial" w:cs="Arial"/>
          <w:sz w:val="20"/>
          <w:szCs w:val="20"/>
        </w:rPr>
        <w:lastRenderedPageBreak/>
        <w:t>other securities being represented by depositary receipts, treasury shares, any legal or practical problems in relation to any territory or the requirements of any regulatory body or any stock exchange; and</w:t>
      </w:r>
    </w:p>
    <w:p w14:paraId="7980E899" w14:textId="77777777" w:rsidR="00E52A43" w:rsidRDefault="00E52A43" w:rsidP="001E03E8">
      <w:pPr>
        <w:pStyle w:val="ListParagraph"/>
        <w:spacing w:before="0" w:after="120"/>
        <w:ind w:left="1080" w:right="475" w:firstLine="0"/>
        <w:jc w:val="both"/>
        <w:rPr>
          <w:rFonts w:ascii="Arial" w:hAnsi="Arial" w:cs="Arial"/>
          <w:sz w:val="20"/>
          <w:szCs w:val="20"/>
        </w:rPr>
      </w:pPr>
    </w:p>
    <w:p w14:paraId="55806EE5" w14:textId="146B4740" w:rsidR="0035530E" w:rsidRDefault="00E52A43" w:rsidP="0025683C">
      <w:pPr>
        <w:pStyle w:val="ListParagraph"/>
        <w:numPr>
          <w:ilvl w:val="0"/>
          <w:numId w:val="27"/>
        </w:numPr>
        <w:spacing w:before="0" w:after="120"/>
        <w:ind w:right="4"/>
        <w:jc w:val="both"/>
        <w:rPr>
          <w:rFonts w:ascii="Arial" w:hAnsi="Arial" w:cs="Arial"/>
          <w:sz w:val="20"/>
          <w:szCs w:val="20"/>
        </w:rPr>
      </w:pPr>
      <w:r>
        <w:rPr>
          <w:rFonts w:ascii="Arial" w:hAnsi="Arial" w:cs="Arial"/>
          <w:sz w:val="20"/>
          <w:szCs w:val="20"/>
        </w:rPr>
        <w:t>t</w:t>
      </w:r>
      <w:r w:rsidR="0035530E">
        <w:rPr>
          <w:rFonts w:ascii="Arial" w:hAnsi="Arial" w:cs="Arial"/>
          <w:sz w:val="20"/>
          <w:szCs w:val="20"/>
        </w:rPr>
        <w:t>he allotment of equity securities (other than pursuant to paragraph 12(a) above) with an aggregate nominal value of £183,548,</w:t>
      </w:r>
    </w:p>
    <w:p w14:paraId="574F5FD3" w14:textId="77777777" w:rsidR="0035530E" w:rsidRPr="0035530E" w:rsidRDefault="0035530E" w:rsidP="001E03E8">
      <w:pPr>
        <w:pStyle w:val="ListParagraph"/>
        <w:spacing w:before="0" w:after="120"/>
        <w:jc w:val="both"/>
        <w:rPr>
          <w:rFonts w:ascii="Arial" w:hAnsi="Arial" w:cs="Arial"/>
          <w:sz w:val="20"/>
          <w:szCs w:val="20"/>
        </w:rPr>
      </w:pPr>
    </w:p>
    <w:p w14:paraId="7D30E1B2" w14:textId="5314BC7D" w:rsidR="0035530E" w:rsidRPr="0035530E" w:rsidRDefault="0035530E" w:rsidP="0025683C">
      <w:pPr>
        <w:spacing w:after="120"/>
        <w:ind w:left="680" w:right="4"/>
        <w:jc w:val="both"/>
        <w:rPr>
          <w:rFonts w:ascii="Arial" w:hAnsi="Arial" w:cs="Arial"/>
          <w:sz w:val="20"/>
          <w:szCs w:val="20"/>
        </w:rPr>
      </w:pPr>
      <w:r>
        <w:rPr>
          <w:rFonts w:ascii="Arial" w:hAnsi="Arial" w:cs="Arial"/>
          <w:sz w:val="20"/>
          <w:szCs w:val="20"/>
        </w:rPr>
        <w:t>and shall expire on the revocation or expiry (unless renewed) of the authority conferred on the directors by resolution 1</w:t>
      </w:r>
      <w:r w:rsidR="00A030D6">
        <w:rPr>
          <w:rFonts w:ascii="Arial" w:hAnsi="Arial" w:cs="Arial"/>
          <w:sz w:val="20"/>
          <w:szCs w:val="20"/>
        </w:rPr>
        <w:t xml:space="preserve">0 </w:t>
      </w:r>
      <w:r>
        <w:rPr>
          <w:rFonts w:ascii="Arial" w:hAnsi="Arial" w:cs="Arial"/>
          <w:sz w:val="20"/>
          <w:szCs w:val="20"/>
        </w:rPr>
        <w:t xml:space="preserve">in the notice of this meeting, save that, before the expiry of this power, the Company may make any offer or agreement which would or might require equity securities to be allotted after such expiry and the directors may allot equity securities under any such offer or agreement as if the power had not expired. </w:t>
      </w:r>
    </w:p>
    <w:p w14:paraId="7B043D33" w14:textId="6CACC543" w:rsidR="004F7D08" w:rsidRDefault="004F7D08" w:rsidP="001E03E8">
      <w:pPr>
        <w:spacing w:after="120"/>
        <w:jc w:val="both"/>
        <w:rPr>
          <w:rFonts w:ascii="Arial" w:hAnsi="Arial" w:cs="Arial"/>
          <w:b/>
          <w:bCs/>
          <w:sz w:val="20"/>
          <w:szCs w:val="20"/>
        </w:rPr>
      </w:pPr>
    </w:p>
    <w:p w14:paraId="3348A4FE" w14:textId="758D113A" w:rsidR="004F7D08" w:rsidRDefault="00E52A43" w:rsidP="001E03E8">
      <w:pPr>
        <w:spacing w:after="120"/>
        <w:ind w:left="680" w:hanging="680"/>
        <w:jc w:val="both"/>
        <w:rPr>
          <w:rFonts w:ascii="Arial" w:hAnsi="Arial" w:cs="Arial"/>
          <w:sz w:val="20"/>
          <w:szCs w:val="20"/>
        </w:rPr>
      </w:pPr>
      <w:r>
        <w:rPr>
          <w:rFonts w:ascii="Arial" w:hAnsi="Arial" w:cs="Arial"/>
          <w:sz w:val="20"/>
          <w:szCs w:val="20"/>
        </w:rPr>
        <w:t>1</w:t>
      </w:r>
      <w:r w:rsidR="00A030D6">
        <w:rPr>
          <w:rFonts w:ascii="Arial" w:hAnsi="Arial" w:cs="Arial"/>
          <w:sz w:val="20"/>
          <w:szCs w:val="20"/>
        </w:rPr>
        <w:t>2</w:t>
      </w:r>
      <w:r>
        <w:rPr>
          <w:rFonts w:ascii="Arial" w:hAnsi="Arial" w:cs="Arial"/>
          <w:sz w:val="20"/>
          <w:szCs w:val="20"/>
        </w:rPr>
        <w:tab/>
        <w:t>That the Company is generally and unconditionally authorised pursuant to section 701 of the Companies Act 2006 to make market purchases (as defined in section 693 of that Act) of its ordinary shares, provided that:</w:t>
      </w:r>
    </w:p>
    <w:p w14:paraId="428338F6" w14:textId="3F2CFBA6" w:rsidR="00E52A43" w:rsidRDefault="00E52A43" w:rsidP="001E03E8">
      <w:pPr>
        <w:spacing w:after="120"/>
        <w:ind w:left="680" w:hanging="680"/>
        <w:jc w:val="both"/>
        <w:rPr>
          <w:rFonts w:ascii="Arial" w:hAnsi="Arial" w:cs="Arial"/>
          <w:sz w:val="20"/>
          <w:szCs w:val="20"/>
        </w:rPr>
      </w:pPr>
    </w:p>
    <w:p w14:paraId="3BBEF7AE" w14:textId="328E9ACD" w:rsidR="00E52A43" w:rsidRDefault="00E52A43" w:rsidP="001E03E8">
      <w:pPr>
        <w:pStyle w:val="ListParagraph"/>
        <w:numPr>
          <w:ilvl w:val="0"/>
          <w:numId w:val="31"/>
        </w:numPr>
        <w:spacing w:before="0" w:after="120"/>
        <w:jc w:val="both"/>
        <w:rPr>
          <w:rFonts w:ascii="Arial" w:hAnsi="Arial" w:cs="Arial"/>
          <w:sz w:val="20"/>
          <w:szCs w:val="20"/>
        </w:rPr>
      </w:pPr>
      <w:r>
        <w:rPr>
          <w:rFonts w:ascii="Arial" w:hAnsi="Arial" w:cs="Arial"/>
          <w:sz w:val="20"/>
          <w:szCs w:val="20"/>
        </w:rPr>
        <w:t xml:space="preserve">the maximum aggregate number of such shares that may be acquired under this authority is </w:t>
      </w:r>
      <w:proofErr w:type="gramStart"/>
      <w:r>
        <w:rPr>
          <w:rFonts w:ascii="Arial" w:hAnsi="Arial" w:cs="Arial"/>
          <w:sz w:val="20"/>
          <w:szCs w:val="20"/>
        </w:rPr>
        <w:t>7,341,919;</w:t>
      </w:r>
      <w:proofErr w:type="gramEnd"/>
    </w:p>
    <w:p w14:paraId="23D57DF2" w14:textId="77777777" w:rsidR="00E52A43" w:rsidRDefault="00E52A43" w:rsidP="001E03E8">
      <w:pPr>
        <w:pStyle w:val="ListParagraph"/>
        <w:spacing w:before="0" w:after="120"/>
        <w:ind w:left="1035" w:firstLine="0"/>
        <w:jc w:val="both"/>
        <w:rPr>
          <w:rFonts w:ascii="Arial" w:hAnsi="Arial" w:cs="Arial"/>
          <w:sz w:val="20"/>
          <w:szCs w:val="20"/>
        </w:rPr>
      </w:pPr>
    </w:p>
    <w:p w14:paraId="758A5B12" w14:textId="504D6DBA" w:rsidR="00E52A43" w:rsidRDefault="00E52A43" w:rsidP="001E03E8">
      <w:pPr>
        <w:pStyle w:val="ListParagraph"/>
        <w:numPr>
          <w:ilvl w:val="0"/>
          <w:numId w:val="31"/>
        </w:numPr>
        <w:spacing w:before="0" w:after="120"/>
        <w:jc w:val="both"/>
        <w:rPr>
          <w:rFonts w:ascii="Arial" w:hAnsi="Arial" w:cs="Arial"/>
          <w:sz w:val="20"/>
          <w:szCs w:val="20"/>
        </w:rPr>
      </w:pPr>
      <w:r>
        <w:rPr>
          <w:rFonts w:ascii="Arial" w:hAnsi="Arial" w:cs="Arial"/>
          <w:sz w:val="20"/>
          <w:szCs w:val="20"/>
        </w:rPr>
        <w:t xml:space="preserve">the minimum price (exclusive of expenses) which may be paid for such a share is its nominal </w:t>
      </w:r>
      <w:proofErr w:type="gramStart"/>
      <w:r>
        <w:rPr>
          <w:rFonts w:ascii="Arial" w:hAnsi="Arial" w:cs="Arial"/>
          <w:sz w:val="20"/>
          <w:szCs w:val="20"/>
        </w:rPr>
        <w:t>value;</w:t>
      </w:r>
      <w:proofErr w:type="gramEnd"/>
    </w:p>
    <w:p w14:paraId="457756FB" w14:textId="77777777" w:rsidR="00E52A43" w:rsidRPr="00E52A43" w:rsidRDefault="00E52A43" w:rsidP="001E03E8">
      <w:pPr>
        <w:spacing w:after="120"/>
        <w:jc w:val="both"/>
        <w:rPr>
          <w:rFonts w:ascii="Arial" w:hAnsi="Arial" w:cs="Arial"/>
          <w:sz w:val="20"/>
          <w:szCs w:val="20"/>
        </w:rPr>
      </w:pPr>
    </w:p>
    <w:p w14:paraId="36D96998" w14:textId="5936ED50" w:rsidR="00E52A43" w:rsidRDefault="00E52A43" w:rsidP="001E03E8">
      <w:pPr>
        <w:pStyle w:val="ListParagraph"/>
        <w:numPr>
          <w:ilvl w:val="0"/>
          <w:numId w:val="31"/>
        </w:numPr>
        <w:spacing w:before="0" w:after="120"/>
        <w:jc w:val="both"/>
        <w:rPr>
          <w:rFonts w:ascii="Arial" w:hAnsi="Arial" w:cs="Arial"/>
          <w:sz w:val="20"/>
          <w:szCs w:val="20"/>
        </w:rPr>
      </w:pPr>
      <w:r>
        <w:rPr>
          <w:rFonts w:ascii="Arial" w:hAnsi="Arial" w:cs="Arial"/>
          <w:sz w:val="20"/>
          <w:szCs w:val="20"/>
        </w:rPr>
        <w:t>the maximum price (exclusive of expenses) which may be paid for such a share is the maximum price permitted under the Financial Conduct Authority’s listing rules or, in the case of a tender offer (as referred to in those rules), five per cent</w:t>
      </w:r>
      <w:r w:rsidR="0025683C">
        <w:rPr>
          <w:rFonts w:ascii="Arial" w:hAnsi="Arial" w:cs="Arial"/>
          <w:sz w:val="20"/>
          <w:szCs w:val="20"/>
        </w:rPr>
        <w:t>.</w:t>
      </w:r>
      <w:r>
        <w:rPr>
          <w:rFonts w:ascii="Arial" w:hAnsi="Arial" w:cs="Arial"/>
          <w:sz w:val="20"/>
          <w:szCs w:val="20"/>
        </w:rPr>
        <w:t xml:space="preserve"> above the average of the middle market quotations for an ordinary share (as derived from the London Stock Exchange’s Daily Official List) for the five business days immediately preceding the date on which the terms of the tender offer are </w:t>
      </w:r>
      <w:proofErr w:type="gramStart"/>
      <w:r>
        <w:rPr>
          <w:rFonts w:ascii="Arial" w:hAnsi="Arial" w:cs="Arial"/>
          <w:sz w:val="20"/>
          <w:szCs w:val="20"/>
        </w:rPr>
        <w:t>announced;</w:t>
      </w:r>
      <w:proofErr w:type="gramEnd"/>
    </w:p>
    <w:p w14:paraId="76211BBB" w14:textId="599EF6F3" w:rsidR="00E52A43" w:rsidRPr="00E52A43" w:rsidRDefault="00E52A43" w:rsidP="001E03E8">
      <w:pPr>
        <w:spacing w:after="120"/>
        <w:jc w:val="both"/>
        <w:rPr>
          <w:rFonts w:ascii="Arial" w:hAnsi="Arial" w:cs="Arial"/>
          <w:sz w:val="20"/>
          <w:szCs w:val="20"/>
        </w:rPr>
      </w:pPr>
    </w:p>
    <w:p w14:paraId="3CDBE7E5" w14:textId="2CAAB82D" w:rsidR="00E52A43" w:rsidRDefault="00E52A43" w:rsidP="001E03E8">
      <w:pPr>
        <w:pStyle w:val="ListParagraph"/>
        <w:numPr>
          <w:ilvl w:val="0"/>
          <w:numId w:val="31"/>
        </w:numPr>
        <w:spacing w:before="0" w:after="120"/>
        <w:jc w:val="both"/>
        <w:rPr>
          <w:rFonts w:ascii="Arial" w:hAnsi="Arial" w:cs="Arial"/>
          <w:sz w:val="20"/>
          <w:szCs w:val="20"/>
        </w:rPr>
      </w:pPr>
      <w:r>
        <w:rPr>
          <w:rFonts w:ascii="Arial" w:hAnsi="Arial" w:cs="Arial"/>
          <w:sz w:val="20"/>
          <w:szCs w:val="20"/>
        </w:rPr>
        <w:t>this authority shall expire at the close of business on 30 September 202</w:t>
      </w:r>
      <w:r w:rsidR="00A030D6">
        <w:rPr>
          <w:rFonts w:ascii="Arial" w:hAnsi="Arial" w:cs="Arial"/>
          <w:sz w:val="20"/>
          <w:szCs w:val="20"/>
        </w:rPr>
        <w:t>4</w:t>
      </w:r>
      <w:r>
        <w:rPr>
          <w:rFonts w:ascii="Arial" w:hAnsi="Arial" w:cs="Arial"/>
          <w:sz w:val="20"/>
          <w:szCs w:val="20"/>
        </w:rPr>
        <w:t xml:space="preserve"> or, if earlier, on the conclusion of the Company’s annual general meeting to be held in 202</w:t>
      </w:r>
      <w:r w:rsidR="00A030D6">
        <w:rPr>
          <w:rFonts w:ascii="Arial" w:hAnsi="Arial" w:cs="Arial"/>
          <w:sz w:val="20"/>
          <w:szCs w:val="20"/>
        </w:rPr>
        <w:t>4</w:t>
      </w:r>
      <w:r>
        <w:rPr>
          <w:rFonts w:ascii="Arial" w:hAnsi="Arial" w:cs="Arial"/>
          <w:sz w:val="20"/>
          <w:szCs w:val="20"/>
        </w:rPr>
        <w:t>; and</w:t>
      </w:r>
    </w:p>
    <w:p w14:paraId="5D99D900" w14:textId="77777777" w:rsidR="00E52A43" w:rsidRPr="00E52A43" w:rsidRDefault="00E52A43" w:rsidP="001E03E8">
      <w:pPr>
        <w:spacing w:after="120"/>
        <w:jc w:val="both"/>
        <w:rPr>
          <w:rFonts w:ascii="Arial" w:hAnsi="Arial" w:cs="Arial"/>
          <w:sz w:val="20"/>
          <w:szCs w:val="20"/>
        </w:rPr>
      </w:pPr>
    </w:p>
    <w:p w14:paraId="7A0118A4" w14:textId="7BDED876" w:rsidR="00E52A43" w:rsidRPr="00E52A43" w:rsidRDefault="00E52A43" w:rsidP="001E03E8">
      <w:pPr>
        <w:pStyle w:val="ListParagraph"/>
        <w:numPr>
          <w:ilvl w:val="0"/>
          <w:numId w:val="31"/>
        </w:numPr>
        <w:spacing w:before="0" w:after="120"/>
        <w:jc w:val="both"/>
        <w:rPr>
          <w:rFonts w:ascii="Arial" w:hAnsi="Arial" w:cs="Arial"/>
          <w:sz w:val="20"/>
          <w:szCs w:val="20"/>
        </w:rPr>
      </w:pPr>
      <w:r>
        <w:rPr>
          <w:rFonts w:ascii="Arial" w:hAnsi="Arial" w:cs="Arial"/>
          <w:sz w:val="20"/>
          <w:szCs w:val="20"/>
        </w:rPr>
        <w:t xml:space="preserve">before such expiry the Company may </w:t>
      </w:r>
      <w:proofErr w:type="gramStart"/>
      <w:r>
        <w:rPr>
          <w:rFonts w:ascii="Arial" w:hAnsi="Arial" w:cs="Arial"/>
          <w:sz w:val="20"/>
          <w:szCs w:val="20"/>
        </w:rPr>
        <w:t>enter into</w:t>
      </w:r>
      <w:proofErr w:type="gramEnd"/>
      <w:r>
        <w:rPr>
          <w:rFonts w:ascii="Arial" w:hAnsi="Arial" w:cs="Arial"/>
          <w:sz w:val="20"/>
          <w:szCs w:val="20"/>
        </w:rPr>
        <w:t xml:space="preserve"> a contract to purchase shares that would or might require a purchase to be completed after such expiry and the Company may purchase shares pursuant to any such contract as if the authority had not expired.</w:t>
      </w:r>
    </w:p>
    <w:p w14:paraId="6039211B" w14:textId="4BC3A967" w:rsidR="00E52A43" w:rsidRDefault="00E52A43" w:rsidP="001E03E8">
      <w:pPr>
        <w:pStyle w:val="ListParagraph"/>
        <w:spacing w:before="0" w:after="120"/>
        <w:ind w:left="1080" w:firstLine="0"/>
        <w:jc w:val="both"/>
        <w:rPr>
          <w:rFonts w:ascii="Arial" w:hAnsi="Arial" w:cs="Arial"/>
          <w:sz w:val="20"/>
          <w:szCs w:val="20"/>
        </w:rPr>
      </w:pPr>
    </w:p>
    <w:p w14:paraId="04F0AEE9" w14:textId="3DAD52B9" w:rsidR="00E52A43" w:rsidRPr="00CD055F" w:rsidRDefault="00E52A43" w:rsidP="00CD055F">
      <w:pPr>
        <w:pStyle w:val="ListParagraph"/>
        <w:spacing w:before="0" w:after="120"/>
        <w:ind w:left="675" w:hanging="675"/>
        <w:jc w:val="both"/>
        <w:rPr>
          <w:rFonts w:ascii="Arial" w:hAnsi="Arial" w:cs="Arial"/>
          <w:sz w:val="20"/>
          <w:szCs w:val="20"/>
        </w:rPr>
      </w:pPr>
      <w:r>
        <w:rPr>
          <w:rFonts w:ascii="Arial" w:hAnsi="Arial" w:cs="Arial"/>
          <w:sz w:val="20"/>
          <w:szCs w:val="20"/>
        </w:rPr>
        <w:t>1</w:t>
      </w:r>
      <w:r w:rsidR="00A030D6">
        <w:rPr>
          <w:rFonts w:ascii="Arial" w:hAnsi="Arial" w:cs="Arial"/>
          <w:sz w:val="20"/>
          <w:szCs w:val="20"/>
        </w:rPr>
        <w:t>3</w:t>
      </w:r>
      <w:r>
        <w:rPr>
          <w:rFonts w:ascii="Arial" w:hAnsi="Arial" w:cs="Arial"/>
          <w:sz w:val="20"/>
          <w:szCs w:val="20"/>
        </w:rPr>
        <w:tab/>
        <w:t xml:space="preserve">That any general </w:t>
      </w:r>
      <w:proofErr w:type="gramStart"/>
      <w:r>
        <w:rPr>
          <w:rFonts w:ascii="Arial" w:hAnsi="Arial" w:cs="Arial"/>
          <w:sz w:val="20"/>
          <w:szCs w:val="20"/>
        </w:rPr>
        <w:t>meeting</w:t>
      </w:r>
      <w:proofErr w:type="gramEnd"/>
      <w:r>
        <w:rPr>
          <w:rFonts w:ascii="Arial" w:hAnsi="Arial" w:cs="Arial"/>
          <w:sz w:val="20"/>
          <w:szCs w:val="20"/>
        </w:rPr>
        <w:t xml:space="preserve"> of the Company that is not an annual general meeting may be called by not less than 14 clear days’ notice.</w:t>
      </w:r>
    </w:p>
    <w:p w14:paraId="74DAD643" w14:textId="3D4B503C" w:rsidR="006747A6" w:rsidRDefault="006747A6" w:rsidP="001E03E8">
      <w:pPr>
        <w:spacing w:after="120"/>
        <w:rPr>
          <w:rFonts w:ascii="Arial" w:hAnsi="Arial" w:cs="Arial"/>
          <w:b/>
          <w:bCs/>
          <w:sz w:val="20"/>
          <w:szCs w:val="20"/>
        </w:rPr>
      </w:pPr>
    </w:p>
    <w:p w14:paraId="5171530E" w14:textId="3364CFA5" w:rsidR="0022592C" w:rsidRPr="006747A6" w:rsidRDefault="006F154A" w:rsidP="001E03E8">
      <w:pPr>
        <w:spacing w:after="120"/>
        <w:rPr>
          <w:rFonts w:ascii="Arial" w:hAnsi="Arial" w:cs="Arial"/>
          <w:b/>
          <w:bCs/>
          <w:sz w:val="20"/>
          <w:szCs w:val="20"/>
        </w:rPr>
      </w:pPr>
      <w:r>
        <w:rPr>
          <w:rFonts w:ascii="Arial" w:hAnsi="Arial" w:cs="Arial"/>
          <w:b/>
          <w:bCs/>
          <w:noProof/>
          <w:sz w:val="20"/>
          <w:szCs w:val="20"/>
        </w:rPr>
        <w:drawing>
          <wp:inline distT="0" distB="0" distL="0" distR="0" wp14:anchorId="3D7EC056" wp14:editId="03C7DA92">
            <wp:extent cx="2115649" cy="567111"/>
            <wp:effectExtent l="0" t="0" r="0" b="4445"/>
            <wp:docPr id="1" name="Picture 1" descr="A black and white drawing of a spo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drawing of a spoo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53308" cy="577206"/>
                    </a:xfrm>
                    <a:prstGeom prst="rect">
                      <a:avLst/>
                    </a:prstGeom>
                  </pic:spPr>
                </pic:pic>
              </a:graphicData>
            </a:graphic>
          </wp:inline>
        </w:drawing>
      </w:r>
    </w:p>
    <w:p w14:paraId="5D45AC66" w14:textId="77777777" w:rsidR="006747A6" w:rsidRPr="006747A6" w:rsidRDefault="006747A6" w:rsidP="001E03E8">
      <w:pPr>
        <w:spacing w:after="120"/>
        <w:rPr>
          <w:rFonts w:ascii="Arial" w:hAnsi="Arial" w:cs="Arial"/>
          <w:sz w:val="20"/>
          <w:szCs w:val="20"/>
        </w:rPr>
      </w:pPr>
      <w:r w:rsidRPr="006747A6">
        <w:rPr>
          <w:rFonts w:ascii="Arial" w:hAnsi="Arial" w:cs="Arial"/>
          <w:sz w:val="20"/>
          <w:szCs w:val="20"/>
        </w:rPr>
        <w:t>……………………………..</w:t>
      </w:r>
    </w:p>
    <w:p w14:paraId="54F3B765" w14:textId="7D442F3A" w:rsidR="006747A6" w:rsidRPr="006747A6" w:rsidRDefault="00A030D6" w:rsidP="0022592C">
      <w:pPr>
        <w:rPr>
          <w:rFonts w:ascii="Arial" w:hAnsi="Arial" w:cs="Arial"/>
          <w:sz w:val="20"/>
          <w:szCs w:val="20"/>
        </w:rPr>
      </w:pPr>
      <w:r>
        <w:rPr>
          <w:rFonts w:ascii="Arial" w:hAnsi="Arial" w:cs="Arial"/>
          <w:sz w:val="20"/>
          <w:szCs w:val="20"/>
        </w:rPr>
        <w:t>Frank Doorenbosch</w:t>
      </w:r>
    </w:p>
    <w:p w14:paraId="55F4E374" w14:textId="322602A5" w:rsidR="006747A6" w:rsidRPr="006747A6" w:rsidRDefault="00A030D6" w:rsidP="001E03E8">
      <w:pPr>
        <w:spacing w:after="120"/>
        <w:rPr>
          <w:b/>
          <w:bCs/>
        </w:rPr>
      </w:pPr>
      <w:r>
        <w:rPr>
          <w:rFonts w:ascii="Arial" w:hAnsi="Arial" w:cs="Arial"/>
          <w:sz w:val="20"/>
          <w:szCs w:val="20"/>
        </w:rPr>
        <w:t>Director</w:t>
      </w:r>
    </w:p>
    <w:sectPr w:rsidR="006747A6" w:rsidRPr="006747A6" w:rsidSect="00CD055F">
      <w:pgSz w:w="12240" w:h="15840"/>
      <w:pgMar w:top="1134"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5616D"/>
    <w:multiLevelType w:val="hybridMultilevel"/>
    <w:tmpl w:val="BC48AFE4"/>
    <w:lvl w:ilvl="0" w:tplc="D55E337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9C740D2"/>
    <w:multiLevelType w:val="hybridMultilevel"/>
    <w:tmpl w:val="E014E8BA"/>
    <w:lvl w:ilvl="0" w:tplc="9496CAB8">
      <w:start w:val="1"/>
      <w:numFmt w:val="decimal"/>
      <w:lvlText w:val="%1"/>
      <w:lvlJc w:val="left"/>
      <w:pPr>
        <w:ind w:left="397" w:hanging="284"/>
      </w:pPr>
      <w:rPr>
        <w:rFonts w:ascii="Calibri" w:eastAsia="Calibri" w:hAnsi="Calibri" w:cs="Calibri" w:hint="default"/>
        <w:b w:val="0"/>
        <w:bCs w:val="0"/>
        <w:i w:val="0"/>
        <w:iCs w:val="0"/>
        <w:color w:val="58595B"/>
        <w:w w:val="98"/>
        <w:sz w:val="16"/>
        <w:szCs w:val="16"/>
        <w:lang w:val="en-GB" w:eastAsia="en-US" w:bidi="ar-SA"/>
      </w:rPr>
    </w:lvl>
    <w:lvl w:ilvl="1" w:tplc="E730B456">
      <w:start w:val="1"/>
      <w:numFmt w:val="lowerLetter"/>
      <w:lvlText w:val="(%2)"/>
      <w:lvlJc w:val="left"/>
      <w:pPr>
        <w:ind w:left="680" w:hanging="284"/>
      </w:pPr>
      <w:rPr>
        <w:rFonts w:ascii="Arial" w:eastAsiaTheme="minorHAnsi" w:hAnsi="Arial" w:cs="Arial"/>
        <w:b w:val="0"/>
        <w:bCs w:val="0"/>
        <w:i w:val="0"/>
        <w:iCs w:val="0"/>
        <w:color w:val="58595B"/>
        <w:spacing w:val="-7"/>
        <w:w w:val="107"/>
        <w:sz w:val="16"/>
        <w:szCs w:val="16"/>
        <w:lang w:val="en-GB" w:eastAsia="en-US" w:bidi="ar-SA"/>
      </w:rPr>
    </w:lvl>
    <w:lvl w:ilvl="2" w:tplc="112C1244">
      <w:numFmt w:val="bullet"/>
      <w:lvlText w:val="•"/>
      <w:lvlJc w:val="left"/>
      <w:pPr>
        <w:ind w:left="586" w:hanging="284"/>
      </w:pPr>
      <w:rPr>
        <w:rFonts w:hint="default"/>
        <w:lang w:val="en-GB" w:eastAsia="en-US" w:bidi="ar-SA"/>
      </w:rPr>
    </w:lvl>
    <w:lvl w:ilvl="3" w:tplc="336AE95A">
      <w:numFmt w:val="bullet"/>
      <w:lvlText w:val="•"/>
      <w:lvlJc w:val="left"/>
      <w:pPr>
        <w:ind w:left="492" w:hanging="284"/>
      </w:pPr>
      <w:rPr>
        <w:rFonts w:hint="default"/>
        <w:lang w:val="en-GB" w:eastAsia="en-US" w:bidi="ar-SA"/>
      </w:rPr>
    </w:lvl>
    <w:lvl w:ilvl="4" w:tplc="AD8C87B2">
      <w:numFmt w:val="bullet"/>
      <w:lvlText w:val="•"/>
      <w:lvlJc w:val="left"/>
      <w:pPr>
        <w:ind w:left="399" w:hanging="284"/>
      </w:pPr>
      <w:rPr>
        <w:rFonts w:hint="default"/>
        <w:lang w:val="en-GB" w:eastAsia="en-US" w:bidi="ar-SA"/>
      </w:rPr>
    </w:lvl>
    <w:lvl w:ilvl="5" w:tplc="3B408550">
      <w:numFmt w:val="bullet"/>
      <w:lvlText w:val="•"/>
      <w:lvlJc w:val="left"/>
      <w:pPr>
        <w:ind w:left="305" w:hanging="284"/>
      </w:pPr>
      <w:rPr>
        <w:rFonts w:hint="default"/>
        <w:lang w:val="en-GB" w:eastAsia="en-US" w:bidi="ar-SA"/>
      </w:rPr>
    </w:lvl>
    <w:lvl w:ilvl="6" w:tplc="F17A5E8A">
      <w:numFmt w:val="bullet"/>
      <w:lvlText w:val="•"/>
      <w:lvlJc w:val="left"/>
      <w:pPr>
        <w:ind w:left="212" w:hanging="284"/>
      </w:pPr>
      <w:rPr>
        <w:rFonts w:hint="default"/>
        <w:lang w:val="en-GB" w:eastAsia="en-US" w:bidi="ar-SA"/>
      </w:rPr>
    </w:lvl>
    <w:lvl w:ilvl="7" w:tplc="697A0B7A">
      <w:numFmt w:val="bullet"/>
      <w:lvlText w:val="•"/>
      <w:lvlJc w:val="left"/>
      <w:pPr>
        <w:ind w:left="118" w:hanging="284"/>
      </w:pPr>
      <w:rPr>
        <w:rFonts w:hint="default"/>
        <w:lang w:val="en-GB" w:eastAsia="en-US" w:bidi="ar-SA"/>
      </w:rPr>
    </w:lvl>
    <w:lvl w:ilvl="8" w:tplc="C3787298">
      <w:numFmt w:val="bullet"/>
      <w:lvlText w:val="•"/>
      <w:lvlJc w:val="left"/>
      <w:pPr>
        <w:ind w:left="25" w:hanging="284"/>
      </w:pPr>
      <w:rPr>
        <w:rFonts w:hint="default"/>
        <w:lang w:val="en-GB" w:eastAsia="en-US" w:bidi="ar-SA"/>
      </w:r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42D64"/>
    <w:multiLevelType w:val="hybridMultilevel"/>
    <w:tmpl w:val="E9F28AFA"/>
    <w:lvl w:ilvl="0" w:tplc="DC2E4F56">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127303FC"/>
    <w:multiLevelType w:val="hybridMultilevel"/>
    <w:tmpl w:val="9C8E9F30"/>
    <w:lvl w:ilvl="0" w:tplc="5996431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128A7EE3"/>
    <w:multiLevelType w:val="hybridMultilevel"/>
    <w:tmpl w:val="FA761C90"/>
    <w:lvl w:ilvl="0" w:tplc="7EB68B50">
      <w:start w:val="1"/>
      <w:numFmt w:val="lowerLetter"/>
      <w:lvlText w:val="(%1)"/>
      <w:lvlJc w:val="left"/>
      <w:pPr>
        <w:ind w:left="1035" w:hanging="360"/>
      </w:pPr>
      <w:rPr>
        <w:rFonts w:hint="default"/>
      </w:rPr>
    </w:lvl>
    <w:lvl w:ilvl="1" w:tplc="08090019" w:tentative="1">
      <w:start w:val="1"/>
      <w:numFmt w:val="lowerLetter"/>
      <w:lvlText w:val="%2."/>
      <w:lvlJc w:val="left"/>
      <w:pPr>
        <w:ind w:left="1755" w:hanging="360"/>
      </w:pPr>
    </w:lvl>
    <w:lvl w:ilvl="2" w:tplc="0809001B" w:tentative="1">
      <w:start w:val="1"/>
      <w:numFmt w:val="lowerRoman"/>
      <w:lvlText w:val="%3."/>
      <w:lvlJc w:val="right"/>
      <w:pPr>
        <w:ind w:left="2475" w:hanging="180"/>
      </w:pPr>
    </w:lvl>
    <w:lvl w:ilvl="3" w:tplc="0809000F" w:tentative="1">
      <w:start w:val="1"/>
      <w:numFmt w:val="decimal"/>
      <w:lvlText w:val="%4."/>
      <w:lvlJc w:val="left"/>
      <w:pPr>
        <w:ind w:left="3195" w:hanging="360"/>
      </w:pPr>
    </w:lvl>
    <w:lvl w:ilvl="4" w:tplc="08090019" w:tentative="1">
      <w:start w:val="1"/>
      <w:numFmt w:val="lowerLetter"/>
      <w:lvlText w:val="%5."/>
      <w:lvlJc w:val="left"/>
      <w:pPr>
        <w:ind w:left="3915" w:hanging="360"/>
      </w:pPr>
    </w:lvl>
    <w:lvl w:ilvl="5" w:tplc="0809001B" w:tentative="1">
      <w:start w:val="1"/>
      <w:numFmt w:val="lowerRoman"/>
      <w:lvlText w:val="%6."/>
      <w:lvlJc w:val="right"/>
      <w:pPr>
        <w:ind w:left="4635" w:hanging="180"/>
      </w:pPr>
    </w:lvl>
    <w:lvl w:ilvl="6" w:tplc="0809000F" w:tentative="1">
      <w:start w:val="1"/>
      <w:numFmt w:val="decimal"/>
      <w:lvlText w:val="%7."/>
      <w:lvlJc w:val="left"/>
      <w:pPr>
        <w:ind w:left="5355" w:hanging="360"/>
      </w:pPr>
    </w:lvl>
    <w:lvl w:ilvl="7" w:tplc="08090019" w:tentative="1">
      <w:start w:val="1"/>
      <w:numFmt w:val="lowerLetter"/>
      <w:lvlText w:val="%8."/>
      <w:lvlJc w:val="left"/>
      <w:pPr>
        <w:ind w:left="6075" w:hanging="360"/>
      </w:pPr>
    </w:lvl>
    <w:lvl w:ilvl="8" w:tplc="0809001B" w:tentative="1">
      <w:start w:val="1"/>
      <w:numFmt w:val="lowerRoman"/>
      <w:lvlText w:val="%9."/>
      <w:lvlJc w:val="right"/>
      <w:pPr>
        <w:ind w:left="6795" w:hanging="180"/>
      </w:pPr>
    </w:lvl>
  </w:abstractNum>
  <w:abstractNum w:abstractNumId="18"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74258C4"/>
    <w:multiLevelType w:val="hybridMultilevel"/>
    <w:tmpl w:val="F59E4960"/>
    <w:lvl w:ilvl="0" w:tplc="9FA640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4541C97"/>
    <w:multiLevelType w:val="hybridMultilevel"/>
    <w:tmpl w:val="D8BC3D4A"/>
    <w:lvl w:ilvl="0" w:tplc="BA84DFE4">
      <w:start w:val="1"/>
      <w:numFmt w:val="lowerLetter"/>
      <w:lvlText w:val="(%1)"/>
      <w:lvlJc w:val="left"/>
      <w:pPr>
        <w:ind w:left="1040" w:hanging="360"/>
      </w:pPr>
      <w:rPr>
        <w:rFonts w:hint="default"/>
      </w:rPr>
    </w:lvl>
    <w:lvl w:ilvl="1" w:tplc="08090019" w:tentative="1">
      <w:start w:val="1"/>
      <w:numFmt w:val="lowerLetter"/>
      <w:lvlText w:val="%2."/>
      <w:lvlJc w:val="left"/>
      <w:pPr>
        <w:ind w:left="1760" w:hanging="360"/>
      </w:pPr>
    </w:lvl>
    <w:lvl w:ilvl="2" w:tplc="0809001B" w:tentative="1">
      <w:start w:val="1"/>
      <w:numFmt w:val="lowerRoman"/>
      <w:lvlText w:val="%3."/>
      <w:lvlJc w:val="right"/>
      <w:pPr>
        <w:ind w:left="2480" w:hanging="180"/>
      </w:pPr>
    </w:lvl>
    <w:lvl w:ilvl="3" w:tplc="0809000F" w:tentative="1">
      <w:start w:val="1"/>
      <w:numFmt w:val="decimal"/>
      <w:lvlText w:val="%4."/>
      <w:lvlJc w:val="left"/>
      <w:pPr>
        <w:ind w:left="3200" w:hanging="360"/>
      </w:pPr>
    </w:lvl>
    <w:lvl w:ilvl="4" w:tplc="08090019" w:tentative="1">
      <w:start w:val="1"/>
      <w:numFmt w:val="lowerLetter"/>
      <w:lvlText w:val="%5."/>
      <w:lvlJc w:val="left"/>
      <w:pPr>
        <w:ind w:left="3920" w:hanging="360"/>
      </w:pPr>
    </w:lvl>
    <w:lvl w:ilvl="5" w:tplc="0809001B" w:tentative="1">
      <w:start w:val="1"/>
      <w:numFmt w:val="lowerRoman"/>
      <w:lvlText w:val="%6."/>
      <w:lvlJc w:val="right"/>
      <w:pPr>
        <w:ind w:left="4640" w:hanging="180"/>
      </w:pPr>
    </w:lvl>
    <w:lvl w:ilvl="6" w:tplc="0809000F" w:tentative="1">
      <w:start w:val="1"/>
      <w:numFmt w:val="decimal"/>
      <w:lvlText w:val="%7."/>
      <w:lvlJc w:val="left"/>
      <w:pPr>
        <w:ind w:left="5360" w:hanging="360"/>
      </w:pPr>
    </w:lvl>
    <w:lvl w:ilvl="7" w:tplc="08090019" w:tentative="1">
      <w:start w:val="1"/>
      <w:numFmt w:val="lowerLetter"/>
      <w:lvlText w:val="%8."/>
      <w:lvlJc w:val="left"/>
      <w:pPr>
        <w:ind w:left="6080" w:hanging="360"/>
      </w:pPr>
    </w:lvl>
    <w:lvl w:ilvl="8" w:tplc="0809001B" w:tentative="1">
      <w:start w:val="1"/>
      <w:numFmt w:val="lowerRoman"/>
      <w:lvlText w:val="%9."/>
      <w:lvlJc w:val="right"/>
      <w:pPr>
        <w:ind w:left="6800" w:hanging="180"/>
      </w:pPr>
    </w:lvl>
  </w:abstractNum>
  <w:abstractNum w:abstractNumId="25"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55DD3D0E"/>
    <w:multiLevelType w:val="hybridMultilevel"/>
    <w:tmpl w:val="4C143286"/>
    <w:lvl w:ilvl="0" w:tplc="A02890CC">
      <w:start w:val="1"/>
      <w:numFmt w:val="lowerLetter"/>
      <w:lvlText w:val="(%1)"/>
      <w:lvlJc w:val="left"/>
      <w:pPr>
        <w:ind w:left="1080" w:hanging="360"/>
      </w:pPr>
      <w:rPr>
        <w:rFonts w:ascii="Arial" w:hAnsi="Arial" w:cs="Arial" w:hint="default"/>
        <w:color w:val="auto"/>
        <w:sz w:val="20"/>
        <w:szCs w:val="2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076708056">
    <w:abstractNumId w:val="27"/>
  </w:num>
  <w:num w:numId="2" w16cid:durableId="1871188882">
    <w:abstractNumId w:val="14"/>
  </w:num>
  <w:num w:numId="3" w16cid:durableId="1937984519">
    <w:abstractNumId w:val="11"/>
  </w:num>
  <w:num w:numId="4" w16cid:durableId="844897922">
    <w:abstractNumId w:val="29"/>
  </w:num>
  <w:num w:numId="5" w16cid:durableId="662006857">
    <w:abstractNumId w:val="18"/>
  </w:num>
  <w:num w:numId="6" w16cid:durableId="1236434637">
    <w:abstractNumId w:val="22"/>
  </w:num>
  <w:num w:numId="7" w16cid:durableId="2122338420">
    <w:abstractNumId w:val="25"/>
  </w:num>
  <w:num w:numId="8" w16cid:durableId="1551068390">
    <w:abstractNumId w:val="9"/>
  </w:num>
  <w:num w:numId="9" w16cid:durableId="821043396">
    <w:abstractNumId w:val="7"/>
  </w:num>
  <w:num w:numId="10" w16cid:durableId="440731187">
    <w:abstractNumId w:val="6"/>
  </w:num>
  <w:num w:numId="11" w16cid:durableId="1634871521">
    <w:abstractNumId w:val="5"/>
  </w:num>
  <w:num w:numId="12" w16cid:durableId="963004769">
    <w:abstractNumId w:val="4"/>
  </w:num>
  <w:num w:numId="13" w16cid:durableId="1819684607">
    <w:abstractNumId w:val="8"/>
  </w:num>
  <w:num w:numId="14" w16cid:durableId="1988897208">
    <w:abstractNumId w:val="3"/>
  </w:num>
  <w:num w:numId="15" w16cid:durableId="1032682854">
    <w:abstractNumId w:val="2"/>
  </w:num>
  <w:num w:numId="16" w16cid:durableId="1100368724">
    <w:abstractNumId w:val="1"/>
  </w:num>
  <w:num w:numId="17" w16cid:durableId="1107967669">
    <w:abstractNumId w:val="0"/>
  </w:num>
  <w:num w:numId="18" w16cid:durableId="810099389">
    <w:abstractNumId w:val="20"/>
  </w:num>
  <w:num w:numId="19" w16cid:durableId="2096852697">
    <w:abstractNumId w:val="21"/>
  </w:num>
  <w:num w:numId="20" w16cid:durableId="980695204">
    <w:abstractNumId w:val="28"/>
  </w:num>
  <w:num w:numId="21" w16cid:durableId="1165515218">
    <w:abstractNumId w:val="23"/>
  </w:num>
  <w:num w:numId="22" w16cid:durableId="1298994811">
    <w:abstractNumId w:val="12"/>
  </w:num>
  <w:num w:numId="23" w16cid:durableId="1544245137">
    <w:abstractNumId w:val="30"/>
  </w:num>
  <w:num w:numId="24" w16cid:durableId="631330244">
    <w:abstractNumId w:val="13"/>
  </w:num>
  <w:num w:numId="25" w16cid:durableId="339549643">
    <w:abstractNumId w:val="16"/>
  </w:num>
  <w:num w:numId="26" w16cid:durableId="626397824">
    <w:abstractNumId w:val="19"/>
  </w:num>
  <w:num w:numId="27" w16cid:durableId="1408654441">
    <w:abstractNumId w:val="26"/>
  </w:num>
  <w:num w:numId="28" w16cid:durableId="436095365">
    <w:abstractNumId w:val="15"/>
  </w:num>
  <w:num w:numId="29" w16cid:durableId="651713954">
    <w:abstractNumId w:val="24"/>
  </w:num>
  <w:num w:numId="30" w16cid:durableId="732048369">
    <w:abstractNumId w:val="10"/>
  </w:num>
  <w:num w:numId="31" w16cid:durableId="47029179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7A6"/>
    <w:rsid w:val="000B2961"/>
    <w:rsid w:val="0010219E"/>
    <w:rsid w:val="001E03E8"/>
    <w:rsid w:val="0022592C"/>
    <w:rsid w:val="0025683C"/>
    <w:rsid w:val="0035530E"/>
    <w:rsid w:val="004F7D08"/>
    <w:rsid w:val="00645252"/>
    <w:rsid w:val="006747A6"/>
    <w:rsid w:val="006D3D74"/>
    <w:rsid w:val="006F154A"/>
    <w:rsid w:val="0083569A"/>
    <w:rsid w:val="009D7E2A"/>
    <w:rsid w:val="00A030D6"/>
    <w:rsid w:val="00A9204E"/>
    <w:rsid w:val="00B73AB5"/>
    <w:rsid w:val="00C56E84"/>
    <w:rsid w:val="00CC2860"/>
    <w:rsid w:val="00CD055F"/>
    <w:rsid w:val="00E52A43"/>
    <w:rsid w:val="00F30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46F44"/>
  <w15:chartTrackingRefBased/>
  <w15:docId w15:val="{FDEE26C8-0637-4928-8125-D6C887A95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Body">
    <w:name w:val="Body"/>
    <w:basedOn w:val="Normal"/>
    <w:link w:val="BodyChar"/>
    <w:rsid w:val="006747A6"/>
    <w:pPr>
      <w:spacing w:after="240" w:line="288" w:lineRule="auto"/>
      <w:jc w:val="both"/>
    </w:pPr>
    <w:rPr>
      <w:rFonts w:ascii="Arial" w:eastAsia="Times New Roman" w:hAnsi="Arial" w:cs="Times New Roman"/>
      <w:sz w:val="20"/>
      <w:szCs w:val="20"/>
      <w:lang w:val="en-GB"/>
    </w:rPr>
  </w:style>
  <w:style w:type="character" w:customStyle="1" w:styleId="BodyChar">
    <w:name w:val="Body Char"/>
    <w:link w:val="Body"/>
    <w:locked/>
    <w:rsid w:val="006747A6"/>
    <w:rPr>
      <w:rFonts w:ascii="Arial" w:eastAsia="Times New Roman" w:hAnsi="Arial" w:cs="Times New Roman"/>
      <w:sz w:val="20"/>
      <w:szCs w:val="20"/>
      <w:lang w:val="en-GB"/>
    </w:rPr>
  </w:style>
  <w:style w:type="paragraph" w:styleId="BodyText">
    <w:name w:val="Body Text"/>
    <w:basedOn w:val="Normal"/>
    <w:link w:val="BodyTextChar"/>
    <w:uiPriority w:val="1"/>
    <w:qFormat/>
    <w:rsid w:val="006747A6"/>
    <w:pPr>
      <w:widowControl w:val="0"/>
      <w:autoSpaceDE w:val="0"/>
      <w:autoSpaceDN w:val="0"/>
      <w:ind w:left="113"/>
    </w:pPr>
    <w:rPr>
      <w:rFonts w:ascii="Calibri" w:eastAsia="Calibri" w:hAnsi="Calibri" w:cs="Calibri"/>
      <w:sz w:val="16"/>
      <w:szCs w:val="16"/>
      <w:lang w:val="en-GB"/>
    </w:rPr>
  </w:style>
  <w:style w:type="character" w:customStyle="1" w:styleId="BodyTextChar">
    <w:name w:val="Body Text Char"/>
    <w:basedOn w:val="DefaultParagraphFont"/>
    <w:link w:val="BodyText"/>
    <w:uiPriority w:val="1"/>
    <w:rsid w:val="006747A6"/>
    <w:rPr>
      <w:rFonts w:ascii="Calibri" w:eastAsia="Calibri" w:hAnsi="Calibri" w:cs="Calibri"/>
      <w:sz w:val="16"/>
      <w:szCs w:val="16"/>
      <w:lang w:val="en-GB"/>
    </w:rPr>
  </w:style>
  <w:style w:type="paragraph" w:styleId="ListParagraph">
    <w:name w:val="List Paragraph"/>
    <w:basedOn w:val="Normal"/>
    <w:uiPriority w:val="1"/>
    <w:qFormat/>
    <w:rsid w:val="006747A6"/>
    <w:pPr>
      <w:widowControl w:val="0"/>
      <w:autoSpaceDE w:val="0"/>
      <w:autoSpaceDN w:val="0"/>
      <w:spacing w:before="43"/>
      <w:ind w:left="397" w:hanging="284"/>
    </w:pPr>
    <w:rPr>
      <w:rFonts w:ascii="Calibri" w:eastAsia="Calibri" w:hAnsi="Calibri" w:cs="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ughank\AppData\Local\Microsoft\Office\16.0\DTS\en-US%7b0380CFD7-1FDA-45FD-9339-5E5C2305150E%7d\%7b3EB2F89D-4360-4E2B-8D2F-A2F25D96AFD2%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bbf435e-aab6-4801-8d54-68c2af8edbd7" xsi:nil="true"/>
    <lcf76f155ced4ddcb4097134ff3c332f xmlns="696a5a78-fbb6-4c03-8fa2-25022df559d0">
      <Terms xmlns="http://schemas.microsoft.com/office/infopath/2007/PartnerControls"/>
    </lcf76f155ced4ddcb4097134ff3c332f>
    <_dlc_DocId xmlns="6bbf435e-aab6-4801-8d54-68c2af8edbd7">HK2H5FP6Z7FS-1197918327-112258</_dlc_DocId>
    <_dlc_DocIdUrl xmlns="6bbf435e-aab6-4801-8d54-68c2af8edbd7">
      <Url>https://carcloit.sharepoint.com/sites/HeadOfficeUK/_layouts/15/DocIdRedir.aspx?ID=HK2H5FP6Z7FS-1197918327-112258</Url>
      <Description>HK2H5FP6Z7FS-1197918327-112258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87D69A9746864593CE33393A7C508B" ma:contentTypeVersion="14" ma:contentTypeDescription="Create a new document." ma:contentTypeScope="" ma:versionID="6e3f3f1e3352152983d565a616d4ad58">
  <xsd:schema xmlns:xsd="http://www.w3.org/2001/XMLSchema" xmlns:xs="http://www.w3.org/2001/XMLSchema" xmlns:p="http://schemas.microsoft.com/office/2006/metadata/properties" xmlns:ns2="6bbf435e-aab6-4801-8d54-68c2af8edbd7" xmlns:ns3="696a5a78-fbb6-4c03-8fa2-25022df559d0" targetNamespace="http://schemas.microsoft.com/office/2006/metadata/properties" ma:root="true" ma:fieldsID="29bb8409477dd215965f365aa007ea5d" ns2:_="" ns3:_="">
    <xsd:import namespace="6bbf435e-aab6-4801-8d54-68c2af8edbd7"/>
    <xsd:import namespace="696a5a78-fbb6-4c03-8fa2-25022df559d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LengthInSecond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f435e-aab6-4801-8d54-68c2af8edbd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eea67143-aa7d-4f89-8d9b-9165e3f76571}" ma:internalName="TaxCatchAll" ma:showField="CatchAllData" ma:web="6bbf435e-aab6-4801-8d54-68c2af8edbd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6a5a78-fbb6-4c03-8fa2-25022df559d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fb2b9a9-27cb-4d5a-af00-401f81b50bd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 ds:uri="6bbf435e-aab6-4801-8d54-68c2af8edbd7"/>
    <ds:schemaRef ds:uri="696a5a78-fbb6-4c03-8fa2-25022df559d0"/>
  </ds:schemaRefs>
</ds:datastoreItem>
</file>

<file path=customXml/itemProps2.xml><?xml version="1.0" encoding="utf-8"?>
<ds:datastoreItem xmlns:ds="http://schemas.openxmlformats.org/officeDocument/2006/customXml" ds:itemID="{7B407CFF-8C19-45A4-AC86-5EA6D1724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f435e-aab6-4801-8d54-68c2af8edbd7"/>
    <ds:schemaRef ds:uri="696a5a78-fbb6-4c03-8fa2-25022df559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FAE2D6-0AF2-448E-8ED9-EF31C61216E7}">
  <ds:schemaRefs>
    <ds:schemaRef ds:uri="http://schemas.microsoft.com/sharepoint/v3/contenttype/forms"/>
  </ds:schemaRefs>
</ds:datastoreItem>
</file>

<file path=customXml/itemProps4.xml><?xml version="1.0" encoding="utf-8"?>
<ds:datastoreItem xmlns:ds="http://schemas.openxmlformats.org/officeDocument/2006/customXml" ds:itemID="{1ED055B3-480F-4D62-90BB-DB16DE1717B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{3EB2F89D-4360-4E2B-8D2F-A2F25D96AFD2}tf02786999_win32</Template>
  <TotalTime>21</TotalTime>
  <Pages>2</Pages>
  <Words>763</Words>
  <Characters>4354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Maughan</dc:creator>
  <cp:keywords/>
  <dc:description/>
  <cp:lastModifiedBy>Katy Maughan</cp:lastModifiedBy>
  <cp:revision>11</cp:revision>
  <dcterms:created xsi:type="dcterms:W3CDTF">2021-08-10T10:46:00Z</dcterms:created>
  <dcterms:modified xsi:type="dcterms:W3CDTF">2023-08-08T14:06:00Z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0x0101001287D69A9746864593CE33393A7C508B</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y fmtid="{D5CDD505-2E9C-101B-9397-08002B2CF9AE}" pid="8" name="Order">
    <vt:r8>121400</vt:r8>
  </property>
  <property fmtid="{D5CDD505-2E9C-101B-9397-08002B2CF9AE}" pid="9" name="_dlc_DocIdItemGuid">
    <vt:lpwstr>b58479b8-75be-4ebc-ae00-17fb20d7f0ef</vt:lpwstr>
  </property>
  <property fmtid="{D5CDD505-2E9C-101B-9397-08002B2CF9AE}" pid="10" name="MediaServiceImageTags">
    <vt:lpwstr/>
  </property>
</Properties>
</file>