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9AEAD" w14:textId="3A9C5E75" w:rsidR="00B6726B" w:rsidRPr="00F25DD2" w:rsidRDefault="00F76D0F" w:rsidP="00B6726B">
      <w:pPr>
        <w:spacing w:after="200"/>
        <w:rPr>
          <w:rFonts w:ascii="Arial" w:hAnsi="Arial" w:cs="Arial"/>
        </w:rPr>
      </w:pPr>
      <w:r w:rsidRPr="00F25DD2">
        <w:rPr>
          <w:rFonts w:ascii="Arial" w:hAnsi="Arial" w:cs="Arial"/>
        </w:rPr>
        <w:t xml:space="preserve">Company </w:t>
      </w:r>
      <w:r w:rsidR="00B6726B" w:rsidRPr="00F25DD2">
        <w:rPr>
          <w:rFonts w:ascii="Arial" w:hAnsi="Arial" w:cs="Arial"/>
        </w:rPr>
        <w:t>No. 714275</w:t>
      </w:r>
    </w:p>
    <w:p w14:paraId="2CFB0E6C" w14:textId="77777777" w:rsidR="00B6726B" w:rsidRPr="00F25DD2" w:rsidRDefault="00B6726B" w:rsidP="00B6726B">
      <w:pPr>
        <w:spacing w:after="200"/>
        <w:jc w:val="center"/>
        <w:rPr>
          <w:rFonts w:ascii="Arial" w:hAnsi="Arial" w:cs="Arial"/>
          <w:b/>
        </w:rPr>
      </w:pPr>
      <w:r w:rsidRPr="00F25DD2">
        <w:rPr>
          <w:rFonts w:ascii="Arial" w:hAnsi="Arial" w:cs="Arial"/>
          <w:b/>
        </w:rPr>
        <w:t>ORDINARY AND SPECIAL RESOLUTIONS</w:t>
      </w:r>
    </w:p>
    <w:p w14:paraId="36651D47" w14:textId="77777777" w:rsidR="00B6726B" w:rsidRPr="00F25DD2" w:rsidRDefault="00B6726B" w:rsidP="00B6726B">
      <w:pPr>
        <w:spacing w:after="200"/>
        <w:jc w:val="center"/>
        <w:rPr>
          <w:rFonts w:ascii="Arial" w:hAnsi="Arial" w:cs="Arial"/>
        </w:rPr>
      </w:pPr>
      <w:r w:rsidRPr="00F25DD2">
        <w:rPr>
          <w:rFonts w:ascii="Arial" w:hAnsi="Arial" w:cs="Arial"/>
        </w:rPr>
        <w:t>of</w:t>
      </w:r>
    </w:p>
    <w:p w14:paraId="6020F0AD" w14:textId="77777777" w:rsidR="00B6726B" w:rsidRPr="00F25DD2" w:rsidRDefault="00B6726B" w:rsidP="00B6726B">
      <w:pPr>
        <w:spacing w:after="200"/>
        <w:jc w:val="center"/>
        <w:rPr>
          <w:rFonts w:ascii="Arial" w:hAnsi="Arial" w:cs="Arial"/>
          <w:b/>
        </w:rPr>
      </w:pPr>
      <w:r w:rsidRPr="00F25DD2">
        <w:rPr>
          <w:rFonts w:ascii="Arial" w:hAnsi="Arial" w:cs="Arial"/>
          <w:b/>
        </w:rPr>
        <w:t>IMI plc</w:t>
      </w:r>
    </w:p>
    <w:p w14:paraId="6ABE0C6A" w14:textId="77777777" w:rsidR="00B6726B" w:rsidRPr="00F25DD2" w:rsidRDefault="00B6726B" w:rsidP="00B6726B">
      <w:pPr>
        <w:spacing w:after="200"/>
        <w:jc w:val="center"/>
        <w:rPr>
          <w:rFonts w:ascii="Arial" w:hAnsi="Arial" w:cs="Arial"/>
        </w:rPr>
      </w:pPr>
      <w:r w:rsidRPr="00F25DD2">
        <w:rPr>
          <w:rFonts w:ascii="Arial" w:hAnsi="Arial" w:cs="Arial"/>
        </w:rPr>
        <w:t>(“Company”)</w:t>
      </w:r>
    </w:p>
    <w:p w14:paraId="17EF2A1C" w14:textId="77777777" w:rsidR="00B6726B" w:rsidRPr="00F25DD2" w:rsidRDefault="00B6726B" w:rsidP="00B6726B">
      <w:pPr>
        <w:spacing w:after="200"/>
        <w:jc w:val="center"/>
        <w:rPr>
          <w:rFonts w:ascii="Arial" w:hAnsi="Arial" w:cs="Arial"/>
        </w:rPr>
      </w:pPr>
      <w:r w:rsidRPr="00F25DD2">
        <w:rPr>
          <w:rFonts w:ascii="Arial" w:hAnsi="Arial" w:cs="Arial"/>
        </w:rPr>
        <w:t>------------------------------------------------------------------</w:t>
      </w:r>
    </w:p>
    <w:p w14:paraId="4D2F215A" w14:textId="1C43B3A9" w:rsidR="00B6726B" w:rsidRPr="00F25DD2" w:rsidRDefault="00B6726B" w:rsidP="00B6726B">
      <w:pPr>
        <w:spacing w:after="200"/>
        <w:jc w:val="center"/>
        <w:rPr>
          <w:rFonts w:ascii="Arial" w:hAnsi="Arial" w:cs="Arial"/>
        </w:rPr>
      </w:pPr>
      <w:r w:rsidRPr="00F25DD2">
        <w:rPr>
          <w:rFonts w:ascii="Arial" w:hAnsi="Arial" w:cs="Arial"/>
        </w:rPr>
        <w:t xml:space="preserve">Passed </w:t>
      </w:r>
      <w:r w:rsidR="00377799" w:rsidRPr="00F25DD2">
        <w:rPr>
          <w:rFonts w:ascii="Arial" w:hAnsi="Arial" w:cs="Arial"/>
        </w:rPr>
        <w:t>9</w:t>
      </w:r>
      <w:r w:rsidRPr="00F25DD2">
        <w:rPr>
          <w:rFonts w:ascii="Arial" w:hAnsi="Arial" w:cs="Arial"/>
        </w:rPr>
        <w:t xml:space="preserve"> May 20</w:t>
      </w:r>
      <w:r w:rsidR="004308B2" w:rsidRPr="00F25DD2">
        <w:rPr>
          <w:rFonts w:ascii="Arial" w:hAnsi="Arial" w:cs="Arial"/>
        </w:rPr>
        <w:t>2</w:t>
      </w:r>
      <w:r w:rsidR="00377799" w:rsidRPr="00F25DD2">
        <w:rPr>
          <w:rFonts w:ascii="Arial" w:hAnsi="Arial" w:cs="Arial"/>
        </w:rPr>
        <w:t>4</w:t>
      </w:r>
    </w:p>
    <w:p w14:paraId="241F67D8" w14:textId="77777777" w:rsidR="00B6726B" w:rsidRPr="00F25DD2" w:rsidRDefault="00B6726B" w:rsidP="00B6726B">
      <w:pPr>
        <w:spacing w:after="200"/>
        <w:jc w:val="center"/>
        <w:rPr>
          <w:rFonts w:ascii="Arial" w:hAnsi="Arial" w:cs="Arial"/>
        </w:rPr>
      </w:pPr>
      <w:r w:rsidRPr="00F25DD2">
        <w:rPr>
          <w:rFonts w:ascii="Arial" w:hAnsi="Arial" w:cs="Arial"/>
        </w:rPr>
        <w:t>------------------------------------------------------------------</w:t>
      </w:r>
    </w:p>
    <w:p w14:paraId="63DF7D64" w14:textId="77777777" w:rsidR="00B6726B" w:rsidRPr="00F25DD2" w:rsidRDefault="00B6726B" w:rsidP="00B6726B">
      <w:pPr>
        <w:spacing w:after="200"/>
        <w:rPr>
          <w:rFonts w:ascii="Arial" w:hAnsi="Arial" w:cs="Arial"/>
        </w:rPr>
      </w:pPr>
    </w:p>
    <w:p w14:paraId="0FDA60D0" w14:textId="63C76D20" w:rsidR="00B6726B" w:rsidRPr="00F25DD2" w:rsidRDefault="00B6726B" w:rsidP="00B6726B">
      <w:pPr>
        <w:spacing w:after="200"/>
        <w:rPr>
          <w:rFonts w:ascii="Arial" w:hAnsi="Arial" w:cs="Arial"/>
        </w:rPr>
      </w:pPr>
      <w:r w:rsidRPr="00F25DD2">
        <w:rPr>
          <w:rFonts w:ascii="Arial" w:hAnsi="Arial" w:cs="Arial"/>
        </w:rPr>
        <w:t xml:space="preserve">At the annual general meeting of the Company duly convened and held at 10am on </w:t>
      </w:r>
      <w:r w:rsidR="00377799" w:rsidRPr="00F25DD2">
        <w:rPr>
          <w:rFonts w:ascii="Arial" w:hAnsi="Arial" w:cs="Arial"/>
        </w:rPr>
        <w:t>9</w:t>
      </w:r>
      <w:r w:rsidR="004E29E2" w:rsidRPr="00F25DD2">
        <w:rPr>
          <w:rFonts w:ascii="Arial" w:hAnsi="Arial" w:cs="Arial"/>
        </w:rPr>
        <w:t> </w:t>
      </w:r>
      <w:r w:rsidRPr="00F25DD2">
        <w:rPr>
          <w:rFonts w:ascii="Arial" w:hAnsi="Arial" w:cs="Arial"/>
        </w:rPr>
        <w:t>May 20</w:t>
      </w:r>
      <w:r w:rsidR="004308B2" w:rsidRPr="00F25DD2">
        <w:rPr>
          <w:rFonts w:ascii="Arial" w:hAnsi="Arial" w:cs="Arial"/>
        </w:rPr>
        <w:t>2</w:t>
      </w:r>
      <w:r w:rsidR="00377799" w:rsidRPr="00F25DD2">
        <w:rPr>
          <w:rFonts w:ascii="Arial" w:hAnsi="Arial" w:cs="Arial"/>
        </w:rPr>
        <w:t>4</w:t>
      </w:r>
      <w:r w:rsidRPr="00F25DD2">
        <w:rPr>
          <w:rFonts w:ascii="Arial" w:hAnsi="Arial" w:cs="Arial"/>
        </w:rPr>
        <w:t xml:space="preserve"> </w:t>
      </w:r>
      <w:r w:rsidR="007F7792" w:rsidRPr="00F25DD2">
        <w:rPr>
          <w:rFonts w:ascii="Arial" w:hAnsi="Arial" w:cs="Arial"/>
        </w:rPr>
        <w:t>at The Crowne Plaza Hotel, National Exhibition Centre, Birmingham</w:t>
      </w:r>
      <w:r w:rsidRPr="00F25DD2">
        <w:rPr>
          <w:rFonts w:ascii="Arial" w:hAnsi="Arial" w:cs="Arial"/>
        </w:rPr>
        <w:t>, the following resolutions were duly passed as special resolutions of the Company.</w:t>
      </w:r>
    </w:p>
    <w:p w14:paraId="629DABE1" w14:textId="0D872D08" w:rsidR="0096712B" w:rsidRPr="00F25DD2" w:rsidRDefault="008E53A1" w:rsidP="00924F3B">
      <w:pPr>
        <w:spacing w:after="200"/>
        <w:rPr>
          <w:rFonts w:ascii="Arial" w:hAnsi="Arial" w:cs="Arial"/>
          <w:b/>
        </w:rPr>
      </w:pPr>
      <w:r w:rsidRPr="00F25DD2">
        <w:rPr>
          <w:rFonts w:ascii="Arial" w:hAnsi="Arial" w:cs="Arial"/>
          <w:b/>
        </w:rPr>
        <w:t>SPECIAL RESOLUTIONS:</w:t>
      </w:r>
    </w:p>
    <w:p w14:paraId="0A3B347B" w14:textId="77777777" w:rsidR="00540E8D" w:rsidRDefault="00896C66" w:rsidP="00540E8D">
      <w:pPr>
        <w:spacing w:after="200"/>
        <w:ind w:left="567" w:hanging="567"/>
        <w:rPr>
          <w:rFonts w:ascii="Arial" w:hAnsi="Arial" w:cs="Arial"/>
          <w:bCs/>
        </w:rPr>
      </w:pPr>
      <w:r w:rsidRPr="00F25DD2">
        <w:rPr>
          <w:rFonts w:ascii="Arial" w:hAnsi="Arial" w:cs="Arial"/>
          <w:bCs/>
        </w:rPr>
        <w:t>A.</w:t>
      </w:r>
      <w:r w:rsidRPr="00F25DD2">
        <w:rPr>
          <w:rFonts w:ascii="Arial" w:hAnsi="Arial" w:cs="Arial"/>
          <w:bCs/>
        </w:rPr>
        <w:tab/>
      </w:r>
      <w:r w:rsidR="00540E8D" w:rsidRPr="00540E8D">
        <w:rPr>
          <w:rFonts w:ascii="Arial" w:hAnsi="Arial" w:cs="Arial"/>
          <w:bCs/>
        </w:rPr>
        <w:t xml:space="preserve">That: </w:t>
      </w:r>
    </w:p>
    <w:p w14:paraId="200310E9" w14:textId="77777777" w:rsidR="00540E8D" w:rsidRDefault="00540E8D" w:rsidP="00540E8D">
      <w:pPr>
        <w:spacing w:after="200"/>
        <w:ind w:left="567"/>
        <w:rPr>
          <w:rFonts w:ascii="Arial" w:hAnsi="Arial" w:cs="Arial"/>
          <w:bCs/>
        </w:rPr>
      </w:pPr>
      <w:r w:rsidRPr="00540E8D">
        <w:rPr>
          <w:rFonts w:ascii="Arial" w:hAnsi="Arial" w:cs="Arial"/>
          <w:bCs/>
        </w:rPr>
        <w:t xml:space="preserve">(a) in accordance with article 8 of the Company’s articles of association, the directors be given power to allot equity securities for cash as if section 561 of the Companies Act 2006 did not apply; </w:t>
      </w:r>
    </w:p>
    <w:p w14:paraId="1DB868D6" w14:textId="77777777" w:rsidR="00CD7CAF" w:rsidRDefault="00540E8D" w:rsidP="00540E8D">
      <w:pPr>
        <w:spacing w:after="200"/>
        <w:ind w:left="567"/>
        <w:rPr>
          <w:rFonts w:ascii="Arial" w:hAnsi="Arial" w:cs="Arial"/>
          <w:bCs/>
        </w:rPr>
      </w:pPr>
      <w:r w:rsidRPr="00540E8D">
        <w:rPr>
          <w:rFonts w:ascii="Arial" w:hAnsi="Arial" w:cs="Arial"/>
          <w:bCs/>
        </w:rPr>
        <w:t>(b) the power under paragraph (a) above (other than in connection with a rights issue, as defined in article 8 of the articles of association in force as at the date of this Notice) shall be limited to:</w:t>
      </w:r>
    </w:p>
    <w:p w14:paraId="073F69E6" w14:textId="77777777" w:rsidR="00CD7CAF" w:rsidRDefault="00540E8D" w:rsidP="00D3210B">
      <w:pPr>
        <w:spacing w:after="200"/>
        <w:ind w:left="720"/>
        <w:rPr>
          <w:rFonts w:ascii="Arial" w:hAnsi="Arial" w:cs="Arial"/>
          <w:bCs/>
        </w:rPr>
      </w:pPr>
      <w:r w:rsidRPr="00540E8D">
        <w:rPr>
          <w:rFonts w:ascii="Arial" w:hAnsi="Arial" w:cs="Arial"/>
          <w:bCs/>
        </w:rPr>
        <w:t xml:space="preserve">(i) the allotment of equity securities having a nominal amount not exceeding in aggregate £7,470,477; and </w:t>
      </w:r>
    </w:p>
    <w:p w14:paraId="65D50138" w14:textId="332E033F" w:rsidR="00540E8D" w:rsidRDefault="00540E8D" w:rsidP="00D3210B">
      <w:pPr>
        <w:spacing w:after="200"/>
        <w:ind w:left="720"/>
        <w:rPr>
          <w:rFonts w:ascii="Arial" w:hAnsi="Arial" w:cs="Arial"/>
          <w:bCs/>
        </w:rPr>
      </w:pPr>
      <w:r w:rsidRPr="00540E8D">
        <w:rPr>
          <w:rFonts w:ascii="Arial" w:hAnsi="Arial" w:cs="Arial"/>
          <w:bCs/>
        </w:rPr>
        <w:t xml:space="preserve">(ii) the allotment of equity securities (otherwise than under paragraph (i) above) up to an aggregate amount equal to 20% of any allotment of equity securities from time to time under paragraph (i)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w:t>
      </w:r>
    </w:p>
    <w:p w14:paraId="517FAFFF" w14:textId="77777777" w:rsidR="00CD7CAF" w:rsidRDefault="00540E8D" w:rsidP="00540E8D">
      <w:pPr>
        <w:spacing w:after="200"/>
        <w:ind w:left="567"/>
        <w:rPr>
          <w:rFonts w:ascii="Arial" w:hAnsi="Arial" w:cs="Arial"/>
          <w:bCs/>
        </w:rPr>
      </w:pPr>
      <w:r w:rsidRPr="00540E8D">
        <w:rPr>
          <w:rFonts w:ascii="Arial" w:hAnsi="Arial" w:cs="Arial"/>
          <w:bCs/>
        </w:rPr>
        <w:t>(c) this authority shall expire at the conclusion of the next AGM of the Company after the passing of this resolution or, if earlier, at the close of business on 1 July 2025.</w:t>
      </w:r>
    </w:p>
    <w:p w14:paraId="04B0F608" w14:textId="77777777" w:rsidR="00AE0600" w:rsidRDefault="001933F9" w:rsidP="005B5798">
      <w:pPr>
        <w:spacing w:after="200"/>
        <w:ind w:left="567" w:hanging="567"/>
        <w:rPr>
          <w:rFonts w:ascii="Arial" w:hAnsi="Arial" w:cs="Arial"/>
          <w:bCs/>
        </w:rPr>
      </w:pPr>
      <w:r w:rsidRPr="00F25DD2">
        <w:rPr>
          <w:rFonts w:ascii="Arial" w:hAnsi="Arial" w:cs="Arial"/>
          <w:bCs/>
        </w:rPr>
        <w:t>B.</w:t>
      </w:r>
      <w:r w:rsidR="00D6045A" w:rsidRPr="00F25DD2">
        <w:rPr>
          <w:rFonts w:ascii="Arial" w:hAnsi="Arial" w:cs="Arial"/>
          <w:bCs/>
        </w:rPr>
        <w:tab/>
      </w:r>
      <w:r w:rsidR="00AE0600" w:rsidRPr="00AE0600">
        <w:rPr>
          <w:rFonts w:ascii="Arial" w:hAnsi="Arial" w:cs="Arial"/>
          <w:bCs/>
        </w:rPr>
        <w:t>That:</w:t>
      </w:r>
    </w:p>
    <w:p w14:paraId="40F05063" w14:textId="77777777" w:rsidR="000B61F0" w:rsidRDefault="00AE0600" w:rsidP="00AE0600">
      <w:pPr>
        <w:spacing w:after="200"/>
        <w:ind w:left="567" w:firstLine="153"/>
        <w:rPr>
          <w:rFonts w:ascii="Arial" w:hAnsi="Arial" w:cs="Arial"/>
          <w:bCs/>
        </w:rPr>
      </w:pPr>
      <w:r w:rsidRPr="00AE0600">
        <w:rPr>
          <w:rFonts w:ascii="Arial" w:hAnsi="Arial" w:cs="Arial"/>
          <w:bCs/>
        </w:rPr>
        <w:t xml:space="preserve">(a) in addition to any authority granted under special resolution A, the directors be given power: </w:t>
      </w:r>
    </w:p>
    <w:p w14:paraId="255271C6" w14:textId="77777777" w:rsidR="000B61F0" w:rsidRDefault="00AE0600" w:rsidP="0036270E">
      <w:pPr>
        <w:spacing w:after="200"/>
        <w:ind w:left="873"/>
        <w:rPr>
          <w:rFonts w:ascii="Arial" w:hAnsi="Arial" w:cs="Arial"/>
          <w:bCs/>
        </w:rPr>
      </w:pPr>
      <w:r w:rsidRPr="00AE0600">
        <w:rPr>
          <w:rFonts w:ascii="Arial" w:hAnsi="Arial" w:cs="Arial"/>
          <w:bCs/>
        </w:rPr>
        <w:t xml:space="preserve">(i) subject to the passing of ordinary resolution 16, to allot equity securities (as defined in section 560 of the Companies Act 2006) for cash pursuant to the authority conferred on them by that resolution under section 551 of that Act; and </w:t>
      </w:r>
    </w:p>
    <w:p w14:paraId="51945C15" w14:textId="77777777" w:rsidR="0031619C" w:rsidRDefault="00AE0600" w:rsidP="0036270E">
      <w:pPr>
        <w:spacing w:after="200"/>
        <w:ind w:left="873"/>
        <w:rPr>
          <w:rFonts w:ascii="Arial" w:hAnsi="Arial" w:cs="Arial"/>
          <w:bCs/>
        </w:rPr>
      </w:pPr>
      <w:r w:rsidRPr="00AE0600">
        <w:rPr>
          <w:rFonts w:ascii="Arial" w:hAnsi="Arial" w:cs="Arial"/>
          <w:bCs/>
        </w:rPr>
        <w:t>(ii) to allot equity securities as defined in section 560(3) of that Act (sale of treasury shares) for cash,</w:t>
      </w:r>
    </w:p>
    <w:p w14:paraId="3E7A9B2D" w14:textId="75A44F56" w:rsidR="000B61F0" w:rsidRDefault="0031619C" w:rsidP="0031619C">
      <w:pPr>
        <w:spacing w:after="200"/>
        <w:ind w:left="720"/>
        <w:rPr>
          <w:rFonts w:ascii="Arial" w:hAnsi="Arial" w:cs="Arial"/>
          <w:bCs/>
        </w:rPr>
      </w:pPr>
      <w:r>
        <w:rPr>
          <w:rFonts w:ascii="Arial" w:hAnsi="Arial" w:cs="Arial"/>
          <w:bCs/>
        </w:rPr>
        <w:t>i</w:t>
      </w:r>
      <w:r w:rsidR="00AE0600" w:rsidRPr="00AE0600">
        <w:rPr>
          <w:rFonts w:ascii="Arial" w:hAnsi="Arial" w:cs="Arial"/>
          <w:bCs/>
        </w:rPr>
        <w:t xml:space="preserve">n either case as if section 561 of that Act did not apply to the allotment or sale, but this power shall be limited to: </w:t>
      </w:r>
    </w:p>
    <w:p w14:paraId="5CC47158" w14:textId="77777777" w:rsidR="00446721" w:rsidRDefault="00AE0600" w:rsidP="003B2C4F">
      <w:pPr>
        <w:spacing w:after="200"/>
        <w:ind w:left="720"/>
        <w:rPr>
          <w:rFonts w:ascii="Arial" w:hAnsi="Arial" w:cs="Arial"/>
          <w:bCs/>
        </w:rPr>
      </w:pPr>
      <w:r w:rsidRPr="00AE0600">
        <w:rPr>
          <w:rFonts w:ascii="Arial" w:hAnsi="Arial" w:cs="Arial"/>
          <w:bCs/>
        </w:rPr>
        <w:lastRenderedPageBreak/>
        <w:t xml:space="preserve">(A) the allotment of equity securities up to a maximum nominal amount of £7,470,477, such authority to be used only for the purposes of financing (or refinancing, if the authority is to be used within 12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 and </w:t>
      </w:r>
    </w:p>
    <w:p w14:paraId="799CF5CE" w14:textId="77777777" w:rsidR="002D65E5" w:rsidRDefault="00AE0600" w:rsidP="003B2C4F">
      <w:pPr>
        <w:spacing w:after="200"/>
        <w:ind w:left="720"/>
        <w:rPr>
          <w:rFonts w:ascii="Arial" w:hAnsi="Arial" w:cs="Arial"/>
          <w:bCs/>
        </w:rPr>
      </w:pPr>
      <w:r w:rsidRPr="00AE0600">
        <w:rPr>
          <w:rFonts w:ascii="Arial" w:hAnsi="Arial" w:cs="Arial"/>
          <w:bCs/>
        </w:rPr>
        <w:t>(B) the allotment of equity securities (otherwise than under paragraph (A) above) up to an aggregate nominal amount equal to 20% of any allotment of equity securities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w:t>
      </w:r>
      <w:r w:rsidR="00446721">
        <w:rPr>
          <w:rFonts w:ascii="Arial" w:hAnsi="Arial" w:cs="Arial"/>
          <w:bCs/>
        </w:rPr>
        <w:t>t</w:t>
      </w:r>
      <w:r w:rsidR="00446721" w:rsidRPr="00446721">
        <w:t xml:space="preserve"> </w:t>
      </w:r>
      <w:r w:rsidR="00446721" w:rsidRPr="00446721">
        <w:rPr>
          <w:rFonts w:ascii="Arial" w:hAnsi="Arial" w:cs="Arial"/>
          <w:bCs/>
        </w:rPr>
        <w:t xml:space="preserve">recently published by the Pre Emption Group prior to the date of this Notice; </w:t>
      </w:r>
    </w:p>
    <w:p w14:paraId="24EAF4BE" w14:textId="77777777" w:rsidR="002D65E5" w:rsidRDefault="00446721" w:rsidP="002D65E5">
      <w:pPr>
        <w:spacing w:after="200"/>
        <w:ind w:left="720"/>
        <w:rPr>
          <w:rFonts w:ascii="Arial" w:hAnsi="Arial" w:cs="Arial"/>
          <w:bCs/>
        </w:rPr>
      </w:pPr>
      <w:r w:rsidRPr="00446721">
        <w:rPr>
          <w:rFonts w:ascii="Arial" w:hAnsi="Arial" w:cs="Arial"/>
          <w:bCs/>
        </w:rPr>
        <w:t xml:space="preserve">(b) this power shall expire at the conclusion of the next AGM of the Company after the passing of this resolution or, if earlier, at the close of business on 1 July 2025; and </w:t>
      </w:r>
    </w:p>
    <w:p w14:paraId="00303764" w14:textId="158EDE18" w:rsidR="00446721" w:rsidRDefault="00446721" w:rsidP="002D65E5">
      <w:pPr>
        <w:spacing w:after="200"/>
        <w:ind w:left="720"/>
        <w:rPr>
          <w:rFonts w:ascii="Arial" w:hAnsi="Arial" w:cs="Arial"/>
          <w:bCs/>
        </w:rPr>
      </w:pPr>
      <w:r w:rsidRPr="00446721">
        <w:rPr>
          <w:rFonts w:ascii="Arial" w:hAnsi="Arial" w:cs="Arial"/>
          <w:bCs/>
        </w:rPr>
        <w:t>(c) the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14:paraId="5782C59D" w14:textId="090057FA" w:rsidR="001933F9" w:rsidRPr="00F25DD2" w:rsidRDefault="001933F9" w:rsidP="005B5798">
      <w:pPr>
        <w:spacing w:after="200"/>
        <w:ind w:left="567" w:hanging="425"/>
        <w:rPr>
          <w:rFonts w:ascii="Arial" w:hAnsi="Arial" w:cs="Arial"/>
          <w:bCs/>
        </w:rPr>
      </w:pPr>
      <w:r w:rsidRPr="00F25DD2">
        <w:rPr>
          <w:rFonts w:ascii="Arial" w:hAnsi="Arial" w:cs="Arial"/>
          <w:bCs/>
        </w:rPr>
        <w:t>C.</w:t>
      </w:r>
      <w:r w:rsidR="008C451C" w:rsidRPr="00F25DD2">
        <w:rPr>
          <w:rFonts w:ascii="Arial" w:hAnsi="Arial" w:cs="Arial"/>
          <w:bCs/>
        </w:rPr>
        <w:tab/>
      </w:r>
      <w:r w:rsidR="00A40823" w:rsidRPr="00A40823">
        <w:rPr>
          <w:rFonts w:ascii="Arial" w:hAnsi="Arial" w:cs="Arial"/>
          <w:bCs/>
        </w:rPr>
        <w:t>That, in accordance with section 701 of the Companies Act 2006, the Company is generally and unconditionally authorised to make market purchases (within the meaning of Section 693 of the Companies Act 2006) of ordinary shares of 28 4/7p each in the capital of the Company (‘ordinary shares’) on such terms and in such manner as the directors of the Company may from time to time determine provided that:</w:t>
      </w:r>
    </w:p>
    <w:p w14:paraId="18E879E1" w14:textId="3EB028D5" w:rsidR="001933F9" w:rsidRPr="00F25DD2" w:rsidRDefault="001933F9" w:rsidP="0032775D">
      <w:pPr>
        <w:spacing w:after="200"/>
        <w:ind w:left="1134" w:hanging="567"/>
        <w:rPr>
          <w:rFonts w:ascii="Arial" w:hAnsi="Arial" w:cs="Arial"/>
          <w:bCs/>
        </w:rPr>
      </w:pPr>
      <w:r w:rsidRPr="00F25DD2">
        <w:rPr>
          <w:rFonts w:ascii="Arial" w:hAnsi="Arial" w:cs="Arial"/>
          <w:bCs/>
        </w:rPr>
        <w:t>(a)</w:t>
      </w:r>
      <w:r w:rsidR="0032775D" w:rsidRPr="00F25DD2">
        <w:rPr>
          <w:rFonts w:ascii="Arial" w:hAnsi="Arial" w:cs="Arial"/>
          <w:bCs/>
        </w:rPr>
        <w:tab/>
      </w:r>
      <w:r w:rsidRPr="00F25DD2">
        <w:rPr>
          <w:rFonts w:ascii="Arial" w:hAnsi="Arial" w:cs="Arial"/>
          <w:bCs/>
        </w:rPr>
        <w:t xml:space="preserve">the maximum aggregate number of ordinary shares that may be purchased under this authority is </w:t>
      </w:r>
      <w:r w:rsidR="00124D5D" w:rsidRPr="00124D5D">
        <w:rPr>
          <w:rFonts w:ascii="Arial" w:hAnsi="Arial" w:cs="Arial"/>
          <w:bCs/>
        </w:rPr>
        <w:t>26,146,669</w:t>
      </w:r>
      <w:r w:rsidRPr="00F25DD2">
        <w:rPr>
          <w:rFonts w:ascii="Arial" w:hAnsi="Arial" w:cs="Arial"/>
          <w:bCs/>
        </w:rPr>
        <w:t>;</w:t>
      </w:r>
    </w:p>
    <w:p w14:paraId="72FDF687" w14:textId="218F2ECD" w:rsidR="001933F9" w:rsidRPr="00F25DD2" w:rsidRDefault="001933F9" w:rsidP="0032775D">
      <w:pPr>
        <w:spacing w:after="200"/>
        <w:ind w:left="1134" w:hanging="567"/>
        <w:rPr>
          <w:rFonts w:ascii="Arial" w:hAnsi="Arial" w:cs="Arial"/>
          <w:bCs/>
        </w:rPr>
      </w:pPr>
      <w:r w:rsidRPr="00F25DD2">
        <w:rPr>
          <w:rFonts w:ascii="Arial" w:hAnsi="Arial" w:cs="Arial"/>
          <w:bCs/>
        </w:rPr>
        <w:t>(b)</w:t>
      </w:r>
      <w:r w:rsidR="0032775D" w:rsidRPr="00F25DD2">
        <w:rPr>
          <w:rFonts w:ascii="Arial" w:hAnsi="Arial" w:cs="Arial"/>
          <w:bCs/>
        </w:rPr>
        <w:tab/>
      </w:r>
      <w:r w:rsidRPr="00F25DD2">
        <w:rPr>
          <w:rFonts w:ascii="Arial" w:hAnsi="Arial" w:cs="Arial"/>
          <w:bCs/>
        </w:rPr>
        <w:t>the minimum price which may be paid shall be 28 4/7p per ordinary share (exclusive of expenses, if any, payable by the Company in connection with the purchase);</w:t>
      </w:r>
    </w:p>
    <w:p w14:paraId="37537D72" w14:textId="4BB049BC" w:rsidR="001933F9" w:rsidRPr="00F25DD2" w:rsidRDefault="001933F9" w:rsidP="003A0C1A">
      <w:pPr>
        <w:spacing w:after="200"/>
        <w:ind w:left="1134" w:hanging="567"/>
        <w:rPr>
          <w:rFonts w:ascii="Arial" w:hAnsi="Arial" w:cs="Arial"/>
          <w:bCs/>
        </w:rPr>
      </w:pPr>
      <w:r w:rsidRPr="00F25DD2">
        <w:rPr>
          <w:rFonts w:ascii="Arial" w:hAnsi="Arial" w:cs="Arial"/>
          <w:bCs/>
        </w:rPr>
        <w:t>(c)</w:t>
      </w:r>
      <w:r w:rsidR="0032775D" w:rsidRPr="00F25DD2">
        <w:rPr>
          <w:rFonts w:ascii="Arial" w:hAnsi="Arial" w:cs="Arial"/>
          <w:bCs/>
        </w:rPr>
        <w:tab/>
      </w:r>
      <w:r w:rsidRPr="00F25DD2">
        <w:rPr>
          <w:rFonts w:ascii="Arial" w:hAnsi="Arial" w:cs="Arial"/>
          <w:bCs/>
        </w:rPr>
        <w:t>the maximum price (exclusive of expenses, if any, payable by the Company in connection with the purchase) which may be paid for an ordinary share purchased under this authority shall not be more than the higher of:</w:t>
      </w:r>
    </w:p>
    <w:p w14:paraId="7D8100F7" w14:textId="48C3F3B1" w:rsidR="001933F9" w:rsidRPr="00F25DD2" w:rsidRDefault="001933F9" w:rsidP="003A0C1A">
      <w:pPr>
        <w:spacing w:after="200"/>
        <w:ind w:left="1701" w:hanging="567"/>
        <w:rPr>
          <w:rFonts w:ascii="Arial" w:hAnsi="Arial" w:cs="Arial"/>
          <w:bCs/>
        </w:rPr>
      </w:pPr>
      <w:r w:rsidRPr="00F25DD2">
        <w:rPr>
          <w:rFonts w:ascii="Arial" w:hAnsi="Arial" w:cs="Arial"/>
          <w:bCs/>
        </w:rPr>
        <w:t>(i)</w:t>
      </w:r>
      <w:r w:rsidR="003A0C1A" w:rsidRPr="00F25DD2">
        <w:rPr>
          <w:rFonts w:ascii="Arial" w:hAnsi="Arial" w:cs="Arial"/>
          <w:bCs/>
        </w:rPr>
        <w:tab/>
      </w:r>
      <w:r w:rsidRPr="00F25DD2">
        <w:rPr>
          <w:rFonts w:ascii="Arial" w:hAnsi="Arial" w:cs="Arial"/>
          <w:bCs/>
        </w:rPr>
        <w:t>105% of the average of the middle market prices shown in the quotations for ordinary shares in the London Stock Exchange Daily Official List for the five business days before the day on which that ordinary Share is purchased; and</w:t>
      </w:r>
    </w:p>
    <w:p w14:paraId="6CD3C261" w14:textId="611CE680" w:rsidR="001933F9" w:rsidRPr="00F25DD2" w:rsidRDefault="001933F9" w:rsidP="006E7126">
      <w:pPr>
        <w:spacing w:after="200"/>
        <w:ind w:left="1701" w:hanging="567"/>
        <w:rPr>
          <w:rFonts w:ascii="Arial" w:hAnsi="Arial" w:cs="Arial"/>
          <w:bCs/>
        </w:rPr>
      </w:pPr>
      <w:r w:rsidRPr="00F25DD2">
        <w:rPr>
          <w:rFonts w:ascii="Arial" w:hAnsi="Arial" w:cs="Arial"/>
          <w:bCs/>
        </w:rPr>
        <w:t>(ii)</w:t>
      </w:r>
      <w:r w:rsidR="006E7126" w:rsidRPr="00F25DD2">
        <w:rPr>
          <w:rFonts w:ascii="Arial" w:hAnsi="Arial" w:cs="Arial"/>
          <w:bCs/>
        </w:rPr>
        <w:tab/>
      </w:r>
      <w:r w:rsidRPr="00F25DD2">
        <w:rPr>
          <w:rFonts w:ascii="Arial" w:hAnsi="Arial" w:cs="Arial"/>
          <w:bCs/>
        </w:rPr>
        <w:t>the amount equal to the higher price of the last independent trade of an ordinary share and the highest current independent bid on the trading venues where the purchase is carried out;</w:t>
      </w:r>
    </w:p>
    <w:p w14:paraId="67F6E006" w14:textId="5AFDC3DF" w:rsidR="001933F9" w:rsidRPr="00F25DD2" w:rsidRDefault="001933F9" w:rsidP="0026296D">
      <w:pPr>
        <w:spacing w:after="200"/>
        <w:ind w:left="1134" w:hanging="567"/>
        <w:rPr>
          <w:rFonts w:ascii="Arial" w:hAnsi="Arial" w:cs="Arial"/>
          <w:bCs/>
        </w:rPr>
      </w:pPr>
      <w:r w:rsidRPr="00F25DD2">
        <w:rPr>
          <w:rFonts w:ascii="Arial" w:hAnsi="Arial" w:cs="Arial"/>
          <w:bCs/>
        </w:rPr>
        <w:t>(d)</w:t>
      </w:r>
      <w:r w:rsidR="004D0CED" w:rsidRPr="00F25DD2">
        <w:rPr>
          <w:rFonts w:ascii="Arial" w:hAnsi="Arial" w:cs="Arial"/>
          <w:bCs/>
        </w:rPr>
        <w:tab/>
      </w:r>
      <w:r w:rsidRPr="00F25DD2">
        <w:rPr>
          <w:rFonts w:ascii="Arial" w:hAnsi="Arial" w:cs="Arial"/>
          <w:bCs/>
        </w:rPr>
        <w:t>the authority hereby conferred shall expire at the conclusion of the next Annual General Meeting of the Company after the passing of this resolution or, if earlier, at the close of business on 1 July 202</w:t>
      </w:r>
      <w:r w:rsidR="00C91430">
        <w:rPr>
          <w:rFonts w:ascii="Arial" w:hAnsi="Arial" w:cs="Arial"/>
          <w:bCs/>
        </w:rPr>
        <w:t>5</w:t>
      </w:r>
      <w:r w:rsidRPr="00F25DD2">
        <w:rPr>
          <w:rFonts w:ascii="Arial" w:hAnsi="Arial" w:cs="Arial"/>
          <w:bCs/>
        </w:rPr>
        <w:t xml:space="preserve"> unless renewed before that time save that the Company may make a contract or contracts to purchase ordinary shares under this authority before its expiry which will or may be executed wholly or partly after the expiry of this authority, and may make a purchase of ordinary shares in pursuance of any such contract; and</w:t>
      </w:r>
    </w:p>
    <w:p w14:paraId="7DE171D8" w14:textId="32ABAC1C" w:rsidR="001933F9" w:rsidRPr="00F25DD2" w:rsidRDefault="001933F9" w:rsidP="0026296D">
      <w:pPr>
        <w:spacing w:after="200"/>
        <w:ind w:left="1134" w:hanging="567"/>
        <w:rPr>
          <w:rFonts w:ascii="Arial" w:hAnsi="Arial" w:cs="Arial"/>
          <w:bCs/>
        </w:rPr>
      </w:pPr>
      <w:r w:rsidRPr="00F25DD2">
        <w:rPr>
          <w:rFonts w:ascii="Arial" w:hAnsi="Arial" w:cs="Arial"/>
          <w:bCs/>
        </w:rPr>
        <w:t>(e)</w:t>
      </w:r>
      <w:r w:rsidR="0026296D" w:rsidRPr="00F25DD2">
        <w:rPr>
          <w:rFonts w:ascii="Arial" w:hAnsi="Arial" w:cs="Arial"/>
          <w:bCs/>
        </w:rPr>
        <w:tab/>
      </w:r>
      <w:r w:rsidRPr="00F25DD2">
        <w:rPr>
          <w:rFonts w:ascii="Arial" w:hAnsi="Arial" w:cs="Arial"/>
          <w:bCs/>
        </w:rPr>
        <w:t xml:space="preserve">all existing authorities for the Company to make market purchases of ordinary shares are revoked, except in relation to the purchase of shares under a contract </w:t>
      </w:r>
      <w:r w:rsidRPr="00F25DD2">
        <w:rPr>
          <w:rFonts w:ascii="Arial" w:hAnsi="Arial" w:cs="Arial"/>
          <w:bCs/>
        </w:rPr>
        <w:lastRenderedPageBreak/>
        <w:t>or contracts concluded before the date of this resolution and which has or have not yet been executed.</w:t>
      </w:r>
    </w:p>
    <w:p w14:paraId="5CAA0222" w14:textId="28155442" w:rsidR="0096712B" w:rsidRDefault="001933F9" w:rsidP="0026296D">
      <w:pPr>
        <w:spacing w:after="200"/>
        <w:ind w:left="567" w:hanging="567"/>
        <w:rPr>
          <w:rFonts w:ascii="Arial" w:hAnsi="Arial" w:cs="Arial"/>
          <w:bCs/>
        </w:rPr>
      </w:pPr>
      <w:r w:rsidRPr="00F25DD2">
        <w:rPr>
          <w:rFonts w:ascii="Arial" w:hAnsi="Arial" w:cs="Arial"/>
          <w:bCs/>
        </w:rPr>
        <w:t>D.</w:t>
      </w:r>
      <w:r w:rsidR="0026296D" w:rsidRPr="00F25DD2">
        <w:rPr>
          <w:rFonts w:ascii="Arial" w:hAnsi="Arial" w:cs="Arial"/>
          <w:bCs/>
        </w:rPr>
        <w:tab/>
      </w:r>
      <w:r w:rsidRPr="00F25DD2">
        <w:rPr>
          <w:rFonts w:ascii="Arial" w:hAnsi="Arial" w:cs="Arial"/>
          <w:bCs/>
        </w:rPr>
        <w:t>That, in accordance with the Company’s articles of association, a general meeting (other than an annual general meeting) may be called on not less than 14 working days’ notice</w:t>
      </w:r>
    </w:p>
    <w:p w14:paraId="59435785" w14:textId="41A09B6B" w:rsidR="001E1D43" w:rsidRPr="00F25DD2" w:rsidRDefault="001E1D43" w:rsidP="0026296D">
      <w:pPr>
        <w:spacing w:after="200"/>
        <w:ind w:left="567" w:hanging="567"/>
        <w:rPr>
          <w:rFonts w:ascii="Arial" w:hAnsi="Arial" w:cs="Arial"/>
        </w:rPr>
      </w:pPr>
      <w:r>
        <w:rPr>
          <w:rFonts w:ascii="Arial" w:hAnsi="Arial" w:cs="Arial"/>
        </w:rPr>
        <w:t>E.</w:t>
      </w:r>
      <w:r>
        <w:rPr>
          <w:rFonts w:ascii="Arial" w:hAnsi="Arial" w:cs="Arial"/>
        </w:rPr>
        <w:tab/>
      </w:r>
      <w:r w:rsidRPr="001E1D43">
        <w:rPr>
          <w:rFonts w:ascii="Arial" w:hAnsi="Arial" w:cs="Arial"/>
        </w:rPr>
        <w:t>That, with effect from the conclusion of the Annual General Meeting, the articles of association produced to the meeting and initialled by the Chair of the meeting for the purpose of identification be adopted as the articles of association of the Company in substitution for, and to the exclusion of, the existing articles of association.</w:t>
      </w:r>
    </w:p>
    <w:p w14:paraId="0120C42C" w14:textId="16A3D798" w:rsidR="004E29E2" w:rsidRPr="00F25DD2" w:rsidRDefault="0068036D" w:rsidP="004E29E2">
      <w:pPr>
        <w:tabs>
          <w:tab w:val="left" w:pos="567"/>
          <w:tab w:val="left" w:pos="1134"/>
        </w:tabs>
        <w:spacing w:after="200"/>
        <w:ind w:left="1134" w:hanging="1134"/>
        <w:rPr>
          <w:rFonts w:ascii="Arial" w:hAnsi="Arial" w:cs="Arial"/>
        </w:rPr>
      </w:pPr>
      <w:r w:rsidRPr="00F25DD2">
        <w:rPr>
          <w:rFonts w:ascii="Arial" w:hAnsi="Arial" w:cs="Arial"/>
          <w:noProof/>
        </w:rPr>
        <w:drawing>
          <wp:anchor distT="0" distB="0" distL="114300" distR="114300" simplePos="0" relativeHeight="251658240" behindDoc="0" locked="0" layoutInCell="1" allowOverlap="1" wp14:anchorId="6A548AE9" wp14:editId="7EA11D1F">
            <wp:simplePos x="0" y="0"/>
            <wp:positionH relativeFrom="column">
              <wp:posOffset>2117</wp:posOffset>
            </wp:positionH>
            <wp:positionV relativeFrom="paragraph">
              <wp:posOffset>207010</wp:posOffset>
            </wp:positionV>
            <wp:extent cx="1926000" cy="6588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926000" cy="658800"/>
                    </a:xfrm>
                    <a:prstGeom prst="rect">
                      <a:avLst/>
                    </a:prstGeom>
                  </pic:spPr>
                </pic:pic>
              </a:graphicData>
            </a:graphic>
            <wp14:sizeRelH relativeFrom="margin">
              <wp14:pctWidth>0</wp14:pctWidth>
            </wp14:sizeRelH>
            <wp14:sizeRelV relativeFrom="margin">
              <wp14:pctHeight>0</wp14:pctHeight>
            </wp14:sizeRelV>
          </wp:anchor>
        </w:drawing>
      </w:r>
      <w:r w:rsidR="004E29E2" w:rsidRPr="00F25DD2">
        <w:rPr>
          <w:rFonts w:ascii="Arial" w:hAnsi="Arial" w:cs="Arial"/>
        </w:rPr>
        <w:t xml:space="preserve">DATED this </w:t>
      </w:r>
      <w:r w:rsidR="00377799" w:rsidRPr="00F25DD2">
        <w:rPr>
          <w:rFonts w:ascii="Arial" w:hAnsi="Arial" w:cs="Arial"/>
        </w:rPr>
        <w:t>9</w:t>
      </w:r>
      <w:r w:rsidR="00343250" w:rsidRPr="00F25DD2">
        <w:rPr>
          <w:rFonts w:ascii="Arial" w:hAnsi="Arial" w:cs="Arial"/>
        </w:rPr>
        <w:t>th</w:t>
      </w:r>
      <w:r w:rsidR="00F6553B" w:rsidRPr="00F25DD2">
        <w:rPr>
          <w:rFonts w:ascii="Arial" w:hAnsi="Arial" w:cs="Arial"/>
        </w:rPr>
        <w:t xml:space="preserve"> day of May, 20</w:t>
      </w:r>
      <w:r w:rsidR="00A01787" w:rsidRPr="00F25DD2">
        <w:rPr>
          <w:rFonts w:ascii="Arial" w:hAnsi="Arial" w:cs="Arial"/>
        </w:rPr>
        <w:t>2</w:t>
      </w:r>
      <w:r w:rsidR="00377799" w:rsidRPr="00F25DD2">
        <w:rPr>
          <w:rFonts w:ascii="Arial" w:hAnsi="Arial" w:cs="Arial"/>
        </w:rPr>
        <w:t>4</w:t>
      </w:r>
    </w:p>
    <w:p w14:paraId="61127C16" w14:textId="7CD04840" w:rsidR="004E29E2" w:rsidRPr="00F25DD2" w:rsidRDefault="004E29E2" w:rsidP="004E29E2">
      <w:pPr>
        <w:tabs>
          <w:tab w:val="left" w:pos="567"/>
          <w:tab w:val="left" w:pos="1134"/>
        </w:tabs>
        <w:spacing w:after="200"/>
        <w:ind w:left="1134" w:hanging="1134"/>
        <w:rPr>
          <w:rFonts w:ascii="Arial" w:hAnsi="Arial" w:cs="Arial"/>
        </w:rPr>
      </w:pPr>
    </w:p>
    <w:p w14:paraId="1D2F495D" w14:textId="77777777" w:rsidR="004E29E2" w:rsidRPr="00F25DD2" w:rsidRDefault="004E29E2" w:rsidP="004E29E2">
      <w:pPr>
        <w:tabs>
          <w:tab w:val="left" w:pos="567"/>
          <w:tab w:val="left" w:pos="1134"/>
        </w:tabs>
        <w:spacing w:after="200"/>
        <w:ind w:left="1134" w:hanging="1134"/>
        <w:rPr>
          <w:rFonts w:ascii="Arial" w:hAnsi="Arial" w:cs="Arial"/>
        </w:rPr>
      </w:pPr>
    </w:p>
    <w:p w14:paraId="6261CA0B" w14:textId="77777777" w:rsidR="000A7B7B" w:rsidRPr="00F25DD2" w:rsidRDefault="000A7B7B" w:rsidP="004E29E2">
      <w:pPr>
        <w:tabs>
          <w:tab w:val="left" w:pos="567"/>
          <w:tab w:val="left" w:pos="1134"/>
        </w:tabs>
        <w:ind w:left="1134" w:hanging="1134"/>
        <w:rPr>
          <w:rFonts w:ascii="Arial" w:hAnsi="Arial" w:cs="Arial"/>
        </w:rPr>
      </w:pPr>
    </w:p>
    <w:p w14:paraId="3A1E2CE8" w14:textId="62FEBF2A" w:rsidR="004E29E2" w:rsidRPr="00F25DD2" w:rsidRDefault="0068036D" w:rsidP="004E29E2">
      <w:pPr>
        <w:tabs>
          <w:tab w:val="left" w:pos="567"/>
          <w:tab w:val="left" w:pos="1134"/>
        </w:tabs>
        <w:ind w:left="1134" w:hanging="1134"/>
        <w:rPr>
          <w:rFonts w:ascii="Arial" w:hAnsi="Arial" w:cs="Arial"/>
        </w:rPr>
      </w:pPr>
      <w:r w:rsidRPr="00F25DD2">
        <w:rPr>
          <w:rFonts w:ascii="Arial" w:hAnsi="Arial" w:cs="Arial"/>
        </w:rPr>
        <w:t>LORD SMITH</w:t>
      </w:r>
      <w:r w:rsidR="00377799" w:rsidRPr="00F25DD2">
        <w:rPr>
          <w:rFonts w:ascii="Arial" w:hAnsi="Arial" w:cs="Arial"/>
        </w:rPr>
        <w:t xml:space="preserve"> OF KELVIN</w:t>
      </w:r>
    </w:p>
    <w:p w14:paraId="32AD9BFF" w14:textId="424AC977" w:rsidR="004E29E2" w:rsidRPr="00F25DD2" w:rsidRDefault="004E29E2" w:rsidP="004E29E2">
      <w:pPr>
        <w:tabs>
          <w:tab w:val="left" w:pos="567"/>
          <w:tab w:val="left" w:pos="1134"/>
        </w:tabs>
        <w:spacing w:after="200"/>
        <w:ind w:left="1134" w:hanging="1134"/>
        <w:rPr>
          <w:rFonts w:ascii="Arial" w:hAnsi="Arial" w:cs="Arial"/>
        </w:rPr>
      </w:pPr>
      <w:r w:rsidRPr="00F25DD2">
        <w:rPr>
          <w:rFonts w:ascii="Arial" w:hAnsi="Arial" w:cs="Arial"/>
        </w:rPr>
        <w:t>Chair</w:t>
      </w:r>
    </w:p>
    <w:sectPr w:rsidR="004E29E2" w:rsidRPr="00F25DD2" w:rsidSect="00771BDF">
      <w:pgSz w:w="11906" w:h="16838"/>
      <w:pgMar w:top="1134" w:right="1304"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D7DAD"/>
    <w:multiLevelType w:val="multilevel"/>
    <w:tmpl w:val="863C1F56"/>
    <w:lvl w:ilvl="0">
      <w:start w:val="1"/>
      <w:numFmt w:val="none"/>
      <w:lvlRestart w:val="0"/>
      <w:pStyle w:val="Heading1"/>
      <w:suff w:val="nothing"/>
      <w:lvlText w:val="%1"/>
      <w:lvlJc w:val="right"/>
      <w:pPr>
        <w:ind w:left="0" w:firstLine="0"/>
      </w:pPr>
    </w:lvl>
    <w:lvl w:ilvl="1">
      <w:start w:val="1"/>
      <w:numFmt w:val="upperLetter"/>
      <w:pStyle w:val="Heading2"/>
      <w:lvlText w:val="%2"/>
      <w:lvlJc w:val="right"/>
      <w:pPr>
        <w:tabs>
          <w:tab w:val="num" w:pos="0"/>
        </w:tabs>
        <w:ind w:left="0" w:hanging="425"/>
      </w:pPr>
    </w:lvl>
    <w:lvl w:ilvl="2">
      <w:start w:val="1"/>
      <w:numFmt w:val="upperRoman"/>
      <w:pStyle w:val="Heading3"/>
      <w:lvlText w:val="%3"/>
      <w:lvlJc w:val="right"/>
      <w:pPr>
        <w:tabs>
          <w:tab w:val="num" w:pos="0"/>
        </w:tabs>
        <w:ind w:left="0" w:hanging="425"/>
      </w:pPr>
    </w:lvl>
    <w:lvl w:ilvl="3">
      <w:start w:val="1"/>
      <w:numFmt w:val="decimal"/>
      <w:pStyle w:val="Heading4"/>
      <w:lvlText w:val="%4"/>
      <w:lvlJc w:val="right"/>
      <w:pPr>
        <w:tabs>
          <w:tab w:val="num" w:pos="0"/>
        </w:tabs>
        <w:ind w:left="0" w:hanging="425"/>
      </w:pPr>
    </w:lvl>
    <w:lvl w:ilvl="4">
      <w:start w:val="1"/>
      <w:numFmt w:val="decimal"/>
      <w:pStyle w:val="Heading5"/>
      <w:lvlText w:val="%4.%5"/>
      <w:lvlJc w:val="right"/>
      <w:pPr>
        <w:tabs>
          <w:tab w:val="num" w:pos="0"/>
        </w:tabs>
        <w:ind w:left="0" w:hanging="425"/>
      </w:pPr>
    </w:lvl>
    <w:lvl w:ilvl="5">
      <w:start w:val="1"/>
      <w:numFmt w:val="decimal"/>
      <w:pStyle w:val="Heading6"/>
      <w:lvlText w:val="%4.%5.%6"/>
      <w:lvlJc w:val="right"/>
      <w:pPr>
        <w:tabs>
          <w:tab w:val="num" w:pos="0"/>
        </w:tabs>
        <w:ind w:left="0" w:hanging="425"/>
      </w:pPr>
    </w:lvl>
    <w:lvl w:ilvl="6">
      <w:start w:val="1"/>
      <w:numFmt w:val="decimal"/>
      <w:pStyle w:val="Heading7"/>
      <w:lvlText w:val="%4.%5.%6.%7"/>
      <w:lvlJc w:val="right"/>
      <w:pPr>
        <w:tabs>
          <w:tab w:val="num" w:pos="0"/>
        </w:tabs>
        <w:ind w:left="0" w:hanging="425"/>
      </w:pPr>
    </w:lvl>
    <w:lvl w:ilvl="7">
      <w:start w:val="1"/>
      <w:numFmt w:val="lowerLetter"/>
      <w:pStyle w:val="Heading8"/>
      <w:lvlText w:val="%8)"/>
      <w:lvlJc w:val="right"/>
      <w:pPr>
        <w:tabs>
          <w:tab w:val="num" w:pos="0"/>
        </w:tabs>
        <w:ind w:left="0" w:hanging="425"/>
      </w:pPr>
    </w:lvl>
    <w:lvl w:ilvl="8">
      <w:start w:val="1"/>
      <w:numFmt w:val="lowerRoman"/>
      <w:pStyle w:val="Heading9"/>
      <w:lvlText w:val="%9)"/>
      <w:lvlJc w:val="right"/>
      <w:pPr>
        <w:tabs>
          <w:tab w:val="num" w:pos="0"/>
        </w:tabs>
        <w:ind w:left="0" w:hanging="425"/>
      </w:pPr>
    </w:lvl>
  </w:abstractNum>
  <w:abstractNum w:abstractNumId="1" w15:restartNumberingAfterBreak="0">
    <w:nsid w:val="1E765139"/>
    <w:multiLevelType w:val="multilevel"/>
    <w:tmpl w:val="72B4C8C0"/>
    <w:lvl w:ilvl="0">
      <w:start w:val="1"/>
      <w:numFmt w:val="none"/>
      <w:lvlRestart w:val="0"/>
      <w:pStyle w:val="TextTopNum0"/>
      <w:suff w:val="nothing"/>
      <w:lvlText w:val="%1"/>
      <w:lvlJc w:val="right"/>
      <w:pPr>
        <w:ind w:left="0" w:firstLine="0"/>
      </w:pPr>
    </w:lvl>
    <w:lvl w:ilvl="1">
      <w:start w:val="1"/>
      <w:numFmt w:val="decimal"/>
      <w:pStyle w:val="TextTopNum1"/>
      <w:lvlText w:val="%2"/>
      <w:lvlJc w:val="right"/>
      <w:pPr>
        <w:tabs>
          <w:tab w:val="num" w:pos="0"/>
        </w:tabs>
        <w:ind w:left="0" w:hanging="425"/>
      </w:pPr>
    </w:lvl>
    <w:lvl w:ilvl="2">
      <w:start w:val="1"/>
      <w:numFmt w:val="decimal"/>
      <w:pStyle w:val="TextTopNum2"/>
      <w:lvlText w:val="%2.%3"/>
      <w:lvlJc w:val="right"/>
      <w:pPr>
        <w:tabs>
          <w:tab w:val="num" w:pos="0"/>
        </w:tabs>
        <w:ind w:left="0" w:hanging="425"/>
      </w:pPr>
    </w:lvl>
    <w:lvl w:ilvl="3">
      <w:start w:val="1"/>
      <w:numFmt w:val="decimal"/>
      <w:pStyle w:val="TextTopNum3"/>
      <w:lvlText w:val="%2.%3.%4"/>
      <w:lvlJc w:val="right"/>
      <w:pPr>
        <w:tabs>
          <w:tab w:val="num" w:pos="0"/>
        </w:tabs>
        <w:ind w:left="0" w:hanging="425"/>
      </w:pPr>
    </w:lvl>
    <w:lvl w:ilvl="4">
      <w:start w:val="1"/>
      <w:numFmt w:val="lowerLetter"/>
      <w:pStyle w:val="List"/>
      <w:lvlText w:val="%5)"/>
      <w:lvlJc w:val="left"/>
      <w:pPr>
        <w:tabs>
          <w:tab w:val="num" w:pos="595"/>
        </w:tabs>
        <w:ind w:left="595" w:hanging="595"/>
      </w:pPr>
    </w:lvl>
    <w:lvl w:ilvl="5">
      <w:start w:val="1"/>
      <w:numFmt w:val="lowerRoman"/>
      <w:pStyle w:val="List2"/>
      <w:lvlText w:val="%6)"/>
      <w:lvlJc w:val="left"/>
      <w:pPr>
        <w:tabs>
          <w:tab w:val="num" w:pos="595"/>
        </w:tabs>
        <w:ind w:left="595" w:hanging="595"/>
      </w:pPr>
    </w:lvl>
    <w:lvl w:ilvl="6">
      <w:start w:val="1"/>
      <w:numFmt w:val="lowerLetter"/>
      <w:lvlText w:val="(%7)"/>
      <w:lvlJc w:val="left"/>
      <w:pPr>
        <w:tabs>
          <w:tab w:val="num" w:pos="1191"/>
        </w:tabs>
        <w:ind w:left="1191" w:hanging="596"/>
      </w:pPr>
    </w:lvl>
    <w:lvl w:ilvl="7">
      <w:start w:val="1"/>
      <w:numFmt w:val="lowerRoman"/>
      <w:lvlText w:val="(%8)"/>
      <w:lvlJc w:val="left"/>
      <w:pPr>
        <w:tabs>
          <w:tab w:val="num" w:pos="1191"/>
        </w:tabs>
        <w:ind w:left="1191" w:hanging="596"/>
      </w:pPr>
    </w:lvl>
    <w:lvl w:ilvl="8">
      <w:start w:val="27"/>
      <w:numFmt w:val="lowerLetter"/>
      <w:lvlText w:val="(%9)"/>
      <w:lvlJc w:val="left"/>
      <w:pPr>
        <w:tabs>
          <w:tab w:val="num" w:pos="1191"/>
        </w:tabs>
        <w:ind w:left="1191" w:hanging="596"/>
      </w:pPr>
    </w:lvl>
  </w:abstractNum>
  <w:abstractNum w:abstractNumId="2" w15:restartNumberingAfterBreak="0">
    <w:nsid w:val="7CDF56E3"/>
    <w:multiLevelType w:val="multilevel"/>
    <w:tmpl w:val="47E44BE6"/>
    <w:lvl w:ilvl="0">
      <w:start w:val="1"/>
      <w:numFmt w:val="bullet"/>
      <w:lvlRestart w:val="0"/>
      <w:pStyle w:val="List3"/>
      <w:lvlText w:val=""/>
      <w:lvlJc w:val="left"/>
      <w:pPr>
        <w:tabs>
          <w:tab w:val="num" w:pos="595"/>
        </w:tabs>
        <w:ind w:left="595" w:hanging="595"/>
      </w:pPr>
      <w:rPr>
        <w:rFonts w:ascii="Symbol" w:hAnsi="Symbol" w:hint="default"/>
      </w:rPr>
    </w:lvl>
    <w:lvl w:ilvl="1">
      <w:start w:val="1"/>
      <w:numFmt w:val="bullet"/>
      <w:lvlRestart w:val="0"/>
      <w:lvlText w:val=""/>
      <w:lvlJc w:val="left"/>
      <w:pPr>
        <w:tabs>
          <w:tab w:val="num" w:pos="1191"/>
        </w:tabs>
        <w:ind w:left="1191" w:hanging="596"/>
      </w:pPr>
      <w:rPr>
        <w:rFonts w:ascii="Symbol" w:hAnsi="Symbol" w:hint="default"/>
      </w:rPr>
    </w:lvl>
    <w:lvl w:ilvl="2">
      <w:start w:val="1"/>
      <w:numFmt w:val="bullet"/>
      <w:lvlRestart w:val="0"/>
      <w:lvlText w:val=""/>
      <w:lvlJc w:val="left"/>
      <w:pPr>
        <w:tabs>
          <w:tab w:val="num" w:pos="1786"/>
        </w:tabs>
        <w:ind w:left="1786" w:hanging="595"/>
      </w:pPr>
      <w:rPr>
        <w:rFonts w:ascii="Symbol" w:hAnsi="Symbol" w:hint="default"/>
      </w:rPr>
    </w:lvl>
    <w:lvl w:ilvl="3">
      <w:start w:val="1"/>
      <w:numFmt w:val="bullet"/>
      <w:lvlRestart w:val="0"/>
      <w:pStyle w:val="List4"/>
      <w:lvlText w:val=""/>
      <w:lvlJc w:val="left"/>
      <w:pPr>
        <w:tabs>
          <w:tab w:val="num" w:pos="595"/>
        </w:tabs>
        <w:ind w:left="595" w:hanging="595"/>
      </w:pPr>
      <w:rPr>
        <w:rFonts w:ascii="Symbol" w:hAnsi="Symbol" w:hint="default"/>
      </w:rPr>
    </w:lvl>
    <w:lvl w:ilvl="4">
      <w:start w:val="1"/>
      <w:numFmt w:val="bullet"/>
      <w:lvlRestart w:val="0"/>
      <w:lvlText w:val=""/>
      <w:lvlJc w:val="left"/>
      <w:pPr>
        <w:tabs>
          <w:tab w:val="num" w:pos="1191"/>
        </w:tabs>
        <w:ind w:left="1191" w:hanging="596"/>
      </w:pPr>
      <w:rPr>
        <w:rFonts w:ascii="Symbol" w:hAnsi="Symbol" w:hint="default"/>
      </w:rPr>
    </w:lvl>
    <w:lvl w:ilvl="5">
      <w:start w:val="1"/>
      <w:numFmt w:val="bullet"/>
      <w:lvlRestart w:val="0"/>
      <w:lvlText w:val=""/>
      <w:lvlJc w:val="left"/>
      <w:pPr>
        <w:tabs>
          <w:tab w:val="num" w:pos="1786"/>
        </w:tabs>
        <w:ind w:left="1786" w:hanging="595"/>
      </w:pPr>
      <w:rPr>
        <w:rFonts w:ascii="Symbol" w:hAnsi="Symbol" w:hint="default"/>
      </w:rPr>
    </w:lvl>
    <w:lvl w:ilvl="6">
      <w:start w:val="1"/>
      <w:numFmt w:val="bullet"/>
      <w:lvlRestart w:val="0"/>
      <w:pStyle w:val="List5"/>
      <w:lvlText w:val=""/>
      <w:lvlJc w:val="left"/>
      <w:pPr>
        <w:tabs>
          <w:tab w:val="num" w:pos="595"/>
        </w:tabs>
        <w:ind w:left="595" w:hanging="595"/>
      </w:pPr>
      <w:rPr>
        <w:rFonts w:ascii="Wingdings" w:hAnsi="Wingdings" w:hint="default"/>
      </w:rPr>
    </w:lvl>
    <w:lvl w:ilvl="7">
      <w:start w:val="1"/>
      <w:numFmt w:val="bullet"/>
      <w:lvlRestart w:val="0"/>
      <w:lvlText w:val=""/>
      <w:lvlJc w:val="left"/>
      <w:pPr>
        <w:tabs>
          <w:tab w:val="num" w:pos="1191"/>
        </w:tabs>
        <w:ind w:left="1191" w:hanging="596"/>
      </w:pPr>
      <w:rPr>
        <w:rFonts w:ascii="Wingdings" w:hAnsi="Wingdings" w:hint="default"/>
      </w:rPr>
    </w:lvl>
    <w:lvl w:ilvl="8">
      <w:start w:val="1"/>
      <w:numFmt w:val="bullet"/>
      <w:lvlRestart w:val="0"/>
      <w:lvlText w:val=""/>
      <w:lvlJc w:val="left"/>
      <w:pPr>
        <w:tabs>
          <w:tab w:val="num" w:pos="1786"/>
        </w:tabs>
        <w:ind w:left="1786" w:hanging="595"/>
      </w:pPr>
      <w:rPr>
        <w:rFonts w:ascii="Wingdings" w:hAnsi="Wingdings" w:hint="default"/>
      </w:rPr>
    </w:lvl>
  </w:abstractNum>
  <w:num w:numId="1" w16cid:durableId="2101562207">
    <w:abstractNumId w:val="1"/>
  </w:num>
  <w:num w:numId="2" w16cid:durableId="418019486">
    <w:abstractNumId w:val="1"/>
  </w:num>
  <w:num w:numId="3" w16cid:durableId="1288967873">
    <w:abstractNumId w:val="1"/>
  </w:num>
  <w:num w:numId="4" w16cid:durableId="2142913589">
    <w:abstractNumId w:val="1"/>
  </w:num>
  <w:num w:numId="5" w16cid:durableId="492726118">
    <w:abstractNumId w:val="0"/>
  </w:num>
  <w:num w:numId="6" w16cid:durableId="1162425228">
    <w:abstractNumId w:val="0"/>
  </w:num>
  <w:num w:numId="7" w16cid:durableId="836068403">
    <w:abstractNumId w:val="0"/>
  </w:num>
  <w:num w:numId="8" w16cid:durableId="1780875284">
    <w:abstractNumId w:val="0"/>
  </w:num>
  <w:num w:numId="9" w16cid:durableId="2712254">
    <w:abstractNumId w:val="0"/>
  </w:num>
  <w:num w:numId="10" w16cid:durableId="716589235">
    <w:abstractNumId w:val="0"/>
  </w:num>
  <w:num w:numId="11" w16cid:durableId="123155461">
    <w:abstractNumId w:val="0"/>
  </w:num>
  <w:num w:numId="12" w16cid:durableId="309359991">
    <w:abstractNumId w:val="0"/>
  </w:num>
  <w:num w:numId="13" w16cid:durableId="937710652">
    <w:abstractNumId w:val="0"/>
  </w:num>
  <w:num w:numId="14" w16cid:durableId="1724324455">
    <w:abstractNumId w:val="1"/>
  </w:num>
  <w:num w:numId="15" w16cid:durableId="1251505655">
    <w:abstractNumId w:val="1"/>
  </w:num>
  <w:num w:numId="16" w16cid:durableId="1670016437">
    <w:abstractNumId w:val="2"/>
  </w:num>
  <w:num w:numId="17" w16cid:durableId="182328746">
    <w:abstractNumId w:val="2"/>
  </w:num>
  <w:num w:numId="18" w16cid:durableId="1320886310">
    <w:abstractNumId w:val="2"/>
  </w:num>
  <w:num w:numId="19" w16cid:durableId="1385716980">
    <w:abstractNumId w:val="1"/>
  </w:num>
  <w:num w:numId="20" w16cid:durableId="1723555460">
    <w:abstractNumId w:val="1"/>
  </w:num>
  <w:num w:numId="21" w16cid:durableId="1735277118">
    <w:abstractNumId w:val="1"/>
  </w:num>
  <w:num w:numId="22" w16cid:durableId="44454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24"/>
    <w:rsid w:val="0000091A"/>
    <w:rsid w:val="0002724D"/>
    <w:rsid w:val="00046277"/>
    <w:rsid w:val="00093748"/>
    <w:rsid w:val="000A2781"/>
    <w:rsid w:val="000A27FE"/>
    <w:rsid w:val="000A3F16"/>
    <w:rsid w:val="000A7B7B"/>
    <w:rsid w:val="000B42D6"/>
    <w:rsid w:val="000B61F0"/>
    <w:rsid w:val="000F37D1"/>
    <w:rsid w:val="0010516A"/>
    <w:rsid w:val="00124D5D"/>
    <w:rsid w:val="001534D3"/>
    <w:rsid w:val="00186094"/>
    <w:rsid w:val="001933F9"/>
    <w:rsid w:val="001A6450"/>
    <w:rsid w:val="001E1D43"/>
    <w:rsid w:val="001E454E"/>
    <w:rsid w:val="001F20EC"/>
    <w:rsid w:val="001F5EAD"/>
    <w:rsid w:val="002158F7"/>
    <w:rsid w:val="002220E4"/>
    <w:rsid w:val="0026296D"/>
    <w:rsid w:val="00265A2A"/>
    <w:rsid w:val="002C7F1B"/>
    <w:rsid w:val="002D65E5"/>
    <w:rsid w:val="002D6B2B"/>
    <w:rsid w:val="002F182B"/>
    <w:rsid w:val="0031619C"/>
    <w:rsid w:val="00322731"/>
    <w:rsid w:val="0032775D"/>
    <w:rsid w:val="00333814"/>
    <w:rsid w:val="00343250"/>
    <w:rsid w:val="0036270E"/>
    <w:rsid w:val="00373EA9"/>
    <w:rsid w:val="00377799"/>
    <w:rsid w:val="00380A3D"/>
    <w:rsid w:val="003A0C1A"/>
    <w:rsid w:val="003B2C4F"/>
    <w:rsid w:val="003C4261"/>
    <w:rsid w:val="003D54F3"/>
    <w:rsid w:val="003E2C48"/>
    <w:rsid w:val="004308B2"/>
    <w:rsid w:val="00446721"/>
    <w:rsid w:val="00465D35"/>
    <w:rsid w:val="00497EB4"/>
    <w:rsid w:val="004B6BFB"/>
    <w:rsid w:val="004D0CED"/>
    <w:rsid w:val="004E29E2"/>
    <w:rsid w:val="004E4477"/>
    <w:rsid w:val="004E5653"/>
    <w:rsid w:val="00540E8D"/>
    <w:rsid w:val="00553998"/>
    <w:rsid w:val="0057607E"/>
    <w:rsid w:val="005A5366"/>
    <w:rsid w:val="005B5798"/>
    <w:rsid w:val="005C1D17"/>
    <w:rsid w:val="005C25DC"/>
    <w:rsid w:val="005D0408"/>
    <w:rsid w:val="005D0527"/>
    <w:rsid w:val="005D6DA2"/>
    <w:rsid w:val="0064465F"/>
    <w:rsid w:val="006530E9"/>
    <w:rsid w:val="006617A1"/>
    <w:rsid w:val="006749DB"/>
    <w:rsid w:val="0068036D"/>
    <w:rsid w:val="006944D9"/>
    <w:rsid w:val="006E7126"/>
    <w:rsid w:val="00771BDF"/>
    <w:rsid w:val="007F7792"/>
    <w:rsid w:val="00881DE1"/>
    <w:rsid w:val="00896C66"/>
    <w:rsid w:val="008C451C"/>
    <w:rsid w:val="008E53A1"/>
    <w:rsid w:val="008F4419"/>
    <w:rsid w:val="008F55F1"/>
    <w:rsid w:val="008F63D3"/>
    <w:rsid w:val="0091169C"/>
    <w:rsid w:val="0091499D"/>
    <w:rsid w:val="00924F3B"/>
    <w:rsid w:val="00963AD4"/>
    <w:rsid w:val="0096712B"/>
    <w:rsid w:val="009A4D25"/>
    <w:rsid w:val="009C508A"/>
    <w:rsid w:val="00A01787"/>
    <w:rsid w:val="00A40823"/>
    <w:rsid w:val="00A53AF2"/>
    <w:rsid w:val="00A55B39"/>
    <w:rsid w:val="00AB4C36"/>
    <w:rsid w:val="00AD7C4D"/>
    <w:rsid w:val="00AE0600"/>
    <w:rsid w:val="00B51824"/>
    <w:rsid w:val="00B6726B"/>
    <w:rsid w:val="00B74049"/>
    <w:rsid w:val="00B81904"/>
    <w:rsid w:val="00BA7293"/>
    <w:rsid w:val="00C5480E"/>
    <w:rsid w:val="00C91430"/>
    <w:rsid w:val="00C94EEF"/>
    <w:rsid w:val="00CD7CAF"/>
    <w:rsid w:val="00CE463D"/>
    <w:rsid w:val="00D3210B"/>
    <w:rsid w:val="00D6045A"/>
    <w:rsid w:val="00D7213E"/>
    <w:rsid w:val="00E044CC"/>
    <w:rsid w:val="00E12F9D"/>
    <w:rsid w:val="00E1552B"/>
    <w:rsid w:val="00E21537"/>
    <w:rsid w:val="00E449F1"/>
    <w:rsid w:val="00E45950"/>
    <w:rsid w:val="00E51A88"/>
    <w:rsid w:val="00E75B4E"/>
    <w:rsid w:val="00E940FA"/>
    <w:rsid w:val="00EC4E69"/>
    <w:rsid w:val="00ED241F"/>
    <w:rsid w:val="00F25DD2"/>
    <w:rsid w:val="00F6553B"/>
    <w:rsid w:val="00F66B58"/>
    <w:rsid w:val="00F673D4"/>
    <w:rsid w:val="00F76D0F"/>
    <w:rsid w:val="00F87F11"/>
    <w:rsid w:val="00FA3F93"/>
    <w:rsid w:val="00FF5F9E"/>
    <w:rsid w:val="00FF6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A33B"/>
  <w15:chartTrackingRefBased/>
  <w15:docId w15:val="{29566E34-B3A6-47D9-AA9B-EEEE0278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77"/>
  </w:style>
  <w:style w:type="paragraph" w:styleId="Heading1">
    <w:name w:val="heading 1"/>
    <w:basedOn w:val="Normal"/>
    <w:next w:val="Normal"/>
    <w:link w:val="Heading1Char"/>
    <w:qFormat/>
    <w:rsid w:val="004E4477"/>
    <w:pPr>
      <w:keepNext/>
      <w:keepLines/>
      <w:numPr>
        <w:numId w:val="13"/>
      </w:numPr>
      <w:tabs>
        <w:tab w:val="center" w:pos="4139"/>
      </w:tabs>
      <w:spacing w:after="140"/>
      <w:outlineLvl w:val="0"/>
    </w:pPr>
    <w:rPr>
      <w:rFonts w:cs="Arial"/>
      <w:bCs/>
      <w:kern w:val="32"/>
      <w:sz w:val="28"/>
      <w:szCs w:val="32"/>
    </w:rPr>
  </w:style>
  <w:style w:type="paragraph" w:styleId="Heading2">
    <w:name w:val="heading 2"/>
    <w:basedOn w:val="Heading1"/>
    <w:next w:val="Normal"/>
    <w:link w:val="Heading2Char"/>
    <w:qFormat/>
    <w:rsid w:val="004E4477"/>
    <w:pPr>
      <w:numPr>
        <w:ilvl w:val="1"/>
      </w:numPr>
      <w:tabs>
        <w:tab w:val="clear" w:pos="4139"/>
      </w:tabs>
      <w:spacing w:before="420" w:after="0"/>
      <w:outlineLvl w:val="1"/>
    </w:pPr>
    <w:rPr>
      <w:b/>
      <w:bCs w:val="0"/>
      <w:iCs/>
      <w:sz w:val="22"/>
      <w:szCs w:val="28"/>
    </w:rPr>
  </w:style>
  <w:style w:type="paragraph" w:styleId="Heading3">
    <w:name w:val="heading 3"/>
    <w:basedOn w:val="Heading1"/>
    <w:next w:val="Normal"/>
    <w:link w:val="Heading3Char"/>
    <w:qFormat/>
    <w:rsid w:val="004E4477"/>
    <w:pPr>
      <w:numPr>
        <w:ilvl w:val="2"/>
      </w:numPr>
      <w:tabs>
        <w:tab w:val="clear" w:pos="4139"/>
      </w:tabs>
      <w:spacing w:before="420" w:after="0"/>
      <w:outlineLvl w:val="2"/>
    </w:pPr>
    <w:rPr>
      <w:b/>
      <w:bCs w:val="0"/>
      <w:sz w:val="22"/>
      <w:szCs w:val="26"/>
    </w:rPr>
  </w:style>
  <w:style w:type="paragraph" w:styleId="Heading4">
    <w:name w:val="heading 4"/>
    <w:basedOn w:val="Heading1"/>
    <w:next w:val="Normal"/>
    <w:link w:val="Heading4Char"/>
    <w:qFormat/>
    <w:rsid w:val="004E4477"/>
    <w:pPr>
      <w:numPr>
        <w:ilvl w:val="3"/>
      </w:numPr>
      <w:tabs>
        <w:tab w:val="clear" w:pos="4139"/>
      </w:tabs>
      <w:spacing w:after="0"/>
      <w:outlineLvl w:val="3"/>
    </w:pPr>
    <w:rPr>
      <w:b/>
      <w:bCs w:val="0"/>
      <w:sz w:val="20"/>
      <w:szCs w:val="28"/>
    </w:rPr>
  </w:style>
  <w:style w:type="paragraph" w:styleId="Heading5">
    <w:name w:val="heading 5"/>
    <w:basedOn w:val="Heading1"/>
    <w:next w:val="Normal"/>
    <w:link w:val="Heading5Char"/>
    <w:qFormat/>
    <w:rsid w:val="004E4477"/>
    <w:pPr>
      <w:numPr>
        <w:ilvl w:val="4"/>
      </w:numPr>
      <w:tabs>
        <w:tab w:val="clear" w:pos="4139"/>
      </w:tabs>
      <w:spacing w:after="0"/>
      <w:outlineLvl w:val="4"/>
    </w:pPr>
    <w:rPr>
      <w:b/>
      <w:bCs w:val="0"/>
      <w:iCs/>
      <w:sz w:val="20"/>
      <w:szCs w:val="26"/>
    </w:rPr>
  </w:style>
  <w:style w:type="paragraph" w:styleId="Heading6">
    <w:name w:val="heading 6"/>
    <w:basedOn w:val="Heading1"/>
    <w:next w:val="Normal"/>
    <w:link w:val="Heading6Char"/>
    <w:qFormat/>
    <w:rsid w:val="004E4477"/>
    <w:pPr>
      <w:numPr>
        <w:ilvl w:val="5"/>
      </w:numPr>
      <w:tabs>
        <w:tab w:val="clear" w:pos="4139"/>
      </w:tabs>
      <w:spacing w:after="0"/>
      <w:outlineLvl w:val="5"/>
    </w:pPr>
    <w:rPr>
      <w:b/>
      <w:bCs w:val="0"/>
      <w:sz w:val="20"/>
      <w:szCs w:val="22"/>
    </w:rPr>
  </w:style>
  <w:style w:type="paragraph" w:styleId="Heading7">
    <w:name w:val="heading 7"/>
    <w:basedOn w:val="Heading1"/>
    <w:next w:val="Normal"/>
    <w:link w:val="Heading7Char"/>
    <w:qFormat/>
    <w:rsid w:val="004E4477"/>
    <w:pPr>
      <w:numPr>
        <w:ilvl w:val="6"/>
      </w:numPr>
      <w:tabs>
        <w:tab w:val="clear" w:pos="4139"/>
      </w:tabs>
      <w:spacing w:after="0"/>
      <w:outlineLvl w:val="6"/>
    </w:pPr>
    <w:rPr>
      <w:b/>
      <w:sz w:val="20"/>
    </w:rPr>
  </w:style>
  <w:style w:type="paragraph" w:styleId="Heading8">
    <w:name w:val="heading 8"/>
    <w:basedOn w:val="Heading1"/>
    <w:next w:val="Normal"/>
    <w:link w:val="Heading8Char"/>
    <w:qFormat/>
    <w:rsid w:val="004E4477"/>
    <w:pPr>
      <w:numPr>
        <w:ilvl w:val="7"/>
      </w:numPr>
      <w:tabs>
        <w:tab w:val="clear" w:pos="4139"/>
      </w:tabs>
      <w:spacing w:after="0"/>
      <w:outlineLvl w:val="7"/>
    </w:pPr>
    <w:rPr>
      <w:b/>
      <w:iCs/>
      <w:sz w:val="20"/>
    </w:rPr>
  </w:style>
  <w:style w:type="paragraph" w:styleId="Heading9">
    <w:name w:val="heading 9"/>
    <w:basedOn w:val="Heading1"/>
    <w:next w:val="Normal"/>
    <w:link w:val="Heading9Char"/>
    <w:qFormat/>
    <w:rsid w:val="004E4477"/>
    <w:pPr>
      <w:numPr>
        <w:ilvl w:val="8"/>
      </w:numPr>
      <w:tabs>
        <w:tab w:val="clear" w:pos="4139"/>
      </w:tabs>
      <w:spacing w:after="0"/>
      <w:outlineLvl w:val="8"/>
    </w:pPr>
    <w:rPr>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4E4477"/>
    <w:pPr>
      <w:tabs>
        <w:tab w:val="right" w:pos="7030"/>
      </w:tabs>
      <w:spacing w:after="20"/>
      <w:ind w:right="1247"/>
    </w:pPr>
    <w:rPr>
      <w:noProof/>
    </w:rPr>
  </w:style>
  <w:style w:type="paragraph" w:customStyle="1" w:styleId="DateStamp">
    <w:name w:val="Date Stamp"/>
    <w:basedOn w:val="Normal"/>
    <w:rsid w:val="004E4477"/>
    <w:pPr>
      <w:spacing w:after="20"/>
    </w:pPr>
  </w:style>
  <w:style w:type="paragraph" w:customStyle="1" w:styleId="Evidence">
    <w:name w:val="Evidence"/>
    <w:basedOn w:val="Normal"/>
    <w:rsid w:val="004E4477"/>
  </w:style>
  <w:style w:type="paragraph" w:customStyle="1" w:styleId="Motion">
    <w:name w:val="Motion"/>
    <w:basedOn w:val="Normal"/>
    <w:next w:val="Normal"/>
    <w:rsid w:val="004E4477"/>
    <w:pPr>
      <w:ind w:left="595"/>
      <w:jc w:val="center"/>
    </w:pPr>
    <w:rPr>
      <w:b/>
    </w:rPr>
  </w:style>
  <w:style w:type="paragraph" w:customStyle="1" w:styleId="Subject">
    <w:name w:val="Subject"/>
    <w:basedOn w:val="Normal"/>
    <w:next w:val="Normal"/>
    <w:rsid w:val="004E4477"/>
    <w:pPr>
      <w:spacing w:before="720" w:after="560"/>
    </w:pPr>
    <w:rPr>
      <w:b/>
    </w:rPr>
  </w:style>
  <w:style w:type="paragraph" w:customStyle="1" w:styleId="TextTopNum0">
    <w:name w:val="Text Top Num 0"/>
    <w:basedOn w:val="Normal"/>
    <w:next w:val="Normal"/>
    <w:rsid w:val="004E4477"/>
    <w:pPr>
      <w:numPr>
        <w:numId w:val="22"/>
      </w:numPr>
    </w:pPr>
  </w:style>
  <w:style w:type="paragraph" w:customStyle="1" w:styleId="TextTopNum1">
    <w:name w:val="Text Top Num 1"/>
    <w:basedOn w:val="Normal"/>
    <w:rsid w:val="004E4477"/>
    <w:pPr>
      <w:numPr>
        <w:ilvl w:val="1"/>
        <w:numId w:val="22"/>
      </w:numPr>
    </w:pPr>
  </w:style>
  <w:style w:type="paragraph" w:customStyle="1" w:styleId="TextTopNum2">
    <w:name w:val="Text Top Num 2"/>
    <w:basedOn w:val="Normal"/>
    <w:rsid w:val="004E4477"/>
    <w:pPr>
      <w:numPr>
        <w:ilvl w:val="2"/>
        <w:numId w:val="22"/>
      </w:numPr>
    </w:pPr>
  </w:style>
  <w:style w:type="paragraph" w:customStyle="1" w:styleId="TextTopNum3">
    <w:name w:val="Text Top Num 3"/>
    <w:basedOn w:val="Normal"/>
    <w:rsid w:val="004E4477"/>
    <w:pPr>
      <w:numPr>
        <w:ilvl w:val="3"/>
        <w:numId w:val="22"/>
      </w:numPr>
    </w:pPr>
  </w:style>
  <w:style w:type="character" w:customStyle="1" w:styleId="DeltaViewInsertion">
    <w:name w:val="DeltaView Insertion"/>
    <w:uiPriority w:val="99"/>
    <w:rsid w:val="004E4477"/>
    <w:rPr>
      <w:color w:val="0000FF"/>
      <w:u w:val="double"/>
    </w:rPr>
  </w:style>
  <w:style w:type="character" w:customStyle="1" w:styleId="DeltaViewDeletion">
    <w:name w:val="DeltaView Deletion"/>
    <w:uiPriority w:val="99"/>
    <w:rsid w:val="004E4477"/>
    <w:rPr>
      <w:strike/>
      <w:color w:val="FF0000"/>
    </w:rPr>
  </w:style>
  <w:style w:type="character" w:customStyle="1" w:styleId="Heading1Char">
    <w:name w:val="Heading 1 Char"/>
    <w:basedOn w:val="DefaultParagraphFont"/>
    <w:link w:val="Heading1"/>
    <w:rsid w:val="004E4477"/>
    <w:rPr>
      <w:rFonts w:ascii="Calibri" w:eastAsia="Times New Roman" w:hAnsi="Calibri" w:cs="Arial"/>
      <w:bCs/>
      <w:kern w:val="32"/>
      <w:sz w:val="28"/>
      <w:szCs w:val="32"/>
      <w:lang w:eastAsia="de-DE"/>
    </w:rPr>
  </w:style>
  <w:style w:type="character" w:customStyle="1" w:styleId="Heading2Char">
    <w:name w:val="Heading 2 Char"/>
    <w:basedOn w:val="DefaultParagraphFont"/>
    <w:link w:val="Heading2"/>
    <w:rsid w:val="004E4477"/>
    <w:rPr>
      <w:rFonts w:ascii="Calibri" w:eastAsia="Times New Roman" w:hAnsi="Calibri" w:cs="Arial"/>
      <w:b/>
      <w:iCs/>
      <w:kern w:val="32"/>
      <w:szCs w:val="28"/>
      <w:lang w:eastAsia="de-DE"/>
    </w:rPr>
  </w:style>
  <w:style w:type="character" w:customStyle="1" w:styleId="Heading3Char">
    <w:name w:val="Heading 3 Char"/>
    <w:basedOn w:val="DefaultParagraphFont"/>
    <w:link w:val="Heading3"/>
    <w:rsid w:val="004E4477"/>
    <w:rPr>
      <w:rFonts w:ascii="Calibri" w:eastAsia="Times New Roman" w:hAnsi="Calibri" w:cs="Arial"/>
      <w:b/>
      <w:kern w:val="32"/>
      <w:szCs w:val="26"/>
      <w:lang w:eastAsia="de-DE"/>
    </w:rPr>
  </w:style>
  <w:style w:type="character" w:customStyle="1" w:styleId="Heading4Char">
    <w:name w:val="Heading 4 Char"/>
    <w:basedOn w:val="DefaultParagraphFont"/>
    <w:link w:val="Heading4"/>
    <w:rsid w:val="004E4477"/>
    <w:rPr>
      <w:rFonts w:ascii="Calibri" w:eastAsia="Times New Roman" w:hAnsi="Calibri" w:cs="Arial"/>
      <w:b/>
      <w:kern w:val="32"/>
      <w:sz w:val="20"/>
      <w:szCs w:val="28"/>
      <w:lang w:eastAsia="de-DE"/>
    </w:rPr>
  </w:style>
  <w:style w:type="character" w:customStyle="1" w:styleId="Heading5Char">
    <w:name w:val="Heading 5 Char"/>
    <w:basedOn w:val="DefaultParagraphFont"/>
    <w:link w:val="Heading5"/>
    <w:rsid w:val="004E4477"/>
    <w:rPr>
      <w:rFonts w:ascii="Calibri" w:eastAsia="Times New Roman" w:hAnsi="Calibri" w:cs="Arial"/>
      <w:b/>
      <w:iCs/>
      <w:kern w:val="32"/>
      <w:sz w:val="20"/>
      <w:szCs w:val="26"/>
      <w:lang w:eastAsia="de-DE"/>
    </w:rPr>
  </w:style>
  <w:style w:type="character" w:customStyle="1" w:styleId="Heading6Char">
    <w:name w:val="Heading 6 Char"/>
    <w:basedOn w:val="DefaultParagraphFont"/>
    <w:link w:val="Heading6"/>
    <w:rsid w:val="004E4477"/>
    <w:rPr>
      <w:rFonts w:ascii="Calibri" w:eastAsia="Times New Roman" w:hAnsi="Calibri" w:cs="Arial"/>
      <w:b/>
      <w:kern w:val="32"/>
      <w:sz w:val="20"/>
      <w:lang w:eastAsia="de-DE"/>
    </w:rPr>
  </w:style>
  <w:style w:type="character" w:customStyle="1" w:styleId="Heading7Char">
    <w:name w:val="Heading 7 Char"/>
    <w:basedOn w:val="DefaultParagraphFont"/>
    <w:link w:val="Heading7"/>
    <w:rsid w:val="004E4477"/>
    <w:rPr>
      <w:rFonts w:ascii="Calibri" w:eastAsia="Times New Roman" w:hAnsi="Calibri" w:cs="Arial"/>
      <w:b/>
      <w:bCs/>
      <w:kern w:val="32"/>
      <w:sz w:val="20"/>
      <w:szCs w:val="32"/>
      <w:lang w:eastAsia="de-DE"/>
    </w:rPr>
  </w:style>
  <w:style w:type="character" w:customStyle="1" w:styleId="Heading8Char">
    <w:name w:val="Heading 8 Char"/>
    <w:basedOn w:val="DefaultParagraphFont"/>
    <w:link w:val="Heading8"/>
    <w:rsid w:val="004E4477"/>
    <w:rPr>
      <w:rFonts w:ascii="Calibri" w:eastAsia="Times New Roman" w:hAnsi="Calibri" w:cs="Arial"/>
      <w:b/>
      <w:bCs/>
      <w:iCs/>
      <w:kern w:val="32"/>
      <w:sz w:val="20"/>
      <w:szCs w:val="32"/>
      <w:lang w:eastAsia="de-DE"/>
    </w:rPr>
  </w:style>
  <w:style w:type="character" w:customStyle="1" w:styleId="Heading9Char">
    <w:name w:val="Heading 9 Char"/>
    <w:basedOn w:val="DefaultParagraphFont"/>
    <w:link w:val="Heading9"/>
    <w:rsid w:val="004E4477"/>
    <w:rPr>
      <w:rFonts w:ascii="Calibri" w:eastAsia="Times New Roman" w:hAnsi="Calibri" w:cs="Arial"/>
      <w:b/>
      <w:bCs/>
      <w:kern w:val="32"/>
      <w:sz w:val="20"/>
      <w:lang w:eastAsia="de-DE"/>
    </w:rPr>
  </w:style>
  <w:style w:type="paragraph" w:styleId="TOC1">
    <w:name w:val="toc 1"/>
    <w:basedOn w:val="Normal"/>
    <w:next w:val="Normal"/>
    <w:semiHidden/>
    <w:rsid w:val="004E4477"/>
    <w:pPr>
      <w:tabs>
        <w:tab w:val="right" w:leader="dot" w:pos="8277"/>
      </w:tabs>
      <w:suppressAutoHyphens/>
      <w:spacing w:before="140" w:after="40"/>
    </w:pPr>
  </w:style>
  <w:style w:type="paragraph" w:styleId="TOC2">
    <w:name w:val="toc 2"/>
    <w:basedOn w:val="Normal"/>
    <w:next w:val="TOC1"/>
    <w:semiHidden/>
    <w:rsid w:val="004E4477"/>
    <w:pPr>
      <w:tabs>
        <w:tab w:val="right" w:leader="dot" w:pos="8277"/>
      </w:tabs>
      <w:suppressAutoHyphens/>
      <w:spacing w:before="140" w:after="40"/>
      <w:ind w:left="595" w:hanging="595"/>
    </w:pPr>
  </w:style>
  <w:style w:type="paragraph" w:styleId="TOC3">
    <w:name w:val="toc 3"/>
    <w:basedOn w:val="Normal"/>
    <w:next w:val="TOC1"/>
    <w:semiHidden/>
    <w:rsid w:val="004E4477"/>
    <w:pPr>
      <w:tabs>
        <w:tab w:val="right" w:leader="dot" w:pos="8277"/>
      </w:tabs>
      <w:suppressAutoHyphens/>
      <w:spacing w:before="140" w:after="40"/>
      <w:ind w:left="907" w:hanging="312"/>
    </w:pPr>
  </w:style>
  <w:style w:type="paragraph" w:styleId="TOC4">
    <w:name w:val="toc 4"/>
    <w:basedOn w:val="Normal"/>
    <w:next w:val="TOC1"/>
    <w:semiHidden/>
    <w:rsid w:val="004E4477"/>
    <w:pPr>
      <w:tabs>
        <w:tab w:val="right" w:leader="dot" w:pos="8277"/>
      </w:tabs>
      <w:suppressAutoHyphens/>
      <w:spacing w:before="140" w:after="20"/>
      <w:ind w:left="907" w:hanging="312"/>
    </w:pPr>
  </w:style>
  <w:style w:type="paragraph" w:styleId="TOC5">
    <w:name w:val="toc 5"/>
    <w:basedOn w:val="Normal"/>
    <w:next w:val="TOC1"/>
    <w:semiHidden/>
    <w:rsid w:val="004E4477"/>
    <w:pPr>
      <w:tabs>
        <w:tab w:val="right" w:leader="dot" w:pos="8277"/>
      </w:tabs>
      <w:suppressAutoHyphens/>
      <w:spacing w:before="140" w:after="20"/>
      <w:ind w:left="1531" w:hanging="624"/>
    </w:pPr>
  </w:style>
  <w:style w:type="paragraph" w:styleId="TOC6">
    <w:name w:val="toc 6"/>
    <w:basedOn w:val="Normal"/>
    <w:next w:val="TOC1"/>
    <w:semiHidden/>
    <w:rsid w:val="004E4477"/>
    <w:pPr>
      <w:tabs>
        <w:tab w:val="right" w:leader="dot" w:pos="8277"/>
      </w:tabs>
      <w:suppressAutoHyphens/>
      <w:spacing w:before="140" w:after="20"/>
      <w:ind w:left="1531" w:hanging="624"/>
    </w:pPr>
  </w:style>
  <w:style w:type="paragraph" w:styleId="TOC7">
    <w:name w:val="toc 7"/>
    <w:basedOn w:val="Normal"/>
    <w:next w:val="TOC1"/>
    <w:semiHidden/>
    <w:rsid w:val="004E4477"/>
    <w:pPr>
      <w:tabs>
        <w:tab w:val="right" w:leader="dot" w:pos="8277"/>
      </w:tabs>
      <w:suppressAutoHyphens/>
      <w:spacing w:before="140" w:after="20"/>
      <w:ind w:left="1814" w:hanging="907"/>
    </w:pPr>
  </w:style>
  <w:style w:type="paragraph" w:styleId="TOC8">
    <w:name w:val="toc 8"/>
    <w:basedOn w:val="Normal"/>
    <w:next w:val="TOC1"/>
    <w:semiHidden/>
    <w:rsid w:val="004E4477"/>
    <w:pPr>
      <w:tabs>
        <w:tab w:val="right" w:leader="dot" w:pos="8277"/>
      </w:tabs>
      <w:suppressAutoHyphens/>
      <w:spacing w:before="140"/>
      <w:ind w:left="1814" w:hanging="283"/>
    </w:pPr>
  </w:style>
  <w:style w:type="paragraph" w:styleId="TOC9">
    <w:name w:val="toc 9"/>
    <w:basedOn w:val="Normal"/>
    <w:next w:val="TOC1"/>
    <w:semiHidden/>
    <w:rsid w:val="004E4477"/>
    <w:pPr>
      <w:tabs>
        <w:tab w:val="right" w:leader="dot" w:pos="8277"/>
      </w:tabs>
      <w:suppressAutoHyphens/>
      <w:spacing w:before="140"/>
      <w:ind w:left="1814" w:hanging="283"/>
    </w:pPr>
  </w:style>
  <w:style w:type="paragraph" w:styleId="NormalIndent">
    <w:name w:val="Normal Indent"/>
    <w:basedOn w:val="Normal"/>
    <w:semiHidden/>
    <w:rsid w:val="004E4477"/>
    <w:pPr>
      <w:ind w:left="595"/>
    </w:pPr>
  </w:style>
  <w:style w:type="paragraph" w:styleId="FootnoteText">
    <w:name w:val="footnote text"/>
    <w:basedOn w:val="Normal"/>
    <w:link w:val="FootnoteTextChar"/>
    <w:semiHidden/>
    <w:rsid w:val="004E4477"/>
    <w:pPr>
      <w:spacing w:before="40" w:after="20"/>
      <w:ind w:hanging="425"/>
    </w:pPr>
    <w:rPr>
      <w:sz w:val="14"/>
      <w:szCs w:val="20"/>
    </w:rPr>
  </w:style>
  <w:style w:type="character" w:customStyle="1" w:styleId="FootnoteTextChar">
    <w:name w:val="Footnote Text Char"/>
    <w:basedOn w:val="DefaultParagraphFont"/>
    <w:link w:val="FootnoteText"/>
    <w:semiHidden/>
    <w:rsid w:val="004E4477"/>
    <w:rPr>
      <w:rFonts w:ascii="Calibri" w:eastAsia="Times New Roman" w:hAnsi="Calibri" w:cs="Times New Roman"/>
      <w:sz w:val="14"/>
      <w:szCs w:val="20"/>
      <w:lang w:eastAsia="de-DE"/>
    </w:rPr>
  </w:style>
  <w:style w:type="paragraph" w:styleId="CommentText">
    <w:name w:val="annotation text"/>
    <w:basedOn w:val="Normal"/>
    <w:link w:val="CommentTextChar"/>
    <w:semiHidden/>
    <w:rsid w:val="004E4477"/>
    <w:pPr>
      <w:ind w:left="595" w:right="595"/>
    </w:pPr>
    <w:rPr>
      <w:i/>
      <w:szCs w:val="20"/>
    </w:rPr>
  </w:style>
  <w:style w:type="character" w:customStyle="1" w:styleId="CommentTextChar">
    <w:name w:val="Comment Text Char"/>
    <w:basedOn w:val="DefaultParagraphFont"/>
    <w:link w:val="CommentText"/>
    <w:semiHidden/>
    <w:rsid w:val="004E4477"/>
    <w:rPr>
      <w:rFonts w:ascii="Calibri" w:eastAsia="Times New Roman" w:hAnsi="Calibri" w:cs="Times New Roman"/>
      <w:i/>
      <w:szCs w:val="20"/>
      <w:lang w:eastAsia="de-DE"/>
    </w:rPr>
  </w:style>
  <w:style w:type="paragraph" w:styleId="Header">
    <w:name w:val="header"/>
    <w:basedOn w:val="Normal"/>
    <w:link w:val="HeaderChar"/>
    <w:semiHidden/>
    <w:rsid w:val="004E4477"/>
    <w:pPr>
      <w:tabs>
        <w:tab w:val="center" w:pos="4536"/>
        <w:tab w:val="right" w:pos="9072"/>
      </w:tabs>
    </w:pPr>
  </w:style>
  <w:style w:type="character" w:customStyle="1" w:styleId="HeaderChar">
    <w:name w:val="Header Char"/>
    <w:basedOn w:val="DefaultParagraphFont"/>
    <w:link w:val="Header"/>
    <w:semiHidden/>
    <w:rsid w:val="004E4477"/>
    <w:rPr>
      <w:rFonts w:ascii="Calibri" w:eastAsia="Times New Roman" w:hAnsi="Calibri" w:cs="Times New Roman"/>
      <w:szCs w:val="24"/>
      <w:lang w:eastAsia="de-DE"/>
    </w:rPr>
  </w:style>
  <w:style w:type="paragraph" w:styleId="Footer">
    <w:name w:val="footer"/>
    <w:basedOn w:val="Normal"/>
    <w:link w:val="FooterChar"/>
    <w:semiHidden/>
    <w:rsid w:val="004E4477"/>
    <w:pPr>
      <w:tabs>
        <w:tab w:val="center" w:pos="4536"/>
        <w:tab w:val="right" w:pos="9072"/>
      </w:tabs>
    </w:pPr>
  </w:style>
  <w:style w:type="character" w:customStyle="1" w:styleId="FooterChar">
    <w:name w:val="Footer Char"/>
    <w:basedOn w:val="DefaultParagraphFont"/>
    <w:link w:val="Footer"/>
    <w:semiHidden/>
    <w:rsid w:val="004E4477"/>
    <w:rPr>
      <w:rFonts w:ascii="Calibri" w:eastAsia="Times New Roman" w:hAnsi="Calibri" w:cs="Times New Roman"/>
      <w:szCs w:val="24"/>
      <w:lang w:eastAsia="de-DE"/>
    </w:rPr>
  </w:style>
  <w:style w:type="paragraph" w:styleId="Caption">
    <w:name w:val="caption"/>
    <w:basedOn w:val="Normal"/>
    <w:next w:val="Normal"/>
    <w:qFormat/>
    <w:rsid w:val="004E4477"/>
    <w:pPr>
      <w:spacing w:before="120" w:after="120"/>
    </w:pPr>
    <w:rPr>
      <w:b/>
    </w:rPr>
  </w:style>
  <w:style w:type="paragraph" w:styleId="EnvelopeAddress">
    <w:name w:val="envelope address"/>
    <w:basedOn w:val="Normal"/>
    <w:semiHidden/>
    <w:rsid w:val="004E4477"/>
    <w:pPr>
      <w:framePr w:w="4535" w:h="3118" w:hRule="exact" w:hSpace="141" w:vSpace="141" w:wrap="around" w:vAnchor="page" w:hAnchor="page" w:x="6804" w:y="4536" w:anchorLock="1"/>
      <w:ind w:left="142"/>
    </w:pPr>
    <w:rPr>
      <w:rFonts w:cs="Arial"/>
      <w:noProof/>
      <w:sz w:val="24"/>
    </w:rPr>
  </w:style>
  <w:style w:type="paragraph" w:styleId="List">
    <w:name w:val="List"/>
    <w:basedOn w:val="Normal"/>
    <w:semiHidden/>
    <w:rsid w:val="004E4477"/>
    <w:pPr>
      <w:numPr>
        <w:ilvl w:val="4"/>
        <w:numId w:val="22"/>
      </w:numPr>
    </w:pPr>
  </w:style>
  <w:style w:type="paragraph" w:styleId="List2">
    <w:name w:val="List 2"/>
    <w:basedOn w:val="Normal"/>
    <w:semiHidden/>
    <w:rsid w:val="004E4477"/>
    <w:pPr>
      <w:numPr>
        <w:ilvl w:val="5"/>
        <w:numId w:val="22"/>
      </w:numPr>
    </w:pPr>
  </w:style>
  <w:style w:type="paragraph" w:styleId="List3">
    <w:name w:val="List 3"/>
    <w:basedOn w:val="Normal"/>
    <w:semiHidden/>
    <w:rsid w:val="004E4477"/>
    <w:pPr>
      <w:numPr>
        <w:numId w:val="18"/>
      </w:numPr>
    </w:pPr>
  </w:style>
  <w:style w:type="paragraph" w:styleId="List4">
    <w:name w:val="List 4"/>
    <w:basedOn w:val="Normal"/>
    <w:semiHidden/>
    <w:rsid w:val="004E4477"/>
    <w:pPr>
      <w:numPr>
        <w:ilvl w:val="3"/>
        <w:numId w:val="18"/>
      </w:numPr>
    </w:pPr>
  </w:style>
  <w:style w:type="paragraph" w:styleId="List5">
    <w:name w:val="List 5"/>
    <w:basedOn w:val="Normal"/>
    <w:semiHidden/>
    <w:rsid w:val="004E4477"/>
    <w:pPr>
      <w:numPr>
        <w:ilvl w:val="6"/>
        <w:numId w:val="18"/>
      </w:numPr>
    </w:pPr>
  </w:style>
  <w:style w:type="paragraph" w:styleId="Title">
    <w:name w:val="Title"/>
    <w:basedOn w:val="Normal"/>
    <w:link w:val="TitleChar"/>
    <w:qFormat/>
    <w:rsid w:val="004E4477"/>
    <w:pPr>
      <w:jc w:val="center"/>
    </w:pPr>
    <w:rPr>
      <w:b/>
      <w:bCs/>
      <w:lang w:val="fr-CH"/>
    </w:rPr>
  </w:style>
  <w:style w:type="character" w:customStyle="1" w:styleId="TitleChar">
    <w:name w:val="Title Char"/>
    <w:basedOn w:val="DefaultParagraphFont"/>
    <w:link w:val="Title"/>
    <w:rsid w:val="004E4477"/>
    <w:rPr>
      <w:rFonts w:ascii="Calibri" w:eastAsia="Times New Roman" w:hAnsi="Calibri" w:cs="Times New Roman"/>
      <w:b/>
      <w:bCs/>
      <w:szCs w:val="24"/>
      <w:lang w:val="fr-CH" w:eastAsia="de-DE"/>
    </w:rPr>
  </w:style>
  <w:style w:type="paragraph" w:styleId="BodyText">
    <w:name w:val="Body Text"/>
    <w:basedOn w:val="Normal"/>
    <w:link w:val="BodyTextChar"/>
    <w:semiHidden/>
    <w:rsid w:val="004E4477"/>
    <w:pPr>
      <w:ind w:right="564"/>
    </w:pPr>
    <w:rPr>
      <w:lang w:val="fr-CH"/>
    </w:rPr>
  </w:style>
  <w:style w:type="character" w:customStyle="1" w:styleId="BodyTextChar">
    <w:name w:val="Body Text Char"/>
    <w:basedOn w:val="DefaultParagraphFont"/>
    <w:link w:val="BodyText"/>
    <w:semiHidden/>
    <w:rsid w:val="004E4477"/>
    <w:rPr>
      <w:rFonts w:ascii="Calibri" w:eastAsia="Times New Roman" w:hAnsi="Calibri" w:cs="Times New Roman"/>
      <w:szCs w:val="24"/>
      <w:lang w:val="fr-CH" w:eastAsia="de-DE"/>
    </w:rPr>
  </w:style>
  <w:style w:type="paragraph" w:styleId="ListContinue">
    <w:name w:val="List Continue"/>
    <w:basedOn w:val="Normal"/>
    <w:semiHidden/>
    <w:rsid w:val="004E4477"/>
    <w:pPr>
      <w:ind w:left="595"/>
    </w:pPr>
  </w:style>
  <w:style w:type="paragraph" w:styleId="ListContinue2">
    <w:name w:val="List Continue 2"/>
    <w:basedOn w:val="Normal"/>
    <w:semiHidden/>
    <w:rsid w:val="004E4477"/>
    <w:pPr>
      <w:ind w:left="1191"/>
    </w:pPr>
  </w:style>
  <w:style w:type="table" w:styleId="TableGrid">
    <w:name w:val="Table Grid"/>
    <w:basedOn w:val="TableNormal"/>
    <w:uiPriority w:val="59"/>
    <w:rsid w:val="004E4477"/>
    <w:rPr>
      <w:rFonts w:ascii="Times" w:eastAsia="Times" w:hAnsi="Times"/>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E4477"/>
    <w:pPr>
      <w:ind w:left="708"/>
    </w:pPr>
  </w:style>
  <w:style w:type="paragraph" w:styleId="BalloonText">
    <w:name w:val="Balloon Text"/>
    <w:basedOn w:val="Normal"/>
    <w:link w:val="BalloonTextChar"/>
    <w:uiPriority w:val="99"/>
    <w:semiHidden/>
    <w:unhideWhenUsed/>
    <w:rsid w:val="00FF5F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700610">
      <w:bodyDiv w:val="1"/>
      <w:marLeft w:val="0"/>
      <w:marRight w:val="0"/>
      <w:marTop w:val="0"/>
      <w:marBottom w:val="0"/>
      <w:divBdr>
        <w:top w:val="none" w:sz="0" w:space="0" w:color="auto"/>
        <w:left w:val="none" w:sz="0" w:space="0" w:color="auto"/>
        <w:bottom w:val="none" w:sz="0" w:space="0" w:color="auto"/>
        <w:right w:val="none" w:sz="0" w:space="0" w:color="auto"/>
      </w:divBdr>
    </w:div>
    <w:div w:id="470755068">
      <w:bodyDiv w:val="1"/>
      <w:marLeft w:val="0"/>
      <w:marRight w:val="0"/>
      <w:marTop w:val="0"/>
      <w:marBottom w:val="0"/>
      <w:divBdr>
        <w:top w:val="none" w:sz="0" w:space="0" w:color="auto"/>
        <w:left w:val="none" w:sz="0" w:space="0" w:color="auto"/>
        <w:bottom w:val="none" w:sz="0" w:space="0" w:color="auto"/>
        <w:right w:val="none" w:sz="0" w:space="0" w:color="auto"/>
      </w:divBdr>
    </w:div>
    <w:div w:id="1481461958">
      <w:bodyDiv w:val="1"/>
      <w:marLeft w:val="0"/>
      <w:marRight w:val="0"/>
      <w:marTop w:val="0"/>
      <w:marBottom w:val="0"/>
      <w:divBdr>
        <w:top w:val="none" w:sz="0" w:space="0" w:color="auto"/>
        <w:left w:val="none" w:sz="0" w:space="0" w:color="auto"/>
        <w:bottom w:val="none" w:sz="0" w:space="0" w:color="auto"/>
        <w:right w:val="none" w:sz="0" w:space="0" w:color="auto"/>
      </w:divBdr>
    </w:div>
    <w:div w:id="172413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DAB-42EB-4E49-8194-327FCCFB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Stokes</dc:creator>
  <cp:keywords/>
  <dc:description/>
  <cp:lastModifiedBy>Burge, Fran</cp:lastModifiedBy>
  <cp:revision>3</cp:revision>
  <cp:lastPrinted>2024-05-09T13:58:00Z</cp:lastPrinted>
  <dcterms:created xsi:type="dcterms:W3CDTF">2024-05-09T14:15:00Z</dcterms:created>
  <dcterms:modified xsi:type="dcterms:W3CDTF">2024-05-09T14:16:00Z</dcterms:modified>
</cp:coreProperties>
</file>