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677" w:rsidRPr="009571F4" w:rsidRDefault="00201677" w:rsidP="00201677">
      <w:pPr>
        <w:pStyle w:val="Heading1"/>
        <w:jc w:val="center"/>
        <w:rPr>
          <w:sz w:val="20"/>
          <w:szCs w:val="20"/>
        </w:rPr>
      </w:pPr>
      <w:bookmarkStart w:id="0" w:name="_GoBack"/>
      <w:bookmarkEnd w:id="0"/>
      <w:r w:rsidRPr="009571F4">
        <w:rPr>
          <w:sz w:val="20"/>
          <w:szCs w:val="20"/>
        </w:rPr>
        <w:t xml:space="preserve">Company No:  </w:t>
      </w:r>
      <w:r>
        <w:rPr>
          <w:sz w:val="20"/>
          <w:szCs w:val="20"/>
        </w:rPr>
        <w:t>00</w:t>
      </w:r>
      <w:r w:rsidRPr="009571F4">
        <w:rPr>
          <w:sz w:val="20"/>
          <w:szCs w:val="20"/>
        </w:rPr>
        <w:t>604574</w:t>
      </w:r>
    </w:p>
    <w:p w:rsidR="00201677" w:rsidRPr="009571F4" w:rsidRDefault="00201677" w:rsidP="00201677">
      <w:pPr>
        <w:jc w:val="center"/>
        <w:rPr>
          <w:rFonts w:ascii="Arial" w:hAnsi="Arial" w:cs="Arial"/>
          <w:b/>
          <w:bCs/>
          <w:sz w:val="20"/>
          <w:szCs w:val="20"/>
        </w:rPr>
      </w:pPr>
    </w:p>
    <w:p w:rsidR="00201677" w:rsidRPr="009571F4" w:rsidRDefault="00201677" w:rsidP="00201677">
      <w:pPr>
        <w:pStyle w:val="Heading2"/>
        <w:rPr>
          <w:sz w:val="20"/>
          <w:szCs w:val="20"/>
        </w:rPr>
      </w:pPr>
      <w:r w:rsidRPr="009571F4">
        <w:rPr>
          <w:sz w:val="20"/>
          <w:szCs w:val="20"/>
        </w:rPr>
        <w:t>THE COMPANIES ACT 2006</w:t>
      </w:r>
    </w:p>
    <w:p w:rsidR="00201677" w:rsidRPr="009571F4" w:rsidRDefault="00201677" w:rsidP="00201677">
      <w:pPr>
        <w:jc w:val="center"/>
        <w:rPr>
          <w:rFonts w:ascii="Arial" w:hAnsi="Arial" w:cs="Arial"/>
          <w:b/>
          <w:bCs/>
          <w:sz w:val="20"/>
          <w:szCs w:val="20"/>
          <w:u w:val="single"/>
        </w:rPr>
      </w:pPr>
    </w:p>
    <w:p w:rsidR="00201677" w:rsidRPr="009571F4" w:rsidRDefault="00201677" w:rsidP="00201677">
      <w:pPr>
        <w:jc w:val="center"/>
        <w:rPr>
          <w:rFonts w:ascii="Arial" w:hAnsi="Arial" w:cs="Arial"/>
          <w:b/>
          <w:bCs/>
          <w:sz w:val="20"/>
          <w:szCs w:val="20"/>
          <w:u w:val="single"/>
        </w:rPr>
      </w:pPr>
      <w:r w:rsidRPr="009571F4">
        <w:rPr>
          <w:rFonts w:ascii="Arial" w:hAnsi="Arial" w:cs="Arial"/>
          <w:b/>
          <w:bCs/>
          <w:sz w:val="20"/>
          <w:szCs w:val="20"/>
          <w:u w:val="single"/>
        </w:rPr>
        <w:t>BARRATT DEVELOPMENTS PLC</w:t>
      </w:r>
    </w:p>
    <w:p w:rsidR="00201677" w:rsidRPr="009571F4" w:rsidRDefault="00201677" w:rsidP="00201677">
      <w:pPr>
        <w:spacing w:before="120" w:after="120"/>
        <w:jc w:val="both"/>
        <w:rPr>
          <w:rFonts w:ascii="Arial" w:hAnsi="Arial" w:cs="Arial"/>
          <w:b/>
          <w:bCs/>
          <w:sz w:val="20"/>
          <w:szCs w:val="20"/>
          <w:u w:val="single"/>
        </w:rPr>
      </w:pPr>
    </w:p>
    <w:p w:rsidR="00201677" w:rsidRDefault="00201677" w:rsidP="00201677">
      <w:pPr>
        <w:jc w:val="both"/>
        <w:rPr>
          <w:rFonts w:ascii="Arial" w:hAnsi="Arial" w:cs="Arial"/>
          <w:sz w:val="20"/>
          <w:szCs w:val="20"/>
        </w:rPr>
      </w:pPr>
      <w:r w:rsidRPr="009571F4">
        <w:rPr>
          <w:rFonts w:ascii="Arial" w:hAnsi="Arial" w:cs="Arial"/>
          <w:sz w:val="20"/>
          <w:szCs w:val="20"/>
        </w:rPr>
        <w:t xml:space="preserve">At the </w:t>
      </w:r>
      <w:r>
        <w:rPr>
          <w:rFonts w:ascii="Arial" w:hAnsi="Arial" w:cs="Arial"/>
          <w:sz w:val="20"/>
          <w:szCs w:val="20"/>
        </w:rPr>
        <w:t>sixty-second</w:t>
      </w:r>
      <w:r w:rsidRPr="009571F4">
        <w:rPr>
          <w:rFonts w:ascii="Arial" w:hAnsi="Arial" w:cs="Arial"/>
          <w:sz w:val="20"/>
          <w:szCs w:val="20"/>
        </w:rPr>
        <w:t xml:space="preserve"> Annual General Meeting of Barratt Developments PLC</w:t>
      </w:r>
      <w:r>
        <w:rPr>
          <w:rFonts w:ascii="Arial" w:hAnsi="Arial" w:cs="Arial"/>
          <w:sz w:val="20"/>
          <w:szCs w:val="20"/>
        </w:rPr>
        <w:t xml:space="preserve"> </w:t>
      </w:r>
      <w:r w:rsidRPr="009571F4">
        <w:rPr>
          <w:rFonts w:ascii="Arial" w:hAnsi="Arial" w:cs="Arial"/>
          <w:sz w:val="20"/>
          <w:szCs w:val="20"/>
        </w:rPr>
        <w:t xml:space="preserve">held at </w:t>
      </w:r>
      <w:r>
        <w:rPr>
          <w:rFonts w:ascii="Arial" w:hAnsi="Arial" w:cs="Arial"/>
          <w:sz w:val="20"/>
          <w:szCs w:val="20"/>
        </w:rPr>
        <w:t>Kent House, 1</w:t>
      </w:r>
      <w:r w:rsidRPr="0007151A">
        <w:rPr>
          <w:rFonts w:ascii="Arial" w:hAnsi="Arial" w:cs="Arial"/>
          <w:sz w:val="20"/>
          <w:szCs w:val="20"/>
          <w:vertAlign w:val="superscript"/>
        </w:rPr>
        <w:t>st</w:t>
      </w:r>
      <w:r>
        <w:rPr>
          <w:rFonts w:ascii="Arial" w:hAnsi="Arial" w:cs="Arial"/>
          <w:sz w:val="20"/>
          <w:szCs w:val="20"/>
        </w:rPr>
        <w:t xml:space="preserve"> Floor, 14-17 Market Place, London, W1W 8AJ</w:t>
      </w:r>
      <w:r w:rsidRPr="009571F4">
        <w:rPr>
          <w:rFonts w:ascii="Arial" w:hAnsi="Arial" w:cs="Arial"/>
          <w:sz w:val="20"/>
          <w:szCs w:val="20"/>
        </w:rPr>
        <w:t xml:space="preserve"> on </w:t>
      </w:r>
      <w:r>
        <w:rPr>
          <w:rFonts w:ascii="Arial" w:hAnsi="Arial" w:cs="Arial"/>
          <w:sz w:val="20"/>
          <w:szCs w:val="20"/>
        </w:rPr>
        <w:t xml:space="preserve">Wednesday </w:t>
      </w:r>
      <w:r w:rsidRPr="009571F4">
        <w:rPr>
          <w:rFonts w:ascii="Arial" w:hAnsi="Arial" w:cs="Arial"/>
          <w:sz w:val="20"/>
          <w:szCs w:val="20"/>
        </w:rPr>
        <w:t>1</w:t>
      </w:r>
      <w:r>
        <w:rPr>
          <w:rFonts w:ascii="Arial" w:hAnsi="Arial" w:cs="Arial"/>
          <w:sz w:val="20"/>
          <w:szCs w:val="20"/>
        </w:rPr>
        <w:t xml:space="preserve">4 October </w:t>
      </w:r>
      <w:r w:rsidRPr="009571F4">
        <w:rPr>
          <w:rFonts w:ascii="Arial" w:hAnsi="Arial" w:cs="Arial"/>
          <w:sz w:val="20"/>
          <w:szCs w:val="20"/>
        </w:rPr>
        <w:t>20</w:t>
      </w:r>
      <w:r>
        <w:rPr>
          <w:rFonts w:ascii="Arial" w:hAnsi="Arial" w:cs="Arial"/>
          <w:sz w:val="20"/>
          <w:szCs w:val="20"/>
        </w:rPr>
        <w:t>20</w:t>
      </w:r>
      <w:r w:rsidRPr="009571F4">
        <w:rPr>
          <w:rFonts w:ascii="Arial" w:hAnsi="Arial" w:cs="Arial"/>
          <w:sz w:val="20"/>
          <w:szCs w:val="20"/>
        </w:rPr>
        <w:t xml:space="preserve"> the following were passed </w:t>
      </w:r>
      <w:r>
        <w:rPr>
          <w:rFonts w:ascii="Arial" w:hAnsi="Arial" w:cs="Arial"/>
          <w:sz w:val="20"/>
          <w:szCs w:val="20"/>
        </w:rPr>
        <w:t xml:space="preserve">as </w:t>
      </w:r>
      <w:r>
        <w:rPr>
          <w:rFonts w:ascii="Arial" w:hAnsi="Arial" w:cs="Arial"/>
          <w:b/>
          <w:sz w:val="20"/>
          <w:szCs w:val="20"/>
        </w:rPr>
        <w:t xml:space="preserve">ORDINARY </w:t>
      </w:r>
      <w:r w:rsidRPr="009B315E">
        <w:rPr>
          <w:rFonts w:ascii="Arial" w:hAnsi="Arial" w:cs="Arial"/>
          <w:sz w:val="20"/>
          <w:szCs w:val="20"/>
        </w:rPr>
        <w:t>and</w:t>
      </w:r>
      <w:r>
        <w:rPr>
          <w:rFonts w:ascii="Arial" w:hAnsi="Arial" w:cs="Arial"/>
          <w:b/>
          <w:sz w:val="20"/>
          <w:szCs w:val="20"/>
        </w:rPr>
        <w:t xml:space="preserve"> </w:t>
      </w:r>
      <w:r w:rsidRPr="009571F4">
        <w:rPr>
          <w:rFonts w:ascii="Arial" w:hAnsi="Arial" w:cs="Arial"/>
          <w:b/>
          <w:sz w:val="20"/>
          <w:szCs w:val="20"/>
        </w:rPr>
        <w:t>SPECIAL RESOLUTIONS</w:t>
      </w:r>
      <w:r>
        <w:rPr>
          <w:rFonts w:ascii="Arial" w:hAnsi="Arial" w:cs="Arial"/>
          <w:b/>
          <w:sz w:val="20"/>
          <w:szCs w:val="20"/>
        </w:rPr>
        <w:t xml:space="preserve"> </w:t>
      </w:r>
      <w:r>
        <w:rPr>
          <w:rFonts w:ascii="Arial" w:hAnsi="Arial" w:cs="Arial"/>
          <w:sz w:val="20"/>
          <w:szCs w:val="20"/>
        </w:rPr>
        <w:t>respectively</w:t>
      </w:r>
      <w:r w:rsidRPr="009571F4">
        <w:rPr>
          <w:rFonts w:ascii="Arial" w:hAnsi="Arial" w:cs="Arial"/>
          <w:sz w:val="20"/>
          <w:szCs w:val="20"/>
        </w:rPr>
        <w:t>:</w:t>
      </w:r>
    </w:p>
    <w:p w:rsidR="00201677" w:rsidRDefault="00201677" w:rsidP="00201677">
      <w:pPr>
        <w:jc w:val="both"/>
        <w:rPr>
          <w:rFonts w:ascii="Arial" w:hAnsi="Arial" w:cs="Arial"/>
          <w:sz w:val="20"/>
          <w:szCs w:val="20"/>
        </w:rPr>
      </w:pPr>
    </w:p>
    <w:p w:rsidR="00201677" w:rsidRDefault="00201677" w:rsidP="00201677">
      <w:pPr>
        <w:jc w:val="both"/>
        <w:rPr>
          <w:rFonts w:ascii="Arial" w:hAnsi="Arial" w:cs="Arial"/>
          <w:b/>
          <w:sz w:val="20"/>
          <w:szCs w:val="20"/>
          <w:u w:val="single"/>
        </w:rPr>
      </w:pPr>
      <w:r w:rsidRPr="007C6B9D">
        <w:rPr>
          <w:rFonts w:ascii="Arial" w:hAnsi="Arial" w:cs="Arial"/>
          <w:b/>
          <w:sz w:val="20"/>
          <w:szCs w:val="20"/>
          <w:u w:val="single"/>
        </w:rPr>
        <w:t>ORDINARY RESOLUTION</w:t>
      </w:r>
    </w:p>
    <w:p w:rsidR="00201677" w:rsidRPr="007C6B9D" w:rsidRDefault="00201677" w:rsidP="00201677">
      <w:pPr>
        <w:jc w:val="both"/>
        <w:rPr>
          <w:rFonts w:ascii="Arial" w:hAnsi="Arial" w:cs="Arial"/>
          <w:b/>
          <w:sz w:val="20"/>
          <w:szCs w:val="20"/>
          <w:u w:val="single"/>
        </w:rPr>
      </w:pPr>
    </w:p>
    <w:p w:rsidR="00201677" w:rsidRDefault="00201677" w:rsidP="00201677">
      <w:pPr>
        <w:jc w:val="both"/>
        <w:rPr>
          <w:rFonts w:ascii="Arial" w:hAnsi="Arial" w:cs="Arial"/>
          <w:b/>
          <w:sz w:val="20"/>
          <w:szCs w:val="20"/>
          <w:u w:val="single"/>
        </w:rPr>
      </w:pPr>
      <w:r>
        <w:rPr>
          <w:rFonts w:ascii="Arial" w:hAnsi="Arial" w:cs="Arial"/>
          <w:b/>
          <w:sz w:val="20"/>
          <w:szCs w:val="20"/>
          <w:u w:val="single"/>
        </w:rPr>
        <w:t>Resolution 15: Directors’ authority to allot shares and grant subscription/conversion rights over shares</w:t>
      </w:r>
    </w:p>
    <w:p w:rsidR="00201677" w:rsidRDefault="00201677" w:rsidP="00201677">
      <w:pPr>
        <w:autoSpaceDE w:val="0"/>
        <w:autoSpaceDN w:val="0"/>
        <w:adjustRightInd w:val="0"/>
        <w:jc w:val="both"/>
        <w:rPr>
          <w:rFonts w:ascii="DINOT-Light" w:hAnsi="DINOT-Light" w:cs="DINOT-Light"/>
          <w:sz w:val="18"/>
          <w:szCs w:val="18"/>
          <w:lang w:eastAsia="en-GB"/>
        </w:rPr>
      </w:pPr>
    </w:p>
    <w:p w:rsidR="00201677" w:rsidRPr="0007151A" w:rsidRDefault="00201677" w:rsidP="00201677">
      <w:pPr>
        <w:jc w:val="both"/>
        <w:rPr>
          <w:rFonts w:ascii="Arial" w:hAnsi="Arial" w:cs="Arial"/>
          <w:sz w:val="20"/>
          <w:szCs w:val="20"/>
        </w:rPr>
      </w:pPr>
      <w:r w:rsidRPr="0007151A">
        <w:rPr>
          <w:rFonts w:ascii="Arial" w:hAnsi="Arial" w:cs="Arial"/>
          <w:sz w:val="20"/>
          <w:szCs w:val="20"/>
        </w:rPr>
        <w:t>That the Board be and is hereby generally and unconditionally authorised, in accordance with section 551 of the Act, in substitution for all subsisting authorities, to execute all powers of the Company to allot shares in the Company and to grant rights to subscribe for or to convert any security into shares in the Company up to an aggregate nominal amount of £33,943,607, such authority to apply (unless previously revoked or varied by the Company in general meeting) until the end of next year’s Annual General Meeting of the Company (or, if earlier, until the close of business on 14 January 2022) but so that the Company may make offers and enter into agreements during the relevant period which would, or might, require shares to be allotted or rights to subscribe for or convert any security into shares to be granted after the authority ends and the Board may allot shares or grant rights to subscribe for or convert any security into shares under any such offer or agreement as if the authority had not ended.</w:t>
      </w:r>
    </w:p>
    <w:p w:rsidR="00201677" w:rsidRPr="0007151A" w:rsidRDefault="00201677" w:rsidP="00201677">
      <w:pPr>
        <w:jc w:val="both"/>
        <w:rPr>
          <w:rFonts w:ascii="Arial" w:hAnsi="Arial" w:cs="Arial"/>
          <w:sz w:val="20"/>
          <w:szCs w:val="20"/>
        </w:rPr>
      </w:pPr>
    </w:p>
    <w:p w:rsidR="00201677" w:rsidRDefault="00201677" w:rsidP="00201677">
      <w:pPr>
        <w:autoSpaceDE w:val="0"/>
        <w:autoSpaceDN w:val="0"/>
        <w:adjustRightInd w:val="0"/>
        <w:jc w:val="both"/>
        <w:rPr>
          <w:rFonts w:ascii="Arial" w:hAnsi="Arial" w:cs="Arial"/>
          <w:b/>
          <w:sz w:val="20"/>
          <w:szCs w:val="20"/>
        </w:rPr>
      </w:pPr>
    </w:p>
    <w:p w:rsidR="00201677" w:rsidRPr="007C6B9D" w:rsidRDefault="00201677" w:rsidP="00201677">
      <w:pPr>
        <w:jc w:val="both"/>
        <w:rPr>
          <w:rFonts w:ascii="Arial" w:hAnsi="Arial" w:cs="Arial"/>
          <w:b/>
          <w:sz w:val="20"/>
          <w:szCs w:val="20"/>
          <w:u w:val="single"/>
        </w:rPr>
      </w:pPr>
      <w:r w:rsidRPr="007C6B9D">
        <w:rPr>
          <w:rFonts w:ascii="Arial" w:hAnsi="Arial" w:cs="Arial"/>
          <w:b/>
          <w:sz w:val="20"/>
          <w:szCs w:val="20"/>
          <w:u w:val="single"/>
        </w:rPr>
        <w:t>SPECIAL RESOLUTIONS</w:t>
      </w:r>
    </w:p>
    <w:p w:rsidR="00201677" w:rsidRDefault="00201677" w:rsidP="00201677">
      <w:pPr>
        <w:jc w:val="both"/>
        <w:rPr>
          <w:rFonts w:ascii="Arial" w:hAnsi="Arial" w:cs="Arial"/>
          <w:b/>
          <w:sz w:val="20"/>
          <w:szCs w:val="20"/>
        </w:rPr>
      </w:pPr>
    </w:p>
    <w:p w:rsidR="00201677" w:rsidRDefault="00201677" w:rsidP="00201677">
      <w:pPr>
        <w:jc w:val="both"/>
        <w:rPr>
          <w:rFonts w:ascii="Arial" w:hAnsi="Arial" w:cs="Arial"/>
          <w:b/>
          <w:sz w:val="20"/>
          <w:szCs w:val="20"/>
          <w:u w:val="single"/>
        </w:rPr>
      </w:pPr>
      <w:r>
        <w:rPr>
          <w:rFonts w:ascii="Arial" w:hAnsi="Arial" w:cs="Arial"/>
          <w:b/>
          <w:sz w:val="20"/>
          <w:szCs w:val="20"/>
          <w:u w:val="single"/>
        </w:rPr>
        <w:t xml:space="preserve">Resolution 16: Directors’ authority </w:t>
      </w:r>
      <w:r w:rsidRPr="009F5D10">
        <w:rPr>
          <w:rFonts w:ascii="Arial" w:hAnsi="Arial" w:cs="Arial"/>
          <w:b/>
          <w:sz w:val="20"/>
          <w:szCs w:val="20"/>
          <w:u w:val="single"/>
        </w:rPr>
        <w:t>to allot or sell Ordinary Shares without</w:t>
      </w:r>
      <w:r>
        <w:rPr>
          <w:rFonts w:ascii="Arial" w:hAnsi="Arial" w:cs="Arial"/>
          <w:b/>
          <w:sz w:val="20"/>
          <w:szCs w:val="20"/>
          <w:u w:val="single"/>
        </w:rPr>
        <w:t xml:space="preserve"> </w:t>
      </w:r>
      <w:r w:rsidRPr="009F5D10">
        <w:rPr>
          <w:rFonts w:ascii="Arial" w:hAnsi="Arial" w:cs="Arial"/>
          <w:b/>
          <w:sz w:val="20"/>
          <w:szCs w:val="20"/>
          <w:u w:val="single"/>
        </w:rPr>
        <w:t>co</w:t>
      </w:r>
      <w:r>
        <w:rPr>
          <w:rFonts w:ascii="Arial" w:hAnsi="Arial" w:cs="Arial"/>
          <w:b/>
          <w:sz w:val="20"/>
          <w:szCs w:val="20"/>
          <w:u w:val="single"/>
        </w:rPr>
        <w:t>mplying with pre-emption rights</w:t>
      </w:r>
    </w:p>
    <w:p w:rsidR="00201677" w:rsidRPr="0045006F" w:rsidRDefault="00201677" w:rsidP="00201677">
      <w:pPr>
        <w:jc w:val="both"/>
        <w:rPr>
          <w:rFonts w:ascii="Arial" w:hAnsi="Arial" w:cs="Arial"/>
          <w:bCs/>
          <w:sz w:val="20"/>
          <w:szCs w:val="20"/>
        </w:rPr>
      </w:pPr>
    </w:p>
    <w:p w:rsidR="00201677" w:rsidRPr="008364D3" w:rsidRDefault="00201677" w:rsidP="00201677">
      <w:pPr>
        <w:autoSpaceDE w:val="0"/>
        <w:autoSpaceDN w:val="0"/>
        <w:adjustRightInd w:val="0"/>
        <w:jc w:val="both"/>
        <w:rPr>
          <w:rFonts w:ascii="Arial" w:hAnsi="Arial" w:cs="Arial"/>
          <w:sz w:val="20"/>
          <w:szCs w:val="20"/>
        </w:rPr>
      </w:pPr>
      <w:r w:rsidRPr="008364D3">
        <w:rPr>
          <w:rFonts w:ascii="Arial" w:hAnsi="Arial" w:cs="Arial"/>
          <w:sz w:val="20"/>
          <w:szCs w:val="20"/>
        </w:rPr>
        <w:t>That, if resolution 1</w:t>
      </w:r>
      <w:r>
        <w:rPr>
          <w:rFonts w:ascii="Arial" w:hAnsi="Arial" w:cs="Arial"/>
          <w:sz w:val="20"/>
          <w:szCs w:val="20"/>
        </w:rPr>
        <w:t>5</w:t>
      </w:r>
      <w:r w:rsidRPr="008364D3">
        <w:rPr>
          <w:rFonts w:ascii="Arial" w:hAnsi="Arial" w:cs="Arial"/>
          <w:sz w:val="20"/>
          <w:szCs w:val="20"/>
        </w:rPr>
        <w:t xml:space="preserve"> above is passed, the Board be given power to allot equity securities (as defined in the Act) for cash under the authority given by that resolution and/or to sell ordinary shares held by the Company as treasury shares for cash as if section 561 of the Act did not apply to any such allotment or sale, such power to be limited:</w:t>
      </w:r>
    </w:p>
    <w:p w:rsidR="00201677" w:rsidRPr="008364D3" w:rsidRDefault="00201677" w:rsidP="00201677">
      <w:pPr>
        <w:autoSpaceDE w:val="0"/>
        <w:autoSpaceDN w:val="0"/>
        <w:adjustRightInd w:val="0"/>
        <w:ind w:left="720" w:hanging="720"/>
        <w:jc w:val="both"/>
        <w:rPr>
          <w:rFonts w:ascii="Arial" w:hAnsi="Arial" w:cs="Arial"/>
          <w:sz w:val="20"/>
          <w:szCs w:val="20"/>
        </w:rPr>
      </w:pPr>
      <w:r w:rsidRPr="008364D3">
        <w:rPr>
          <w:rFonts w:ascii="Arial" w:hAnsi="Arial" w:cs="Arial"/>
          <w:sz w:val="20"/>
          <w:szCs w:val="20"/>
        </w:rPr>
        <w:t>a)</w:t>
      </w:r>
      <w:r w:rsidRPr="008364D3">
        <w:rPr>
          <w:rFonts w:ascii="Arial" w:hAnsi="Arial" w:cs="Arial"/>
          <w:sz w:val="20"/>
          <w:szCs w:val="20"/>
        </w:rPr>
        <w:tab/>
        <w:t>to the allotment of equity securities and the sale of treasury shares for cash in connection with an offer or issue of, or invitation to apply for, equity securities:</w:t>
      </w:r>
    </w:p>
    <w:p w:rsidR="00201677" w:rsidRPr="008364D3" w:rsidRDefault="00201677" w:rsidP="00201677">
      <w:pPr>
        <w:autoSpaceDE w:val="0"/>
        <w:autoSpaceDN w:val="0"/>
        <w:adjustRightInd w:val="0"/>
        <w:ind w:left="1418" w:hanging="709"/>
        <w:jc w:val="both"/>
        <w:rPr>
          <w:rFonts w:ascii="Arial" w:hAnsi="Arial" w:cs="Arial"/>
          <w:sz w:val="20"/>
          <w:szCs w:val="20"/>
        </w:rPr>
      </w:pPr>
      <w:r w:rsidRPr="008364D3">
        <w:rPr>
          <w:rFonts w:ascii="Arial" w:hAnsi="Arial" w:cs="Arial"/>
          <w:sz w:val="20"/>
          <w:szCs w:val="20"/>
        </w:rPr>
        <w:t>(i)</w:t>
      </w:r>
      <w:r w:rsidRPr="008364D3">
        <w:rPr>
          <w:rFonts w:ascii="Arial" w:hAnsi="Arial" w:cs="Arial"/>
          <w:sz w:val="20"/>
          <w:szCs w:val="20"/>
        </w:rPr>
        <w:tab/>
        <w:t>to ordinary shareholders in proportion (as nearly as may be practicable) to their existing holdings; and</w:t>
      </w:r>
    </w:p>
    <w:p w:rsidR="00201677" w:rsidRDefault="00201677" w:rsidP="00201677">
      <w:pPr>
        <w:autoSpaceDE w:val="0"/>
        <w:autoSpaceDN w:val="0"/>
        <w:adjustRightInd w:val="0"/>
        <w:ind w:left="1418" w:hanging="709"/>
        <w:jc w:val="both"/>
      </w:pPr>
      <w:r w:rsidRPr="008364D3">
        <w:rPr>
          <w:rFonts w:ascii="Arial" w:hAnsi="Arial" w:cs="Arial"/>
          <w:sz w:val="20"/>
          <w:szCs w:val="20"/>
        </w:rPr>
        <w:t>(ii)</w:t>
      </w:r>
      <w:r w:rsidRPr="008364D3">
        <w:rPr>
          <w:rFonts w:ascii="Arial" w:hAnsi="Arial" w:cs="Arial"/>
          <w:sz w:val="20"/>
          <w:szCs w:val="20"/>
        </w:rPr>
        <w:tab/>
        <w:t>to holders of other equity securities as required by the rights of those securities, or as the Board otherwise considers necessary,</w:t>
      </w:r>
      <w:r w:rsidRPr="008364D3">
        <w:t xml:space="preserve"> </w:t>
      </w:r>
    </w:p>
    <w:p w:rsidR="00201677" w:rsidRPr="00CE62E3" w:rsidRDefault="00201677" w:rsidP="00201677">
      <w:pPr>
        <w:autoSpaceDE w:val="0"/>
        <w:autoSpaceDN w:val="0"/>
        <w:adjustRightInd w:val="0"/>
        <w:ind w:left="709"/>
        <w:jc w:val="both"/>
        <w:rPr>
          <w:rFonts w:ascii="Arial" w:hAnsi="Arial" w:cs="Arial"/>
          <w:sz w:val="20"/>
          <w:szCs w:val="20"/>
        </w:rPr>
      </w:pPr>
      <w:r w:rsidRPr="008364D3">
        <w:rPr>
          <w:rFonts w:ascii="Arial" w:hAnsi="Arial" w:cs="Arial"/>
          <w:sz w:val="20"/>
          <w:szCs w:val="20"/>
        </w:rPr>
        <w:t>and so that the Board may impose any limits, exclusions or restrictions and make any arrangements which it considers necessary or appropriate to deal with treasury shares, fractional entitlements, record dates, legal, regulatory or practical problems in, or under the laws of, any territory or any other matter whatsoever; and</w:t>
      </w:r>
    </w:p>
    <w:p w:rsidR="00201677" w:rsidRDefault="00201677" w:rsidP="00201677">
      <w:pPr>
        <w:autoSpaceDE w:val="0"/>
        <w:autoSpaceDN w:val="0"/>
        <w:adjustRightInd w:val="0"/>
        <w:ind w:left="709" w:hanging="709"/>
        <w:jc w:val="both"/>
        <w:rPr>
          <w:rFonts w:ascii="Arial" w:hAnsi="Arial" w:cs="Arial"/>
          <w:sz w:val="20"/>
          <w:szCs w:val="20"/>
        </w:rPr>
      </w:pPr>
      <w:r w:rsidRPr="008364D3">
        <w:rPr>
          <w:rFonts w:ascii="Arial" w:hAnsi="Arial" w:cs="Arial"/>
          <w:sz w:val="20"/>
          <w:szCs w:val="20"/>
        </w:rPr>
        <w:t xml:space="preserve">b) </w:t>
      </w:r>
      <w:r>
        <w:rPr>
          <w:rFonts w:ascii="Arial" w:hAnsi="Arial" w:cs="Arial"/>
          <w:sz w:val="20"/>
          <w:szCs w:val="20"/>
        </w:rPr>
        <w:tab/>
      </w:r>
      <w:r w:rsidRPr="008364D3">
        <w:rPr>
          <w:rFonts w:ascii="Arial" w:hAnsi="Arial" w:cs="Arial"/>
          <w:sz w:val="20"/>
          <w:szCs w:val="20"/>
        </w:rPr>
        <w:t>to the allotment of equity securities or sale of treasury</w:t>
      </w:r>
      <w:r>
        <w:rPr>
          <w:rFonts w:ascii="Arial" w:hAnsi="Arial" w:cs="Arial"/>
          <w:sz w:val="20"/>
          <w:szCs w:val="20"/>
        </w:rPr>
        <w:t xml:space="preserve"> </w:t>
      </w:r>
      <w:r w:rsidRPr="008364D3">
        <w:rPr>
          <w:rFonts w:ascii="Arial" w:hAnsi="Arial" w:cs="Arial"/>
          <w:sz w:val="20"/>
          <w:szCs w:val="20"/>
        </w:rPr>
        <w:t>shares (otherwise than under paragraph (a) above) up to a nominal amount of £5,09</w:t>
      </w:r>
      <w:r>
        <w:rPr>
          <w:rFonts w:ascii="Arial" w:hAnsi="Arial" w:cs="Arial"/>
          <w:sz w:val="20"/>
          <w:szCs w:val="20"/>
        </w:rPr>
        <w:t>1</w:t>
      </w:r>
      <w:r w:rsidRPr="008364D3">
        <w:rPr>
          <w:rFonts w:ascii="Arial" w:hAnsi="Arial" w:cs="Arial"/>
          <w:sz w:val="20"/>
          <w:szCs w:val="20"/>
        </w:rPr>
        <w:t>,5</w:t>
      </w:r>
      <w:r>
        <w:rPr>
          <w:rFonts w:ascii="Arial" w:hAnsi="Arial" w:cs="Arial"/>
          <w:sz w:val="20"/>
          <w:szCs w:val="20"/>
        </w:rPr>
        <w:t>41</w:t>
      </w:r>
      <w:r w:rsidRPr="008364D3">
        <w:rPr>
          <w:rFonts w:ascii="Arial" w:hAnsi="Arial" w:cs="Arial"/>
          <w:sz w:val="20"/>
          <w:szCs w:val="20"/>
        </w:rPr>
        <w:t>,</w:t>
      </w:r>
      <w:r>
        <w:rPr>
          <w:rFonts w:ascii="Arial" w:hAnsi="Arial" w:cs="Arial"/>
          <w:sz w:val="20"/>
          <w:szCs w:val="20"/>
        </w:rPr>
        <w:t xml:space="preserve"> </w:t>
      </w:r>
    </w:p>
    <w:p w:rsidR="00201677" w:rsidRPr="00657A06" w:rsidRDefault="00201677" w:rsidP="00201677">
      <w:pPr>
        <w:autoSpaceDE w:val="0"/>
        <w:autoSpaceDN w:val="0"/>
        <w:adjustRightInd w:val="0"/>
        <w:jc w:val="both"/>
        <w:rPr>
          <w:rFonts w:ascii="Arial" w:hAnsi="Arial" w:cs="Arial"/>
          <w:sz w:val="20"/>
          <w:szCs w:val="20"/>
        </w:rPr>
      </w:pPr>
      <w:r w:rsidRPr="008364D3">
        <w:rPr>
          <w:rFonts w:ascii="Arial" w:hAnsi="Arial" w:cs="Arial"/>
          <w:sz w:val="20"/>
          <w:szCs w:val="20"/>
        </w:rPr>
        <w:t>such power to expire at the end of next year’s Annual General Meeting of the Company (or, if earlier, at the close of business on 1</w:t>
      </w:r>
      <w:r>
        <w:rPr>
          <w:rFonts w:ascii="Arial" w:hAnsi="Arial" w:cs="Arial"/>
          <w:sz w:val="20"/>
          <w:szCs w:val="20"/>
        </w:rPr>
        <w:t>4</w:t>
      </w:r>
      <w:r w:rsidRPr="008364D3">
        <w:rPr>
          <w:rFonts w:ascii="Arial" w:hAnsi="Arial" w:cs="Arial"/>
          <w:sz w:val="20"/>
          <w:szCs w:val="20"/>
        </w:rPr>
        <w:t xml:space="preserve"> January 202</w:t>
      </w:r>
      <w:r>
        <w:rPr>
          <w:rFonts w:ascii="Arial" w:hAnsi="Arial" w:cs="Arial"/>
          <w:sz w:val="20"/>
          <w:szCs w:val="20"/>
        </w:rPr>
        <w:t>2</w:t>
      </w:r>
      <w:r w:rsidRPr="008364D3">
        <w:rPr>
          <w:rFonts w:ascii="Arial" w:hAnsi="Arial" w:cs="Arial"/>
          <w:sz w:val="20"/>
          <w:szCs w:val="20"/>
        </w:rPr>
        <w:t>) but so that, in each case, prior to its expiry the Company may make offers, and enter into agreements, which would, or might, require equity securities to be allotted (and/or treasury shares to be sold) after the power ends and the Board may allot equity securities (and sell treasury shares) under any such offer or agreement as if the power had not expired.</w:t>
      </w:r>
    </w:p>
    <w:p w:rsidR="00201677" w:rsidRDefault="00201677" w:rsidP="00201677">
      <w:pPr>
        <w:autoSpaceDE w:val="0"/>
        <w:autoSpaceDN w:val="0"/>
        <w:adjustRightInd w:val="0"/>
        <w:jc w:val="both"/>
        <w:rPr>
          <w:rFonts w:ascii="Arial" w:hAnsi="Arial" w:cs="Arial"/>
          <w:b/>
          <w:sz w:val="20"/>
          <w:szCs w:val="20"/>
        </w:rPr>
      </w:pPr>
    </w:p>
    <w:p w:rsidR="00201677" w:rsidRDefault="00201677" w:rsidP="00201677">
      <w:pPr>
        <w:jc w:val="both"/>
        <w:rPr>
          <w:rFonts w:ascii="Arial" w:hAnsi="Arial" w:cs="Arial"/>
          <w:b/>
          <w:sz w:val="20"/>
          <w:szCs w:val="20"/>
          <w:u w:val="single"/>
        </w:rPr>
      </w:pPr>
      <w:r>
        <w:rPr>
          <w:rFonts w:ascii="Arial" w:hAnsi="Arial" w:cs="Arial"/>
          <w:b/>
          <w:sz w:val="20"/>
          <w:szCs w:val="20"/>
          <w:u w:val="single"/>
        </w:rPr>
        <w:t>Resolution 17: Directors’ a</w:t>
      </w:r>
      <w:r w:rsidRPr="009571F4">
        <w:rPr>
          <w:rFonts w:ascii="Arial" w:hAnsi="Arial" w:cs="Arial"/>
          <w:b/>
          <w:sz w:val="20"/>
          <w:szCs w:val="20"/>
          <w:u w:val="single"/>
        </w:rPr>
        <w:t xml:space="preserve">uthority to </w:t>
      </w:r>
      <w:r>
        <w:rPr>
          <w:rFonts w:ascii="Arial" w:hAnsi="Arial" w:cs="Arial"/>
          <w:b/>
          <w:sz w:val="20"/>
          <w:szCs w:val="20"/>
          <w:u w:val="single"/>
        </w:rPr>
        <w:t>m</w:t>
      </w:r>
      <w:r w:rsidRPr="009571F4">
        <w:rPr>
          <w:rFonts w:ascii="Arial" w:hAnsi="Arial" w:cs="Arial"/>
          <w:b/>
          <w:sz w:val="20"/>
          <w:szCs w:val="20"/>
          <w:u w:val="single"/>
        </w:rPr>
        <w:t xml:space="preserve">ake </w:t>
      </w:r>
      <w:r>
        <w:rPr>
          <w:rFonts w:ascii="Arial" w:hAnsi="Arial" w:cs="Arial"/>
          <w:b/>
          <w:sz w:val="20"/>
          <w:szCs w:val="20"/>
          <w:u w:val="single"/>
        </w:rPr>
        <w:t>m</w:t>
      </w:r>
      <w:r w:rsidRPr="009571F4">
        <w:rPr>
          <w:rFonts w:ascii="Arial" w:hAnsi="Arial" w:cs="Arial"/>
          <w:b/>
          <w:sz w:val="20"/>
          <w:szCs w:val="20"/>
          <w:u w:val="single"/>
        </w:rPr>
        <w:t xml:space="preserve">arket </w:t>
      </w:r>
      <w:r>
        <w:rPr>
          <w:rFonts w:ascii="Arial" w:hAnsi="Arial" w:cs="Arial"/>
          <w:b/>
          <w:sz w:val="20"/>
          <w:szCs w:val="20"/>
          <w:u w:val="single"/>
        </w:rPr>
        <w:t>p</w:t>
      </w:r>
      <w:r w:rsidRPr="009571F4">
        <w:rPr>
          <w:rFonts w:ascii="Arial" w:hAnsi="Arial" w:cs="Arial"/>
          <w:b/>
          <w:sz w:val="20"/>
          <w:szCs w:val="20"/>
          <w:u w:val="single"/>
        </w:rPr>
        <w:t>urchases</w:t>
      </w:r>
      <w:r>
        <w:rPr>
          <w:rFonts w:ascii="Arial" w:hAnsi="Arial" w:cs="Arial"/>
          <w:b/>
          <w:sz w:val="20"/>
          <w:szCs w:val="20"/>
          <w:u w:val="single"/>
        </w:rPr>
        <w:t xml:space="preserve"> of its Ordinary Shares</w:t>
      </w:r>
    </w:p>
    <w:p w:rsidR="00201677" w:rsidRDefault="00201677" w:rsidP="00201677">
      <w:pPr>
        <w:autoSpaceDE w:val="0"/>
        <w:autoSpaceDN w:val="0"/>
        <w:adjustRightInd w:val="0"/>
        <w:ind w:left="709" w:hanging="709"/>
        <w:jc w:val="both"/>
        <w:rPr>
          <w:rFonts w:ascii="Arial" w:hAnsi="Arial" w:cs="Arial"/>
          <w:sz w:val="20"/>
          <w:szCs w:val="20"/>
        </w:rPr>
      </w:pPr>
    </w:p>
    <w:p w:rsidR="00201677" w:rsidRPr="0007151A" w:rsidRDefault="00201677" w:rsidP="00201677">
      <w:pPr>
        <w:widowControl w:val="0"/>
        <w:tabs>
          <w:tab w:val="left" w:pos="461"/>
        </w:tabs>
        <w:kinsoku w:val="0"/>
        <w:overflowPunct w:val="0"/>
        <w:autoSpaceDE w:val="0"/>
        <w:autoSpaceDN w:val="0"/>
        <w:adjustRightInd w:val="0"/>
        <w:ind w:right="131"/>
        <w:rPr>
          <w:rFonts w:ascii="Arial" w:eastAsiaTheme="minorEastAsia" w:hAnsi="Arial" w:cs="Arial"/>
          <w:color w:val="231F20"/>
          <w:sz w:val="20"/>
          <w:szCs w:val="20"/>
          <w:lang w:eastAsia="en-GB"/>
        </w:rPr>
      </w:pPr>
      <w:r w:rsidRPr="0007151A">
        <w:rPr>
          <w:rFonts w:ascii="Arial" w:eastAsiaTheme="minorEastAsia" w:hAnsi="Arial" w:cs="Arial"/>
          <w:color w:val="231F20"/>
          <w:sz w:val="20"/>
          <w:szCs w:val="20"/>
          <w:lang w:eastAsia="en-GB"/>
        </w:rPr>
        <w:t>That the Company be and is hereby generally and unconditionally</w:t>
      </w:r>
      <w:r w:rsidRPr="0007151A">
        <w:rPr>
          <w:rFonts w:ascii="Arial" w:eastAsiaTheme="minorEastAsia" w:hAnsi="Arial" w:cs="Arial"/>
          <w:color w:val="231F20"/>
          <w:spacing w:val="-8"/>
          <w:sz w:val="20"/>
          <w:szCs w:val="20"/>
          <w:lang w:eastAsia="en-GB"/>
        </w:rPr>
        <w:t xml:space="preserve"> </w:t>
      </w:r>
      <w:r w:rsidRPr="0007151A">
        <w:rPr>
          <w:rFonts w:ascii="Arial" w:eastAsiaTheme="minorEastAsia" w:hAnsi="Arial" w:cs="Arial"/>
          <w:color w:val="231F20"/>
          <w:sz w:val="20"/>
          <w:szCs w:val="20"/>
          <w:lang w:eastAsia="en-GB"/>
        </w:rPr>
        <w:t>authorised</w:t>
      </w:r>
      <w:r w:rsidRPr="0007151A">
        <w:rPr>
          <w:rFonts w:ascii="Arial" w:eastAsiaTheme="minorEastAsia" w:hAnsi="Arial" w:cs="Arial"/>
          <w:color w:val="231F20"/>
          <w:spacing w:val="-8"/>
          <w:sz w:val="20"/>
          <w:szCs w:val="20"/>
          <w:lang w:eastAsia="en-GB"/>
        </w:rPr>
        <w:t xml:space="preserve"> </w:t>
      </w:r>
      <w:r w:rsidRPr="0007151A">
        <w:rPr>
          <w:rFonts w:ascii="Arial" w:eastAsiaTheme="minorEastAsia" w:hAnsi="Arial" w:cs="Arial"/>
          <w:color w:val="231F20"/>
          <w:sz w:val="20"/>
          <w:szCs w:val="20"/>
          <w:lang w:eastAsia="en-GB"/>
        </w:rPr>
        <w:t>for</w:t>
      </w:r>
      <w:r w:rsidRPr="0007151A">
        <w:rPr>
          <w:rFonts w:ascii="Arial" w:eastAsiaTheme="minorEastAsia" w:hAnsi="Arial" w:cs="Arial"/>
          <w:color w:val="231F20"/>
          <w:spacing w:val="-8"/>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8"/>
          <w:sz w:val="20"/>
          <w:szCs w:val="20"/>
          <w:lang w:eastAsia="en-GB"/>
        </w:rPr>
        <w:t xml:space="preserve"> </w:t>
      </w:r>
      <w:r w:rsidRPr="0007151A">
        <w:rPr>
          <w:rFonts w:ascii="Arial" w:eastAsiaTheme="minorEastAsia" w:hAnsi="Arial" w:cs="Arial"/>
          <w:color w:val="231F20"/>
          <w:sz w:val="20"/>
          <w:szCs w:val="20"/>
          <w:lang w:eastAsia="en-GB"/>
        </w:rPr>
        <w:t>purposes</w:t>
      </w:r>
      <w:r w:rsidRPr="0007151A">
        <w:rPr>
          <w:rFonts w:ascii="Arial" w:eastAsiaTheme="minorEastAsia" w:hAnsi="Arial" w:cs="Arial"/>
          <w:color w:val="231F20"/>
          <w:spacing w:val="-8"/>
          <w:sz w:val="20"/>
          <w:szCs w:val="20"/>
          <w:lang w:eastAsia="en-GB"/>
        </w:rPr>
        <w:t xml:space="preserve"> </w:t>
      </w:r>
      <w:r w:rsidRPr="0007151A">
        <w:rPr>
          <w:rFonts w:ascii="Arial" w:eastAsiaTheme="minorEastAsia" w:hAnsi="Arial" w:cs="Arial"/>
          <w:color w:val="231F20"/>
          <w:sz w:val="20"/>
          <w:szCs w:val="20"/>
          <w:lang w:eastAsia="en-GB"/>
        </w:rPr>
        <w:t>of</w:t>
      </w:r>
      <w:r w:rsidRPr="0007151A">
        <w:rPr>
          <w:rFonts w:ascii="Arial" w:eastAsiaTheme="minorEastAsia" w:hAnsi="Arial" w:cs="Arial"/>
          <w:color w:val="231F20"/>
          <w:spacing w:val="-8"/>
          <w:sz w:val="20"/>
          <w:szCs w:val="20"/>
          <w:lang w:eastAsia="en-GB"/>
        </w:rPr>
        <w:t xml:space="preserve"> </w:t>
      </w:r>
      <w:r w:rsidRPr="0007151A">
        <w:rPr>
          <w:rFonts w:ascii="Arial" w:eastAsiaTheme="minorEastAsia" w:hAnsi="Arial" w:cs="Arial"/>
          <w:color w:val="231F20"/>
          <w:sz w:val="20"/>
          <w:szCs w:val="20"/>
          <w:lang w:eastAsia="en-GB"/>
        </w:rPr>
        <w:t>section</w:t>
      </w:r>
      <w:r w:rsidRPr="0007151A">
        <w:rPr>
          <w:rFonts w:ascii="Arial" w:eastAsiaTheme="minorEastAsia" w:hAnsi="Arial" w:cs="Arial"/>
          <w:color w:val="231F20"/>
          <w:spacing w:val="-8"/>
          <w:sz w:val="20"/>
          <w:szCs w:val="20"/>
          <w:lang w:eastAsia="en-GB"/>
        </w:rPr>
        <w:t xml:space="preserve"> </w:t>
      </w:r>
      <w:r w:rsidRPr="0007151A">
        <w:rPr>
          <w:rFonts w:ascii="Arial" w:eastAsiaTheme="minorEastAsia" w:hAnsi="Arial" w:cs="Arial"/>
          <w:color w:val="231F20"/>
          <w:sz w:val="20"/>
          <w:szCs w:val="20"/>
          <w:lang w:eastAsia="en-GB"/>
        </w:rPr>
        <w:t>701</w:t>
      </w:r>
      <w:r w:rsidRPr="0007151A">
        <w:rPr>
          <w:rFonts w:ascii="Arial" w:eastAsiaTheme="minorEastAsia" w:hAnsi="Arial" w:cs="Arial"/>
          <w:color w:val="231F20"/>
          <w:spacing w:val="-8"/>
          <w:sz w:val="20"/>
          <w:szCs w:val="20"/>
          <w:lang w:eastAsia="en-GB"/>
        </w:rPr>
        <w:t xml:space="preserve"> </w:t>
      </w:r>
      <w:r w:rsidRPr="0007151A">
        <w:rPr>
          <w:rFonts w:ascii="Arial" w:eastAsiaTheme="minorEastAsia" w:hAnsi="Arial" w:cs="Arial"/>
          <w:color w:val="231F20"/>
          <w:sz w:val="20"/>
          <w:szCs w:val="20"/>
          <w:lang w:eastAsia="en-GB"/>
        </w:rPr>
        <w:t xml:space="preserve">of the Act to </w:t>
      </w:r>
      <w:r w:rsidRPr="0007151A">
        <w:rPr>
          <w:rFonts w:ascii="Arial" w:eastAsiaTheme="minorEastAsia" w:hAnsi="Arial" w:cs="Arial"/>
          <w:color w:val="231F20"/>
          <w:spacing w:val="-3"/>
          <w:sz w:val="20"/>
          <w:szCs w:val="20"/>
          <w:lang w:eastAsia="en-GB"/>
        </w:rPr>
        <w:t xml:space="preserve">make </w:t>
      </w:r>
      <w:r w:rsidRPr="0007151A">
        <w:rPr>
          <w:rFonts w:ascii="Arial" w:eastAsiaTheme="minorEastAsia" w:hAnsi="Arial" w:cs="Arial"/>
          <w:color w:val="231F20"/>
          <w:sz w:val="20"/>
          <w:szCs w:val="20"/>
          <w:lang w:eastAsia="en-GB"/>
        </w:rPr>
        <w:t xml:space="preserve">one or </w:t>
      </w:r>
      <w:r w:rsidRPr="0007151A">
        <w:rPr>
          <w:rFonts w:ascii="Arial" w:eastAsiaTheme="minorEastAsia" w:hAnsi="Arial" w:cs="Arial"/>
          <w:color w:val="231F20"/>
          <w:spacing w:val="-3"/>
          <w:sz w:val="20"/>
          <w:szCs w:val="20"/>
          <w:lang w:eastAsia="en-GB"/>
        </w:rPr>
        <w:t xml:space="preserve">more market </w:t>
      </w:r>
      <w:r w:rsidRPr="0007151A">
        <w:rPr>
          <w:rFonts w:ascii="Arial" w:eastAsiaTheme="minorEastAsia" w:hAnsi="Arial" w:cs="Arial"/>
          <w:color w:val="231F20"/>
          <w:sz w:val="20"/>
          <w:szCs w:val="20"/>
          <w:lang w:eastAsia="en-GB"/>
        </w:rPr>
        <w:t>purchases (as defined in section 693(4) of the Act) of its ordinary shares of 10 pence</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each</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in</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capital</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of</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Company</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(‘ordinary</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pacing w:val="-3"/>
          <w:sz w:val="20"/>
          <w:szCs w:val="20"/>
          <w:lang w:eastAsia="en-GB"/>
        </w:rPr>
        <w:t xml:space="preserve">shares’), </w:t>
      </w:r>
      <w:r w:rsidRPr="0007151A">
        <w:rPr>
          <w:rFonts w:ascii="Arial" w:eastAsiaTheme="minorEastAsia" w:hAnsi="Arial" w:cs="Arial"/>
          <w:color w:val="231F20"/>
          <w:sz w:val="20"/>
          <w:szCs w:val="20"/>
          <w:lang w:eastAsia="en-GB"/>
        </w:rPr>
        <w:t xml:space="preserve">on such terms and in such manner as the Board may </w:t>
      </w:r>
      <w:r w:rsidRPr="0007151A">
        <w:rPr>
          <w:rFonts w:ascii="Arial" w:eastAsiaTheme="minorEastAsia" w:hAnsi="Arial" w:cs="Arial"/>
          <w:color w:val="231F20"/>
          <w:spacing w:val="-3"/>
          <w:sz w:val="20"/>
          <w:szCs w:val="20"/>
          <w:lang w:eastAsia="en-GB"/>
        </w:rPr>
        <w:t xml:space="preserve">from </w:t>
      </w:r>
      <w:r w:rsidRPr="0007151A">
        <w:rPr>
          <w:rFonts w:ascii="Arial" w:eastAsiaTheme="minorEastAsia" w:hAnsi="Arial" w:cs="Arial"/>
          <w:color w:val="231F20"/>
          <w:sz w:val="20"/>
          <w:szCs w:val="20"/>
          <w:lang w:eastAsia="en-GB"/>
        </w:rPr>
        <w:t xml:space="preserve">time to time </w:t>
      </w:r>
      <w:r w:rsidRPr="0007151A">
        <w:rPr>
          <w:rFonts w:ascii="Arial" w:eastAsiaTheme="minorEastAsia" w:hAnsi="Arial" w:cs="Arial"/>
          <w:color w:val="231F20"/>
          <w:sz w:val="20"/>
          <w:szCs w:val="20"/>
          <w:lang w:eastAsia="en-GB"/>
        </w:rPr>
        <w:lastRenderedPageBreak/>
        <w:t>determine, provided that such authority shall be</w:t>
      </w:r>
      <w:r w:rsidRPr="0007151A">
        <w:rPr>
          <w:rFonts w:ascii="Arial" w:eastAsiaTheme="minorEastAsia" w:hAnsi="Arial" w:cs="Arial"/>
          <w:color w:val="231F20"/>
          <w:spacing w:val="14"/>
          <w:sz w:val="20"/>
          <w:szCs w:val="20"/>
          <w:lang w:eastAsia="en-GB"/>
        </w:rPr>
        <w:t xml:space="preserve"> </w:t>
      </w:r>
      <w:r w:rsidRPr="0007151A">
        <w:rPr>
          <w:rFonts w:ascii="Arial" w:eastAsiaTheme="minorEastAsia" w:hAnsi="Arial" w:cs="Arial"/>
          <w:color w:val="231F20"/>
          <w:sz w:val="20"/>
          <w:szCs w:val="20"/>
          <w:lang w:eastAsia="en-GB"/>
        </w:rPr>
        <w:t>limited:</w:t>
      </w:r>
    </w:p>
    <w:p w:rsidR="00201677" w:rsidRPr="0007151A" w:rsidRDefault="00201677" w:rsidP="00201677">
      <w:pPr>
        <w:widowControl w:val="0"/>
        <w:numPr>
          <w:ilvl w:val="1"/>
          <w:numId w:val="13"/>
        </w:numPr>
        <w:tabs>
          <w:tab w:val="left" w:pos="426"/>
        </w:tabs>
        <w:kinsoku w:val="0"/>
        <w:overflowPunct w:val="0"/>
        <w:autoSpaceDE w:val="0"/>
        <w:autoSpaceDN w:val="0"/>
        <w:adjustRightInd w:val="0"/>
        <w:spacing w:before="114"/>
        <w:ind w:hanging="800"/>
        <w:rPr>
          <w:rFonts w:ascii="Arial" w:eastAsiaTheme="minorEastAsia" w:hAnsi="Arial" w:cs="Arial"/>
          <w:color w:val="231F20"/>
          <w:sz w:val="20"/>
          <w:szCs w:val="20"/>
          <w:lang w:eastAsia="en-GB"/>
        </w:rPr>
      </w:pPr>
      <w:r w:rsidRPr="0007151A">
        <w:rPr>
          <w:rFonts w:ascii="Arial" w:eastAsiaTheme="minorEastAsia" w:hAnsi="Arial" w:cs="Arial"/>
          <w:color w:val="231F20"/>
          <w:sz w:val="20"/>
          <w:szCs w:val="20"/>
          <w:lang w:eastAsia="en-GB"/>
        </w:rPr>
        <w:t>to</w:t>
      </w:r>
      <w:r w:rsidRPr="0007151A">
        <w:rPr>
          <w:rFonts w:ascii="Arial" w:eastAsiaTheme="minorEastAsia" w:hAnsi="Arial" w:cs="Arial"/>
          <w:color w:val="231F20"/>
          <w:spacing w:val="-26"/>
          <w:sz w:val="20"/>
          <w:szCs w:val="20"/>
          <w:lang w:eastAsia="en-GB"/>
        </w:rPr>
        <w:t xml:space="preserve"> </w:t>
      </w:r>
      <w:r w:rsidRPr="0007151A">
        <w:rPr>
          <w:rFonts w:ascii="Arial" w:eastAsiaTheme="minorEastAsia" w:hAnsi="Arial" w:cs="Arial"/>
          <w:color w:val="231F20"/>
          <w:sz w:val="20"/>
          <w:szCs w:val="20"/>
          <w:lang w:eastAsia="en-GB"/>
        </w:rPr>
        <w:t>a</w:t>
      </w:r>
      <w:r w:rsidRPr="0007151A">
        <w:rPr>
          <w:rFonts w:ascii="Arial" w:eastAsiaTheme="minorEastAsia" w:hAnsi="Arial" w:cs="Arial"/>
          <w:color w:val="231F20"/>
          <w:spacing w:val="-26"/>
          <w:sz w:val="20"/>
          <w:szCs w:val="20"/>
          <w:lang w:eastAsia="en-GB"/>
        </w:rPr>
        <w:t xml:space="preserve"> </w:t>
      </w:r>
      <w:r w:rsidRPr="0007151A">
        <w:rPr>
          <w:rFonts w:ascii="Arial" w:eastAsiaTheme="minorEastAsia" w:hAnsi="Arial" w:cs="Arial"/>
          <w:color w:val="231F20"/>
          <w:sz w:val="20"/>
          <w:szCs w:val="20"/>
          <w:lang w:eastAsia="en-GB"/>
        </w:rPr>
        <w:t>maximum</w:t>
      </w:r>
      <w:r w:rsidRPr="0007151A">
        <w:rPr>
          <w:rFonts w:ascii="Arial" w:eastAsiaTheme="minorEastAsia" w:hAnsi="Arial" w:cs="Arial"/>
          <w:color w:val="231F20"/>
          <w:spacing w:val="-26"/>
          <w:sz w:val="20"/>
          <w:szCs w:val="20"/>
          <w:lang w:eastAsia="en-GB"/>
        </w:rPr>
        <w:t xml:space="preserve"> </w:t>
      </w:r>
      <w:r w:rsidRPr="0007151A">
        <w:rPr>
          <w:rFonts w:ascii="Arial" w:eastAsiaTheme="minorEastAsia" w:hAnsi="Arial" w:cs="Arial"/>
          <w:color w:val="231F20"/>
          <w:sz w:val="20"/>
          <w:szCs w:val="20"/>
          <w:lang w:eastAsia="en-GB"/>
        </w:rPr>
        <w:t>number</w:t>
      </w:r>
      <w:r w:rsidRPr="0007151A">
        <w:rPr>
          <w:rFonts w:ascii="Arial" w:eastAsiaTheme="minorEastAsia" w:hAnsi="Arial" w:cs="Arial"/>
          <w:color w:val="231F20"/>
          <w:spacing w:val="-26"/>
          <w:sz w:val="20"/>
          <w:szCs w:val="20"/>
          <w:lang w:eastAsia="en-GB"/>
        </w:rPr>
        <w:t xml:space="preserve"> </w:t>
      </w:r>
      <w:r w:rsidRPr="0007151A">
        <w:rPr>
          <w:rFonts w:ascii="Arial" w:eastAsiaTheme="minorEastAsia" w:hAnsi="Arial" w:cs="Arial"/>
          <w:color w:val="231F20"/>
          <w:sz w:val="20"/>
          <w:szCs w:val="20"/>
          <w:lang w:eastAsia="en-GB"/>
        </w:rPr>
        <w:t>of</w:t>
      </w:r>
      <w:r w:rsidRPr="0007151A">
        <w:rPr>
          <w:rFonts w:ascii="Arial" w:eastAsiaTheme="minorEastAsia" w:hAnsi="Arial" w:cs="Arial"/>
          <w:color w:val="231F20"/>
          <w:spacing w:val="-26"/>
          <w:sz w:val="20"/>
          <w:szCs w:val="20"/>
          <w:lang w:eastAsia="en-GB"/>
        </w:rPr>
        <w:t xml:space="preserve"> </w:t>
      </w:r>
      <w:r w:rsidRPr="0007151A">
        <w:rPr>
          <w:rFonts w:ascii="Arial" w:eastAsiaTheme="minorEastAsia" w:hAnsi="Arial" w:cs="Arial"/>
          <w:color w:val="231F20"/>
          <w:sz w:val="20"/>
          <w:szCs w:val="20"/>
          <w:lang w:eastAsia="en-GB"/>
        </w:rPr>
        <w:t>101,830,821</w:t>
      </w:r>
      <w:r w:rsidRPr="0007151A">
        <w:rPr>
          <w:rFonts w:ascii="Arial" w:eastAsiaTheme="minorEastAsia" w:hAnsi="Arial" w:cs="Arial"/>
          <w:color w:val="231F20"/>
          <w:spacing w:val="-26"/>
          <w:sz w:val="20"/>
          <w:szCs w:val="20"/>
          <w:lang w:eastAsia="en-GB"/>
        </w:rPr>
        <w:t xml:space="preserve"> </w:t>
      </w:r>
      <w:r w:rsidRPr="0007151A">
        <w:rPr>
          <w:rFonts w:ascii="Arial" w:eastAsiaTheme="minorEastAsia" w:hAnsi="Arial" w:cs="Arial"/>
          <w:color w:val="231F20"/>
          <w:sz w:val="20"/>
          <w:szCs w:val="20"/>
          <w:lang w:eastAsia="en-GB"/>
        </w:rPr>
        <w:t>ordinary</w:t>
      </w:r>
      <w:r w:rsidRPr="0007151A">
        <w:rPr>
          <w:rFonts w:ascii="Arial" w:eastAsiaTheme="minorEastAsia" w:hAnsi="Arial" w:cs="Arial"/>
          <w:color w:val="231F20"/>
          <w:spacing w:val="-26"/>
          <w:sz w:val="20"/>
          <w:szCs w:val="20"/>
          <w:lang w:eastAsia="en-GB"/>
        </w:rPr>
        <w:t xml:space="preserve"> </w:t>
      </w:r>
      <w:r w:rsidRPr="0007151A">
        <w:rPr>
          <w:rFonts w:ascii="Arial" w:eastAsiaTheme="minorEastAsia" w:hAnsi="Arial" w:cs="Arial"/>
          <w:color w:val="231F20"/>
          <w:sz w:val="20"/>
          <w:szCs w:val="20"/>
          <w:lang w:eastAsia="en-GB"/>
        </w:rPr>
        <w:t>shares;</w:t>
      </w:r>
    </w:p>
    <w:p w:rsidR="00201677" w:rsidRPr="0007151A" w:rsidRDefault="00201677" w:rsidP="00201677">
      <w:pPr>
        <w:widowControl w:val="0"/>
        <w:numPr>
          <w:ilvl w:val="1"/>
          <w:numId w:val="13"/>
        </w:numPr>
        <w:tabs>
          <w:tab w:val="left" w:pos="426"/>
        </w:tabs>
        <w:kinsoku w:val="0"/>
        <w:overflowPunct w:val="0"/>
        <w:autoSpaceDE w:val="0"/>
        <w:autoSpaceDN w:val="0"/>
        <w:adjustRightInd w:val="0"/>
        <w:spacing w:before="126" w:line="254" w:lineRule="auto"/>
        <w:ind w:left="426" w:right="228" w:hanging="426"/>
        <w:rPr>
          <w:rFonts w:ascii="Arial" w:eastAsiaTheme="minorEastAsia" w:hAnsi="Arial" w:cs="Arial"/>
          <w:color w:val="231F20"/>
          <w:spacing w:val="-4"/>
          <w:sz w:val="20"/>
          <w:szCs w:val="20"/>
          <w:lang w:eastAsia="en-GB"/>
        </w:rPr>
      </w:pPr>
      <w:r w:rsidRPr="0007151A">
        <w:rPr>
          <w:rFonts w:ascii="Arial" w:eastAsiaTheme="minorEastAsia" w:hAnsi="Arial" w:cs="Arial"/>
          <w:color w:val="231F20"/>
          <w:sz w:val="20"/>
          <w:szCs w:val="20"/>
          <w:lang w:eastAsia="en-GB"/>
        </w:rPr>
        <w:t>by the condition that the maximum price, exclusive of expenses,</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which</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may</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be</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paid</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for</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an</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ordinary</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share</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shall be the higher</w:t>
      </w:r>
      <w:r w:rsidRPr="0007151A">
        <w:rPr>
          <w:rFonts w:ascii="Arial" w:eastAsiaTheme="minorEastAsia" w:hAnsi="Arial" w:cs="Arial"/>
          <w:color w:val="231F20"/>
          <w:spacing w:val="-34"/>
          <w:sz w:val="20"/>
          <w:szCs w:val="20"/>
          <w:lang w:eastAsia="en-GB"/>
        </w:rPr>
        <w:t xml:space="preserve"> </w:t>
      </w:r>
      <w:r w:rsidRPr="0007151A">
        <w:rPr>
          <w:rFonts w:ascii="Arial" w:eastAsiaTheme="minorEastAsia" w:hAnsi="Arial" w:cs="Arial"/>
          <w:color w:val="231F20"/>
          <w:spacing w:val="-4"/>
          <w:sz w:val="20"/>
          <w:szCs w:val="20"/>
          <w:lang w:eastAsia="en-GB"/>
        </w:rPr>
        <w:t>of:</w:t>
      </w:r>
    </w:p>
    <w:p w:rsidR="00201677" w:rsidRPr="0007151A" w:rsidRDefault="00201677" w:rsidP="00201677">
      <w:pPr>
        <w:widowControl w:val="0"/>
        <w:numPr>
          <w:ilvl w:val="2"/>
          <w:numId w:val="13"/>
        </w:numPr>
        <w:tabs>
          <w:tab w:val="left" w:pos="851"/>
        </w:tabs>
        <w:kinsoku w:val="0"/>
        <w:overflowPunct w:val="0"/>
        <w:autoSpaceDE w:val="0"/>
        <w:autoSpaceDN w:val="0"/>
        <w:adjustRightInd w:val="0"/>
        <w:spacing w:before="114" w:line="254" w:lineRule="auto"/>
        <w:ind w:left="851" w:right="216" w:hanging="425"/>
        <w:rPr>
          <w:rFonts w:ascii="Arial" w:eastAsiaTheme="minorEastAsia" w:hAnsi="Arial" w:cs="Arial"/>
          <w:color w:val="231F20"/>
          <w:sz w:val="20"/>
          <w:szCs w:val="20"/>
          <w:lang w:eastAsia="en-GB"/>
        </w:rPr>
      </w:pPr>
      <w:r w:rsidRPr="0007151A">
        <w:rPr>
          <w:rFonts w:ascii="Arial" w:eastAsiaTheme="minorEastAsia" w:hAnsi="Arial" w:cs="Arial"/>
          <w:color w:val="231F20"/>
          <w:sz w:val="20"/>
          <w:szCs w:val="20"/>
          <w:lang w:eastAsia="en-GB"/>
        </w:rPr>
        <w:t xml:space="preserve">an amount equal to 5% above the average </w:t>
      </w:r>
      <w:r w:rsidRPr="0007151A">
        <w:rPr>
          <w:rFonts w:ascii="Arial" w:eastAsiaTheme="minorEastAsia" w:hAnsi="Arial" w:cs="Arial"/>
          <w:color w:val="231F20"/>
          <w:spacing w:val="-3"/>
          <w:sz w:val="20"/>
          <w:szCs w:val="20"/>
          <w:lang w:eastAsia="en-GB"/>
        </w:rPr>
        <w:t xml:space="preserve">market </w:t>
      </w:r>
      <w:r w:rsidRPr="0007151A">
        <w:rPr>
          <w:rFonts w:ascii="Arial" w:eastAsiaTheme="minorEastAsia" w:hAnsi="Arial" w:cs="Arial"/>
          <w:color w:val="231F20"/>
          <w:sz w:val="20"/>
          <w:szCs w:val="20"/>
          <w:lang w:eastAsia="en-GB"/>
        </w:rPr>
        <w:t>value</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of</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an</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ordinary</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share</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for</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five</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business</w:t>
      </w:r>
      <w:r w:rsidRPr="0007151A">
        <w:rPr>
          <w:rFonts w:ascii="Arial" w:eastAsiaTheme="minorEastAsia" w:hAnsi="Arial" w:cs="Arial"/>
          <w:color w:val="231F20"/>
          <w:spacing w:val="-21"/>
          <w:sz w:val="20"/>
          <w:szCs w:val="20"/>
          <w:lang w:eastAsia="en-GB"/>
        </w:rPr>
        <w:t xml:space="preserve"> </w:t>
      </w:r>
      <w:r w:rsidRPr="0007151A">
        <w:rPr>
          <w:rFonts w:ascii="Arial" w:eastAsiaTheme="minorEastAsia" w:hAnsi="Arial" w:cs="Arial"/>
          <w:color w:val="231F20"/>
          <w:sz w:val="20"/>
          <w:szCs w:val="20"/>
          <w:lang w:eastAsia="en-GB"/>
        </w:rPr>
        <w:t>days immediately preceding the day on which that ordinary</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share</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is</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contracted</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to</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be</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purchased;</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and</w:t>
      </w:r>
    </w:p>
    <w:p w:rsidR="00201677" w:rsidRPr="0007151A" w:rsidRDefault="00201677" w:rsidP="00201677">
      <w:pPr>
        <w:widowControl w:val="0"/>
        <w:numPr>
          <w:ilvl w:val="2"/>
          <w:numId w:val="13"/>
        </w:numPr>
        <w:tabs>
          <w:tab w:val="left" w:pos="851"/>
        </w:tabs>
        <w:kinsoku w:val="0"/>
        <w:overflowPunct w:val="0"/>
        <w:autoSpaceDE w:val="0"/>
        <w:autoSpaceDN w:val="0"/>
        <w:adjustRightInd w:val="0"/>
        <w:spacing w:before="114" w:line="254" w:lineRule="auto"/>
        <w:ind w:left="851" w:right="230" w:hanging="425"/>
        <w:rPr>
          <w:rFonts w:ascii="Arial" w:eastAsiaTheme="minorEastAsia" w:hAnsi="Arial" w:cs="Arial"/>
          <w:color w:val="231F20"/>
          <w:sz w:val="20"/>
          <w:szCs w:val="20"/>
          <w:lang w:eastAsia="en-GB"/>
        </w:rPr>
      </w:pP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higher</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of</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price</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of</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last</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independent</w:t>
      </w:r>
      <w:r w:rsidRPr="0007151A">
        <w:rPr>
          <w:rFonts w:ascii="Arial" w:eastAsiaTheme="minorEastAsia" w:hAnsi="Arial" w:cs="Arial"/>
          <w:color w:val="231F20"/>
          <w:spacing w:val="-12"/>
          <w:sz w:val="20"/>
          <w:szCs w:val="20"/>
          <w:lang w:eastAsia="en-GB"/>
        </w:rPr>
        <w:t xml:space="preserve"> </w:t>
      </w:r>
      <w:r w:rsidRPr="0007151A">
        <w:rPr>
          <w:rFonts w:ascii="Arial" w:eastAsiaTheme="minorEastAsia" w:hAnsi="Arial" w:cs="Arial"/>
          <w:color w:val="231F20"/>
          <w:sz w:val="20"/>
          <w:szCs w:val="20"/>
          <w:lang w:eastAsia="en-GB"/>
        </w:rPr>
        <w:t>trade and the highest current independent bid on the trading</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venue</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on</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which</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purchase</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is</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carried</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 xml:space="preserve">out at the </w:t>
      </w:r>
      <w:r w:rsidRPr="0007151A">
        <w:rPr>
          <w:rFonts w:ascii="Arial" w:eastAsiaTheme="minorEastAsia" w:hAnsi="Arial" w:cs="Arial"/>
          <w:color w:val="231F20"/>
          <w:spacing w:val="-3"/>
          <w:sz w:val="20"/>
          <w:szCs w:val="20"/>
          <w:lang w:eastAsia="en-GB"/>
        </w:rPr>
        <w:t xml:space="preserve">relevant </w:t>
      </w:r>
      <w:r w:rsidRPr="0007151A">
        <w:rPr>
          <w:rFonts w:ascii="Arial" w:eastAsiaTheme="minorEastAsia" w:hAnsi="Arial" w:cs="Arial"/>
          <w:color w:val="231F20"/>
          <w:sz w:val="20"/>
          <w:szCs w:val="20"/>
          <w:lang w:eastAsia="en-GB"/>
        </w:rPr>
        <w:t>time;</w:t>
      </w:r>
      <w:r w:rsidRPr="0007151A">
        <w:rPr>
          <w:rFonts w:ascii="Arial" w:eastAsiaTheme="minorEastAsia" w:hAnsi="Arial" w:cs="Arial"/>
          <w:color w:val="231F20"/>
          <w:spacing w:val="-27"/>
          <w:sz w:val="20"/>
          <w:szCs w:val="20"/>
          <w:lang w:eastAsia="en-GB"/>
        </w:rPr>
        <w:t xml:space="preserve"> </w:t>
      </w:r>
      <w:r w:rsidRPr="0007151A">
        <w:rPr>
          <w:rFonts w:ascii="Arial" w:eastAsiaTheme="minorEastAsia" w:hAnsi="Arial" w:cs="Arial"/>
          <w:color w:val="231F20"/>
          <w:sz w:val="20"/>
          <w:szCs w:val="20"/>
          <w:lang w:eastAsia="en-GB"/>
        </w:rPr>
        <w:t>and</w:t>
      </w:r>
    </w:p>
    <w:p w:rsidR="00201677" w:rsidRPr="0007151A" w:rsidRDefault="00201677" w:rsidP="00201677">
      <w:pPr>
        <w:widowControl w:val="0"/>
        <w:numPr>
          <w:ilvl w:val="1"/>
          <w:numId w:val="13"/>
        </w:numPr>
        <w:tabs>
          <w:tab w:val="left" w:pos="426"/>
        </w:tabs>
        <w:kinsoku w:val="0"/>
        <w:overflowPunct w:val="0"/>
        <w:autoSpaceDE w:val="0"/>
        <w:autoSpaceDN w:val="0"/>
        <w:adjustRightInd w:val="0"/>
        <w:spacing w:before="114" w:line="254" w:lineRule="auto"/>
        <w:ind w:left="426" w:right="476" w:hanging="426"/>
        <w:jc w:val="both"/>
        <w:rPr>
          <w:rFonts w:ascii="Arial" w:eastAsiaTheme="minorEastAsia" w:hAnsi="Arial" w:cs="Arial"/>
          <w:color w:val="231F20"/>
          <w:w w:val="95"/>
          <w:sz w:val="20"/>
          <w:szCs w:val="20"/>
          <w:lang w:eastAsia="en-GB"/>
        </w:rPr>
      </w:pPr>
      <w:r w:rsidRPr="0007151A">
        <w:rPr>
          <w:rFonts w:ascii="Arial" w:eastAsiaTheme="minorEastAsia" w:hAnsi="Arial" w:cs="Arial"/>
          <w:color w:val="231F20"/>
          <w:sz w:val="20"/>
          <w:szCs w:val="20"/>
          <w:lang w:eastAsia="en-GB"/>
        </w:rPr>
        <w:t>by</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condition</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that</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minimum</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price,</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exclusive</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of expenses,</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which</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may</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be</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paid</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for</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an</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ordinary</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share</w:t>
      </w:r>
      <w:r w:rsidRPr="0007151A">
        <w:rPr>
          <w:rFonts w:ascii="Arial" w:eastAsiaTheme="minorEastAsia" w:hAnsi="Arial" w:cs="Arial"/>
          <w:color w:val="231F20"/>
          <w:spacing w:val="-22"/>
          <w:sz w:val="20"/>
          <w:szCs w:val="20"/>
          <w:lang w:eastAsia="en-GB"/>
        </w:rPr>
        <w:t xml:space="preserve"> </w:t>
      </w:r>
      <w:r w:rsidRPr="0007151A">
        <w:rPr>
          <w:rFonts w:ascii="Arial" w:eastAsiaTheme="minorEastAsia" w:hAnsi="Arial" w:cs="Arial"/>
          <w:color w:val="231F20"/>
          <w:sz w:val="20"/>
          <w:szCs w:val="20"/>
          <w:lang w:eastAsia="en-GB"/>
        </w:rPr>
        <w:t xml:space="preserve">is </w:t>
      </w:r>
      <w:r w:rsidRPr="0007151A">
        <w:rPr>
          <w:rFonts w:ascii="Arial" w:eastAsiaTheme="minorEastAsia" w:hAnsi="Arial" w:cs="Arial"/>
          <w:color w:val="231F20"/>
          <w:w w:val="95"/>
          <w:sz w:val="20"/>
          <w:szCs w:val="20"/>
          <w:lang w:eastAsia="en-GB"/>
        </w:rPr>
        <w:t>10</w:t>
      </w:r>
      <w:r w:rsidRPr="0007151A">
        <w:rPr>
          <w:rFonts w:ascii="Arial" w:eastAsiaTheme="minorEastAsia" w:hAnsi="Arial" w:cs="Arial"/>
          <w:color w:val="231F20"/>
          <w:spacing w:val="-20"/>
          <w:w w:val="95"/>
          <w:sz w:val="20"/>
          <w:szCs w:val="20"/>
          <w:lang w:eastAsia="en-GB"/>
        </w:rPr>
        <w:t xml:space="preserve"> </w:t>
      </w:r>
      <w:r w:rsidRPr="0007151A">
        <w:rPr>
          <w:rFonts w:ascii="Arial" w:eastAsiaTheme="minorEastAsia" w:hAnsi="Arial" w:cs="Arial"/>
          <w:color w:val="231F20"/>
          <w:w w:val="95"/>
          <w:sz w:val="20"/>
          <w:szCs w:val="20"/>
          <w:lang w:eastAsia="en-GB"/>
        </w:rPr>
        <w:t>pence,</w:t>
      </w:r>
    </w:p>
    <w:p w:rsidR="00201677" w:rsidRPr="0007151A" w:rsidRDefault="00201677" w:rsidP="00201677">
      <w:pPr>
        <w:widowControl w:val="0"/>
        <w:kinsoku w:val="0"/>
        <w:overflowPunct w:val="0"/>
        <w:autoSpaceDE w:val="0"/>
        <w:autoSpaceDN w:val="0"/>
        <w:adjustRightInd w:val="0"/>
        <w:spacing w:before="114" w:line="254" w:lineRule="auto"/>
        <w:ind w:right="120"/>
        <w:rPr>
          <w:rFonts w:ascii="Arial" w:eastAsiaTheme="minorEastAsia" w:hAnsi="Arial" w:cs="Arial"/>
          <w:color w:val="231F20"/>
          <w:sz w:val="20"/>
          <w:szCs w:val="20"/>
          <w:lang w:eastAsia="en-GB"/>
        </w:rPr>
      </w:pPr>
      <w:r w:rsidRPr="0007151A">
        <w:rPr>
          <w:rFonts w:ascii="Arial" w:eastAsiaTheme="minorEastAsia" w:hAnsi="Arial" w:cs="Arial"/>
          <w:color w:val="231F20"/>
          <w:sz w:val="20"/>
          <w:szCs w:val="20"/>
          <w:lang w:eastAsia="en-GB"/>
        </w:rPr>
        <w:t>such</w:t>
      </w:r>
      <w:r w:rsidRPr="0007151A">
        <w:rPr>
          <w:rFonts w:ascii="Arial" w:eastAsiaTheme="minorEastAsia" w:hAnsi="Arial" w:cs="Arial"/>
          <w:color w:val="231F20"/>
          <w:spacing w:val="-18"/>
          <w:sz w:val="20"/>
          <w:szCs w:val="20"/>
          <w:lang w:eastAsia="en-GB"/>
        </w:rPr>
        <w:t xml:space="preserve"> </w:t>
      </w:r>
      <w:r w:rsidRPr="0007151A">
        <w:rPr>
          <w:rFonts w:ascii="Arial" w:eastAsiaTheme="minorEastAsia" w:hAnsi="Arial" w:cs="Arial"/>
          <w:color w:val="231F20"/>
          <w:sz w:val="20"/>
          <w:szCs w:val="20"/>
          <w:lang w:eastAsia="en-GB"/>
        </w:rPr>
        <w:t>authority</w:t>
      </w:r>
      <w:r w:rsidRPr="0007151A">
        <w:rPr>
          <w:rFonts w:ascii="Arial" w:eastAsiaTheme="minorEastAsia" w:hAnsi="Arial" w:cs="Arial"/>
          <w:color w:val="231F20"/>
          <w:spacing w:val="-18"/>
          <w:sz w:val="20"/>
          <w:szCs w:val="20"/>
          <w:lang w:eastAsia="en-GB"/>
        </w:rPr>
        <w:t xml:space="preserve"> </w:t>
      </w:r>
      <w:r w:rsidRPr="0007151A">
        <w:rPr>
          <w:rFonts w:ascii="Arial" w:eastAsiaTheme="minorEastAsia" w:hAnsi="Arial" w:cs="Arial"/>
          <w:color w:val="231F20"/>
          <w:sz w:val="20"/>
          <w:szCs w:val="20"/>
          <w:lang w:eastAsia="en-GB"/>
        </w:rPr>
        <w:t>to</w:t>
      </w:r>
      <w:r w:rsidRPr="0007151A">
        <w:rPr>
          <w:rFonts w:ascii="Arial" w:eastAsiaTheme="minorEastAsia" w:hAnsi="Arial" w:cs="Arial"/>
          <w:color w:val="231F20"/>
          <w:spacing w:val="-18"/>
          <w:sz w:val="20"/>
          <w:szCs w:val="20"/>
          <w:lang w:eastAsia="en-GB"/>
        </w:rPr>
        <w:t xml:space="preserve"> </w:t>
      </w:r>
      <w:r w:rsidRPr="0007151A">
        <w:rPr>
          <w:rFonts w:ascii="Arial" w:eastAsiaTheme="minorEastAsia" w:hAnsi="Arial" w:cs="Arial"/>
          <w:color w:val="231F20"/>
          <w:spacing w:val="-4"/>
          <w:sz w:val="20"/>
          <w:szCs w:val="20"/>
          <w:lang w:eastAsia="en-GB"/>
        </w:rPr>
        <w:t>apply,</w:t>
      </w:r>
      <w:r w:rsidRPr="0007151A">
        <w:rPr>
          <w:rFonts w:ascii="Arial" w:eastAsiaTheme="minorEastAsia" w:hAnsi="Arial" w:cs="Arial"/>
          <w:color w:val="231F20"/>
          <w:spacing w:val="-18"/>
          <w:sz w:val="20"/>
          <w:szCs w:val="20"/>
          <w:lang w:eastAsia="en-GB"/>
        </w:rPr>
        <w:t xml:space="preserve"> </w:t>
      </w:r>
      <w:r w:rsidRPr="0007151A">
        <w:rPr>
          <w:rFonts w:ascii="Arial" w:eastAsiaTheme="minorEastAsia" w:hAnsi="Arial" w:cs="Arial"/>
          <w:color w:val="231F20"/>
          <w:sz w:val="20"/>
          <w:szCs w:val="20"/>
          <w:lang w:eastAsia="en-GB"/>
        </w:rPr>
        <w:t>unless</w:t>
      </w:r>
      <w:r w:rsidRPr="0007151A">
        <w:rPr>
          <w:rFonts w:ascii="Arial" w:eastAsiaTheme="minorEastAsia" w:hAnsi="Arial" w:cs="Arial"/>
          <w:color w:val="231F20"/>
          <w:spacing w:val="-18"/>
          <w:sz w:val="20"/>
          <w:szCs w:val="20"/>
          <w:lang w:eastAsia="en-GB"/>
        </w:rPr>
        <w:t xml:space="preserve"> </w:t>
      </w:r>
      <w:r w:rsidRPr="0007151A">
        <w:rPr>
          <w:rFonts w:ascii="Arial" w:eastAsiaTheme="minorEastAsia" w:hAnsi="Arial" w:cs="Arial"/>
          <w:color w:val="231F20"/>
          <w:spacing w:val="-3"/>
          <w:sz w:val="20"/>
          <w:szCs w:val="20"/>
          <w:lang w:eastAsia="en-GB"/>
        </w:rPr>
        <w:t>previously</w:t>
      </w:r>
      <w:r w:rsidRPr="0007151A">
        <w:rPr>
          <w:rFonts w:ascii="Arial" w:eastAsiaTheme="minorEastAsia" w:hAnsi="Arial" w:cs="Arial"/>
          <w:color w:val="231F20"/>
          <w:spacing w:val="-18"/>
          <w:sz w:val="20"/>
          <w:szCs w:val="20"/>
          <w:lang w:eastAsia="en-GB"/>
        </w:rPr>
        <w:t xml:space="preserve"> </w:t>
      </w:r>
      <w:r w:rsidRPr="0007151A">
        <w:rPr>
          <w:rFonts w:ascii="Arial" w:eastAsiaTheme="minorEastAsia" w:hAnsi="Arial" w:cs="Arial"/>
          <w:color w:val="231F20"/>
          <w:sz w:val="20"/>
          <w:szCs w:val="20"/>
          <w:lang w:eastAsia="en-GB"/>
        </w:rPr>
        <w:t>renewed,</w:t>
      </w:r>
      <w:r w:rsidRPr="0007151A">
        <w:rPr>
          <w:rFonts w:ascii="Arial" w:eastAsiaTheme="minorEastAsia" w:hAnsi="Arial" w:cs="Arial"/>
          <w:color w:val="231F20"/>
          <w:spacing w:val="-18"/>
          <w:sz w:val="20"/>
          <w:szCs w:val="20"/>
          <w:lang w:eastAsia="en-GB"/>
        </w:rPr>
        <w:t xml:space="preserve"> </w:t>
      </w:r>
      <w:r w:rsidRPr="0007151A">
        <w:rPr>
          <w:rFonts w:ascii="Arial" w:eastAsiaTheme="minorEastAsia" w:hAnsi="Arial" w:cs="Arial"/>
          <w:color w:val="231F20"/>
          <w:spacing w:val="-4"/>
          <w:sz w:val="20"/>
          <w:szCs w:val="20"/>
          <w:lang w:eastAsia="en-GB"/>
        </w:rPr>
        <w:t>revoked</w:t>
      </w:r>
      <w:r w:rsidRPr="0007151A">
        <w:rPr>
          <w:rFonts w:ascii="Arial" w:eastAsiaTheme="minorEastAsia" w:hAnsi="Arial" w:cs="Arial"/>
          <w:color w:val="231F20"/>
          <w:spacing w:val="-18"/>
          <w:sz w:val="20"/>
          <w:szCs w:val="20"/>
          <w:lang w:eastAsia="en-GB"/>
        </w:rPr>
        <w:t xml:space="preserve"> </w:t>
      </w:r>
      <w:r w:rsidRPr="0007151A">
        <w:rPr>
          <w:rFonts w:ascii="Arial" w:eastAsiaTheme="minorEastAsia" w:hAnsi="Arial" w:cs="Arial"/>
          <w:color w:val="231F20"/>
          <w:sz w:val="20"/>
          <w:szCs w:val="20"/>
          <w:lang w:eastAsia="en-GB"/>
        </w:rPr>
        <w:t>or varied,</w:t>
      </w:r>
      <w:r w:rsidRPr="0007151A">
        <w:rPr>
          <w:rFonts w:ascii="Arial" w:eastAsiaTheme="minorEastAsia" w:hAnsi="Arial" w:cs="Arial"/>
          <w:color w:val="231F20"/>
          <w:spacing w:val="-17"/>
          <w:sz w:val="20"/>
          <w:szCs w:val="20"/>
          <w:lang w:eastAsia="en-GB"/>
        </w:rPr>
        <w:t xml:space="preserve"> </w:t>
      </w:r>
      <w:r w:rsidRPr="0007151A">
        <w:rPr>
          <w:rFonts w:ascii="Arial" w:eastAsiaTheme="minorEastAsia" w:hAnsi="Arial" w:cs="Arial"/>
          <w:color w:val="231F20"/>
          <w:sz w:val="20"/>
          <w:szCs w:val="20"/>
          <w:lang w:eastAsia="en-GB"/>
        </w:rPr>
        <w:t>until</w:t>
      </w:r>
      <w:r w:rsidRPr="0007151A">
        <w:rPr>
          <w:rFonts w:ascii="Arial" w:eastAsiaTheme="minorEastAsia" w:hAnsi="Arial" w:cs="Arial"/>
          <w:color w:val="231F20"/>
          <w:spacing w:val="-17"/>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7"/>
          <w:sz w:val="20"/>
          <w:szCs w:val="20"/>
          <w:lang w:eastAsia="en-GB"/>
        </w:rPr>
        <w:t xml:space="preserve"> </w:t>
      </w:r>
      <w:r w:rsidRPr="0007151A">
        <w:rPr>
          <w:rFonts w:ascii="Arial" w:eastAsiaTheme="minorEastAsia" w:hAnsi="Arial" w:cs="Arial"/>
          <w:color w:val="231F20"/>
          <w:sz w:val="20"/>
          <w:szCs w:val="20"/>
          <w:lang w:eastAsia="en-GB"/>
        </w:rPr>
        <w:t>end</w:t>
      </w:r>
      <w:r w:rsidRPr="0007151A">
        <w:rPr>
          <w:rFonts w:ascii="Arial" w:eastAsiaTheme="minorEastAsia" w:hAnsi="Arial" w:cs="Arial"/>
          <w:color w:val="231F20"/>
          <w:spacing w:val="-17"/>
          <w:sz w:val="20"/>
          <w:szCs w:val="20"/>
          <w:lang w:eastAsia="en-GB"/>
        </w:rPr>
        <w:t xml:space="preserve"> </w:t>
      </w:r>
      <w:r w:rsidRPr="0007151A">
        <w:rPr>
          <w:rFonts w:ascii="Arial" w:eastAsiaTheme="minorEastAsia" w:hAnsi="Arial" w:cs="Arial"/>
          <w:color w:val="231F20"/>
          <w:sz w:val="20"/>
          <w:szCs w:val="20"/>
          <w:lang w:eastAsia="en-GB"/>
        </w:rPr>
        <w:t>of</w:t>
      </w:r>
      <w:r w:rsidRPr="0007151A">
        <w:rPr>
          <w:rFonts w:ascii="Arial" w:eastAsiaTheme="minorEastAsia" w:hAnsi="Arial" w:cs="Arial"/>
          <w:color w:val="231F20"/>
          <w:spacing w:val="-17"/>
          <w:sz w:val="20"/>
          <w:szCs w:val="20"/>
          <w:lang w:eastAsia="en-GB"/>
        </w:rPr>
        <w:t xml:space="preserve"> </w:t>
      </w:r>
      <w:r w:rsidRPr="0007151A">
        <w:rPr>
          <w:rFonts w:ascii="Arial" w:eastAsiaTheme="minorEastAsia" w:hAnsi="Arial" w:cs="Arial"/>
          <w:color w:val="231F20"/>
          <w:sz w:val="20"/>
          <w:szCs w:val="20"/>
          <w:lang w:eastAsia="en-GB"/>
        </w:rPr>
        <w:t>next</w:t>
      </w:r>
      <w:r w:rsidRPr="0007151A">
        <w:rPr>
          <w:rFonts w:ascii="Arial" w:eastAsiaTheme="minorEastAsia" w:hAnsi="Arial" w:cs="Arial"/>
          <w:color w:val="231F20"/>
          <w:spacing w:val="-17"/>
          <w:sz w:val="20"/>
          <w:szCs w:val="20"/>
          <w:lang w:eastAsia="en-GB"/>
        </w:rPr>
        <w:t xml:space="preserve"> </w:t>
      </w:r>
      <w:r w:rsidRPr="0007151A">
        <w:rPr>
          <w:rFonts w:ascii="Arial" w:eastAsiaTheme="minorEastAsia" w:hAnsi="Arial" w:cs="Arial"/>
          <w:color w:val="231F20"/>
          <w:spacing w:val="-3"/>
          <w:sz w:val="20"/>
          <w:szCs w:val="20"/>
          <w:lang w:eastAsia="en-GB"/>
        </w:rPr>
        <w:t>year’s</w:t>
      </w:r>
      <w:r w:rsidRPr="0007151A">
        <w:rPr>
          <w:rFonts w:ascii="Arial" w:eastAsiaTheme="minorEastAsia" w:hAnsi="Arial" w:cs="Arial"/>
          <w:color w:val="231F20"/>
          <w:spacing w:val="-17"/>
          <w:sz w:val="20"/>
          <w:szCs w:val="20"/>
          <w:lang w:eastAsia="en-GB"/>
        </w:rPr>
        <w:t xml:space="preserve"> </w:t>
      </w:r>
      <w:r w:rsidRPr="0007151A">
        <w:rPr>
          <w:rFonts w:ascii="Arial" w:eastAsiaTheme="minorEastAsia" w:hAnsi="Arial" w:cs="Arial"/>
          <w:color w:val="231F20"/>
          <w:sz w:val="20"/>
          <w:szCs w:val="20"/>
          <w:lang w:eastAsia="en-GB"/>
        </w:rPr>
        <w:t>Annual</w:t>
      </w:r>
      <w:r w:rsidRPr="0007151A">
        <w:rPr>
          <w:rFonts w:ascii="Arial" w:eastAsiaTheme="minorEastAsia" w:hAnsi="Arial" w:cs="Arial"/>
          <w:color w:val="231F20"/>
          <w:spacing w:val="-17"/>
          <w:sz w:val="20"/>
          <w:szCs w:val="20"/>
          <w:lang w:eastAsia="en-GB"/>
        </w:rPr>
        <w:t xml:space="preserve"> </w:t>
      </w:r>
      <w:r w:rsidRPr="0007151A">
        <w:rPr>
          <w:rFonts w:ascii="Arial" w:eastAsiaTheme="minorEastAsia" w:hAnsi="Arial" w:cs="Arial"/>
          <w:color w:val="231F20"/>
          <w:sz w:val="20"/>
          <w:szCs w:val="20"/>
          <w:lang w:eastAsia="en-GB"/>
        </w:rPr>
        <w:t>General</w:t>
      </w:r>
      <w:r w:rsidRPr="0007151A">
        <w:rPr>
          <w:rFonts w:ascii="Arial" w:eastAsiaTheme="minorEastAsia" w:hAnsi="Arial" w:cs="Arial"/>
          <w:color w:val="231F20"/>
          <w:spacing w:val="-17"/>
          <w:sz w:val="20"/>
          <w:szCs w:val="20"/>
          <w:lang w:eastAsia="en-GB"/>
        </w:rPr>
        <w:t xml:space="preserve"> </w:t>
      </w:r>
      <w:r w:rsidRPr="0007151A">
        <w:rPr>
          <w:rFonts w:ascii="Arial" w:eastAsiaTheme="minorEastAsia" w:hAnsi="Arial" w:cs="Arial"/>
          <w:color w:val="231F20"/>
          <w:sz w:val="20"/>
          <w:szCs w:val="20"/>
          <w:lang w:eastAsia="en-GB"/>
        </w:rPr>
        <w:t>Meeting</w:t>
      </w:r>
      <w:r w:rsidRPr="0007151A">
        <w:rPr>
          <w:rFonts w:ascii="Arial" w:eastAsiaTheme="minorEastAsia" w:hAnsi="Arial" w:cs="Arial"/>
          <w:color w:val="231F20"/>
          <w:spacing w:val="-17"/>
          <w:sz w:val="20"/>
          <w:szCs w:val="20"/>
          <w:lang w:eastAsia="en-GB"/>
        </w:rPr>
        <w:t xml:space="preserve"> </w:t>
      </w:r>
      <w:r w:rsidRPr="0007151A">
        <w:rPr>
          <w:rFonts w:ascii="Arial" w:eastAsiaTheme="minorEastAsia" w:hAnsi="Arial" w:cs="Arial"/>
          <w:color w:val="231F20"/>
          <w:sz w:val="20"/>
          <w:szCs w:val="20"/>
          <w:lang w:eastAsia="en-GB"/>
        </w:rPr>
        <w:t>of the</w:t>
      </w:r>
      <w:r w:rsidRPr="0007151A">
        <w:rPr>
          <w:rFonts w:ascii="Arial" w:eastAsiaTheme="minorEastAsia" w:hAnsi="Arial" w:cs="Arial"/>
          <w:color w:val="231F20"/>
          <w:spacing w:val="-13"/>
          <w:sz w:val="20"/>
          <w:szCs w:val="20"/>
          <w:lang w:eastAsia="en-GB"/>
        </w:rPr>
        <w:t xml:space="preserve"> </w:t>
      </w:r>
      <w:r w:rsidRPr="0007151A">
        <w:rPr>
          <w:rFonts w:ascii="Arial" w:eastAsiaTheme="minorEastAsia" w:hAnsi="Arial" w:cs="Arial"/>
          <w:color w:val="231F20"/>
          <w:sz w:val="20"/>
          <w:szCs w:val="20"/>
          <w:lang w:eastAsia="en-GB"/>
        </w:rPr>
        <w:t>Company</w:t>
      </w:r>
      <w:r w:rsidRPr="0007151A">
        <w:rPr>
          <w:rFonts w:ascii="Arial" w:eastAsiaTheme="minorEastAsia" w:hAnsi="Arial" w:cs="Arial"/>
          <w:color w:val="231F20"/>
          <w:spacing w:val="-13"/>
          <w:sz w:val="20"/>
          <w:szCs w:val="20"/>
          <w:lang w:eastAsia="en-GB"/>
        </w:rPr>
        <w:t xml:space="preserve"> </w:t>
      </w:r>
      <w:r w:rsidRPr="0007151A">
        <w:rPr>
          <w:rFonts w:ascii="Arial" w:eastAsiaTheme="minorEastAsia" w:hAnsi="Arial" w:cs="Arial"/>
          <w:color w:val="231F20"/>
          <w:spacing w:val="-5"/>
          <w:sz w:val="20"/>
          <w:szCs w:val="20"/>
          <w:lang w:eastAsia="en-GB"/>
        </w:rPr>
        <w:t>(or,</w:t>
      </w:r>
      <w:r w:rsidRPr="0007151A">
        <w:rPr>
          <w:rFonts w:ascii="Arial" w:eastAsiaTheme="minorEastAsia" w:hAnsi="Arial" w:cs="Arial"/>
          <w:color w:val="231F20"/>
          <w:spacing w:val="-13"/>
          <w:sz w:val="20"/>
          <w:szCs w:val="20"/>
          <w:lang w:eastAsia="en-GB"/>
        </w:rPr>
        <w:t xml:space="preserve"> </w:t>
      </w:r>
      <w:r w:rsidRPr="0007151A">
        <w:rPr>
          <w:rFonts w:ascii="Arial" w:eastAsiaTheme="minorEastAsia" w:hAnsi="Arial" w:cs="Arial"/>
          <w:color w:val="231F20"/>
          <w:sz w:val="20"/>
          <w:szCs w:val="20"/>
          <w:lang w:eastAsia="en-GB"/>
        </w:rPr>
        <w:t>if</w:t>
      </w:r>
      <w:r w:rsidRPr="0007151A">
        <w:rPr>
          <w:rFonts w:ascii="Arial" w:eastAsiaTheme="minorEastAsia" w:hAnsi="Arial" w:cs="Arial"/>
          <w:color w:val="231F20"/>
          <w:spacing w:val="-13"/>
          <w:sz w:val="20"/>
          <w:szCs w:val="20"/>
          <w:lang w:eastAsia="en-GB"/>
        </w:rPr>
        <w:t xml:space="preserve"> </w:t>
      </w:r>
      <w:r w:rsidRPr="0007151A">
        <w:rPr>
          <w:rFonts w:ascii="Arial" w:eastAsiaTheme="minorEastAsia" w:hAnsi="Arial" w:cs="Arial"/>
          <w:color w:val="231F20"/>
          <w:spacing w:val="-3"/>
          <w:sz w:val="20"/>
          <w:szCs w:val="20"/>
          <w:lang w:eastAsia="en-GB"/>
        </w:rPr>
        <w:t>earlier,</w:t>
      </w:r>
      <w:r w:rsidRPr="0007151A">
        <w:rPr>
          <w:rFonts w:ascii="Arial" w:eastAsiaTheme="minorEastAsia" w:hAnsi="Arial" w:cs="Arial"/>
          <w:color w:val="231F20"/>
          <w:spacing w:val="-13"/>
          <w:sz w:val="20"/>
          <w:szCs w:val="20"/>
          <w:lang w:eastAsia="en-GB"/>
        </w:rPr>
        <w:t xml:space="preserve"> </w:t>
      </w:r>
      <w:r w:rsidRPr="0007151A">
        <w:rPr>
          <w:rFonts w:ascii="Arial" w:eastAsiaTheme="minorEastAsia" w:hAnsi="Arial" w:cs="Arial"/>
          <w:color w:val="231F20"/>
          <w:sz w:val="20"/>
          <w:szCs w:val="20"/>
          <w:lang w:eastAsia="en-GB"/>
        </w:rPr>
        <w:t>until</w:t>
      </w:r>
      <w:r w:rsidRPr="0007151A">
        <w:rPr>
          <w:rFonts w:ascii="Arial" w:eastAsiaTheme="minorEastAsia" w:hAnsi="Arial" w:cs="Arial"/>
          <w:color w:val="231F20"/>
          <w:spacing w:val="-13"/>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3"/>
          <w:sz w:val="20"/>
          <w:szCs w:val="20"/>
          <w:lang w:eastAsia="en-GB"/>
        </w:rPr>
        <w:t xml:space="preserve"> </w:t>
      </w:r>
      <w:r w:rsidRPr="0007151A">
        <w:rPr>
          <w:rFonts w:ascii="Arial" w:eastAsiaTheme="minorEastAsia" w:hAnsi="Arial" w:cs="Arial"/>
          <w:color w:val="231F20"/>
          <w:sz w:val="20"/>
          <w:szCs w:val="20"/>
          <w:lang w:eastAsia="en-GB"/>
        </w:rPr>
        <w:t>close</w:t>
      </w:r>
      <w:r w:rsidRPr="0007151A">
        <w:rPr>
          <w:rFonts w:ascii="Arial" w:eastAsiaTheme="minorEastAsia" w:hAnsi="Arial" w:cs="Arial"/>
          <w:color w:val="231F20"/>
          <w:spacing w:val="-13"/>
          <w:sz w:val="20"/>
          <w:szCs w:val="20"/>
          <w:lang w:eastAsia="en-GB"/>
        </w:rPr>
        <w:t xml:space="preserve"> </w:t>
      </w:r>
      <w:r w:rsidRPr="0007151A">
        <w:rPr>
          <w:rFonts w:ascii="Arial" w:eastAsiaTheme="minorEastAsia" w:hAnsi="Arial" w:cs="Arial"/>
          <w:color w:val="231F20"/>
          <w:sz w:val="20"/>
          <w:szCs w:val="20"/>
          <w:lang w:eastAsia="en-GB"/>
        </w:rPr>
        <w:t>of</w:t>
      </w:r>
      <w:r w:rsidRPr="0007151A">
        <w:rPr>
          <w:rFonts w:ascii="Arial" w:eastAsiaTheme="minorEastAsia" w:hAnsi="Arial" w:cs="Arial"/>
          <w:color w:val="231F20"/>
          <w:spacing w:val="-13"/>
          <w:sz w:val="20"/>
          <w:szCs w:val="20"/>
          <w:lang w:eastAsia="en-GB"/>
        </w:rPr>
        <w:t xml:space="preserve"> </w:t>
      </w:r>
      <w:r w:rsidRPr="0007151A">
        <w:rPr>
          <w:rFonts w:ascii="Arial" w:eastAsiaTheme="minorEastAsia" w:hAnsi="Arial" w:cs="Arial"/>
          <w:color w:val="231F20"/>
          <w:sz w:val="20"/>
          <w:szCs w:val="20"/>
          <w:lang w:eastAsia="en-GB"/>
        </w:rPr>
        <w:t>business</w:t>
      </w:r>
      <w:r w:rsidRPr="0007151A">
        <w:rPr>
          <w:rFonts w:ascii="Arial" w:eastAsiaTheme="minorEastAsia" w:hAnsi="Arial" w:cs="Arial"/>
          <w:color w:val="231F20"/>
          <w:spacing w:val="-13"/>
          <w:sz w:val="20"/>
          <w:szCs w:val="20"/>
          <w:lang w:eastAsia="en-GB"/>
        </w:rPr>
        <w:t xml:space="preserve"> </w:t>
      </w:r>
      <w:r w:rsidRPr="0007151A">
        <w:rPr>
          <w:rFonts w:ascii="Arial" w:eastAsiaTheme="minorEastAsia" w:hAnsi="Arial" w:cs="Arial"/>
          <w:color w:val="231F20"/>
          <w:sz w:val="20"/>
          <w:szCs w:val="20"/>
          <w:lang w:eastAsia="en-GB"/>
        </w:rPr>
        <w:t>on14</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January</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2022)</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but</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so</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that</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during</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pacing w:val="-3"/>
          <w:sz w:val="20"/>
          <w:szCs w:val="20"/>
          <w:lang w:eastAsia="en-GB"/>
        </w:rPr>
        <w:t>relevant</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period</w:t>
      </w:r>
      <w:r w:rsidRPr="0007151A">
        <w:rPr>
          <w:rFonts w:ascii="Arial" w:eastAsiaTheme="minorEastAsia" w:hAnsi="Arial" w:cs="Arial"/>
          <w:color w:val="231F20"/>
          <w:spacing w:val="-15"/>
          <w:sz w:val="20"/>
          <w:szCs w:val="20"/>
          <w:lang w:eastAsia="en-GB"/>
        </w:rPr>
        <w:t xml:space="preserve"> </w:t>
      </w:r>
      <w:r w:rsidRPr="0007151A">
        <w:rPr>
          <w:rFonts w:ascii="Arial" w:eastAsiaTheme="minorEastAsia" w:hAnsi="Arial" w:cs="Arial"/>
          <w:color w:val="231F20"/>
          <w:sz w:val="20"/>
          <w:szCs w:val="20"/>
          <w:lang w:eastAsia="en-GB"/>
        </w:rPr>
        <w:t>the Company</w:t>
      </w:r>
      <w:r w:rsidRPr="0007151A">
        <w:rPr>
          <w:rFonts w:ascii="Arial" w:eastAsiaTheme="minorEastAsia" w:hAnsi="Arial" w:cs="Arial"/>
          <w:color w:val="231F20"/>
          <w:spacing w:val="-20"/>
          <w:sz w:val="20"/>
          <w:szCs w:val="20"/>
          <w:lang w:eastAsia="en-GB"/>
        </w:rPr>
        <w:t xml:space="preserve"> </w:t>
      </w:r>
      <w:r w:rsidRPr="0007151A">
        <w:rPr>
          <w:rFonts w:ascii="Arial" w:eastAsiaTheme="minorEastAsia" w:hAnsi="Arial" w:cs="Arial"/>
          <w:color w:val="231F20"/>
          <w:sz w:val="20"/>
          <w:szCs w:val="20"/>
          <w:lang w:eastAsia="en-GB"/>
        </w:rPr>
        <w:t>may</w:t>
      </w:r>
      <w:r w:rsidRPr="0007151A">
        <w:rPr>
          <w:rFonts w:ascii="Arial" w:eastAsiaTheme="minorEastAsia" w:hAnsi="Arial" w:cs="Arial"/>
          <w:color w:val="231F20"/>
          <w:spacing w:val="-20"/>
          <w:sz w:val="20"/>
          <w:szCs w:val="20"/>
          <w:lang w:eastAsia="en-GB"/>
        </w:rPr>
        <w:t xml:space="preserve"> </w:t>
      </w:r>
      <w:r w:rsidRPr="0007151A">
        <w:rPr>
          <w:rFonts w:ascii="Arial" w:eastAsiaTheme="minorEastAsia" w:hAnsi="Arial" w:cs="Arial"/>
          <w:color w:val="231F20"/>
          <w:sz w:val="20"/>
          <w:szCs w:val="20"/>
          <w:lang w:eastAsia="en-GB"/>
        </w:rPr>
        <w:t>enter</w:t>
      </w:r>
      <w:r w:rsidRPr="0007151A">
        <w:rPr>
          <w:rFonts w:ascii="Arial" w:eastAsiaTheme="minorEastAsia" w:hAnsi="Arial" w:cs="Arial"/>
          <w:color w:val="231F20"/>
          <w:spacing w:val="-20"/>
          <w:sz w:val="20"/>
          <w:szCs w:val="20"/>
          <w:lang w:eastAsia="en-GB"/>
        </w:rPr>
        <w:t xml:space="preserve"> </w:t>
      </w:r>
      <w:r w:rsidRPr="0007151A">
        <w:rPr>
          <w:rFonts w:ascii="Arial" w:eastAsiaTheme="minorEastAsia" w:hAnsi="Arial" w:cs="Arial"/>
          <w:color w:val="231F20"/>
          <w:sz w:val="20"/>
          <w:szCs w:val="20"/>
          <w:lang w:eastAsia="en-GB"/>
        </w:rPr>
        <w:t>into</w:t>
      </w:r>
      <w:r w:rsidRPr="0007151A">
        <w:rPr>
          <w:rFonts w:ascii="Arial" w:eastAsiaTheme="minorEastAsia" w:hAnsi="Arial" w:cs="Arial"/>
          <w:color w:val="231F20"/>
          <w:spacing w:val="-20"/>
          <w:sz w:val="20"/>
          <w:szCs w:val="20"/>
          <w:lang w:eastAsia="en-GB"/>
        </w:rPr>
        <w:t xml:space="preserve"> </w:t>
      </w:r>
      <w:r w:rsidRPr="0007151A">
        <w:rPr>
          <w:rFonts w:ascii="Arial" w:eastAsiaTheme="minorEastAsia" w:hAnsi="Arial" w:cs="Arial"/>
          <w:color w:val="231F20"/>
          <w:sz w:val="20"/>
          <w:szCs w:val="20"/>
          <w:lang w:eastAsia="en-GB"/>
        </w:rPr>
        <w:t>a</w:t>
      </w:r>
      <w:r w:rsidRPr="0007151A">
        <w:rPr>
          <w:rFonts w:ascii="Arial" w:eastAsiaTheme="minorEastAsia" w:hAnsi="Arial" w:cs="Arial"/>
          <w:color w:val="231F20"/>
          <w:spacing w:val="-20"/>
          <w:sz w:val="20"/>
          <w:szCs w:val="20"/>
          <w:lang w:eastAsia="en-GB"/>
        </w:rPr>
        <w:t xml:space="preserve"> </w:t>
      </w:r>
      <w:r w:rsidRPr="0007151A">
        <w:rPr>
          <w:rFonts w:ascii="Arial" w:eastAsiaTheme="minorEastAsia" w:hAnsi="Arial" w:cs="Arial"/>
          <w:color w:val="231F20"/>
          <w:sz w:val="20"/>
          <w:szCs w:val="20"/>
          <w:lang w:eastAsia="en-GB"/>
        </w:rPr>
        <w:t>contract</w:t>
      </w:r>
      <w:r w:rsidRPr="0007151A">
        <w:rPr>
          <w:rFonts w:ascii="Arial" w:eastAsiaTheme="minorEastAsia" w:hAnsi="Arial" w:cs="Arial"/>
          <w:color w:val="231F20"/>
          <w:spacing w:val="-20"/>
          <w:sz w:val="20"/>
          <w:szCs w:val="20"/>
          <w:lang w:eastAsia="en-GB"/>
        </w:rPr>
        <w:t xml:space="preserve"> </w:t>
      </w:r>
      <w:r w:rsidRPr="0007151A">
        <w:rPr>
          <w:rFonts w:ascii="Arial" w:eastAsiaTheme="minorEastAsia" w:hAnsi="Arial" w:cs="Arial"/>
          <w:color w:val="231F20"/>
          <w:sz w:val="20"/>
          <w:szCs w:val="20"/>
          <w:lang w:eastAsia="en-GB"/>
        </w:rPr>
        <w:t>under</w:t>
      </w:r>
      <w:r w:rsidRPr="0007151A">
        <w:rPr>
          <w:rFonts w:ascii="Arial" w:eastAsiaTheme="minorEastAsia" w:hAnsi="Arial" w:cs="Arial"/>
          <w:color w:val="231F20"/>
          <w:spacing w:val="-20"/>
          <w:sz w:val="20"/>
          <w:szCs w:val="20"/>
          <w:lang w:eastAsia="en-GB"/>
        </w:rPr>
        <w:t xml:space="preserve"> </w:t>
      </w:r>
      <w:r w:rsidRPr="0007151A">
        <w:rPr>
          <w:rFonts w:ascii="Arial" w:eastAsiaTheme="minorEastAsia" w:hAnsi="Arial" w:cs="Arial"/>
          <w:color w:val="231F20"/>
          <w:sz w:val="20"/>
          <w:szCs w:val="20"/>
          <w:lang w:eastAsia="en-GB"/>
        </w:rPr>
        <w:t>which</w:t>
      </w:r>
      <w:r w:rsidRPr="0007151A">
        <w:rPr>
          <w:rFonts w:ascii="Arial" w:eastAsiaTheme="minorEastAsia" w:hAnsi="Arial" w:cs="Arial"/>
          <w:color w:val="231F20"/>
          <w:spacing w:val="-20"/>
          <w:sz w:val="20"/>
          <w:szCs w:val="20"/>
          <w:lang w:eastAsia="en-GB"/>
        </w:rPr>
        <w:t xml:space="preserve"> </w:t>
      </w:r>
      <w:r w:rsidRPr="0007151A">
        <w:rPr>
          <w:rFonts w:ascii="Arial" w:eastAsiaTheme="minorEastAsia" w:hAnsi="Arial" w:cs="Arial"/>
          <w:color w:val="231F20"/>
          <w:sz w:val="20"/>
          <w:szCs w:val="20"/>
          <w:lang w:eastAsia="en-GB"/>
        </w:rPr>
        <w:t>a</w:t>
      </w:r>
      <w:r w:rsidRPr="0007151A">
        <w:rPr>
          <w:rFonts w:ascii="Arial" w:eastAsiaTheme="minorEastAsia" w:hAnsi="Arial" w:cs="Arial"/>
          <w:color w:val="231F20"/>
          <w:spacing w:val="-20"/>
          <w:sz w:val="20"/>
          <w:szCs w:val="20"/>
          <w:lang w:eastAsia="en-GB"/>
        </w:rPr>
        <w:t xml:space="preserve"> </w:t>
      </w:r>
      <w:r w:rsidRPr="0007151A">
        <w:rPr>
          <w:rFonts w:ascii="Arial" w:eastAsiaTheme="minorEastAsia" w:hAnsi="Arial" w:cs="Arial"/>
          <w:color w:val="231F20"/>
          <w:sz w:val="20"/>
          <w:szCs w:val="20"/>
          <w:lang w:eastAsia="en-GB"/>
        </w:rPr>
        <w:t>purchase of</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ordinary</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shares</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may</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be</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completed</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or</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executed</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wholly</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or partly after the authority ends and the Company may purchase</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ordinary</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shares</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in</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pursuance</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of</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such</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contract</w:t>
      </w:r>
      <w:r w:rsidRPr="0007151A">
        <w:rPr>
          <w:rFonts w:ascii="Arial" w:eastAsiaTheme="minorEastAsia" w:hAnsi="Arial" w:cs="Arial"/>
          <w:color w:val="231F20"/>
          <w:spacing w:val="-19"/>
          <w:sz w:val="20"/>
          <w:szCs w:val="20"/>
          <w:lang w:eastAsia="en-GB"/>
        </w:rPr>
        <w:t xml:space="preserve"> </w:t>
      </w:r>
      <w:r w:rsidRPr="0007151A">
        <w:rPr>
          <w:rFonts w:ascii="Arial" w:eastAsiaTheme="minorEastAsia" w:hAnsi="Arial" w:cs="Arial"/>
          <w:color w:val="231F20"/>
          <w:sz w:val="20"/>
          <w:szCs w:val="20"/>
          <w:lang w:eastAsia="en-GB"/>
        </w:rPr>
        <w:t>as if</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authority</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had</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not</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ended.</w:t>
      </w:r>
    </w:p>
    <w:p w:rsidR="00201677" w:rsidRPr="0007151A" w:rsidRDefault="00201677" w:rsidP="00201677">
      <w:pPr>
        <w:autoSpaceDE w:val="0"/>
        <w:autoSpaceDN w:val="0"/>
        <w:adjustRightInd w:val="0"/>
        <w:ind w:left="709" w:hanging="709"/>
        <w:jc w:val="both"/>
        <w:rPr>
          <w:rFonts w:ascii="Arial" w:hAnsi="Arial" w:cs="Arial"/>
          <w:sz w:val="20"/>
          <w:szCs w:val="20"/>
        </w:rPr>
      </w:pPr>
    </w:p>
    <w:p w:rsidR="00201677" w:rsidRPr="009571F4" w:rsidRDefault="00201677" w:rsidP="00201677">
      <w:pPr>
        <w:jc w:val="both"/>
        <w:rPr>
          <w:rFonts w:ascii="Arial" w:hAnsi="Arial" w:cs="Arial"/>
          <w:b/>
          <w:sz w:val="20"/>
          <w:szCs w:val="20"/>
          <w:u w:val="single"/>
        </w:rPr>
      </w:pPr>
      <w:r w:rsidRPr="009571F4">
        <w:rPr>
          <w:rFonts w:ascii="Arial" w:hAnsi="Arial" w:cs="Arial"/>
          <w:b/>
          <w:sz w:val="20"/>
          <w:szCs w:val="20"/>
          <w:u w:val="single"/>
        </w:rPr>
        <w:t xml:space="preserve">Resolution </w:t>
      </w:r>
      <w:r>
        <w:rPr>
          <w:rFonts w:ascii="Arial" w:hAnsi="Arial" w:cs="Arial"/>
          <w:b/>
          <w:sz w:val="20"/>
          <w:szCs w:val="20"/>
          <w:u w:val="single"/>
        </w:rPr>
        <w:t>18</w:t>
      </w:r>
      <w:r w:rsidRPr="009571F4">
        <w:rPr>
          <w:rFonts w:ascii="Arial" w:hAnsi="Arial" w:cs="Arial"/>
          <w:b/>
          <w:sz w:val="20"/>
          <w:szCs w:val="20"/>
          <w:u w:val="single"/>
        </w:rPr>
        <w:t>: Notice for General Meetings</w:t>
      </w:r>
    </w:p>
    <w:p w:rsidR="00201677" w:rsidRPr="00657A06" w:rsidRDefault="00201677" w:rsidP="00201677">
      <w:pPr>
        <w:autoSpaceDE w:val="0"/>
        <w:autoSpaceDN w:val="0"/>
        <w:adjustRightInd w:val="0"/>
        <w:jc w:val="both"/>
        <w:rPr>
          <w:rFonts w:ascii="Arial" w:hAnsi="Arial" w:cs="Arial"/>
          <w:sz w:val="20"/>
          <w:szCs w:val="20"/>
        </w:rPr>
      </w:pPr>
    </w:p>
    <w:p w:rsidR="00201677" w:rsidRPr="0007151A" w:rsidRDefault="00201677" w:rsidP="00201677">
      <w:pPr>
        <w:autoSpaceDE w:val="0"/>
        <w:autoSpaceDN w:val="0"/>
        <w:adjustRightInd w:val="0"/>
        <w:rPr>
          <w:rFonts w:ascii="Arial" w:hAnsi="Arial" w:cs="Arial"/>
          <w:sz w:val="20"/>
          <w:szCs w:val="20"/>
        </w:rPr>
      </w:pPr>
      <w:r w:rsidRPr="0007151A">
        <w:rPr>
          <w:rFonts w:ascii="Arial" w:hAnsi="Arial" w:cs="Arial"/>
          <w:sz w:val="20"/>
          <w:szCs w:val="20"/>
        </w:rPr>
        <w:t>That a general meeting of the Company, other than an Annual General Meeting, may be called on not less than 14 clear days’ notice.</w:t>
      </w:r>
    </w:p>
    <w:p w:rsidR="00201677" w:rsidRPr="0007151A" w:rsidRDefault="00201677" w:rsidP="00201677">
      <w:pPr>
        <w:autoSpaceDE w:val="0"/>
        <w:autoSpaceDN w:val="0"/>
        <w:adjustRightInd w:val="0"/>
        <w:rPr>
          <w:rFonts w:ascii="Arial" w:hAnsi="Arial" w:cs="Arial"/>
          <w:sz w:val="20"/>
          <w:szCs w:val="20"/>
        </w:rPr>
      </w:pPr>
    </w:p>
    <w:p w:rsidR="00201677" w:rsidRPr="0007151A" w:rsidRDefault="00201677" w:rsidP="00201677">
      <w:pPr>
        <w:jc w:val="both"/>
        <w:rPr>
          <w:rFonts w:ascii="Arial" w:hAnsi="Arial" w:cs="Arial"/>
          <w:sz w:val="20"/>
          <w:szCs w:val="20"/>
        </w:rPr>
      </w:pPr>
      <w:r w:rsidRPr="0007151A">
        <w:rPr>
          <w:rFonts w:ascii="Arial" w:hAnsi="Arial" w:cs="Arial"/>
          <w:b/>
          <w:sz w:val="20"/>
          <w:szCs w:val="20"/>
          <w:u w:val="single"/>
        </w:rPr>
        <w:t>Resolution 19: Articles of Association</w:t>
      </w:r>
    </w:p>
    <w:p w:rsidR="00201677" w:rsidRPr="0007151A" w:rsidRDefault="00201677" w:rsidP="00201677">
      <w:pPr>
        <w:widowControl w:val="0"/>
        <w:tabs>
          <w:tab w:val="left" w:pos="461"/>
        </w:tabs>
        <w:kinsoku w:val="0"/>
        <w:overflowPunct w:val="0"/>
        <w:autoSpaceDE w:val="0"/>
        <w:autoSpaceDN w:val="0"/>
        <w:adjustRightInd w:val="0"/>
        <w:ind w:right="461"/>
        <w:rPr>
          <w:rFonts w:ascii="Arial" w:eastAsiaTheme="minorEastAsia" w:hAnsi="Arial" w:cs="Arial"/>
          <w:color w:val="231F20"/>
          <w:sz w:val="20"/>
          <w:szCs w:val="20"/>
          <w:lang w:eastAsia="en-GB"/>
        </w:rPr>
      </w:pPr>
      <w:r w:rsidRPr="0007151A">
        <w:rPr>
          <w:rFonts w:ascii="Arial" w:eastAsiaTheme="minorEastAsia" w:hAnsi="Arial" w:cs="Arial"/>
          <w:color w:val="231F20"/>
          <w:sz w:val="20"/>
          <w:szCs w:val="20"/>
          <w:lang w:eastAsia="en-GB"/>
        </w:rPr>
        <w:t xml:space="preserve">That, with effect </w:t>
      </w:r>
      <w:r w:rsidRPr="0007151A">
        <w:rPr>
          <w:rFonts w:ascii="Arial" w:eastAsiaTheme="minorEastAsia" w:hAnsi="Arial" w:cs="Arial"/>
          <w:color w:val="231F20"/>
          <w:spacing w:val="-3"/>
          <w:sz w:val="20"/>
          <w:szCs w:val="20"/>
          <w:lang w:eastAsia="en-GB"/>
        </w:rPr>
        <w:t xml:space="preserve">from </w:t>
      </w:r>
      <w:r w:rsidRPr="0007151A">
        <w:rPr>
          <w:rFonts w:ascii="Arial" w:eastAsiaTheme="minorEastAsia" w:hAnsi="Arial" w:cs="Arial"/>
          <w:color w:val="231F20"/>
          <w:sz w:val="20"/>
          <w:szCs w:val="20"/>
          <w:lang w:eastAsia="en-GB"/>
        </w:rPr>
        <w:t>the conclusion of the meeting, the Articles of Association of the Company produced to the meeting</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and</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signed</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by</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Chairman</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(for</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purpose</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 xml:space="preserve">of identification) be adopted as the </w:t>
      </w:r>
      <w:r w:rsidRPr="0007151A">
        <w:rPr>
          <w:rFonts w:ascii="Arial" w:eastAsiaTheme="minorEastAsia" w:hAnsi="Arial" w:cs="Arial"/>
          <w:color w:val="231F20"/>
          <w:spacing w:val="-3"/>
          <w:sz w:val="20"/>
          <w:szCs w:val="20"/>
          <w:lang w:eastAsia="en-GB"/>
        </w:rPr>
        <w:t xml:space="preserve">Company’s </w:t>
      </w:r>
      <w:r w:rsidRPr="0007151A">
        <w:rPr>
          <w:rFonts w:ascii="Arial" w:eastAsiaTheme="minorEastAsia" w:hAnsi="Arial" w:cs="Arial"/>
          <w:color w:val="231F20"/>
          <w:sz w:val="20"/>
          <w:szCs w:val="20"/>
          <w:lang w:eastAsia="en-GB"/>
        </w:rPr>
        <w:t>Articles of Association</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in</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substitution</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pacing w:val="-5"/>
          <w:sz w:val="20"/>
          <w:szCs w:val="20"/>
          <w:lang w:eastAsia="en-GB"/>
        </w:rPr>
        <w:t>for,</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and</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to</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the</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exclusion</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pacing w:val="-4"/>
          <w:sz w:val="20"/>
          <w:szCs w:val="20"/>
          <w:lang w:eastAsia="en-GB"/>
        </w:rPr>
        <w:t>of,</w:t>
      </w:r>
      <w:r w:rsidRPr="0007151A">
        <w:rPr>
          <w:rFonts w:ascii="Arial" w:eastAsiaTheme="minorEastAsia" w:hAnsi="Arial" w:cs="Arial"/>
          <w:color w:val="231F20"/>
          <w:spacing w:val="-16"/>
          <w:sz w:val="20"/>
          <w:szCs w:val="20"/>
          <w:lang w:eastAsia="en-GB"/>
        </w:rPr>
        <w:t xml:space="preserve"> </w:t>
      </w:r>
      <w:r w:rsidRPr="0007151A">
        <w:rPr>
          <w:rFonts w:ascii="Arial" w:eastAsiaTheme="minorEastAsia" w:hAnsi="Arial" w:cs="Arial"/>
          <w:color w:val="231F20"/>
          <w:sz w:val="20"/>
          <w:szCs w:val="20"/>
          <w:lang w:eastAsia="en-GB"/>
        </w:rPr>
        <w:t>the existing</w:t>
      </w:r>
      <w:r w:rsidRPr="0007151A">
        <w:rPr>
          <w:rFonts w:ascii="Arial" w:eastAsiaTheme="minorEastAsia" w:hAnsi="Arial" w:cs="Arial"/>
          <w:color w:val="231F20"/>
          <w:spacing w:val="-26"/>
          <w:sz w:val="20"/>
          <w:szCs w:val="20"/>
          <w:lang w:eastAsia="en-GB"/>
        </w:rPr>
        <w:t xml:space="preserve"> </w:t>
      </w:r>
      <w:r w:rsidRPr="0007151A">
        <w:rPr>
          <w:rFonts w:ascii="Arial" w:eastAsiaTheme="minorEastAsia" w:hAnsi="Arial" w:cs="Arial"/>
          <w:color w:val="231F20"/>
          <w:sz w:val="20"/>
          <w:szCs w:val="20"/>
          <w:lang w:eastAsia="en-GB"/>
        </w:rPr>
        <w:t>Articles</w:t>
      </w:r>
      <w:r w:rsidRPr="0007151A">
        <w:rPr>
          <w:rFonts w:ascii="Arial" w:eastAsiaTheme="minorEastAsia" w:hAnsi="Arial" w:cs="Arial"/>
          <w:color w:val="231F20"/>
          <w:spacing w:val="-26"/>
          <w:sz w:val="20"/>
          <w:szCs w:val="20"/>
          <w:lang w:eastAsia="en-GB"/>
        </w:rPr>
        <w:t xml:space="preserve"> </w:t>
      </w:r>
      <w:r w:rsidRPr="0007151A">
        <w:rPr>
          <w:rFonts w:ascii="Arial" w:eastAsiaTheme="minorEastAsia" w:hAnsi="Arial" w:cs="Arial"/>
          <w:color w:val="231F20"/>
          <w:sz w:val="20"/>
          <w:szCs w:val="20"/>
          <w:lang w:eastAsia="en-GB"/>
        </w:rPr>
        <w:t>of</w:t>
      </w:r>
      <w:r w:rsidRPr="0007151A">
        <w:rPr>
          <w:rFonts w:ascii="Arial" w:eastAsiaTheme="minorEastAsia" w:hAnsi="Arial" w:cs="Arial"/>
          <w:color w:val="231F20"/>
          <w:spacing w:val="-26"/>
          <w:sz w:val="20"/>
          <w:szCs w:val="20"/>
          <w:lang w:eastAsia="en-GB"/>
        </w:rPr>
        <w:t xml:space="preserve"> </w:t>
      </w:r>
      <w:r w:rsidRPr="0007151A">
        <w:rPr>
          <w:rFonts w:ascii="Arial" w:eastAsiaTheme="minorEastAsia" w:hAnsi="Arial" w:cs="Arial"/>
          <w:color w:val="231F20"/>
          <w:sz w:val="20"/>
          <w:szCs w:val="20"/>
          <w:lang w:eastAsia="en-GB"/>
        </w:rPr>
        <w:t>Association.</w:t>
      </w:r>
    </w:p>
    <w:p w:rsidR="00201677" w:rsidRDefault="00201677" w:rsidP="00201677">
      <w:pPr>
        <w:autoSpaceDE w:val="0"/>
        <w:autoSpaceDN w:val="0"/>
        <w:adjustRightInd w:val="0"/>
        <w:rPr>
          <w:rFonts w:ascii="Arial" w:hAnsi="Arial" w:cs="Arial"/>
          <w:sz w:val="20"/>
          <w:szCs w:val="20"/>
        </w:rPr>
      </w:pPr>
    </w:p>
    <w:p w:rsidR="00201677" w:rsidRDefault="00201677" w:rsidP="00201677">
      <w:pPr>
        <w:autoSpaceDE w:val="0"/>
        <w:autoSpaceDN w:val="0"/>
        <w:adjustRightInd w:val="0"/>
        <w:rPr>
          <w:rFonts w:ascii="Arial" w:hAnsi="Arial" w:cs="Arial"/>
          <w:sz w:val="20"/>
          <w:szCs w:val="20"/>
        </w:rPr>
      </w:pPr>
    </w:p>
    <w:p w:rsidR="00201677" w:rsidRPr="0007151A" w:rsidRDefault="00201677" w:rsidP="00201677">
      <w:pPr>
        <w:autoSpaceDE w:val="0"/>
        <w:autoSpaceDN w:val="0"/>
        <w:adjustRightInd w:val="0"/>
        <w:rPr>
          <w:rFonts w:ascii="Arial" w:hAnsi="Arial" w:cs="Arial"/>
          <w:sz w:val="20"/>
          <w:szCs w:val="20"/>
        </w:rPr>
      </w:pPr>
    </w:p>
    <w:p w:rsidR="00901C8D" w:rsidRDefault="00901C8D" w:rsidP="00657A06">
      <w:pPr>
        <w:jc w:val="both"/>
        <w:rPr>
          <w:rFonts w:ascii="Arial" w:hAnsi="Arial" w:cs="Arial"/>
          <w:b/>
          <w:sz w:val="20"/>
          <w:szCs w:val="20"/>
        </w:rPr>
      </w:pPr>
      <w:r>
        <w:rPr>
          <w:rFonts w:ascii="Arial" w:hAnsi="Arial" w:cs="Arial"/>
          <w:b/>
          <w:sz w:val="20"/>
          <w:szCs w:val="20"/>
        </w:rPr>
        <w:t>Tina Bains</w:t>
      </w:r>
    </w:p>
    <w:p w:rsidR="00901C8D" w:rsidRDefault="00901C8D" w:rsidP="00657A06">
      <w:pPr>
        <w:jc w:val="both"/>
        <w:rPr>
          <w:rFonts w:ascii="Arial" w:hAnsi="Arial" w:cs="Arial"/>
          <w:b/>
          <w:sz w:val="20"/>
          <w:szCs w:val="20"/>
        </w:rPr>
      </w:pPr>
      <w:r>
        <w:rPr>
          <w:rFonts w:ascii="Arial" w:hAnsi="Arial" w:cs="Arial"/>
          <w:b/>
          <w:sz w:val="20"/>
          <w:szCs w:val="20"/>
        </w:rPr>
        <w:t>Company Secretary</w:t>
      </w:r>
    </w:p>
    <w:p w:rsidR="00901C8D" w:rsidRPr="00201677" w:rsidRDefault="00901C8D" w:rsidP="00657A06">
      <w:pPr>
        <w:jc w:val="both"/>
        <w:rPr>
          <w:rFonts w:ascii="Arial" w:hAnsi="Arial" w:cs="Arial"/>
          <w:sz w:val="20"/>
          <w:szCs w:val="20"/>
        </w:rPr>
      </w:pPr>
      <w:r w:rsidRPr="00201677">
        <w:rPr>
          <w:rFonts w:ascii="Arial" w:hAnsi="Arial" w:cs="Arial"/>
          <w:sz w:val="20"/>
          <w:szCs w:val="20"/>
        </w:rPr>
        <w:t>14 October 2020</w:t>
      </w:r>
    </w:p>
    <w:sectPr w:rsidR="00901C8D" w:rsidRPr="00201677" w:rsidSect="005573FB">
      <w:type w:val="continuous"/>
      <w:pgSz w:w="11906" w:h="16838"/>
      <w:pgMar w:top="1440" w:right="1134" w:bottom="1440"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OT-Light">
    <w:altName w:val="Centaur"/>
    <w:panose1 w:val="00000000000000000000"/>
    <w:charset w:val="00"/>
    <w:family w:val="modern"/>
    <w:notTrueType/>
    <w:pitch w:val="variable"/>
    <w:sig w:usb0="00000003" w:usb1="4000206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460" w:hanging="341"/>
      </w:pPr>
      <w:rPr>
        <w:b w:val="0"/>
        <w:bCs w:val="0"/>
        <w:spacing w:val="-1"/>
        <w:w w:val="91"/>
      </w:rPr>
    </w:lvl>
    <w:lvl w:ilvl="1">
      <w:start w:val="1"/>
      <w:numFmt w:val="lowerLetter"/>
      <w:lvlText w:val="%2)"/>
      <w:lvlJc w:val="left"/>
      <w:pPr>
        <w:ind w:left="800" w:hanging="341"/>
      </w:pPr>
      <w:rPr>
        <w:b w:val="0"/>
        <w:bCs w:val="0"/>
        <w:spacing w:val="-1"/>
        <w:w w:val="90"/>
      </w:rPr>
    </w:lvl>
    <w:lvl w:ilvl="2">
      <w:start w:val="1"/>
      <w:numFmt w:val="lowerRoman"/>
      <w:lvlText w:val="(%3)"/>
      <w:lvlJc w:val="left"/>
      <w:pPr>
        <w:ind w:left="1140" w:hanging="341"/>
      </w:pPr>
      <w:rPr>
        <w:rFonts w:ascii="Arial" w:hAnsi="Arial" w:cs="Arial"/>
        <w:b w:val="0"/>
        <w:bCs w:val="0"/>
        <w:color w:val="231F20"/>
        <w:spacing w:val="-1"/>
        <w:w w:val="93"/>
        <w:sz w:val="18"/>
        <w:szCs w:val="18"/>
      </w:rPr>
    </w:lvl>
    <w:lvl w:ilvl="3">
      <w:numFmt w:val="bullet"/>
      <w:lvlText w:val="•"/>
      <w:lvlJc w:val="left"/>
      <w:pPr>
        <w:ind w:left="963" w:hanging="341"/>
      </w:pPr>
    </w:lvl>
    <w:lvl w:ilvl="4">
      <w:numFmt w:val="bullet"/>
      <w:lvlText w:val="•"/>
      <w:lvlJc w:val="left"/>
      <w:pPr>
        <w:ind w:left="787" w:hanging="341"/>
      </w:pPr>
    </w:lvl>
    <w:lvl w:ilvl="5">
      <w:numFmt w:val="bullet"/>
      <w:lvlText w:val="•"/>
      <w:lvlJc w:val="left"/>
      <w:pPr>
        <w:ind w:left="611" w:hanging="341"/>
      </w:pPr>
    </w:lvl>
    <w:lvl w:ilvl="6">
      <w:numFmt w:val="bullet"/>
      <w:lvlText w:val="•"/>
      <w:lvlJc w:val="left"/>
      <w:pPr>
        <w:ind w:left="435" w:hanging="341"/>
      </w:pPr>
    </w:lvl>
    <w:lvl w:ilvl="7">
      <w:numFmt w:val="bullet"/>
      <w:lvlText w:val="•"/>
      <w:lvlJc w:val="left"/>
      <w:pPr>
        <w:ind w:left="259" w:hanging="341"/>
      </w:pPr>
    </w:lvl>
    <w:lvl w:ilvl="8">
      <w:numFmt w:val="bullet"/>
      <w:lvlText w:val="•"/>
      <w:lvlJc w:val="left"/>
      <w:pPr>
        <w:ind w:left="83" w:hanging="341"/>
      </w:pPr>
    </w:lvl>
  </w:abstractNum>
  <w:abstractNum w:abstractNumId="1" w15:restartNumberingAfterBreak="0">
    <w:nsid w:val="004173CF"/>
    <w:multiLevelType w:val="multilevel"/>
    <w:tmpl w:val="00000885"/>
    <w:lvl w:ilvl="0">
      <w:start w:val="1"/>
      <w:numFmt w:val="decimal"/>
      <w:lvlText w:val="%1."/>
      <w:lvlJc w:val="left"/>
      <w:pPr>
        <w:ind w:left="460" w:hanging="341"/>
      </w:pPr>
      <w:rPr>
        <w:b w:val="0"/>
        <w:bCs w:val="0"/>
        <w:spacing w:val="-1"/>
        <w:w w:val="91"/>
      </w:rPr>
    </w:lvl>
    <w:lvl w:ilvl="1">
      <w:start w:val="1"/>
      <w:numFmt w:val="lowerLetter"/>
      <w:lvlText w:val="%2)"/>
      <w:lvlJc w:val="left"/>
      <w:pPr>
        <w:ind w:left="800" w:hanging="341"/>
      </w:pPr>
      <w:rPr>
        <w:b w:val="0"/>
        <w:bCs w:val="0"/>
        <w:spacing w:val="-1"/>
        <w:w w:val="90"/>
      </w:rPr>
    </w:lvl>
    <w:lvl w:ilvl="2">
      <w:start w:val="1"/>
      <w:numFmt w:val="lowerRoman"/>
      <w:lvlText w:val="(%3)"/>
      <w:lvlJc w:val="left"/>
      <w:pPr>
        <w:ind w:left="1140" w:hanging="341"/>
      </w:pPr>
      <w:rPr>
        <w:rFonts w:ascii="Arial" w:hAnsi="Arial" w:cs="Arial"/>
        <w:b w:val="0"/>
        <w:bCs w:val="0"/>
        <w:color w:val="231F20"/>
        <w:spacing w:val="-1"/>
        <w:w w:val="93"/>
        <w:sz w:val="18"/>
        <w:szCs w:val="18"/>
      </w:rPr>
    </w:lvl>
    <w:lvl w:ilvl="3">
      <w:numFmt w:val="bullet"/>
      <w:lvlText w:val="•"/>
      <w:lvlJc w:val="left"/>
      <w:pPr>
        <w:ind w:left="963" w:hanging="341"/>
      </w:pPr>
    </w:lvl>
    <w:lvl w:ilvl="4">
      <w:numFmt w:val="bullet"/>
      <w:lvlText w:val="•"/>
      <w:lvlJc w:val="left"/>
      <w:pPr>
        <w:ind w:left="787" w:hanging="341"/>
      </w:pPr>
    </w:lvl>
    <w:lvl w:ilvl="5">
      <w:numFmt w:val="bullet"/>
      <w:lvlText w:val="•"/>
      <w:lvlJc w:val="left"/>
      <w:pPr>
        <w:ind w:left="611" w:hanging="341"/>
      </w:pPr>
    </w:lvl>
    <w:lvl w:ilvl="6">
      <w:numFmt w:val="bullet"/>
      <w:lvlText w:val="•"/>
      <w:lvlJc w:val="left"/>
      <w:pPr>
        <w:ind w:left="435" w:hanging="341"/>
      </w:pPr>
    </w:lvl>
    <w:lvl w:ilvl="7">
      <w:numFmt w:val="bullet"/>
      <w:lvlText w:val="•"/>
      <w:lvlJc w:val="left"/>
      <w:pPr>
        <w:ind w:left="259" w:hanging="341"/>
      </w:pPr>
    </w:lvl>
    <w:lvl w:ilvl="8">
      <w:numFmt w:val="bullet"/>
      <w:lvlText w:val="•"/>
      <w:lvlJc w:val="left"/>
      <w:pPr>
        <w:ind w:left="83" w:hanging="341"/>
      </w:pPr>
    </w:lvl>
  </w:abstractNum>
  <w:abstractNum w:abstractNumId="2" w15:restartNumberingAfterBreak="0">
    <w:nsid w:val="034D4A4D"/>
    <w:multiLevelType w:val="hybridMultilevel"/>
    <w:tmpl w:val="A1DAB4CC"/>
    <w:lvl w:ilvl="0" w:tplc="9934D48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4B24AFC"/>
    <w:multiLevelType w:val="hybridMultilevel"/>
    <w:tmpl w:val="61F6B0A8"/>
    <w:lvl w:ilvl="0" w:tplc="909E7892">
      <w:start w:val="1"/>
      <w:numFmt w:val="low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FB335F"/>
    <w:multiLevelType w:val="hybridMultilevel"/>
    <w:tmpl w:val="011277AC"/>
    <w:lvl w:ilvl="0" w:tplc="A42A4E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613D2"/>
    <w:multiLevelType w:val="hybridMultilevel"/>
    <w:tmpl w:val="D3305F98"/>
    <w:lvl w:ilvl="0" w:tplc="F35EE7C4">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D39A7"/>
    <w:multiLevelType w:val="hybridMultilevel"/>
    <w:tmpl w:val="0CC2BE9A"/>
    <w:lvl w:ilvl="0" w:tplc="8A3A584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DC26DDF"/>
    <w:multiLevelType w:val="hybridMultilevel"/>
    <w:tmpl w:val="4C388850"/>
    <w:lvl w:ilvl="0" w:tplc="D98C646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4E2A6AA7"/>
    <w:multiLevelType w:val="hybridMultilevel"/>
    <w:tmpl w:val="084CBFA6"/>
    <w:lvl w:ilvl="0" w:tplc="61EAE6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515190A"/>
    <w:multiLevelType w:val="hybridMultilevel"/>
    <w:tmpl w:val="7318CDC2"/>
    <w:lvl w:ilvl="0" w:tplc="5AF4DAA4">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672375C3"/>
    <w:multiLevelType w:val="hybridMultilevel"/>
    <w:tmpl w:val="8ADCB03C"/>
    <w:lvl w:ilvl="0" w:tplc="3904A6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EB798B"/>
    <w:multiLevelType w:val="hybridMultilevel"/>
    <w:tmpl w:val="C8781BEE"/>
    <w:lvl w:ilvl="0" w:tplc="B15EDD0C">
      <w:start w:val="1"/>
      <w:numFmt w:val="lowerLetter"/>
      <w:lvlText w:val="(%1)"/>
      <w:lvlJc w:val="left"/>
      <w:pPr>
        <w:ind w:left="5322" w:hanging="360"/>
      </w:pPr>
      <w:rPr>
        <w:rFonts w:hint="default"/>
      </w:rPr>
    </w:lvl>
    <w:lvl w:ilvl="1" w:tplc="08090019" w:tentative="1">
      <w:start w:val="1"/>
      <w:numFmt w:val="lowerLetter"/>
      <w:lvlText w:val="%2."/>
      <w:lvlJc w:val="left"/>
      <w:pPr>
        <w:ind w:left="6042" w:hanging="360"/>
      </w:pPr>
    </w:lvl>
    <w:lvl w:ilvl="2" w:tplc="0809001B" w:tentative="1">
      <w:start w:val="1"/>
      <w:numFmt w:val="lowerRoman"/>
      <w:lvlText w:val="%3."/>
      <w:lvlJc w:val="right"/>
      <w:pPr>
        <w:ind w:left="6762" w:hanging="180"/>
      </w:pPr>
    </w:lvl>
    <w:lvl w:ilvl="3" w:tplc="0809000F" w:tentative="1">
      <w:start w:val="1"/>
      <w:numFmt w:val="decimal"/>
      <w:lvlText w:val="%4."/>
      <w:lvlJc w:val="left"/>
      <w:pPr>
        <w:ind w:left="7482" w:hanging="360"/>
      </w:pPr>
    </w:lvl>
    <w:lvl w:ilvl="4" w:tplc="08090019" w:tentative="1">
      <w:start w:val="1"/>
      <w:numFmt w:val="lowerLetter"/>
      <w:lvlText w:val="%5."/>
      <w:lvlJc w:val="left"/>
      <w:pPr>
        <w:ind w:left="8202" w:hanging="360"/>
      </w:pPr>
    </w:lvl>
    <w:lvl w:ilvl="5" w:tplc="0809001B" w:tentative="1">
      <w:start w:val="1"/>
      <w:numFmt w:val="lowerRoman"/>
      <w:lvlText w:val="%6."/>
      <w:lvlJc w:val="right"/>
      <w:pPr>
        <w:ind w:left="8922" w:hanging="180"/>
      </w:pPr>
    </w:lvl>
    <w:lvl w:ilvl="6" w:tplc="0809000F" w:tentative="1">
      <w:start w:val="1"/>
      <w:numFmt w:val="decimal"/>
      <w:lvlText w:val="%7."/>
      <w:lvlJc w:val="left"/>
      <w:pPr>
        <w:ind w:left="9642" w:hanging="360"/>
      </w:pPr>
    </w:lvl>
    <w:lvl w:ilvl="7" w:tplc="08090019" w:tentative="1">
      <w:start w:val="1"/>
      <w:numFmt w:val="lowerLetter"/>
      <w:lvlText w:val="%8."/>
      <w:lvlJc w:val="left"/>
      <w:pPr>
        <w:ind w:left="10362" w:hanging="360"/>
      </w:pPr>
    </w:lvl>
    <w:lvl w:ilvl="8" w:tplc="0809001B" w:tentative="1">
      <w:start w:val="1"/>
      <w:numFmt w:val="lowerRoman"/>
      <w:lvlText w:val="%9."/>
      <w:lvlJc w:val="right"/>
      <w:pPr>
        <w:ind w:left="11082" w:hanging="180"/>
      </w:pPr>
    </w:lvl>
  </w:abstractNum>
  <w:abstractNum w:abstractNumId="12" w15:restartNumberingAfterBreak="0">
    <w:nsid w:val="7BA6592B"/>
    <w:multiLevelType w:val="hybridMultilevel"/>
    <w:tmpl w:val="279CEBAA"/>
    <w:lvl w:ilvl="0" w:tplc="095A3C78">
      <w:start w:val="1"/>
      <w:numFmt w:val="lowerLetter"/>
      <w:lvlText w:val="(%1)"/>
      <w:lvlJc w:val="left"/>
      <w:pPr>
        <w:ind w:left="1287" w:hanging="360"/>
      </w:pPr>
      <w:rPr>
        <w:rFonts w:hint="default"/>
      </w:rPr>
    </w:lvl>
    <w:lvl w:ilvl="1" w:tplc="1BF6F02E">
      <w:start w:val="1"/>
      <w:numFmt w:val="lowerRoman"/>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C8E3512"/>
    <w:multiLevelType w:val="hybridMultilevel"/>
    <w:tmpl w:val="47305924"/>
    <w:lvl w:ilvl="0" w:tplc="2C9E1B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13"/>
  </w:num>
  <w:num w:numId="5">
    <w:abstractNumId w:val="4"/>
  </w:num>
  <w:num w:numId="6">
    <w:abstractNumId w:val="10"/>
  </w:num>
  <w:num w:numId="7">
    <w:abstractNumId w:val="5"/>
  </w:num>
  <w:num w:numId="8">
    <w:abstractNumId w:val="12"/>
  </w:num>
  <w:num w:numId="9">
    <w:abstractNumId w:val="6"/>
  </w:num>
  <w:num w:numId="10">
    <w:abstractNumId w:val="8"/>
  </w:num>
  <w:num w:numId="11">
    <w:abstractNumId w:val="11"/>
  </w:num>
  <w:num w:numId="12">
    <w:abstractNumId w:val="9"/>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CC6C7C"/>
    <w:rsid w:val="000325B5"/>
    <w:rsid w:val="00077E06"/>
    <w:rsid w:val="000A020D"/>
    <w:rsid w:val="00103332"/>
    <w:rsid w:val="00127948"/>
    <w:rsid w:val="00160C67"/>
    <w:rsid w:val="00163031"/>
    <w:rsid w:val="001C2684"/>
    <w:rsid w:val="001D2C33"/>
    <w:rsid w:val="001E47C8"/>
    <w:rsid w:val="001F75EB"/>
    <w:rsid w:val="00201677"/>
    <w:rsid w:val="0020741C"/>
    <w:rsid w:val="0022761E"/>
    <w:rsid w:val="002329EB"/>
    <w:rsid w:val="002A2B7C"/>
    <w:rsid w:val="002C5C5A"/>
    <w:rsid w:val="002E2924"/>
    <w:rsid w:val="00325700"/>
    <w:rsid w:val="00343AAB"/>
    <w:rsid w:val="003962EA"/>
    <w:rsid w:val="003B3200"/>
    <w:rsid w:val="003D0587"/>
    <w:rsid w:val="003D5C1D"/>
    <w:rsid w:val="0045006F"/>
    <w:rsid w:val="004B5C1E"/>
    <w:rsid w:val="004C7448"/>
    <w:rsid w:val="00511296"/>
    <w:rsid w:val="005573FB"/>
    <w:rsid w:val="005C71B7"/>
    <w:rsid w:val="0063050B"/>
    <w:rsid w:val="006540DD"/>
    <w:rsid w:val="00657A06"/>
    <w:rsid w:val="00657C4C"/>
    <w:rsid w:val="00695FCF"/>
    <w:rsid w:val="006D6EF6"/>
    <w:rsid w:val="006E0201"/>
    <w:rsid w:val="00760F73"/>
    <w:rsid w:val="00797ACB"/>
    <w:rsid w:val="007B68CD"/>
    <w:rsid w:val="007C6B9D"/>
    <w:rsid w:val="00827926"/>
    <w:rsid w:val="008364D3"/>
    <w:rsid w:val="0085405D"/>
    <w:rsid w:val="008C43C4"/>
    <w:rsid w:val="00901C8D"/>
    <w:rsid w:val="009571F4"/>
    <w:rsid w:val="009619B4"/>
    <w:rsid w:val="009717AC"/>
    <w:rsid w:val="009B315E"/>
    <w:rsid w:val="009F5D10"/>
    <w:rsid w:val="00A27C57"/>
    <w:rsid w:val="00A77EB5"/>
    <w:rsid w:val="00AA0D4E"/>
    <w:rsid w:val="00B33DA4"/>
    <w:rsid w:val="00B75B5B"/>
    <w:rsid w:val="00BB76B5"/>
    <w:rsid w:val="00BE770A"/>
    <w:rsid w:val="00C104A0"/>
    <w:rsid w:val="00C557B6"/>
    <w:rsid w:val="00C74C28"/>
    <w:rsid w:val="00C94E46"/>
    <w:rsid w:val="00CB6DEA"/>
    <w:rsid w:val="00CC6C7C"/>
    <w:rsid w:val="00CE0874"/>
    <w:rsid w:val="00CE62E3"/>
    <w:rsid w:val="00CF785B"/>
    <w:rsid w:val="00D22EA8"/>
    <w:rsid w:val="00D258BD"/>
    <w:rsid w:val="00DA63B6"/>
    <w:rsid w:val="00DF2C28"/>
    <w:rsid w:val="00E6342A"/>
    <w:rsid w:val="00E657E2"/>
    <w:rsid w:val="00E72D41"/>
    <w:rsid w:val="00EA55C5"/>
    <w:rsid w:val="00ED1A19"/>
    <w:rsid w:val="00ED2C3F"/>
    <w:rsid w:val="00F01701"/>
    <w:rsid w:val="00F4672D"/>
    <w:rsid w:val="00F80D19"/>
    <w:rsid w:val="00F86EFD"/>
    <w:rsid w:val="00FC7E87"/>
    <w:rsid w:val="00FF63AD"/>
    <w:rsid w:val="00FF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96"/>
  <w15:docId w15:val="{DEC59A20-68C6-4935-844A-907D1FC3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rPr>
  </w:style>
  <w:style w:type="paragraph" w:styleId="Heading2">
    <w:name w:val="heading 2"/>
    <w:basedOn w:val="Normal"/>
    <w:next w:val="Normal"/>
    <w:link w:val="Heading2Char"/>
    <w:qFormat/>
    <w:pPr>
      <w:keepNext/>
      <w:jc w:val="center"/>
      <w:outlineLvl w:val="1"/>
    </w:pPr>
    <w:rPr>
      <w:rFonts w:ascii="Arial" w:hAnsi="Arial" w:cs="Arial"/>
      <w:b/>
      <w:bCs/>
      <w:u w:val="single"/>
    </w:rPr>
  </w:style>
  <w:style w:type="paragraph" w:styleId="Heading3">
    <w:name w:val="heading 3"/>
    <w:basedOn w:val="Normal"/>
    <w:next w:val="Normal"/>
    <w:qFormat/>
    <w:pPr>
      <w:keepNext/>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80" w:hanging="720"/>
      <w:jc w:val="both"/>
    </w:pPr>
    <w:rPr>
      <w:rFonts w:ascii="Arial" w:hAnsi="Arial" w:cs="Arial"/>
    </w:rPr>
  </w:style>
  <w:style w:type="paragraph" w:styleId="BalloonText">
    <w:name w:val="Balloon Text"/>
    <w:basedOn w:val="Normal"/>
    <w:semiHidden/>
    <w:rsid w:val="0063050B"/>
    <w:rPr>
      <w:rFonts w:ascii="Tahoma" w:hAnsi="Tahoma" w:cs="Tahoma"/>
      <w:sz w:val="16"/>
      <w:szCs w:val="16"/>
    </w:rPr>
  </w:style>
  <w:style w:type="paragraph" w:styleId="ListParagraph">
    <w:name w:val="List Paragraph"/>
    <w:basedOn w:val="Normal"/>
    <w:uiPriority w:val="34"/>
    <w:qFormat/>
    <w:rsid w:val="003B3200"/>
    <w:pPr>
      <w:ind w:left="720"/>
    </w:pPr>
  </w:style>
  <w:style w:type="paragraph" w:styleId="BodyText">
    <w:name w:val="Body Text"/>
    <w:basedOn w:val="Normal"/>
    <w:link w:val="BodyTextChar"/>
    <w:rsid w:val="007B68CD"/>
    <w:pPr>
      <w:spacing w:after="120"/>
    </w:pPr>
  </w:style>
  <w:style w:type="character" w:customStyle="1" w:styleId="BodyTextChar">
    <w:name w:val="Body Text Char"/>
    <w:basedOn w:val="DefaultParagraphFont"/>
    <w:link w:val="BodyText"/>
    <w:rsid w:val="007B68CD"/>
    <w:rPr>
      <w:sz w:val="24"/>
      <w:szCs w:val="24"/>
      <w:lang w:eastAsia="en-US"/>
    </w:rPr>
  </w:style>
  <w:style w:type="character" w:customStyle="1" w:styleId="Heading1Char">
    <w:name w:val="Heading 1 Char"/>
    <w:basedOn w:val="DefaultParagraphFont"/>
    <w:link w:val="Heading1"/>
    <w:rsid w:val="00201677"/>
    <w:rPr>
      <w:rFonts w:ascii="Arial" w:hAnsi="Arial" w:cs="Arial"/>
      <w:b/>
      <w:bCs/>
      <w:sz w:val="24"/>
      <w:szCs w:val="24"/>
      <w:lang w:eastAsia="en-US"/>
    </w:rPr>
  </w:style>
  <w:style w:type="character" w:customStyle="1" w:styleId="Heading2Char">
    <w:name w:val="Heading 2 Char"/>
    <w:basedOn w:val="DefaultParagraphFont"/>
    <w:link w:val="Heading2"/>
    <w:rsid w:val="00201677"/>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4663</Characters>
  <Application>Microsoft Office Word</Application>
  <DocSecurity>4</DocSecurity>
  <Lines>38</Lines>
  <Paragraphs>11</Paragraphs>
  <ScaleCrop>false</ScaleCrop>
  <HeadingPairs>
    <vt:vector size="2" baseType="variant">
      <vt:variant>
        <vt:lpstr>Title</vt:lpstr>
      </vt:variant>
      <vt:variant>
        <vt:i4>1</vt:i4>
      </vt:variant>
    </vt:vector>
  </HeadingPairs>
  <TitlesOfParts>
    <vt:vector size="1" baseType="lpstr">
      <vt:lpstr>Company No:  604574</vt:lpstr>
    </vt:vector>
  </TitlesOfParts>
  <Company>barratt</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No:  604574</dc:title>
  <dc:subject/>
  <dc:creator>SinclaJ</dc:creator>
  <cp:keywords/>
  <cp:lastModifiedBy>Bains, Tina</cp:lastModifiedBy>
  <cp:revision>2</cp:revision>
  <cp:lastPrinted>2019-10-10T14:17:00Z</cp:lastPrinted>
  <dcterms:created xsi:type="dcterms:W3CDTF">2020-10-14T12:01:00Z</dcterms:created>
  <dcterms:modified xsi:type="dcterms:W3CDTF">2020-10-14T12:01:00Z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CMNumber">
    <vt:lpwstr>101708/07993</vt:lpwstr>
  </property>
  <property fmtid="{D5CDD505-2E9C-101B-9397-08002B2CF9AE}" pid="3" name="udp_Client">
    <vt:lpwstr>BARRATT DEVELOPMENTS PLC</vt:lpwstr>
  </property>
  <property fmtid="{D5CDD505-2E9C-101B-9397-08002B2CF9AE}" pid="4" name="udp_Matter">
    <vt:lpwstr>GENERAL</vt:lpwstr>
  </property>
  <property fmtid="{D5CDD505-2E9C-101B-9397-08002B2CF9AE}" pid="5" name="udp_DeptCode">
    <vt:lpwstr>CE</vt:lpwstr>
  </property>
  <property fmtid="{D5CDD505-2E9C-101B-9397-08002B2CF9AE}" pid="6" name="udp_DocID">
    <vt:lpwstr>540627791</vt:lpwstr>
  </property>
  <property fmtid="{D5CDD505-2E9C-101B-9397-08002B2CF9AE}" pid="7" name="udp_DocVersion">
    <vt:lpwstr>2</vt:lpwstr>
  </property>
  <property fmtid="{D5CDD505-2E9C-101B-9397-08002B2CF9AE}" pid="8" name="udp_Author">
    <vt:lpwstr>AQXC</vt:lpwstr>
  </property>
  <property fmtid="{D5CDD505-2E9C-101B-9397-08002B2CF9AE}" pid="9" name="udp_Date">
    <vt:lpwstr>14 November 2016</vt:lpwstr>
  </property>
</Properties>
</file>