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1FA1" w14:textId="77777777" w:rsidR="00ED1A19" w:rsidRPr="009571F4" w:rsidRDefault="00ED1A19" w:rsidP="00695FCF">
      <w:pPr>
        <w:pStyle w:val="Heading1"/>
        <w:jc w:val="center"/>
        <w:rPr>
          <w:sz w:val="20"/>
          <w:szCs w:val="20"/>
        </w:rPr>
      </w:pPr>
      <w:r w:rsidRPr="009571F4">
        <w:rPr>
          <w:sz w:val="20"/>
          <w:szCs w:val="20"/>
        </w:rPr>
        <w:t xml:space="preserve">Company No:  </w:t>
      </w:r>
      <w:r w:rsidR="00E6342A">
        <w:rPr>
          <w:sz w:val="20"/>
          <w:szCs w:val="20"/>
        </w:rPr>
        <w:t>00</w:t>
      </w:r>
      <w:r w:rsidRPr="009571F4">
        <w:rPr>
          <w:sz w:val="20"/>
          <w:szCs w:val="20"/>
        </w:rPr>
        <w:t>604574</w:t>
      </w:r>
    </w:p>
    <w:p w14:paraId="5FFD5A66" w14:textId="77777777" w:rsidR="00ED1A19" w:rsidRPr="009571F4" w:rsidRDefault="00ED1A19" w:rsidP="00695FCF">
      <w:pPr>
        <w:jc w:val="center"/>
        <w:rPr>
          <w:rFonts w:ascii="Arial" w:hAnsi="Arial" w:cs="Arial"/>
          <w:b/>
          <w:bCs/>
          <w:sz w:val="20"/>
          <w:szCs w:val="20"/>
        </w:rPr>
      </w:pPr>
    </w:p>
    <w:p w14:paraId="1581DF16" w14:textId="77777777" w:rsidR="00ED1A19" w:rsidRPr="009571F4" w:rsidRDefault="00ED1A19" w:rsidP="00695FCF">
      <w:pPr>
        <w:pStyle w:val="Heading2"/>
        <w:rPr>
          <w:sz w:val="20"/>
          <w:szCs w:val="20"/>
        </w:rPr>
      </w:pPr>
      <w:r w:rsidRPr="009571F4">
        <w:rPr>
          <w:sz w:val="20"/>
          <w:szCs w:val="20"/>
        </w:rPr>
        <w:t xml:space="preserve">THE COMPANIES ACT </w:t>
      </w:r>
      <w:r w:rsidR="00B33DA4" w:rsidRPr="009571F4">
        <w:rPr>
          <w:sz w:val="20"/>
          <w:szCs w:val="20"/>
        </w:rPr>
        <w:t>2006</w:t>
      </w:r>
    </w:p>
    <w:p w14:paraId="32581547" w14:textId="77777777" w:rsidR="00ED1A19" w:rsidRPr="009571F4" w:rsidRDefault="00ED1A19" w:rsidP="00695FCF">
      <w:pPr>
        <w:jc w:val="center"/>
        <w:rPr>
          <w:rFonts w:ascii="Arial" w:hAnsi="Arial" w:cs="Arial"/>
          <w:b/>
          <w:bCs/>
          <w:sz w:val="20"/>
          <w:szCs w:val="20"/>
          <w:u w:val="single"/>
        </w:rPr>
      </w:pPr>
    </w:p>
    <w:p w14:paraId="783506CD" w14:textId="77777777" w:rsidR="00ED1A19" w:rsidRPr="009571F4" w:rsidRDefault="00ED1A19" w:rsidP="00695FCF">
      <w:pPr>
        <w:jc w:val="center"/>
        <w:rPr>
          <w:rFonts w:ascii="Arial" w:hAnsi="Arial" w:cs="Arial"/>
          <w:b/>
          <w:bCs/>
          <w:sz w:val="20"/>
          <w:szCs w:val="20"/>
          <w:u w:val="single"/>
        </w:rPr>
      </w:pPr>
      <w:r w:rsidRPr="009571F4">
        <w:rPr>
          <w:rFonts w:ascii="Arial" w:hAnsi="Arial" w:cs="Arial"/>
          <w:b/>
          <w:bCs/>
          <w:sz w:val="20"/>
          <w:szCs w:val="20"/>
          <w:u w:val="single"/>
        </w:rPr>
        <w:t>BARRATT DEVELOPMENTS PLC</w:t>
      </w:r>
    </w:p>
    <w:p w14:paraId="2552E7A7" w14:textId="77777777" w:rsidR="00ED1A19" w:rsidRPr="009571F4" w:rsidRDefault="00ED1A19" w:rsidP="005573FB">
      <w:pPr>
        <w:spacing w:before="120" w:after="120"/>
        <w:jc w:val="both"/>
        <w:rPr>
          <w:rFonts w:ascii="Arial" w:hAnsi="Arial" w:cs="Arial"/>
          <w:b/>
          <w:bCs/>
          <w:sz w:val="20"/>
          <w:szCs w:val="20"/>
          <w:u w:val="single"/>
        </w:rPr>
      </w:pPr>
    </w:p>
    <w:p w14:paraId="788DAAD6" w14:textId="77777777" w:rsidR="00ED1A19" w:rsidRPr="00FC602B" w:rsidRDefault="00ED1A19" w:rsidP="00FC602B">
      <w:pPr>
        <w:autoSpaceDE w:val="0"/>
        <w:autoSpaceDN w:val="0"/>
        <w:adjustRightInd w:val="0"/>
        <w:rPr>
          <w:rFonts w:ascii="DINOT" w:hAnsi="DINOT" w:cs="DINOT"/>
          <w:sz w:val="18"/>
          <w:szCs w:val="18"/>
          <w:lang w:eastAsia="en-GB"/>
        </w:rPr>
      </w:pPr>
      <w:r w:rsidRPr="009571F4">
        <w:rPr>
          <w:rFonts w:ascii="Arial" w:hAnsi="Arial" w:cs="Arial"/>
          <w:sz w:val="20"/>
          <w:szCs w:val="20"/>
        </w:rPr>
        <w:t xml:space="preserve">At the </w:t>
      </w:r>
      <w:r w:rsidR="00C74C28">
        <w:rPr>
          <w:rFonts w:ascii="Arial" w:hAnsi="Arial" w:cs="Arial"/>
          <w:sz w:val="20"/>
          <w:szCs w:val="20"/>
        </w:rPr>
        <w:t>sixty-</w:t>
      </w:r>
      <w:r w:rsidR="003C4D70">
        <w:rPr>
          <w:rFonts w:ascii="Arial" w:hAnsi="Arial" w:cs="Arial"/>
          <w:sz w:val="20"/>
          <w:szCs w:val="20"/>
        </w:rPr>
        <w:t>fifth</w:t>
      </w:r>
      <w:r w:rsidR="003C4D70" w:rsidRPr="009571F4">
        <w:rPr>
          <w:rFonts w:ascii="Arial" w:hAnsi="Arial" w:cs="Arial"/>
          <w:sz w:val="20"/>
          <w:szCs w:val="20"/>
        </w:rPr>
        <w:t xml:space="preserve"> </w:t>
      </w:r>
      <w:r w:rsidRPr="009571F4">
        <w:rPr>
          <w:rFonts w:ascii="Arial" w:hAnsi="Arial" w:cs="Arial"/>
          <w:sz w:val="20"/>
          <w:szCs w:val="20"/>
        </w:rPr>
        <w:t>Annual General Meeting of Barratt Developments PLC</w:t>
      </w:r>
      <w:r w:rsidR="003D0587">
        <w:rPr>
          <w:rFonts w:ascii="Arial" w:hAnsi="Arial" w:cs="Arial"/>
          <w:sz w:val="20"/>
          <w:szCs w:val="20"/>
        </w:rPr>
        <w:t xml:space="preserve"> </w:t>
      </w:r>
      <w:r w:rsidRPr="009571F4">
        <w:rPr>
          <w:rFonts w:ascii="Arial" w:hAnsi="Arial" w:cs="Arial"/>
          <w:sz w:val="20"/>
          <w:szCs w:val="20"/>
        </w:rPr>
        <w:t>held at</w:t>
      </w:r>
      <w:r w:rsidR="00C652C4">
        <w:rPr>
          <w:rFonts w:ascii="Arial" w:hAnsi="Arial" w:cs="Arial"/>
          <w:sz w:val="20"/>
          <w:szCs w:val="20"/>
        </w:rPr>
        <w:t xml:space="preserve"> </w:t>
      </w:r>
      <w:r w:rsidR="001537FD">
        <w:rPr>
          <w:rFonts w:ascii="Arial" w:hAnsi="Arial" w:cs="Arial"/>
          <w:sz w:val="20"/>
          <w:szCs w:val="20"/>
        </w:rPr>
        <w:t xml:space="preserve">the offices of </w:t>
      </w:r>
      <w:r w:rsidR="00C652C4">
        <w:rPr>
          <w:rFonts w:ascii="Arial" w:hAnsi="Arial" w:cs="Arial"/>
          <w:sz w:val="20"/>
          <w:szCs w:val="20"/>
        </w:rPr>
        <w:t>Linklaters</w:t>
      </w:r>
      <w:r w:rsidR="001537FD">
        <w:rPr>
          <w:rFonts w:ascii="Arial" w:hAnsi="Arial" w:cs="Arial"/>
          <w:sz w:val="20"/>
          <w:szCs w:val="20"/>
        </w:rPr>
        <w:t xml:space="preserve"> LLP</w:t>
      </w:r>
      <w:r w:rsidR="00C652C4">
        <w:rPr>
          <w:rFonts w:ascii="Arial" w:hAnsi="Arial" w:cs="Arial"/>
          <w:sz w:val="20"/>
          <w:szCs w:val="20"/>
        </w:rPr>
        <w:t>, One Silk Street, London, EC2Y 8HQ</w:t>
      </w:r>
      <w:r w:rsidRPr="009571F4">
        <w:rPr>
          <w:rFonts w:ascii="Arial" w:hAnsi="Arial" w:cs="Arial"/>
          <w:sz w:val="20"/>
          <w:szCs w:val="20"/>
        </w:rPr>
        <w:t xml:space="preserve"> on </w:t>
      </w:r>
      <w:r w:rsidR="003C4D70">
        <w:rPr>
          <w:rFonts w:ascii="Arial" w:hAnsi="Arial" w:cs="Arial"/>
          <w:sz w:val="20"/>
          <w:szCs w:val="20"/>
        </w:rPr>
        <w:t>Wednesday 18</w:t>
      </w:r>
      <w:r w:rsidR="00DF2C28">
        <w:rPr>
          <w:rFonts w:ascii="Arial" w:hAnsi="Arial" w:cs="Arial"/>
          <w:sz w:val="20"/>
          <w:szCs w:val="20"/>
        </w:rPr>
        <w:t xml:space="preserve"> </w:t>
      </w:r>
      <w:r w:rsidR="00CE62E3">
        <w:rPr>
          <w:rFonts w:ascii="Arial" w:hAnsi="Arial" w:cs="Arial"/>
          <w:sz w:val="20"/>
          <w:szCs w:val="20"/>
        </w:rPr>
        <w:t xml:space="preserve">October </w:t>
      </w:r>
      <w:r w:rsidRPr="009571F4">
        <w:rPr>
          <w:rFonts w:ascii="Arial" w:hAnsi="Arial" w:cs="Arial"/>
          <w:sz w:val="20"/>
          <w:szCs w:val="20"/>
        </w:rPr>
        <w:t>20</w:t>
      </w:r>
      <w:r w:rsidR="003D0587">
        <w:rPr>
          <w:rFonts w:ascii="Arial" w:hAnsi="Arial" w:cs="Arial"/>
          <w:sz w:val="20"/>
          <w:szCs w:val="20"/>
        </w:rPr>
        <w:t>2</w:t>
      </w:r>
      <w:r w:rsidR="003C4D70">
        <w:rPr>
          <w:rFonts w:ascii="Arial" w:hAnsi="Arial" w:cs="Arial"/>
          <w:sz w:val="20"/>
          <w:szCs w:val="20"/>
        </w:rPr>
        <w:t>3</w:t>
      </w:r>
      <w:r w:rsidRPr="009571F4">
        <w:rPr>
          <w:rFonts w:ascii="Arial" w:hAnsi="Arial" w:cs="Arial"/>
          <w:sz w:val="20"/>
          <w:szCs w:val="20"/>
        </w:rPr>
        <w:t xml:space="preserve"> the following w</w:t>
      </w:r>
      <w:r w:rsidR="00B33DA4" w:rsidRPr="009571F4">
        <w:rPr>
          <w:rFonts w:ascii="Arial" w:hAnsi="Arial" w:cs="Arial"/>
          <w:sz w:val="20"/>
          <w:szCs w:val="20"/>
        </w:rPr>
        <w:t>ere</w:t>
      </w:r>
      <w:r w:rsidRPr="009571F4">
        <w:rPr>
          <w:rFonts w:ascii="Arial" w:hAnsi="Arial" w:cs="Arial"/>
          <w:sz w:val="20"/>
          <w:szCs w:val="20"/>
        </w:rPr>
        <w:t xml:space="preserve"> passed </w:t>
      </w:r>
      <w:r w:rsidR="00760F73">
        <w:rPr>
          <w:rFonts w:ascii="Arial" w:hAnsi="Arial" w:cs="Arial"/>
          <w:sz w:val="20"/>
          <w:szCs w:val="20"/>
        </w:rPr>
        <w:t xml:space="preserve">as </w:t>
      </w:r>
      <w:r w:rsidR="009B315E">
        <w:rPr>
          <w:rFonts w:ascii="Arial" w:hAnsi="Arial" w:cs="Arial"/>
          <w:b/>
          <w:sz w:val="20"/>
          <w:szCs w:val="20"/>
        </w:rPr>
        <w:t xml:space="preserve">ORDINARY </w:t>
      </w:r>
      <w:r w:rsidR="009B315E" w:rsidRPr="009B315E">
        <w:rPr>
          <w:rFonts w:ascii="Arial" w:hAnsi="Arial" w:cs="Arial"/>
          <w:sz w:val="20"/>
          <w:szCs w:val="20"/>
        </w:rPr>
        <w:t>and</w:t>
      </w:r>
      <w:r w:rsidR="009B315E">
        <w:rPr>
          <w:rFonts w:ascii="Arial" w:hAnsi="Arial" w:cs="Arial"/>
          <w:b/>
          <w:sz w:val="20"/>
          <w:szCs w:val="20"/>
        </w:rPr>
        <w:t xml:space="preserve"> </w:t>
      </w:r>
      <w:r w:rsidR="00B33DA4" w:rsidRPr="009571F4">
        <w:rPr>
          <w:rFonts w:ascii="Arial" w:hAnsi="Arial" w:cs="Arial"/>
          <w:b/>
          <w:sz w:val="20"/>
          <w:szCs w:val="20"/>
        </w:rPr>
        <w:t xml:space="preserve">SPECIAL </w:t>
      </w:r>
      <w:r w:rsidRPr="009571F4">
        <w:rPr>
          <w:rFonts w:ascii="Arial" w:hAnsi="Arial" w:cs="Arial"/>
          <w:b/>
          <w:sz w:val="20"/>
          <w:szCs w:val="20"/>
        </w:rPr>
        <w:t>RESOLUTION</w:t>
      </w:r>
      <w:r w:rsidR="00B33DA4" w:rsidRPr="009571F4">
        <w:rPr>
          <w:rFonts w:ascii="Arial" w:hAnsi="Arial" w:cs="Arial"/>
          <w:b/>
          <w:sz w:val="20"/>
          <w:szCs w:val="20"/>
        </w:rPr>
        <w:t>S</w:t>
      </w:r>
      <w:r w:rsidR="009B315E">
        <w:rPr>
          <w:rFonts w:ascii="Arial" w:hAnsi="Arial" w:cs="Arial"/>
          <w:b/>
          <w:sz w:val="20"/>
          <w:szCs w:val="20"/>
        </w:rPr>
        <w:t xml:space="preserve"> </w:t>
      </w:r>
      <w:r w:rsidR="009B315E">
        <w:rPr>
          <w:rFonts w:ascii="Arial" w:hAnsi="Arial" w:cs="Arial"/>
          <w:sz w:val="20"/>
          <w:szCs w:val="20"/>
        </w:rPr>
        <w:t>respectively</w:t>
      </w:r>
      <w:r w:rsidR="00B33DA4" w:rsidRPr="009571F4">
        <w:rPr>
          <w:rFonts w:ascii="Arial" w:hAnsi="Arial" w:cs="Arial"/>
          <w:sz w:val="20"/>
          <w:szCs w:val="20"/>
        </w:rPr>
        <w:t>:</w:t>
      </w:r>
    </w:p>
    <w:p w14:paraId="6DDFC448" w14:textId="77777777" w:rsidR="009B315E" w:rsidRDefault="009B315E" w:rsidP="00657A06">
      <w:pPr>
        <w:jc w:val="both"/>
        <w:rPr>
          <w:rFonts w:ascii="Arial" w:hAnsi="Arial" w:cs="Arial"/>
          <w:sz w:val="20"/>
          <w:szCs w:val="20"/>
        </w:rPr>
      </w:pPr>
    </w:p>
    <w:p w14:paraId="3C79F7C4" w14:textId="77777777" w:rsidR="009B315E" w:rsidRDefault="009B315E" w:rsidP="00657A06">
      <w:pPr>
        <w:jc w:val="both"/>
        <w:rPr>
          <w:rFonts w:ascii="Arial" w:hAnsi="Arial" w:cs="Arial"/>
          <w:b/>
          <w:sz w:val="20"/>
          <w:szCs w:val="20"/>
          <w:u w:val="single"/>
        </w:rPr>
      </w:pPr>
      <w:r w:rsidRPr="007C6B9D">
        <w:rPr>
          <w:rFonts w:ascii="Arial" w:hAnsi="Arial" w:cs="Arial"/>
          <w:b/>
          <w:sz w:val="20"/>
          <w:szCs w:val="20"/>
          <w:u w:val="single"/>
        </w:rPr>
        <w:t>ORDINARY RESOLUTION</w:t>
      </w:r>
    </w:p>
    <w:p w14:paraId="2E22EC8D" w14:textId="77777777" w:rsidR="007B295B" w:rsidRDefault="007B295B" w:rsidP="00657A06">
      <w:pPr>
        <w:jc w:val="both"/>
        <w:rPr>
          <w:rFonts w:ascii="Arial" w:hAnsi="Arial" w:cs="Arial"/>
          <w:b/>
          <w:sz w:val="20"/>
          <w:szCs w:val="20"/>
          <w:u w:val="single"/>
        </w:rPr>
      </w:pPr>
    </w:p>
    <w:p w14:paraId="0CD9A89B" w14:textId="77777777" w:rsidR="007B295B" w:rsidRDefault="007B295B" w:rsidP="007B295B">
      <w:pPr>
        <w:autoSpaceDE w:val="0"/>
        <w:autoSpaceDN w:val="0"/>
        <w:adjustRightInd w:val="0"/>
        <w:jc w:val="both"/>
        <w:rPr>
          <w:rFonts w:ascii="Arial" w:hAnsi="Arial" w:cs="Arial"/>
          <w:b/>
          <w:sz w:val="20"/>
          <w:szCs w:val="20"/>
          <w:u w:val="single"/>
        </w:rPr>
      </w:pPr>
      <w:r w:rsidRPr="007E4873">
        <w:rPr>
          <w:rFonts w:ascii="Arial" w:hAnsi="Arial" w:cs="Arial"/>
          <w:b/>
          <w:sz w:val="20"/>
          <w:szCs w:val="20"/>
          <w:u w:val="single"/>
        </w:rPr>
        <w:t>Resolution 17: To approve the amendments to the Company’s Long Term Performance Plan</w:t>
      </w:r>
    </w:p>
    <w:p w14:paraId="1525EB72" w14:textId="77777777" w:rsidR="007B295B" w:rsidRDefault="007B295B" w:rsidP="00657A06">
      <w:pPr>
        <w:jc w:val="both"/>
        <w:rPr>
          <w:rFonts w:ascii="Arial" w:hAnsi="Arial" w:cs="Arial"/>
          <w:b/>
          <w:sz w:val="20"/>
          <w:szCs w:val="20"/>
          <w:u w:val="single"/>
        </w:rPr>
      </w:pPr>
    </w:p>
    <w:p w14:paraId="665E871C" w14:textId="53723CB3" w:rsidR="008D48EC" w:rsidRPr="008D48EC" w:rsidRDefault="007B295B" w:rsidP="008D48EC">
      <w:pPr>
        <w:pStyle w:val="ListParagraph"/>
        <w:widowControl w:val="0"/>
        <w:numPr>
          <w:ilvl w:val="0"/>
          <w:numId w:val="21"/>
        </w:numPr>
        <w:tabs>
          <w:tab w:val="left" w:pos="621"/>
        </w:tabs>
        <w:kinsoku w:val="0"/>
        <w:overflowPunct w:val="0"/>
        <w:autoSpaceDE w:val="0"/>
        <w:autoSpaceDN w:val="0"/>
        <w:adjustRightInd w:val="0"/>
        <w:spacing w:before="111" w:line="244" w:lineRule="auto"/>
        <w:ind w:right="141"/>
        <w:jc w:val="both"/>
        <w:rPr>
          <w:rFonts w:ascii="Arial" w:eastAsiaTheme="minorEastAsia" w:hAnsi="Arial" w:cs="Arial"/>
          <w:color w:val="231F20"/>
          <w:sz w:val="20"/>
          <w:szCs w:val="20"/>
          <w:lang w:eastAsia="en-GB"/>
        </w:rPr>
      </w:pPr>
      <w:r w:rsidRPr="008D48EC">
        <w:rPr>
          <w:rFonts w:ascii="Arial" w:eastAsiaTheme="minorEastAsia" w:hAnsi="Arial" w:cs="Arial"/>
          <w:color w:val="231F20"/>
          <w:sz w:val="20"/>
          <w:szCs w:val="20"/>
          <w:lang w:eastAsia="en-GB"/>
        </w:rPr>
        <w:t xml:space="preserve">That the </w:t>
      </w:r>
      <w:r w:rsidRPr="008D48EC">
        <w:rPr>
          <w:rFonts w:ascii="Arial" w:eastAsiaTheme="minorEastAsia" w:hAnsi="Arial" w:cs="Arial"/>
          <w:color w:val="231F20"/>
          <w:spacing w:val="3"/>
          <w:sz w:val="20"/>
          <w:szCs w:val="20"/>
          <w:lang w:eastAsia="en-GB"/>
        </w:rPr>
        <w:t xml:space="preserve">Barratt </w:t>
      </w:r>
      <w:r w:rsidRPr="008D48EC">
        <w:rPr>
          <w:rFonts w:ascii="Arial" w:eastAsiaTheme="minorEastAsia" w:hAnsi="Arial" w:cs="Arial"/>
          <w:color w:val="231F20"/>
          <w:sz w:val="20"/>
          <w:szCs w:val="20"/>
          <w:lang w:eastAsia="en-GB"/>
        </w:rPr>
        <w:t xml:space="preserve">Developments PLC Long Term </w:t>
      </w:r>
      <w:r w:rsidRPr="008D48EC">
        <w:rPr>
          <w:rFonts w:ascii="Arial" w:eastAsiaTheme="minorEastAsia" w:hAnsi="Arial" w:cs="Arial"/>
          <w:color w:val="231F20"/>
          <w:spacing w:val="2"/>
          <w:sz w:val="20"/>
          <w:szCs w:val="20"/>
          <w:lang w:eastAsia="en-GB"/>
        </w:rPr>
        <w:t xml:space="preserve">Performance Plan </w:t>
      </w:r>
      <w:r w:rsidRPr="008D48EC">
        <w:rPr>
          <w:rFonts w:ascii="Arial" w:eastAsiaTheme="minorEastAsia" w:hAnsi="Arial" w:cs="Arial"/>
          <w:color w:val="231F20"/>
          <w:spacing w:val="4"/>
          <w:sz w:val="20"/>
          <w:szCs w:val="20"/>
          <w:lang w:eastAsia="en-GB"/>
        </w:rPr>
        <w:t xml:space="preserve">2023 </w:t>
      </w:r>
      <w:r w:rsidRPr="008D48EC">
        <w:rPr>
          <w:rFonts w:ascii="Arial" w:eastAsiaTheme="minorEastAsia" w:hAnsi="Arial" w:cs="Arial"/>
          <w:color w:val="231F20"/>
          <w:sz w:val="20"/>
          <w:szCs w:val="20"/>
          <w:lang w:eastAsia="en-GB"/>
        </w:rPr>
        <w:t xml:space="preserve">(the ‘LTPP’), </w:t>
      </w:r>
      <w:r w:rsidRPr="008D48EC">
        <w:rPr>
          <w:rFonts w:ascii="Arial" w:eastAsiaTheme="minorEastAsia" w:hAnsi="Arial" w:cs="Arial"/>
          <w:color w:val="231F20"/>
          <w:spacing w:val="2"/>
          <w:sz w:val="20"/>
          <w:szCs w:val="20"/>
          <w:lang w:eastAsia="en-GB"/>
        </w:rPr>
        <w:t xml:space="preserve">summarised </w:t>
      </w:r>
      <w:r w:rsidRPr="008D48EC">
        <w:rPr>
          <w:rFonts w:ascii="Arial" w:eastAsiaTheme="minorEastAsia" w:hAnsi="Arial" w:cs="Arial"/>
          <w:color w:val="231F20"/>
          <w:sz w:val="20"/>
          <w:szCs w:val="20"/>
          <w:lang w:eastAsia="en-GB"/>
        </w:rPr>
        <w:t xml:space="preserve">in </w:t>
      </w:r>
      <w:r w:rsidRPr="008D48EC">
        <w:rPr>
          <w:rFonts w:ascii="Arial" w:eastAsiaTheme="minorEastAsia" w:hAnsi="Arial" w:cs="Arial"/>
          <w:color w:val="231F20"/>
          <w:spacing w:val="2"/>
          <w:sz w:val="20"/>
          <w:szCs w:val="20"/>
          <w:lang w:eastAsia="en-GB"/>
        </w:rPr>
        <w:t xml:space="preserve">Appendix </w:t>
      </w:r>
      <w:r w:rsidRPr="008D48EC">
        <w:rPr>
          <w:rFonts w:ascii="Arial" w:eastAsiaTheme="minorEastAsia" w:hAnsi="Arial" w:cs="Arial"/>
          <w:color w:val="231F20"/>
          <w:sz w:val="20"/>
          <w:szCs w:val="20"/>
          <w:lang w:eastAsia="en-GB"/>
        </w:rPr>
        <w:t xml:space="preserve">A to this Notice and the </w:t>
      </w:r>
      <w:r w:rsidRPr="008D48EC">
        <w:rPr>
          <w:rFonts w:ascii="Arial" w:eastAsiaTheme="minorEastAsia" w:hAnsi="Arial" w:cs="Arial"/>
          <w:color w:val="231F20"/>
          <w:spacing w:val="2"/>
          <w:sz w:val="20"/>
          <w:szCs w:val="20"/>
          <w:lang w:eastAsia="en-GB"/>
        </w:rPr>
        <w:t xml:space="preserve">rules </w:t>
      </w:r>
      <w:r w:rsidRPr="008D48EC">
        <w:rPr>
          <w:rFonts w:ascii="Arial" w:eastAsiaTheme="minorEastAsia" w:hAnsi="Arial" w:cs="Arial"/>
          <w:color w:val="231F20"/>
          <w:sz w:val="20"/>
          <w:szCs w:val="20"/>
          <w:lang w:eastAsia="en-GB"/>
        </w:rPr>
        <w:t xml:space="preserve">of which are </w:t>
      </w:r>
      <w:r w:rsidRPr="008D48EC">
        <w:rPr>
          <w:rFonts w:ascii="Arial" w:eastAsiaTheme="minorEastAsia" w:hAnsi="Arial" w:cs="Arial"/>
          <w:color w:val="231F20"/>
          <w:spacing w:val="2"/>
          <w:sz w:val="20"/>
          <w:szCs w:val="20"/>
          <w:lang w:eastAsia="en-GB"/>
        </w:rPr>
        <w:t xml:space="preserve">produced </w:t>
      </w:r>
      <w:r w:rsidRPr="008D48EC">
        <w:rPr>
          <w:rFonts w:ascii="Arial" w:eastAsiaTheme="minorEastAsia" w:hAnsi="Arial" w:cs="Arial"/>
          <w:color w:val="231F20"/>
          <w:sz w:val="20"/>
          <w:szCs w:val="20"/>
          <w:lang w:eastAsia="en-GB"/>
        </w:rPr>
        <w:t xml:space="preserve">to this Annual </w:t>
      </w:r>
      <w:r w:rsidRPr="008D48EC">
        <w:rPr>
          <w:rFonts w:ascii="Arial" w:eastAsiaTheme="minorEastAsia" w:hAnsi="Arial" w:cs="Arial"/>
          <w:color w:val="231F20"/>
          <w:spacing w:val="2"/>
          <w:sz w:val="20"/>
          <w:szCs w:val="20"/>
          <w:lang w:eastAsia="en-GB"/>
        </w:rPr>
        <w:t xml:space="preserve">General </w:t>
      </w:r>
      <w:r w:rsidRPr="008D48EC">
        <w:rPr>
          <w:rFonts w:ascii="Arial" w:eastAsiaTheme="minorEastAsia" w:hAnsi="Arial" w:cs="Arial"/>
          <w:color w:val="231F20"/>
          <w:sz w:val="20"/>
          <w:szCs w:val="20"/>
          <w:lang w:eastAsia="en-GB"/>
        </w:rPr>
        <w:t xml:space="preserve">Meeting and for the </w:t>
      </w:r>
      <w:r w:rsidRPr="008D48EC">
        <w:rPr>
          <w:rFonts w:ascii="Arial" w:eastAsiaTheme="minorEastAsia" w:hAnsi="Arial" w:cs="Arial"/>
          <w:color w:val="231F20"/>
          <w:spacing w:val="2"/>
          <w:sz w:val="20"/>
          <w:szCs w:val="20"/>
          <w:lang w:eastAsia="en-GB"/>
        </w:rPr>
        <w:t xml:space="preserve">purposes </w:t>
      </w:r>
      <w:r w:rsidRPr="008D48EC">
        <w:rPr>
          <w:rFonts w:ascii="Arial" w:eastAsiaTheme="minorEastAsia" w:hAnsi="Arial" w:cs="Arial"/>
          <w:color w:val="231F20"/>
          <w:sz w:val="20"/>
          <w:szCs w:val="20"/>
          <w:lang w:eastAsia="en-GB"/>
        </w:rPr>
        <w:t xml:space="preserve">of identification initialled by the Chair, be </w:t>
      </w:r>
      <w:r w:rsidRPr="008D48EC">
        <w:rPr>
          <w:rFonts w:ascii="Arial" w:eastAsiaTheme="minorEastAsia" w:hAnsi="Arial" w:cs="Arial"/>
          <w:color w:val="231F20"/>
          <w:spacing w:val="2"/>
          <w:sz w:val="20"/>
          <w:szCs w:val="20"/>
          <w:lang w:eastAsia="en-GB"/>
        </w:rPr>
        <w:t>approved</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and</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the</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pacing w:val="2"/>
          <w:sz w:val="20"/>
          <w:szCs w:val="20"/>
          <w:lang w:eastAsia="en-GB"/>
        </w:rPr>
        <w:t>Board</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be</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pacing w:val="2"/>
          <w:sz w:val="20"/>
          <w:szCs w:val="20"/>
          <w:lang w:eastAsia="en-GB"/>
        </w:rPr>
        <w:t>authorised</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to</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do</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all</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z w:val="20"/>
          <w:szCs w:val="20"/>
          <w:lang w:eastAsia="en-GB"/>
        </w:rPr>
        <w:t>such</w:t>
      </w:r>
      <w:r w:rsidRPr="008D48EC">
        <w:rPr>
          <w:rFonts w:ascii="Arial" w:eastAsiaTheme="minorEastAsia" w:hAnsi="Arial" w:cs="Arial"/>
          <w:color w:val="231F20"/>
          <w:spacing w:val="-4"/>
          <w:sz w:val="20"/>
          <w:szCs w:val="20"/>
          <w:lang w:eastAsia="en-GB"/>
        </w:rPr>
        <w:t xml:space="preserve"> </w:t>
      </w:r>
      <w:r w:rsidRPr="008D48EC">
        <w:rPr>
          <w:rFonts w:ascii="Arial" w:eastAsiaTheme="minorEastAsia" w:hAnsi="Arial" w:cs="Arial"/>
          <w:color w:val="231F20"/>
          <w:spacing w:val="3"/>
          <w:sz w:val="20"/>
          <w:szCs w:val="20"/>
          <w:lang w:eastAsia="en-GB"/>
        </w:rPr>
        <w:t xml:space="preserve">acts </w:t>
      </w:r>
      <w:r w:rsidRPr="008D48EC">
        <w:rPr>
          <w:rFonts w:ascii="Arial" w:eastAsiaTheme="minorEastAsia" w:hAnsi="Arial" w:cs="Arial"/>
          <w:color w:val="231F20"/>
          <w:sz w:val="20"/>
          <w:szCs w:val="20"/>
          <w:lang w:eastAsia="en-GB"/>
        </w:rPr>
        <w:t xml:space="preserve">and things </w:t>
      </w:r>
      <w:r w:rsidRPr="008D48EC">
        <w:rPr>
          <w:rFonts w:ascii="Arial" w:eastAsiaTheme="minorEastAsia" w:hAnsi="Arial" w:cs="Arial"/>
          <w:color w:val="231F20"/>
          <w:spacing w:val="3"/>
          <w:sz w:val="20"/>
          <w:szCs w:val="20"/>
          <w:lang w:eastAsia="en-GB"/>
        </w:rPr>
        <w:t xml:space="preserve">necessary </w:t>
      </w:r>
      <w:r w:rsidRPr="008D48EC">
        <w:rPr>
          <w:rFonts w:ascii="Arial" w:eastAsiaTheme="minorEastAsia" w:hAnsi="Arial" w:cs="Arial"/>
          <w:color w:val="231F20"/>
          <w:sz w:val="20"/>
          <w:szCs w:val="20"/>
          <w:lang w:eastAsia="en-GB"/>
        </w:rPr>
        <w:t xml:space="preserve">or </w:t>
      </w:r>
      <w:r w:rsidRPr="008D48EC">
        <w:rPr>
          <w:rFonts w:ascii="Arial" w:eastAsiaTheme="minorEastAsia" w:hAnsi="Arial" w:cs="Arial"/>
          <w:color w:val="231F20"/>
          <w:spacing w:val="2"/>
          <w:sz w:val="20"/>
          <w:szCs w:val="20"/>
          <w:lang w:eastAsia="en-GB"/>
        </w:rPr>
        <w:t xml:space="preserve">desirable </w:t>
      </w:r>
      <w:r w:rsidRPr="008D48EC">
        <w:rPr>
          <w:rFonts w:ascii="Arial" w:eastAsiaTheme="minorEastAsia" w:hAnsi="Arial" w:cs="Arial"/>
          <w:color w:val="231F20"/>
          <w:sz w:val="20"/>
          <w:szCs w:val="20"/>
          <w:lang w:eastAsia="en-GB"/>
        </w:rPr>
        <w:t xml:space="preserve">to </w:t>
      </w:r>
      <w:r w:rsidRPr="008D48EC">
        <w:rPr>
          <w:rFonts w:ascii="Arial" w:eastAsiaTheme="minorEastAsia" w:hAnsi="Arial" w:cs="Arial"/>
          <w:color w:val="231F20"/>
          <w:spacing w:val="2"/>
          <w:sz w:val="20"/>
          <w:szCs w:val="20"/>
          <w:lang w:eastAsia="en-GB"/>
        </w:rPr>
        <w:t xml:space="preserve">establish </w:t>
      </w:r>
      <w:r w:rsidRPr="008D48EC">
        <w:rPr>
          <w:rFonts w:ascii="Arial" w:eastAsiaTheme="minorEastAsia" w:hAnsi="Arial" w:cs="Arial"/>
          <w:color w:val="231F20"/>
          <w:sz w:val="20"/>
          <w:szCs w:val="20"/>
          <w:lang w:eastAsia="en-GB"/>
        </w:rPr>
        <w:t>the LTPP; and</w:t>
      </w:r>
    </w:p>
    <w:p w14:paraId="5319D7C7" w14:textId="50A85F58" w:rsidR="007B295B" w:rsidRPr="008D48EC" w:rsidRDefault="007B295B" w:rsidP="008D48EC">
      <w:pPr>
        <w:pStyle w:val="ListParagraph"/>
        <w:widowControl w:val="0"/>
        <w:numPr>
          <w:ilvl w:val="0"/>
          <w:numId w:val="21"/>
        </w:numPr>
        <w:tabs>
          <w:tab w:val="left" w:pos="621"/>
        </w:tabs>
        <w:kinsoku w:val="0"/>
        <w:overflowPunct w:val="0"/>
        <w:autoSpaceDE w:val="0"/>
        <w:autoSpaceDN w:val="0"/>
        <w:adjustRightInd w:val="0"/>
        <w:spacing w:before="111" w:line="244" w:lineRule="auto"/>
        <w:ind w:right="141"/>
        <w:jc w:val="both"/>
        <w:rPr>
          <w:rFonts w:ascii="Arial" w:eastAsiaTheme="minorEastAsia" w:hAnsi="Arial" w:cs="Arial"/>
          <w:color w:val="231F20"/>
          <w:sz w:val="20"/>
          <w:szCs w:val="20"/>
          <w:lang w:eastAsia="en-GB"/>
        </w:rPr>
      </w:pPr>
      <w:r w:rsidRPr="008D48EC">
        <w:rPr>
          <w:rFonts w:ascii="Arial" w:eastAsiaTheme="minorEastAsia" w:hAnsi="Arial" w:cs="Arial"/>
          <w:color w:val="231F20"/>
          <w:w w:val="105"/>
          <w:sz w:val="20"/>
          <w:szCs w:val="20"/>
          <w:lang w:eastAsia="en-GB"/>
        </w:rPr>
        <w:t xml:space="preserve">That the </w:t>
      </w:r>
      <w:r w:rsidRPr="008D48EC">
        <w:rPr>
          <w:rFonts w:ascii="Arial" w:eastAsiaTheme="minorEastAsia" w:hAnsi="Arial" w:cs="Arial"/>
          <w:color w:val="231F20"/>
          <w:spacing w:val="2"/>
          <w:w w:val="105"/>
          <w:sz w:val="20"/>
          <w:szCs w:val="20"/>
          <w:lang w:eastAsia="en-GB"/>
        </w:rPr>
        <w:t xml:space="preserve">Board </w:t>
      </w:r>
      <w:r w:rsidRPr="008D48EC">
        <w:rPr>
          <w:rFonts w:ascii="Arial" w:eastAsiaTheme="minorEastAsia" w:hAnsi="Arial" w:cs="Arial"/>
          <w:color w:val="231F20"/>
          <w:w w:val="105"/>
          <w:sz w:val="20"/>
          <w:szCs w:val="20"/>
          <w:lang w:eastAsia="en-GB"/>
        </w:rPr>
        <w:t xml:space="preserve">be </w:t>
      </w:r>
      <w:r w:rsidRPr="008D48EC">
        <w:rPr>
          <w:rFonts w:ascii="Arial" w:eastAsiaTheme="minorEastAsia" w:hAnsi="Arial" w:cs="Arial"/>
          <w:color w:val="231F20"/>
          <w:spacing w:val="2"/>
          <w:w w:val="105"/>
          <w:sz w:val="20"/>
          <w:szCs w:val="20"/>
          <w:lang w:eastAsia="en-GB"/>
        </w:rPr>
        <w:t xml:space="preserve">authorised </w:t>
      </w:r>
      <w:r w:rsidRPr="008D48EC">
        <w:rPr>
          <w:rFonts w:ascii="Arial" w:eastAsiaTheme="minorEastAsia" w:hAnsi="Arial" w:cs="Arial"/>
          <w:color w:val="231F20"/>
          <w:w w:val="105"/>
          <w:sz w:val="20"/>
          <w:szCs w:val="20"/>
          <w:lang w:eastAsia="en-GB"/>
        </w:rPr>
        <w:t xml:space="preserve">to adopt </w:t>
      </w:r>
      <w:r w:rsidRPr="008D48EC">
        <w:rPr>
          <w:rFonts w:ascii="Arial" w:eastAsiaTheme="minorEastAsia" w:hAnsi="Arial" w:cs="Arial"/>
          <w:color w:val="231F20"/>
          <w:spacing w:val="2"/>
          <w:w w:val="105"/>
          <w:sz w:val="20"/>
          <w:szCs w:val="20"/>
          <w:lang w:eastAsia="en-GB"/>
        </w:rPr>
        <w:t xml:space="preserve">further </w:t>
      </w:r>
      <w:r w:rsidRPr="008D48EC">
        <w:rPr>
          <w:rFonts w:ascii="Arial" w:eastAsiaTheme="minorEastAsia" w:hAnsi="Arial" w:cs="Arial"/>
          <w:color w:val="231F20"/>
          <w:w w:val="105"/>
          <w:sz w:val="20"/>
          <w:szCs w:val="20"/>
          <w:lang w:eastAsia="en-GB"/>
        </w:rPr>
        <w:t xml:space="preserve">plans </w:t>
      </w:r>
      <w:r w:rsidRPr="008D48EC">
        <w:rPr>
          <w:rFonts w:ascii="Arial" w:eastAsiaTheme="minorEastAsia" w:hAnsi="Arial" w:cs="Arial"/>
          <w:color w:val="231F20"/>
          <w:spacing w:val="2"/>
          <w:w w:val="105"/>
          <w:sz w:val="20"/>
          <w:szCs w:val="20"/>
          <w:lang w:eastAsia="en-GB"/>
        </w:rPr>
        <w:t>based</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on</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the</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LTPP</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but</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spacing w:val="2"/>
          <w:w w:val="105"/>
          <w:sz w:val="20"/>
          <w:szCs w:val="20"/>
          <w:lang w:eastAsia="en-GB"/>
        </w:rPr>
        <w:t>modified</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to</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take</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account</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of</w:t>
      </w:r>
      <w:r w:rsidRPr="008D48EC">
        <w:rPr>
          <w:rFonts w:ascii="Arial" w:eastAsiaTheme="minorEastAsia" w:hAnsi="Arial" w:cs="Arial"/>
          <w:color w:val="231F20"/>
          <w:spacing w:val="-23"/>
          <w:w w:val="105"/>
          <w:sz w:val="20"/>
          <w:szCs w:val="20"/>
          <w:lang w:eastAsia="en-GB"/>
        </w:rPr>
        <w:t xml:space="preserve"> </w:t>
      </w:r>
      <w:r w:rsidRPr="008D48EC">
        <w:rPr>
          <w:rFonts w:ascii="Arial" w:eastAsiaTheme="minorEastAsia" w:hAnsi="Arial" w:cs="Arial"/>
          <w:color w:val="231F20"/>
          <w:w w:val="105"/>
          <w:sz w:val="20"/>
          <w:szCs w:val="20"/>
          <w:lang w:eastAsia="en-GB"/>
        </w:rPr>
        <w:t xml:space="preserve">local </w:t>
      </w:r>
      <w:r w:rsidRPr="008D48EC">
        <w:rPr>
          <w:rFonts w:ascii="Arial" w:eastAsiaTheme="minorEastAsia" w:hAnsi="Arial" w:cs="Arial"/>
          <w:color w:val="231F20"/>
          <w:spacing w:val="2"/>
          <w:w w:val="105"/>
          <w:sz w:val="20"/>
          <w:szCs w:val="20"/>
          <w:lang w:eastAsia="en-GB"/>
        </w:rPr>
        <w:t xml:space="preserve">tax, </w:t>
      </w:r>
      <w:r w:rsidRPr="008D48EC">
        <w:rPr>
          <w:rFonts w:ascii="Arial" w:eastAsiaTheme="minorEastAsia" w:hAnsi="Arial" w:cs="Arial"/>
          <w:color w:val="231F20"/>
          <w:w w:val="105"/>
          <w:sz w:val="20"/>
          <w:szCs w:val="20"/>
          <w:lang w:eastAsia="en-GB"/>
        </w:rPr>
        <w:t xml:space="preserve">exchange control or </w:t>
      </w:r>
      <w:r w:rsidRPr="008D48EC">
        <w:rPr>
          <w:rFonts w:ascii="Arial" w:eastAsiaTheme="minorEastAsia" w:hAnsi="Arial" w:cs="Arial"/>
          <w:color w:val="231F20"/>
          <w:spacing w:val="2"/>
          <w:w w:val="105"/>
          <w:sz w:val="20"/>
          <w:szCs w:val="20"/>
          <w:lang w:eastAsia="en-GB"/>
        </w:rPr>
        <w:t xml:space="preserve">securities </w:t>
      </w:r>
      <w:r w:rsidRPr="008D48EC">
        <w:rPr>
          <w:rFonts w:ascii="Arial" w:eastAsiaTheme="minorEastAsia" w:hAnsi="Arial" w:cs="Arial"/>
          <w:color w:val="231F20"/>
          <w:spacing w:val="3"/>
          <w:w w:val="105"/>
          <w:sz w:val="20"/>
          <w:szCs w:val="20"/>
          <w:lang w:eastAsia="en-GB"/>
        </w:rPr>
        <w:t xml:space="preserve">laws </w:t>
      </w:r>
      <w:r w:rsidRPr="008D48EC">
        <w:rPr>
          <w:rFonts w:ascii="Arial" w:eastAsiaTheme="minorEastAsia" w:hAnsi="Arial" w:cs="Arial"/>
          <w:color w:val="231F20"/>
          <w:w w:val="105"/>
          <w:sz w:val="20"/>
          <w:szCs w:val="20"/>
          <w:lang w:eastAsia="en-GB"/>
        </w:rPr>
        <w:t xml:space="preserve">in </w:t>
      </w:r>
      <w:r w:rsidRPr="008D48EC">
        <w:rPr>
          <w:rFonts w:ascii="Arial" w:eastAsiaTheme="minorEastAsia" w:hAnsi="Arial" w:cs="Arial"/>
          <w:color w:val="231F20"/>
          <w:spacing w:val="2"/>
          <w:w w:val="105"/>
          <w:sz w:val="20"/>
          <w:szCs w:val="20"/>
          <w:lang w:eastAsia="en-GB"/>
        </w:rPr>
        <w:t xml:space="preserve">overseas territories, provided </w:t>
      </w:r>
      <w:r w:rsidRPr="008D48EC">
        <w:rPr>
          <w:rFonts w:ascii="Arial" w:eastAsiaTheme="minorEastAsia" w:hAnsi="Arial" w:cs="Arial"/>
          <w:color w:val="231F20"/>
          <w:w w:val="105"/>
          <w:sz w:val="20"/>
          <w:szCs w:val="20"/>
          <w:lang w:eastAsia="en-GB"/>
        </w:rPr>
        <w:t xml:space="preserve">that any cash or </w:t>
      </w:r>
      <w:r w:rsidRPr="008D48EC">
        <w:rPr>
          <w:rFonts w:ascii="Arial" w:eastAsiaTheme="minorEastAsia" w:hAnsi="Arial" w:cs="Arial"/>
          <w:color w:val="231F20"/>
          <w:spacing w:val="2"/>
          <w:w w:val="105"/>
          <w:sz w:val="20"/>
          <w:szCs w:val="20"/>
          <w:lang w:eastAsia="en-GB"/>
        </w:rPr>
        <w:t xml:space="preserve">shares </w:t>
      </w:r>
      <w:r w:rsidRPr="008D48EC">
        <w:rPr>
          <w:rFonts w:ascii="Arial" w:eastAsiaTheme="minorEastAsia" w:hAnsi="Arial" w:cs="Arial"/>
          <w:color w:val="231F20"/>
          <w:w w:val="105"/>
          <w:sz w:val="20"/>
          <w:szCs w:val="20"/>
          <w:lang w:eastAsia="en-GB"/>
        </w:rPr>
        <w:t xml:space="preserve">made available under such </w:t>
      </w:r>
      <w:r w:rsidRPr="008D48EC">
        <w:rPr>
          <w:rFonts w:ascii="Arial" w:eastAsiaTheme="minorEastAsia" w:hAnsi="Arial" w:cs="Arial"/>
          <w:color w:val="231F20"/>
          <w:spacing w:val="2"/>
          <w:w w:val="105"/>
          <w:sz w:val="20"/>
          <w:szCs w:val="20"/>
          <w:lang w:eastAsia="en-GB"/>
        </w:rPr>
        <w:t xml:space="preserve">further </w:t>
      </w:r>
      <w:r w:rsidRPr="008D48EC">
        <w:rPr>
          <w:rFonts w:ascii="Arial" w:eastAsiaTheme="minorEastAsia" w:hAnsi="Arial" w:cs="Arial"/>
          <w:color w:val="231F20"/>
          <w:w w:val="105"/>
          <w:sz w:val="20"/>
          <w:szCs w:val="20"/>
          <w:lang w:eastAsia="en-GB"/>
        </w:rPr>
        <w:t xml:space="preserve">plans are treated as counting against any limits on individual or </w:t>
      </w:r>
      <w:r w:rsidRPr="008D48EC">
        <w:rPr>
          <w:rFonts w:ascii="Arial" w:eastAsiaTheme="minorEastAsia" w:hAnsi="Arial" w:cs="Arial"/>
          <w:color w:val="231F20"/>
          <w:spacing w:val="2"/>
          <w:w w:val="105"/>
          <w:sz w:val="20"/>
          <w:szCs w:val="20"/>
          <w:lang w:eastAsia="en-GB"/>
        </w:rPr>
        <w:t>overall participation</w:t>
      </w:r>
      <w:r w:rsidRPr="008D48EC">
        <w:rPr>
          <w:rFonts w:ascii="Arial" w:eastAsiaTheme="minorEastAsia" w:hAnsi="Arial" w:cs="Arial"/>
          <w:color w:val="231F20"/>
          <w:spacing w:val="-33"/>
          <w:w w:val="105"/>
          <w:sz w:val="20"/>
          <w:szCs w:val="20"/>
          <w:lang w:eastAsia="en-GB"/>
        </w:rPr>
        <w:t xml:space="preserve"> </w:t>
      </w:r>
      <w:r w:rsidRPr="008D48EC">
        <w:rPr>
          <w:rFonts w:ascii="Arial" w:eastAsiaTheme="minorEastAsia" w:hAnsi="Arial" w:cs="Arial"/>
          <w:color w:val="231F20"/>
          <w:w w:val="105"/>
          <w:sz w:val="20"/>
          <w:szCs w:val="20"/>
          <w:lang w:eastAsia="en-GB"/>
        </w:rPr>
        <w:t>in</w:t>
      </w:r>
      <w:r w:rsidRPr="008D48EC">
        <w:rPr>
          <w:rFonts w:ascii="Arial" w:eastAsiaTheme="minorEastAsia" w:hAnsi="Arial" w:cs="Arial"/>
          <w:color w:val="231F20"/>
          <w:spacing w:val="-33"/>
          <w:w w:val="105"/>
          <w:sz w:val="20"/>
          <w:szCs w:val="20"/>
          <w:lang w:eastAsia="en-GB"/>
        </w:rPr>
        <w:t xml:space="preserve"> </w:t>
      </w:r>
      <w:r w:rsidRPr="008D48EC">
        <w:rPr>
          <w:rFonts w:ascii="Arial" w:eastAsiaTheme="minorEastAsia" w:hAnsi="Arial" w:cs="Arial"/>
          <w:color w:val="231F20"/>
          <w:w w:val="105"/>
          <w:sz w:val="20"/>
          <w:szCs w:val="20"/>
          <w:lang w:eastAsia="en-GB"/>
        </w:rPr>
        <w:t>the</w:t>
      </w:r>
      <w:r w:rsidRPr="008D48EC">
        <w:rPr>
          <w:rFonts w:ascii="Arial" w:eastAsiaTheme="minorEastAsia" w:hAnsi="Arial" w:cs="Arial"/>
          <w:color w:val="231F20"/>
          <w:spacing w:val="-33"/>
          <w:w w:val="105"/>
          <w:sz w:val="20"/>
          <w:szCs w:val="20"/>
          <w:lang w:eastAsia="en-GB"/>
        </w:rPr>
        <w:t xml:space="preserve"> </w:t>
      </w:r>
      <w:r w:rsidRPr="008D48EC">
        <w:rPr>
          <w:rFonts w:ascii="Arial" w:eastAsiaTheme="minorEastAsia" w:hAnsi="Arial" w:cs="Arial"/>
          <w:color w:val="231F20"/>
          <w:spacing w:val="-3"/>
          <w:w w:val="105"/>
          <w:sz w:val="20"/>
          <w:szCs w:val="20"/>
          <w:lang w:eastAsia="en-GB"/>
        </w:rPr>
        <w:t>LTPP.</w:t>
      </w:r>
    </w:p>
    <w:p w14:paraId="2177D49F" w14:textId="77777777" w:rsidR="007B295B" w:rsidRDefault="007B295B" w:rsidP="008D48EC">
      <w:pPr>
        <w:ind w:left="993" w:hanging="372"/>
        <w:jc w:val="both"/>
        <w:rPr>
          <w:rFonts w:ascii="Arial" w:hAnsi="Arial" w:cs="Arial"/>
          <w:b/>
          <w:sz w:val="20"/>
          <w:szCs w:val="20"/>
          <w:u w:val="single"/>
        </w:rPr>
      </w:pPr>
    </w:p>
    <w:p w14:paraId="0D249DC0" w14:textId="77777777" w:rsidR="007B295B" w:rsidRDefault="007B295B" w:rsidP="008D48EC">
      <w:pPr>
        <w:ind w:left="993" w:hanging="372"/>
        <w:jc w:val="both"/>
        <w:rPr>
          <w:rFonts w:ascii="Arial" w:hAnsi="Arial" w:cs="Arial"/>
          <w:b/>
          <w:sz w:val="20"/>
          <w:szCs w:val="20"/>
          <w:u w:val="single"/>
        </w:rPr>
      </w:pPr>
      <w:r w:rsidRPr="007E4873">
        <w:rPr>
          <w:rFonts w:ascii="Arial" w:hAnsi="Arial" w:cs="Arial"/>
          <w:b/>
          <w:sz w:val="20"/>
          <w:szCs w:val="20"/>
          <w:u w:val="single"/>
        </w:rPr>
        <w:t>Resolution 18: To approve the amendments to th</w:t>
      </w:r>
      <w:r>
        <w:rPr>
          <w:rFonts w:ascii="Arial" w:hAnsi="Arial" w:cs="Arial"/>
          <w:b/>
          <w:sz w:val="20"/>
          <w:szCs w:val="20"/>
          <w:u w:val="single"/>
        </w:rPr>
        <w:t>e Company’s Deferred Bonus Plan</w:t>
      </w:r>
    </w:p>
    <w:p w14:paraId="25721205" w14:textId="242A1160" w:rsidR="008D48EC" w:rsidRPr="008D48EC" w:rsidRDefault="007B295B" w:rsidP="008D48EC">
      <w:pPr>
        <w:pStyle w:val="ListParagraph"/>
        <w:widowControl w:val="0"/>
        <w:numPr>
          <w:ilvl w:val="0"/>
          <w:numId w:val="22"/>
        </w:numPr>
        <w:tabs>
          <w:tab w:val="left" w:pos="441"/>
        </w:tabs>
        <w:kinsoku w:val="0"/>
        <w:overflowPunct w:val="0"/>
        <w:autoSpaceDE w:val="0"/>
        <w:autoSpaceDN w:val="0"/>
        <w:adjustRightInd w:val="0"/>
        <w:spacing w:before="111" w:line="244" w:lineRule="auto"/>
        <w:ind w:right="175"/>
        <w:jc w:val="both"/>
        <w:rPr>
          <w:rFonts w:ascii="Arial" w:eastAsiaTheme="minorEastAsia" w:hAnsi="Arial" w:cs="Arial"/>
          <w:color w:val="231F20"/>
          <w:sz w:val="20"/>
          <w:szCs w:val="20"/>
          <w:lang w:eastAsia="en-GB"/>
        </w:rPr>
      </w:pPr>
      <w:bookmarkStart w:id="0" w:name="_GoBack"/>
      <w:bookmarkEnd w:id="0"/>
      <w:r w:rsidRPr="008D48EC">
        <w:rPr>
          <w:rFonts w:ascii="Arial" w:eastAsiaTheme="minorEastAsia" w:hAnsi="Arial" w:cs="Arial"/>
          <w:color w:val="231F20"/>
          <w:sz w:val="20"/>
          <w:szCs w:val="20"/>
          <w:lang w:eastAsia="en-GB"/>
        </w:rPr>
        <w:t xml:space="preserve">That the </w:t>
      </w:r>
      <w:r w:rsidRPr="008D48EC">
        <w:rPr>
          <w:rFonts w:ascii="Arial" w:eastAsiaTheme="minorEastAsia" w:hAnsi="Arial" w:cs="Arial"/>
          <w:color w:val="231F20"/>
          <w:spacing w:val="3"/>
          <w:sz w:val="20"/>
          <w:szCs w:val="20"/>
          <w:lang w:eastAsia="en-GB"/>
        </w:rPr>
        <w:t xml:space="preserve">Barratt </w:t>
      </w:r>
      <w:r w:rsidRPr="008D48EC">
        <w:rPr>
          <w:rFonts w:ascii="Arial" w:eastAsiaTheme="minorEastAsia" w:hAnsi="Arial" w:cs="Arial"/>
          <w:color w:val="231F20"/>
          <w:sz w:val="20"/>
          <w:szCs w:val="20"/>
          <w:lang w:eastAsia="en-GB"/>
        </w:rPr>
        <w:t xml:space="preserve">Developments PLC </w:t>
      </w:r>
      <w:r w:rsidRPr="008D48EC">
        <w:rPr>
          <w:rFonts w:ascii="Arial" w:eastAsiaTheme="minorEastAsia" w:hAnsi="Arial" w:cs="Arial"/>
          <w:color w:val="231F20"/>
          <w:spacing w:val="2"/>
          <w:sz w:val="20"/>
          <w:szCs w:val="20"/>
          <w:lang w:eastAsia="en-GB"/>
        </w:rPr>
        <w:t xml:space="preserve">Deferred </w:t>
      </w:r>
      <w:r w:rsidRPr="008D48EC">
        <w:rPr>
          <w:rFonts w:ascii="Arial" w:eastAsiaTheme="minorEastAsia" w:hAnsi="Arial" w:cs="Arial"/>
          <w:color w:val="231F20"/>
          <w:sz w:val="20"/>
          <w:szCs w:val="20"/>
          <w:lang w:eastAsia="en-GB"/>
        </w:rPr>
        <w:t xml:space="preserve">Bonus </w:t>
      </w:r>
      <w:r w:rsidRPr="008D48EC">
        <w:rPr>
          <w:rFonts w:ascii="Arial" w:eastAsiaTheme="minorEastAsia" w:hAnsi="Arial" w:cs="Arial"/>
          <w:color w:val="231F20"/>
          <w:spacing w:val="2"/>
          <w:sz w:val="20"/>
          <w:szCs w:val="20"/>
          <w:lang w:eastAsia="en-GB"/>
        </w:rPr>
        <w:t>Plan</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pacing w:val="4"/>
          <w:sz w:val="20"/>
          <w:szCs w:val="20"/>
          <w:lang w:eastAsia="en-GB"/>
        </w:rPr>
        <w:t>2023</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z w:val="20"/>
          <w:szCs w:val="20"/>
          <w:lang w:eastAsia="en-GB"/>
        </w:rPr>
        <w:t>(the</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z w:val="20"/>
          <w:szCs w:val="20"/>
          <w:lang w:eastAsia="en-GB"/>
        </w:rPr>
        <w:t>‘DBP’),</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pacing w:val="2"/>
          <w:sz w:val="20"/>
          <w:szCs w:val="20"/>
          <w:lang w:eastAsia="en-GB"/>
        </w:rPr>
        <w:t>summarised</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z w:val="20"/>
          <w:szCs w:val="20"/>
          <w:lang w:eastAsia="en-GB"/>
        </w:rPr>
        <w:t>in</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pacing w:val="2"/>
          <w:sz w:val="20"/>
          <w:szCs w:val="20"/>
          <w:lang w:eastAsia="en-GB"/>
        </w:rPr>
        <w:t>Appendix</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z w:val="20"/>
          <w:szCs w:val="20"/>
          <w:lang w:eastAsia="en-GB"/>
        </w:rPr>
        <w:t>A</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z w:val="20"/>
          <w:szCs w:val="20"/>
          <w:lang w:eastAsia="en-GB"/>
        </w:rPr>
        <w:t>to</w:t>
      </w:r>
      <w:r w:rsidRPr="008D48EC">
        <w:rPr>
          <w:rFonts w:ascii="Arial" w:eastAsiaTheme="minorEastAsia" w:hAnsi="Arial" w:cs="Arial"/>
          <w:color w:val="231F20"/>
          <w:spacing w:val="-7"/>
          <w:sz w:val="20"/>
          <w:szCs w:val="20"/>
          <w:lang w:eastAsia="en-GB"/>
        </w:rPr>
        <w:t xml:space="preserve"> </w:t>
      </w:r>
      <w:r w:rsidRPr="008D48EC">
        <w:rPr>
          <w:rFonts w:ascii="Arial" w:eastAsiaTheme="minorEastAsia" w:hAnsi="Arial" w:cs="Arial"/>
          <w:color w:val="231F20"/>
          <w:sz w:val="20"/>
          <w:szCs w:val="20"/>
          <w:lang w:eastAsia="en-GB"/>
        </w:rPr>
        <w:t xml:space="preserve">this Notice and the </w:t>
      </w:r>
      <w:r w:rsidRPr="008D48EC">
        <w:rPr>
          <w:rFonts w:ascii="Arial" w:eastAsiaTheme="minorEastAsia" w:hAnsi="Arial" w:cs="Arial"/>
          <w:color w:val="231F20"/>
          <w:spacing w:val="2"/>
          <w:sz w:val="20"/>
          <w:szCs w:val="20"/>
          <w:lang w:eastAsia="en-GB"/>
        </w:rPr>
        <w:t xml:space="preserve">rules </w:t>
      </w:r>
      <w:r w:rsidRPr="008D48EC">
        <w:rPr>
          <w:rFonts w:ascii="Arial" w:eastAsiaTheme="minorEastAsia" w:hAnsi="Arial" w:cs="Arial"/>
          <w:color w:val="231F20"/>
          <w:sz w:val="20"/>
          <w:szCs w:val="20"/>
          <w:lang w:eastAsia="en-GB"/>
        </w:rPr>
        <w:t xml:space="preserve">of which are </w:t>
      </w:r>
      <w:r w:rsidRPr="008D48EC">
        <w:rPr>
          <w:rFonts w:ascii="Arial" w:eastAsiaTheme="minorEastAsia" w:hAnsi="Arial" w:cs="Arial"/>
          <w:color w:val="231F20"/>
          <w:spacing w:val="2"/>
          <w:sz w:val="20"/>
          <w:szCs w:val="20"/>
          <w:lang w:eastAsia="en-GB"/>
        </w:rPr>
        <w:t xml:space="preserve">produced </w:t>
      </w:r>
      <w:r w:rsidRPr="008D48EC">
        <w:rPr>
          <w:rFonts w:ascii="Arial" w:eastAsiaTheme="minorEastAsia" w:hAnsi="Arial" w:cs="Arial"/>
          <w:color w:val="231F20"/>
          <w:sz w:val="20"/>
          <w:szCs w:val="20"/>
          <w:lang w:eastAsia="en-GB"/>
        </w:rPr>
        <w:t xml:space="preserve">to this Annual </w:t>
      </w:r>
      <w:r w:rsidRPr="008D48EC">
        <w:rPr>
          <w:rFonts w:ascii="Arial" w:eastAsiaTheme="minorEastAsia" w:hAnsi="Arial" w:cs="Arial"/>
          <w:color w:val="231F20"/>
          <w:spacing w:val="2"/>
          <w:sz w:val="20"/>
          <w:szCs w:val="20"/>
          <w:lang w:eastAsia="en-GB"/>
        </w:rPr>
        <w:t xml:space="preserve">General </w:t>
      </w:r>
      <w:r w:rsidRPr="008D48EC">
        <w:rPr>
          <w:rFonts w:ascii="Arial" w:eastAsiaTheme="minorEastAsia" w:hAnsi="Arial" w:cs="Arial"/>
          <w:color w:val="231F20"/>
          <w:sz w:val="20"/>
          <w:szCs w:val="20"/>
          <w:lang w:eastAsia="en-GB"/>
        </w:rPr>
        <w:t xml:space="preserve">Meeting and for the </w:t>
      </w:r>
      <w:r w:rsidRPr="008D48EC">
        <w:rPr>
          <w:rFonts w:ascii="Arial" w:eastAsiaTheme="minorEastAsia" w:hAnsi="Arial" w:cs="Arial"/>
          <w:color w:val="231F20"/>
          <w:spacing w:val="2"/>
          <w:sz w:val="20"/>
          <w:szCs w:val="20"/>
          <w:lang w:eastAsia="en-GB"/>
        </w:rPr>
        <w:t xml:space="preserve">purposes </w:t>
      </w:r>
      <w:r w:rsidRPr="008D48EC">
        <w:rPr>
          <w:rFonts w:ascii="Arial" w:eastAsiaTheme="minorEastAsia" w:hAnsi="Arial" w:cs="Arial"/>
          <w:color w:val="231F20"/>
          <w:sz w:val="20"/>
          <w:szCs w:val="20"/>
          <w:lang w:eastAsia="en-GB"/>
        </w:rPr>
        <w:t xml:space="preserve">of identification initialled by the Chair, be </w:t>
      </w:r>
      <w:r w:rsidRPr="008D48EC">
        <w:rPr>
          <w:rFonts w:ascii="Arial" w:eastAsiaTheme="minorEastAsia" w:hAnsi="Arial" w:cs="Arial"/>
          <w:color w:val="231F20"/>
          <w:spacing w:val="2"/>
          <w:sz w:val="20"/>
          <w:szCs w:val="20"/>
          <w:lang w:eastAsia="en-GB"/>
        </w:rPr>
        <w:t xml:space="preserve">approved </w:t>
      </w:r>
      <w:r w:rsidRPr="008D48EC">
        <w:rPr>
          <w:rFonts w:ascii="Arial" w:eastAsiaTheme="minorEastAsia" w:hAnsi="Arial" w:cs="Arial"/>
          <w:color w:val="231F20"/>
          <w:sz w:val="20"/>
          <w:szCs w:val="20"/>
          <w:lang w:eastAsia="en-GB"/>
        </w:rPr>
        <w:t xml:space="preserve">and the </w:t>
      </w:r>
      <w:r w:rsidRPr="008D48EC">
        <w:rPr>
          <w:rFonts w:ascii="Arial" w:eastAsiaTheme="minorEastAsia" w:hAnsi="Arial" w:cs="Arial"/>
          <w:color w:val="231F20"/>
          <w:spacing w:val="2"/>
          <w:sz w:val="20"/>
          <w:szCs w:val="20"/>
          <w:lang w:eastAsia="en-GB"/>
        </w:rPr>
        <w:t xml:space="preserve">Board </w:t>
      </w:r>
      <w:r w:rsidRPr="008D48EC">
        <w:rPr>
          <w:rFonts w:ascii="Arial" w:eastAsiaTheme="minorEastAsia" w:hAnsi="Arial" w:cs="Arial"/>
          <w:color w:val="231F20"/>
          <w:sz w:val="20"/>
          <w:szCs w:val="20"/>
          <w:lang w:eastAsia="en-GB"/>
        </w:rPr>
        <w:t xml:space="preserve">be </w:t>
      </w:r>
      <w:r w:rsidRPr="008D48EC">
        <w:rPr>
          <w:rFonts w:ascii="Arial" w:eastAsiaTheme="minorEastAsia" w:hAnsi="Arial" w:cs="Arial"/>
          <w:color w:val="231F20"/>
          <w:spacing w:val="2"/>
          <w:sz w:val="20"/>
          <w:szCs w:val="20"/>
          <w:lang w:eastAsia="en-GB"/>
        </w:rPr>
        <w:t xml:space="preserve">authorised </w:t>
      </w:r>
      <w:r w:rsidRPr="008D48EC">
        <w:rPr>
          <w:rFonts w:ascii="Arial" w:eastAsiaTheme="minorEastAsia" w:hAnsi="Arial" w:cs="Arial"/>
          <w:color w:val="231F20"/>
          <w:sz w:val="20"/>
          <w:szCs w:val="20"/>
          <w:lang w:eastAsia="en-GB"/>
        </w:rPr>
        <w:t xml:space="preserve">to do all such </w:t>
      </w:r>
      <w:r w:rsidRPr="008D48EC">
        <w:rPr>
          <w:rFonts w:ascii="Arial" w:eastAsiaTheme="minorEastAsia" w:hAnsi="Arial" w:cs="Arial"/>
          <w:color w:val="231F20"/>
          <w:spacing w:val="3"/>
          <w:sz w:val="20"/>
          <w:szCs w:val="20"/>
          <w:lang w:eastAsia="en-GB"/>
        </w:rPr>
        <w:t xml:space="preserve">acts </w:t>
      </w:r>
      <w:r w:rsidRPr="008D48EC">
        <w:rPr>
          <w:rFonts w:ascii="Arial" w:eastAsiaTheme="minorEastAsia" w:hAnsi="Arial" w:cs="Arial"/>
          <w:color w:val="231F20"/>
          <w:sz w:val="20"/>
          <w:szCs w:val="20"/>
          <w:lang w:eastAsia="en-GB"/>
        </w:rPr>
        <w:t xml:space="preserve">and things </w:t>
      </w:r>
      <w:r w:rsidRPr="008D48EC">
        <w:rPr>
          <w:rFonts w:ascii="Arial" w:eastAsiaTheme="minorEastAsia" w:hAnsi="Arial" w:cs="Arial"/>
          <w:color w:val="231F20"/>
          <w:spacing w:val="3"/>
          <w:sz w:val="20"/>
          <w:szCs w:val="20"/>
          <w:lang w:eastAsia="en-GB"/>
        </w:rPr>
        <w:t xml:space="preserve">necessary </w:t>
      </w:r>
      <w:r w:rsidRPr="008D48EC">
        <w:rPr>
          <w:rFonts w:ascii="Arial" w:eastAsiaTheme="minorEastAsia" w:hAnsi="Arial" w:cs="Arial"/>
          <w:color w:val="231F20"/>
          <w:sz w:val="20"/>
          <w:szCs w:val="20"/>
          <w:lang w:eastAsia="en-GB"/>
        </w:rPr>
        <w:t xml:space="preserve">or </w:t>
      </w:r>
      <w:r w:rsidRPr="008D48EC">
        <w:rPr>
          <w:rFonts w:ascii="Arial" w:eastAsiaTheme="minorEastAsia" w:hAnsi="Arial" w:cs="Arial"/>
          <w:color w:val="231F20"/>
          <w:spacing w:val="2"/>
          <w:sz w:val="20"/>
          <w:szCs w:val="20"/>
          <w:lang w:eastAsia="en-GB"/>
        </w:rPr>
        <w:t xml:space="preserve">desirable </w:t>
      </w:r>
      <w:r w:rsidRPr="008D48EC">
        <w:rPr>
          <w:rFonts w:ascii="Arial" w:eastAsiaTheme="minorEastAsia" w:hAnsi="Arial" w:cs="Arial"/>
          <w:color w:val="231F20"/>
          <w:sz w:val="20"/>
          <w:szCs w:val="20"/>
          <w:lang w:eastAsia="en-GB"/>
        </w:rPr>
        <w:t xml:space="preserve">to </w:t>
      </w:r>
      <w:r w:rsidRPr="008D48EC">
        <w:rPr>
          <w:rFonts w:ascii="Arial" w:eastAsiaTheme="minorEastAsia" w:hAnsi="Arial" w:cs="Arial"/>
          <w:color w:val="231F20"/>
          <w:spacing w:val="2"/>
          <w:sz w:val="20"/>
          <w:szCs w:val="20"/>
          <w:lang w:eastAsia="en-GB"/>
        </w:rPr>
        <w:t xml:space="preserve">establish </w:t>
      </w:r>
      <w:r w:rsidRPr="008D48EC">
        <w:rPr>
          <w:rFonts w:ascii="Arial" w:eastAsiaTheme="minorEastAsia" w:hAnsi="Arial" w:cs="Arial"/>
          <w:color w:val="231F20"/>
          <w:sz w:val="20"/>
          <w:szCs w:val="20"/>
          <w:lang w:eastAsia="en-GB"/>
        </w:rPr>
        <w:t>the DBP;</w:t>
      </w:r>
      <w:r w:rsidRPr="008D48EC">
        <w:rPr>
          <w:rFonts w:ascii="Arial" w:eastAsiaTheme="minorEastAsia" w:hAnsi="Arial" w:cs="Arial"/>
          <w:color w:val="231F20"/>
          <w:spacing w:val="-28"/>
          <w:sz w:val="20"/>
          <w:szCs w:val="20"/>
          <w:lang w:eastAsia="en-GB"/>
        </w:rPr>
        <w:t xml:space="preserve"> </w:t>
      </w:r>
      <w:r w:rsidRPr="008D48EC">
        <w:rPr>
          <w:rFonts w:ascii="Arial" w:eastAsiaTheme="minorEastAsia" w:hAnsi="Arial" w:cs="Arial"/>
          <w:color w:val="231F20"/>
          <w:sz w:val="20"/>
          <w:szCs w:val="20"/>
          <w:lang w:eastAsia="en-GB"/>
        </w:rPr>
        <w:t>and</w:t>
      </w:r>
    </w:p>
    <w:p w14:paraId="1BC513C4" w14:textId="70847B10" w:rsidR="007B295B" w:rsidRPr="008D48EC" w:rsidRDefault="007B295B" w:rsidP="008D48EC">
      <w:pPr>
        <w:pStyle w:val="ListParagraph"/>
        <w:widowControl w:val="0"/>
        <w:numPr>
          <w:ilvl w:val="0"/>
          <w:numId w:val="22"/>
        </w:numPr>
        <w:tabs>
          <w:tab w:val="left" w:pos="441"/>
        </w:tabs>
        <w:kinsoku w:val="0"/>
        <w:overflowPunct w:val="0"/>
        <w:autoSpaceDE w:val="0"/>
        <w:autoSpaceDN w:val="0"/>
        <w:adjustRightInd w:val="0"/>
        <w:spacing w:before="111" w:line="244" w:lineRule="auto"/>
        <w:ind w:right="175"/>
        <w:jc w:val="both"/>
        <w:rPr>
          <w:rFonts w:ascii="Arial" w:eastAsiaTheme="minorEastAsia" w:hAnsi="Arial" w:cs="Arial"/>
          <w:color w:val="231F20"/>
          <w:sz w:val="20"/>
          <w:szCs w:val="20"/>
          <w:lang w:eastAsia="en-GB"/>
        </w:rPr>
      </w:pPr>
      <w:r w:rsidRPr="008D48EC">
        <w:rPr>
          <w:rFonts w:ascii="Arial" w:eastAsiaTheme="minorEastAsia" w:hAnsi="Arial" w:cs="Arial"/>
          <w:color w:val="231F20"/>
          <w:w w:val="105"/>
          <w:sz w:val="20"/>
          <w:szCs w:val="20"/>
          <w:lang w:eastAsia="en-GB"/>
        </w:rPr>
        <w:t xml:space="preserve">That the </w:t>
      </w:r>
      <w:r w:rsidRPr="008D48EC">
        <w:rPr>
          <w:rFonts w:ascii="Arial" w:eastAsiaTheme="minorEastAsia" w:hAnsi="Arial" w:cs="Arial"/>
          <w:color w:val="231F20"/>
          <w:spacing w:val="2"/>
          <w:w w:val="105"/>
          <w:sz w:val="20"/>
          <w:szCs w:val="20"/>
          <w:lang w:eastAsia="en-GB"/>
        </w:rPr>
        <w:t xml:space="preserve">Board </w:t>
      </w:r>
      <w:r w:rsidRPr="008D48EC">
        <w:rPr>
          <w:rFonts w:ascii="Arial" w:eastAsiaTheme="minorEastAsia" w:hAnsi="Arial" w:cs="Arial"/>
          <w:color w:val="231F20"/>
          <w:w w:val="105"/>
          <w:sz w:val="20"/>
          <w:szCs w:val="20"/>
          <w:lang w:eastAsia="en-GB"/>
        </w:rPr>
        <w:t xml:space="preserve">be </w:t>
      </w:r>
      <w:r w:rsidRPr="008D48EC">
        <w:rPr>
          <w:rFonts w:ascii="Arial" w:eastAsiaTheme="minorEastAsia" w:hAnsi="Arial" w:cs="Arial"/>
          <w:color w:val="231F20"/>
          <w:spacing w:val="2"/>
          <w:w w:val="105"/>
          <w:sz w:val="20"/>
          <w:szCs w:val="20"/>
          <w:lang w:eastAsia="en-GB"/>
        </w:rPr>
        <w:t xml:space="preserve">authorised </w:t>
      </w:r>
      <w:r w:rsidRPr="008D48EC">
        <w:rPr>
          <w:rFonts w:ascii="Arial" w:eastAsiaTheme="minorEastAsia" w:hAnsi="Arial" w:cs="Arial"/>
          <w:color w:val="231F20"/>
          <w:w w:val="105"/>
          <w:sz w:val="20"/>
          <w:szCs w:val="20"/>
          <w:lang w:eastAsia="en-GB"/>
        </w:rPr>
        <w:t xml:space="preserve">to adopt </w:t>
      </w:r>
      <w:r w:rsidRPr="008D48EC">
        <w:rPr>
          <w:rFonts w:ascii="Arial" w:eastAsiaTheme="minorEastAsia" w:hAnsi="Arial" w:cs="Arial"/>
          <w:color w:val="231F20"/>
          <w:spacing w:val="2"/>
          <w:w w:val="105"/>
          <w:sz w:val="20"/>
          <w:szCs w:val="20"/>
          <w:lang w:eastAsia="en-GB"/>
        </w:rPr>
        <w:t xml:space="preserve">further </w:t>
      </w:r>
      <w:r w:rsidRPr="008D48EC">
        <w:rPr>
          <w:rFonts w:ascii="Arial" w:eastAsiaTheme="minorEastAsia" w:hAnsi="Arial" w:cs="Arial"/>
          <w:color w:val="231F20"/>
          <w:w w:val="105"/>
          <w:sz w:val="20"/>
          <w:szCs w:val="20"/>
          <w:lang w:eastAsia="en-GB"/>
        </w:rPr>
        <w:t xml:space="preserve">plans </w:t>
      </w:r>
      <w:r w:rsidRPr="008D48EC">
        <w:rPr>
          <w:rFonts w:ascii="Arial" w:eastAsiaTheme="minorEastAsia" w:hAnsi="Arial" w:cs="Arial"/>
          <w:color w:val="231F20"/>
          <w:spacing w:val="2"/>
          <w:w w:val="105"/>
          <w:sz w:val="20"/>
          <w:szCs w:val="20"/>
          <w:lang w:eastAsia="en-GB"/>
        </w:rPr>
        <w:t>based</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on</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the</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DBP</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but</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spacing w:val="2"/>
          <w:w w:val="105"/>
          <w:sz w:val="20"/>
          <w:szCs w:val="20"/>
          <w:lang w:eastAsia="en-GB"/>
        </w:rPr>
        <w:t>modified</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to</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take</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account</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of</w:t>
      </w:r>
      <w:r w:rsidRPr="008D48EC">
        <w:rPr>
          <w:rFonts w:ascii="Arial" w:eastAsiaTheme="minorEastAsia" w:hAnsi="Arial" w:cs="Arial"/>
          <w:color w:val="231F20"/>
          <w:spacing w:val="-22"/>
          <w:w w:val="105"/>
          <w:sz w:val="20"/>
          <w:szCs w:val="20"/>
          <w:lang w:eastAsia="en-GB"/>
        </w:rPr>
        <w:t xml:space="preserve"> </w:t>
      </w:r>
      <w:r w:rsidRPr="008D48EC">
        <w:rPr>
          <w:rFonts w:ascii="Arial" w:eastAsiaTheme="minorEastAsia" w:hAnsi="Arial" w:cs="Arial"/>
          <w:color w:val="231F20"/>
          <w:w w:val="105"/>
          <w:sz w:val="20"/>
          <w:szCs w:val="20"/>
          <w:lang w:eastAsia="en-GB"/>
        </w:rPr>
        <w:t xml:space="preserve">local </w:t>
      </w:r>
      <w:r w:rsidRPr="008D48EC">
        <w:rPr>
          <w:rFonts w:ascii="Arial" w:eastAsiaTheme="minorEastAsia" w:hAnsi="Arial" w:cs="Arial"/>
          <w:color w:val="231F20"/>
          <w:spacing w:val="2"/>
          <w:w w:val="105"/>
          <w:sz w:val="20"/>
          <w:szCs w:val="20"/>
          <w:lang w:eastAsia="en-GB"/>
        </w:rPr>
        <w:t xml:space="preserve">tax, </w:t>
      </w:r>
      <w:r w:rsidRPr="008D48EC">
        <w:rPr>
          <w:rFonts w:ascii="Arial" w:eastAsiaTheme="minorEastAsia" w:hAnsi="Arial" w:cs="Arial"/>
          <w:color w:val="231F20"/>
          <w:w w:val="105"/>
          <w:sz w:val="20"/>
          <w:szCs w:val="20"/>
          <w:lang w:eastAsia="en-GB"/>
        </w:rPr>
        <w:t xml:space="preserve">exchange control or </w:t>
      </w:r>
      <w:r w:rsidRPr="008D48EC">
        <w:rPr>
          <w:rFonts w:ascii="Arial" w:eastAsiaTheme="minorEastAsia" w:hAnsi="Arial" w:cs="Arial"/>
          <w:color w:val="231F20"/>
          <w:spacing w:val="2"/>
          <w:w w:val="105"/>
          <w:sz w:val="20"/>
          <w:szCs w:val="20"/>
          <w:lang w:eastAsia="en-GB"/>
        </w:rPr>
        <w:t xml:space="preserve">securities </w:t>
      </w:r>
      <w:r w:rsidRPr="008D48EC">
        <w:rPr>
          <w:rFonts w:ascii="Arial" w:eastAsiaTheme="minorEastAsia" w:hAnsi="Arial" w:cs="Arial"/>
          <w:color w:val="231F20"/>
          <w:spacing w:val="3"/>
          <w:w w:val="105"/>
          <w:sz w:val="20"/>
          <w:szCs w:val="20"/>
          <w:lang w:eastAsia="en-GB"/>
        </w:rPr>
        <w:t xml:space="preserve">laws </w:t>
      </w:r>
      <w:r w:rsidRPr="008D48EC">
        <w:rPr>
          <w:rFonts w:ascii="Arial" w:eastAsiaTheme="minorEastAsia" w:hAnsi="Arial" w:cs="Arial"/>
          <w:color w:val="231F20"/>
          <w:w w:val="105"/>
          <w:sz w:val="20"/>
          <w:szCs w:val="20"/>
          <w:lang w:eastAsia="en-GB"/>
        </w:rPr>
        <w:t xml:space="preserve">in </w:t>
      </w:r>
      <w:r w:rsidRPr="008D48EC">
        <w:rPr>
          <w:rFonts w:ascii="Arial" w:eastAsiaTheme="minorEastAsia" w:hAnsi="Arial" w:cs="Arial"/>
          <w:color w:val="231F20"/>
          <w:spacing w:val="2"/>
          <w:w w:val="105"/>
          <w:sz w:val="20"/>
          <w:szCs w:val="20"/>
          <w:lang w:eastAsia="en-GB"/>
        </w:rPr>
        <w:t xml:space="preserve">overseas territories, provided </w:t>
      </w:r>
      <w:r w:rsidRPr="008D48EC">
        <w:rPr>
          <w:rFonts w:ascii="Arial" w:eastAsiaTheme="minorEastAsia" w:hAnsi="Arial" w:cs="Arial"/>
          <w:color w:val="231F20"/>
          <w:w w:val="105"/>
          <w:sz w:val="20"/>
          <w:szCs w:val="20"/>
          <w:lang w:eastAsia="en-GB"/>
        </w:rPr>
        <w:t xml:space="preserve">that any cash or </w:t>
      </w:r>
      <w:r w:rsidRPr="008D48EC">
        <w:rPr>
          <w:rFonts w:ascii="Arial" w:eastAsiaTheme="minorEastAsia" w:hAnsi="Arial" w:cs="Arial"/>
          <w:color w:val="231F20"/>
          <w:spacing w:val="2"/>
          <w:w w:val="105"/>
          <w:sz w:val="20"/>
          <w:szCs w:val="20"/>
          <w:lang w:eastAsia="en-GB"/>
        </w:rPr>
        <w:t xml:space="preserve">shares </w:t>
      </w:r>
      <w:r w:rsidRPr="008D48EC">
        <w:rPr>
          <w:rFonts w:ascii="Arial" w:eastAsiaTheme="minorEastAsia" w:hAnsi="Arial" w:cs="Arial"/>
          <w:color w:val="231F20"/>
          <w:w w:val="105"/>
          <w:sz w:val="20"/>
          <w:szCs w:val="20"/>
          <w:lang w:eastAsia="en-GB"/>
        </w:rPr>
        <w:t xml:space="preserve">made available under such </w:t>
      </w:r>
      <w:r w:rsidRPr="008D48EC">
        <w:rPr>
          <w:rFonts w:ascii="Arial" w:eastAsiaTheme="minorEastAsia" w:hAnsi="Arial" w:cs="Arial"/>
          <w:color w:val="231F20"/>
          <w:spacing w:val="2"/>
          <w:w w:val="105"/>
          <w:sz w:val="20"/>
          <w:szCs w:val="20"/>
          <w:lang w:eastAsia="en-GB"/>
        </w:rPr>
        <w:t xml:space="preserve">further </w:t>
      </w:r>
      <w:r w:rsidRPr="008D48EC">
        <w:rPr>
          <w:rFonts w:ascii="Arial" w:eastAsiaTheme="minorEastAsia" w:hAnsi="Arial" w:cs="Arial"/>
          <w:color w:val="231F20"/>
          <w:w w:val="105"/>
          <w:sz w:val="20"/>
          <w:szCs w:val="20"/>
          <w:lang w:eastAsia="en-GB"/>
        </w:rPr>
        <w:t xml:space="preserve">plans are treated as counting against any limits on individual or </w:t>
      </w:r>
      <w:r w:rsidRPr="008D48EC">
        <w:rPr>
          <w:rFonts w:ascii="Arial" w:eastAsiaTheme="minorEastAsia" w:hAnsi="Arial" w:cs="Arial"/>
          <w:color w:val="231F20"/>
          <w:spacing w:val="2"/>
          <w:w w:val="105"/>
          <w:sz w:val="20"/>
          <w:szCs w:val="20"/>
          <w:lang w:eastAsia="en-GB"/>
        </w:rPr>
        <w:t>overall participation</w:t>
      </w:r>
      <w:r w:rsidRPr="008D48EC">
        <w:rPr>
          <w:rFonts w:ascii="Arial" w:eastAsiaTheme="minorEastAsia" w:hAnsi="Arial" w:cs="Arial"/>
          <w:color w:val="231F20"/>
          <w:spacing w:val="-29"/>
          <w:w w:val="105"/>
          <w:sz w:val="20"/>
          <w:szCs w:val="20"/>
          <w:lang w:eastAsia="en-GB"/>
        </w:rPr>
        <w:t xml:space="preserve"> </w:t>
      </w:r>
      <w:r w:rsidRPr="008D48EC">
        <w:rPr>
          <w:rFonts w:ascii="Arial" w:eastAsiaTheme="minorEastAsia" w:hAnsi="Arial" w:cs="Arial"/>
          <w:color w:val="231F20"/>
          <w:w w:val="105"/>
          <w:sz w:val="20"/>
          <w:szCs w:val="20"/>
          <w:lang w:eastAsia="en-GB"/>
        </w:rPr>
        <w:t>in</w:t>
      </w:r>
      <w:r w:rsidRPr="008D48EC">
        <w:rPr>
          <w:rFonts w:ascii="Arial" w:eastAsiaTheme="minorEastAsia" w:hAnsi="Arial" w:cs="Arial"/>
          <w:color w:val="231F20"/>
          <w:spacing w:val="-29"/>
          <w:w w:val="105"/>
          <w:sz w:val="20"/>
          <w:szCs w:val="20"/>
          <w:lang w:eastAsia="en-GB"/>
        </w:rPr>
        <w:t xml:space="preserve"> </w:t>
      </w:r>
      <w:r w:rsidRPr="008D48EC">
        <w:rPr>
          <w:rFonts w:ascii="Arial" w:eastAsiaTheme="minorEastAsia" w:hAnsi="Arial" w:cs="Arial"/>
          <w:color w:val="231F20"/>
          <w:w w:val="105"/>
          <w:sz w:val="20"/>
          <w:szCs w:val="20"/>
          <w:lang w:eastAsia="en-GB"/>
        </w:rPr>
        <w:t>the</w:t>
      </w:r>
      <w:r w:rsidRPr="008D48EC">
        <w:rPr>
          <w:rFonts w:ascii="Arial" w:eastAsiaTheme="minorEastAsia" w:hAnsi="Arial" w:cs="Arial"/>
          <w:color w:val="231F20"/>
          <w:spacing w:val="-29"/>
          <w:w w:val="105"/>
          <w:sz w:val="20"/>
          <w:szCs w:val="20"/>
          <w:lang w:eastAsia="en-GB"/>
        </w:rPr>
        <w:t xml:space="preserve"> </w:t>
      </w:r>
      <w:r w:rsidRPr="008D48EC">
        <w:rPr>
          <w:rFonts w:ascii="Arial" w:eastAsiaTheme="minorEastAsia" w:hAnsi="Arial" w:cs="Arial"/>
          <w:color w:val="231F20"/>
          <w:spacing w:val="-3"/>
          <w:w w:val="105"/>
          <w:sz w:val="20"/>
          <w:szCs w:val="20"/>
          <w:lang w:eastAsia="en-GB"/>
        </w:rPr>
        <w:t>DBP.</w:t>
      </w:r>
    </w:p>
    <w:p w14:paraId="7293FDDF" w14:textId="77777777" w:rsidR="00657A06" w:rsidRPr="007C6B9D" w:rsidRDefault="00657A06" w:rsidP="00657A06">
      <w:pPr>
        <w:jc w:val="both"/>
        <w:rPr>
          <w:rFonts w:ascii="Arial" w:hAnsi="Arial" w:cs="Arial"/>
          <w:b/>
          <w:sz w:val="20"/>
          <w:szCs w:val="20"/>
          <w:u w:val="single"/>
        </w:rPr>
      </w:pPr>
    </w:p>
    <w:p w14:paraId="327F52A4" w14:textId="77777777" w:rsidR="00657A06" w:rsidRDefault="00657A06" w:rsidP="00657A06">
      <w:pPr>
        <w:jc w:val="both"/>
        <w:rPr>
          <w:rFonts w:ascii="Arial" w:hAnsi="Arial" w:cs="Arial"/>
          <w:b/>
          <w:sz w:val="20"/>
          <w:szCs w:val="20"/>
          <w:u w:val="single"/>
        </w:rPr>
      </w:pPr>
      <w:r>
        <w:rPr>
          <w:rFonts w:ascii="Arial" w:hAnsi="Arial" w:cs="Arial"/>
          <w:b/>
          <w:sz w:val="20"/>
          <w:szCs w:val="20"/>
          <w:u w:val="single"/>
        </w:rPr>
        <w:t xml:space="preserve">Resolution </w:t>
      </w:r>
      <w:r w:rsidR="003C4D70">
        <w:rPr>
          <w:rFonts w:ascii="Arial" w:hAnsi="Arial" w:cs="Arial"/>
          <w:b/>
          <w:sz w:val="20"/>
          <w:szCs w:val="20"/>
          <w:u w:val="single"/>
        </w:rPr>
        <w:t>19</w:t>
      </w:r>
      <w:r>
        <w:rPr>
          <w:rFonts w:ascii="Arial" w:hAnsi="Arial" w:cs="Arial"/>
          <w:b/>
          <w:sz w:val="20"/>
          <w:szCs w:val="20"/>
          <w:u w:val="single"/>
        </w:rPr>
        <w:t>: Directors’ authority to allot shares and grant subscription/conversion rights over shares</w:t>
      </w:r>
    </w:p>
    <w:p w14:paraId="59923684" w14:textId="77777777" w:rsidR="00946901" w:rsidRDefault="00946901" w:rsidP="00657A06">
      <w:pPr>
        <w:jc w:val="both"/>
        <w:rPr>
          <w:rFonts w:ascii="Arial" w:hAnsi="Arial" w:cs="Arial"/>
          <w:b/>
          <w:sz w:val="20"/>
          <w:szCs w:val="20"/>
          <w:u w:val="single"/>
        </w:rPr>
      </w:pPr>
    </w:p>
    <w:p w14:paraId="59425718" w14:textId="52D0C657" w:rsidR="003D0587" w:rsidRPr="0007151A" w:rsidRDefault="003C4D70" w:rsidP="0007151A">
      <w:pPr>
        <w:jc w:val="both"/>
        <w:rPr>
          <w:rFonts w:ascii="Arial" w:hAnsi="Arial" w:cs="Arial"/>
          <w:sz w:val="20"/>
          <w:szCs w:val="20"/>
        </w:rPr>
      </w:pPr>
      <w:proofErr w:type="gramStart"/>
      <w:r w:rsidRPr="003C4D70">
        <w:rPr>
          <w:rFonts w:ascii="Arial" w:hAnsi="Arial" w:cs="Arial"/>
          <w:sz w:val="20"/>
          <w:szCs w:val="20"/>
          <w:lang w:eastAsia="en-GB"/>
        </w:rPr>
        <w:t>That the Board be and is hereby generally and unconditionally authorised, in accordance with Section 551 of the Act, in substitution for all subsisting authorities, to execute all powers of the Company to allot shares in the Company and to grant rights to subscribe for, or to convert any security into, shares in the Company up to an aggregate nominal amount of £32,486,193, such authority to apply (unless previously renewed, revoked or varied by the Company in general meeting) until the end of the next Annual General Meeting of the Company (or, if earlier, until the close of business on 18 January 2025) but, in each case, during this period the Company may make offers and enter into agreements which would, or might, require shares to be allotted or rights to subscribe for or convert any security into shares to be granted after the authority ends and the Board may allot shares or grant rights to subscribe for, or convert any security into, shares under any such offer or agreement as if the authority had not ended.</w:t>
      </w:r>
      <w:proofErr w:type="gramEnd"/>
      <w:r w:rsidR="00602709" w:rsidRPr="006344CF" w:rsidDel="00602709">
        <w:rPr>
          <w:rFonts w:ascii="Arial" w:hAnsi="Arial" w:cs="Arial"/>
          <w:sz w:val="20"/>
          <w:szCs w:val="20"/>
          <w:lang w:eastAsia="en-GB"/>
        </w:rPr>
        <w:t xml:space="preserve"> </w:t>
      </w:r>
    </w:p>
    <w:p w14:paraId="61141832" w14:textId="77777777" w:rsidR="003D0587" w:rsidRDefault="003D0587" w:rsidP="008364D3">
      <w:pPr>
        <w:autoSpaceDE w:val="0"/>
        <w:autoSpaceDN w:val="0"/>
        <w:adjustRightInd w:val="0"/>
        <w:jc w:val="both"/>
        <w:rPr>
          <w:rFonts w:ascii="Arial" w:hAnsi="Arial" w:cs="Arial"/>
          <w:b/>
          <w:sz w:val="20"/>
          <w:szCs w:val="20"/>
        </w:rPr>
      </w:pPr>
    </w:p>
    <w:p w14:paraId="5AF12641" w14:textId="77777777" w:rsidR="00657A06" w:rsidRPr="007C6B9D" w:rsidRDefault="00657A06" w:rsidP="00657A06">
      <w:pPr>
        <w:jc w:val="both"/>
        <w:rPr>
          <w:rFonts w:ascii="Arial" w:hAnsi="Arial" w:cs="Arial"/>
          <w:b/>
          <w:sz w:val="20"/>
          <w:szCs w:val="20"/>
          <w:u w:val="single"/>
        </w:rPr>
      </w:pPr>
      <w:r w:rsidRPr="007C6B9D">
        <w:rPr>
          <w:rFonts w:ascii="Arial" w:hAnsi="Arial" w:cs="Arial"/>
          <w:b/>
          <w:sz w:val="20"/>
          <w:szCs w:val="20"/>
          <w:u w:val="single"/>
        </w:rPr>
        <w:t>SPECIAL RESOLUTIONS</w:t>
      </w:r>
    </w:p>
    <w:p w14:paraId="7055819F" w14:textId="77777777" w:rsidR="00657A06" w:rsidRDefault="00657A06" w:rsidP="00657A06">
      <w:pPr>
        <w:jc w:val="both"/>
        <w:rPr>
          <w:rFonts w:ascii="Arial" w:hAnsi="Arial" w:cs="Arial"/>
          <w:b/>
          <w:sz w:val="20"/>
          <w:szCs w:val="20"/>
        </w:rPr>
      </w:pPr>
    </w:p>
    <w:p w14:paraId="1B5AB430" w14:textId="77777777" w:rsidR="00657A06" w:rsidRDefault="00657A06" w:rsidP="00657A06">
      <w:pPr>
        <w:jc w:val="both"/>
        <w:rPr>
          <w:rFonts w:ascii="Arial" w:hAnsi="Arial" w:cs="Arial"/>
          <w:b/>
          <w:sz w:val="20"/>
          <w:szCs w:val="20"/>
          <w:u w:val="single"/>
        </w:rPr>
      </w:pPr>
      <w:r>
        <w:rPr>
          <w:rFonts w:ascii="Arial" w:hAnsi="Arial" w:cs="Arial"/>
          <w:b/>
          <w:sz w:val="20"/>
          <w:szCs w:val="20"/>
          <w:u w:val="single"/>
        </w:rPr>
        <w:t xml:space="preserve">Resolution </w:t>
      </w:r>
      <w:r w:rsidR="003C4D70">
        <w:rPr>
          <w:rFonts w:ascii="Arial" w:hAnsi="Arial" w:cs="Arial"/>
          <w:b/>
          <w:sz w:val="20"/>
          <w:szCs w:val="20"/>
          <w:u w:val="single"/>
        </w:rPr>
        <w:t>20</w:t>
      </w:r>
      <w:r>
        <w:rPr>
          <w:rFonts w:ascii="Arial" w:hAnsi="Arial" w:cs="Arial"/>
          <w:b/>
          <w:sz w:val="20"/>
          <w:szCs w:val="20"/>
          <w:u w:val="single"/>
        </w:rPr>
        <w:t xml:space="preserve">: Directors’ authority </w:t>
      </w:r>
      <w:r w:rsidRPr="009F5D10">
        <w:rPr>
          <w:rFonts w:ascii="Arial" w:hAnsi="Arial" w:cs="Arial"/>
          <w:b/>
          <w:sz w:val="20"/>
          <w:szCs w:val="20"/>
          <w:u w:val="single"/>
        </w:rPr>
        <w:t>to allot or sell Ordinary Shares without</w:t>
      </w:r>
      <w:r>
        <w:rPr>
          <w:rFonts w:ascii="Arial" w:hAnsi="Arial" w:cs="Arial"/>
          <w:b/>
          <w:sz w:val="20"/>
          <w:szCs w:val="20"/>
          <w:u w:val="single"/>
        </w:rPr>
        <w:t xml:space="preserve"> </w:t>
      </w:r>
      <w:r w:rsidRPr="009F5D10">
        <w:rPr>
          <w:rFonts w:ascii="Arial" w:hAnsi="Arial" w:cs="Arial"/>
          <w:b/>
          <w:sz w:val="20"/>
          <w:szCs w:val="20"/>
          <w:u w:val="single"/>
        </w:rPr>
        <w:t>co</w:t>
      </w:r>
      <w:r>
        <w:rPr>
          <w:rFonts w:ascii="Arial" w:hAnsi="Arial" w:cs="Arial"/>
          <w:b/>
          <w:sz w:val="20"/>
          <w:szCs w:val="20"/>
          <w:u w:val="single"/>
        </w:rPr>
        <w:t>mplying with pre-emption rights</w:t>
      </w:r>
      <w:r w:rsidR="003C4D70">
        <w:rPr>
          <w:rFonts w:ascii="Arial" w:hAnsi="Arial" w:cs="Arial"/>
          <w:b/>
          <w:sz w:val="20"/>
          <w:szCs w:val="20"/>
          <w:u w:val="single"/>
        </w:rPr>
        <w:t xml:space="preserve"> (general power)</w:t>
      </w:r>
    </w:p>
    <w:p w14:paraId="01BF5FFF" w14:textId="77777777" w:rsidR="009B315E" w:rsidRPr="0045006F" w:rsidRDefault="009B315E" w:rsidP="00657A06">
      <w:pPr>
        <w:jc w:val="both"/>
        <w:rPr>
          <w:rFonts w:ascii="Arial" w:hAnsi="Arial" w:cs="Arial"/>
          <w:bCs/>
          <w:sz w:val="20"/>
          <w:szCs w:val="20"/>
        </w:rPr>
      </w:pPr>
    </w:p>
    <w:p w14:paraId="25D262D9" w14:textId="77777777" w:rsidR="00946901" w:rsidRDefault="003C4D70" w:rsidP="006344CF">
      <w:pPr>
        <w:autoSpaceDE w:val="0"/>
        <w:autoSpaceDN w:val="0"/>
        <w:adjustRightInd w:val="0"/>
        <w:rPr>
          <w:rFonts w:ascii="Arial" w:hAnsi="Arial" w:cs="Arial"/>
          <w:sz w:val="20"/>
          <w:szCs w:val="20"/>
          <w:lang w:eastAsia="en-GB"/>
        </w:rPr>
      </w:pPr>
      <w:r w:rsidRPr="003C4D70">
        <w:rPr>
          <w:rFonts w:ascii="Arial" w:hAnsi="Arial" w:cs="Arial"/>
          <w:sz w:val="20"/>
          <w:szCs w:val="20"/>
          <w:lang w:eastAsia="en-GB"/>
        </w:rPr>
        <w:t>That, if resolution 19 above is passed, the Board be given power to allot equity securities (as defined in the Act) for cash under the authority given by that resolution and/or to sell ordinary shares held by the Company as treasury shares for cash as if Section 561 of the Act did not apply to any such allotment or sale, such power to be limited:</w:t>
      </w:r>
    </w:p>
    <w:p w14:paraId="1326F4EE" w14:textId="77777777" w:rsidR="008364D3" w:rsidRPr="001437F9" w:rsidRDefault="008364D3" w:rsidP="006344CF">
      <w:pPr>
        <w:autoSpaceDE w:val="0"/>
        <w:autoSpaceDN w:val="0"/>
        <w:adjustRightInd w:val="0"/>
        <w:rPr>
          <w:rFonts w:ascii="Arial" w:hAnsi="Arial" w:cs="Arial"/>
          <w:sz w:val="20"/>
          <w:szCs w:val="20"/>
        </w:rPr>
      </w:pPr>
    </w:p>
    <w:p w14:paraId="588F0DA0" w14:textId="3675D106" w:rsidR="008364D3" w:rsidRPr="006344CF" w:rsidRDefault="003C4D70" w:rsidP="006344CF">
      <w:pPr>
        <w:pStyle w:val="ListParagraph"/>
        <w:numPr>
          <w:ilvl w:val="0"/>
          <w:numId w:val="15"/>
        </w:numPr>
        <w:autoSpaceDE w:val="0"/>
        <w:autoSpaceDN w:val="0"/>
        <w:adjustRightInd w:val="0"/>
        <w:ind w:left="709" w:hanging="709"/>
        <w:jc w:val="both"/>
        <w:rPr>
          <w:rFonts w:ascii="Arial" w:hAnsi="Arial" w:cs="Arial"/>
          <w:sz w:val="20"/>
          <w:szCs w:val="20"/>
        </w:rPr>
      </w:pPr>
      <w:r w:rsidRPr="003C4D70">
        <w:rPr>
          <w:rFonts w:ascii="Arial" w:hAnsi="Arial" w:cs="Arial"/>
          <w:sz w:val="20"/>
          <w:szCs w:val="20"/>
        </w:rPr>
        <w:lastRenderedPageBreak/>
        <w:t>to the allotment of equity securities and the sale of treasury shares in connection with an offer or issue of, or invitation to apply for, equity securities:</w:t>
      </w:r>
    </w:p>
    <w:p w14:paraId="030A91B0" w14:textId="77777777" w:rsidR="00946901" w:rsidRPr="00946901" w:rsidRDefault="00946901" w:rsidP="006344CF">
      <w:pPr>
        <w:pStyle w:val="ListParagraph"/>
        <w:autoSpaceDE w:val="0"/>
        <w:autoSpaceDN w:val="0"/>
        <w:adjustRightInd w:val="0"/>
        <w:ind w:left="1080"/>
        <w:jc w:val="both"/>
        <w:rPr>
          <w:rFonts w:ascii="Arial" w:hAnsi="Arial" w:cs="Arial"/>
          <w:sz w:val="20"/>
          <w:szCs w:val="20"/>
        </w:rPr>
      </w:pPr>
    </w:p>
    <w:p w14:paraId="4783C941" w14:textId="77777777" w:rsidR="008364D3" w:rsidRPr="006344CF" w:rsidRDefault="003C4D70" w:rsidP="006344CF">
      <w:pPr>
        <w:pStyle w:val="ListParagraph"/>
        <w:numPr>
          <w:ilvl w:val="0"/>
          <w:numId w:val="16"/>
        </w:numPr>
        <w:autoSpaceDE w:val="0"/>
        <w:autoSpaceDN w:val="0"/>
        <w:adjustRightInd w:val="0"/>
        <w:jc w:val="both"/>
        <w:rPr>
          <w:rFonts w:ascii="Arial" w:hAnsi="Arial" w:cs="Arial"/>
          <w:sz w:val="20"/>
          <w:szCs w:val="20"/>
        </w:rPr>
      </w:pPr>
      <w:r w:rsidRPr="003C4D70">
        <w:rPr>
          <w:rFonts w:ascii="Arial" w:hAnsi="Arial" w:cs="Arial"/>
          <w:sz w:val="20"/>
          <w:szCs w:val="20"/>
        </w:rPr>
        <w:t>to ordinary shareholders in proportion (as nearly as may be practicable) to their existing holdings; and</w:t>
      </w:r>
    </w:p>
    <w:p w14:paraId="25CCA4EC" w14:textId="77777777" w:rsidR="00946901" w:rsidRPr="00946901" w:rsidRDefault="00946901" w:rsidP="006344CF">
      <w:pPr>
        <w:pStyle w:val="ListParagraph"/>
        <w:autoSpaceDE w:val="0"/>
        <w:autoSpaceDN w:val="0"/>
        <w:adjustRightInd w:val="0"/>
        <w:ind w:left="1429"/>
        <w:jc w:val="both"/>
        <w:rPr>
          <w:rFonts w:ascii="Arial" w:hAnsi="Arial" w:cs="Arial"/>
          <w:sz w:val="20"/>
          <w:szCs w:val="20"/>
        </w:rPr>
      </w:pPr>
    </w:p>
    <w:p w14:paraId="36DFC834" w14:textId="77777777" w:rsidR="00D05694" w:rsidRDefault="008364D3" w:rsidP="0007151A">
      <w:pPr>
        <w:autoSpaceDE w:val="0"/>
        <w:autoSpaceDN w:val="0"/>
        <w:adjustRightInd w:val="0"/>
        <w:ind w:left="1418" w:hanging="709"/>
        <w:jc w:val="both"/>
        <w:rPr>
          <w:rFonts w:ascii="Arial" w:hAnsi="Arial" w:cs="Arial"/>
          <w:sz w:val="20"/>
          <w:szCs w:val="20"/>
        </w:rPr>
      </w:pPr>
      <w:r w:rsidRPr="001437F9">
        <w:rPr>
          <w:rFonts w:ascii="Arial" w:hAnsi="Arial" w:cs="Arial"/>
          <w:sz w:val="20"/>
          <w:szCs w:val="20"/>
        </w:rPr>
        <w:t>(ii)</w:t>
      </w:r>
      <w:r w:rsidRPr="001437F9">
        <w:rPr>
          <w:rFonts w:ascii="Arial" w:hAnsi="Arial" w:cs="Arial"/>
          <w:sz w:val="20"/>
          <w:szCs w:val="20"/>
        </w:rPr>
        <w:tab/>
      </w:r>
      <w:r w:rsidR="003C4D70" w:rsidRPr="003C4D70">
        <w:rPr>
          <w:rFonts w:ascii="Arial" w:hAnsi="Arial" w:cs="Arial"/>
          <w:sz w:val="20"/>
          <w:szCs w:val="20"/>
        </w:rPr>
        <w:t>to holders of other equity securities as required by the rights of those securities, or as the Board otherwise considers necessary,</w:t>
      </w:r>
      <w:r w:rsidRPr="006344CF">
        <w:rPr>
          <w:rFonts w:ascii="Arial" w:hAnsi="Arial" w:cs="Arial"/>
          <w:sz w:val="20"/>
          <w:szCs w:val="20"/>
        </w:rPr>
        <w:t xml:space="preserve"> </w:t>
      </w:r>
    </w:p>
    <w:p w14:paraId="42103DE5" w14:textId="77777777" w:rsidR="00946901" w:rsidRPr="006344CF" w:rsidRDefault="00946901" w:rsidP="0007151A">
      <w:pPr>
        <w:autoSpaceDE w:val="0"/>
        <w:autoSpaceDN w:val="0"/>
        <w:adjustRightInd w:val="0"/>
        <w:ind w:left="1418" w:hanging="709"/>
        <w:jc w:val="both"/>
        <w:rPr>
          <w:rFonts w:ascii="Arial" w:hAnsi="Arial" w:cs="Arial"/>
          <w:sz w:val="20"/>
          <w:szCs w:val="20"/>
        </w:rPr>
      </w:pPr>
    </w:p>
    <w:p w14:paraId="04234D37" w14:textId="77777777" w:rsidR="00946901" w:rsidRDefault="003C4D70" w:rsidP="006344CF">
      <w:pPr>
        <w:autoSpaceDE w:val="0"/>
        <w:autoSpaceDN w:val="0"/>
        <w:adjustRightInd w:val="0"/>
        <w:ind w:left="709"/>
        <w:jc w:val="both"/>
        <w:rPr>
          <w:rFonts w:ascii="Arial" w:hAnsi="Arial" w:cs="Arial"/>
          <w:sz w:val="20"/>
          <w:szCs w:val="20"/>
        </w:rPr>
      </w:pPr>
      <w:r w:rsidRPr="003C4D70">
        <w:rPr>
          <w:rFonts w:ascii="Arial" w:hAnsi="Arial" w:cs="Arial"/>
          <w:sz w:val="20"/>
          <w:szCs w:val="20"/>
        </w:rPr>
        <w:t xml:space="preserve">and so that the Board may impose any limits, exclusions or restrictions and make any arrangements which it considers necessary or appropriate to deal with treasury shares, fractional entitlements, record dates, legal, regulatory or practical problems in, or under the laws of, any territory or any other matter whatsoever; </w:t>
      </w:r>
      <w:r w:rsidR="00523D15" w:rsidRPr="001437F9" w:rsidDel="00523D15">
        <w:rPr>
          <w:rFonts w:ascii="Arial" w:hAnsi="Arial" w:cs="Arial"/>
          <w:sz w:val="20"/>
          <w:szCs w:val="20"/>
        </w:rPr>
        <w:t xml:space="preserve"> </w:t>
      </w:r>
    </w:p>
    <w:p w14:paraId="5955F458" w14:textId="77777777" w:rsidR="00946901" w:rsidRDefault="00946901" w:rsidP="006344CF">
      <w:pPr>
        <w:autoSpaceDE w:val="0"/>
        <w:autoSpaceDN w:val="0"/>
        <w:adjustRightInd w:val="0"/>
        <w:ind w:left="709"/>
        <w:jc w:val="both"/>
        <w:rPr>
          <w:rFonts w:ascii="Arial" w:hAnsi="Arial" w:cs="Arial"/>
          <w:sz w:val="20"/>
          <w:szCs w:val="20"/>
        </w:rPr>
      </w:pPr>
    </w:p>
    <w:p w14:paraId="518BCB1B" w14:textId="77777777" w:rsidR="00D05694" w:rsidRDefault="003C4D70" w:rsidP="006344CF">
      <w:pPr>
        <w:pStyle w:val="ListParagraph"/>
        <w:numPr>
          <w:ilvl w:val="0"/>
          <w:numId w:val="15"/>
        </w:numPr>
        <w:autoSpaceDE w:val="0"/>
        <w:autoSpaceDN w:val="0"/>
        <w:adjustRightInd w:val="0"/>
        <w:ind w:left="709" w:hanging="709"/>
        <w:jc w:val="both"/>
        <w:rPr>
          <w:rFonts w:ascii="Arial" w:hAnsi="Arial" w:cs="Arial"/>
          <w:sz w:val="20"/>
          <w:szCs w:val="20"/>
        </w:rPr>
      </w:pPr>
      <w:r w:rsidRPr="003C4D70">
        <w:rPr>
          <w:rFonts w:ascii="Arial" w:hAnsi="Arial" w:cs="Arial"/>
          <w:sz w:val="20"/>
          <w:szCs w:val="20"/>
        </w:rPr>
        <w:t>in the case of the authority granted under resolution 19 and/or in the case of any sale of treasury shares, to the allotment of equity securities or sale of treasury shares (otherwise than under paragraph (a) above) up to a nominal amount of £9,745,857; and</w:t>
      </w:r>
      <w:r w:rsidR="008364D3" w:rsidRPr="00946901">
        <w:rPr>
          <w:rFonts w:ascii="Arial" w:hAnsi="Arial" w:cs="Arial"/>
          <w:sz w:val="20"/>
          <w:szCs w:val="20"/>
        </w:rPr>
        <w:t xml:space="preserve"> </w:t>
      </w:r>
    </w:p>
    <w:p w14:paraId="7AFB9D4D" w14:textId="77777777" w:rsidR="0083303D" w:rsidRDefault="0083303D" w:rsidP="00F55091">
      <w:pPr>
        <w:pStyle w:val="ListParagraph"/>
        <w:autoSpaceDE w:val="0"/>
        <w:autoSpaceDN w:val="0"/>
        <w:adjustRightInd w:val="0"/>
        <w:ind w:left="709"/>
        <w:jc w:val="both"/>
        <w:rPr>
          <w:rFonts w:ascii="Arial" w:hAnsi="Arial" w:cs="Arial"/>
          <w:sz w:val="20"/>
          <w:szCs w:val="20"/>
        </w:rPr>
      </w:pPr>
    </w:p>
    <w:p w14:paraId="21CE92A7" w14:textId="77777777" w:rsidR="003C4D70" w:rsidRPr="006344CF" w:rsidRDefault="003C4D70" w:rsidP="00F55091">
      <w:pPr>
        <w:pStyle w:val="ListParagraph"/>
        <w:numPr>
          <w:ilvl w:val="0"/>
          <w:numId w:val="15"/>
        </w:numPr>
        <w:autoSpaceDE w:val="0"/>
        <w:autoSpaceDN w:val="0"/>
        <w:adjustRightInd w:val="0"/>
        <w:ind w:left="709" w:hanging="709"/>
        <w:jc w:val="both"/>
        <w:rPr>
          <w:rFonts w:ascii="Arial" w:hAnsi="Arial" w:cs="Arial"/>
          <w:sz w:val="20"/>
          <w:szCs w:val="20"/>
        </w:rPr>
      </w:pPr>
      <w:r w:rsidRPr="003C4D70">
        <w:rPr>
          <w:rFonts w:ascii="Arial" w:hAnsi="Arial" w:cs="Arial"/>
          <w:sz w:val="20"/>
          <w:szCs w:val="20"/>
        </w:rPr>
        <w:t xml:space="preserve">to the allotment of equity securities or sale of treasury shares (otherwise than under paragraph (a) or paragraph (b) above) up to a nominal amount equal to 20% of any allotment of equity securities or sale of treasury shares from time to time under paragraph (b) above, such power to be used only for the purposes of making a follow-on offer which the Board determines to be of a kind contemplated by paragraph 3 of section 2B of the Statement of Principles on </w:t>
      </w:r>
      <w:proofErr w:type="spellStart"/>
      <w:r w:rsidRPr="003C4D70">
        <w:rPr>
          <w:rFonts w:ascii="Arial" w:hAnsi="Arial" w:cs="Arial"/>
          <w:sz w:val="20"/>
          <w:szCs w:val="20"/>
        </w:rPr>
        <w:t>Disapplying</w:t>
      </w:r>
      <w:proofErr w:type="spellEnd"/>
      <w:r w:rsidRPr="003C4D70">
        <w:rPr>
          <w:rFonts w:ascii="Arial" w:hAnsi="Arial" w:cs="Arial"/>
          <w:sz w:val="20"/>
          <w:szCs w:val="20"/>
        </w:rPr>
        <w:t xml:space="preserve"> </w:t>
      </w:r>
      <w:proofErr w:type="spellStart"/>
      <w:r w:rsidRPr="003C4D70">
        <w:rPr>
          <w:rFonts w:ascii="Arial" w:hAnsi="Arial" w:cs="Arial"/>
          <w:sz w:val="20"/>
          <w:szCs w:val="20"/>
        </w:rPr>
        <w:t>PreEmption</w:t>
      </w:r>
      <w:proofErr w:type="spellEnd"/>
      <w:r w:rsidRPr="003C4D70">
        <w:rPr>
          <w:rFonts w:ascii="Arial" w:hAnsi="Arial" w:cs="Arial"/>
          <w:sz w:val="20"/>
          <w:szCs w:val="20"/>
        </w:rPr>
        <w:t xml:space="preserve"> Rights most recently published by the </w:t>
      </w:r>
      <w:proofErr w:type="spellStart"/>
      <w:r w:rsidRPr="003C4D70">
        <w:rPr>
          <w:rFonts w:ascii="Arial" w:hAnsi="Arial" w:cs="Arial"/>
          <w:sz w:val="20"/>
          <w:szCs w:val="20"/>
        </w:rPr>
        <w:t>PreEmption</w:t>
      </w:r>
      <w:proofErr w:type="spellEnd"/>
      <w:r w:rsidRPr="003C4D70">
        <w:rPr>
          <w:rFonts w:ascii="Arial" w:hAnsi="Arial" w:cs="Arial"/>
          <w:sz w:val="20"/>
          <w:szCs w:val="20"/>
        </w:rPr>
        <w:t xml:space="preserve"> Group prior to the date of this Notice (the ‘PEG Statement of Principles 2022’),</w:t>
      </w:r>
    </w:p>
    <w:p w14:paraId="0CDCD7EE" w14:textId="77777777" w:rsidR="00946901" w:rsidRPr="00946901" w:rsidRDefault="00946901" w:rsidP="006344CF">
      <w:pPr>
        <w:pStyle w:val="ListParagraph"/>
        <w:autoSpaceDE w:val="0"/>
        <w:autoSpaceDN w:val="0"/>
        <w:adjustRightInd w:val="0"/>
        <w:ind w:left="1080"/>
        <w:jc w:val="both"/>
        <w:rPr>
          <w:rFonts w:ascii="Arial" w:hAnsi="Arial" w:cs="Arial"/>
          <w:sz w:val="20"/>
          <w:szCs w:val="20"/>
        </w:rPr>
      </w:pPr>
    </w:p>
    <w:p w14:paraId="0F546EF9" w14:textId="77777777" w:rsidR="00946901" w:rsidRDefault="0083303D" w:rsidP="001437F9">
      <w:pPr>
        <w:autoSpaceDE w:val="0"/>
        <w:autoSpaceDN w:val="0"/>
        <w:adjustRightInd w:val="0"/>
        <w:jc w:val="both"/>
        <w:rPr>
          <w:rFonts w:ascii="Arial" w:hAnsi="Arial" w:cs="Arial"/>
          <w:sz w:val="20"/>
          <w:szCs w:val="20"/>
        </w:rPr>
      </w:pPr>
      <w:r w:rsidRPr="0083303D">
        <w:rPr>
          <w:rFonts w:ascii="Arial" w:hAnsi="Arial" w:cs="Arial"/>
          <w:sz w:val="20"/>
          <w:szCs w:val="20"/>
        </w:rPr>
        <w:t xml:space="preserve">such power to apply, unless previously renewed, revoked or varied, until the end of the next Annual General Meeting of the Company (or, if earlier, until the close of business on 18 January 2025) but, in each case, during this period the Company may make offers, and enter into agreements, which would, or might, require equity securities to be allotted (and/or treasury shares to be sold) after the power ends and the Board may allot equity securities (and/or sell treasury shares) under any such offer or agreement as if the power had not ended. </w:t>
      </w:r>
    </w:p>
    <w:p w14:paraId="35321210" w14:textId="77777777" w:rsidR="003C4D70" w:rsidRDefault="003C4D70" w:rsidP="001437F9">
      <w:pPr>
        <w:autoSpaceDE w:val="0"/>
        <w:autoSpaceDN w:val="0"/>
        <w:adjustRightInd w:val="0"/>
        <w:jc w:val="both"/>
        <w:rPr>
          <w:rFonts w:ascii="Arial" w:hAnsi="Arial" w:cs="Arial"/>
          <w:sz w:val="20"/>
          <w:szCs w:val="20"/>
        </w:rPr>
      </w:pPr>
    </w:p>
    <w:p w14:paraId="5CEBADDA" w14:textId="2E55D425" w:rsidR="003C4D70" w:rsidRDefault="003C4D70">
      <w:pPr>
        <w:rPr>
          <w:rFonts w:ascii="Arial" w:hAnsi="Arial" w:cs="Arial"/>
          <w:b/>
          <w:sz w:val="20"/>
          <w:szCs w:val="20"/>
          <w:u w:val="single"/>
        </w:rPr>
      </w:pPr>
      <w:r>
        <w:rPr>
          <w:rFonts w:ascii="Arial" w:hAnsi="Arial" w:cs="Arial"/>
          <w:b/>
          <w:sz w:val="20"/>
          <w:szCs w:val="20"/>
          <w:u w:val="single"/>
        </w:rPr>
        <w:t xml:space="preserve">Resolution 21: Directors’ authority </w:t>
      </w:r>
      <w:r w:rsidRPr="009F5D10">
        <w:rPr>
          <w:rFonts w:ascii="Arial" w:hAnsi="Arial" w:cs="Arial"/>
          <w:b/>
          <w:sz w:val="20"/>
          <w:szCs w:val="20"/>
          <w:u w:val="single"/>
        </w:rPr>
        <w:t>to allot or sell Ordinary Shares without</w:t>
      </w:r>
      <w:r>
        <w:rPr>
          <w:rFonts w:ascii="Arial" w:hAnsi="Arial" w:cs="Arial"/>
          <w:b/>
          <w:sz w:val="20"/>
          <w:szCs w:val="20"/>
          <w:u w:val="single"/>
        </w:rPr>
        <w:t xml:space="preserve"> </w:t>
      </w:r>
      <w:r w:rsidRPr="009F5D10">
        <w:rPr>
          <w:rFonts w:ascii="Arial" w:hAnsi="Arial" w:cs="Arial"/>
          <w:b/>
          <w:sz w:val="20"/>
          <w:szCs w:val="20"/>
          <w:u w:val="single"/>
        </w:rPr>
        <w:t>co</w:t>
      </w:r>
      <w:r>
        <w:rPr>
          <w:rFonts w:ascii="Arial" w:hAnsi="Arial" w:cs="Arial"/>
          <w:b/>
          <w:sz w:val="20"/>
          <w:szCs w:val="20"/>
          <w:u w:val="single"/>
        </w:rPr>
        <w:t>mplying with pre-emption rights (</w:t>
      </w:r>
      <w:r w:rsidR="00736FCE">
        <w:rPr>
          <w:rFonts w:ascii="Arial" w:hAnsi="Arial" w:cs="Arial"/>
          <w:b/>
          <w:sz w:val="20"/>
          <w:szCs w:val="20"/>
          <w:u w:val="single"/>
        </w:rPr>
        <w:t>acquisition or capital investment</w:t>
      </w:r>
      <w:r>
        <w:rPr>
          <w:rFonts w:ascii="Arial" w:hAnsi="Arial" w:cs="Arial"/>
          <w:b/>
          <w:sz w:val="20"/>
          <w:szCs w:val="20"/>
          <w:u w:val="single"/>
        </w:rPr>
        <w:t>)</w:t>
      </w:r>
    </w:p>
    <w:p w14:paraId="58796D52" w14:textId="77777777" w:rsidR="003C4D70" w:rsidRDefault="003C4D70">
      <w:pPr>
        <w:rPr>
          <w:rFonts w:ascii="Arial" w:hAnsi="Arial" w:cs="Arial"/>
          <w:b/>
          <w:sz w:val="20"/>
          <w:szCs w:val="20"/>
          <w:u w:val="single"/>
        </w:rPr>
      </w:pPr>
    </w:p>
    <w:p w14:paraId="4563B68F" w14:textId="77777777" w:rsidR="0083303D" w:rsidRPr="00F55091" w:rsidRDefault="0083303D">
      <w:pPr>
        <w:rPr>
          <w:rFonts w:ascii="Arial" w:hAnsi="Arial" w:cs="Arial"/>
          <w:sz w:val="20"/>
          <w:szCs w:val="20"/>
        </w:rPr>
      </w:pPr>
      <w:r w:rsidRPr="00F55091">
        <w:rPr>
          <w:rFonts w:ascii="Arial" w:hAnsi="Arial" w:cs="Arial"/>
          <w:sz w:val="20"/>
          <w:szCs w:val="20"/>
        </w:rPr>
        <w:t xml:space="preserve">That if resolution 19 is passed, the Board be given the power in addition to any power granted under resolution 20 to allot equity securities (as defined in the Act) for cash under the authority granted under resolution 19 and/or to sell ordinary shares held by the Company as treasury shares for cash as if Section 561 of the Act did not apply to any such allotment or sale, such power to be limited:  </w:t>
      </w:r>
    </w:p>
    <w:p w14:paraId="1D5F68A3" w14:textId="77777777" w:rsidR="0083303D" w:rsidRDefault="0083303D">
      <w:pPr>
        <w:rPr>
          <w:rFonts w:ascii="Arial" w:hAnsi="Arial" w:cs="Arial"/>
          <w:sz w:val="20"/>
          <w:szCs w:val="20"/>
          <w:u w:val="single"/>
        </w:rPr>
      </w:pPr>
    </w:p>
    <w:p w14:paraId="703E0323" w14:textId="77777777" w:rsidR="0083303D" w:rsidRPr="00F55091" w:rsidRDefault="0083303D" w:rsidP="00F55091">
      <w:pPr>
        <w:pStyle w:val="ListParagraph"/>
        <w:numPr>
          <w:ilvl w:val="0"/>
          <w:numId w:val="19"/>
        </w:numPr>
        <w:autoSpaceDE w:val="0"/>
        <w:autoSpaceDN w:val="0"/>
        <w:adjustRightInd w:val="0"/>
        <w:jc w:val="both"/>
        <w:rPr>
          <w:rFonts w:ascii="Arial" w:hAnsi="Arial" w:cs="Arial"/>
          <w:sz w:val="20"/>
          <w:szCs w:val="20"/>
          <w:u w:val="single"/>
        </w:rPr>
      </w:pPr>
      <w:r w:rsidRPr="00F55091">
        <w:rPr>
          <w:rFonts w:ascii="Arial" w:hAnsi="Arial" w:cs="Arial"/>
          <w:sz w:val="20"/>
          <w:szCs w:val="20"/>
        </w:rPr>
        <w:t xml:space="preserve">to the allotment of equity securities or sale of treasury shares up to a nominal amount of £9,745,857, such power to be used only for the purposes of financing a transaction which the Board determines to be either an acquisition or a specified capital investment of a kind contemplated by the PEG Statement of Principles 2022, or for the purposes of refinancing such a transaction within 12 months of its taking place; and </w:t>
      </w:r>
    </w:p>
    <w:p w14:paraId="160B5253" w14:textId="77777777" w:rsidR="0083303D" w:rsidRPr="00F55091" w:rsidRDefault="0083303D" w:rsidP="00F55091">
      <w:pPr>
        <w:pStyle w:val="ListParagraph"/>
        <w:autoSpaceDE w:val="0"/>
        <w:autoSpaceDN w:val="0"/>
        <w:adjustRightInd w:val="0"/>
        <w:jc w:val="both"/>
        <w:rPr>
          <w:rFonts w:ascii="Arial" w:hAnsi="Arial" w:cs="Arial"/>
          <w:sz w:val="20"/>
          <w:szCs w:val="20"/>
          <w:u w:val="single"/>
        </w:rPr>
      </w:pPr>
    </w:p>
    <w:p w14:paraId="4B61F053" w14:textId="77777777" w:rsidR="0083303D" w:rsidRDefault="0083303D" w:rsidP="00F55091">
      <w:pPr>
        <w:pStyle w:val="ListParagraph"/>
        <w:numPr>
          <w:ilvl w:val="0"/>
          <w:numId w:val="19"/>
        </w:numPr>
        <w:autoSpaceDE w:val="0"/>
        <w:autoSpaceDN w:val="0"/>
        <w:adjustRightInd w:val="0"/>
        <w:jc w:val="both"/>
        <w:rPr>
          <w:rFonts w:ascii="Arial" w:hAnsi="Arial" w:cs="Arial"/>
          <w:sz w:val="20"/>
          <w:szCs w:val="20"/>
        </w:rPr>
      </w:pPr>
      <w:r w:rsidRPr="00F55091">
        <w:rPr>
          <w:rFonts w:ascii="Arial" w:hAnsi="Arial" w:cs="Arial"/>
          <w:sz w:val="20"/>
          <w:szCs w:val="20"/>
        </w:rPr>
        <w:t xml:space="preserve">to the allotment of equity securities or sale of treasury shares (otherwise than under paragraph (a) above) up to a nominal amount equal to 20% of any allotment of equity securities or sale of treasury shares from time to time under paragraph (a) above, such power to be used only for the purposes of making a follow-on offer which the Board determines to be of a kind contemplated by paragraph 3 of section 2B of the PEG Statement of Principles 2022,  </w:t>
      </w:r>
    </w:p>
    <w:p w14:paraId="074D8682" w14:textId="77777777" w:rsidR="0083303D" w:rsidRPr="00F55091" w:rsidRDefault="0083303D" w:rsidP="00F55091">
      <w:pPr>
        <w:pStyle w:val="ListParagraph"/>
        <w:rPr>
          <w:rFonts w:ascii="Arial" w:hAnsi="Arial" w:cs="Arial"/>
          <w:sz w:val="20"/>
          <w:szCs w:val="20"/>
        </w:rPr>
      </w:pPr>
    </w:p>
    <w:p w14:paraId="442DE159" w14:textId="77777777" w:rsidR="003C4D70" w:rsidRPr="00F55091" w:rsidRDefault="0083303D" w:rsidP="00F55091">
      <w:pPr>
        <w:autoSpaceDE w:val="0"/>
        <w:autoSpaceDN w:val="0"/>
        <w:adjustRightInd w:val="0"/>
        <w:jc w:val="both"/>
        <w:rPr>
          <w:rFonts w:ascii="Arial" w:hAnsi="Arial" w:cs="Arial"/>
          <w:sz w:val="20"/>
          <w:szCs w:val="20"/>
        </w:rPr>
      </w:pPr>
      <w:r w:rsidRPr="00F55091">
        <w:rPr>
          <w:rFonts w:ascii="Arial" w:hAnsi="Arial" w:cs="Arial"/>
          <w:sz w:val="20"/>
          <w:szCs w:val="20"/>
        </w:rPr>
        <w:t>such power to apply, unless previously renewed, revoked or varied, until the end of the next Annual General Meeting of the Company (or, if earlier, until the close of business on 18 January 2025) but, in each case, during this period the Company may make offers, and enter into agreements, which would, or might, require equity securities to be allotted (and/or treasury shares to be sold) after the power ends and the Board may allot equity securities (and/or sell treasury shares) under any such offer or agreement as if the power had not ended.</w:t>
      </w:r>
    </w:p>
    <w:p w14:paraId="2F2AEF0C" w14:textId="77777777" w:rsidR="003C4D70" w:rsidRPr="00F55091" w:rsidRDefault="003C4D70">
      <w:pPr>
        <w:rPr>
          <w:rFonts w:ascii="Arial" w:hAnsi="Arial" w:cs="Arial"/>
          <w:b/>
          <w:sz w:val="20"/>
          <w:szCs w:val="20"/>
        </w:rPr>
      </w:pPr>
    </w:p>
    <w:p w14:paraId="1D215F6D" w14:textId="77777777" w:rsidR="009B315E" w:rsidRDefault="009B315E" w:rsidP="00F55091">
      <w:pPr>
        <w:rPr>
          <w:rFonts w:ascii="Arial" w:hAnsi="Arial" w:cs="Arial"/>
          <w:b/>
          <w:sz w:val="20"/>
          <w:szCs w:val="20"/>
          <w:u w:val="single"/>
        </w:rPr>
      </w:pPr>
      <w:r>
        <w:rPr>
          <w:rFonts w:ascii="Arial" w:hAnsi="Arial" w:cs="Arial"/>
          <w:b/>
          <w:sz w:val="20"/>
          <w:szCs w:val="20"/>
          <w:u w:val="single"/>
        </w:rPr>
        <w:lastRenderedPageBreak/>
        <w:t xml:space="preserve">Resolution </w:t>
      </w:r>
      <w:r w:rsidR="0083303D">
        <w:rPr>
          <w:rFonts w:ascii="Arial" w:hAnsi="Arial" w:cs="Arial"/>
          <w:b/>
          <w:sz w:val="20"/>
          <w:szCs w:val="20"/>
          <w:u w:val="single"/>
        </w:rPr>
        <w:t>22</w:t>
      </w:r>
      <w:r>
        <w:rPr>
          <w:rFonts w:ascii="Arial" w:hAnsi="Arial" w:cs="Arial"/>
          <w:b/>
          <w:sz w:val="20"/>
          <w:szCs w:val="20"/>
          <w:u w:val="single"/>
        </w:rPr>
        <w:t xml:space="preserve">: </w:t>
      </w:r>
      <w:r w:rsidR="00657A06">
        <w:rPr>
          <w:rFonts w:ascii="Arial" w:hAnsi="Arial" w:cs="Arial"/>
          <w:b/>
          <w:sz w:val="20"/>
          <w:szCs w:val="20"/>
          <w:u w:val="single"/>
        </w:rPr>
        <w:t>Directors’ a</w:t>
      </w:r>
      <w:r w:rsidR="00657A06" w:rsidRPr="009571F4">
        <w:rPr>
          <w:rFonts w:ascii="Arial" w:hAnsi="Arial" w:cs="Arial"/>
          <w:b/>
          <w:sz w:val="20"/>
          <w:szCs w:val="20"/>
          <w:u w:val="single"/>
        </w:rPr>
        <w:t xml:space="preserve">uthority to </w:t>
      </w:r>
      <w:r w:rsidR="00657A06">
        <w:rPr>
          <w:rFonts w:ascii="Arial" w:hAnsi="Arial" w:cs="Arial"/>
          <w:b/>
          <w:sz w:val="20"/>
          <w:szCs w:val="20"/>
          <w:u w:val="single"/>
        </w:rPr>
        <w:t>m</w:t>
      </w:r>
      <w:r w:rsidR="00657A06" w:rsidRPr="009571F4">
        <w:rPr>
          <w:rFonts w:ascii="Arial" w:hAnsi="Arial" w:cs="Arial"/>
          <w:b/>
          <w:sz w:val="20"/>
          <w:szCs w:val="20"/>
          <w:u w:val="single"/>
        </w:rPr>
        <w:t xml:space="preserve">ake </w:t>
      </w:r>
      <w:r w:rsidR="00657A06">
        <w:rPr>
          <w:rFonts w:ascii="Arial" w:hAnsi="Arial" w:cs="Arial"/>
          <w:b/>
          <w:sz w:val="20"/>
          <w:szCs w:val="20"/>
          <w:u w:val="single"/>
        </w:rPr>
        <w:t>m</w:t>
      </w:r>
      <w:r w:rsidR="00657A06" w:rsidRPr="009571F4">
        <w:rPr>
          <w:rFonts w:ascii="Arial" w:hAnsi="Arial" w:cs="Arial"/>
          <w:b/>
          <w:sz w:val="20"/>
          <w:szCs w:val="20"/>
          <w:u w:val="single"/>
        </w:rPr>
        <w:t xml:space="preserve">arket </w:t>
      </w:r>
      <w:r w:rsidR="00657A06">
        <w:rPr>
          <w:rFonts w:ascii="Arial" w:hAnsi="Arial" w:cs="Arial"/>
          <w:b/>
          <w:sz w:val="20"/>
          <w:szCs w:val="20"/>
          <w:u w:val="single"/>
        </w:rPr>
        <w:t>p</w:t>
      </w:r>
      <w:r w:rsidR="00657A06" w:rsidRPr="009571F4">
        <w:rPr>
          <w:rFonts w:ascii="Arial" w:hAnsi="Arial" w:cs="Arial"/>
          <w:b/>
          <w:sz w:val="20"/>
          <w:szCs w:val="20"/>
          <w:u w:val="single"/>
        </w:rPr>
        <w:t>urchases</w:t>
      </w:r>
      <w:r w:rsidR="00657A06">
        <w:rPr>
          <w:rFonts w:ascii="Arial" w:hAnsi="Arial" w:cs="Arial"/>
          <w:b/>
          <w:sz w:val="20"/>
          <w:szCs w:val="20"/>
          <w:u w:val="single"/>
        </w:rPr>
        <w:t xml:space="preserve"> of its Ordinary Shares</w:t>
      </w:r>
    </w:p>
    <w:p w14:paraId="245697B0" w14:textId="77777777" w:rsidR="0085405D" w:rsidRDefault="0085405D" w:rsidP="0007151A">
      <w:pPr>
        <w:autoSpaceDE w:val="0"/>
        <w:autoSpaceDN w:val="0"/>
        <w:adjustRightInd w:val="0"/>
        <w:ind w:left="709" w:hanging="709"/>
        <w:jc w:val="both"/>
        <w:rPr>
          <w:rFonts w:ascii="Arial" w:hAnsi="Arial" w:cs="Arial"/>
          <w:sz w:val="20"/>
          <w:szCs w:val="20"/>
        </w:rPr>
      </w:pPr>
    </w:p>
    <w:p w14:paraId="29061288" w14:textId="77777777" w:rsidR="00946901" w:rsidRDefault="0083303D" w:rsidP="006344CF">
      <w:pPr>
        <w:widowControl w:val="0"/>
        <w:tabs>
          <w:tab w:val="left" w:pos="426"/>
        </w:tabs>
        <w:kinsoku w:val="0"/>
        <w:overflowPunct w:val="0"/>
        <w:autoSpaceDE w:val="0"/>
        <w:autoSpaceDN w:val="0"/>
        <w:adjustRightInd w:val="0"/>
        <w:spacing w:before="114"/>
        <w:rPr>
          <w:rFonts w:ascii="Arial" w:eastAsiaTheme="minorEastAsia" w:hAnsi="Arial" w:cs="Arial"/>
          <w:color w:val="231F20"/>
          <w:sz w:val="20"/>
          <w:szCs w:val="20"/>
          <w:lang w:eastAsia="en-GB"/>
        </w:rPr>
      </w:pPr>
      <w:r w:rsidRPr="0083303D">
        <w:rPr>
          <w:rFonts w:ascii="Arial" w:eastAsiaTheme="minorEastAsia" w:hAnsi="Arial" w:cs="Arial"/>
          <w:color w:val="231F20"/>
          <w:sz w:val="20"/>
          <w:szCs w:val="20"/>
          <w:lang w:eastAsia="en-GB"/>
        </w:rPr>
        <w:t>That the Company be and is hereby generally and unconditionally authorised for the purposes of Section 701 of the Act to make one or more market purchases (as defined in Section 693(4) of the Act) of its ordinary shares of 10 pence each in the capital of the Company (‘ordinary shares’), on such terms and in such manner as the Board may from time to time determine, provided that such authority shall be limited:</w:t>
      </w:r>
      <w:r w:rsidR="001437F9" w:rsidRPr="001437F9" w:rsidDel="001437F9">
        <w:rPr>
          <w:rFonts w:ascii="Arial" w:eastAsiaTheme="minorEastAsia" w:hAnsi="Arial" w:cs="Arial"/>
          <w:color w:val="231F20"/>
          <w:sz w:val="20"/>
          <w:szCs w:val="20"/>
          <w:lang w:eastAsia="en-GB"/>
        </w:rPr>
        <w:t xml:space="preserve"> </w:t>
      </w:r>
    </w:p>
    <w:p w14:paraId="6901ABD8" w14:textId="77777777" w:rsidR="0085405D" w:rsidRPr="006344CF" w:rsidRDefault="0083303D" w:rsidP="007B295B">
      <w:pPr>
        <w:widowControl w:val="0"/>
        <w:numPr>
          <w:ilvl w:val="1"/>
          <w:numId w:val="20"/>
        </w:numPr>
        <w:tabs>
          <w:tab w:val="left" w:pos="426"/>
        </w:tabs>
        <w:kinsoku w:val="0"/>
        <w:overflowPunct w:val="0"/>
        <w:autoSpaceDE w:val="0"/>
        <w:autoSpaceDN w:val="0"/>
        <w:adjustRightInd w:val="0"/>
        <w:spacing w:before="126" w:line="254" w:lineRule="auto"/>
        <w:ind w:left="426" w:right="228" w:hanging="426"/>
        <w:rPr>
          <w:rFonts w:ascii="Arial" w:eastAsiaTheme="minorEastAsia" w:hAnsi="Arial" w:cs="Arial"/>
          <w:color w:val="231F20"/>
          <w:sz w:val="20"/>
          <w:szCs w:val="20"/>
          <w:lang w:eastAsia="en-GB"/>
        </w:rPr>
      </w:pPr>
      <w:r w:rsidRPr="0083303D">
        <w:rPr>
          <w:rFonts w:ascii="Arial" w:eastAsiaTheme="minorEastAsia" w:hAnsi="Arial" w:cs="Arial"/>
          <w:color w:val="231F20"/>
          <w:sz w:val="20"/>
          <w:szCs w:val="20"/>
          <w:lang w:eastAsia="en-GB"/>
        </w:rPr>
        <w:t>to a maximum number of 97,458,579 ordinary</w:t>
      </w:r>
      <w:r>
        <w:rPr>
          <w:rFonts w:ascii="Arial" w:eastAsiaTheme="minorEastAsia" w:hAnsi="Arial" w:cs="Arial"/>
          <w:color w:val="231F20"/>
          <w:sz w:val="20"/>
          <w:szCs w:val="20"/>
          <w:lang w:eastAsia="en-GB"/>
        </w:rPr>
        <w:t xml:space="preserve"> </w:t>
      </w:r>
      <w:r w:rsidR="001437F9" w:rsidRPr="006344CF">
        <w:rPr>
          <w:rFonts w:ascii="Arial" w:eastAsiaTheme="minorEastAsia" w:hAnsi="Arial" w:cs="Arial"/>
          <w:color w:val="231F20"/>
          <w:sz w:val="20"/>
          <w:szCs w:val="20"/>
          <w:lang w:eastAsia="en-GB"/>
        </w:rPr>
        <w:t>shares;</w:t>
      </w:r>
    </w:p>
    <w:p w14:paraId="002A5F67" w14:textId="392CAA21" w:rsidR="0085405D" w:rsidRPr="00FC602B" w:rsidRDefault="0085405D" w:rsidP="007B295B">
      <w:pPr>
        <w:widowControl w:val="0"/>
        <w:numPr>
          <w:ilvl w:val="1"/>
          <w:numId w:val="20"/>
        </w:numPr>
        <w:tabs>
          <w:tab w:val="left" w:pos="426"/>
        </w:tabs>
        <w:kinsoku w:val="0"/>
        <w:overflowPunct w:val="0"/>
        <w:autoSpaceDE w:val="0"/>
        <w:autoSpaceDN w:val="0"/>
        <w:adjustRightInd w:val="0"/>
        <w:spacing w:before="126" w:line="254" w:lineRule="auto"/>
        <w:ind w:left="426" w:right="228" w:hanging="426"/>
        <w:rPr>
          <w:rFonts w:ascii="Arial" w:eastAsiaTheme="minorEastAsia" w:hAnsi="Arial" w:cs="Arial"/>
          <w:color w:val="231F20"/>
          <w:spacing w:val="-4"/>
          <w:sz w:val="20"/>
          <w:szCs w:val="20"/>
          <w:lang w:eastAsia="en-GB"/>
        </w:rPr>
      </w:pPr>
      <w:r w:rsidRPr="00FC602B">
        <w:rPr>
          <w:rFonts w:ascii="Arial" w:eastAsiaTheme="minorEastAsia" w:hAnsi="Arial" w:cs="Arial"/>
          <w:color w:val="231F20"/>
          <w:sz w:val="20"/>
          <w:szCs w:val="20"/>
          <w:lang w:eastAsia="en-GB"/>
        </w:rPr>
        <w:t>by the condition that the maximum price, exclusive of expenses,</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which</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may</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be</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paid</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for</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an</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ordinary</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share</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 xml:space="preserve">shall be the </w:t>
      </w:r>
      <w:r w:rsidR="00C85A46">
        <w:rPr>
          <w:rFonts w:ascii="Arial" w:eastAsiaTheme="minorEastAsia" w:hAnsi="Arial" w:cs="Arial"/>
          <w:color w:val="231F20"/>
          <w:sz w:val="20"/>
          <w:szCs w:val="20"/>
          <w:lang w:eastAsia="en-GB"/>
        </w:rPr>
        <w:t>highest</w:t>
      </w:r>
      <w:r w:rsidR="00C85A46" w:rsidRPr="00FC602B">
        <w:rPr>
          <w:rFonts w:ascii="Arial" w:eastAsiaTheme="minorEastAsia" w:hAnsi="Arial" w:cs="Arial"/>
          <w:color w:val="231F20"/>
          <w:spacing w:val="-34"/>
          <w:sz w:val="20"/>
          <w:szCs w:val="20"/>
          <w:lang w:eastAsia="en-GB"/>
        </w:rPr>
        <w:t xml:space="preserve"> </w:t>
      </w:r>
      <w:r w:rsidRPr="00FC602B">
        <w:rPr>
          <w:rFonts w:ascii="Arial" w:eastAsiaTheme="minorEastAsia" w:hAnsi="Arial" w:cs="Arial"/>
          <w:color w:val="231F20"/>
          <w:spacing w:val="-4"/>
          <w:sz w:val="20"/>
          <w:szCs w:val="20"/>
          <w:lang w:eastAsia="en-GB"/>
        </w:rPr>
        <w:t>of:</w:t>
      </w:r>
      <w:r w:rsidR="00C85A46">
        <w:rPr>
          <w:rFonts w:ascii="Arial" w:eastAsiaTheme="minorEastAsia" w:hAnsi="Arial" w:cs="Arial"/>
          <w:color w:val="231F20"/>
          <w:spacing w:val="-4"/>
          <w:sz w:val="20"/>
          <w:szCs w:val="20"/>
          <w:lang w:eastAsia="en-GB"/>
        </w:rPr>
        <w:t xml:space="preserve"> </w:t>
      </w:r>
    </w:p>
    <w:p w14:paraId="749AB567" w14:textId="77777777" w:rsidR="0085405D" w:rsidRPr="00FC602B" w:rsidRDefault="0085405D" w:rsidP="007B295B">
      <w:pPr>
        <w:widowControl w:val="0"/>
        <w:numPr>
          <w:ilvl w:val="2"/>
          <w:numId w:val="20"/>
        </w:numPr>
        <w:tabs>
          <w:tab w:val="left" w:pos="851"/>
        </w:tabs>
        <w:kinsoku w:val="0"/>
        <w:overflowPunct w:val="0"/>
        <w:autoSpaceDE w:val="0"/>
        <w:autoSpaceDN w:val="0"/>
        <w:adjustRightInd w:val="0"/>
        <w:spacing w:before="114" w:line="254" w:lineRule="auto"/>
        <w:ind w:left="851" w:right="216" w:hanging="425"/>
        <w:rPr>
          <w:rFonts w:ascii="Arial" w:eastAsiaTheme="minorEastAsia" w:hAnsi="Arial" w:cs="Arial"/>
          <w:color w:val="231F20"/>
          <w:sz w:val="20"/>
          <w:szCs w:val="20"/>
          <w:lang w:eastAsia="en-GB"/>
        </w:rPr>
      </w:pPr>
      <w:r w:rsidRPr="00FC602B">
        <w:rPr>
          <w:rFonts w:ascii="Arial" w:eastAsiaTheme="minorEastAsia" w:hAnsi="Arial" w:cs="Arial"/>
          <w:color w:val="231F20"/>
          <w:sz w:val="20"/>
          <w:szCs w:val="20"/>
          <w:lang w:eastAsia="en-GB"/>
        </w:rPr>
        <w:t xml:space="preserve">an amount equal to 5% above the average </w:t>
      </w:r>
      <w:r w:rsidRPr="00FC602B">
        <w:rPr>
          <w:rFonts w:ascii="Arial" w:eastAsiaTheme="minorEastAsia" w:hAnsi="Arial" w:cs="Arial"/>
          <w:color w:val="231F20"/>
          <w:spacing w:val="-3"/>
          <w:sz w:val="20"/>
          <w:szCs w:val="20"/>
          <w:lang w:eastAsia="en-GB"/>
        </w:rPr>
        <w:t xml:space="preserve">market </w:t>
      </w:r>
      <w:r w:rsidRPr="00FC602B">
        <w:rPr>
          <w:rFonts w:ascii="Arial" w:eastAsiaTheme="minorEastAsia" w:hAnsi="Arial" w:cs="Arial"/>
          <w:color w:val="231F20"/>
          <w:sz w:val="20"/>
          <w:szCs w:val="20"/>
          <w:lang w:eastAsia="en-GB"/>
        </w:rPr>
        <w:t>value</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of</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an</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ordinary</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share</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for</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the</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five</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business</w:t>
      </w:r>
      <w:r w:rsidRPr="00FC602B">
        <w:rPr>
          <w:rFonts w:ascii="Arial" w:eastAsiaTheme="minorEastAsia" w:hAnsi="Arial" w:cs="Arial"/>
          <w:color w:val="231F20"/>
          <w:spacing w:val="-21"/>
          <w:sz w:val="20"/>
          <w:szCs w:val="20"/>
          <w:lang w:eastAsia="en-GB"/>
        </w:rPr>
        <w:t xml:space="preserve"> </w:t>
      </w:r>
      <w:r w:rsidRPr="00FC602B">
        <w:rPr>
          <w:rFonts w:ascii="Arial" w:eastAsiaTheme="minorEastAsia" w:hAnsi="Arial" w:cs="Arial"/>
          <w:color w:val="231F20"/>
          <w:sz w:val="20"/>
          <w:szCs w:val="20"/>
          <w:lang w:eastAsia="en-GB"/>
        </w:rPr>
        <w:t>days immediately preceding the day on which that ordinary</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share</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is</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contracted</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to</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be</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purchased;</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and</w:t>
      </w:r>
    </w:p>
    <w:p w14:paraId="6E2E1917" w14:textId="77777777" w:rsidR="0085405D" w:rsidRPr="00FC602B" w:rsidRDefault="0083303D" w:rsidP="00F55091">
      <w:pPr>
        <w:widowControl w:val="0"/>
        <w:numPr>
          <w:ilvl w:val="2"/>
          <w:numId w:val="20"/>
        </w:numPr>
        <w:tabs>
          <w:tab w:val="left" w:pos="851"/>
        </w:tabs>
        <w:kinsoku w:val="0"/>
        <w:overflowPunct w:val="0"/>
        <w:autoSpaceDE w:val="0"/>
        <w:autoSpaceDN w:val="0"/>
        <w:adjustRightInd w:val="0"/>
        <w:spacing w:before="114" w:line="254" w:lineRule="auto"/>
        <w:ind w:left="851" w:right="230" w:hanging="425"/>
        <w:rPr>
          <w:rFonts w:ascii="Arial" w:eastAsiaTheme="minorEastAsia" w:hAnsi="Arial" w:cs="Arial"/>
          <w:color w:val="231F20"/>
          <w:sz w:val="20"/>
          <w:szCs w:val="20"/>
          <w:lang w:eastAsia="en-GB"/>
        </w:rPr>
      </w:pPr>
      <w:r w:rsidRPr="0083303D">
        <w:rPr>
          <w:rFonts w:ascii="Arial" w:eastAsiaTheme="minorEastAsia" w:hAnsi="Arial" w:cs="Arial"/>
          <w:color w:val="231F20"/>
          <w:sz w:val="20"/>
          <w:szCs w:val="20"/>
          <w:lang w:eastAsia="en-GB"/>
        </w:rPr>
        <w:t>the higher of the price of the last independent trade and the highest current independent bid for an ordinary share on the trading venue on which the purchase is to be carried out, including when the shares are traded on different trading venues;</w:t>
      </w:r>
      <w:r w:rsidR="0085405D" w:rsidRPr="00FC602B">
        <w:rPr>
          <w:rFonts w:ascii="Arial" w:eastAsiaTheme="minorEastAsia" w:hAnsi="Arial" w:cs="Arial"/>
          <w:color w:val="231F20"/>
          <w:spacing w:val="-27"/>
          <w:sz w:val="20"/>
          <w:szCs w:val="20"/>
          <w:lang w:eastAsia="en-GB"/>
        </w:rPr>
        <w:t xml:space="preserve"> </w:t>
      </w:r>
      <w:r w:rsidR="0085405D" w:rsidRPr="00FC602B">
        <w:rPr>
          <w:rFonts w:ascii="Arial" w:eastAsiaTheme="minorEastAsia" w:hAnsi="Arial" w:cs="Arial"/>
          <w:color w:val="231F20"/>
          <w:sz w:val="20"/>
          <w:szCs w:val="20"/>
          <w:lang w:eastAsia="en-GB"/>
        </w:rPr>
        <w:t>and</w:t>
      </w:r>
    </w:p>
    <w:p w14:paraId="79858C80" w14:textId="77777777" w:rsidR="0085405D" w:rsidRDefault="0085405D" w:rsidP="007B295B">
      <w:pPr>
        <w:widowControl w:val="0"/>
        <w:numPr>
          <w:ilvl w:val="1"/>
          <w:numId w:val="20"/>
        </w:numPr>
        <w:tabs>
          <w:tab w:val="left" w:pos="426"/>
        </w:tabs>
        <w:kinsoku w:val="0"/>
        <w:overflowPunct w:val="0"/>
        <w:autoSpaceDE w:val="0"/>
        <w:autoSpaceDN w:val="0"/>
        <w:adjustRightInd w:val="0"/>
        <w:spacing w:before="114" w:line="254" w:lineRule="auto"/>
        <w:ind w:left="426" w:right="476" w:hanging="426"/>
        <w:jc w:val="both"/>
        <w:rPr>
          <w:rFonts w:ascii="Arial" w:eastAsiaTheme="minorEastAsia" w:hAnsi="Arial" w:cs="Arial"/>
          <w:color w:val="231F20"/>
          <w:w w:val="95"/>
          <w:sz w:val="20"/>
          <w:szCs w:val="20"/>
          <w:lang w:eastAsia="en-GB"/>
        </w:rPr>
      </w:pPr>
      <w:r w:rsidRPr="00FC602B">
        <w:rPr>
          <w:rFonts w:ascii="Arial" w:eastAsiaTheme="minorEastAsia" w:hAnsi="Arial" w:cs="Arial"/>
          <w:color w:val="231F20"/>
          <w:sz w:val="20"/>
          <w:szCs w:val="20"/>
          <w:lang w:eastAsia="en-GB"/>
        </w:rPr>
        <w:t>by</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the</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condition</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that</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the</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minimum</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price,</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exclusive</w:t>
      </w:r>
      <w:r w:rsidRPr="00FC602B">
        <w:rPr>
          <w:rFonts w:ascii="Arial" w:eastAsiaTheme="minorEastAsia" w:hAnsi="Arial" w:cs="Arial"/>
          <w:color w:val="231F20"/>
          <w:spacing w:val="-16"/>
          <w:sz w:val="20"/>
          <w:szCs w:val="20"/>
          <w:lang w:eastAsia="en-GB"/>
        </w:rPr>
        <w:t xml:space="preserve"> </w:t>
      </w:r>
      <w:r w:rsidRPr="00FC602B">
        <w:rPr>
          <w:rFonts w:ascii="Arial" w:eastAsiaTheme="minorEastAsia" w:hAnsi="Arial" w:cs="Arial"/>
          <w:color w:val="231F20"/>
          <w:sz w:val="20"/>
          <w:szCs w:val="20"/>
          <w:lang w:eastAsia="en-GB"/>
        </w:rPr>
        <w:t>of expenses,</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which</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may</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be</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paid</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for</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an</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ordinary</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share</w:t>
      </w:r>
      <w:r w:rsidRPr="00FC602B">
        <w:rPr>
          <w:rFonts w:ascii="Arial" w:eastAsiaTheme="minorEastAsia" w:hAnsi="Arial" w:cs="Arial"/>
          <w:color w:val="231F20"/>
          <w:spacing w:val="-22"/>
          <w:sz w:val="20"/>
          <w:szCs w:val="20"/>
          <w:lang w:eastAsia="en-GB"/>
        </w:rPr>
        <w:t xml:space="preserve"> </w:t>
      </w:r>
      <w:r w:rsidRPr="00FC602B">
        <w:rPr>
          <w:rFonts w:ascii="Arial" w:eastAsiaTheme="minorEastAsia" w:hAnsi="Arial" w:cs="Arial"/>
          <w:color w:val="231F20"/>
          <w:sz w:val="20"/>
          <w:szCs w:val="20"/>
          <w:lang w:eastAsia="en-GB"/>
        </w:rPr>
        <w:t xml:space="preserve">is </w:t>
      </w:r>
      <w:r w:rsidRPr="00FC602B">
        <w:rPr>
          <w:rFonts w:ascii="Arial" w:eastAsiaTheme="minorEastAsia" w:hAnsi="Arial" w:cs="Arial"/>
          <w:color w:val="231F20"/>
          <w:w w:val="95"/>
          <w:sz w:val="20"/>
          <w:szCs w:val="20"/>
          <w:lang w:eastAsia="en-GB"/>
        </w:rPr>
        <w:t>10</w:t>
      </w:r>
      <w:r w:rsidRPr="00FC602B">
        <w:rPr>
          <w:rFonts w:ascii="Arial" w:eastAsiaTheme="minorEastAsia" w:hAnsi="Arial" w:cs="Arial"/>
          <w:color w:val="231F20"/>
          <w:spacing w:val="-20"/>
          <w:w w:val="95"/>
          <w:sz w:val="20"/>
          <w:szCs w:val="20"/>
          <w:lang w:eastAsia="en-GB"/>
        </w:rPr>
        <w:t xml:space="preserve"> </w:t>
      </w:r>
      <w:r w:rsidRPr="00FC602B">
        <w:rPr>
          <w:rFonts w:ascii="Arial" w:eastAsiaTheme="minorEastAsia" w:hAnsi="Arial" w:cs="Arial"/>
          <w:color w:val="231F20"/>
          <w:w w:val="95"/>
          <w:sz w:val="20"/>
          <w:szCs w:val="20"/>
          <w:lang w:eastAsia="en-GB"/>
        </w:rPr>
        <w:t>pence,</w:t>
      </w:r>
    </w:p>
    <w:p w14:paraId="136C022A" w14:textId="77777777" w:rsidR="00946901" w:rsidRDefault="00946901" w:rsidP="0007151A">
      <w:pPr>
        <w:autoSpaceDE w:val="0"/>
        <w:autoSpaceDN w:val="0"/>
        <w:adjustRightInd w:val="0"/>
        <w:ind w:left="709" w:hanging="709"/>
        <w:jc w:val="both"/>
        <w:rPr>
          <w:rFonts w:ascii="Arial" w:eastAsiaTheme="minorEastAsia" w:hAnsi="Arial" w:cs="Arial"/>
          <w:color w:val="231F20"/>
          <w:sz w:val="20"/>
          <w:szCs w:val="20"/>
          <w:lang w:eastAsia="en-GB"/>
        </w:rPr>
      </w:pPr>
    </w:p>
    <w:p w14:paraId="319BBBE2" w14:textId="77777777" w:rsidR="0083303D" w:rsidRDefault="0083303D" w:rsidP="006344CF">
      <w:pPr>
        <w:autoSpaceDE w:val="0"/>
        <w:autoSpaceDN w:val="0"/>
        <w:adjustRightInd w:val="0"/>
        <w:jc w:val="both"/>
        <w:rPr>
          <w:rFonts w:ascii="Arial" w:eastAsiaTheme="minorEastAsia" w:hAnsi="Arial" w:cs="Arial"/>
          <w:color w:val="231F20"/>
          <w:sz w:val="20"/>
          <w:szCs w:val="20"/>
          <w:lang w:eastAsia="en-GB"/>
        </w:rPr>
      </w:pPr>
      <w:r w:rsidRPr="0083303D">
        <w:rPr>
          <w:rFonts w:ascii="Arial" w:eastAsiaTheme="minorEastAsia" w:hAnsi="Arial" w:cs="Arial"/>
          <w:color w:val="231F20"/>
          <w:sz w:val="20"/>
          <w:szCs w:val="20"/>
          <w:lang w:eastAsia="en-GB"/>
        </w:rPr>
        <w:t>such authority to apply, unless previously renewed, revoked or varied, until the end of the next Annual General Meeting of the Company (or, if earlier, until the close of business on 18 January 2025) but so that during the relevant period the Company may enter into a contract under which a purchase of ordinary shares will or may be completed or executed wholly or partly after the authority ends and the Company may purchase ordinary shares pursuant to any such contract as if the authority had not ended.</w:t>
      </w:r>
    </w:p>
    <w:p w14:paraId="3E83908A" w14:textId="77777777" w:rsidR="0085405D" w:rsidRPr="0007151A" w:rsidRDefault="0085405D" w:rsidP="006344CF">
      <w:pPr>
        <w:autoSpaceDE w:val="0"/>
        <w:autoSpaceDN w:val="0"/>
        <w:adjustRightInd w:val="0"/>
        <w:jc w:val="both"/>
        <w:rPr>
          <w:rFonts w:ascii="Arial" w:hAnsi="Arial" w:cs="Arial"/>
          <w:sz w:val="20"/>
          <w:szCs w:val="20"/>
        </w:rPr>
      </w:pPr>
    </w:p>
    <w:p w14:paraId="584CC3E4" w14:textId="77777777" w:rsidR="006E0201" w:rsidRPr="009571F4" w:rsidRDefault="006E0201" w:rsidP="0007151A">
      <w:pPr>
        <w:jc w:val="both"/>
        <w:rPr>
          <w:rFonts w:ascii="Arial" w:hAnsi="Arial" w:cs="Arial"/>
          <w:b/>
          <w:sz w:val="20"/>
          <w:szCs w:val="20"/>
          <w:u w:val="single"/>
        </w:rPr>
      </w:pPr>
      <w:r w:rsidRPr="009571F4">
        <w:rPr>
          <w:rFonts w:ascii="Arial" w:hAnsi="Arial" w:cs="Arial"/>
          <w:b/>
          <w:sz w:val="20"/>
          <w:szCs w:val="20"/>
          <w:u w:val="single"/>
        </w:rPr>
        <w:t xml:space="preserve">Resolution </w:t>
      </w:r>
      <w:r w:rsidR="0083303D">
        <w:rPr>
          <w:rFonts w:ascii="Arial" w:hAnsi="Arial" w:cs="Arial"/>
          <w:b/>
          <w:sz w:val="20"/>
          <w:szCs w:val="20"/>
          <w:u w:val="single"/>
        </w:rPr>
        <w:t>23</w:t>
      </w:r>
      <w:r w:rsidR="009571F4" w:rsidRPr="009571F4">
        <w:rPr>
          <w:rFonts w:ascii="Arial" w:hAnsi="Arial" w:cs="Arial"/>
          <w:b/>
          <w:sz w:val="20"/>
          <w:szCs w:val="20"/>
          <w:u w:val="single"/>
        </w:rPr>
        <w:t>:</w:t>
      </w:r>
      <w:r w:rsidRPr="009571F4">
        <w:rPr>
          <w:rFonts w:ascii="Arial" w:hAnsi="Arial" w:cs="Arial"/>
          <w:b/>
          <w:sz w:val="20"/>
          <w:szCs w:val="20"/>
          <w:u w:val="single"/>
        </w:rPr>
        <w:t xml:space="preserve"> </w:t>
      </w:r>
      <w:r w:rsidR="009571F4" w:rsidRPr="009571F4">
        <w:rPr>
          <w:rFonts w:ascii="Arial" w:hAnsi="Arial" w:cs="Arial"/>
          <w:b/>
          <w:sz w:val="20"/>
          <w:szCs w:val="20"/>
          <w:u w:val="single"/>
        </w:rPr>
        <w:t>Notice for General Meetings</w:t>
      </w:r>
    </w:p>
    <w:p w14:paraId="1403DFCB" w14:textId="77777777" w:rsidR="00511296" w:rsidRPr="00657A06" w:rsidRDefault="00511296" w:rsidP="0007151A">
      <w:pPr>
        <w:autoSpaceDE w:val="0"/>
        <w:autoSpaceDN w:val="0"/>
        <w:adjustRightInd w:val="0"/>
        <w:jc w:val="both"/>
        <w:rPr>
          <w:rFonts w:ascii="Arial" w:hAnsi="Arial" w:cs="Arial"/>
          <w:sz w:val="20"/>
          <w:szCs w:val="20"/>
        </w:rPr>
      </w:pPr>
    </w:p>
    <w:p w14:paraId="73AD19AD" w14:textId="77777777" w:rsidR="0063050B" w:rsidRPr="0007151A" w:rsidRDefault="00C94E46" w:rsidP="0007151A">
      <w:pPr>
        <w:autoSpaceDE w:val="0"/>
        <w:autoSpaceDN w:val="0"/>
        <w:adjustRightInd w:val="0"/>
        <w:rPr>
          <w:rFonts w:ascii="Arial" w:hAnsi="Arial" w:cs="Arial"/>
          <w:sz w:val="20"/>
          <w:szCs w:val="20"/>
        </w:rPr>
      </w:pPr>
      <w:r w:rsidRPr="0007151A">
        <w:rPr>
          <w:rFonts w:ascii="Arial" w:hAnsi="Arial" w:cs="Arial"/>
          <w:sz w:val="20"/>
          <w:szCs w:val="20"/>
        </w:rPr>
        <w:t>That a general meeting of the Company, other than an Annual General Meeting, may be called on not less than 14 clear days’ notice</w:t>
      </w:r>
      <w:r w:rsidR="00511296" w:rsidRPr="0007151A">
        <w:rPr>
          <w:rFonts w:ascii="Arial" w:hAnsi="Arial" w:cs="Arial"/>
          <w:sz w:val="20"/>
          <w:szCs w:val="20"/>
        </w:rPr>
        <w:t>.</w:t>
      </w:r>
    </w:p>
    <w:p w14:paraId="52BF051F" w14:textId="77777777" w:rsidR="0085405D" w:rsidRPr="0007151A" w:rsidRDefault="0085405D" w:rsidP="0007151A">
      <w:pPr>
        <w:autoSpaceDE w:val="0"/>
        <w:autoSpaceDN w:val="0"/>
        <w:adjustRightInd w:val="0"/>
        <w:rPr>
          <w:rFonts w:ascii="Arial" w:hAnsi="Arial" w:cs="Arial"/>
          <w:sz w:val="20"/>
          <w:szCs w:val="20"/>
        </w:rPr>
      </w:pPr>
    </w:p>
    <w:p w14:paraId="05345919" w14:textId="77777777" w:rsidR="0085405D" w:rsidRDefault="0085405D" w:rsidP="0007151A">
      <w:pPr>
        <w:autoSpaceDE w:val="0"/>
        <w:autoSpaceDN w:val="0"/>
        <w:adjustRightInd w:val="0"/>
        <w:rPr>
          <w:rFonts w:ascii="Arial" w:hAnsi="Arial" w:cs="Arial"/>
          <w:sz w:val="20"/>
          <w:szCs w:val="20"/>
        </w:rPr>
      </w:pPr>
    </w:p>
    <w:p w14:paraId="444AB799" w14:textId="77777777" w:rsidR="0083303D" w:rsidRDefault="0083303D" w:rsidP="0007151A">
      <w:pPr>
        <w:autoSpaceDE w:val="0"/>
        <w:autoSpaceDN w:val="0"/>
        <w:adjustRightInd w:val="0"/>
        <w:rPr>
          <w:rFonts w:ascii="Arial" w:hAnsi="Arial" w:cs="Arial"/>
          <w:sz w:val="20"/>
          <w:szCs w:val="20"/>
        </w:rPr>
      </w:pPr>
    </w:p>
    <w:p w14:paraId="0172462C" w14:textId="77777777" w:rsidR="0083303D" w:rsidRPr="0007151A" w:rsidRDefault="0083303D" w:rsidP="0007151A">
      <w:pPr>
        <w:autoSpaceDE w:val="0"/>
        <w:autoSpaceDN w:val="0"/>
        <w:adjustRightInd w:val="0"/>
        <w:rPr>
          <w:rFonts w:ascii="Arial" w:hAnsi="Arial" w:cs="Arial"/>
          <w:sz w:val="20"/>
          <w:szCs w:val="20"/>
        </w:rPr>
      </w:pPr>
    </w:p>
    <w:p w14:paraId="17FAB471" w14:textId="77777777" w:rsidR="003B3200" w:rsidRDefault="003B3200" w:rsidP="00D82364">
      <w:pPr>
        <w:ind w:left="-426"/>
        <w:jc w:val="both"/>
        <w:rPr>
          <w:rFonts w:ascii="Arial" w:hAnsi="Arial" w:cs="Arial"/>
          <w:sz w:val="20"/>
          <w:szCs w:val="20"/>
        </w:rPr>
      </w:pPr>
    </w:p>
    <w:p w14:paraId="07E91E35" w14:textId="77777777" w:rsidR="009571F4" w:rsidRPr="009571F4" w:rsidRDefault="00695FCF" w:rsidP="00657A06">
      <w:pPr>
        <w:jc w:val="both"/>
        <w:rPr>
          <w:rFonts w:ascii="Arial" w:hAnsi="Arial" w:cs="Arial"/>
          <w:sz w:val="20"/>
          <w:szCs w:val="20"/>
        </w:rPr>
      </w:pPr>
      <w:r>
        <w:rPr>
          <w:rFonts w:ascii="Arial" w:hAnsi="Arial" w:cs="Arial"/>
          <w:sz w:val="20"/>
          <w:szCs w:val="20"/>
        </w:rPr>
        <w:t>…………………………………………….</w:t>
      </w:r>
    </w:p>
    <w:p w14:paraId="15389D5A" w14:textId="77777777" w:rsidR="00D00B1A" w:rsidRDefault="00D00B1A" w:rsidP="00657A06">
      <w:pPr>
        <w:jc w:val="both"/>
        <w:rPr>
          <w:rFonts w:ascii="Arial" w:hAnsi="Arial" w:cs="Arial"/>
          <w:b/>
          <w:sz w:val="20"/>
          <w:szCs w:val="20"/>
        </w:rPr>
      </w:pPr>
      <w:r>
        <w:rPr>
          <w:rFonts w:ascii="Arial" w:hAnsi="Arial" w:cs="Arial"/>
          <w:b/>
          <w:sz w:val="20"/>
          <w:szCs w:val="20"/>
        </w:rPr>
        <w:t>Tina Bains</w:t>
      </w:r>
    </w:p>
    <w:p w14:paraId="37F94978" w14:textId="77777777" w:rsidR="00D00B1A" w:rsidRDefault="00D00B1A" w:rsidP="00657A06">
      <w:pPr>
        <w:jc w:val="both"/>
        <w:rPr>
          <w:rFonts w:ascii="Arial" w:hAnsi="Arial" w:cs="Arial"/>
          <w:b/>
          <w:sz w:val="20"/>
          <w:szCs w:val="20"/>
        </w:rPr>
      </w:pPr>
      <w:r>
        <w:rPr>
          <w:rFonts w:ascii="Arial" w:hAnsi="Arial" w:cs="Arial"/>
          <w:b/>
          <w:sz w:val="20"/>
          <w:szCs w:val="20"/>
        </w:rPr>
        <w:t>Company Secretary</w:t>
      </w:r>
    </w:p>
    <w:p w14:paraId="71845286" w14:textId="77777777" w:rsidR="00695FCF" w:rsidRPr="00695FCF" w:rsidRDefault="00F55091" w:rsidP="00657A06">
      <w:pPr>
        <w:jc w:val="both"/>
        <w:rPr>
          <w:rFonts w:ascii="Arial" w:hAnsi="Arial" w:cs="Arial"/>
          <w:b/>
          <w:sz w:val="20"/>
          <w:szCs w:val="20"/>
        </w:rPr>
      </w:pPr>
      <w:r>
        <w:rPr>
          <w:rFonts w:ascii="Arial" w:hAnsi="Arial" w:cs="Arial"/>
          <w:b/>
          <w:sz w:val="20"/>
          <w:szCs w:val="20"/>
        </w:rPr>
        <w:t>18</w:t>
      </w:r>
      <w:r w:rsidR="00D00B1A">
        <w:rPr>
          <w:rFonts w:ascii="Arial" w:hAnsi="Arial" w:cs="Arial"/>
          <w:b/>
          <w:sz w:val="20"/>
          <w:szCs w:val="20"/>
        </w:rPr>
        <w:t xml:space="preserve"> October 2023</w:t>
      </w:r>
    </w:p>
    <w:sectPr w:rsidR="00695FCF" w:rsidRPr="00695FCF" w:rsidSect="005573FB">
      <w:footerReference w:type="default" r:id="rId7"/>
      <w:type w:val="continuous"/>
      <w:pgSz w:w="11906" w:h="16838"/>
      <w:pgMar w:top="1440" w:right="1134" w:bottom="1440"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2EE9C" w14:textId="77777777" w:rsidR="00C07977" w:rsidRDefault="00C07977" w:rsidP="00C07977">
      <w:r>
        <w:separator/>
      </w:r>
    </w:p>
  </w:endnote>
  <w:endnote w:type="continuationSeparator" w:id="0">
    <w:p w14:paraId="447D814B" w14:textId="77777777" w:rsidR="00C07977" w:rsidRDefault="00C07977" w:rsidP="00C0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BHDC Content"/>
      <w:tag w:val="D765382D04AD424CBB93DB6D6EB652A2DOCID_FOOTER"/>
      <w:id w:val="449753189"/>
      <w:placeholder>
        <w:docPart w:val="6C4B1BF95E5A481A8CB9CCB8A325AE6E"/>
      </w:placeholder>
      <w:showingPlcHdr/>
    </w:sdtPr>
    <w:sdtEndPr/>
    <w:sdtContent>
      <w:p w14:paraId="6CF1DC06" w14:textId="528E23AD" w:rsidR="00C07977" w:rsidRDefault="00F13B6E" w:rsidP="00C0797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3EF9" w14:textId="77777777" w:rsidR="00C07977" w:rsidRDefault="00C07977" w:rsidP="00C07977">
      <w:r>
        <w:separator/>
      </w:r>
    </w:p>
  </w:footnote>
  <w:footnote w:type="continuationSeparator" w:id="0">
    <w:p w14:paraId="4011D385" w14:textId="77777777" w:rsidR="00C07977" w:rsidRDefault="00C07977" w:rsidP="00C0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60" w:hanging="341"/>
      </w:pPr>
      <w:rPr>
        <w:b w:val="0"/>
        <w:bCs w:val="0"/>
        <w:spacing w:val="-1"/>
        <w:w w:val="91"/>
      </w:rPr>
    </w:lvl>
    <w:lvl w:ilvl="1">
      <w:start w:val="1"/>
      <w:numFmt w:val="lowerLetter"/>
      <w:lvlText w:val="%2)"/>
      <w:lvlJc w:val="left"/>
      <w:pPr>
        <w:ind w:left="800" w:hanging="341"/>
      </w:pPr>
      <w:rPr>
        <w:b w:val="0"/>
        <w:bCs w:val="0"/>
        <w:spacing w:val="-1"/>
        <w:w w:val="90"/>
      </w:rPr>
    </w:lvl>
    <w:lvl w:ilvl="2">
      <w:start w:val="1"/>
      <w:numFmt w:val="lowerRoman"/>
      <w:lvlText w:val="(%3)"/>
      <w:lvlJc w:val="left"/>
      <w:pPr>
        <w:ind w:left="1140" w:hanging="341"/>
      </w:pPr>
      <w:rPr>
        <w:rFonts w:ascii="Arial" w:hAnsi="Arial" w:cs="Arial"/>
        <w:b w:val="0"/>
        <w:bCs w:val="0"/>
        <w:color w:val="231F20"/>
        <w:spacing w:val="-1"/>
        <w:w w:val="93"/>
        <w:sz w:val="18"/>
        <w:szCs w:val="18"/>
      </w:rPr>
    </w:lvl>
    <w:lvl w:ilvl="3">
      <w:numFmt w:val="bullet"/>
      <w:lvlText w:val="•"/>
      <w:lvlJc w:val="left"/>
      <w:pPr>
        <w:ind w:left="963" w:hanging="341"/>
      </w:pPr>
    </w:lvl>
    <w:lvl w:ilvl="4">
      <w:numFmt w:val="bullet"/>
      <w:lvlText w:val="•"/>
      <w:lvlJc w:val="left"/>
      <w:pPr>
        <w:ind w:left="787" w:hanging="341"/>
      </w:pPr>
    </w:lvl>
    <w:lvl w:ilvl="5">
      <w:numFmt w:val="bullet"/>
      <w:lvlText w:val="•"/>
      <w:lvlJc w:val="left"/>
      <w:pPr>
        <w:ind w:left="611" w:hanging="341"/>
      </w:pPr>
    </w:lvl>
    <w:lvl w:ilvl="6">
      <w:numFmt w:val="bullet"/>
      <w:lvlText w:val="•"/>
      <w:lvlJc w:val="left"/>
      <w:pPr>
        <w:ind w:left="435" w:hanging="341"/>
      </w:pPr>
    </w:lvl>
    <w:lvl w:ilvl="7">
      <w:numFmt w:val="bullet"/>
      <w:lvlText w:val="•"/>
      <w:lvlJc w:val="left"/>
      <w:pPr>
        <w:ind w:left="259" w:hanging="341"/>
      </w:pPr>
    </w:lvl>
    <w:lvl w:ilvl="8">
      <w:numFmt w:val="bullet"/>
      <w:lvlText w:val="•"/>
      <w:lvlJc w:val="left"/>
      <w:pPr>
        <w:ind w:left="83" w:hanging="341"/>
      </w:pPr>
    </w:lvl>
  </w:abstractNum>
  <w:abstractNum w:abstractNumId="1" w15:restartNumberingAfterBreak="0">
    <w:nsid w:val="004173CF"/>
    <w:multiLevelType w:val="multilevel"/>
    <w:tmpl w:val="00000885"/>
    <w:lvl w:ilvl="0">
      <w:start w:val="1"/>
      <w:numFmt w:val="decimal"/>
      <w:lvlText w:val="%1."/>
      <w:lvlJc w:val="left"/>
      <w:pPr>
        <w:ind w:left="460" w:hanging="341"/>
      </w:pPr>
      <w:rPr>
        <w:b w:val="0"/>
        <w:bCs w:val="0"/>
        <w:spacing w:val="-1"/>
        <w:w w:val="91"/>
      </w:rPr>
    </w:lvl>
    <w:lvl w:ilvl="1">
      <w:start w:val="1"/>
      <w:numFmt w:val="lowerLetter"/>
      <w:lvlText w:val="%2)"/>
      <w:lvlJc w:val="left"/>
      <w:pPr>
        <w:ind w:left="800" w:hanging="341"/>
      </w:pPr>
      <w:rPr>
        <w:b w:val="0"/>
        <w:bCs w:val="0"/>
        <w:spacing w:val="-1"/>
        <w:w w:val="90"/>
      </w:rPr>
    </w:lvl>
    <w:lvl w:ilvl="2">
      <w:start w:val="1"/>
      <w:numFmt w:val="lowerRoman"/>
      <w:lvlText w:val="(%3)"/>
      <w:lvlJc w:val="left"/>
      <w:pPr>
        <w:ind w:left="1140" w:hanging="341"/>
      </w:pPr>
      <w:rPr>
        <w:rFonts w:ascii="Arial" w:hAnsi="Arial" w:cs="Arial"/>
        <w:b w:val="0"/>
        <w:bCs w:val="0"/>
        <w:color w:val="231F20"/>
        <w:spacing w:val="-1"/>
        <w:w w:val="93"/>
        <w:sz w:val="18"/>
        <w:szCs w:val="18"/>
      </w:rPr>
    </w:lvl>
    <w:lvl w:ilvl="3">
      <w:numFmt w:val="bullet"/>
      <w:lvlText w:val="•"/>
      <w:lvlJc w:val="left"/>
      <w:pPr>
        <w:ind w:left="963" w:hanging="341"/>
      </w:pPr>
    </w:lvl>
    <w:lvl w:ilvl="4">
      <w:numFmt w:val="bullet"/>
      <w:lvlText w:val="•"/>
      <w:lvlJc w:val="left"/>
      <w:pPr>
        <w:ind w:left="787" w:hanging="341"/>
      </w:pPr>
    </w:lvl>
    <w:lvl w:ilvl="5">
      <w:numFmt w:val="bullet"/>
      <w:lvlText w:val="•"/>
      <w:lvlJc w:val="left"/>
      <w:pPr>
        <w:ind w:left="611" w:hanging="341"/>
      </w:pPr>
    </w:lvl>
    <w:lvl w:ilvl="6">
      <w:numFmt w:val="bullet"/>
      <w:lvlText w:val="•"/>
      <w:lvlJc w:val="left"/>
      <w:pPr>
        <w:ind w:left="435" w:hanging="341"/>
      </w:pPr>
    </w:lvl>
    <w:lvl w:ilvl="7">
      <w:numFmt w:val="bullet"/>
      <w:lvlText w:val="•"/>
      <w:lvlJc w:val="left"/>
      <w:pPr>
        <w:ind w:left="259" w:hanging="341"/>
      </w:pPr>
    </w:lvl>
    <w:lvl w:ilvl="8">
      <w:numFmt w:val="bullet"/>
      <w:lvlText w:val="•"/>
      <w:lvlJc w:val="left"/>
      <w:pPr>
        <w:ind w:left="83" w:hanging="341"/>
      </w:pPr>
    </w:lvl>
  </w:abstractNum>
  <w:abstractNum w:abstractNumId="2" w15:restartNumberingAfterBreak="0">
    <w:nsid w:val="034D4A4D"/>
    <w:multiLevelType w:val="hybridMultilevel"/>
    <w:tmpl w:val="A1DAB4CC"/>
    <w:lvl w:ilvl="0" w:tplc="9934D48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39B6F90"/>
    <w:multiLevelType w:val="hybridMultilevel"/>
    <w:tmpl w:val="5188435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4B24AFC"/>
    <w:multiLevelType w:val="hybridMultilevel"/>
    <w:tmpl w:val="61F6B0A8"/>
    <w:lvl w:ilvl="0" w:tplc="909E7892">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92506F"/>
    <w:multiLevelType w:val="hybridMultilevel"/>
    <w:tmpl w:val="67CC984A"/>
    <w:lvl w:ilvl="0" w:tplc="77F46A8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FB335F"/>
    <w:multiLevelType w:val="hybridMultilevel"/>
    <w:tmpl w:val="011277AC"/>
    <w:lvl w:ilvl="0" w:tplc="A42A4E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81305"/>
    <w:multiLevelType w:val="hybridMultilevel"/>
    <w:tmpl w:val="67CC984A"/>
    <w:lvl w:ilvl="0" w:tplc="77F46A8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613D2"/>
    <w:multiLevelType w:val="hybridMultilevel"/>
    <w:tmpl w:val="D3305F98"/>
    <w:lvl w:ilvl="0" w:tplc="F35EE7C4">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B02C1"/>
    <w:multiLevelType w:val="multilevel"/>
    <w:tmpl w:val="2F567722"/>
    <w:lvl w:ilvl="0">
      <w:start w:val="1"/>
      <w:numFmt w:val="decimal"/>
      <w:lvlText w:val="%1."/>
      <w:lvlJc w:val="left"/>
      <w:pPr>
        <w:ind w:left="460" w:hanging="341"/>
      </w:pPr>
      <w:rPr>
        <w:b w:val="0"/>
        <w:bCs w:val="0"/>
        <w:spacing w:val="-1"/>
        <w:w w:val="91"/>
      </w:rPr>
    </w:lvl>
    <w:lvl w:ilvl="1">
      <w:start w:val="1"/>
      <w:numFmt w:val="lowerLetter"/>
      <w:lvlText w:val="%2)"/>
      <w:lvlJc w:val="left"/>
      <w:pPr>
        <w:ind w:left="800" w:hanging="341"/>
      </w:pPr>
      <w:rPr>
        <w:b w:val="0"/>
        <w:bCs w:val="0"/>
        <w:spacing w:val="-1"/>
        <w:w w:val="90"/>
      </w:rPr>
    </w:lvl>
    <w:lvl w:ilvl="2">
      <w:start w:val="1"/>
      <w:numFmt w:val="lowerRoman"/>
      <w:lvlText w:val="(%3)"/>
      <w:lvlJc w:val="left"/>
      <w:pPr>
        <w:ind w:left="1140" w:hanging="341"/>
      </w:pPr>
      <w:rPr>
        <w:rFonts w:ascii="Arial" w:hAnsi="Arial" w:cs="Arial"/>
        <w:b w:val="0"/>
        <w:bCs w:val="0"/>
        <w:color w:val="231F20"/>
        <w:spacing w:val="-1"/>
        <w:w w:val="93"/>
        <w:sz w:val="20"/>
        <w:szCs w:val="20"/>
      </w:rPr>
    </w:lvl>
    <w:lvl w:ilvl="3">
      <w:numFmt w:val="bullet"/>
      <w:lvlText w:val="•"/>
      <w:lvlJc w:val="left"/>
      <w:pPr>
        <w:ind w:left="963" w:hanging="341"/>
      </w:pPr>
    </w:lvl>
    <w:lvl w:ilvl="4">
      <w:numFmt w:val="bullet"/>
      <w:lvlText w:val="•"/>
      <w:lvlJc w:val="left"/>
      <w:pPr>
        <w:ind w:left="787" w:hanging="341"/>
      </w:pPr>
    </w:lvl>
    <w:lvl w:ilvl="5">
      <w:numFmt w:val="bullet"/>
      <w:lvlText w:val="•"/>
      <w:lvlJc w:val="left"/>
      <w:pPr>
        <w:ind w:left="611" w:hanging="341"/>
      </w:pPr>
    </w:lvl>
    <w:lvl w:ilvl="6">
      <w:numFmt w:val="bullet"/>
      <w:lvlText w:val="•"/>
      <w:lvlJc w:val="left"/>
      <w:pPr>
        <w:ind w:left="435" w:hanging="341"/>
      </w:pPr>
    </w:lvl>
    <w:lvl w:ilvl="7">
      <w:numFmt w:val="bullet"/>
      <w:lvlText w:val="•"/>
      <w:lvlJc w:val="left"/>
      <w:pPr>
        <w:ind w:left="259" w:hanging="341"/>
      </w:pPr>
    </w:lvl>
    <w:lvl w:ilvl="8">
      <w:numFmt w:val="bullet"/>
      <w:lvlText w:val="•"/>
      <w:lvlJc w:val="left"/>
      <w:pPr>
        <w:ind w:left="83" w:hanging="341"/>
      </w:pPr>
    </w:lvl>
  </w:abstractNum>
  <w:abstractNum w:abstractNumId="10" w15:restartNumberingAfterBreak="0">
    <w:nsid w:val="3AFD39A7"/>
    <w:multiLevelType w:val="hybridMultilevel"/>
    <w:tmpl w:val="0CC2BE9A"/>
    <w:lvl w:ilvl="0" w:tplc="8A3A584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DC26DDF"/>
    <w:multiLevelType w:val="hybridMultilevel"/>
    <w:tmpl w:val="4C388850"/>
    <w:lvl w:ilvl="0" w:tplc="D98C64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4C517B43"/>
    <w:multiLevelType w:val="hybridMultilevel"/>
    <w:tmpl w:val="BDD2C9B6"/>
    <w:lvl w:ilvl="0" w:tplc="47FABE1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E2A6AA7"/>
    <w:multiLevelType w:val="hybridMultilevel"/>
    <w:tmpl w:val="084CBFA6"/>
    <w:lvl w:ilvl="0" w:tplc="61EAE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8E7BFB"/>
    <w:multiLevelType w:val="hybridMultilevel"/>
    <w:tmpl w:val="C5FCDCD0"/>
    <w:lvl w:ilvl="0" w:tplc="1DB64288">
      <w:start w:val="1"/>
      <w:numFmt w:val="lowerLetter"/>
      <w:lvlText w:val="%1)"/>
      <w:lvlJc w:val="left"/>
      <w:pPr>
        <w:ind w:left="1041" w:hanging="42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abstractNum w:abstractNumId="15" w15:restartNumberingAfterBreak="0">
    <w:nsid w:val="6515190A"/>
    <w:multiLevelType w:val="hybridMultilevel"/>
    <w:tmpl w:val="7318CDC2"/>
    <w:lvl w:ilvl="0" w:tplc="5AF4DAA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672375C3"/>
    <w:multiLevelType w:val="hybridMultilevel"/>
    <w:tmpl w:val="8ADCB03C"/>
    <w:lvl w:ilvl="0" w:tplc="3904A6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81890"/>
    <w:multiLevelType w:val="hybridMultilevel"/>
    <w:tmpl w:val="95042C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EB798B"/>
    <w:multiLevelType w:val="hybridMultilevel"/>
    <w:tmpl w:val="C8781BEE"/>
    <w:lvl w:ilvl="0" w:tplc="B15EDD0C">
      <w:start w:val="1"/>
      <w:numFmt w:val="lowerLetter"/>
      <w:lvlText w:val="(%1)"/>
      <w:lvlJc w:val="left"/>
      <w:pPr>
        <w:ind w:left="5322" w:hanging="360"/>
      </w:pPr>
      <w:rPr>
        <w:rFonts w:hint="default"/>
      </w:rPr>
    </w:lvl>
    <w:lvl w:ilvl="1" w:tplc="08090019" w:tentative="1">
      <w:start w:val="1"/>
      <w:numFmt w:val="lowerLetter"/>
      <w:lvlText w:val="%2."/>
      <w:lvlJc w:val="left"/>
      <w:pPr>
        <w:ind w:left="6042" w:hanging="360"/>
      </w:pPr>
    </w:lvl>
    <w:lvl w:ilvl="2" w:tplc="0809001B" w:tentative="1">
      <w:start w:val="1"/>
      <w:numFmt w:val="lowerRoman"/>
      <w:lvlText w:val="%3."/>
      <w:lvlJc w:val="right"/>
      <w:pPr>
        <w:ind w:left="6762" w:hanging="180"/>
      </w:pPr>
    </w:lvl>
    <w:lvl w:ilvl="3" w:tplc="0809000F" w:tentative="1">
      <w:start w:val="1"/>
      <w:numFmt w:val="decimal"/>
      <w:lvlText w:val="%4."/>
      <w:lvlJc w:val="left"/>
      <w:pPr>
        <w:ind w:left="7482" w:hanging="360"/>
      </w:pPr>
    </w:lvl>
    <w:lvl w:ilvl="4" w:tplc="08090019" w:tentative="1">
      <w:start w:val="1"/>
      <w:numFmt w:val="lowerLetter"/>
      <w:lvlText w:val="%5."/>
      <w:lvlJc w:val="left"/>
      <w:pPr>
        <w:ind w:left="8202" w:hanging="360"/>
      </w:pPr>
    </w:lvl>
    <w:lvl w:ilvl="5" w:tplc="0809001B" w:tentative="1">
      <w:start w:val="1"/>
      <w:numFmt w:val="lowerRoman"/>
      <w:lvlText w:val="%6."/>
      <w:lvlJc w:val="right"/>
      <w:pPr>
        <w:ind w:left="8922" w:hanging="180"/>
      </w:pPr>
    </w:lvl>
    <w:lvl w:ilvl="6" w:tplc="0809000F" w:tentative="1">
      <w:start w:val="1"/>
      <w:numFmt w:val="decimal"/>
      <w:lvlText w:val="%7."/>
      <w:lvlJc w:val="left"/>
      <w:pPr>
        <w:ind w:left="9642" w:hanging="360"/>
      </w:pPr>
    </w:lvl>
    <w:lvl w:ilvl="7" w:tplc="08090019" w:tentative="1">
      <w:start w:val="1"/>
      <w:numFmt w:val="lowerLetter"/>
      <w:lvlText w:val="%8."/>
      <w:lvlJc w:val="left"/>
      <w:pPr>
        <w:ind w:left="10362" w:hanging="360"/>
      </w:pPr>
    </w:lvl>
    <w:lvl w:ilvl="8" w:tplc="0809001B" w:tentative="1">
      <w:start w:val="1"/>
      <w:numFmt w:val="lowerRoman"/>
      <w:lvlText w:val="%9."/>
      <w:lvlJc w:val="right"/>
      <w:pPr>
        <w:ind w:left="11082" w:hanging="180"/>
      </w:pPr>
    </w:lvl>
  </w:abstractNum>
  <w:abstractNum w:abstractNumId="19" w15:restartNumberingAfterBreak="0">
    <w:nsid w:val="7BA6592B"/>
    <w:multiLevelType w:val="hybridMultilevel"/>
    <w:tmpl w:val="279CEBAA"/>
    <w:lvl w:ilvl="0" w:tplc="095A3C78">
      <w:start w:val="1"/>
      <w:numFmt w:val="lowerLetter"/>
      <w:lvlText w:val="(%1)"/>
      <w:lvlJc w:val="left"/>
      <w:pPr>
        <w:ind w:left="1287" w:hanging="360"/>
      </w:pPr>
      <w:rPr>
        <w:rFonts w:hint="default"/>
      </w:rPr>
    </w:lvl>
    <w:lvl w:ilvl="1" w:tplc="1BF6F02E">
      <w:start w:val="1"/>
      <w:numFmt w:val="lowerRoman"/>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C8E3512"/>
    <w:multiLevelType w:val="hybridMultilevel"/>
    <w:tmpl w:val="47305924"/>
    <w:lvl w:ilvl="0" w:tplc="2C9E1B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E81E78"/>
    <w:multiLevelType w:val="hybridMultilevel"/>
    <w:tmpl w:val="142A0FC8"/>
    <w:lvl w:ilvl="0" w:tplc="3718156C">
      <w:start w:val="1"/>
      <w:numFmt w:val="lowerLetter"/>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2"/>
  </w:num>
  <w:num w:numId="2">
    <w:abstractNumId w:val="11"/>
  </w:num>
  <w:num w:numId="3">
    <w:abstractNumId w:val="4"/>
  </w:num>
  <w:num w:numId="4">
    <w:abstractNumId w:val="20"/>
  </w:num>
  <w:num w:numId="5">
    <w:abstractNumId w:val="6"/>
  </w:num>
  <w:num w:numId="6">
    <w:abstractNumId w:val="16"/>
  </w:num>
  <w:num w:numId="7">
    <w:abstractNumId w:val="8"/>
  </w:num>
  <w:num w:numId="8">
    <w:abstractNumId w:val="19"/>
  </w:num>
  <w:num w:numId="9">
    <w:abstractNumId w:val="10"/>
  </w:num>
  <w:num w:numId="10">
    <w:abstractNumId w:val="13"/>
  </w:num>
  <w:num w:numId="11">
    <w:abstractNumId w:val="18"/>
  </w:num>
  <w:num w:numId="12">
    <w:abstractNumId w:val="15"/>
  </w:num>
  <w:num w:numId="13">
    <w:abstractNumId w:val="0"/>
  </w:num>
  <w:num w:numId="14">
    <w:abstractNumId w:val="1"/>
  </w:num>
  <w:num w:numId="15">
    <w:abstractNumId w:val="7"/>
  </w:num>
  <w:num w:numId="16">
    <w:abstractNumId w:val="12"/>
  </w:num>
  <w:num w:numId="17">
    <w:abstractNumId w:val="17"/>
  </w:num>
  <w:num w:numId="18">
    <w:abstractNumId w:val="3"/>
  </w:num>
  <w:num w:numId="19">
    <w:abstractNumId w:val="5"/>
  </w:num>
  <w:num w:numId="20">
    <w:abstractNumId w:val="9"/>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7C"/>
    <w:rsid w:val="000325B5"/>
    <w:rsid w:val="0007151A"/>
    <w:rsid w:val="00077E06"/>
    <w:rsid w:val="000A020D"/>
    <w:rsid w:val="00103332"/>
    <w:rsid w:val="00127948"/>
    <w:rsid w:val="001437F9"/>
    <w:rsid w:val="001537FD"/>
    <w:rsid w:val="00160C67"/>
    <w:rsid w:val="00163031"/>
    <w:rsid w:val="001C2684"/>
    <w:rsid w:val="001D2C33"/>
    <w:rsid w:val="001E47C8"/>
    <w:rsid w:val="001F75EB"/>
    <w:rsid w:val="0020741C"/>
    <w:rsid w:val="0022761E"/>
    <w:rsid w:val="002329EB"/>
    <w:rsid w:val="002A2B7C"/>
    <w:rsid w:val="002C5C5A"/>
    <w:rsid w:val="002E2924"/>
    <w:rsid w:val="00325700"/>
    <w:rsid w:val="00343AAB"/>
    <w:rsid w:val="003962EA"/>
    <w:rsid w:val="003B3200"/>
    <w:rsid w:val="003C4D70"/>
    <w:rsid w:val="003D0587"/>
    <w:rsid w:val="003D5C1D"/>
    <w:rsid w:val="00422E3C"/>
    <w:rsid w:val="0043489A"/>
    <w:rsid w:val="0045006F"/>
    <w:rsid w:val="004B5C1E"/>
    <w:rsid w:val="004C7448"/>
    <w:rsid w:val="00511296"/>
    <w:rsid w:val="00523D15"/>
    <w:rsid w:val="00555AEA"/>
    <w:rsid w:val="005573FB"/>
    <w:rsid w:val="00602709"/>
    <w:rsid w:val="006044CA"/>
    <w:rsid w:val="0063050B"/>
    <w:rsid w:val="006344CF"/>
    <w:rsid w:val="006540DD"/>
    <w:rsid w:val="00657A06"/>
    <w:rsid w:val="00657C4C"/>
    <w:rsid w:val="00680E86"/>
    <w:rsid w:val="00695FCF"/>
    <w:rsid w:val="006D6EF6"/>
    <w:rsid w:val="006E0201"/>
    <w:rsid w:val="00736FCE"/>
    <w:rsid w:val="00760F73"/>
    <w:rsid w:val="00797ACB"/>
    <w:rsid w:val="007B295B"/>
    <w:rsid w:val="007B68CD"/>
    <w:rsid w:val="007C6B9D"/>
    <w:rsid w:val="00827926"/>
    <w:rsid w:val="0083303D"/>
    <w:rsid w:val="008364D3"/>
    <w:rsid w:val="0085405D"/>
    <w:rsid w:val="008837C7"/>
    <w:rsid w:val="008C43C4"/>
    <w:rsid w:val="008D48EC"/>
    <w:rsid w:val="00946901"/>
    <w:rsid w:val="009570B5"/>
    <w:rsid w:val="009571F4"/>
    <w:rsid w:val="009619B4"/>
    <w:rsid w:val="009717AC"/>
    <w:rsid w:val="009B315E"/>
    <w:rsid w:val="009F5D10"/>
    <w:rsid w:val="00A27C57"/>
    <w:rsid w:val="00A41016"/>
    <w:rsid w:val="00A77EB5"/>
    <w:rsid w:val="00AA0D4E"/>
    <w:rsid w:val="00AB50ED"/>
    <w:rsid w:val="00B33DA4"/>
    <w:rsid w:val="00B7593C"/>
    <w:rsid w:val="00B75B5B"/>
    <w:rsid w:val="00B8448F"/>
    <w:rsid w:val="00BA6B39"/>
    <w:rsid w:val="00BB76B5"/>
    <w:rsid w:val="00BE770A"/>
    <w:rsid w:val="00C07977"/>
    <w:rsid w:val="00C104A0"/>
    <w:rsid w:val="00C132C4"/>
    <w:rsid w:val="00C557B6"/>
    <w:rsid w:val="00C652C4"/>
    <w:rsid w:val="00C74C28"/>
    <w:rsid w:val="00C85A46"/>
    <w:rsid w:val="00C94E46"/>
    <w:rsid w:val="00CB6DEA"/>
    <w:rsid w:val="00CC6C7C"/>
    <w:rsid w:val="00CE0874"/>
    <w:rsid w:val="00CE62E3"/>
    <w:rsid w:val="00CF785B"/>
    <w:rsid w:val="00D00B1A"/>
    <w:rsid w:val="00D05694"/>
    <w:rsid w:val="00D22EA8"/>
    <w:rsid w:val="00D258BD"/>
    <w:rsid w:val="00D82364"/>
    <w:rsid w:val="00D8391F"/>
    <w:rsid w:val="00DA0544"/>
    <w:rsid w:val="00DA0DAE"/>
    <w:rsid w:val="00DA63B6"/>
    <w:rsid w:val="00DF2C28"/>
    <w:rsid w:val="00E6342A"/>
    <w:rsid w:val="00E657E2"/>
    <w:rsid w:val="00E665B7"/>
    <w:rsid w:val="00E72D41"/>
    <w:rsid w:val="00EA55C5"/>
    <w:rsid w:val="00EB15E3"/>
    <w:rsid w:val="00ED1A19"/>
    <w:rsid w:val="00ED2C3F"/>
    <w:rsid w:val="00F01701"/>
    <w:rsid w:val="00F13B6E"/>
    <w:rsid w:val="00F24942"/>
    <w:rsid w:val="00F4672D"/>
    <w:rsid w:val="00F55091"/>
    <w:rsid w:val="00F80D19"/>
    <w:rsid w:val="00FC602B"/>
    <w:rsid w:val="00FC7E87"/>
    <w:rsid w:val="00FF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E6DC6"/>
  <w14:defaultImageDpi w14:val="96"/>
  <w15:docId w15:val="{DEC59A20-68C6-4935-844A-907D1FC3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720"/>
      <w:jc w:val="both"/>
    </w:pPr>
    <w:rPr>
      <w:rFonts w:ascii="Arial" w:hAnsi="Arial" w:cs="Arial"/>
    </w:rPr>
  </w:style>
  <w:style w:type="paragraph" w:styleId="BalloonText">
    <w:name w:val="Balloon Text"/>
    <w:basedOn w:val="Normal"/>
    <w:semiHidden/>
    <w:rsid w:val="0063050B"/>
    <w:rPr>
      <w:rFonts w:ascii="Tahoma" w:hAnsi="Tahoma" w:cs="Tahoma"/>
      <w:sz w:val="16"/>
      <w:szCs w:val="16"/>
    </w:rPr>
  </w:style>
  <w:style w:type="paragraph" w:styleId="ListParagraph">
    <w:name w:val="List Paragraph"/>
    <w:basedOn w:val="Normal"/>
    <w:uiPriority w:val="34"/>
    <w:qFormat/>
    <w:rsid w:val="003B3200"/>
    <w:pPr>
      <w:ind w:left="720"/>
    </w:pPr>
  </w:style>
  <w:style w:type="paragraph" w:styleId="BodyText">
    <w:name w:val="Body Text"/>
    <w:basedOn w:val="Normal"/>
    <w:link w:val="BodyTextChar"/>
    <w:rsid w:val="007B68CD"/>
    <w:pPr>
      <w:spacing w:after="120"/>
    </w:pPr>
  </w:style>
  <w:style w:type="character" w:customStyle="1" w:styleId="BodyTextChar">
    <w:name w:val="Body Text Char"/>
    <w:basedOn w:val="DefaultParagraphFont"/>
    <w:link w:val="BodyText"/>
    <w:rsid w:val="007B68CD"/>
    <w:rPr>
      <w:sz w:val="24"/>
      <w:szCs w:val="24"/>
      <w:lang w:eastAsia="en-US"/>
    </w:rPr>
  </w:style>
  <w:style w:type="character" w:styleId="CommentReference">
    <w:name w:val="annotation reference"/>
    <w:basedOn w:val="DefaultParagraphFont"/>
    <w:rsid w:val="009570B5"/>
    <w:rPr>
      <w:sz w:val="16"/>
      <w:szCs w:val="16"/>
    </w:rPr>
  </w:style>
  <w:style w:type="paragraph" w:styleId="CommentText">
    <w:name w:val="annotation text"/>
    <w:basedOn w:val="Normal"/>
    <w:link w:val="CommentTextChar"/>
    <w:rsid w:val="009570B5"/>
    <w:rPr>
      <w:sz w:val="20"/>
      <w:szCs w:val="20"/>
    </w:rPr>
  </w:style>
  <w:style w:type="character" w:customStyle="1" w:styleId="CommentTextChar">
    <w:name w:val="Comment Text Char"/>
    <w:basedOn w:val="DefaultParagraphFont"/>
    <w:link w:val="CommentText"/>
    <w:rsid w:val="009570B5"/>
    <w:rPr>
      <w:lang w:eastAsia="en-US"/>
    </w:rPr>
  </w:style>
  <w:style w:type="paragraph" w:styleId="CommentSubject">
    <w:name w:val="annotation subject"/>
    <w:basedOn w:val="CommentText"/>
    <w:next w:val="CommentText"/>
    <w:link w:val="CommentSubjectChar"/>
    <w:rsid w:val="009570B5"/>
    <w:rPr>
      <w:b/>
      <w:bCs/>
    </w:rPr>
  </w:style>
  <w:style w:type="character" w:customStyle="1" w:styleId="CommentSubjectChar">
    <w:name w:val="Comment Subject Char"/>
    <w:basedOn w:val="CommentTextChar"/>
    <w:link w:val="CommentSubject"/>
    <w:rsid w:val="009570B5"/>
    <w:rPr>
      <w:b/>
      <w:bCs/>
      <w:lang w:eastAsia="en-US"/>
    </w:rPr>
  </w:style>
  <w:style w:type="paragraph" w:styleId="Header">
    <w:name w:val="header"/>
    <w:basedOn w:val="Normal"/>
    <w:link w:val="HeaderChar"/>
    <w:rsid w:val="00C07977"/>
    <w:pPr>
      <w:tabs>
        <w:tab w:val="center" w:pos="4513"/>
        <w:tab w:val="right" w:pos="9026"/>
      </w:tabs>
    </w:pPr>
  </w:style>
  <w:style w:type="character" w:customStyle="1" w:styleId="HeaderChar">
    <w:name w:val="Header Char"/>
    <w:basedOn w:val="DefaultParagraphFont"/>
    <w:link w:val="Header"/>
    <w:rsid w:val="00C07977"/>
    <w:rPr>
      <w:sz w:val="24"/>
      <w:szCs w:val="24"/>
      <w:lang w:eastAsia="en-US"/>
    </w:rPr>
  </w:style>
  <w:style w:type="paragraph" w:styleId="Footer">
    <w:name w:val="footer"/>
    <w:basedOn w:val="Normal"/>
    <w:link w:val="FooterChar"/>
    <w:rsid w:val="00C07977"/>
    <w:pPr>
      <w:tabs>
        <w:tab w:val="center" w:pos="4513"/>
        <w:tab w:val="right" w:pos="9026"/>
      </w:tabs>
    </w:pPr>
  </w:style>
  <w:style w:type="character" w:customStyle="1" w:styleId="FooterChar">
    <w:name w:val="Footer Char"/>
    <w:basedOn w:val="DefaultParagraphFont"/>
    <w:link w:val="Footer"/>
    <w:rsid w:val="00C07977"/>
    <w:rPr>
      <w:sz w:val="24"/>
      <w:szCs w:val="24"/>
      <w:lang w:eastAsia="en-US"/>
    </w:rPr>
  </w:style>
  <w:style w:type="character" w:styleId="PlaceholderText">
    <w:name w:val="Placeholder Text"/>
    <w:basedOn w:val="DefaultParagraphFont"/>
    <w:uiPriority w:val="99"/>
    <w:semiHidden/>
    <w:rsid w:val="00C07977"/>
    <w:rPr>
      <w:color w:val="808080"/>
    </w:rPr>
  </w:style>
  <w:style w:type="paragraph" w:customStyle="1" w:styleId="DocId">
    <w:name w:val="DocId"/>
    <w:basedOn w:val="Footer"/>
    <w:link w:val="DocIdChar"/>
    <w:rsid w:val="00C07977"/>
    <w:pPr>
      <w:autoSpaceDE w:val="0"/>
      <w:autoSpaceDN w:val="0"/>
      <w:adjustRightInd w:val="0"/>
    </w:pPr>
    <w:rPr>
      <w:rFonts w:ascii="Arial" w:hAnsi="Arial" w:cs="Arial"/>
      <w:sz w:val="14"/>
      <w:szCs w:val="20"/>
    </w:rPr>
  </w:style>
  <w:style w:type="character" w:customStyle="1" w:styleId="DocIdChar">
    <w:name w:val="DocId Char"/>
    <w:basedOn w:val="DefaultParagraphFont"/>
    <w:link w:val="DocId"/>
    <w:rsid w:val="00C07977"/>
    <w:rPr>
      <w:rFonts w:ascii="Arial" w:hAnsi="Arial" w:cs="Arial"/>
      <w:sz w:val="14"/>
      <w:lang w:eastAsia="en-US"/>
    </w:rPr>
  </w:style>
  <w:style w:type="paragraph" w:styleId="Revision">
    <w:name w:val="Revision"/>
    <w:hidden/>
    <w:uiPriority w:val="99"/>
    <w:semiHidden/>
    <w:rsid w:val="00736F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4B1BF95E5A481A8CB9CCB8A325AE6E"/>
        <w:category>
          <w:name w:val="General"/>
          <w:gallery w:val="placeholder"/>
        </w:category>
        <w:types>
          <w:type w:val="bbPlcHdr"/>
        </w:types>
        <w:behaviors>
          <w:behavior w:val="content"/>
        </w:behaviors>
        <w:guid w:val="{FC03A3E1-E202-4F62-8B7D-CF95E0F8E11B}"/>
      </w:docPartPr>
      <w:docPartBody>
        <w:p w:rsidR="004E3678" w:rsidRDefault="004E3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2D"/>
    <w:rsid w:val="004E3678"/>
    <w:rsid w:val="00D1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9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1643</Words>
  <Characters>8054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Barratt Developments PLC</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Wardle, Carol</dc:creator>
  <cp:lastModifiedBy>Wardle, Carol</cp:lastModifiedBy>
  <cp:revision>4</cp:revision>
  <cp:lastPrinted>1900-01-01T00:00:00Z</cp:lastPrinted>
  <dcterms:created xsi:type="dcterms:W3CDTF">2023-10-05T16:04:00Z</dcterms:created>
  <dcterms:modified xsi:type="dcterms:W3CDTF">2023-10-05T16:07:00Z</dcterms:modified>
</cp:coreProperties>
</file>